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Default="00AD3A6F">
      <w:pPr>
        <w:autoSpaceDE w:val="0"/>
        <w:autoSpaceDN w:val="0"/>
        <w:adjustRightInd w:val="0"/>
        <w:jc w:val="center"/>
        <w:rPr>
          <w:rFonts w:ascii="方正仿宋简体" w:eastAsia="方正仿宋简体" w:hAnsiTheme="minorEastAsia" w:cs="仿宋_GB2312"/>
          <w:kern w:val="0"/>
          <w:sz w:val="36"/>
          <w:szCs w:val="36"/>
        </w:rPr>
      </w:pPr>
    </w:p>
    <w:p w:rsidR="00AD3A6F" w:rsidRDefault="00A73782" gbicc:emptyAbove="1">
      <w:pPr>
        <w:autoSpaceDE w:val="0"/>
        <w:autoSpaceDN w:val="0"/>
        <w:adjustRightInd w:val="0"/>
        <w:jc w:val="center"/>
        <w:rPr>
          <w:rFonts w:ascii="方正仿宋简体" w:eastAsia="方正仿宋简体" w:hAnsiTheme="minorEastAsia" w:cs="仿宋_GB2312"/>
          <w:kern w:val="0"/>
          <w:sz w:val="36"/>
          <w:szCs w:val="36"/>
        </w:rPr>
      </w:pPr>
      <w:r>
        <w:rPr>
          <w:rFonts w:ascii="方正仿宋简体" w:eastAsia="方正仿宋简体" w:hAnsiTheme="minorEastAsia" w:cs="仿宋_GB2312" w:hint="eastAsia"/>
          <w:kern w:val="0"/>
          <w:sz w:val="36"/>
          <w:szCs w:val="36"/>
        </w:rPr>
        <w:t>国泰上证科创板50成份交易型开放式指数证券投资基金发起式联接基金（国泰上证科创板50成份ETF发起联接A）基金产品资料概要</w:t>
      </w:r>
    </w:p>
    <w:p w:rsidR="00AD3A6F" w:rsidRDefault="00A73782">
      <w:pPr>
        <w:autoSpaceDE w:val="0"/>
        <w:autoSpaceDN w:val="0"/>
        <w:adjustRightInd w:val="0"/>
        <w:jc w:val="right"/>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编制日期：</w:t>
      </w:r>
      <w:r>
        <w:rPr>
          <w:rFonts w:ascii="方正仿宋简体" w:eastAsia="方正仿宋简体" w:hAnsi="方正仿宋简体" w:cs="方正仿宋简体" w:hint="eastAsia"/>
          <w:iCs/>
          <w:sz w:val="24"/>
          <w:szCs w:val="24"/>
        </w:rPr>
        <w:t>2026年5月26日</w:t>
      </w:r>
    </w:p>
    <w:p w:rsidR="00AD3A6F" w:rsidRDefault="00A73782">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送出日期：</w:t>
      </w:r>
      <w:r>
        <w:rPr>
          <w:rFonts w:ascii="方正仿宋简体" w:eastAsia="方正仿宋简体" w:hAnsi="方正仿宋简体" w:cs="方正仿宋简体" w:hint="eastAsia"/>
          <w:iCs/>
          <w:sz w:val="24"/>
          <w:szCs w:val="24"/>
        </w:rPr>
        <w:t>2026年5月27日</w:t>
      </w:r>
    </w:p>
    <w:p w:rsidR="00AD3A6F" w:rsidRDefault="00A73782">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本概要提供本基金的重要信息，是招募说明书的一部分。</w:t>
      </w:r>
    </w:p>
    <w:p w:rsidR="00AD3A6F" w:rsidRDefault="00A73782">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作出投资决定前，请阅读完整的招募说明书等销售文件。</w:t>
      </w:r>
    </w:p>
    <w:p w:rsidR="00AD3A6F" w:rsidRDefault="00A73782" gbicc:outlineLvl="0" gbicc:pid="14">
      <w:pPr gbicc:listString="一、" gbicc:numText="%1、" gbicc:numFmt="C" gbicc:numVal="1" gbicc:numId="10">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Tr="00584DC5">
        <w:trPr>
          <w:trHeight w:val="454"/>
        </w:trPr>
        <w:tc>
          <w:tcPr>
            <w:tcW w:w="1145"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基金简称</w:t>
            </w:r>
          </w:p>
        </w:tc>
        <w:tc>
          <w:tcPr>
            <w:tcW w:w="1413" w:type="pct"/>
            <w:vMerge w:val="restar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国泰上证科创板50成份ETF发起联接</w:t>
            </w:r>
          </w:p>
        </w:tc>
        <w:tc>
          <w:tcPr>
            <w:tcW w:w="999"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基金代码</w:t>
            </w:r>
          </w:p>
        </w:tc>
        <w:tc>
          <w:tcPr>
            <w:tcW w:w="1443" w:type="pct"/>
            <w:tcBorders>
              <w:bottom w:val="dashSmallGap" w:sz="4" w:space="0" w:color="A6A6A6" w:themeColor="background1" w:themeShade="A6"/>
            </w:tcBorders>
            <w:vAlign w:val="center"/>
          </w:tcPr>
          <w:p w:rsidR="00AD3A6F" w:rsidRDefault="00415D1E">
            <w:pPr>
              <w:spacing w:line="280" w:lineRule="exact"/>
              <w:rPr>
                <w:rFonts w:ascii="方正仿宋简体" w:eastAsia="方正仿宋简体" w:hAnsiTheme="minorEastAsia" w:cs="方正仿宋简体"/>
                <w:iCs/>
              </w:rPr>
            </w:pPr>
            <w:r w:rsidR="00A73782">
              <w:rPr>
                <w:rFonts w:ascii="方正仿宋简体" w:eastAsia="方正仿宋简体" w:hAnsiTheme="minorEastAsia" w:cs="方正仿宋简体" w:hint="eastAsia"/>
                <w:iCs/>
              </w:rPr>
              <w:t>027675</w:t>
            </w:r>
          </w:p>
        </w:tc>
      </w:tr>
      <w:tr w:rsidR="00AD3A6F" w:rsidTr="00B212F4">
        <w:trPr>
          <w:trHeight w:val="150"/>
        </w:trPr>
        <w:tc>
          <w:tcPr>
            <w:tcW w:w="1145"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国泰上证科创板50成份ETF发起联接A</w:t>
            </w:r>
          </w:p>
        </w:tc>
        <w:tc>
          <w:tcPr>
            <w:tcW w:w="999" w:type="pct"/>
            <w:vMerge w:val="restart"/>
            <w:tcBorders>
              <w:top w:val="dashSmallGap" w:sz="4" w:space="0" w:color="A6A6A6" w:themeColor="background1" w:themeShade="A6"/>
            </w:tcBorders>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Default="00415D1E">
            <w:pPr>
              <w:spacing w:line="280" w:lineRule="exact"/>
              <w:rPr>
                <w:rFonts w:ascii="方正仿宋简体" w:eastAsia="方正仿宋简体" w:hAnsiTheme="minorEastAsia" w:cs="方正仿宋简体"/>
                <w:iCs/>
              </w:rPr>
            </w:pPr>
            <w:r w:rsidR="00A73782">
              <w:rPr>
                <w:rFonts w:ascii="方正仿宋简体" w:eastAsia="方正仿宋简体" w:hAnsiTheme="minorEastAsia" w:cs="方正仿宋简体" w:hint="eastAsia"/>
                <w:iCs/>
              </w:rPr>
              <w:t>027675</w:t>
            </w:r>
          </w:p>
        </w:tc>
      </w:tr>
      <w:tr w:rsidR="00AD3A6F" w:rsidTr="005F360D">
        <w:trPr>
          <w:trHeight w:val="454"/>
        </w:trPr>
        <w:tc>
          <w:tcPr>
            <w:tcW w:w="1145"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基金管理人</w:t>
            </w:r>
          </w:p>
        </w:tc>
        <w:tc>
          <w:tcPr>
            <w:tcW w:w="1413" w:type="pct"/>
            <w:tcBorders>
              <w:top w:val="dashSmallGap" w:sz="4" w:space="0" w:color="A6A6A6" w:themeColor="background1" w:themeShade="A6"/>
            </w:tcBorders>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国泰基金管理有限公司</w:t>
            </w:r>
          </w:p>
        </w:tc>
        <w:tc>
          <w:tcPr>
            <w:tcW w:w="999"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基金托管人</w:t>
            </w:r>
          </w:p>
        </w:tc>
        <w:tc>
          <w:tcPr>
            <w:tcW w:w="1443" w:type="pct"/>
            <w:tcBorders>
              <w:top w:val="dashSmallGap" w:sz="4" w:space="0" w:color="A6A6A6" w:themeColor="background1" w:themeShade="A6"/>
            </w:tcBorders>
            <w:vAlign w:val="center"/>
          </w:tcPr>
          <w:p w:rsidR="00AD3A6F" w:rsidRDefault="00415D1E">
            <w:pPr>
              <w:spacing w:line="280" w:lineRule="exact"/>
              <w:rPr>
                <w:rFonts w:ascii="方正仿宋简体" w:eastAsia="方正仿宋简体" w:hAnsiTheme="minorEastAsia" w:cs="方正仿宋简体"/>
                <w:iCs/>
              </w:rPr>
            </w:pPr>
            <w:r w:rsidR="00A73782">
              <w:rPr>
                <w:rFonts w:ascii="方正仿宋简体" w:eastAsia="方正仿宋简体" w:hAnsiTheme="minorEastAsia" w:cs="方正仿宋简体" w:hint="eastAsia"/>
                <w:iCs/>
              </w:rPr>
              <w:t>中国建设银行股份有限公司</w:t>
            </w:r>
            <w:r w:rsidR="00A73782">
              <w:rPr>
                <w:rFonts w:ascii="方正仿宋简体" w:eastAsia="方正仿宋简体" w:hAnsiTheme="minorEastAsia" w:cs="方正仿宋简体" w:hint="eastAsia"/>
                <w:iCs/>
              </w:rPr>
              <w:t xml:space="preserve"> </w:t>
            </w:r>
          </w:p>
        </w:tc>
      </w:tr>
      <w:tr w:rsidR="00AD3A6F" w:rsidTr="005F360D">
        <w:trPr>
          <w:trHeight w:val="454"/>
        </w:trPr>
        <w:tc>
          <w:tcPr>
            <w:tcW w:w="1145"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基金合同生效日</w:t>
            </w:r>
          </w:p>
        </w:tc>
        <w:tc>
          <w:tcPr>
            <w:tcW w:w="1413" w:type="pct"/>
            <w:vMerge w:val="restar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w:t>
            </w:r>
          </w:p>
        </w:tc>
        <w:tc>
          <w:tcPr>
            <w:tcW w:w="999"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
            </w:r>
          </w:p>
        </w:tc>
        <w:tc>
          <w:tcPr>
            <w:tcW w:w="1443" w:type="pct"/>
            <w:tcBorders>
              <w:top w:val="dashSmallGap" w:sz="4" w:space="0" w:color="A6A6A6" w:themeColor="background1" w:themeShade="A6"/>
              <w:bottom w:val="nil"/>
            </w:tcBorders>
            <w:vAlign w:val="center"/>
          </w:tcPr>
          <w:p w:rsidR="00AD3A6F" w:rsidRDefault="00415D1E">
            <w:pPr>
              <w:spacing w:line="280" w:lineRule="exact"/>
              <w:rPr>
                <w:rFonts w:ascii="方正仿宋简体" w:eastAsia="方正仿宋简体" w:hAnsiTheme="minorEastAsia" w:cs="方正仿宋简体"/>
                <w:iCs/>
              </w:rPr>
            </w:pPr>
            <w:r w:rsidR="00A73782">
              <w:rPr>
                <w:rFonts w:hint="eastAsia"/>
                <w:color w:val="333399"/>
              </w:rPr>
              <w:t/>
            </w:r>
            <w:r w:rsidR="00A73782">
              <w:rPr>
                <w:rFonts w:ascii="方正仿宋简体" w:eastAsia="方正仿宋简体" w:hAnsiTheme="minorEastAsia" w:cs="方正仿宋简体" w:hint="eastAsia"/>
                <w:iCs/>
              </w:rPr>
              <w:t xml:space="preserve"> </w:t>
            </w:r>
            <w:r w:rsidR="00A73782">
              <w:rPr>
                <w:rFonts w:hint="eastAsia"/>
                <w:color w:val="333399"/>
              </w:rPr>
              <w:t/>
            </w:r>
          </w:p>
        </w:tc>
      </w:tr>
      <w:tr w:rsidR="00AD3A6F" w:rsidTr="005F360D">
        <w:trPr>
          <w:trHeight w:val="454"/>
        </w:trPr>
        <w:tc>
          <w:tcPr>
            <w:tcW w:w="1145"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基金类型</w:t>
            </w:r>
          </w:p>
        </w:tc>
        <w:tc>
          <w:tcPr>
            <w:tcW w:w="1413"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基金中基金</w:t>
            </w:r>
          </w:p>
        </w:tc>
        <w:tc>
          <w:tcPr>
            <w:tcW w:w="999"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交易币种</w:t>
            </w:r>
          </w:p>
        </w:tc>
        <w:tc>
          <w:tcPr>
            <w:tcW w:w="1443" w:type="pct"/>
            <w:tcBorders>
              <w:top w:val="dashSmallGap" w:sz="4" w:space="0" w:color="A6A6A6" w:themeColor="background1" w:themeShade="A6"/>
            </w:tcBorders>
            <w:vAlign w:val="center"/>
          </w:tcPr>
          <w:p w:rsidR="00AD3A6F" w:rsidRDefault="00415D1E">
            <w:pPr>
              <w:spacing w:line="280" w:lineRule="exact"/>
              <w:rPr>
                <w:rFonts w:ascii="方正仿宋简体" w:eastAsia="方正仿宋简体" w:hAnsiTheme="minorEastAsia" w:cs="方正仿宋简体"/>
                <w:iCs/>
              </w:rPr>
            </w:pPr>
            <w:r w:rsidR="00A73782">
              <w:rPr>
                <w:rFonts w:ascii="方正仿宋简体" w:eastAsia="方正仿宋简体" w:hAnsiTheme="minorEastAsia" w:cs="方正仿宋简体" w:hint="eastAsia"/>
                <w:iCs/>
              </w:rPr>
              <w:t>人民币</w:t>
            </w:r>
            <w:r w:rsidR="00A73782">
              <w:rPr>
                <w:rFonts w:hint="eastAsia"/>
                <w:color w:val="333399"/>
              </w:rPr>
              <w:t/>
            </w:r>
            <w:r w:rsidR="00A73782">
              <w:rPr>
                <w:rFonts w:hint="eastAsia"/>
                <w:color w:val="333399"/>
              </w:rPr>
              <w:t/>
            </w:r>
            <w:r w:rsidR="00A73782">
              <w:rPr>
                <w:rFonts w:hint="eastAsia"/>
                <w:color w:val="333399"/>
              </w:rPr>
              <w:t/>
            </w:r>
            <w:r w:rsidR="00A73782">
              <w:rPr>
                <w:rFonts w:hint="eastAsia"/>
                <w:color w:val="333399"/>
              </w:rPr>
              <w:t/>
            </w:r>
            <w:r w:rsidR="00A73782">
              <w:rPr>
                <w:rFonts w:hint="eastAsia"/>
                <w:color w:val="333399"/>
              </w:rPr>
              <w:t/>
            </w:r>
            <w:r w:rsidR="00A73782">
              <w:rPr>
                <w:rFonts w:hint="eastAsia"/>
                <w:color w:val="333399"/>
              </w:rPr>
              <w:t/>
            </w:r>
          </w:p>
        </w:tc>
      </w:tr>
      <w:tr w:rsidR="00AD3A6F" w:rsidTr="005F360D">
        <w:trPr>
          <w:trHeight w:val="454"/>
        </w:trPr>
        <w:tc>
          <w:tcPr>
            <w:tcW w:w="1145"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运作方式</w:t>
            </w:r>
          </w:p>
        </w:tc>
        <w:tc>
          <w:tcPr>
            <w:tcW w:w="1413"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普通开放式</w:t>
            </w:r>
          </w:p>
        </w:tc>
        <w:tc>
          <w:tcPr>
            <w:tcW w:w="999"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开放频率</w:t>
            </w:r>
          </w:p>
        </w:tc>
        <w:tc>
          <w:tcPr>
            <w:tcW w:w="1443"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每个开放日</w:t>
            </w:r>
          </w:p>
        </w:tc>
      </w:tr>
      <w:tr w:rsidR="00AD3A6F" w:rsidTr="005F360D">
        <w:trPr>
          <w:trHeight w:val="454"/>
        </w:trPr>
        <w:tc>
          <w:tcPr>
            <w:tcW w:w="1145"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基金经理</w:t>
            </w:r>
          </w:p>
        </w:tc>
        <w:tc>
          <w:tcPr>
            <w:tcW w:w="1413" w:type="pct"/>
            <w:vMerge w:val="restar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彭悦</w:t>
            </w:r>
          </w:p>
        </w:tc>
        <w:tc>
          <w:tcPr>
            <w:tcW w:w="999"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开始担任本基金基金经理的日期</w:t>
            </w:r>
          </w:p>
        </w:tc>
        <w:tc>
          <w:tcPr>
            <w:tcW w:w="1443"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w:t>
            </w:r>
          </w:p>
        </w:tc>
      </w:tr>
      <w:tr w:rsidR="00AD3A6F" w:rsidTr="005F360D">
        <w:trPr>
          <w:trHeight w:val="454"/>
        </w:trPr>
        <w:tc>
          <w:tcPr>
            <w:tcW w:w="1145" w:type="pct"/>
            <w:vMerge/>
            <w:vAlign w:val="center"/>
          </w:tcPr>
          <w:p w:rsidR="00AD3A6F" w:rsidRDefault="00AD3A6F">
            <w:pPr>
              <w:spacing w:line="280" w:lineRule="exact"/>
              <w:rPr>
                <w:rFonts w:ascii="方正仿宋简体" w:eastAsia="方正仿宋简体" w:hAnsiTheme="minorEastAsia" w:cs="方正仿宋简体"/>
                <w:b/>
                <w:iCs/>
              </w:rPr>
            </w:pPr>
          </w:p>
        </w:tc>
        <w:tc>
          <w:tcPr>
            <w:tcW w:w="1413" w:type="pct"/>
            <w:vMerge/>
            <w:vAlign w:val="center"/>
          </w:tcPr>
          <w:p w:rsidR="00AD3A6F" w:rsidRDefault="00AD3A6F">
            <w:pPr>
              <w:spacing w:line="280" w:lineRule="exact"/>
              <w:rPr>
                <w:rFonts w:ascii="方正仿宋简体" w:eastAsia="方正仿宋简体" w:hAnsiTheme="minorEastAsia" w:cs="方正仿宋简体"/>
                <w:b/>
                <w:iCs/>
              </w:rPr>
            </w:pPr>
          </w:p>
        </w:tc>
        <w:tc>
          <w:tcPr>
            <w:tcW w:w="999"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证券从业日期</w:t>
            </w:r>
          </w:p>
        </w:tc>
        <w:tc>
          <w:tcPr>
            <w:tcW w:w="1443"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2022-08-01</w:t>
            </w:r>
          </w:p>
        </w:tc>
      </w:tr>
      <w:tr w:rsidR="00AD3A6F" w:rsidTr="005F360D">
        <w:trPr>
          <w:trHeight w:val="454"/>
        </w:trPr>
        <w:tc>
          <w:tcPr>
            <w:tcW w:w="1145"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其他</w:t>
            </w:r>
          </w:p>
        </w:tc>
        <w:tc>
          <w:tcPr>
            <w:tcW w:w="3855" w:type="pct"/>
            <w:gridSpan w:val="3"/>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基金合同》生效之日起三年后的对应日，若基金资产净值低于2亿元，《基金合同》自动终止，且不得通过召开基金份额持有人大会延续基金合同期限。若届时的法律法规或中国证监会规定发生变化，上述终止规定被取消、更改或补充，则本基金可以参照届时有效的法律法规或中国证监会规定执行。</w:t>
            </w:r>
          </w:p>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基金合同》生效满三年后基金继续存续的，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法律法规或中国证监会另有规定时，从其规定。</w:t>
            </w:r>
          </w:p>
        </w:tc>
      </w:tr>
    </w:tbl>
    <w:p w:rsidR="00AD3A6F" w:rsidRDefault="00AD3A6F">
      <w:pPr>
        <w:spacing w:line="280" w:lineRule="exact"/>
        <w:rPr>
          <w:rFonts w:ascii="方正仿宋简体" w:eastAsia="方正仿宋简体" w:hAnsiTheme="minorEastAsia" w:cs="仿宋_GB2312"/>
          <w:b/>
          <w:kern w:val="0"/>
          <w:szCs w:val="24"/>
        </w:rPr>
      </w:pPr>
    </w:p>
    <w:p w:rsidR="00AD3A6F" w:rsidRDefault="00A73782" gbicc:emptyAbove="1" gbicc:outlineLvl="0" gbicc:pid="15">
      <w:pPr gbicc:listString="二、" gbicc:numText="%1、" gbicc:numFmt="C" gbicc:numVal="2" gbicc:numId="10">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基金投资与净值表现</w:t>
      </w:r>
    </w:p>
    <w:p w:rsidR="00AD3A6F" w:rsidRDefault="00A73782" gbicc:outlineLvl="1" gbicc:pid="16">
      <w:pPr gbicc:listString="(一)" gbicc:numText="(%1)" gbicc:numFmt="C" gbicc:numVal="1" gbicc:numId="15">
        <w:pStyle w:val="a8"/>
        <w:numPr>
          <w:ilvl w:val="0"/>
          <w:numId w:val="15"/>
        </w:numPr>
        <w:spacing w:line="280" w:lineRule="exact"/>
        <w:ind w:firstLineChars="0"/>
        <w:outlineLvl w:val="1"/>
        <w:rPr>
          <w:rFonts w:ascii="方正仿宋简体" w:eastAsia="方正仿宋简体" w:hAnsiTheme="minorEastAsia" w:cs="方正仿宋简体"/>
          <w:b/>
          <w:iCs/>
          <w:sz w:val="24"/>
          <w:szCs w:val="24"/>
        </w:rPr>
      </w:pPr>
      <w:r>
        <w:rPr>
          <w:rFonts w:ascii="方正仿宋简体" w:eastAsia="方正仿宋简体" w:hAnsi="方正仿宋简体" w:cs="方正仿宋简体" w:hint="eastAsia"/>
          <w:b/>
          <w:iCs/>
          <w:sz w:val="24"/>
          <w:szCs w:val="24"/>
        </w:rPr>
        <w:t>投资目标与投资策略</w:t>
      </w:r>
    </w:p>
    <w:p w:rsidR="00AD3A6F" w:rsidRDefault="00415D1E">
      <w:pPr>
        <w:spacing w:line="280" w:lineRule="exact"/>
        <w:rPr>
          <w:rFonts w:ascii="方正仿宋简体" w:eastAsia="方正仿宋简体" w:hAnsiTheme="minorEastAsia" w:cs="方正仿宋简体"/>
          <w:bCs/>
          <w:iCs/>
        </w:rPr>
      </w:pPr>
      <w:r w:rsidR="00A73782">
        <w:rPr>
          <w:rFonts w:ascii="方正仿宋简体" w:eastAsia="方正仿宋简体" w:hAnsiTheme="minorEastAsia" w:cs="方正仿宋简体" w:hint="eastAsia"/>
          <w:bCs/>
          <w:iCs/>
        </w:rPr>
        <w:t>详见本基金招募说明书“第九部分 基金的投资”。</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Tr="004473DA">
        <w:trPr>
          <w:trHeight w:val="454"/>
        </w:trPr>
        <w:tc>
          <w:tcPr>
            <w:tcW w:w="114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投资目标</w:t>
            </w:r>
          </w:p>
        </w:tc>
        <w:tc>
          <w:tcPr>
            <w:tcW w:w="385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通过主要投资于目标ETF，紧密跟踪标的指数，追求跟踪偏离度和跟踪误差的最小化。</w:t>
            </w:r>
          </w:p>
        </w:tc>
      </w:tr>
      <w:tr w:rsidR="00AD3A6F" w:rsidTr="004473DA">
        <w:trPr>
          <w:trHeight w:val="454"/>
        </w:trPr>
        <w:tc>
          <w:tcPr>
            <w:tcW w:w="114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投资范围</w:t>
            </w:r>
          </w:p>
        </w:tc>
        <w:tc>
          <w:tcPr>
            <w:tcW w:w="385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本基金主要投资于目标ETF、标的指数成份股（含存托凭证）、备选成份股（含存托凭证）。为更好地实现投资目标，本基金还可投资于非标的指数成份股（包括主板、科创板、创业板及其他中国证监会允许基金投资的股票、存托凭证）、债券（包括国债、央行票据、地方政府债券、政府支持机构债券、政府支持债券、金融债、企业债、公司债、次级债、中期票据、短期融资券、超短期融资券、可转换债券（含分离交易可转债）、可交换债券等）、债券回购、金融衍生工具（包括股指期货、国债期货、股票期权等）、资产支持证券、同业存单、银行存款、货币市场工具以及法律法规或中国证监会允许基金投资的其他金融工具（但须符合中国证监会相关规定）。</w:t>
            </w:r>
          </w:p>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本基金可根据法律法规的规定参与融资和转融通证券出借业务。</w:t>
            </w:r>
          </w:p>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基金的投资组合比例为：本基金投资于目标ETF的比例不低于基金资产净值的90%。每个交易日日终在扣除股指期货合约和国债期货合约需缴纳的交易保证金后，本基金持有的现金或者到期日在一年以内的政府债券不低于基金资产净值的5%，其中，现金不包括结算备付金、存出保证金和应收申购款等。</w:t>
            </w:r>
          </w:p>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如法律法规或监管机构以后允许基金投资股指期权等其他金融衍生工具或者其他投资品种或变更投资比例限制，基金管理人在履行适当程序后，可以相应调整本基金的投资范围和投资比例规定。</w:t>
            </w:r>
          </w:p>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本基金的标的指数为上证科创板50成份指数及其未来可能发生的变更。</w:t>
            </w:r>
          </w:p>
        </w:tc>
      </w:tr>
      <w:tr w:rsidR="00AD3A6F" w:rsidTr="004473DA">
        <w:trPr>
          <w:trHeight w:val="454"/>
        </w:trPr>
        <w:tc>
          <w:tcPr>
            <w:tcW w:w="114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主要投资策略</w:t>
            </w:r>
          </w:p>
        </w:tc>
        <w:tc>
          <w:tcPr>
            <w:tcW w:w="385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1、资产配置策略；2、目标ETF投资策略；3、股票投资策略；4、存托凭证投资策略；5、债券投资策略；6、可转换债券和可交换债券投资策略；7、资产支持证券投资策略；8、金融衍生工具投资策略；9、融资与转融通证券出借投资策略。</w:t>
            </w:r>
          </w:p>
        </w:tc>
      </w:tr>
      <w:tr w:rsidR="00AD3A6F" w:rsidTr="004473DA">
        <w:trPr>
          <w:trHeight w:val="454"/>
        </w:trPr>
        <w:tc>
          <w:tcPr>
            <w:tcW w:w="114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业绩比较基准</w:t>
            </w:r>
          </w:p>
        </w:tc>
        <w:tc>
          <w:tcPr>
            <w:tcW w:w="385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上证科创板50成份指数收益率*95%+活期存款基准利率*5%。</w:t>
            </w:r>
          </w:p>
        </w:tc>
      </w:tr>
      <w:tr w:rsidR="00AD3A6F" w:rsidTr="004473DA">
        <w:trPr>
          <w:trHeight w:val="454"/>
        </w:trPr>
        <w:tc>
          <w:tcPr>
            <w:tcW w:w="114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风险收益特征</w:t>
            </w:r>
          </w:p>
        </w:tc>
        <w:tc>
          <w:tcPr>
            <w:tcW w:w="385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本基金为ETF联接基金，目标ETF为股票型指数基金，其预期收益及预期风险水平理论上高于混合型基金、债券型基金和货币市场基金。本基金主要通过投资于目标ETF跟踪标的指数表现，具有与标的指数以及标的指数所代表的证券市场相似的风险收益特征。</w:t>
            </w:r>
          </w:p>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本基金投资于科创板股票，会面临科创板机制下因投资标的、市场制度以及交易规则等差异带来的特有风险，包括股价波动较大的风险、流动性风险、退市风险和市场风险等。</w:t>
            </w:r>
          </w:p>
        </w:tc>
      </w:tr>
    </w:tbl>
    <w:p w:rsidR="00AD3A6F" w:rsidRDefault="00415D1E">
      <w:pPr>
        <w:spacing w:line="280" w:lineRule="exact"/>
        <w:rPr>
          <w:rFonts w:ascii="方正仿宋简体" w:eastAsia="方正仿宋简体" w:hAnsiTheme="minorEastAsia" w:cs="仿宋_GB2312"/>
          <w:kern w:val="0"/>
          <w:szCs w:val="24"/>
        </w:rPr>
      </w:pPr>
    </w:p>
    <w:p w:rsidR="00AD3A6F"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投资组合资产配置图表/区域配置图表</w:t>
      </w:r>
    </w:p>
    <w:p w:rsidR="00AD3A6F" w:rsidRDefault="00A73782" gbicc:outlineLvl="1" gbicc:pid="18">
      <w:pPr gbicc:listString="(三)" gbicc:numText="(%1)" gbicc:numFmt="C" gbicc:numVal="3" gbicc:numId="15">
        <w:pStyle w:val="a8"/>
        <w:numPr>
          <w:ilvl w:val="0"/>
          <w:numId w:val="15"/>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自基金合同生效以来基金每年的净值增长率及与同期业绩比较基准的比较图</w:t>
      </w:r>
    </w:p>
    <w:p w:rsidR="00AD3A6F" w:rsidRDefault="00AD3A6F">
      <w:pPr>
        <w:spacing w:line="280" w:lineRule="exact"/>
        <w:ind w:firstLine="420"/>
        <w:rPr>
          <w:rFonts w:ascii="方正仿宋简体" w:eastAsia="方正仿宋简体" w:hAnsi="方正仿宋简体" w:cs="方正仿宋简体"/>
          <w:iCs/>
        </w:rPr>
      </w:pPr>
    </w:p>
    <w:p w:rsidR="00AD3A6F" w:rsidRDefault="00A73782" gbicc:emptyAbove="1" gbicc:outlineLvl="0" gbicc:pid="19">
      <w:pPr gbicc:listString="三、" gbicc:numText="%1、" gbicc:numFmt="C" gbicc:numVal="3" gbicc:numId="10">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投资本基金涉及的费用</w:t>
      </w:r>
    </w:p>
    <w:p w:rsidR="00AD3A6F" w:rsidRDefault="00A73782" gbicc:outlineLvl="1" gbicc:pid="20">
      <w:pPr gbicc:listString="（一）" gbicc:numText="（%1）" gbicc:numFmt="J" gbicc:numVal="1" gbicc:numId="25">
        <w:pStyle w:val="a8"/>
        <w:numPr>
          <w:ilvl w:val="0"/>
          <w:numId w:val="25"/>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基金销售相关费用</w:t>
      </w:r>
    </w:p>
    <w:p w:rsidR="00AD3A6F" w:rsidRDefault="00A73782">
      <w:pPr>
        <w:autoSpaceDE w:val="0"/>
        <w:autoSpaceDN w:val="0"/>
        <w:adjustRightInd w:val="0"/>
        <w:spacing w:line="280" w:lineRule="exact"/>
        <w:jc w:val="left"/>
        <w:rPr>
          <w:rFonts w:ascii="方正仿宋简体" w:eastAsia="方正仿宋简体"/>
          <w:color w:val="000000" w:themeColor="text1"/>
        </w:rPr>
      </w:pPr>
      <w:r>
        <w:rPr>
          <w:rFonts w:ascii="方正仿宋简体" w:eastAsia="方正仿宋简体" w:hAnsi="方正仿宋简体" w:cs="方正仿宋简体" w:hint="eastAsia"/>
          <w:iCs/>
          <w:color w:val="000000" w:themeColor="text1"/>
        </w:rPr>
        <w:t>以下费用在认购/申购/赎回基金过程中收取：</w:t>
      </w:r>
    </w:p>
    <!--PH-->
    <w:tbl init-cell-address="true">
      <w:tblPr>
        <w:tblW w:w="5000"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3"/>
        <w:gridCol w:w="3261"/>
        <w:gridCol w:w="1986"/>
        <w:gridCol w:w="902"/>
      </w:tblGrid>
      <w:tr w:rsidR="00AD3A6F" w:rsidTr="0074096A">
        <w:trPr>
          <w:trHeight w:val="454"/>
        </w:trPr>
        <w:tc>
          <w:tcPr>
            <w:tcW w:w="1392" w:type="pct"/>
            <w:vAlign w:val="center"/>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费用类型</w:t>
            </w:r>
          </w:p>
        </w:tc>
        <w:tc>
          <w:tcPr>
            <w:tcW w:w="1913" w:type="pct"/>
            <w:vAlign w:val="center"/>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份额（S）或金额（M）</w:t>
            </w:r>
          </w:p>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/持有期限（N）</w:t>
            </w:r>
          </w:p>
        </w:tc>
        <w:tc>
          <w:tcPr>
            <w:tcW w:w="1165" w:type="pct"/>
            <w:vAlign w:val="center"/>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收费方式/费率</w:t>
            </w:r>
          </w:p>
        </w:tc>
        <w:tc>
          <w:tcPr>
            <w:tcW w:w="529" w:type="pct"/>
            <w:vAlign w:val="center"/>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备注</w:t>
            </w:r>
          </w:p>
        </w:tc>
      </w:tr>
      <w:tr w:rsidR="00AD3A6F" w:rsidTr="0074096A">
        <w:trPr>
          <w:trHeight w:val="454"/>
        </w:trPr>
        <w:tc>
          <w:tcPr>
            <w:tcW w:w="1392" w:type="pct"/>
            <w:vAlign w:val="center"/>
            <w:vMerge w:val="restart"/>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191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int="eastAsia"/>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M</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&lt;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500万元</w:t>
            </w:r>
          </w:p>
        </w:tc>
        <w:tc>
          <w:tcPr>
            <w:tcW w:w="1165"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0.30%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int="eastAsia"/>
                <w:color w:val="000000" w:themeColor="text1"/>
              </w:rPr>
              <w:t/>
            </w:r>
          </w:p>
        </w:tc>
      </w:tr>
      <w:tr w:rsidR="00AD3A6F" w:rsidTr="0074096A">
        <w:trPr>
          <w:trHeight w:val="454"/>
        </w:trPr>
        <w:tc>
          <w:tcPr>
            <w:tcW w:w="1392" w:type="pct"/>
            <w:vAlign w:val="center"/>
            <w:vMerge/>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191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M</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500万元</w:t>
            </w:r>
          </w:p>
        </w:tc>
        <w:tc>
          <w:tcPr>
            <w:tcW w:w="1165"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100元/笔</w:t>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按笔收取</w:t>
            </w:r>
          </w:p>
        </w:tc>
      </w:tr>
      <w:tr w:rsidR="00AD3A6F" w:rsidTr="0074096A">
        <w:trPr>
          <w:trHeight w:val="454"/>
        </w:trPr>
        <w:tc>
          <w:tcPr>
            <w:tcW w:w="1392" w:type="pct"/>
            <w:vAlign w:val="center"/>
            <w:vMerge w:val="restart"/>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191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int="eastAsia"/>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M</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&lt;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500万元</w:t>
            </w:r>
          </w:p>
        </w:tc>
        <w:tc>
          <w:tcPr>
            <w:tcW w:w="1165"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0.30%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int="eastAsia"/>
                <w:color w:val="000000" w:themeColor="text1"/>
              </w:rPr>
              <w:t/>
            </w:r>
          </w:p>
        </w:tc>
      </w:tr>
      <w:tr w:rsidR="00AD3A6F" w:rsidTr="0074096A">
        <w:trPr>
          <w:trHeight w:val="454"/>
        </w:trPr>
        <w:tc>
          <w:tcPr>
            <w:tcW w:w="1392" w:type="pct"/>
            <w:vAlign w:val="center"/>
            <w:vMerge/>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191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M</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500万元</w:t>
            </w:r>
          </w:p>
        </w:tc>
        <w:tc>
          <w:tcPr>
            <w:tcW w:w="1165"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100元/笔</w:t>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按笔收取</w:t>
            </w:r>
          </w:p>
        </w:tc>
      </w:tr>
      <w:tr w:rsidR="00AD3A6F" w:rsidTr="0074096A">
        <w:trPr>
          <w:trHeight w:val="454"/>
        </w:trPr>
        <w:tc>
          <w:tcPr>
            <w:tcW w:w="1392" w:type="pct"/>
            <w:vAlign w:val="center"/>
            <w:vMerge w:val="restart"/>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191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int="eastAsia"/>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N</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&lt;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7日</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w:r>
          </w:p>
        </w:tc>
        <w:tc>
          <w:tcPr>
            <w:tcW w:w="1165"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1.50%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个人投资者</w:t>
            </w:r>
          </w:p>
        </w:tc>
      </w:tr>
      <w:tr w:rsidR="00AD3A6F" w:rsidTr="0074096A">
        <w:trPr>
          <w:trHeight w:val="454"/>
        </w:trPr>
        <w:tc>
          <w:tcPr>
            <w:tcW w:w="1392" w:type="pct"/>
            <w:vAlign w:val="center"/>
            <w:vMerge/>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191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N</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7日</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r>
          </w:p>
        </w:tc>
        <w:tc>
          <w:tcPr>
            <w:tcW w:w="1165"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0.00%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个人投资者</w:t>
            </w:r>
          </w:p>
        </w:tc>
      </w:tr>
      <w:tr w:rsidR="00AD3A6F" w:rsidTr="0074096A">
        <w:trPr>
          <w:trHeight w:val="454"/>
        </w:trPr>
        <w:tc>
          <w:tcPr>
            <w:tcW w:w="1392" w:type="pct"/>
            <w:vAlign w:val="center"/>
            <w:vMerge/>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191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N</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&lt;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7日</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r>
          </w:p>
        </w:tc>
        <w:tc>
          <w:tcPr>
            <w:tcW w:w="1165"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1.50%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机构投资者</w:t>
            </w:r>
          </w:p>
        </w:tc>
      </w:tr>
      <w:tr w:rsidR="00AD3A6F" w:rsidTr="0074096A">
        <w:trPr>
          <w:trHeight w:val="454"/>
        </w:trPr>
        <w:tc>
          <w:tcPr>
            <w:tcW w:w="1392" w:type="pct"/>
            <w:vAlign w:val="center"/>
            <w:vMerge/>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191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7日</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N</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&lt;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30日</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r>
          </w:p>
        </w:tc>
        <w:tc>
          <w:tcPr>
            <w:tcW w:w="1165"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1.00%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机构投资者</w:t>
            </w:r>
          </w:p>
        </w:tc>
      </w:tr>
      <w:tr w:rsidR="00AD3A6F" w:rsidTr="0074096A">
        <w:trPr>
          <w:trHeight w:val="454"/>
        </w:trPr>
        <w:tc>
          <w:tcPr>
            <w:tcW w:w="1392" w:type="pct"/>
            <w:vAlign w:val="center"/>
            <w:vMerge/>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191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30日</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N</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&lt;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180日</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r>
          </w:p>
        </w:tc>
        <w:tc>
          <w:tcPr>
            <w:tcW w:w="1165"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0.50%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机构投资者</w:t>
            </w:r>
          </w:p>
        </w:tc>
      </w:tr>
      <w:tr w:rsidR="00AD3A6F" w:rsidTr="0074096A">
        <w:trPr>
          <w:trHeight w:val="454"/>
        </w:trPr>
        <w:tc>
          <w:tcPr>
            <w:tcW w:w="1392" w:type="pct"/>
            <w:vAlign w:val="center"/>
            <w:vMerge/>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191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N</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180日</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r>
          </w:p>
        </w:tc>
        <w:tc>
          <w:tcPr>
            <w:tcW w:w="1165"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0.00%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机构投资者</w:t>
            </w:r>
          </w:p>
        </w:tc>
      </w:tr>
    </w:tbl>
    <w:p w:rsidR="00AD3A6F" w:rsidRDefault="00415D1E">
      <w:pPr>
        <w:autoSpaceDE w:val="0"/>
        <w:autoSpaceDN w:val="0"/>
        <w:adjustRightInd w:val="0"/>
        <w:spacing w:line="280" w:lineRule="exact"/>
        <w:jc w:val="left"/>
        <w:rPr>
          <w:rFonts w:ascii="方正仿宋简体" w:eastAsia="方正仿宋简体" w:hAnsi="方正仿宋简体" w:cs="方正仿宋简体"/>
          <w:iCs/>
          <w:color w:val="000000" w:themeColor="text1"/>
        </w:rPr>
      </w:pPr>
      <w:r w:rsidR="00A73782">
        <w:rPr>
          <w:rFonts w:ascii="方正仿宋简体" w:eastAsia="方正仿宋简体" w:hAnsi="方正仿宋简体" w:cs="方正仿宋简体" w:hint="eastAsia"/>
          <w:iCs/>
          <w:color w:val="000000" w:themeColor="text1"/>
        </w:rPr>
        <w:t>注：</w:t>
      </w:r>
      <w:r w:rsidR="00A73782">
        <w:rPr>
          <w:rFonts w:ascii="方正仿宋简体" w:eastAsia="方正仿宋简体" w:hAnsi="方正仿宋简体" w:cs="方正仿宋简体" w:hint="eastAsia"/>
          <w:iCs/>
          <w:color w:val="000000" w:themeColor="text1"/>
        </w:rPr>
        <w:t>1、上表认购费及申购费适用于投资者通过其他销售机构认购、申购本基金A类基金份额。</w:t>
        <w:br/>
        <w:t>2、通过直销机构认购、申购本基金A类基金份额的不收取认购费、申购费。</w:t>
      </w:r>
    </w:p>
    <w:p w:rsidR="00AD3A6F" w:rsidRDefault="00AD3A6F">
      <w:pPr>
        <w:spacing w:line="280" w:lineRule="exact"/>
        <w:rPr>
          <w:rFonts w:ascii="方正仿宋简体" w:eastAsia="方正仿宋简体" w:hAnsiTheme="minorEastAsia" w:cs="方正仿宋简体"/>
          <w:b/>
          <w:iCs/>
          <w:sz w:val="24"/>
          <w:szCs w:val="24"/>
        </w:rPr>
      </w:pPr>
    </w:p>
    <w:p w:rsidR="00AD3A6F"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基金运作相关费用</w:t>
      </w:r>
    </w:p>
    <w:p w:rsidR="00AD3A6F" w:rsidRDefault="00A73782">
      <w:pPr>
        <w:autoSpaceDE w:val="0"/>
        <w:autoSpaceDN w:val="0"/>
        <w:adjustRightInd w:val="0"/>
        <w:spacing w:line="280" w:lineRule="exact"/>
        <w:jc w:val="left"/>
        <w:rPr>
          <w:rFonts w:ascii="方正仿宋简体" w:eastAsia="方正仿宋简体" w:hAnsi="方正仿宋简体" w:cs="方正仿宋简体"/>
          <w:iCs/>
        </w:rPr>
      </w:pPr>
      <w:r>
        <w:rPr>
          <w:rFonts w:ascii="方正仿宋简体" w:eastAsia="方正仿宋简体" w:hint="eastAsia"/>
        </w:rPr>
        <w:t>以下</w:t>
      </w:r>
      <w:r>
        <w:rPr>
          <w:rFonts w:ascii="方正仿宋简体" w:eastAsia="方正仿宋简体" w:hAnsi="方正仿宋简体" w:cs="方正仿宋简体" w:hint="eastAsia"/>
          <w:iCs/>
        </w:rPr>
        <w:t>费用将从基金资产中扣除：</w:t>
      </w:r>
    </w:p>
    <w:tbl init-cell-address="true">
      <w:tblPr>
        <w:tblW w:w="5001"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427"/>
        <w:gridCol w:w="3050"/>
        <w:gridCol w:w="4470"/>
      </w:tblGrid>
      <w:tr w:rsidR="00AD3A6F" w:rsidTr="00114869">
        <w:trPr>
          <w:trHeight w:val="454"/>
        </w:trPr>
        <w:tc>
          <w:tcPr>
            <w:tcW w:w="1341" w:type="pct"/>
            <w:vAlign w:val="center"/>
          </w:tcPr>
          <w:p w:rsidR="00AD3A6F" w:rsidRDefault="00A73782">
            <w:pPr>
              <w:spacing w:line="280" w:lineRule="exact"/>
              <w:rPr>
                <w:rFonts w:ascii="方正仿宋简体" w:eastAsia="方正仿宋简体" w:hAnsi="方正仿宋简体" w:cs="方正仿宋简体"/>
                <w:b/>
                <w:bCs/>
              </w:rPr>
            </w:pPr>
            <w:r>
              <w:rPr>
                <w:rFonts w:ascii="方正仿宋简体" w:eastAsia="方正仿宋简体" w:hAnsi="方正仿宋简体" w:cs="方正仿宋简体" w:hint="eastAsia"/>
                <w:b/>
                <w:bCs/>
                <w:iCs/>
              </w:rPr>
              <w:t>费用类别</w:t>
            </w:r>
          </w:p>
        </w:tc>
        <w:tc>
          <w:tcPr>
            <w:tcW w:w="1117" w:type="pct"/>
            <w:vAlign w:val="center"/>
          </w:tcPr>
          <w:p w:rsidR="00AD3A6F" w:rsidRDefault="00A73782">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收费方式/年费率或金额</w:t>
            </w:r>
            <w:r w:rsidR="0024491E">
              <w:rPr>
                <w:rFonts w:ascii="方正仿宋简体" w:eastAsia="方正仿宋简体" w:hAnsi="方正仿宋简体" w:cs="方正仿宋简体" w:hint="eastAsia"/>
                <w:b/>
                <w:bCs/>
                <w:iCs/>
              </w:rPr>
              <w:t>（元）</w:t>
            </w:r>
          </w:p>
        </w:tc>
        <w:tc>
          <w:tcPr>
            <w:tcW w:w="2540" w:type="pct"/>
            <w:vAlign w:val="center"/>
          </w:tcPr>
          <w:p w:rsidR="00AD3A6F" w:rsidRDefault="009B0177">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收取</w:t>
            </w:r>
            <w:r w:rsidR="00A73782">
              <w:rPr>
                <w:rFonts w:ascii="方正仿宋简体" w:eastAsia="方正仿宋简体" w:hAnsi="方正仿宋简体" w:cs="方正仿宋简体" w:hint="eastAsia"/>
                <w:b/>
                <w:bCs/>
                <w:iCs/>
              </w:rPr>
              <w:t>方</w:t>
            </w:r>
          </w:p>
        </w:tc>
      </w:tr>
      <w:tr w:rsidR="000D2645" w:rsidTr="00114869">
        <w:trPr>
          <w:trHeight w:val="454"/>
        </w:trPr>
        <w:tc>
          <w:tcPr>
            <w:tcW w:w="1341" w:type="pct"/>
            <w:vAlign w:val="center"/>
          </w:tcPr>
          <w:p w:rsidR="000D2645" w:rsidRDefault="000D2645">
            <w:pPr>
              <w:spacing w:line="280" w:lineRule="exac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管理费</w:t>
            </w:r>
          </w:p>
        </w:tc>
        <w:tc>
          <w:tcPr>
            <w:tcW w:w="1117" w:type="pct"/>
            <w:vAlign w:val="center"/>
          </w:tcPr>
          <w:p w:rsidR="000D2645" w:rsidRDefault="00415D1E">
            <w:pPr>
              <w:spacing w:line="280" w:lineRule="exact"/>
              <w:jc w:val="center"/>
              <w:rPr>
                <w:rFonts w:ascii="方正仿宋简体" w:eastAsia="方正仿宋简体" w:hAnsi="方正仿宋简体" w:cs="方正仿宋简体"/>
                <w:bCs/>
                <w:iCs/>
              </w:rPr>
            </w:pPr>
            <w:r w:rsidR="000D2645">
              <w:rPr>
                <w:rFonts w:ascii="方正仿宋简体" w:eastAsia="方正仿宋简体" w:hint="eastAsia"/>
                <w:color w:val="333399"/>
              </w:rPr>
              <w:t/>
            </w:r>
            <w:r w:rsidR="000D2645">
              <w:rPr>
                <w:rFonts w:ascii="方正仿宋简体" w:eastAsia="方正仿宋简体" w:hAnsi="方正仿宋简体" w:cs="方正仿宋简体" w:hint="eastAsia"/>
                <w:bCs/>
                <w:iCs/>
              </w:rPr>
              <w:t xml:space="preserve"> </w:t>
            </w:r>
            <w:r w:rsidR="000D2645">
              <w:rPr>
                <w:rFonts w:ascii="方正仿宋简体" w:eastAsia="方正仿宋简体" w:hAnsi="方正仿宋简体" w:cs="方正仿宋简体" w:hint="eastAsia"/>
                <w:bCs/>
                <w:iCs/>
              </w:rPr>
              <w:t>0.15%</w:t>
            </w:r>
          </w:p>
        </w:tc>
        <w:tc>
          <w:tcPr>
            <w:tcW w:w="2540" w:type="pct"/>
            <w:vAlign w:val="center"/>
          </w:tcPr>
          <w:p w:rsidR="000D2645" w:rsidRDefault="00415D1E" w:rsidP="000D2645">
            <w:pPr>
              <w:spacing w:line="280" w:lineRule="exact"/>
              <w:jc w:val="center"/>
              <w:rPr>
                <w:rFonts w:ascii="方正仿宋简体" w:eastAsia="方正仿宋简体" w:hAnsi="方正仿宋简体" w:cs="方正仿宋简体"/>
                <w:bCs/>
                <w:iCs/>
              </w:rPr>
            </w:pPr>
            <w:r w:rsidR="000D2645">
              <w:rPr>
                <w:rFonts w:ascii="方正仿宋简体" w:eastAsia="方正仿宋简体" w:hAnsi="方正仿宋简体" w:cs="方正仿宋简体" w:hint="eastAsia"/>
                <w:bCs/>
                <w:iCs/>
              </w:rPr>
              <w:t>基金管理人、销售机构</w:t>
            </w:r>
          </w:p>
        </w:tc>
      </w:tr>
      <w:tr w:rsidR="00AD3A6F" w:rsidTr="00114869">
        <w:trPr>
          <w:trHeight w:val="454"/>
        </w:trPr>
        <w:tc>
          <w:tcPr>
            <w:tcW w:w="1341" w:type="pct"/>
            <w:vAlign w:val="center"/>
          </w:tcPr>
          <w:p w:rsidR="00AD3A6F" w:rsidRDefault="00A73782">
            <w:pPr>
              <w:spacing w:line="280" w:lineRule="exact"/>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托管费</w:t>
            </w:r>
          </w:p>
        </w:tc>
        <w:tc>
          <w:tcPr>
            <w:tcW w:w="1117" w:type="pct"/>
            <w:vAlign w:val="center"/>
          </w:tcPr>
          <w:p w:rsidR="00AD3A6F" w:rsidRDefault="00415D1E">
            <w:pPr>
              <w:spacing w:line="280" w:lineRule="exact"/>
              <w:jc w:val="center"/>
              <w:rPr>
                <w:rFonts w:ascii="方正仿宋简体" w:eastAsia="方正仿宋简体" w:hAnsiTheme="minorEastAsia" w:cs="方正仿宋简体"/>
                <w:bCs/>
                <w:iCs/>
              </w:rPr>
            </w:pPr>
            <w:r w:rsidR="00A73782">
              <w:rPr>
                <w:rFonts w:ascii="方正仿宋简体" w:eastAsia="方正仿宋简体" w:hint="eastAsia"/>
                <w:color w:val="333399"/>
              </w:rPr>
              <w:t/>
            </w:r>
            <w:r w:rsidR="00A73782">
              <w:rPr>
                <w:rFonts w:ascii="方正仿宋简体" w:eastAsia="方正仿宋简体" w:hAnsiTheme="minorEastAsia" w:cs="方正仿宋简体" w:hint="eastAsia"/>
                <w:bCs/>
                <w:iCs/>
              </w:rPr>
              <w:t xml:space="preserve"> </w:t>
            </w:r>
            <w:r w:rsidR="00A73782">
              <w:rPr>
                <w:rFonts w:ascii="方正仿宋简体" w:eastAsia="方正仿宋简体" w:hAnsiTheme="minorEastAsia" w:cs="方正仿宋简体" w:hint="eastAsia"/>
                <w:bCs/>
                <w:iCs/>
              </w:rPr>
              <w:t>0.05%</w:t>
            </w:r>
          </w:p>
        </w:tc>
        <w:tc>
          <w:tcPr>
            <w:tcW w:w="2540" w:type="pct"/>
            <w:vAlign w:val="center"/>
          </w:tcPr>
          <w:p w:rsidR="00AD3A6F" w:rsidRDefault="00A73782">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基金托管人</w:t>
            </w:r>
          </w:p>
        </w:tc>
      </w:tr>
      <w:tr w:rsidR="00AD3A6F" w:rsidTr="00114869">
        <w:trPr>
          <w:trHeight w:val="454"/>
        </w:trPr>
        <w:tc>
          <w:tcPr>
            <w:tcW w:w="1341" w:type="pct"/>
            <w:vAlign w:val="center"/>
          </w:tcPr>
          <w:p w:rsidR="00AD3A6F" w:rsidRDefault="00A73782">
            <w:pPr>
              <w:spacing w:line="280" w:lineRule="exact"/>
              <w:rPr>
                <w:rFonts w:ascii="方正仿宋简体" w:eastAsia="方正仿宋简体" w:hAnsi="方正仿宋简体" w:cs="方正仿宋简体"/>
                <w:iCs/>
              </w:rPr>
            </w:pPr>
            <w:r>
              <w:rPr>
                <w:rFonts w:ascii="方正仿宋简体" w:eastAsia="方正仿宋简体" w:hAnsi="方正仿宋简体" w:cs="方正仿宋简体" w:hint="eastAsia"/>
                <w:iCs/>
              </w:rPr>
              <w:t>其他费用</w:t>
            </w:r>
          </w:p>
        </w:tc>
        <w:tc>
          <w:tcPr>
            <w:tcW w:w="1117" w:type="pct"/>
            <w:vAlign w:val="center"/>
          </w:tcPr>
          <w:p w:rsidR="00AD3A6F" w:rsidRDefault="00415D1E">
            <w:pPr>
              <w:spacing w:line="280" w:lineRule="exact"/>
              <w:jc w:val="center"/>
              <w:rPr>
                <w:rFonts w:ascii="方正仿宋简体" w:eastAsia="方正仿宋简体" w:hAnsiTheme="minorEastAsia" w:cs="方正仿宋简体"/>
                <w:bCs/>
                <w:iCs/>
              </w:rPr>
            </w:pPr>
            <w:r w:rsidR="00A73782">
              <w:rPr>
                <w:rFonts w:ascii="方正仿宋简体" w:eastAsia="方正仿宋简体" w:hAnsiTheme="minorEastAsia" w:cs="方正仿宋简体" w:hint="eastAsia"/>
                <w:bCs/>
                <w:iCs/>
              </w:rPr>
              <w:t>其他按照国家有关规定和《基金合同》约定可以在基金财产中列支的费用</w:t>
            </w:r>
            <w:r w:rsidR="00A73782">
              <w:rPr>
                <w:rFonts w:ascii="方正仿宋简体" w:eastAsia="方正仿宋简体" w:hAnsiTheme="minorEastAsia" w:cs="方正仿宋简体" w:hint="eastAsia"/>
                <w:bCs/>
                <w:iCs/>
              </w:rPr>
              <w:t xml:space="preserve"> </w:t>
            </w:r>
            <w:r w:rsidR="00A73782">
              <w:rPr>
                <w:rFonts w:ascii="方正仿宋简体" w:eastAsia="方正仿宋简体" w:hint="eastAsia"/>
                <w:color w:val="333399"/>
              </w:rPr>
              <w:t/>
            </w:r>
            <w:r w:rsidR="00A73782">
              <w:rPr>
                <w:rFonts w:ascii="方正仿宋简体" w:eastAsia="方正仿宋简体" w:hAnsiTheme="minorEastAsia" w:cs="方正仿宋简体" w:hint="eastAsia"/>
                <w:bCs/>
                <w:iCs/>
              </w:rPr>
              <w:t xml:space="preserve"> </w:t>
            </w:r>
            <w:r w:rsidR="00A73782">
              <w:rPr>
                <w:rFonts w:hint="eastAsia"/>
                <w:color w:val="333399"/>
              </w:rPr>
              <w:t/>
            </w:r>
          </w:p>
        </w:tc>
        <w:tc>
          <w:tcPr>
            <w:tcW w:w="2540" w:type="pct"/>
            <w:vAlign w:val="center"/>
          </w:tcPr>
          <w:p w:rsidR="00AD3A6F" w:rsidRDefault="00A73782">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相关服务机构</w:t>
            </w:r>
          </w:p>
        </w:tc>
      </w:tr>
    </w:tbl>
    <w:p w:rsidR="00AD3A6F" w:rsidRDefault="00DE40A4">
      <w:pPr>
        <w:autoSpaceDE w:val="0"/>
        <w:autoSpaceDN w:val="0"/>
        <w:adjustRightInd w:val="0"/>
        <w:spacing w:line="280" w:lineRule="exact"/>
        <w:jc w:val="lef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注：1、本基金基金财产中投资于目标ETF的部分不收取管理费。本基金基金财产中投资于目标ETF的部分不收取托管费。</w:t>
      </w:r>
    </w:p>
    <w:p w:rsidR="00AD3A6F" w:rsidRDefault="00DE40A4">
      <w:pPr>
        <w:autoSpaceDE w:val="0"/>
        <w:autoSpaceDN w:val="0"/>
        <w:adjustRightInd w:val="0"/>
        <w:spacing w:line="280" w:lineRule="exact"/>
        <w:jc w:val="lef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2、本基金交易证券、基金等产生的费用和税负，按实际发生额从基金资产扣除。</w:t>
      </w:r>
    </w:p>
    <!--PH-->
    <w:p w:rsidR="00AD3A6F" w:rsidRDefault="00AD3A6F">
      <w:pPr>
        <w:autoSpaceDE w:val="0"/>
        <w:autoSpaceDN w:val="0"/>
        <w:adjustRightInd w:val="0"/>
        <w:spacing w:line="280" w:lineRule="exact"/>
        <w:jc w:val="left"/>
        <w:rPr>
          <w:rFonts w:ascii="方正仿宋简体" w:eastAsia="方正仿宋简体" w:hAnsiTheme="minorEastAsia" w:cs="仿宋_GB2312"/>
          <w:kern w:val="0"/>
          <w:szCs w:val="24"/>
        </w:rPr>
      </w:pPr>
    </w:p>
    <w:p w:rsidR="00AD3A6F" w:rsidRDefault="00A73782" gbicc:emptyAbove="1" gbicc:outlineLvl="0" gbicc:pid="23">
      <w:pPr gbicc:listString="四、" gbicc:numText="%1、" gbicc:numFmt="C" gbicc:numVal="4" gbicc:numId="10">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风险揭示与重要提示</w:t>
      </w:r>
    </w:p>
    <w:p w:rsidR="00AD3A6F" w:rsidRDefault="00A73782" gbicc:outlineLvl="1" gbicc:pid="24">
      <w:pPr>
        <w:spacing w:line="280" w:lineRule="exact"/>
        <w:outlineLvl w:val="1"/>
        <w:rPr>
          <w:rFonts w:ascii="方正仿宋简体" w:eastAsia="方正仿宋简体" w:hAnsi="宋体"/>
          <w:color w:val="0000FF"/>
          <w:kern w:val="0"/>
          <w:sz w:val="18"/>
        </w:rPr>
      </w:pPr>
      <w:r>
        <w:rPr>
          <w:rFonts w:ascii="方正仿宋简体" w:eastAsia="方正仿宋简体" w:hAnsi="方正仿宋简体" w:cs="方正仿宋简体" w:hint="eastAsia"/>
          <w:b/>
          <w:bCs/>
          <w:iCs/>
          <w:sz w:val="24"/>
          <w:szCs w:val="24"/>
        </w:rPr>
        <w:t>（一）风险揭示</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b w:val="1"/>
          <w:bCs w:val="1"/>
        </w:rPr>
        <w:t xml:space="preserve">本基金不提供任何保证。投资者可能损失投资本金。</w:t>
      </w:r>
      <w:r>
        <w:rPr>
          <w:rFonts w:ascii="方正仿宋简体" w:eastAsia="方正仿宋简体" w:hAnsi="方正仿宋简体" w:cs="方正仿宋简体" w:hint="eastAsia"/>
          <w:iCs/>
        </w:rPr>
        <w:t xml:space="preserve"/>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b w:val="1"/>
          <w:bCs w:val="1"/>
        </w:rPr>
        <w:t xml:space="preserve">投资有风险，投资者购买基金时应认真阅读本基金的招募说明书等销售文件。</w:t>
      </w:r>
      <w:r>
        <w:rPr>
          <w:rFonts w:ascii="方正仿宋简体" w:eastAsia="方正仿宋简体" w:hAnsi="方正仿宋简体" w:cs="方正仿宋简体" w:hint="eastAsia"/>
          <w:iCs/>
        </w:rPr>
        <w:t xml:space="preserve"/>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本基金面临的主要风险有系统性风险、非系统性风险、运作管理风险、流动性风险、本基金特定风险、本基金法律文件中涉及基金风险特征的表述与销售机构对基金的风险评级可能不一致的风险和其他风险等。</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本基金特定风险包括：1、目标ETF的风险；2、与目标ETF业绩差异的风险；3、标的指数的风险；4、跟踪偏离风险及跟踪误差控制未达约定目标的风险；5、指数编制机构停止服务的风险；6、投资资产支持证券的风险；7、投资股指期货的风险；8、投资国债期货的风险；9、投资股票期权的风险；10、投资存托凭证的风险；11、参与融资业务的风险；12、参与转融通证券出借业务的风险；13、投资科创板股票的风险；14、基金合同提前终止的风险等。本基金的一般风险及特定风险详见招募说明书的“风险揭示”部分。</w:t>
      </w:r>
    </w:p>
    <w:p w:rsidR="00AD3A6F" w:rsidRDefault="00A73782" gbicc:outlineLvl="1" gbicc:pid="25">
      <w:pPr>
        <w:spacing w:line="280" w:lineRule="exact"/>
        <w:outlineLvl w:val="1"/>
        <w:rPr>
          <w:rFonts w:ascii="方正仿宋简体" w:eastAsia="方正仿宋简体" w:hAnsi="方正仿宋简体" w:cs="方正仿宋简体"/>
          <w:b/>
          <w:iCs/>
          <w:sz w:val="22"/>
          <w:szCs w:val="24"/>
        </w:rPr>
      </w:pPr>
      <w:r>
        <w:rPr>
          <w:rFonts w:ascii="方正仿宋简体" w:eastAsia="方正仿宋简体" w:hAnsi="方正仿宋简体" w:cs="方正仿宋简体" w:hint="eastAsia"/>
          <w:b/>
          <w:iCs/>
          <w:sz w:val="24"/>
          <w:szCs w:val="24"/>
        </w:rPr>
        <w:t>（二）重要提示</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中国证监会对本基金募集的注册，并不表明其对本基金的投资价值、市场前景和收益做出实质性判断或保证，也不表明投资于本基金没有风险。</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基金管理人依照恪尽职守、诚实信用、谨慎勤勉的原则管理和运用基金财产，但不保证投资于本基金一定盈利，也不保证最低收益。</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基金投资者自依基金合同取得基金份额，即成为基金份额持有人和基金合同的当事人。</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因《基金合同》而产生的或与《基金合同》有关的一切争议，应经友好协商解决。如经友好协商未能解决的，任何一方均有权按《基金合同》的约定提交仲裁，仲裁机构见《基金合同》。</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D3A6F" w:rsidRDefault="00AD3A6F">
      <w:pPr>
        <w:autoSpaceDE w:val="0"/>
        <w:autoSpaceDN w:val="0"/>
        <w:adjustRightInd w:val="0"/>
        <w:spacing w:line="280" w:lineRule="exact"/>
        <w:jc w:val="left"/>
        <w:rPr>
          <w:rFonts w:ascii="方正仿宋简体" w:eastAsia="方正仿宋简体"/>
        </w:rPr>
      </w:pPr>
    </w:p>
    <w:p w:rsidR="00AD3A6F" w:rsidRDefault="00A73782" gbicc:emptyAbove="1" gbicc:outlineLvl="0" gbicc:pid="26">
      <w:pPr gbicc:listString="五、" gbicc:numText="%1、" gbicc:numFmt="C" gbicc:numVal="5" gbicc:numId="10">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其他资料查询方式</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以下资料详见基金管理人网站www.gtfund.com或咨询客服电话：400-888-8688</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1、基金合同、托管协议、招募说明书及更新</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2、定期报告，包括基金季度报告、中期报告和年度报告</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3、基金份额净值</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4、基金销售机构及联系方式</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5、其他重要资料</w:t>
      </w:r>
    </w:p>
    <w:p w:rsidR="00AD3A6F" w:rsidRDefault="00AD3A6F">
      <w:pPr>
        <w:autoSpaceDE w:val="0"/>
        <w:autoSpaceDN w:val="0"/>
        <w:adjustRightInd w:val="0"/>
        <w:spacing w:line="280" w:lineRule="exact"/>
        <w:jc w:val="left"/>
        <w:rPr>
          <w:rFonts w:ascii="方正仿宋简体" w:eastAsia="方正仿宋简体"/>
        </w:rPr>
      </w:pPr>
    </w:p>
    <w:sectPr w:rsidR="00AD3A6F">
      <w:foot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D1E" w:rsidRDefault="00415D1E" w:rsidP="0092395F">
      <w:r>
        <w:separator/>
      </w:r>
    </w:p>
  </w:endnote>
  <w:endnote w:type="continuationSeparator" w:id="0">
    <w:p w:rsidR="00415D1E" w:rsidRDefault="00415D1E"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黑体简体">
    <w:altName w:val="黑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090415" w:rsidRDefault="00090415" w:rsidP="0025315A">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F608D">
              <w:rPr>
                <w:b/>
                <w:bCs/>
                <w:noProof/>
              </w:rPr>
              <w:t>24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F608D">
              <w:rPr>
                <w:b/>
                <w:bCs/>
                <w:noProof/>
              </w:rPr>
              <w:t>24</w:t>
            </w:r>
            <w:r>
              <w:rPr>
                <w:b/>
                <w:bCs/>
                <w:sz w:val="24"/>
                <w:szCs w:val="24"/>
              </w:rPr>
              <w:fldChar w:fldCharType="end"/>
            </w:r>
          </w:p>
        </w:sdtContent>
      </w:sdt>
    </w:sdtContent>
  </w:sdt>
  <w:p w:rsidR="00090415" w:rsidRDefault="0009041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D1E" w:rsidRDefault="00415D1E" w:rsidP="0092395F">
      <w:r>
        <w:separator/>
      </w:r>
    </w:p>
  </w:footnote>
  <w:footnote w:type="continuationSeparator" w:id="0">
    <w:p w:rsidR="00415D1E" w:rsidRDefault="00415D1E" w:rsidP="009239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C21FE0E"/>
    <w:multiLevelType w:val="singleLevel"/>
    <w:tmpl w:val="5C21FE0E"/>
    <w:lvl w:ilvl="0">
      <w:start w:val="2"/>
      <w:numFmt w:val="chineseCounting"/>
      <w:suff w:val="nothing"/>
      <w:lvlText w:val="（%1）"/>
      <w:lvlJc w:val="left"/>
    </w:lvl>
  </w:abstractNum>
  <w:abstractNum w:abstractNumId="15">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09ED"/>
    <w:rsid w:val="00002B50"/>
    <w:rsid w:val="00002F33"/>
    <w:rsid w:val="000034E5"/>
    <w:rsid w:val="00003561"/>
    <w:rsid w:val="000035EA"/>
    <w:rsid w:val="00004180"/>
    <w:rsid w:val="00006EAF"/>
    <w:rsid w:val="0000736D"/>
    <w:rsid w:val="0000782B"/>
    <w:rsid w:val="00010B3E"/>
    <w:rsid w:val="00015DD4"/>
    <w:rsid w:val="00017721"/>
    <w:rsid w:val="00021E5D"/>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14B"/>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415"/>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869"/>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6E52"/>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491E"/>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5142"/>
    <w:rsid w:val="00415D1E"/>
    <w:rsid w:val="00416169"/>
    <w:rsid w:val="00417B28"/>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2F02"/>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E75AF"/>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156"/>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8749C"/>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441"/>
    <w:rsid w:val="006F5DDA"/>
    <w:rsid w:val="006F608D"/>
    <w:rsid w:val="006F6174"/>
    <w:rsid w:val="006F644F"/>
    <w:rsid w:val="006F763D"/>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122BD"/>
    <w:rsid w:val="00812E6B"/>
    <w:rsid w:val="00813E00"/>
    <w:rsid w:val="00815911"/>
    <w:rsid w:val="00815EFB"/>
    <w:rsid w:val="008166FA"/>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5CA5"/>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177"/>
    <w:rsid w:val="009B05A4"/>
    <w:rsid w:val="009B0BD9"/>
    <w:rsid w:val="009B2CE3"/>
    <w:rsid w:val="009B53D8"/>
    <w:rsid w:val="009B614F"/>
    <w:rsid w:val="009C1EDC"/>
    <w:rsid w:val="009C2834"/>
    <w:rsid w:val="009C371A"/>
    <w:rsid w:val="009C4762"/>
    <w:rsid w:val="009C4B20"/>
    <w:rsid w:val="009C7436"/>
    <w:rsid w:val="009D12E0"/>
    <w:rsid w:val="009E0049"/>
    <w:rsid w:val="009E0228"/>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0E67"/>
    <w:rsid w:val="00B31ADA"/>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6614"/>
    <w:rsid w:val="00BF00D2"/>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2DB2"/>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40A4"/>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3EB2"/>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3062E"/>
    <w:rsid w:val="00F31D45"/>
    <w:rsid w:val="00F327CF"/>
    <w:rsid w:val="00F3394C"/>
    <w:rsid w:val="00F33EAB"/>
    <w:rsid w:val="00F344DE"/>
    <w:rsid w:val="00F35135"/>
    <w:rsid w:val="00F35DFB"/>
    <w:rsid w:val="00F363C5"/>
    <w:rsid w:val="00F377ED"/>
    <w:rsid w:val="00F37CF5"/>
    <w:rsid w:val="00F4038A"/>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037CB"/>
    <w:pPr>
      <w:widowControl w:val="0"/>
      <w:jc w:val="both"/>
    </w:pPr>
  </w:style>
  <w:style w:type="paragraph" w:styleId="1">
    <w:name w:val="heading 1"/>
    <w:basedOn w:val="a4"/>
    <w:next w:val="a4"/>
    <w:link w:val="1Char"/>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Char"/>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5"/>
    <w:link w:val="aa"/>
    <w:uiPriority w:val="99"/>
    <w:rsid w:val="0092395F"/>
    <w:rPr>
      <w:sz w:val="18"/>
      <w:szCs w:val="18"/>
    </w:rPr>
  </w:style>
  <w:style w:type="paragraph" w:styleId="ab">
    <w:name w:val="footer"/>
    <w:basedOn w:val="a4"/>
    <w:link w:val="Char0"/>
    <w:uiPriority w:val="99"/>
    <w:unhideWhenUsed/>
    <w:rsid w:val="0092395F"/>
    <w:pPr>
      <w:tabs>
        <w:tab w:val="center" w:pos="4153"/>
        <w:tab w:val="right" w:pos="8306"/>
      </w:tabs>
      <w:snapToGrid w:val="0"/>
      <w:jc w:val="left"/>
    </w:pPr>
    <w:rPr>
      <w:sz w:val="18"/>
      <w:szCs w:val="18"/>
    </w:rPr>
  </w:style>
  <w:style w:type="character" w:customStyle="1" w:styleId="Char0">
    <w:name w:val="页脚 Char"/>
    <w:basedOn w:val="a5"/>
    <w:link w:val="ab"/>
    <w:uiPriority w:val="99"/>
    <w:rsid w:val="0092395F"/>
    <w:rPr>
      <w:sz w:val="18"/>
      <w:szCs w:val="18"/>
    </w:rPr>
  </w:style>
  <w:style w:type="paragraph" w:styleId="ac">
    <w:name w:val="Balloon Text"/>
    <w:basedOn w:val="a4"/>
    <w:link w:val="Char1"/>
    <w:uiPriority w:val="99"/>
    <w:semiHidden/>
    <w:unhideWhenUsed/>
    <w:rsid w:val="000676AA"/>
    <w:rPr>
      <w:sz w:val="18"/>
      <w:szCs w:val="18"/>
    </w:rPr>
  </w:style>
  <w:style w:type="character" w:customStyle="1" w:styleId="Char1">
    <w:name w:val="批注框文本 Char"/>
    <w:basedOn w:val="a5"/>
    <w:link w:val="ac"/>
    <w:uiPriority w:val="99"/>
    <w:semiHidden/>
    <w:rsid w:val="000676AA"/>
    <w:rPr>
      <w:sz w:val="18"/>
      <w:szCs w:val="18"/>
    </w:rPr>
  </w:style>
  <w:style w:type="character" w:styleId="ad">
    <w:name w:val="Placeholder Text"/>
    <w:basedOn w:val="a5"/>
    <w:uiPriority w:val="99"/>
    <w:semiHidden/>
    <w:rsid w:val="008B7E39"/>
    <w:rPr>
      <w:color w:val="808080"/>
    </w:rPr>
  </w:style>
  <w:style w:type="character" w:styleId="ae">
    <w:name w:val="footnote reference"/>
    <w:unhideWhenUsed/>
    <w:qFormat/>
    <w:rsid w:val="00CC22C3"/>
    <w:rPr>
      <w:rFonts w:ascii="Times New Roman" w:eastAsia="宋体" w:hAnsi="Times New Roman" w:cs="Times New Roman"/>
      <w:vertAlign w:val="superscript"/>
    </w:rPr>
  </w:style>
  <w:style w:type="paragraph" w:styleId="af">
    <w:name w:val="footnote text"/>
    <w:basedOn w:val="a4"/>
    <w:link w:val="Char2"/>
    <w:unhideWhenUsed/>
    <w:qFormat/>
    <w:rsid w:val="00CC22C3"/>
    <w:pPr>
      <w:snapToGrid w:val="0"/>
      <w:jc w:val="left"/>
    </w:pPr>
    <w:rPr>
      <w:rFonts w:ascii="Calibri" w:eastAsia="宋体" w:hAnsi="Calibri" w:cs="Times New Roman"/>
      <w:sz w:val="18"/>
      <w:szCs w:val="24"/>
    </w:rPr>
  </w:style>
  <w:style w:type="character" w:customStyle="1" w:styleId="Char2">
    <w:name w:val="脚注文本 Char"/>
    <w:basedOn w:val="a5"/>
    <w:link w:val="af"/>
    <w:qFormat/>
    <w:rsid w:val="00CC22C3"/>
    <w:rPr>
      <w:rFonts w:ascii="Calibri" w:eastAsia="宋体" w:hAnsi="Calibri" w:cs="Times New Roman"/>
      <w:sz w:val="18"/>
      <w:szCs w:val="24"/>
    </w:rPr>
  </w:style>
  <w:style w:type="character" w:customStyle="1" w:styleId="1Char">
    <w:name w:val="标题 1 Char"/>
    <w:basedOn w:val="a5"/>
    <w:link w:val="1"/>
    <w:uiPriority w:val="9"/>
    <w:rsid w:val="0006758E"/>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037CB"/>
    <w:pPr>
      <w:widowControl w:val="0"/>
      <w:jc w:val="both"/>
    </w:pPr>
  </w:style>
  <w:style w:type="paragraph" w:styleId="1">
    <w:name w:val="heading 1"/>
    <w:basedOn w:val="a4"/>
    <w:next w:val="a4"/>
    <w:link w:val="1Char"/>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Char"/>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5"/>
    <w:link w:val="aa"/>
    <w:uiPriority w:val="99"/>
    <w:rsid w:val="0092395F"/>
    <w:rPr>
      <w:sz w:val="18"/>
      <w:szCs w:val="18"/>
    </w:rPr>
  </w:style>
  <w:style w:type="paragraph" w:styleId="ab">
    <w:name w:val="footer"/>
    <w:basedOn w:val="a4"/>
    <w:link w:val="Char0"/>
    <w:uiPriority w:val="99"/>
    <w:unhideWhenUsed/>
    <w:rsid w:val="0092395F"/>
    <w:pPr>
      <w:tabs>
        <w:tab w:val="center" w:pos="4153"/>
        <w:tab w:val="right" w:pos="8306"/>
      </w:tabs>
      <w:snapToGrid w:val="0"/>
      <w:jc w:val="left"/>
    </w:pPr>
    <w:rPr>
      <w:sz w:val="18"/>
      <w:szCs w:val="18"/>
    </w:rPr>
  </w:style>
  <w:style w:type="character" w:customStyle="1" w:styleId="Char0">
    <w:name w:val="页脚 Char"/>
    <w:basedOn w:val="a5"/>
    <w:link w:val="ab"/>
    <w:uiPriority w:val="99"/>
    <w:rsid w:val="0092395F"/>
    <w:rPr>
      <w:sz w:val="18"/>
      <w:szCs w:val="18"/>
    </w:rPr>
  </w:style>
  <w:style w:type="paragraph" w:styleId="ac">
    <w:name w:val="Balloon Text"/>
    <w:basedOn w:val="a4"/>
    <w:link w:val="Char1"/>
    <w:uiPriority w:val="99"/>
    <w:semiHidden/>
    <w:unhideWhenUsed/>
    <w:rsid w:val="000676AA"/>
    <w:rPr>
      <w:sz w:val="18"/>
      <w:szCs w:val="18"/>
    </w:rPr>
  </w:style>
  <w:style w:type="character" w:customStyle="1" w:styleId="Char1">
    <w:name w:val="批注框文本 Char"/>
    <w:basedOn w:val="a5"/>
    <w:link w:val="ac"/>
    <w:uiPriority w:val="99"/>
    <w:semiHidden/>
    <w:rsid w:val="000676AA"/>
    <w:rPr>
      <w:sz w:val="18"/>
      <w:szCs w:val="18"/>
    </w:rPr>
  </w:style>
  <w:style w:type="character" w:styleId="ad">
    <w:name w:val="Placeholder Text"/>
    <w:basedOn w:val="a5"/>
    <w:uiPriority w:val="99"/>
    <w:semiHidden/>
    <w:rsid w:val="008B7E39"/>
    <w:rPr>
      <w:color w:val="808080"/>
    </w:rPr>
  </w:style>
  <w:style w:type="character" w:styleId="ae">
    <w:name w:val="footnote reference"/>
    <w:unhideWhenUsed/>
    <w:qFormat/>
    <w:rsid w:val="00CC22C3"/>
    <w:rPr>
      <w:rFonts w:ascii="Times New Roman" w:eastAsia="宋体" w:hAnsi="Times New Roman" w:cs="Times New Roman"/>
      <w:vertAlign w:val="superscript"/>
    </w:rPr>
  </w:style>
  <w:style w:type="paragraph" w:styleId="af">
    <w:name w:val="footnote text"/>
    <w:basedOn w:val="a4"/>
    <w:link w:val="Char2"/>
    <w:unhideWhenUsed/>
    <w:qFormat/>
    <w:rsid w:val="00CC22C3"/>
    <w:pPr>
      <w:snapToGrid w:val="0"/>
      <w:jc w:val="left"/>
    </w:pPr>
    <w:rPr>
      <w:rFonts w:ascii="Calibri" w:eastAsia="宋体" w:hAnsi="Calibri" w:cs="Times New Roman"/>
      <w:sz w:val="18"/>
      <w:szCs w:val="24"/>
    </w:rPr>
  </w:style>
  <w:style w:type="character" w:customStyle="1" w:styleId="Char2">
    <w:name w:val="脚注文本 Char"/>
    <w:basedOn w:val="a5"/>
    <w:link w:val="af"/>
    <w:qFormat/>
    <w:rsid w:val="00CC22C3"/>
    <w:rPr>
      <w:rFonts w:ascii="Calibri" w:eastAsia="宋体" w:hAnsi="Calibri" w:cs="Times New Roman"/>
      <w:sz w:val="18"/>
      <w:szCs w:val="24"/>
    </w:rPr>
  </w:style>
  <w:style w:type="character" w:customStyle="1" w:styleId="1Char">
    <w:name w:val="标题 1 Char"/>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
<Relationships xmlns="http://schemas.openxmlformats.org/package/2006/relationships">
<Relationship Id="rId10" Target="endnotes.xml" Type="http://schemas.openxmlformats.org/officeDocument/2006/relationships/endnotes"/>
<Relationship Id="rId11" Target="media/image1.png" Type="http://schemas.openxmlformats.org/officeDocument/2006/relationships/image"/>
<Relationship Id="rId28" Target="footer1.xml" Type="http://schemas.openxmlformats.org/officeDocument/2006/relationships/footer"/>
<Relationship Id="rId29" Target="fontTable.xml" Type="http://schemas.openxmlformats.org/officeDocument/2006/relationships/fontTable"/>
<Relationship Id="rId3" Target="../customXml/item3.xml" Type="http://schemas.openxmlformats.org/officeDocument/2006/relationships/customXml"/>
<Relationship Id="rId30" Target="glossary/document.xml" Type="http://schemas.openxmlformats.org/officeDocument/2006/relationships/glossaryDocument"/>
<Relationship Id="rId31"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no"?>
<Relationships xmlns="http://schemas.openxmlformats.org/package/2006/relationships">
<Relationship Id="rId1" Target="file:///C:/Users/Administrator/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
      <w:docPartPr>
        <w:name w:val="226CE6674A1D462090065CECAAD25E11"/>
        <w:category>
          <w:name w:val="常规"/>
          <w:gallery w:val="placeholder"/>
        </w:category>
        <w:types>
          <w:type w:val="bbPlcHdr"/>
        </w:types>
        <w:behaviors>
          <w:behavior w:val="content"/>
        </w:behaviors>
        <w:guid w:val="{D32689FC-521E-4021-B741-1667A0E74F50}"/>
      </w:docPartPr>
      <w:docPartBody>
        <w:p w:rsidR="00715015" w:rsidRDefault="00364A80" w:rsidP="00364A80">
          <w:pPr>
            <w:pStyle w:val="226CE6674A1D462090065CECAAD25E11"/>
          </w:pPr>
          <w:r w:rsidRPr="003F6076">
            <w:rPr>
              <w:rStyle w:val="a3"/>
              <w:rFonts w:hint="eastAsia"/>
            </w:rPr>
            <w:t>（空）</w:t>
          </w:r>
        </w:p>
      </w:docPartBody>
    </w:docPart>
    <w:docPart>
      <w:docPartPr>
        <w:name w:val="F1CB97DE94C74B4296CAEE6150D5030D"/>
        <w:category>
          <w:name w:val="常规"/>
          <w:gallery w:val="placeholder"/>
        </w:category>
        <w:types>
          <w:type w:val="bbPlcHdr"/>
        </w:types>
        <w:behaviors>
          <w:behavior w:val="content"/>
        </w:behaviors>
        <w:guid w:val="{AC8BADDC-94BF-474E-8863-FA53FEB19B8B}"/>
      </w:docPartPr>
      <w:docPartBody>
        <w:p w:rsidR="00715015" w:rsidRDefault="00364A80" w:rsidP="00364A80">
          <w:pPr>
            <w:pStyle w:val="F1CB97DE94C74B4296CAEE6150D5030D"/>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黑体简体">
    <w:altName w:val="黑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F2290"/>
    <w:rsid w:val="000F2FFF"/>
    <w:rsid w:val="001123EE"/>
    <w:rsid w:val="00112FFF"/>
    <w:rsid w:val="0011621F"/>
    <w:rsid w:val="00116BAE"/>
    <w:rsid w:val="00121599"/>
    <w:rsid w:val="00127EA3"/>
    <w:rsid w:val="00143A5E"/>
    <w:rsid w:val="001463F3"/>
    <w:rsid w:val="00164D29"/>
    <w:rsid w:val="001672F9"/>
    <w:rsid w:val="001708B5"/>
    <w:rsid w:val="001711C8"/>
    <w:rsid w:val="00171D87"/>
    <w:rsid w:val="00172EE5"/>
    <w:rsid w:val="00174C5F"/>
    <w:rsid w:val="001817ED"/>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4A80"/>
    <w:rsid w:val="0036625E"/>
    <w:rsid w:val="0037121C"/>
    <w:rsid w:val="0037514E"/>
    <w:rsid w:val="003768D0"/>
    <w:rsid w:val="0039391C"/>
    <w:rsid w:val="00394163"/>
    <w:rsid w:val="00397AFA"/>
    <w:rsid w:val="003A3ADA"/>
    <w:rsid w:val="003B1735"/>
    <w:rsid w:val="003B4534"/>
    <w:rsid w:val="003E567A"/>
    <w:rsid w:val="003F7CE7"/>
    <w:rsid w:val="0043068A"/>
    <w:rsid w:val="00442B78"/>
    <w:rsid w:val="0044386C"/>
    <w:rsid w:val="00450008"/>
    <w:rsid w:val="00451B6C"/>
    <w:rsid w:val="00454930"/>
    <w:rsid w:val="00454F21"/>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A0AEA"/>
    <w:rsid w:val="006A662C"/>
    <w:rsid w:val="006A70D1"/>
    <w:rsid w:val="006B0628"/>
    <w:rsid w:val="006B62C4"/>
    <w:rsid w:val="006C07B2"/>
    <w:rsid w:val="006C514F"/>
    <w:rsid w:val="006F084B"/>
    <w:rsid w:val="006F6C75"/>
    <w:rsid w:val="00702727"/>
    <w:rsid w:val="00706135"/>
    <w:rsid w:val="0071246B"/>
    <w:rsid w:val="00715015"/>
    <w:rsid w:val="00725A42"/>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909A1"/>
    <w:rsid w:val="008C6D32"/>
    <w:rsid w:val="008D3C70"/>
    <w:rsid w:val="008D3E28"/>
    <w:rsid w:val="008D5F22"/>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11BB6"/>
    <w:rsid w:val="00A1561D"/>
    <w:rsid w:val="00A174E0"/>
    <w:rsid w:val="00A22C1C"/>
    <w:rsid w:val="00A22CE8"/>
    <w:rsid w:val="00A26726"/>
    <w:rsid w:val="00A31566"/>
    <w:rsid w:val="00A34AFF"/>
    <w:rsid w:val="00A36E27"/>
    <w:rsid w:val="00A472B6"/>
    <w:rsid w:val="00A516D0"/>
    <w:rsid w:val="00A5698F"/>
    <w:rsid w:val="00A819EC"/>
    <w:rsid w:val="00A81C80"/>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417CB"/>
    <w:rsid w:val="00C5536D"/>
    <w:rsid w:val="00C61415"/>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C5B9A"/>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170"/>
    <w:rsid w:val="00EC052D"/>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4A80"/>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 w:type="paragraph" w:customStyle="1" w:styleId="226CE6674A1D462090065CECAAD25E11">
    <w:name w:val="226CE6674A1D462090065CECAAD25E11"/>
    <w:rsid w:val="00364A80"/>
    <w:pPr>
      <w:widowControl w:val="0"/>
      <w:jc w:val="both"/>
    </w:pPr>
  </w:style>
  <w:style w:type="paragraph" w:customStyle="1" w:styleId="F1CB97DE94C74B4296CAEE6150D5030D">
    <w:name w:val="F1CB97DE94C74B4296CAEE6150D5030D"/>
    <w:rsid w:val="00364A80"/>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4A80"/>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 w:type="paragraph" w:customStyle="1" w:styleId="226CE6674A1D462090065CECAAD25E11">
    <w:name w:val="226CE6674A1D462090065CECAAD25E11"/>
    <w:rsid w:val="00364A80"/>
    <w:pPr>
      <w:widowControl w:val="0"/>
      <w:jc w:val="both"/>
    </w:pPr>
  </w:style>
  <w:style w:type="paragraph" w:customStyle="1" w:styleId="F1CB97DE94C74B4296CAEE6150D5030D">
    <w:name w:val="F1CB97DE94C74B4296CAEE6150D5030D"/>
    <w:rsid w:val="00364A8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1F65B471-B724-4325-AD92-1B09EF5B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2875</Words>
  <Characters>3450</Characters>
  <Application>Microsoft Office Word</Application>
  <DocSecurity>0</DocSecurity>
  <Lines>690</Lines>
  <Paragraphs>1054</Paragraphs>
  <ScaleCrop>false</ScaleCrop>
  <Company>shenduxitong</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2025-12-05T09:44:00Z</dcterms:created>
  <dc:creator>Donghm</dc:creator>
  <cp:lastModifiedBy>Donghm</cp:lastModifiedBy>
  <dcterms:modified xsi:type="dcterms:W3CDTF">2025-12-05T09:44:00Z</dcterms:modified>
  <cp:revision>2</cp:revision>
</cp:coreProperties>
</file>