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Default="00AD3A6F">
      <w:pPr>
        <w:autoSpaceDE w:val="0"/>
        <w:autoSpaceDN w:val="0"/>
        <w:adjustRightInd w:val="0"/>
        <w:jc w:val="center"/>
        <w:rPr>
          <w:rFonts w:ascii="方正仿宋简体" w:eastAsia="方正仿宋简体" w:hAnsiTheme="minorEastAsia" w:cs="仿宋_GB2312"/>
          <w:kern w:val="0"/>
          <w:sz w:val="36"/>
          <w:szCs w:val="36"/>
        </w:rPr>
      </w:pPr>
    </w:p>
    <w:p w:rsidR="00AD3A6F" w:rsidRDefault="00A73782" gbicc:emptyAbove="1">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国泰上证科创板50成份交易型开放式指数证券投资基金发起式联接基金（国泰上证科创板50成份ETF发起联接C）基金产品资料概要</w:t>
      </w:r>
    </w:p>
    <w:p w:rsidR="00AD3A6F" w:rsidRDefault="00A73782">
      <w:pPr>
        <w:autoSpaceDE w:val="0"/>
        <w:autoSpaceDN w:val="0"/>
        <w:adjustRightInd w:val="0"/>
        <w:jc w:val="right"/>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Pr>
          <w:rFonts w:ascii="方正仿宋简体" w:eastAsia="方正仿宋简体" w:hAnsi="方正仿宋简体" w:cs="方正仿宋简体" w:hint="eastAsia"/>
          <w:iCs/>
          <w:sz w:val="24"/>
          <w:szCs w:val="24"/>
        </w:rPr>
        <w:t>2026年5月26日</w:t>
      </w:r>
    </w:p>
    <w:p w:rsidR="00AD3A6F" w:rsidRDefault="00A73782">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w:t>
      </w:r>
      <w:r>
        <w:rPr>
          <w:rFonts w:ascii="方正仿宋简体" w:eastAsia="方正仿宋简体" w:hAnsi="方正仿宋简体" w:cs="方正仿宋简体" w:hint="eastAsia"/>
          <w:iCs/>
          <w:sz w:val="24"/>
          <w:szCs w:val="24"/>
        </w:rPr>
        <w:t>2026年5月27日</w:t>
      </w:r>
    </w:p>
    <w:p w:rsidR="00AD3A6F" w:rsidRDefault="00A73782">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rsidRDefault="00A73782">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rsidRDefault="00A73782" gbicc:outlineLvl="0" gbicc:pid="14">
      <w:pPr gbicc:listString="一、" gbicc:numText="%1、" gbicc:numFmt="C" gbicc:numVal="1"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Tr="00584DC5">
        <w:trPr>
          <w:trHeight w:val="454"/>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Merge w:val="restar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国泰上证科创板50成份ETF发起联接</w:t>
            </w:r>
          </w:p>
        </w:tc>
        <w:tc>
          <w:tcPr>
            <w:tcW w:w="999"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027675</w:t>
            </w:r>
          </w:p>
        </w:tc>
      </w:tr>
      <w:tr w:rsidR="00AD3A6F" w:rsidTr="00B212F4">
        <w:trPr>
          <w:trHeight w:val="150"/>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国泰上证科创板50成份ETF发起联接C</w:t>
            </w:r>
          </w:p>
        </w:tc>
        <w:tc>
          <w:tcPr>
            <w:tcW w:w="999" w:type="pct"/>
            <w:vMerge w:val="restart"/>
            <w:tcBorders>
              <w:top w:val="dashSmallGap" w:sz="4" w:space="0" w:color="A6A6A6" w:themeColor="background1" w:themeShade="A6"/>
            </w:tcBorders>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027676</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国泰基金管理有限公司</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中国建设银行股份有限公司</w:t>
            </w:r>
            <w:r w:rsidR="00A73782">
              <w:rPr>
                <w:rFonts w:ascii="方正仿宋简体" w:eastAsia="方正仿宋简体" w:hAnsiTheme="minorEastAsia" w:cs="方正仿宋简体" w:hint="eastAsia"/>
                <w:iCs/>
              </w:rPr>
              <w:t xml:space="preserve"> </w:t>
            </w:r>
          </w:p>
        </w:tc>
      </w:tr>
      <w:tr w:rsidR="00AD3A6F" w:rsidTr="005F360D">
        <w:trPr>
          <w:trHeight w:val="454"/>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Merge w:val="restar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
            </w:r>
          </w:p>
        </w:tc>
        <w:tc>
          <w:tcPr>
            <w:tcW w:w="1443" w:type="pct"/>
            <w:tcBorders>
              <w:top w:val="dashSmallGap" w:sz="4" w:space="0" w:color="A6A6A6" w:themeColor="background1" w:themeShade="A6"/>
              <w:bottom w:val="nil"/>
            </w:tcBorders>
            <w:vAlign w:val="center"/>
          </w:tcPr>
          <w:p w:rsidR="00AD3A6F" w:rsidRDefault="00415D1E">
            <w:pPr>
              <w:spacing w:line="280" w:lineRule="exact"/>
              <w:rPr>
                <w:rFonts w:ascii="方正仿宋简体" w:eastAsia="方正仿宋简体" w:hAnsiTheme="minorEastAsia" w:cs="方正仿宋简体"/>
                <w:iCs/>
              </w:rPr>
            </w:pPr>
            <w:r w:rsidR="00A73782">
              <w:rPr>
                <w:rFonts w:hint="eastAsia"/>
                <w:color w:val="333399"/>
              </w:rPr>
              <w:t/>
            </w:r>
            <w:r w:rsidR="00A73782">
              <w:rPr>
                <w:rFonts w:ascii="方正仿宋简体" w:eastAsia="方正仿宋简体" w:hAnsiTheme="minorEastAsia" w:cs="方正仿宋简体" w:hint="eastAsia"/>
                <w:iCs/>
              </w:rPr>
              <w:t xml:space="preserve"> </w:t>
            </w:r>
            <w:r w:rsidR="00A73782">
              <w:rPr>
                <w:rFonts w:hint="eastAsia"/>
                <w:color w:val="333399"/>
              </w:rPr>
              <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基金中基金</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人民币</w:t>
            </w:r>
            <w:r w:rsidR="00A73782">
              <w:rPr>
                <w:rFonts w:hint="eastAsia"/>
                <w:color w:val="333399"/>
              </w:rPr>
              <w:t/>
            </w:r>
            <w:r w:rsidR="00A73782">
              <w:rPr>
                <w:rFonts w:hint="eastAsia"/>
                <w:color w:val="333399"/>
              </w:rPr>
              <w:t/>
            </w:r>
            <w:r w:rsidR="00A73782">
              <w:rPr>
                <w:rFonts w:hint="eastAsia"/>
                <w:color w:val="333399"/>
              </w:rPr>
              <w:t/>
            </w:r>
            <w:r w:rsidR="00A73782">
              <w:rPr>
                <w:rFonts w:hint="eastAsia"/>
                <w:color w:val="333399"/>
              </w:rPr>
              <w:t/>
            </w:r>
            <w:r w:rsidR="00A73782">
              <w:rPr>
                <w:rFonts w:hint="eastAsia"/>
                <w:color w:val="333399"/>
              </w:rPr>
              <w:t/>
            </w:r>
            <w:r w:rsidR="00A73782">
              <w:rPr>
                <w:rFonts w:hint="eastAsia"/>
                <w:color w:val="333399"/>
              </w:rPr>
              <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普通开放式</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w:t>
            </w:r>
          </w:p>
        </w:tc>
      </w:tr>
      <w:tr w:rsidR="00AD3A6F" w:rsidTr="005F360D">
        <w:trPr>
          <w:trHeight w:val="454"/>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彭悦</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R="00AD3A6F" w:rsidTr="005F360D">
        <w:trPr>
          <w:trHeight w:val="454"/>
        </w:trPr>
        <w:tc>
          <w:tcPr>
            <w:tcW w:w="1145" w:type="pct"/>
            <w:vMerge/>
            <w:vAlign w:val="center"/>
          </w:tcPr>
          <w:p w:rsidR="00AD3A6F" w:rsidRDefault="00AD3A6F">
            <w:pPr>
              <w:spacing w:line="280" w:lineRule="exact"/>
              <w:rPr>
                <w:rFonts w:ascii="方正仿宋简体" w:eastAsia="方正仿宋简体" w:hAnsiTheme="minorEastAsia" w:cs="方正仿宋简体"/>
                <w:b/>
                <w:iCs/>
              </w:rPr>
            </w:pPr>
          </w:p>
        </w:tc>
        <w:tc>
          <w:tcPr>
            <w:tcW w:w="1413" w:type="pct"/>
            <w:vMerge/>
            <w:vAlign w:val="center"/>
          </w:tcPr>
          <w:p w:rsidR="00AD3A6F" w:rsidRDefault="00AD3A6F">
            <w:pPr>
              <w:spacing w:line="280" w:lineRule="exact"/>
              <w:rPr>
                <w:rFonts w:ascii="方正仿宋简体" w:eastAsia="方正仿宋简体" w:hAnsiTheme="minorEastAsia" w:cs="方正仿宋简体"/>
                <w:b/>
                <w:iCs/>
              </w:rPr>
            </w:pP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2022-08-01</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基金合同》生效之日起三年后的对应日，若基金资产净值低于2亿元，《基金合同》自动终止，且不得通过召开基金份额持有人大会延续基金合同期限。若届时的法律法规或中国证监会规定发生变化，上述终止规定被取消、更改或补充，则本基金可以参照届时有效的法律法规或中国证监会规定执行。</w:t>
            </w:r>
          </w:p>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基金合同》生效满三年后基金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法律法规或中国证监会另有规定时，从其规定。</w:t>
            </w:r>
          </w:p>
        </w:tc>
      </w:tr>
    </w:tbl>
    <w:p w:rsidR="00AD3A6F" w:rsidRDefault="00AD3A6F">
      <w:pPr>
        <w:spacing w:line="280" w:lineRule="exact"/>
        <w:rPr>
          <w:rFonts w:ascii="方正仿宋简体" w:eastAsia="方正仿宋简体" w:hAnsiTheme="minorEastAsia" w:cs="仿宋_GB2312"/>
          <w:b/>
          <w:kern w:val="0"/>
          <w:szCs w:val="24"/>
        </w:rPr>
      </w:pPr>
    </w:p>
    <w:p w:rsidR="00AD3A6F" w:rsidRDefault="00A73782" gbicc:emptyAbove="1" gbicc:outlineLvl="0" gbicc:pid="15">
      <w:pPr gbicc:listString="二、" gbicc:numText="%1、" gbicc:numFmt="C" gbicc:numVal="2"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rsidRDefault="00A73782" gbicc:outlineLvl="1" gbicc:pid="16">
      <w:pPr gbicc:listString="(一)" gbicc:numText="(%1)" gbicc:numFmt="C" gbicc:numVal="1" gbicc:numId="15">
        <w:pStyle w:val="a8"/>
        <w:numPr>
          <w:ilvl w:val="0"/>
          <w:numId w:val="15"/>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p w:rsidR="00AD3A6F" w:rsidRDefault="00415D1E">
      <w:pPr>
        <w:spacing w:line="280" w:lineRule="exact"/>
        <w:rPr>
          <w:rFonts w:ascii="方正仿宋简体" w:eastAsia="方正仿宋简体" w:hAnsiTheme="minorEastAsia" w:cs="方正仿宋简体"/>
          <w:bCs/>
          <w:iCs/>
        </w:rPr>
      </w:pPr>
      <w:r w:rsidR="00A73782">
        <w:rPr>
          <w:rFonts w:ascii="方正仿宋简体" w:eastAsia="方正仿宋简体" w:hAnsiTheme="minorEastAsia" w:cs="方正仿宋简体" w:hint="eastAsia"/>
          <w:bCs/>
          <w:iCs/>
        </w:rPr>
        <w:t>详见本基金招募说明书“第九部分 基金的投资”。</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通过主要投资于目标ETF，紧密跟踪标的指数，追求跟踪偏离度和跟踪误差的最小化。</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主要投资于目标ETF、标的指数成份股（含存托凭证）、备选成份股（含存托凭证）。为更好地实现投资目标，本基金还可投资于非标的指数成份股（包括主板、科创板、创业板及其他中国证监会允许基金投资的股票、存托凭证）、债券（包括国债、央行票据、地方政府债券、政府支持机构债券、政府支持债券、金融债、企业债、公司债、次级债、中期票据、短期融资券、超短期融资券、可转换债券（含分离交易可转债）、可交换债券等）、债券回购、金融衍生工具（包括股指期货、国债期货、股票期权等）、资产支持证券、同业存单、银行存款、货币市场工具以及法律法规或中国证监会允许基金投资的其他金融工具（但须符合中国证监会相关规定）。</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本基金可根据法律法规的规定参与融资和转融通证券出借业务。</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基金的投资组合比例为：本基金投资于目标ETF的比例不低于基金资产净值的90%。每个交易日日终在扣除股指期货合约和国债期货合约需缴纳的交易保证金后，本基金持有的现金或者到期日在一年以内的政府债券不低于基金资产净值的5%，其中，现金不包括结算备付金、存出保证金和应收申购款等。</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如法律法规或监管机构以后允许基金投资股指期权等其他金融衍生工具或者其他投资品种或变更投资比例限制，基金管理人在履行适当程序后，可以相应调整本基金的投资范围和投资比例规定。</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本基金的标的指数为上证科创板50成份指数及其未来可能发生的变更。</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1、资产配置策略；2、目标ETF投资策略；3、股票投资策略；4、存托凭证投资策略；5、债券投资策略；6、可转换债券和可交换债券投资策略；7、资产支持证券投资策略；8、金融衍生工具投资策略；9、融资与转融通证券出借投资策略。</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上证科创板50成份指数收益率*95%+活期存款基准利率*5%。</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为ETF联接基金，目标ETF为股票型指数基金，其预期收益及预期风险水平理论上高于混合型基金、债券型基金和货币市场基金。本基金主要通过投资于目标ETF跟踪标的指数表现，具有与标的指数以及标的指数所代表的证券市场相似的风险收益特征。</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本基金投资于科创板股票，会面临科创板机制下因投资标的、市场制度以及交易规则等差异带来的特有风险，包括股价波动较大的风险、流动性风险、退市风险和市场风险等。</w:t>
            </w:r>
          </w:p>
        </w:tc>
      </w:tr>
    </w:tbl>
    <w:p w:rsidR="00AD3A6F" w:rsidRDefault="00415D1E">
      <w:pPr>
        <w:spacing w:line="280" w:lineRule="exact"/>
        <w:rPr>
          <w:rFonts w:ascii="方正仿宋简体" w:eastAsia="方正仿宋简体" w:hAnsiTheme="minorEastAsia" w:cs="仿宋_GB2312"/>
          <w:kern w:val="0"/>
          <w:szCs w:val="24"/>
        </w:rPr>
      </w:pPr>
    </w:p>
    <w:p w:rsidR="00AD3A6F"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投资组合资产配置图表/区域配置图表</w:t>
      </w:r>
    </w:p>
    <w:p w:rsidR="00AD3A6F" w:rsidRDefault="00A73782" gbicc:outlineLvl="1" gbicc:pid="18">
      <w:pPr gbicc:listString="(三)" gbicc:numText="(%1)" gbicc:numFmt="C" gbicc:numVal="3" gbicc:numId="15">
        <w:pStyle w:val="a8"/>
        <w:numPr>
          <w:ilvl w:val="0"/>
          <w:numId w:val="15"/>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AD3A6F" w:rsidRDefault="00AD3A6F">
      <w:pPr>
        <w:spacing w:line="280" w:lineRule="exact"/>
        <w:ind w:firstLine="420"/>
        <w:rPr>
          <w:rFonts w:ascii="方正仿宋简体" w:eastAsia="方正仿宋简体" w:hAnsi="方正仿宋简体" w:cs="方正仿宋简体"/>
          <w:iCs/>
        </w:rPr>
      </w:pPr>
    </w:p>
    <w:p w:rsidR="00AD3A6F" w:rsidRDefault="00A73782" gbicc:emptyAbove="1" gbicc:outlineLvl="0" gbicc:pid="19">
      <w:pPr gbicc:listString="三、" gbicc:numText="%1、" gbicc:numFmt="C" gbicc:numVal="3"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rsidRDefault="00A73782" gbicc:outlineLvl="1" gbicc:pid="20">
      <w:pPr gbicc:listString="（一）" gbicc:numText="（%1）" gbicc:numFmt="J" gbicc:numVal="1" gbicc:numId="25">
        <w:pStyle w:val="a8"/>
        <w:numPr>
          <w:ilvl w:val="0"/>
          <w:numId w:val="25"/>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rsidRDefault="00A73782">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以下费用在认购/申购/赎回基金过程中收取：</w:t>
      </w:r>
    </w:p>
    <!--PH-->
    <w:tbl init-cell-address="true">
      <w:tblPr>
        <w:tblW w:w="5000"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6"/>
        <w:gridCol w:w="3262"/>
        <w:gridCol w:w="1982"/>
        <w:gridCol w:w="902"/>
      </w:tblGrid>
      <w:tr w:rsidR="00AD3A6F" w:rsidTr="00584DC5">
        <w:trPr>
          <w:trHeight w:val="454"/>
        </w:trPr>
        <w:tc>
          <w:tcPr>
            <w:tcW w:w="1394"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1914"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份额（S）或金额（M）</w:t>
            </w:r>
          </w:p>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/持有期限（N）</w:t>
            </w:r>
          </w:p>
        </w:tc>
        <w:tc>
          <w:tcPr>
            <w:tcW w:w="1163"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收费方式/费率</w:t>
            </w:r>
          </w:p>
        </w:tc>
        <w:tc>
          <w:tcPr>
            <w:tcW w:w="529"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rsidR="00AD3A6F" w:rsidTr="00584DC5">
        <w:trPr>
          <w:trHeight w:val="454"/>
        </w:trPr>
        <w:tc>
          <w:tcPr>
            <w:tcW w:w="1394"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1914"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p>
        </w:tc>
        <w:tc>
          <w:tcPr>
            <w:tcW w:w="116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int="eastAsia"/>
                <w:color w:val="000000" w:themeColor="text1"/>
              </w:rPr>
              <w:t/>
            </w:r>
          </w:p>
        </w:tc>
      </w:tr>
      <w:tr w:rsidR="00AD3A6F" w:rsidTr="00584DC5">
        <w:trPr>
          <w:trHeight w:val="454"/>
        </w:trPr>
        <w:tc>
          <w:tcPr>
            <w:tcW w:w="1394"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1914"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p>
        </w:tc>
        <w:tc>
          <w:tcPr>
            <w:tcW w:w="116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int="eastAsia"/>
                <w:color w:val="000000" w:themeColor="text1"/>
              </w:rPr>
              <w:t/>
            </w:r>
          </w:p>
        </w:tc>
      </w:tr>
      <w:tr w:rsidR="00AD3A6F" w:rsidTr="00584DC5">
        <w:trPr>
          <w:trHeight w:val="454"/>
        </w:trPr>
        <w:tc>
          <w:tcPr>
            <w:tcW w:w="1394" w:type="pct"/>
            <w:vAlign w:val="center"/>
            <w:vMerge w:val="restart"/>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4"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7日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w:r>
          </w:p>
        </w:tc>
        <w:tc>
          <w:tcPr>
            <w:tcW w:w="116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1.50%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个人投资者</w:t>
            </w:r>
          </w:p>
        </w:tc>
      </w:tr>
      <w:tr w:rsidR="00AD3A6F" w:rsidTr="00584DC5">
        <w:trPr>
          <w:trHeight w:val="454"/>
        </w:trPr>
        <w:tc>
          <w:tcPr>
            <w:tcW w:w="1394"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4"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7日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r>
          </w:p>
        </w:tc>
        <w:tc>
          <w:tcPr>
            <w:tcW w:w="116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0.00%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个人投资者</w:t>
            </w:r>
          </w:p>
        </w:tc>
      </w:tr>
      <w:tr w:rsidR="00AD3A6F" w:rsidTr="00584DC5">
        <w:trPr>
          <w:trHeight w:val="454"/>
        </w:trPr>
        <w:tc>
          <w:tcPr>
            <w:tcW w:w="1394"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4"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7日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r>
          </w:p>
        </w:tc>
        <w:tc>
          <w:tcPr>
            <w:tcW w:w="116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1.50%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机构投资者</w:t>
            </w:r>
          </w:p>
        </w:tc>
      </w:tr>
      <w:tr w:rsidR="00AD3A6F" w:rsidTr="00584DC5">
        <w:trPr>
          <w:trHeight w:val="454"/>
        </w:trPr>
        <w:tc>
          <w:tcPr>
            <w:tcW w:w="1394"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4"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7日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30日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r>
          </w:p>
        </w:tc>
        <w:tc>
          <w:tcPr>
            <w:tcW w:w="116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1.00%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机构投资者</w:t>
            </w:r>
          </w:p>
        </w:tc>
      </w:tr>
      <w:tr w:rsidR="00AD3A6F" w:rsidTr="00584DC5">
        <w:trPr>
          <w:trHeight w:val="454"/>
        </w:trPr>
        <w:tc>
          <w:tcPr>
            <w:tcW w:w="1394"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4"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30日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&lt;</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180日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r>
          </w:p>
        </w:tc>
        <w:tc>
          <w:tcPr>
            <w:tcW w:w="116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0.50%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机构投资者</w:t>
            </w:r>
          </w:p>
        </w:tc>
      </w:tr>
      <w:tr w:rsidR="00AD3A6F" w:rsidTr="00584DC5">
        <w:trPr>
          <w:trHeight w:val="454"/>
        </w:trPr>
        <w:tc>
          <w:tcPr>
            <w:tcW w:w="1394" w:type="pct"/>
            <w:vAlign w:val="center"/>
            <w:vMerge/>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4"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N</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180日</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Ansi="方正仿宋简体" w:cs="方正仿宋简体" w:hint="eastAsia"/>
                <w:bCs/>
                <w:iCs/>
                <w:color w:val="000000" w:themeColor="text1"/>
              </w:rPr>
              <w:t xml:space="preserve"/>
            </w:r>
          </w:p>
        </w:tc>
        <w:tc>
          <w:tcPr>
            <w:tcW w:w="116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 xml:space="preserve">0.00%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xml:space="preserve"/>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机构投资者</w:t>
            </w:r>
          </w:p>
        </w:tc>
      </w:tr>
    </w:tbl>
    <w:p w:rsidR="00AD3A6F" w:rsidRDefault="00AD3A6F">
      <w:pPr>
        <w:spacing w:line="280" w:lineRule="exact"/>
        <w:rPr>
          <w:rFonts w:ascii="方正仿宋简体" w:eastAsia="方正仿宋简体" w:hAnsiTheme="minorEastAsia" w:cs="方正仿宋简体"/>
          <w:b/>
          <w:iCs/>
          <w:sz w:val="24"/>
          <w:szCs w:val="24"/>
        </w:rPr>
      </w:pPr>
    </w:p>
    <w:p w:rsidR="00AD3A6F"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rsidRDefault="00A73782">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init-cell-address="true">
      <w:tblPr>
        <w:tblW w:w="5001"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427"/>
        <w:gridCol w:w="3050"/>
        <w:gridCol w:w="4470"/>
      </w:tblGrid>
      <w:tr w:rsidR="00AD3A6F" w:rsidTr="00114869">
        <w:trPr>
          <w:trHeight w:val="454"/>
        </w:trPr>
        <w:tc>
          <w:tcPr>
            <w:tcW w:w="1341" w:type="pct"/>
            <w:vAlign w:val="center"/>
          </w:tcPr>
          <w:p w:rsidR="00AD3A6F" w:rsidRDefault="00A73782">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1117" w:type="pct"/>
            <w:vAlign w:val="center"/>
          </w:tcPr>
          <w:p w:rsidR="00AD3A6F" w:rsidRDefault="00A73782">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收费方式/年费率或金额</w:t>
            </w:r>
            <w:r w:rsidR="0024491E">
              <w:rPr>
                <w:rFonts w:ascii="方正仿宋简体" w:eastAsia="方正仿宋简体" w:hAnsi="方正仿宋简体" w:cs="方正仿宋简体" w:hint="eastAsia"/>
                <w:b/>
                <w:bCs/>
                <w:iCs/>
              </w:rPr>
              <w:t>（元）</w:t>
            </w:r>
          </w:p>
        </w:tc>
        <w:tc>
          <w:tcPr>
            <w:tcW w:w="2540" w:type="pct"/>
            <w:vAlign w:val="center"/>
          </w:tcPr>
          <w:p w:rsidR="00AD3A6F" w:rsidRDefault="009B0177">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rsidR="000D2645" w:rsidTr="00114869">
        <w:trPr>
          <w:trHeight w:val="454"/>
        </w:trPr>
        <w:tc>
          <w:tcPr>
            <w:tcW w:w="1341" w:type="pct"/>
            <w:vAlign w:val="center"/>
          </w:tcPr>
          <w:p w:rsidR="000D2645" w:rsidRDefault="000D2645">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1117" w:type="pct"/>
            <w:vAlign w:val="center"/>
          </w:tcPr>
          <w:p w:rsidR="000D2645" w:rsidRDefault="00415D1E">
            <w:pPr>
              <w:spacing w:line="280" w:lineRule="exact"/>
              <w:jc w:val="center"/>
              <w:rPr>
                <w:rFonts w:ascii="方正仿宋简体" w:eastAsia="方正仿宋简体" w:hAnsi="方正仿宋简体" w:cs="方正仿宋简体"/>
                <w:bCs/>
                <w:iCs/>
              </w:rPr>
            </w:pPr>
            <w:r w:rsidR="000D2645">
              <w:rPr>
                <w:rFonts w:ascii="方正仿宋简体" w:eastAsia="方正仿宋简体" w:hint="eastAsia"/>
                <w:color w:val="333399"/>
              </w:rPr>
              <w:t/>
            </w:r>
            <w:r w:rsidR="000D2645">
              <w:rPr>
                <w:rFonts w:ascii="方正仿宋简体" w:eastAsia="方正仿宋简体" w:hAnsi="方正仿宋简体" w:cs="方正仿宋简体" w:hint="eastAsia"/>
                <w:bCs/>
                <w:iCs/>
              </w:rPr>
              <w:t xml:space="preserve"> </w:t>
            </w:r>
            <w:r w:rsidR="000D2645">
              <w:rPr>
                <w:rFonts w:ascii="方正仿宋简体" w:eastAsia="方正仿宋简体" w:hAnsi="方正仿宋简体" w:cs="方正仿宋简体" w:hint="eastAsia"/>
                <w:bCs/>
                <w:iCs/>
              </w:rPr>
              <w:t>0.15%</w:t>
            </w:r>
          </w:p>
        </w:tc>
        <w:tc>
          <w:tcPr>
            <w:tcW w:w="2540" w:type="pct"/>
            <w:vAlign w:val="center"/>
          </w:tcPr>
          <w:p w:rsidR="000D2645" w:rsidRDefault="00415D1E" w:rsidP="000D2645">
            <w:pPr>
              <w:spacing w:line="280" w:lineRule="exact"/>
              <w:jc w:val="center"/>
              <w:rPr>
                <w:rFonts w:ascii="方正仿宋简体" w:eastAsia="方正仿宋简体" w:hAnsi="方正仿宋简体" w:cs="方正仿宋简体"/>
                <w:bCs/>
                <w:iCs/>
              </w:rPr>
            </w:pPr>
            <w:r w:rsidR="000D2645">
              <w:rPr>
                <w:rFonts w:ascii="方正仿宋简体" w:eastAsia="方正仿宋简体" w:hAnsi="方正仿宋简体" w:cs="方正仿宋简体" w:hint="eastAsia"/>
                <w:bCs/>
                <w:iCs/>
              </w:rPr>
              <w:t>基金管理人、销售机构</w:t>
            </w:r>
          </w:p>
        </w:tc>
      </w:tr>
      <w:tr w:rsidR="00AD3A6F" w:rsidTr="00114869">
        <w:trPr>
          <w:trHeight w:val="454"/>
        </w:trPr>
        <w:tc>
          <w:tcPr>
            <w:tcW w:w="1341" w:type="pct"/>
            <w:vAlign w:val="center"/>
          </w:tcPr>
          <w:p w:rsidR="00AD3A6F" w:rsidRDefault="00A73782">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1117" w:type="pct"/>
            <w:vAlign w:val="center"/>
          </w:tcPr>
          <w:p w:rsidR="00AD3A6F" w:rsidRDefault="00415D1E">
            <w:pPr>
              <w:spacing w:line="280" w:lineRule="exact"/>
              <w:jc w:val="center"/>
              <w:rPr>
                <w:rFonts w:ascii="方正仿宋简体" w:eastAsia="方正仿宋简体" w:hAnsiTheme="minorEastAsia" w:cs="方正仿宋简体"/>
                <w:bCs/>
                <w:iCs/>
              </w:rPr>
            </w:pPr>
            <w:r w:rsidR="00A73782">
              <w:rPr>
                <w:rFonts w:ascii="方正仿宋简体" w:eastAsia="方正仿宋简体" w:hint="eastAsia"/>
                <w:color w:val="333399"/>
              </w:rPr>
              <w:t/>
            </w:r>
            <w:r w:rsidR="00A73782">
              <w:rPr>
                <w:rFonts w:ascii="方正仿宋简体" w:eastAsia="方正仿宋简体" w:hAnsiTheme="minorEastAsia" w:cs="方正仿宋简体" w:hint="eastAsia"/>
                <w:bCs/>
                <w:iCs/>
              </w:rPr>
              <w:t xml:space="preserve"> </w:t>
            </w:r>
            <w:r w:rsidR="00A73782">
              <w:rPr>
                <w:rFonts w:ascii="方正仿宋简体" w:eastAsia="方正仿宋简体" w:hAnsiTheme="minorEastAsia" w:cs="方正仿宋简体" w:hint="eastAsia"/>
                <w:bCs/>
                <w:iCs/>
              </w:rPr>
              <w:t>0.05%</w:t>
            </w:r>
          </w:p>
        </w:tc>
        <w:tc>
          <w:tcPr>
            <w:tcW w:w="2540" w:type="pct"/>
            <w:vAlign w:val="center"/>
          </w:tcPr>
          <w:p w:rsidR="00AD3A6F" w:rsidRDefault="00A73782">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rsidR="00AD3A6F" w:rsidTr="00114869">
        <w:trPr>
          <w:trHeight w:val="454"/>
        </w:trPr>
        <w:tc>
          <w:tcPr>
            <w:tcW w:w="1341" w:type="pct"/>
            <w:vAlign w:val="center"/>
          </w:tcPr>
          <w:p w:rsidR="00AD3A6F" w:rsidRDefault="00A73782">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销售服务费</w:t>
            </w:r>
            <w:r>
              <w:rPr>
                <w:rFonts w:ascii="方正仿宋简体" w:eastAsia="方正仿宋简体" w:hAnsi="方正仿宋简体" w:cs="方正仿宋简体" w:hint="eastAsia"/>
                <w:iCs/>
              </w:rPr>
              <w:t/>
            </w:r>
            <w:r>
              <w:rPr>
                <w:rFonts w:ascii="方正仿宋简体" w:eastAsia="方正仿宋简体" w:hAnsi="方正仿宋简体" w:cs="方正仿宋简体" w:hint="eastAsia"/>
                <w:iCs/>
              </w:rPr>
              <w:t/>
            </w:r>
            <w:r>
              <w:rPr>
                <w:rFonts w:ascii="方正仿宋简体" w:eastAsia="方正仿宋简体" w:hAnsi="方正仿宋简体" w:cs="方正仿宋简体" w:hint="eastAsia"/>
                <w:iCs/>
              </w:rPr>
              <w:t/>
            </w:r>
          </w:p>
        </w:tc>
        <w:tc>
          <w:tcPr>
            <w:tcW w:w="1117" w:type="pct"/>
            <w:vAlign w:val="center"/>
          </w:tcPr>
          <w:p w:rsidR="00AD3A6F" w:rsidRDefault="00415D1E">
            <w:pPr>
              <w:spacing w:line="280" w:lineRule="exact"/>
              <w:jc w:val="center"/>
              <w:rPr>
                <w:rFonts w:ascii="方正仿宋简体" w:eastAsia="方正仿宋简体" w:hAnsiTheme="minorEastAsia" w:cs="方正仿宋简体"/>
                <w:bCs/>
                <w:iCs/>
              </w:rPr>
            </w:pPr>
            <w:r w:rsidR="00A73782">
              <w:rPr>
                <w:rFonts w:ascii="方正仿宋简体" w:eastAsia="方正仿宋简体" w:hint="eastAsia"/>
                <w:color w:val="333399"/>
              </w:rPr>
              <w:t/>
            </w:r>
            <w:r w:rsidR="00A73782">
              <w:rPr>
                <w:rFonts w:ascii="方正仿宋简体" w:eastAsia="方正仿宋简体" w:hAnsiTheme="minorEastAsia" w:cs="方正仿宋简体" w:hint="eastAsia"/>
                <w:bCs/>
                <w:iCs/>
              </w:rPr>
              <w:t xml:space="preserve"> </w:t>
            </w:r>
            <w:r w:rsidR="00A73782">
              <w:rPr>
                <w:rFonts w:ascii="方正仿宋简体" w:eastAsia="方正仿宋简体" w:hAnsiTheme="minorEastAsia" w:cs="方正仿宋简体" w:hint="eastAsia"/>
                <w:bCs/>
                <w:iCs/>
              </w:rPr>
              <w:t>0.20%</w:t>
            </w:r>
          </w:p>
        </w:tc>
        <w:tc>
          <w:tcPr>
            <w:tcW w:w="2540" w:type="pct"/>
            <w:vAlign w:val="center"/>
          </w:tcPr>
          <w:p w:rsidR="00AD3A6F" w:rsidRDefault="00A73782">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销售机构</w:t>
            </w:r>
          </w:p>
        </w:tc>
      </w:tr>
      <w:tr w:rsidR="00AD3A6F" w:rsidTr="00114869">
        <w:trPr>
          <w:trHeight w:val="454"/>
        </w:trPr>
        <w:tc>
          <w:tcPr>
            <w:tcW w:w="1341" w:type="pct"/>
            <w:vAlign w:val="center"/>
          </w:tcPr>
          <w:p w:rsidR="00AD3A6F" w:rsidRDefault="00A73782">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1117" w:type="pct"/>
            <w:vAlign w:val="center"/>
          </w:tcPr>
          <w:p w:rsidR="00AD3A6F" w:rsidRDefault="00415D1E">
            <w:pPr>
              <w:spacing w:line="280" w:lineRule="exact"/>
              <w:jc w:val="center"/>
              <w:rPr>
                <w:rFonts w:ascii="方正仿宋简体" w:eastAsia="方正仿宋简体" w:hAnsiTheme="minorEastAsia" w:cs="方正仿宋简体"/>
                <w:bCs/>
                <w:iCs/>
              </w:rPr>
            </w:pPr>
            <w:r w:rsidR="00A73782">
              <w:rPr>
                <w:rFonts w:ascii="方正仿宋简体" w:eastAsia="方正仿宋简体" w:hAnsiTheme="minorEastAsia" w:cs="方正仿宋简体" w:hint="eastAsia"/>
                <w:bCs/>
                <w:iCs/>
              </w:rPr>
              <w:t>其他按照国家有关规定和《基金合同》约定可以在基金财产中列支的费用</w:t>
            </w:r>
            <w:r w:rsidR="00A73782">
              <w:rPr>
                <w:rFonts w:ascii="方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R="00A73782">
              <w:rPr>
                <w:rFonts w:ascii="方正仿宋简体" w:eastAsia="方正仿宋简体" w:hAnsiTheme="minorEastAsia" w:cs="方正仿宋简体" w:hint="eastAsia"/>
                <w:bCs/>
                <w:iCs/>
              </w:rPr>
              <w:t xml:space="preserve"> </w:t>
            </w:r>
            <w:r w:rsidR="00A73782">
              <w:rPr>
                <w:rFonts w:hint="eastAsia"/>
                <w:color w:val="333399"/>
              </w:rPr>
              <w:t/>
            </w:r>
          </w:p>
        </w:tc>
        <w:tc>
          <w:tcPr>
            <w:tcW w:w="2540" w:type="pct"/>
            <w:vAlign w:val="center"/>
          </w:tcPr>
          <w:p w:rsidR="00AD3A6F" w:rsidRDefault="00A73782">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相关服务机构</w:t>
            </w:r>
          </w:p>
        </w:tc>
      </w:tr>
    </w:tbl>
    <w:p w:rsidR="00AD3A6F" w:rsidRDefault="00DE40A4">
      <w:pPr>
        <w:autoSpaceDE w:val="0"/>
        <w:autoSpaceDN w:val="0"/>
        <w:adjustRightInd w:val="0"/>
        <w:spacing w:line="280" w:lineRule="exact"/>
        <w:jc w:val="lef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注：1、本基金基金财产中投资于目标ETF的部分不收取管理费。本基金基金财产中投资于目标ETF的部分不收取托管费。</w:t>
      </w:r>
    </w:p>
    <w:p w:rsidR="00AD3A6F" w:rsidRDefault="00DE40A4">
      <w:pPr>
        <w:autoSpaceDE w:val="0"/>
        <w:autoSpaceDN w:val="0"/>
        <w:adjustRightInd w:val="0"/>
        <w:spacing w:line="280" w:lineRule="exact"/>
        <w:jc w:val="lef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2、本基金交易证券、基金等产生的费用和税负，按实际发生额从基金资产扣除。</w:t>
      </w:r>
    </w:p>
    <w:p w:rsidR="00AD3A6F" w:rsidRDefault="00DE40A4">
      <w:pPr>
        <w:autoSpaceDE w:val="0"/>
        <w:autoSpaceDN w:val="0"/>
        <w:adjustRightInd w:val="0"/>
        <w:spacing w:line="280" w:lineRule="exact"/>
        <w:jc w:val="lef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3、对于投资者通过直销机构认购、申购的C类基金份额计提的销售服务费，或者通过其他销售机构认购、申购且持续持有期限超过一年的C类基金份额继续计提的销售服务费，都将在投资者赎回相应基金份额或基金合同终止时随赎回款（或清算款）一并返还给投资者。</w:t>
      </w:r>
    </w:p>
    <!--PH-->
    <w:p w:rsidR="00AD3A6F" w:rsidRDefault="00AD3A6F">
      <w:pPr>
        <w:autoSpaceDE w:val="0"/>
        <w:autoSpaceDN w:val="0"/>
        <w:adjustRightInd w:val="0"/>
        <w:spacing w:line="280" w:lineRule="exact"/>
        <w:jc w:val="left"/>
        <w:rPr>
          <w:rFonts w:ascii="方正仿宋简体" w:eastAsia="方正仿宋简体" w:hAnsiTheme="minorEastAsia" w:cs="仿宋_GB2312"/>
          <w:kern w:val="0"/>
          <w:szCs w:val="24"/>
        </w:rPr>
      </w:pPr>
    </w:p>
    <w:p w:rsidR="00AD3A6F" w:rsidRDefault="00A73782" gbicc:emptyAbove="1" gbicc:outlineLvl="0" gbicc:pid="23">
      <w:pPr gbicc:listString="四、" gbicc:numText="%1、" gbicc:numFmt="C" gbicc:numVal="4"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rsidRDefault="00A73782" gbicc:outlineLvl="1" gbicc:pid="24">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b w:val="1"/>
          <w:bCs w:val="1"/>
        </w:rPr>
        <w:t xml:space="preserve">本基金不提供任何保证。投资者可能损失投资本金。</w:t>
      </w:r>
      <w:r>
        <w:rPr>
          <w:rFonts w:ascii="方正仿宋简体" w:eastAsia="方正仿宋简体" w:hAnsi="方正仿宋简体" w:cs="方正仿宋简体" w:hint="eastAsia"/>
          <w:iCs/>
        </w:rPr>
        <w:t xml:space="preserve"/>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b w:val="1"/>
          <w:bCs w:val="1"/>
        </w:rPr>
        <w:t xml:space="preserve">投资有风险，投资者购买基金时应认真阅读本基金的招募说明书等销售文件。</w:t>
      </w:r>
      <w:r>
        <w:rPr>
          <w:rFonts w:ascii="方正仿宋简体" w:eastAsia="方正仿宋简体" w:hAnsi="方正仿宋简体" w:cs="方正仿宋简体" w:hint="eastAsia"/>
          <w:iCs/>
        </w:rPr>
        <w:t xml:space="preserve"/>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本基金面临的主要风险有系统性风险、非系统性风险、运作管理风险、流动性风险、本基金特定风险、本基金法律文件中涉及基金风险特征的表述与销售机构对基金的风险评级可能不一致的风险和其他风险等。</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本基金特定风险包括：1、目标ETF的风险；2、与目标ETF业绩差异的风险；3、标的指数的风险；4、跟踪偏离风险及跟踪误差控制未达约定目标的风险；5、指数编制机构停止服务的风险；6、投资资产支持证券的风险；7、投资股指期货的风险；8、投资国债期货的风险；9、投资股票期权的风险；10、投资存托凭证的风险；11、参与融资业务的风险；12、参与转融通证券出借业务的风险；13、投资科创板股票的风险；14、基金合同提前终止的风险等。本基金的一般风险及特定风险详见招募说明书的“风险揭示”部分。</w:t>
      </w:r>
    </w:p>
    <w:p w:rsidR="00AD3A6F" w:rsidRDefault="00A73782" gbicc:outlineLvl="1" gbicc:pid="25">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中国证监会对本基金募集的注册，并不表明其对本基金的投资价值、市场前景和收益做出实质性判断或保证，也不表明投资于本基金没有风险。</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基金管理人依照恪尽职守、诚实信用、谨慎勤勉的原则管理和运用基金财产，但不保证投资于本基金一定盈利，也不保证最低收益。</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基金投资者自依基金合同取得基金份额，即成为基金份额持有人和基金合同的当事人。</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因《基金合同》而产生的或与《基金合同》有关的一切争议，应经友好协商解决。如经友好协商未能解决的，任何一方均有权按《基金合同》的约定提交仲裁，仲裁机构见《基金合同》。</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rsidRDefault="00AD3A6F">
      <w:pPr>
        <w:autoSpaceDE w:val="0"/>
        <w:autoSpaceDN w:val="0"/>
        <w:adjustRightInd w:val="0"/>
        <w:spacing w:line="280" w:lineRule="exact"/>
        <w:jc w:val="left"/>
        <w:rPr>
          <w:rFonts w:ascii="方正仿宋简体" w:eastAsia="方正仿宋简体"/>
        </w:rPr>
      </w:pPr>
    </w:p>
    <w:p w:rsidR="00AD3A6F" w:rsidRDefault="00A73782" gbicc:emptyAbove="1" gbicc:outlineLvl="0" gbicc:pid="26">
      <w:pPr gbicc:listString="五、" gbicc:numText="%1、" gbicc:numFmt="C" gbicc:numVal="5"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以下资料详见基金管理人网站www.gtfund.com或咨询客服电话：400-888-8688</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1、基金合同、托管协议、招募说明书及更新</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2、定期报告，包括基金季度报告、中期报告和年度报告</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3、基金份额净值</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4、基金销售机构及联系方式</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5、其他重要资料</w:t>
      </w:r>
    </w:p>
    <w:p w:rsidR="00AD3A6F" w:rsidRDefault="00AD3A6F">
      <w:pPr>
        <w:autoSpaceDE w:val="0"/>
        <w:autoSpaceDN w:val="0"/>
        <w:adjustRightInd w:val="0"/>
        <w:spacing w:line="280" w:lineRule="exact"/>
        <w:jc w:val="left"/>
        <w:rPr>
          <w:rFonts w:ascii="方正仿宋简体" w:eastAsia="方正仿宋简体"/>
        </w:rPr>
      </w:pPr>
    </w:p>
    <w:sectPr w:rsidR="00AD3A6F">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D1E" w:rsidRDefault="00415D1E" w:rsidP="0092395F">
      <w:r>
        <w:separator/>
      </w:r>
    </w:p>
  </w:endnote>
  <w:endnote w:type="continuationSeparator" w:id="0">
    <w:p w:rsidR="00415D1E" w:rsidRDefault="00415D1E"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黑体简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090415" w:rsidRDefault="00090415" w:rsidP="0025315A">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F608D">
              <w:rPr>
                <w:b/>
                <w:bCs/>
                <w:noProof/>
              </w:rPr>
              <w:t>24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F608D">
              <w:rPr>
                <w:b/>
                <w:bCs/>
                <w:noProof/>
              </w:rPr>
              <w:t>24</w:t>
            </w:r>
            <w:r>
              <w:rPr>
                <w:b/>
                <w:bCs/>
                <w:sz w:val="24"/>
                <w:szCs w:val="24"/>
              </w:rPr>
              <w:fldChar w:fldCharType="end"/>
            </w:r>
          </w:p>
        </w:sdtContent>
      </w:sdt>
    </w:sdtContent>
  </w:sdt>
  <w:p w:rsidR="00090415" w:rsidRDefault="0009041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D1E" w:rsidRDefault="00415D1E" w:rsidP="0092395F">
      <w:r>
        <w:separator/>
      </w:r>
    </w:p>
  </w:footnote>
  <w:footnote w:type="continuationSeparator" w:id="0">
    <w:p w:rsidR="00415D1E" w:rsidRDefault="00415D1E" w:rsidP="00923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C21FE0E"/>
    <w:multiLevelType w:val="singleLevel"/>
    <w:tmpl w:val="5C21FE0E"/>
    <w:lvl w:ilvl="0">
      <w:start w:val="2"/>
      <w:numFmt w:val="chineseCounting"/>
      <w:suff w:val="nothing"/>
      <w:lvlText w:val="（%1）"/>
      <w:lvlJc w:val="left"/>
    </w:lvl>
  </w:abstractNum>
  <w:abstractNum w:abstractNumId="15">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09ED"/>
    <w:rsid w:val="00002B50"/>
    <w:rsid w:val="00002F33"/>
    <w:rsid w:val="000034E5"/>
    <w:rsid w:val="00003561"/>
    <w:rsid w:val="000035EA"/>
    <w:rsid w:val="00004180"/>
    <w:rsid w:val="00006EAF"/>
    <w:rsid w:val="0000736D"/>
    <w:rsid w:val="0000782B"/>
    <w:rsid w:val="00010B3E"/>
    <w:rsid w:val="00015DD4"/>
    <w:rsid w:val="00017721"/>
    <w:rsid w:val="00021E5D"/>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415"/>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869"/>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6E52"/>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491E"/>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5D1E"/>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2F02"/>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E75AF"/>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156"/>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8749C"/>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441"/>
    <w:rsid w:val="006F5DDA"/>
    <w:rsid w:val="006F608D"/>
    <w:rsid w:val="006F6174"/>
    <w:rsid w:val="006F644F"/>
    <w:rsid w:val="006F763D"/>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6FA"/>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177"/>
    <w:rsid w:val="009B05A4"/>
    <w:rsid w:val="009B0BD9"/>
    <w:rsid w:val="009B2CE3"/>
    <w:rsid w:val="009B53D8"/>
    <w:rsid w:val="009B614F"/>
    <w:rsid w:val="009C1EDC"/>
    <w:rsid w:val="009C2834"/>
    <w:rsid w:val="009C371A"/>
    <w:rsid w:val="009C4762"/>
    <w:rsid w:val="009C4B20"/>
    <w:rsid w:val="009C7436"/>
    <w:rsid w:val="009D12E0"/>
    <w:rsid w:val="009E0049"/>
    <w:rsid w:val="009E0228"/>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0E67"/>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2DB2"/>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3EB2"/>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038A"/>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037CB"/>
    <w:pPr>
      <w:widowControl w:val="0"/>
      <w:jc w:val="both"/>
    </w:pPr>
  </w:style>
  <w:style w:type="paragraph" w:styleId="1">
    <w:name w:val="heading 1"/>
    <w:basedOn w:val="a4"/>
    <w:next w:val="a4"/>
    <w:link w:val="1Char"/>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5"/>
    <w:link w:val="aa"/>
    <w:uiPriority w:val="99"/>
    <w:rsid w:val="0092395F"/>
    <w:rPr>
      <w:sz w:val="18"/>
      <w:szCs w:val="18"/>
    </w:rPr>
  </w:style>
  <w:style w:type="paragraph" w:styleId="ab">
    <w:name w:val="footer"/>
    <w:basedOn w:val="a4"/>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a5"/>
    <w:link w:val="ab"/>
    <w:uiPriority w:val="99"/>
    <w:rsid w:val="0092395F"/>
    <w:rPr>
      <w:sz w:val="18"/>
      <w:szCs w:val="18"/>
    </w:rPr>
  </w:style>
  <w:style w:type="paragraph" w:styleId="ac">
    <w:name w:val="Balloon Text"/>
    <w:basedOn w:val="a4"/>
    <w:link w:val="Char1"/>
    <w:uiPriority w:val="99"/>
    <w:semiHidden/>
    <w:unhideWhenUsed/>
    <w:rsid w:val="000676AA"/>
    <w:rPr>
      <w:sz w:val="18"/>
      <w:szCs w:val="18"/>
    </w:rPr>
  </w:style>
  <w:style w:type="character" w:customStyle="1" w:styleId="Char1">
    <w:name w:val="批注框文本 Char"/>
    <w:basedOn w:val="a5"/>
    <w:link w:val="ac"/>
    <w:uiPriority w:val="99"/>
    <w:semiHidden/>
    <w:rsid w:val="000676AA"/>
    <w:rPr>
      <w:sz w:val="18"/>
      <w:szCs w:val="18"/>
    </w:rPr>
  </w:style>
  <w:style w:type="character" w:styleId="ad">
    <w:name w:val="Placeholder Text"/>
    <w:basedOn w:val="a5"/>
    <w:uiPriority w:val="99"/>
    <w:semiHidden/>
    <w:rsid w:val="008B7E39"/>
    <w:rPr>
      <w:color w:val="808080"/>
    </w:rPr>
  </w:style>
  <w:style w:type="character" w:styleId="ae">
    <w:name w:val="footnote reference"/>
    <w:unhideWhenUsed/>
    <w:qFormat/>
    <w:rsid w:val="00CC22C3"/>
    <w:rPr>
      <w:rFonts w:ascii="Times New Roman" w:eastAsia="宋体" w:hAnsi="Times New Roman" w:cs="Times New Roman"/>
      <w:vertAlign w:val="superscript"/>
    </w:rPr>
  </w:style>
  <w:style w:type="paragraph" w:styleId="af">
    <w:name w:val="footnote text"/>
    <w:basedOn w:val="a4"/>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a5"/>
    <w:link w:val="af"/>
    <w:qFormat/>
    <w:rsid w:val="00CC22C3"/>
    <w:rPr>
      <w:rFonts w:ascii="Calibri" w:eastAsia="宋体" w:hAnsi="Calibri" w:cs="Times New Roman"/>
      <w:sz w:val="18"/>
      <w:szCs w:val="24"/>
    </w:rPr>
  </w:style>
  <w:style w:type="character" w:customStyle="1" w:styleId="1Char">
    <w:name w:val="标题 1 Char"/>
    <w:basedOn w:val="a5"/>
    <w:link w:val="1"/>
    <w:uiPriority w:val="9"/>
    <w:rsid w:val="0006758E"/>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037CB"/>
    <w:pPr>
      <w:widowControl w:val="0"/>
      <w:jc w:val="both"/>
    </w:pPr>
  </w:style>
  <w:style w:type="paragraph" w:styleId="1">
    <w:name w:val="heading 1"/>
    <w:basedOn w:val="a4"/>
    <w:next w:val="a4"/>
    <w:link w:val="1Char"/>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5"/>
    <w:link w:val="aa"/>
    <w:uiPriority w:val="99"/>
    <w:rsid w:val="0092395F"/>
    <w:rPr>
      <w:sz w:val="18"/>
      <w:szCs w:val="18"/>
    </w:rPr>
  </w:style>
  <w:style w:type="paragraph" w:styleId="ab">
    <w:name w:val="footer"/>
    <w:basedOn w:val="a4"/>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a5"/>
    <w:link w:val="ab"/>
    <w:uiPriority w:val="99"/>
    <w:rsid w:val="0092395F"/>
    <w:rPr>
      <w:sz w:val="18"/>
      <w:szCs w:val="18"/>
    </w:rPr>
  </w:style>
  <w:style w:type="paragraph" w:styleId="ac">
    <w:name w:val="Balloon Text"/>
    <w:basedOn w:val="a4"/>
    <w:link w:val="Char1"/>
    <w:uiPriority w:val="99"/>
    <w:semiHidden/>
    <w:unhideWhenUsed/>
    <w:rsid w:val="000676AA"/>
    <w:rPr>
      <w:sz w:val="18"/>
      <w:szCs w:val="18"/>
    </w:rPr>
  </w:style>
  <w:style w:type="character" w:customStyle="1" w:styleId="Char1">
    <w:name w:val="批注框文本 Char"/>
    <w:basedOn w:val="a5"/>
    <w:link w:val="ac"/>
    <w:uiPriority w:val="99"/>
    <w:semiHidden/>
    <w:rsid w:val="000676AA"/>
    <w:rPr>
      <w:sz w:val="18"/>
      <w:szCs w:val="18"/>
    </w:rPr>
  </w:style>
  <w:style w:type="character" w:styleId="ad">
    <w:name w:val="Placeholder Text"/>
    <w:basedOn w:val="a5"/>
    <w:uiPriority w:val="99"/>
    <w:semiHidden/>
    <w:rsid w:val="008B7E39"/>
    <w:rPr>
      <w:color w:val="808080"/>
    </w:rPr>
  </w:style>
  <w:style w:type="character" w:styleId="ae">
    <w:name w:val="footnote reference"/>
    <w:unhideWhenUsed/>
    <w:qFormat/>
    <w:rsid w:val="00CC22C3"/>
    <w:rPr>
      <w:rFonts w:ascii="Times New Roman" w:eastAsia="宋体" w:hAnsi="Times New Roman" w:cs="Times New Roman"/>
      <w:vertAlign w:val="superscript"/>
    </w:rPr>
  </w:style>
  <w:style w:type="paragraph" w:styleId="af">
    <w:name w:val="footnote text"/>
    <w:basedOn w:val="a4"/>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a5"/>
    <w:link w:val="af"/>
    <w:qFormat/>
    <w:rsid w:val="00CC22C3"/>
    <w:rPr>
      <w:rFonts w:ascii="Calibri" w:eastAsia="宋体" w:hAnsi="Calibri" w:cs="Times New Roman"/>
      <w:sz w:val="18"/>
      <w:szCs w:val="24"/>
    </w:rPr>
  </w:style>
  <w:style w:type="character" w:customStyle="1" w:styleId="1Char">
    <w:name w:val="标题 1 Char"/>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0" Target="endnotes.xml" Type="http://schemas.openxmlformats.org/officeDocument/2006/relationships/endnotes"/>
<Relationship Id="rId11" Target="media/image1.png" Type="http://schemas.openxmlformats.org/officeDocument/2006/relationships/image"/>
<Relationship Id="rId28" Target="footer1.xml" Type="http://schemas.openxmlformats.org/officeDocument/2006/relationships/footer"/>
<Relationship Id="rId29" Target="fontTable.xml" Type="http://schemas.openxmlformats.org/officeDocument/2006/relationships/fontTable"/>
<Relationship Id="rId3" Target="../customXml/item3.xml" Type="http://schemas.openxmlformats.org/officeDocument/2006/relationships/customXml"/>
<Relationship Id="rId30" Target="glossary/document.xml" Type="http://schemas.openxmlformats.org/officeDocument/2006/relationships/glossaryDocument"/>
<Relationship Id="rId31"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C:/Users/Administrator/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
      <w:docPartPr>
        <w:name w:val="226CE6674A1D462090065CECAAD25E11"/>
        <w:category>
          <w:name w:val="常规"/>
          <w:gallery w:val="placeholder"/>
        </w:category>
        <w:types>
          <w:type w:val="bbPlcHdr"/>
        </w:types>
        <w:behaviors>
          <w:behavior w:val="content"/>
        </w:behaviors>
        <w:guid w:val="{D32689FC-521E-4021-B741-1667A0E74F50}"/>
      </w:docPartPr>
      <w:docPartBody>
        <w:p w:rsidR="00715015" w:rsidRDefault="00364A80" w:rsidP="00364A80">
          <w:pPr>
            <w:pStyle w:val="226CE6674A1D462090065CECAAD25E11"/>
          </w:pPr>
          <w:r w:rsidRPr="003F6076">
            <w:rPr>
              <w:rStyle w:val="a3"/>
              <w:rFonts w:hint="eastAsia"/>
            </w:rPr>
            <w:t>（空）</w:t>
          </w:r>
        </w:p>
      </w:docPartBody>
    </w:docPart>
    <w:docPart>
      <w:docPartPr>
        <w:name w:val="F1CB97DE94C74B4296CAEE6150D5030D"/>
        <w:category>
          <w:name w:val="常规"/>
          <w:gallery w:val="placeholder"/>
        </w:category>
        <w:types>
          <w:type w:val="bbPlcHdr"/>
        </w:types>
        <w:behaviors>
          <w:behavior w:val="content"/>
        </w:behaviors>
        <w:guid w:val="{AC8BADDC-94BF-474E-8863-FA53FEB19B8B}"/>
      </w:docPartPr>
      <w:docPartBody>
        <w:p w:rsidR="00715015" w:rsidRDefault="00364A80" w:rsidP="00364A80">
          <w:pPr>
            <w:pStyle w:val="F1CB97DE94C74B4296CAEE6150D5030D"/>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黑体简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F2290"/>
    <w:rsid w:val="000F2FFF"/>
    <w:rsid w:val="001123EE"/>
    <w:rsid w:val="00112FFF"/>
    <w:rsid w:val="0011621F"/>
    <w:rsid w:val="00116BAE"/>
    <w:rsid w:val="00121599"/>
    <w:rsid w:val="00127EA3"/>
    <w:rsid w:val="00143A5E"/>
    <w:rsid w:val="001463F3"/>
    <w:rsid w:val="00164D29"/>
    <w:rsid w:val="001672F9"/>
    <w:rsid w:val="001708B5"/>
    <w:rsid w:val="001711C8"/>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4A80"/>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15015"/>
    <w:rsid w:val="00725A42"/>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909A1"/>
    <w:rsid w:val="008C6D32"/>
    <w:rsid w:val="008D3C70"/>
    <w:rsid w:val="008D3E28"/>
    <w:rsid w:val="008D5F22"/>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81C80"/>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417CB"/>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C5B9A"/>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170"/>
    <w:rsid w:val="00EC052D"/>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A80"/>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 w:type="paragraph" w:customStyle="1" w:styleId="226CE6674A1D462090065CECAAD25E11">
    <w:name w:val="226CE6674A1D462090065CECAAD25E11"/>
    <w:rsid w:val="00364A80"/>
    <w:pPr>
      <w:widowControl w:val="0"/>
      <w:jc w:val="both"/>
    </w:pPr>
  </w:style>
  <w:style w:type="paragraph" w:customStyle="1" w:styleId="F1CB97DE94C74B4296CAEE6150D5030D">
    <w:name w:val="F1CB97DE94C74B4296CAEE6150D5030D"/>
    <w:rsid w:val="00364A8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A80"/>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 w:type="paragraph" w:customStyle="1" w:styleId="226CE6674A1D462090065CECAAD25E11">
    <w:name w:val="226CE6674A1D462090065CECAAD25E11"/>
    <w:rsid w:val="00364A80"/>
    <w:pPr>
      <w:widowControl w:val="0"/>
      <w:jc w:val="both"/>
    </w:pPr>
  </w:style>
  <w:style w:type="paragraph" w:customStyle="1" w:styleId="F1CB97DE94C74B4296CAEE6150D5030D">
    <w:name w:val="F1CB97DE94C74B4296CAEE6150D5030D"/>
    <w:rsid w:val="00364A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1F65B471-B724-4325-AD92-1B09EF5B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2875</Words>
  <Characters>3450</Characters>
  <Application>Microsoft Office Word</Application>
  <DocSecurity>0</DocSecurity>
  <Lines>690</Lines>
  <Paragraphs>1054</Paragraphs>
  <ScaleCrop>false</ScaleCrop>
  <Company>shenduxitong</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2025-12-05T09:44:00Z</dcterms:created>
  <dc:creator>Donghm</dc:creator>
  <cp:lastModifiedBy>Donghm</cp:lastModifiedBy>
  <dcterms:modified xsi:type="dcterms:W3CDTF">2025-12-05T09:44:00Z</dcterms:modified>
  <cp:revision>2</cp:revision>
</cp:coreProperties>
</file>