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F67" w:rsidRDefault="00092F67">
      <w:pPr>
        <w:tabs>
          <w:tab w:val="left" w:pos="6660"/>
        </w:tabs>
        <w:spacing w:line="360" w:lineRule="auto"/>
        <w:jc w:val="center"/>
        <w:rPr>
          <w:rFonts w:ascii="宋体" w:hAnsi="宋体"/>
          <w:b/>
          <w:sz w:val="44"/>
        </w:rPr>
      </w:pPr>
    </w:p>
    <w:p w:rsidR="00092F67" w:rsidRDefault="00092F67">
      <w:pPr>
        <w:spacing w:line="360" w:lineRule="auto"/>
        <w:jc w:val="center"/>
        <w:rPr>
          <w:rFonts w:ascii="宋体" w:hAnsi="宋体"/>
          <w:b/>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C901CF">
      <w:pPr>
        <w:widowControl/>
        <w:adjustRightInd w:val="0"/>
        <w:snapToGrid w:val="0"/>
        <w:spacing w:line="360" w:lineRule="auto"/>
        <w:jc w:val="center"/>
        <w:rPr>
          <w:rFonts w:ascii="黑体" w:eastAsia="黑体" w:hAnsi="黑体"/>
          <w:b/>
          <w:sz w:val="48"/>
          <w:szCs w:val="20"/>
        </w:rPr>
      </w:pPr>
      <w:bookmarkStart w:id="0" w:name="_Toc270669851"/>
      <w:bookmarkStart w:id="1" w:name="_Toc10604959"/>
      <w:bookmarkStart w:id="2" w:name="_Toc225938616"/>
      <w:bookmarkStart w:id="3" w:name="_Toc10554386"/>
      <w:bookmarkStart w:id="4" w:name="_Toc15987771"/>
      <w:r>
        <w:rPr>
          <w:rFonts w:ascii="黑体" w:eastAsia="黑体" w:hAnsi="黑体" w:hint="eastAsia"/>
          <w:b/>
          <w:sz w:val="48"/>
          <w:szCs w:val="20"/>
        </w:rPr>
        <w:t>嘉实鸿福安泰3个月持有期</w:t>
      </w:r>
    </w:p>
    <w:p w:rsidR="00092F67" w:rsidRDefault="00C901CF">
      <w:pPr>
        <w:spacing w:line="720" w:lineRule="auto"/>
        <w:jc w:val="center"/>
        <w:rPr>
          <w:rFonts w:ascii="黑体" w:eastAsia="黑体" w:hAnsi="黑体"/>
          <w:b/>
          <w:sz w:val="48"/>
          <w:szCs w:val="20"/>
        </w:rPr>
      </w:pPr>
      <w:r>
        <w:rPr>
          <w:rFonts w:ascii="黑体" w:eastAsia="黑体" w:hAnsi="黑体" w:hint="eastAsia"/>
          <w:b/>
          <w:sz w:val="48"/>
          <w:szCs w:val="20"/>
        </w:rPr>
        <w:t>混合型基金中基金（FOF）</w:t>
      </w:r>
    </w:p>
    <w:p w:rsidR="00092F67" w:rsidRDefault="00C901CF">
      <w:pPr>
        <w:spacing w:line="720" w:lineRule="auto"/>
        <w:jc w:val="center"/>
        <w:rPr>
          <w:rFonts w:ascii="黑体" w:eastAsia="黑体" w:hAnsi="黑体"/>
          <w:b/>
          <w:sz w:val="48"/>
          <w:szCs w:val="20"/>
        </w:rPr>
      </w:pPr>
      <w:r>
        <w:rPr>
          <w:rFonts w:ascii="黑体" w:eastAsia="黑体" w:hAnsi="黑体"/>
          <w:b/>
          <w:sz w:val="48"/>
          <w:szCs w:val="20"/>
        </w:rPr>
        <w:t>托管协议</w:t>
      </w:r>
      <w:bookmarkEnd w:id="0"/>
      <w:bookmarkEnd w:id="1"/>
      <w:bookmarkEnd w:id="2"/>
      <w:bookmarkEnd w:id="3"/>
      <w:bookmarkEnd w:id="4"/>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rPr>
          <w:rFonts w:ascii="宋体" w:hAnsi="宋体" w:cs="Arial"/>
          <w:color w:val="000000"/>
          <w:kern w:val="0"/>
          <w:sz w:val="24"/>
        </w:rPr>
      </w:pPr>
    </w:p>
    <w:p w:rsidR="00092F67" w:rsidRDefault="00092F67">
      <w:pPr>
        <w:widowControl/>
        <w:adjustRightInd w:val="0"/>
        <w:snapToGrid w:val="0"/>
        <w:spacing w:line="360" w:lineRule="auto"/>
        <w:ind w:firstLineChars="200" w:firstLine="480"/>
        <w:jc w:val="center"/>
        <w:rPr>
          <w:rFonts w:ascii="宋体" w:hAnsi="宋体" w:cs="Arial"/>
          <w:color w:val="000000"/>
          <w:kern w:val="0"/>
          <w:sz w:val="24"/>
        </w:rPr>
      </w:pPr>
    </w:p>
    <w:p w:rsidR="00092F67" w:rsidRDefault="00C901CF">
      <w:pPr>
        <w:jc w:val="center"/>
        <w:rPr>
          <w:rFonts w:ascii="黑体" w:eastAsia="黑体" w:hAnsi="黑体"/>
          <w:b/>
          <w:sz w:val="36"/>
          <w:szCs w:val="20"/>
        </w:rPr>
      </w:pPr>
      <w:r>
        <w:rPr>
          <w:rFonts w:ascii="黑体" w:eastAsia="黑体" w:hAnsi="黑体" w:hint="eastAsia"/>
          <w:b/>
          <w:sz w:val="36"/>
          <w:szCs w:val="20"/>
        </w:rPr>
        <w:t>基金管理人：嘉实基金管理有限公司</w:t>
      </w:r>
    </w:p>
    <w:p w:rsidR="00092F67" w:rsidRDefault="00C901CF">
      <w:pPr>
        <w:jc w:val="center"/>
        <w:rPr>
          <w:rFonts w:ascii="黑体" w:eastAsia="黑体" w:hAnsi="黑体"/>
          <w:b/>
          <w:sz w:val="36"/>
          <w:szCs w:val="20"/>
        </w:rPr>
      </w:pPr>
      <w:r>
        <w:rPr>
          <w:rFonts w:ascii="黑体" w:eastAsia="黑体" w:hAnsi="黑体" w:hint="eastAsia"/>
          <w:b/>
          <w:sz w:val="36"/>
          <w:szCs w:val="20"/>
        </w:rPr>
        <w:t>基金托管人：平安银行股份有限公司</w:t>
      </w:r>
    </w:p>
    <w:p w:rsidR="00092F67" w:rsidRDefault="00092F67">
      <w:pPr>
        <w:widowControl/>
        <w:adjustRightInd w:val="0"/>
        <w:snapToGrid w:val="0"/>
        <w:spacing w:line="360" w:lineRule="auto"/>
        <w:ind w:firstLineChars="200" w:firstLine="480"/>
        <w:jc w:val="left"/>
        <w:rPr>
          <w:rFonts w:ascii="宋体" w:hAnsi="宋体" w:cs="Arial"/>
          <w:color w:val="000000"/>
          <w:kern w:val="0"/>
          <w:sz w:val="24"/>
        </w:rPr>
      </w:pPr>
    </w:p>
    <w:p w:rsidR="00092F67" w:rsidRDefault="00C901CF">
      <w:pPr>
        <w:jc w:val="center"/>
        <w:rPr>
          <w:rFonts w:ascii="宋体" w:hAnsi="宋体" w:cs="Arial"/>
          <w:color w:val="000000"/>
          <w:kern w:val="0"/>
          <w:sz w:val="24"/>
        </w:rPr>
      </w:pPr>
      <w:bookmarkStart w:id="5" w:name="_Hlk116459078"/>
      <w:r>
        <w:rPr>
          <w:rFonts w:hint="eastAsia"/>
          <w:b/>
          <w:bCs/>
          <w:sz w:val="30"/>
        </w:rPr>
        <w:t>二〇二六年八月</w:t>
      </w:r>
      <w:bookmarkEnd w:id="5"/>
    </w:p>
    <w:p w:rsidR="002E41A0" w:rsidRDefault="002E41A0">
      <w:pPr>
        <w:widowControl/>
        <w:adjustRightInd w:val="0"/>
        <w:snapToGrid w:val="0"/>
        <w:spacing w:line="360" w:lineRule="auto"/>
        <w:ind w:firstLineChars="200" w:firstLine="480"/>
        <w:jc w:val="left"/>
        <w:rPr>
          <w:rFonts w:ascii="宋体" w:hAnsi="宋体" w:cs="Arial"/>
          <w:color w:val="000000"/>
          <w:kern w:val="0"/>
          <w:sz w:val="24"/>
        </w:rPr>
        <w:sectPr w:rsidR="002E41A0" w:rsidSect="002E41A0">
          <w:footerReference w:type="default" r:id="rId8"/>
          <w:pgSz w:w="11906" w:h="16838"/>
          <w:pgMar w:top="1440" w:right="1800" w:bottom="1440" w:left="1800" w:header="851" w:footer="992" w:gutter="0"/>
          <w:pgNumType w:start="1"/>
          <w:cols w:space="720"/>
          <w:docGrid w:type="lines" w:linePitch="312"/>
        </w:sectPr>
      </w:pPr>
    </w:p>
    <w:p w:rsidR="00092F67" w:rsidRDefault="00092F67">
      <w:pPr>
        <w:widowControl/>
        <w:adjustRightInd w:val="0"/>
        <w:snapToGrid w:val="0"/>
        <w:spacing w:line="360" w:lineRule="auto"/>
        <w:ind w:firstLineChars="200" w:firstLine="480"/>
        <w:jc w:val="left"/>
        <w:rPr>
          <w:rFonts w:ascii="宋体" w:hAnsi="宋体" w:cs="Arial"/>
          <w:color w:val="000000"/>
          <w:kern w:val="0"/>
          <w:sz w:val="24"/>
        </w:rPr>
      </w:pPr>
    </w:p>
    <w:p w:rsidR="002E41A0" w:rsidRDefault="002E41A0">
      <w:pPr>
        <w:spacing w:line="360" w:lineRule="auto"/>
        <w:jc w:val="center"/>
        <w:rPr>
          <w:rFonts w:ascii="宋体" w:hAnsi="宋体" w:cs="Arial"/>
          <w:color w:val="000000"/>
          <w:kern w:val="0"/>
          <w:sz w:val="24"/>
        </w:rPr>
      </w:pPr>
    </w:p>
    <w:p w:rsidR="002E41A0" w:rsidRDefault="002E41A0">
      <w:pPr>
        <w:spacing w:line="360" w:lineRule="auto"/>
        <w:jc w:val="center"/>
        <w:rPr>
          <w:rFonts w:ascii="宋体" w:hAnsi="宋体" w:cs="Arial"/>
          <w:sz w:val="24"/>
        </w:rPr>
      </w:pPr>
    </w:p>
    <w:p w:rsidR="002E41A0" w:rsidRDefault="002E41A0" w:rsidP="002E41A0">
      <w:pPr>
        <w:tabs>
          <w:tab w:val="left" w:pos="5340"/>
        </w:tabs>
        <w:spacing w:line="360" w:lineRule="auto"/>
        <w:jc w:val="left"/>
        <w:rPr>
          <w:rFonts w:ascii="宋体" w:hAnsi="宋体" w:cs="Arial"/>
          <w:sz w:val="24"/>
        </w:rPr>
      </w:pPr>
      <w:r>
        <w:rPr>
          <w:rFonts w:ascii="宋体" w:hAnsi="宋体" w:cs="Arial"/>
          <w:sz w:val="24"/>
        </w:rPr>
        <w:tab/>
      </w:r>
    </w:p>
    <w:p w:rsidR="00092F67" w:rsidRDefault="00C901CF">
      <w:pPr>
        <w:spacing w:line="360" w:lineRule="auto"/>
        <w:jc w:val="center"/>
        <w:rPr>
          <w:rFonts w:ascii="宋体" w:hAnsi="宋体"/>
          <w:b/>
          <w:sz w:val="28"/>
          <w:szCs w:val="20"/>
        </w:rPr>
      </w:pPr>
      <w:r w:rsidRPr="002E41A0">
        <w:rPr>
          <w:rFonts w:ascii="宋体" w:hAnsi="宋体" w:cs="Arial"/>
          <w:sz w:val="24"/>
        </w:rPr>
        <w:br w:type="page"/>
      </w:r>
      <w:bookmarkStart w:id="6" w:name="_Toc295410859"/>
      <w:r>
        <w:rPr>
          <w:rFonts w:ascii="宋体" w:hAnsi="宋体"/>
          <w:b/>
          <w:sz w:val="28"/>
          <w:szCs w:val="20"/>
        </w:rPr>
        <w:lastRenderedPageBreak/>
        <w:t>目</w:t>
      </w:r>
      <w:r>
        <w:rPr>
          <w:rFonts w:ascii="宋体" w:hAnsi="宋体" w:hint="eastAsia"/>
          <w:b/>
          <w:sz w:val="28"/>
          <w:szCs w:val="20"/>
        </w:rPr>
        <w:t xml:space="preserve">  </w:t>
      </w:r>
      <w:r>
        <w:rPr>
          <w:rFonts w:ascii="宋体" w:hAnsi="宋体"/>
          <w:b/>
          <w:sz w:val="28"/>
          <w:szCs w:val="20"/>
        </w:rPr>
        <w:t>录</w:t>
      </w:r>
      <w:bookmarkEnd w:id="6"/>
    </w:p>
    <w:p w:rsidR="00092F67" w:rsidRDefault="00C901CF">
      <w:pPr>
        <w:pStyle w:val="14"/>
        <w:tabs>
          <w:tab w:val="left" w:pos="840"/>
          <w:tab w:val="right" w:leader="dot" w:pos="8494"/>
        </w:tabs>
        <w:spacing w:line="360" w:lineRule="auto"/>
        <w:rPr>
          <w:rFonts w:ascii="Calibri" w:hAnsi="Calibri"/>
          <w:noProof/>
          <w:szCs w:val="22"/>
        </w:rPr>
      </w:pPr>
      <w:r>
        <w:rPr>
          <w:rFonts w:ascii="宋体" w:hAnsi="宋体"/>
          <w:b/>
          <w:sz w:val="24"/>
        </w:rPr>
        <w:fldChar w:fldCharType="begin"/>
      </w:r>
      <w:r>
        <w:rPr>
          <w:rFonts w:ascii="宋体" w:hAnsi="宋体"/>
          <w:b/>
          <w:sz w:val="24"/>
        </w:rPr>
        <w:instrText xml:space="preserve"> TOC \o "1-3" \h \z \u </w:instrText>
      </w:r>
      <w:r>
        <w:rPr>
          <w:rFonts w:ascii="宋体" w:hAnsi="宋体"/>
          <w:b/>
          <w:sz w:val="24"/>
        </w:rPr>
        <w:fldChar w:fldCharType="separate"/>
      </w:r>
      <w:hyperlink w:anchor="_Toc366835695" w:history="1">
        <w:r>
          <w:rPr>
            <w:rStyle w:val="af1"/>
            <w:rFonts w:ascii="宋体" w:hAnsi="宋体" w:hint="eastAsia"/>
            <w:noProof/>
          </w:rPr>
          <w:t>一、</w:t>
        </w:r>
        <w:r>
          <w:rPr>
            <w:rFonts w:ascii="Calibri" w:hAnsi="Calibri"/>
            <w:noProof/>
            <w:szCs w:val="22"/>
          </w:rPr>
          <w:tab/>
        </w:r>
        <w:r>
          <w:rPr>
            <w:rStyle w:val="af1"/>
            <w:rFonts w:ascii="宋体" w:hAnsi="宋体" w:hint="eastAsia"/>
            <w:noProof/>
          </w:rPr>
          <w:t>基金托管协议当事人</w:t>
        </w:r>
        <w:r>
          <w:rPr>
            <w:noProof/>
          </w:rPr>
          <w:tab/>
        </w:r>
        <w:r>
          <w:rPr>
            <w:noProof/>
          </w:rPr>
          <w:fldChar w:fldCharType="begin"/>
        </w:r>
        <w:r>
          <w:rPr>
            <w:noProof/>
          </w:rPr>
          <w:instrText xml:space="preserve"> PAGEREF _Toc366835695 \h </w:instrText>
        </w:r>
        <w:r>
          <w:rPr>
            <w:noProof/>
          </w:rPr>
        </w:r>
        <w:r>
          <w:rPr>
            <w:noProof/>
          </w:rPr>
          <w:fldChar w:fldCharType="separate"/>
        </w:r>
        <w:r w:rsidR="00D52EB7">
          <w:rPr>
            <w:noProof/>
          </w:rPr>
          <w:t>4</w:t>
        </w:r>
        <w:r>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696" w:history="1">
        <w:r w:rsidR="00C901CF">
          <w:rPr>
            <w:rStyle w:val="af1"/>
            <w:rFonts w:ascii="宋体" w:hAnsi="宋体" w:hint="eastAsia"/>
            <w:noProof/>
          </w:rPr>
          <w:t>二、</w:t>
        </w:r>
        <w:r w:rsidR="00C901CF">
          <w:rPr>
            <w:rFonts w:ascii="Calibri" w:hAnsi="Calibri"/>
            <w:noProof/>
            <w:szCs w:val="22"/>
          </w:rPr>
          <w:tab/>
        </w:r>
        <w:r w:rsidR="00C901CF">
          <w:rPr>
            <w:rStyle w:val="af1"/>
            <w:rFonts w:ascii="宋体" w:hAnsi="宋体" w:hint="eastAsia"/>
            <w:noProof/>
          </w:rPr>
          <w:t>基金托管协议的依据、目的和原则</w:t>
        </w:r>
        <w:r w:rsidR="00C901CF">
          <w:rPr>
            <w:noProof/>
          </w:rPr>
          <w:tab/>
        </w:r>
        <w:r w:rsidR="00C901CF">
          <w:rPr>
            <w:noProof/>
          </w:rPr>
          <w:fldChar w:fldCharType="begin"/>
        </w:r>
        <w:r w:rsidR="00C901CF">
          <w:rPr>
            <w:noProof/>
          </w:rPr>
          <w:instrText xml:space="preserve"> PAGEREF _Toc366835696 \h </w:instrText>
        </w:r>
        <w:r w:rsidR="00C901CF">
          <w:rPr>
            <w:noProof/>
          </w:rPr>
        </w:r>
        <w:r w:rsidR="00C901CF">
          <w:rPr>
            <w:noProof/>
          </w:rPr>
          <w:fldChar w:fldCharType="separate"/>
        </w:r>
        <w:r w:rsidR="00D52EB7">
          <w:rPr>
            <w:noProof/>
          </w:rPr>
          <w:t>6</w:t>
        </w:r>
        <w:r w:rsidR="00C901CF">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697" w:history="1">
        <w:r w:rsidR="00C901CF">
          <w:rPr>
            <w:rStyle w:val="af1"/>
            <w:rFonts w:hint="eastAsia"/>
            <w:noProof/>
          </w:rPr>
          <w:t>三、</w:t>
        </w:r>
        <w:r w:rsidR="00C901CF">
          <w:rPr>
            <w:rFonts w:ascii="Calibri" w:hAnsi="Calibri"/>
            <w:noProof/>
            <w:szCs w:val="22"/>
          </w:rPr>
          <w:tab/>
        </w:r>
        <w:r w:rsidR="00C901CF">
          <w:rPr>
            <w:rStyle w:val="af1"/>
            <w:rFonts w:ascii="宋体" w:hAnsi="宋体" w:hint="eastAsia"/>
            <w:noProof/>
          </w:rPr>
          <w:t>基金托管人对基</w:t>
        </w:r>
        <w:bookmarkStart w:id="7" w:name="_Hlt143761854"/>
        <w:r w:rsidR="00C901CF">
          <w:rPr>
            <w:rStyle w:val="af1"/>
            <w:rFonts w:ascii="宋体" w:hAnsi="宋体" w:hint="eastAsia"/>
            <w:noProof/>
          </w:rPr>
          <w:t>金</w:t>
        </w:r>
        <w:bookmarkEnd w:id="7"/>
        <w:r w:rsidR="00C901CF">
          <w:rPr>
            <w:rStyle w:val="af1"/>
            <w:rFonts w:ascii="宋体" w:hAnsi="宋体" w:hint="eastAsia"/>
            <w:noProof/>
          </w:rPr>
          <w:t>管理人的业务监督和核查</w:t>
        </w:r>
        <w:r w:rsidR="00C901CF">
          <w:rPr>
            <w:noProof/>
          </w:rPr>
          <w:tab/>
        </w:r>
        <w:r w:rsidR="00C901CF">
          <w:rPr>
            <w:noProof/>
          </w:rPr>
          <w:fldChar w:fldCharType="begin"/>
        </w:r>
        <w:r w:rsidR="00C901CF">
          <w:rPr>
            <w:noProof/>
          </w:rPr>
          <w:instrText xml:space="preserve"> PAGEREF _Toc366835697 \h </w:instrText>
        </w:r>
        <w:r w:rsidR="00C901CF">
          <w:rPr>
            <w:noProof/>
          </w:rPr>
        </w:r>
        <w:r w:rsidR="00C901CF">
          <w:rPr>
            <w:noProof/>
          </w:rPr>
          <w:fldChar w:fldCharType="separate"/>
        </w:r>
        <w:r w:rsidR="00D52EB7">
          <w:rPr>
            <w:noProof/>
          </w:rPr>
          <w:t>7</w:t>
        </w:r>
        <w:r w:rsidR="00C901CF">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698" w:history="1">
        <w:r w:rsidR="00C901CF">
          <w:rPr>
            <w:rStyle w:val="af1"/>
            <w:rFonts w:ascii="宋体" w:hAnsi="宋体" w:hint="eastAsia"/>
            <w:noProof/>
          </w:rPr>
          <w:t>四、</w:t>
        </w:r>
        <w:r w:rsidR="00C901CF">
          <w:rPr>
            <w:rFonts w:ascii="Calibri" w:hAnsi="Calibri"/>
            <w:noProof/>
            <w:szCs w:val="22"/>
          </w:rPr>
          <w:tab/>
        </w:r>
        <w:r w:rsidR="00C901CF">
          <w:rPr>
            <w:rStyle w:val="af1"/>
            <w:rFonts w:ascii="宋体" w:hAnsi="宋体" w:hint="eastAsia"/>
            <w:noProof/>
          </w:rPr>
          <w:t>基金管理人对基金托管人的业务核查</w:t>
        </w:r>
        <w:r w:rsidR="00C901CF">
          <w:rPr>
            <w:noProof/>
          </w:rPr>
          <w:tab/>
        </w:r>
        <w:r w:rsidR="00C901CF">
          <w:rPr>
            <w:noProof/>
          </w:rPr>
          <w:fldChar w:fldCharType="begin"/>
        </w:r>
        <w:r w:rsidR="00C901CF">
          <w:rPr>
            <w:noProof/>
          </w:rPr>
          <w:instrText xml:space="preserve"> PAGEREF _Toc366835698 \h </w:instrText>
        </w:r>
        <w:r w:rsidR="00C901CF">
          <w:rPr>
            <w:noProof/>
          </w:rPr>
        </w:r>
        <w:r w:rsidR="00C901CF">
          <w:rPr>
            <w:noProof/>
          </w:rPr>
          <w:fldChar w:fldCharType="separate"/>
        </w:r>
        <w:r w:rsidR="00D52EB7">
          <w:rPr>
            <w:noProof/>
          </w:rPr>
          <w:t>13</w:t>
        </w:r>
        <w:r w:rsidR="00C901CF">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699" w:history="1">
        <w:r w:rsidR="00C901CF">
          <w:rPr>
            <w:rStyle w:val="af1"/>
            <w:rFonts w:ascii="宋体" w:hAnsi="宋体" w:hint="eastAsia"/>
            <w:noProof/>
          </w:rPr>
          <w:t>五、</w:t>
        </w:r>
        <w:r w:rsidR="00C901CF">
          <w:rPr>
            <w:rFonts w:ascii="Calibri" w:hAnsi="Calibri"/>
            <w:noProof/>
            <w:szCs w:val="22"/>
          </w:rPr>
          <w:tab/>
        </w:r>
        <w:r w:rsidR="00C901CF">
          <w:rPr>
            <w:rStyle w:val="af1"/>
            <w:rFonts w:ascii="宋体" w:hAnsi="宋体" w:hint="eastAsia"/>
            <w:noProof/>
          </w:rPr>
          <w:t>基金财产的</w:t>
        </w:r>
        <w:bookmarkStart w:id="8" w:name="_Hlt229503861"/>
        <w:bookmarkStart w:id="9" w:name="_Hlt229503860"/>
        <w:r w:rsidR="00C901CF">
          <w:rPr>
            <w:rStyle w:val="af1"/>
            <w:rFonts w:ascii="宋体" w:hAnsi="宋体" w:hint="eastAsia"/>
            <w:noProof/>
          </w:rPr>
          <w:t>保</w:t>
        </w:r>
        <w:bookmarkEnd w:id="8"/>
        <w:bookmarkEnd w:id="9"/>
        <w:r w:rsidR="00C901CF">
          <w:rPr>
            <w:rStyle w:val="af1"/>
            <w:rFonts w:ascii="宋体" w:hAnsi="宋体" w:hint="eastAsia"/>
            <w:noProof/>
          </w:rPr>
          <w:t>管</w:t>
        </w:r>
        <w:r w:rsidR="00C901CF">
          <w:rPr>
            <w:noProof/>
          </w:rPr>
          <w:tab/>
        </w:r>
        <w:r w:rsidR="00C901CF">
          <w:rPr>
            <w:noProof/>
          </w:rPr>
          <w:fldChar w:fldCharType="begin"/>
        </w:r>
        <w:r w:rsidR="00C901CF">
          <w:rPr>
            <w:noProof/>
          </w:rPr>
          <w:instrText xml:space="preserve"> PAGEREF _Toc366835699 \h </w:instrText>
        </w:r>
        <w:r w:rsidR="00C901CF">
          <w:rPr>
            <w:noProof/>
          </w:rPr>
        </w:r>
        <w:r w:rsidR="00C901CF">
          <w:rPr>
            <w:noProof/>
          </w:rPr>
          <w:fldChar w:fldCharType="separate"/>
        </w:r>
        <w:r w:rsidR="00D52EB7">
          <w:rPr>
            <w:noProof/>
          </w:rPr>
          <w:t>14</w:t>
        </w:r>
        <w:r w:rsidR="00C901CF">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700" w:history="1">
        <w:r w:rsidR="00C901CF">
          <w:rPr>
            <w:rStyle w:val="af1"/>
            <w:rFonts w:ascii="宋体" w:hAnsi="宋体" w:hint="eastAsia"/>
            <w:noProof/>
          </w:rPr>
          <w:t>六、</w:t>
        </w:r>
        <w:r w:rsidR="00C901CF">
          <w:rPr>
            <w:rFonts w:ascii="Calibri" w:hAnsi="Calibri"/>
            <w:noProof/>
            <w:szCs w:val="22"/>
          </w:rPr>
          <w:tab/>
        </w:r>
        <w:r w:rsidR="00C901CF">
          <w:rPr>
            <w:rStyle w:val="af1"/>
            <w:rFonts w:ascii="宋体" w:hAnsi="宋体" w:hint="eastAsia"/>
            <w:noProof/>
          </w:rPr>
          <w:t>指令的发送、确认及执行</w:t>
        </w:r>
        <w:r w:rsidR="00C901CF">
          <w:rPr>
            <w:noProof/>
          </w:rPr>
          <w:tab/>
        </w:r>
        <w:r w:rsidR="00C901CF">
          <w:rPr>
            <w:noProof/>
          </w:rPr>
          <w:fldChar w:fldCharType="begin"/>
        </w:r>
        <w:r w:rsidR="00C901CF">
          <w:rPr>
            <w:noProof/>
          </w:rPr>
          <w:instrText xml:space="preserve"> PAGEREF _Toc366835700 \h </w:instrText>
        </w:r>
        <w:r w:rsidR="00C901CF">
          <w:rPr>
            <w:noProof/>
          </w:rPr>
        </w:r>
        <w:r w:rsidR="00C901CF">
          <w:rPr>
            <w:noProof/>
          </w:rPr>
          <w:fldChar w:fldCharType="separate"/>
        </w:r>
        <w:r w:rsidR="00D52EB7">
          <w:rPr>
            <w:noProof/>
          </w:rPr>
          <w:t>17</w:t>
        </w:r>
        <w:r w:rsidR="00C901CF">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701" w:history="1">
        <w:r w:rsidR="00C901CF">
          <w:rPr>
            <w:rStyle w:val="af1"/>
            <w:rFonts w:ascii="宋体" w:hAnsi="宋体" w:hint="eastAsia"/>
            <w:noProof/>
          </w:rPr>
          <w:t>七、</w:t>
        </w:r>
        <w:r w:rsidR="00C901CF">
          <w:rPr>
            <w:rFonts w:ascii="Calibri" w:hAnsi="Calibri"/>
            <w:noProof/>
            <w:szCs w:val="22"/>
          </w:rPr>
          <w:tab/>
        </w:r>
        <w:r w:rsidR="00C901CF">
          <w:rPr>
            <w:rStyle w:val="af1"/>
            <w:rFonts w:ascii="宋体" w:hAnsi="宋体" w:hint="eastAsia"/>
            <w:noProof/>
          </w:rPr>
          <w:t>交易及清算交收安排</w:t>
        </w:r>
        <w:r w:rsidR="00C901CF">
          <w:rPr>
            <w:noProof/>
          </w:rPr>
          <w:tab/>
        </w:r>
        <w:r w:rsidR="00C901CF">
          <w:rPr>
            <w:noProof/>
          </w:rPr>
          <w:fldChar w:fldCharType="begin"/>
        </w:r>
        <w:r w:rsidR="00C901CF">
          <w:rPr>
            <w:noProof/>
          </w:rPr>
          <w:instrText xml:space="preserve"> PAGEREF _Toc366835701 \h </w:instrText>
        </w:r>
        <w:r w:rsidR="00C901CF">
          <w:rPr>
            <w:noProof/>
          </w:rPr>
        </w:r>
        <w:r w:rsidR="00C901CF">
          <w:rPr>
            <w:noProof/>
          </w:rPr>
          <w:fldChar w:fldCharType="separate"/>
        </w:r>
        <w:r w:rsidR="00D52EB7">
          <w:rPr>
            <w:noProof/>
          </w:rPr>
          <w:t>21</w:t>
        </w:r>
        <w:r w:rsidR="00C901CF">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702" w:history="1">
        <w:r w:rsidR="00C901CF">
          <w:rPr>
            <w:rStyle w:val="af1"/>
            <w:rFonts w:ascii="宋体" w:hAnsi="宋体" w:hint="eastAsia"/>
            <w:noProof/>
          </w:rPr>
          <w:t>八、</w:t>
        </w:r>
        <w:r w:rsidR="00C901CF">
          <w:rPr>
            <w:rFonts w:ascii="Calibri" w:hAnsi="Calibri"/>
            <w:noProof/>
            <w:szCs w:val="22"/>
          </w:rPr>
          <w:tab/>
        </w:r>
        <w:r w:rsidR="00C901CF">
          <w:rPr>
            <w:rStyle w:val="af1"/>
            <w:rFonts w:ascii="宋体" w:hAnsi="宋体" w:hint="eastAsia"/>
            <w:noProof/>
          </w:rPr>
          <w:t>基金资产净值计算和会计核算</w:t>
        </w:r>
        <w:r w:rsidR="00C901CF">
          <w:rPr>
            <w:noProof/>
          </w:rPr>
          <w:tab/>
        </w:r>
        <w:r w:rsidR="00C901CF">
          <w:rPr>
            <w:noProof/>
          </w:rPr>
          <w:fldChar w:fldCharType="begin"/>
        </w:r>
        <w:r w:rsidR="00C901CF">
          <w:rPr>
            <w:noProof/>
          </w:rPr>
          <w:instrText xml:space="preserve"> PAGEREF _Toc366835702 \h </w:instrText>
        </w:r>
        <w:r w:rsidR="00C901CF">
          <w:rPr>
            <w:noProof/>
          </w:rPr>
        </w:r>
        <w:r w:rsidR="00C901CF">
          <w:rPr>
            <w:noProof/>
          </w:rPr>
          <w:fldChar w:fldCharType="separate"/>
        </w:r>
        <w:r w:rsidR="00D52EB7">
          <w:rPr>
            <w:noProof/>
          </w:rPr>
          <w:t>26</w:t>
        </w:r>
        <w:r w:rsidR="00C901CF">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703" w:history="1">
        <w:r w:rsidR="00C901CF">
          <w:rPr>
            <w:rStyle w:val="af1"/>
            <w:rFonts w:ascii="宋体" w:hAnsi="宋体" w:hint="eastAsia"/>
            <w:noProof/>
          </w:rPr>
          <w:t>九、</w:t>
        </w:r>
        <w:r w:rsidR="00C901CF">
          <w:rPr>
            <w:rFonts w:ascii="Calibri" w:hAnsi="Calibri"/>
            <w:noProof/>
            <w:szCs w:val="22"/>
          </w:rPr>
          <w:tab/>
        </w:r>
        <w:r w:rsidR="00C901CF">
          <w:rPr>
            <w:rStyle w:val="af1"/>
            <w:rFonts w:ascii="宋体" w:hAnsi="宋体" w:hint="eastAsia"/>
            <w:noProof/>
          </w:rPr>
          <w:t>基金收益分配</w:t>
        </w:r>
        <w:r w:rsidR="00C901CF">
          <w:rPr>
            <w:noProof/>
          </w:rPr>
          <w:tab/>
        </w:r>
        <w:r w:rsidR="00C901CF">
          <w:rPr>
            <w:noProof/>
          </w:rPr>
          <w:fldChar w:fldCharType="begin"/>
        </w:r>
        <w:r w:rsidR="00C901CF">
          <w:rPr>
            <w:noProof/>
          </w:rPr>
          <w:instrText xml:space="preserve"> PAGEREF _Toc366835703 \h </w:instrText>
        </w:r>
        <w:r w:rsidR="00C901CF">
          <w:rPr>
            <w:noProof/>
          </w:rPr>
        </w:r>
        <w:r w:rsidR="00C901CF">
          <w:rPr>
            <w:noProof/>
          </w:rPr>
          <w:fldChar w:fldCharType="separate"/>
        </w:r>
        <w:r w:rsidR="00D52EB7">
          <w:rPr>
            <w:noProof/>
          </w:rPr>
          <w:t>35</w:t>
        </w:r>
        <w:r w:rsidR="00C901CF">
          <w:rPr>
            <w:noProof/>
          </w:rPr>
          <w:fldChar w:fldCharType="end"/>
        </w:r>
      </w:hyperlink>
    </w:p>
    <w:p w:rsidR="00092F67" w:rsidRDefault="00960EA0">
      <w:pPr>
        <w:pStyle w:val="14"/>
        <w:tabs>
          <w:tab w:val="left" w:pos="840"/>
          <w:tab w:val="right" w:leader="dot" w:pos="8494"/>
        </w:tabs>
        <w:spacing w:line="360" w:lineRule="auto"/>
        <w:rPr>
          <w:rFonts w:ascii="Calibri" w:hAnsi="Calibri"/>
          <w:noProof/>
          <w:szCs w:val="22"/>
        </w:rPr>
      </w:pPr>
      <w:hyperlink w:anchor="_Toc366835704" w:history="1">
        <w:r w:rsidR="00C901CF">
          <w:rPr>
            <w:rStyle w:val="af1"/>
            <w:rFonts w:ascii="宋体" w:hAnsi="宋体" w:hint="eastAsia"/>
            <w:noProof/>
          </w:rPr>
          <w:t>十、</w:t>
        </w:r>
        <w:r w:rsidR="00C901CF">
          <w:rPr>
            <w:rFonts w:ascii="Calibri" w:hAnsi="Calibri"/>
            <w:noProof/>
            <w:szCs w:val="22"/>
          </w:rPr>
          <w:tab/>
        </w:r>
        <w:r w:rsidR="00C901CF">
          <w:rPr>
            <w:rStyle w:val="af1"/>
            <w:rFonts w:ascii="宋体" w:hAnsi="宋体" w:hint="eastAsia"/>
            <w:noProof/>
          </w:rPr>
          <w:t>基金信息披露</w:t>
        </w:r>
        <w:r w:rsidR="00C901CF">
          <w:rPr>
            <w:noProof/>
          </w:rPr>
          <w:tab/>
        </w:r>
        <w:r w:rsidR="00C901CF">
          <w:rPr>
            <w:noProof/>
          </w:rPr>
          <w:fldChar w:fldCharType="begin"/>
        </w:r>
        <w:r w:rsidR="00C901CF">
          <w:rPr>
            <w:noProof/>
          </w:rPr>
          <w:instrText xml:space="preserve"> PAGEREF _Toc366835704 \h </w:instrText>
        </w:r>
        <w:r w:rsidR="00C901CF">
          <w:rPr>
            <w:noProof/>
          </w:rPr>
        </w:r>
        <w:r w:rsidR="00C901CF">
          <w:rPr>
            <w:noProof/>
          </w:rPr>
          <w:fldChar w:fldCharType="separate"/>
        </w:r>
        <w:r w:rsidR="00D52EB7">
          <w:rPr>
            <w:noProof/>
          </w:rPr>
          <w:t>37</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05" w:history="1">
        <w:r w:rsidR="00C901CF">
          <w:rPr>
            <w:rStyle w:val="af1"/>
            <w:rFonts w:ascii="宋体" w:hAnsi="宋体" w:hint="eastAsia"/>
            <w:noProof/>
          </w:rPr>
          <w:t>十一、</w:t>
        </w:r>
        <w:r w:rsidR="00C901CF">
          <w:rPr>
            <w:rFonts w:ascii="Calibri" w:hAnsi="Calibri"/>
            <w:noProof/>
            <w:szCs w:val="22"/>
          </w:rPr>
          <w:tab/>
        </w:r>
        <w:r w:rsidR="00C901CF">
          <w:rPr>
            <w:rStyle w:val="af1"/>
            <w:rFonts w:ascii="宋体" w:hAnsi="宋体" w:hint="eastAsia"/>
            <w:noProof/>
          </w:rPr>
          <w:t>基金费</w:t>
        </w:r>
        <w:bookmarkStart w:id="10" w:name="_Hlt183592271"/>
        <w:bookmarkStart w:id="11" w:name="_Hlt183592270"/>
        <w:r w:rsidR="00C901CF">
          <w:rPr>
            <w:rStyle w:val="af1"/>
            <w:rFonts w:ascii="宋体" w:hAnsi="宋体" w:hint="eastAsia"/>
            <w:noProof/>
          </w:rPr>
          <w:t>用</w:t>
        </w:r>
        <w:bookmarkEnd w:id="10"/>
        <w:bookmarkEnd w:id="11"/>
        <w:r w:rsidR="00C901CF">
          <w:rPr>
            <w:noProof/>
          </w:rPr>
          <w:tab/>
        </w:r>
        <w:r w:rsidR="00C901CF">
          <w:rPr>
            <w:noProof/>
          </w:rPr>
          <w:fldChar w:fldCharType="begin"/>
        </w:r>
        <w:r w:rsidR="00C901CF">
          <w:rPr>
            <w:noProof/>
          </w:rPr>
          <w:instrText xml:space="preserve"> PAGEREF _Toc366835705 \h </w:instrText>
        </w:r>
        <w:r w:rsidR="00C901CF">
          <w:rPr>
            <w:noProof/>
          </w:rPr>
        </w:r>
        <w:r w:rsidR="00C901CF">
          <w:rPr>
            <w:noProof/>
          </w:rPr>
          <w:fldChar w:fldCharType="separate"/>
        </w:r>
        <w:r w:rsidR="00D52EB7">
          <w:rPr>
            <w:noProof/>
          </w:rPr>
          <w:t>39</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06" w:history="1">
        <w:r w:rsidR="00C901CF">
          <w:rPr>
            <w:rStyle w:val="af1"/>
            <w:rFonts w:ascii="宋体" w:hAnsi="宋体" w:hint="eastAsia"/>
            <w:noProof/>
          </w:rPr>
          <w:t>十二、</w:t>
        </w:r>
        <w:r w:rsidR="00C901CF">
          <w:rPr>
            <w:rFonts w:ascii="Calibri" w:hAnsi="Calibri"/>
            <w:noProof/>
            <w:szCs w:val="22"/>
          </w:rPr>
          <w:tab/>
        </w:r>
        <w:r w:rsidR="00C901CF">
          <w:rPr>
            <w:rStyle w:val="af1"/>
            <w:rFonts w:ascii="宋体" w:hAnsi="宋体" w:hint="eastAsia"/>
            <w:noProof/>
          </w:rPr>
          <w:t>基金份额持有人名册的保管</w:t>
        </w:r>
        <w:r w:rsidR="00C901CF">
          <w:rPr>
            <w:noProof/>
          </w:rPr>
          <w:tab/>
        </w:r>
        <w:r w:rsidR="00C901CF">
          <w:rPr>
            <w:noProof/>
          </w:rPr>
          <w:fldChar w:fldCharType="begin"/>
        </w:r>
        <w:r w:rsidR="00C901CF">
          <w:rPr>
            <w:noProof/>
          </w:rPr>
          <w:instrText xml:space="preserve"> PAGEREF _Toc366835706 \h </w:instrText>
        </w:r>
        <w:r w:rsidR="00C901CF">
          <w:rPr>
            <w:noProof/>
          </w:rPr>
        </w:r>
        <w:r w:rsidR="00C901CF">
          <w:rPr>
            <w:noProof/>
          </w:rPr>
          <w:fldChar w:fldCharType="separate"/>
        </w:r>
        <w:r w:rsidR="00D52EB7">
          <w:rPr>
            <w:noProof/>
          </w:rPr>
          <w:t>42</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07" w:history="1">
        <w:r w:rsidR="00C901CF">
          <w:rPr>
            <w:rStyle w:val="af1"/>
            <w:rFonts w:ascii="宋体" w:hAnsi="宋体" w:hint="eastAsia"/>
            <w:noProof/>
          </w:rPr>
          <w:t>十三、</w:t>
        </w:r>
        <w:r w:rsidR="00C901CF">
          <w:rPr>
            <w:rFonts w:ascii="Calibri" w:hAnsi="Calibri"/>
            <w:noProof/>
            <w:szCs w:val="22"/>
          </w:rPr>
          <w:tab/>
        </w:r>
        <w:r w:rsidR="00C901CF">
          <w:rPr>
            <w:rStyle w:val="af1"/>
            <w:rFonts w:ascii="宋体" w:hAnsi="宋体" w:hint="eastAsia"/>
            <w:noProof/>
          </w:rPr>
          <w:t>基金有关文件档案的保存</w:t>
        </w:r>
        <w:r w:rsidR="00C901CF">
          <w:rPr>
            <w:noProof/>
          </w:rPr>
          <w:tab/>
        </w:r>
        <w:r w:rsidR="00C901CF">
          <w:rPr>
            <w:noProof/>
          </w:rPr>
          <w:fldChar w:fldCharType="begin"/>
        </w:r>
        <w:r w:rsidR="00C901CF">
          <w:rPr>
            <w:noProof/>
          </w:rPr>
          <w:instrText xml:space="preserve"> PAGEREF _Toc366835707 \h </w:instrText>
        </w:r>
        <w:r w:rsidR="00C901CF">
          <w:rPr>
            <w:noProof/>
          </w:rPr>
        </w:r>
        <w:r w:rsidR="00C901CF">
          <w:rPr>
            <w:noProof/>
          </w:rPr>
          <w:fldChar w:fldCharType="separate"/>
        </w:r>
        <w:r w:rsidR="00D52EB7">
          <w:rPr>
            <w:noProof/>
          </w:rPr>
          <w:t>43</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08" w:history="1">
        <w:r w:rsidR="00C901CF">
          <w:rPr>
            <w:rStyle w:val="af1"/>
            <w:rFonts w:hint="eastAsia"/>
            <w:noProof/>
          </w:rPr>
          <w:t>十四、</w:t>
        </w:r>
        <w:r w:rsidR="00C901CF">
          <w:rPr>
            <w:rFonts w:ascii="Calibri" w:hAnsi="Calibri"/>
            <w:noProof/>
            <w:szCs w:val="22"/>
          </w:rPr>
          <w:tab/>
        </w:r>
        <w:r w:rsidR="00C901CF">
          <w:rPr>
            <w:rStyle w:val="af1"/>
            <w:rFonts w:ascii="宋体" w:hAnsi="宋体" w:hint="eastAsia"/>
            <w:noProof/>
          </w:rPr>
          <w:t>基金管理人和基金托管人的更换</w:t>
        </w:r>
        <w:r w:rsidR="00C901CF">
          <w:rPr>
            <w:noProof/>
          </w:rPr>
          <w:tab/>
        </w:r>
        <w:r w:rsidR="00C901CF">
          <w:rPr>
            <w:noProof/>
          </w:rPr>
          <w:fldChar w:fldCharType="begin"/>
        </w:r>
        <w:r w:rsidR="00C901CF">
          <w:rPr>
            <w:noProof/>
          </w:rPr>
          <w:instrText xml:space="preserve"> PAGEREF _Toc366835708 \h </w:instrText>
        </w:r>
        <w:r w:rsidR="00C901CF">
          <w:rPr>
            <w:noProof/>
          </w:rPr>
        </w:r>
        <w:r w:rsidR="00C901CF">
          <w:rPr>
            <w:noProof/>
          </w:rPr>
          <w:fldChar w:fldCharType="separate"/>
        </w:r>
        <w:r w:rsidR="00D52EB7">
          <w:rPr>
            <w:noProof/>
          </w:rPr>
          <w:t>44</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09" w:history="1">
        <w:r w:rsidR="00C901CF">
          <w:rPr>
            <w:rStyle w:val="af1"/>
            <w:rFonts w:ascii="宋体" w:hAnsi="宋体" w:hint="eastAsia"/>
            <w:noProof/>
          </w:rPr>
          <w:t>十五、</w:t>
        </w:r>
        <w:r w:rsidR="00C901CF">
          <w:rPr>
            <w:rFonts w:ascii="Calibri" w:hAnsi="Calibri"/>
            <w:noProof/>
            <w:szCs w:val="22"/>
          </w:rPr>
          <w:tab/>
        </w:r>
        <w:r w:rsidR="00C901CF">
          <w:rPr>
            <w:rStyle w:val="af1"/>
            <w:rFonts w:ascii="宋体" w:hAnsi="宋体" w:hint="eastAsia"/>
            <w:noProof/>
          </w:rPr>
          <w:t>禁止行为</w:t>
        </w:r>
        <w:r w:rsidR="00C901CF">
          <w:rPr>
            <w:noProof/>
          </w:rPr>
          <w:tab/>
        </w:r>
        <w:bookmarkStart w:id="12" w:name="_GoBack"/>
        <w:bookmarkEnd w:id="12"/>
        <w:r w:rsidR="00C901CF">
          <w:rPr>
            <w:noProof/>
          </w:rPr>
          <w:fldChar w:fldCharType="begin"/>
        </w:r>
        <w:r w:rsidR="00C901CF">
          <w:rPr>
            <w:noProof/>
          </w:rPr>
          <w:instrText xml:space="preserve"> PAGEREF _Toc366835709 \h </w:instrText>
        </w:r>
        <w:r w:rsidR="00C901CF">
          <w:rPr>
            <w:noProof/>
          </w:rPr>
        </w:r>
        <w:r w:rsidR="00C901CF">
          <w:rPr>
            <w:noProof/>
          </w:rPr>
          <w:fldChar w:fldCharType="separate"/>
        </w:r>
        <w:r w:rsidR="00D52EB7">
          <w:rPr>
            <w:noProof/>
          </w:rPr>
          <w:t>47</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10" w:history="1">
        <w:r w:rsidR="00C901CF">
          <w:rPr>
            <w:rStyle w:val="af1"/>
            <w:rFonts w:ascii="宋体" w:hAnsi="宋体" w:hint="eastAsia"/>
            <w:noProof/>
          </w:rPr>
          <w:t>十六、</w:t>
        </w:r>
        <w:r w:rsidR="00C901CF">
          <w:rPr>
            <w:rFonts w:ascii="Calibri" w:hAnsi="Calibri"/>
            <w:noProof/>
            <w:szCs w:val="22"/>
          </w:rPr>
          <w:tab/>
        </w:r>
        <w:r w:rsidR="00C901CF">
          <w:rPr>
            <w:rStyle w:val="af1"/>
            <w:rFonts w:ascii="宋体" w:hAnsi="宋体" w:hint="eastAsia"/>
            <w:noProof/>
          </w:rPr>
          <w:t>托管协议的变更、终止与基金财产的清算</w:t>
        </w:r>
        <w:r w:rsidR="00C901CF">
          <w:rPr>
            <w:noProof/>
          </w:rPr>
          <w:tab/>
        </w:r>
        <w:r w:rsidR="00C901CF">
          <w:rPr>
            <w:noProof/>
          </w:rPr>
          <w:fldChar w:fldCharType="begin"/>
        </w:r>
        <w:r w:rsidR="00C901CF">
          <w:rPr>
            <w:noProof/>
          </w:rPr>
          <w:instrText xml:space="preserve"> PAGEREF _Toc366835710 \h </w:instrText>
        </w:r>
        <w:r w:rsidR="00C901CF">
          <w:rPr>
            <w:noProof/>
          </w:rPr>
        </w:r>
        <w:r w:rsidR="00C901CF">
          <w:rPr>
            <w:noProof/>
          </w:rPr>
          <w:fldChar w:fldCharType="separate"/>
        </w:r>
        <w:r w:rsidR="00D52EB7">
          <w:rPr>
            <w:noProof/>
          </w:rPr>
          <w:t>50</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11" w:history="1">
        <w:r w:rsidR="00C901CF">
          <w:rPr>
            <w:rStyle w:val="af1"/>
            <w:rFonts w:ascii="宋体" w:hAnsi="宋体" w:hint="eastAsia"/>
            <w:noProof/>
          </w:rPr>
          <w:t>十七、</w:t>
        </w:r>
        <w:r w:rsidR="00C901CF">
          <w:rPr>
            <w:rFonts w:ascii="Calibri" w:hAnsi="Calibri"/>
            <w:noProof/>
            <w:szCs w:val="22"/>
          </w:rPr>
          <w:tab/>
        </w:r>
        <w:r w:rsidR="00C901CF">
          <w:rPr>
            <w:rStyle w:val="af1"/>
            <w:rFonts w:ascii="宋体" w:hAnsi="宋体" w:hint="eastAsia"/>
            <w:noProof/>
          </w:rPr>
          <w:t>违约责任</w:t>
        </w:r>
        <w:r w:rsidR="00C901CF">
          <w:rPr>
            <w:noProof/>
          </w:rPr>
          <w:tab/>
        </w:r>
        <w:r w:rsidR="00C901CF">
          <w:rPr>
            <w:noProof/>
          </w:rPr>
          <w:fldChar w:fldCharType="begin"/>
        </w:r>
        <w:r w:rsidR="00C901CF">
          <w:rPr>
            <w:noProof/>
          </w:rPr>
          <w:instrText xml:space="preserve"> PAGEREF _Toc366835711 \h </w:instrText>
        </w:r>
        <w:r w:rsidR="00C901CF">
          <w:rPr>
            <w:noProof/>
          </w:rPr>
        </w:r>
        <w:r w:rsidR="00C901CF">
          <w:rPr>
            <w:noProof/>
          </w:rPr>
          <w:fldChar w:fldCharType="separate"/>
        </w:r>
        <w:r w:rsidR="00D52EB7">
          <w:rPr>
            <w:noProof/>
          </w:rPr>
          <w:t>52</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12" w:history="1">
        <w:r w:rsidR="00C901CF">
          <w:rPr>
            <w:rStyle w:val="af1"/>
            <w:rFonts w:ascii="宋体" w:hAnsi="宋体" w:hint="eastAsia"/>
            <w:noProof/>
          </w:rPr>
          <w:t>十八、</w:t>
        </w:r>
        <w:r w:rsidR="00C901CF">
          <w:rPr>
            <w:rFonts w:ascii="Calibri" w:hAnsi="Calibri"/>
            <w:noProof/>
            <w:szCs w:val="22"/>
          </w:rPr>
          <w:tab/>
        </w:r>
        <w:r w:rsidR="00C901CF">
          <w:rPr>
            <w:rStyle w:val="af1"/>
            <w:rFonts w:ascii="宋体" w:hAnsi="宋体" w:hint="eastAsia"/>
            <w:noProof/>
          </w:rPr>
          <w:t>争议解决方式</w:t>
        </w:r>
        <w:r w:rsidR="00C901CF">
          <w:rPr>
            <w:noProof/>
          </w:rPr>
          <w:tab/>
        </w:r>
        <w:r w:rsidR="00C901CF">
          <w:rPr>
            <w:noProof/>
          </w:rPr>
          <w:fldChar w:fldCharType="begin"/>
        </w:r>
        <w:r w:rsidR="00C901CF">
          <w:rPr>
            <w:noProof/>
          </w:rPr>
          <w:instrText xml:space="preserve"> PAGEREF _Toc366835712 \h </w:instrText>
        </w:r>
        <w:r w:rsidR="00C901CF">
          <w:rPr>
            <w:noProof/>
          </w:rPr>
        </w:r>
        <w:r w:rsidR="00C901CF">
          <w:rPr>
            <w:noProof/>
          </w:rPr>
          <w:fldChar w:fldCharType="separate"/>
        </w:r>
        <w:r w:rsidR="00D52EB7">
          <w:rPr>
            <w:noProof/>
          </w:rPr>
          <w:t>53</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13" w:history="1">
        <w:r w:rsidR="00C901CF">
          <w:rPr>
            <w:rStyle w:val="af1"/>
            <w:rFonts w:ascii="宋体" w:hAnsi="宋体" w:hint="eastAsia"/>
            <w:noProof/>
          </w:rPr>
          <w:t>十九、</w:t>
        </w:r>
        <w:r w:rsidR="00C901CF">
          <w:rPr>
            <w:rFonts w:ascii="Calibri" w:hAnsi="Calibri"/>
            <w:noProof/>
            <w:szCs w:val="22"/>
          </w:rPr>
          <w:tab/>
        </w:r>
        <w:r w:rsidR="00C901CF">
          <w:rPr>
            <w:rStyle w:val="af1"/>
            <w:rFonts w:ascii="宋体" w:hAnsi="宋体" w:hint="eastAsia"/>
            <w:noProof/>
          </w:rPr>
          <w:t>托管协议的效力</w:t>
        </w:r>
        <w:r w:rsidR="00C901CF">
          <w:rPr>
            <w:noProof/>
          </w:rPr>
          <w:tab/>
        </w:r>
        <w:r w:rsidR="00C901CF">
          <w:rPr>
            <w:noProof/>
          </w:rPr>
          <w:fldChar w:fldCharType="begin"/>
        </w:r>
        <w:r w:rsidR="00C901CF">
          <w:rPr>
            <w:noProof/>
          </w:rPr>
          <w:instrText xml:space="preserve"> PAGEREF _Toc366835713 \h </w:instrText>
        </w:r>
        <w:r w:rsidR="00C901CF">
          <w:rPr>
            <w:noProof/>
          </w:rPr>
        </w:r>
        <w:r w:rsidR="00C901CF">
          <w:rPr>
            <w:noProof/>
          </w:rPr>
          <w:fldChar w:fldCharType="separate"/>
        </w:r>
        <w:r w:rsidR="00D52EB7">
          <w:rPr>
            <w:noProof/>
          </w:rPr>
          <w:t>54</w:t>
        </w:r>
        <w:r w:rsidR="00C901CF">
          <w:rPr>
            <w:noProof/>
          </w:rPr>
          <w:fldChar w:fldCharType="end"/>
        </w:r>
      </w:hyperlink>
    </w:p>
    <w:p w:rsidR="00092F67" w:rsidRDefault="00960EA0">
      <w:pPr>
        <w:pStyle w:val="14"/>
        <w:tabs>
          <w:tab w:val="left" w:pos="1050"/>
          <w:tab w:val="right" w:leader="dot" w:pos="8494"/>
        </w:tabs>
        <w:spacing w:line="360" w:lineRule="auto"/>
        <w:rPr>
          <w:rFonts w:ascii="Calibri" w:hAnsi="Calibri"/>
          <w:noProof/>
          <w:szCs w:val="22"/>
        </w:rPr>
      </w:pPr>
      <w:hyperlink w:anchor="_Toc366835714" w:history="1">
        <w:r w:rsidR="00C901CF">
          <w:rPr>
            <w:rStyle w:val="af1"/>
            <w:rFonts w:ascii="宋体" w:hAnsi="宋体" w:hint="eastAsia"/>
            <w:noProof/>
          </w:rPr>
          <w:t>二十、</w:t>
        </w:r>
        <w:r w:rsidR="00C901CF">
          <w:rPr>
            <w:rFonts w:ascii="Calibri" w:hAnsi="Calibri"/>
            <w:noProof/>
            <w:szCs w:val="22"/>
          </w:rPr>
          <w:tab/>
        </w:r>
        <w:r w:rsidR="00C901CF">
          <w:rPr>
            <w:rStyle w:val="af1"/>
            <w:rFonts w:ascii="宋体" w:hAnsi="宋体" w:hint="eastAsia"/>
            <w:noProof/>
          </w:rPr>
          <w:t>其他事项</w:t>
        </w:r>
        <w:r w:rsidR="00C901CF">
          <w:rPr>
            <w:noProof/>
          </w:rPr>
          <w:tab/>
        </w:r>
        <w:r w:rsidR="00C901CF">
          <w:rPr>
            <w:noProof/>
          </w:rPr>
          <w:fldChar w:fldCharType="begin"/>
        </w:r>
        <w:r w:rsidR="00C901CF">
          <w:rPr>
            <w:noProof/>
          </w:rPr>
          <w:instrText xml:space="preserve"> PAGEREF _Toc366835714 \h </w:instrText>
        </w:r>
        <w:r w:rsidR="00C901CF">
          <w:rPr>
            <w:noProof/>
          </w:rPr>
        </w:r>
        <w:r w:rsidR="00C901CF">
          <w:rPr>
            <w:noProof/>
          </w:rPr>
          <w:fldChar w:fldCharType="separate"/>
        </w:r>
        <w:r w:rsidR="00D52EB7">
          <w:rPr>
            <w:noProof/>
          </w:rPr>
          <w:t>55</w:t>
        </w:r>
        <w:r w:rsidR="00C901CF">
          <w:rPr>
            <w:noProof/>
          </w:rPr>
          <w:fldChar w:fldCharType="end"/>
        </w:r>
      </w:hyperlink>
    </w:p>
    <w:p w:rsidR="00092F67" w:rsidRDefault="00960EA0">
      <w:pPr>
        <w:pStyle w:val="14"/>
        <w:tabs>
          <w:tab w:val="left" w:pos="1260"/>
          <w:tab w:val="right" w:leader="dot" w:pos="8494"/>
        </w:tabs>
        <w:spacing w:line="360" w:lineRule="auto"/>
        <w:rPr>
          <w:rFonts w:ascii="Calibri" w:hAnsi="Calibri"/>
          <w:noProof/>
          <w:szCs w:val="22"/>
        </w:rPr>
      </w:pPr>
      <w:hyperlink w:anchor="_Toc366835715" w:history="1">
        <w:r w:rsidR="00C901CF">
          <w:rPr>
            <w:rStyle w:val="af1"/>
            <w:rFonts w:ascii="宋体" w:hAnsi="宋体" w:hint="eastAsia"/>
            <w:noProof/>
          </w:rPr>
          <w:t>二十一、</w:t>
        </w:r>
        <w:r w:rsidR="00C901CF">
          <w:rPr>
            <w:rFonts w:ascii="Calibri" w:hAnsi="Calibri"/>
            <w:noProof/>
            <w:szCs w:val="22"/>
          </w:rPr>
          <w:tab/>
        </w:r>
        <w:r w:rsidR="00C901CF">
          <w:rPr>
            <w:rStyle w:val="af1"/>
            <w:rFonts w:ascii="宋体" w:hAnsi="宋体" w:hint="eastAsia"/>
            <w:noProof/>
          </w:rPr>
          <w:t>托管协</w:t>
        </w:r>
        <w:bookmarkStart w:id="13" w:name="_Hlt144105147"/>
        <w:r w:rsidR="00C901CF">
          <w:rPr>
            <w:rStyle w:val="af1"/>
            <w:rFonts w:ascii="宋体" w:hAnsi="宋体" w:hint="eastAsia"/>
            <w:noProof/>
          </w:rPr>
          <w:t>议</w:t>
        </w:r>
        <w:bookmarkEnd w:id="13"/>
        <w:r w:rsidR="00C901CF">
          <w:rPr>
            <w:rStyle w:val="af1"/>
            <w:rFonts w:ascii="宋体" w:hAnsi="宋体" w:hint="eastAsia"/>
            <w:noProof/>
          </w:rPr>
          <w:t>的签订</w:t>
        </w:r>
        <w:r w:rsidR="00C901CF">
          <w:rPr>
            <w:noProof/>
          </w:rPr>
          <w:tab/>
        </w:r>
        <w:r w:rsidR="00C901CF">
          <w:rPr>
            <w:noProof/>
          </w:rPr>
          <w:fldChar w:fldCharType="begin"/>
        </w:r>
        <w:r w:rsidR="00C901CF">
          <w:rPr>
            <w:noProof/>
          </w:rPr>
          <w:instrText xml:space="preserve"> PAGEREF _Toc366835715 \h </w:instrText>
        </w:r>
        <w:r w:rsidR="00C901CF">
          <w:rPr>
            <w:noProof/>
          </w:rPr>
        </w:r>
        <w:r w:rsidR="00C901CF">
          <w:rPr>
            <w:noProof/>
          </w:rPr>
          <w:fldChar w:fldCharType="separate"/>
        </w:r>
        <w:r w:rsidR="00D52EB7">
          <w:rPr>
            <w:noProof/>
          </w:rPr>
          <w:t>57</w:t>
        </w:r>
        <w:r w:rsidR="00C901CF">
          <w:rPr>
            <w:noProof/>
          </w:rPr>
          <w:fldChar w:fldCharType="end"/>
        </w:r>
      </w:hyperlink>
    </w:p>
    <w:p w:rsidR="00092F67" w:rsidRDefault="00C901CF">
      <w:pPr>
        <w:spacing w:line="360" w:lineRule="auto"/>
        <w:rPr>
          <w:rFonts w:ascii="宋体" w:hAnsi="宋体"/>
          <w:sz w:val="24"/>
        </w:rPr>
      </w:pPr>
      <w:r>
        <w:rPr>
          <w:rFonts w:ascii="宋体" w:hAnsi="宋体"/>
          <w:b/>
          <w:sz w:val="24"/>
        </w:rPr>
        <w:fldChar w:fldCharType="end"/>
      </w:r>
    </w:p>
    <w:p w:rsidR="00092F67" w:rsidRDefault="00C901CF">
      <w:pPr>
        <w:snapToGrid w:val="0"/>
        <w:spacing w:line="360" w:lineRule="auto"/>
        <w:ind w:firstLineChars="200" w:firstLine="480"/>
        <w:rPr>
          <w:rFonts w:ascii="宋体" w:hAnsi="宋体" w:cs="Arial"/>
          <w:kern w:val="0"/>
          <w:sz w:val="24"/>
        </w:rPr>
      </w:pPr>
      <w:r>
        <w:rPr>
          <w:rFonts w:ascii="宋体" w:hAnsi="宋体"/>
          <w:sz w:val="24"/>
        </w:rPr>
        <w:br w:type="page"/>
      </w:r>
      <w:r>
        <w:rPr>
          <w:rFonts w:ascii="宋体" w:hAnsi="宋体" w:cs="Arial" w:hint="eastAsia"/>
          <w:kern w:val="0"/>
          <w:sz w:val="24"/>
        </w:rPr>
        <w:lastRenderedPageBreak/>
        <w:t>鉴于嘉实基金管理有限公司系一家依照中国法律合法成立并有效存续的有限责任公司，按照相关法律法规的规定具备担任基金管理人的资格和能力，拟募集发行嘉实鸿福安泰3个月持有期混合型基金中基金（FOF）；</w:t>
      </w:r>
    </w:p>
    <w:p w:rsidR="00092F67" w:rsidRDefault="00C901CF">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鉴于平安银行股份有限公司系一家依照中国法律合法成立并有效存续的银行，按照相关法律法规的规定具备担任基金托管人的资格和能力；</w:t>
      </w:r>
    </w:p>
    <w:p w:rsidR="00092F67" w:rsidRDefault="00C901CF">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鉴于嘉实基金管理有限公司拟担任嘉实鸿福安泰3个月持有期混合型基金中基金（FOF）的基金管理人，平安银行股份有限公司拟担任嘉实鸿福安泰3个月持有期混合型基金中基金（FOF）的基金托管人；</w:t>
      </w:r>
    </w:p>
    <w:p w:rsidR="00092F67" w:rsidRDefault="00C901CF">
      <w:pPr>
        <w:widowControl/>
        <w:adjustRightInd w:val="0"/>
        <w:snapToGrid w:val="0"/>
        <w:spacing w:line="360" w:lineRule="auto"/>
        <w:ind w:firstLineChars="200" w:firstLine="480"/>
        <w:rPr>
          <w:rFonts w:ascii="宋体" w:hAnsi="宋体" w:cs="Arial"/>
          <w:kern w:val="0"/>
          <w:sz w:val="24"/>
        </w:rPr>
      </w:pPr>
      <w:r>
        <w:rPr>
          <w:rFonts w:ascii="宋体" w:hAnsi="宋体" w:cs="Arial" w:hint="eastAsia"/>
          <w:kern w:val="0"/>
          <w:sz w:val="24"/>
        </w:rPr>
        <w:t>为明确嘉实鸿福安泰3个月持有期混合型基金中基金（FOF）的基金管理人和基金托管人之间的权利义务关系，特制订本托管协议；</w:t>
      </w:r>
    </w:p>
    <w:p w:rsidR="00092F67" w:rsidRDefault="00C901CF">
      <w:pPr>
        <w:widowControl/>
        <w:adjustRightInd w:val="0"/>
        <w:snapToGrid w:val="0"/>
        <w:spacing w:line="360" w:lineRule="auto"/>
        <w:ind w:firstLineChars="200" w:firstLine="480"/>
        <w:rPr>
          <w:rFonts w:ascii="宋体" w:hAnsi="宋体" w:cs="Arial"/>
          <w:kern w:val="0"/>
          <w:sz w:val="24"/>
          <w:lang w:val="en-GB"/>
        </w:rPr>
      </w:pPr>
      <w:r>
        <w:rPr>
          <w:rFonts w:ascii="宋体" w:hAnsi="宋体" w:cs="Arial" w:hint="eastAsia"/>
          <w:kern w:val="0"/>
          <w:sz w:val="24"/>
          <w:lang w:val="en-GB"/>
        </w:rPr>
        <w:t>除非另有约定，《嘉实鸿福安泰3个月持有期混合型基金中基金（FOF）基金合同》(以下简称“基金合同”或“《基金合同》”)中定义的术语在用于本托管协议时应具有相同的含义；若有抵触应以基金合同为准，并依其</w:t>
      </w:r>
      <w:r>
        <w:rPr>
          <w:rFonts w:ascii="宋体" w:hAnsi="宋体" w:cs="Arial" w:hint="eastAsia"/>
          <w:kern w:val="0"/>
          <w:sz w:val="24"/>
        </w:rPr>
        <w:t>条款</w:t>
      </w:r>
      <w:r>
        <w:rPr>
          <w:rFonts w:ascii="宋体" w:hAnsi="宋体" w:cs="Arial" w:hint="eastAsia"/>
          <w:kern w:val="0"/>
          <w:sz w:val="24"/>
          <w:lang w:val="en-GB"/>
        </w:rPr>
        <w:t>解释。</w:t>
      </w:r>
    </w:p>
    <w:p w:rsidR="00092F67" w:rsidRDefault="00C901CF">
      <w:pPr>
        <w:widowControl/>
        <w:adjustRightInd w:val="0"/>
        <w:snapToGrid w:val="0"/>
        <w:spacing w:line="360" w:lineRule="auto"/>
        <w:ind w:firstLineChars="200" w:firstLine="480"/>
        <w:rPr>
          <w:rFonts w:ascii="宋体" w:hAnsi="宋体" w:cs="Arial"/>
          <w:kern w:val="0"/>
          <w:sz w:val="24"/>
          <w:lang w:val="en-GB"/>
        </w:rPr>
      </w:pPr>
      <w:r>
        <w:rPr>
          <w:rFonts w:ascii="宋体" w:hAnsi="宋体" w:cs="Arial" w:hint="eastAsia"/>
          <w:kern w:val="0"/>
          <w:sz w:val="24"/>
          <w:lang w:val="en-GB"/>
        </w:rPr>
        <w:t>若本基金实施侧袋机制的，侧袋机制实施期间的相关安排见《基金合同》和招募说明书的规定。</w:t>
      </w:r>
    </w:p>
    <w:p w:rsidR="00092F67" w:rsidRDefault="00092F67">
      <w:pPr>
        <w:widowControl/>
        <w:adjustRightInd w:val="0"/>
        <w:snapToGrid w:val="0"/>
        <w:spacing w:line="360" w:lineRule="auto"/>
        <w:ind w:firstLineChars="200" w:firstLine="480"/>
        <w:rPr>
          <w:rFonts w:ascii="宋体" w:hAnsi="宋体" w:cs="Arial"/>
          <w:kern w:val="0"/>
          <w:sz w:val="24"/>
          <w:lang w:val="en-GB"/>
        </w:rPr>
      </w:pPr>
    </w:p>
    <w:p w:rsidR="00092F67" w:rsidRDefault="00C901CF">
      <w:pPr>
        <w:pStyle w:val="1"/>
        <w:numPr>
          <w:ilvl w:val="0"/>
          <w:numId w:val="1"/>
        </w:numPr>
        <w:spacing w:line="360" w:lineRule="auto"/>
        <w:jc w:val="center"/>
        <w:rPr>
          <w:rFonts w:ascii="宋体" w:hAnsi="宋体"/>
          <w:sz w:val="28"/>
          <w:szCs w:val="28"/>
        </w:rPr>
      </w:pPr>
      <w:bookmarkStart w:id="14" w:name="_Toc295832621"/>
      <w:bookmarkStart w:id="15" w:name="_Toc295833665"/>
      <w:bookmarkStart w:id="16" w:name="_Toc295832989"/>
      <w:bookmarkStart w:id="17" w:name="_Toc295832928"/>
      <w:bookmarkStart w:id="18" w:name="_Toc295832930"/>
      <w:bookmarkStart w:id="19" w:name="_Toc295833664"/>
      <w:bookmarkStart w:id="20" w:name="_Toc295832622"/>
      <w:bookmarkStart w:id="21" w:name="_Toc295832990"/>
      <w:bookmarkStart w:id="22" w:name="_Toc295832929"/>
      <w:bookmarkStart w:id="23" w:name="_Toc295832623"/>
      <w:bookmarkStart w:id="24" w:name="_Toc295832988"/>
      <w:bookmarkStart w:id="25" w:name="_Toc295833663"/>
      <w:bookmarkStart w:id="26" w:name="_Toc124325885"/>
      <w:bookmarkStart w:id="27" w:name="_Toc270669852"/>
      <w:bookmarkEnd w:id="14"/>
      <w:bookmarkEnd w:id="15"/>
      <w:bookmarkEnd w:id="16"/>
      <w:bookmarkEnd w:id="17"/>
      <w:bookmarkEnd w:id="18"/>
      <w:bookmarkEnd w:id="19"/>
      <w:bookmarkEnd w:id="20"/>
      <w:bookmarkEnd w:id="21"/>
      <w:bookmarkEnd w:id="22"/>
      <w:bookmarkEnd w:id="23"/>
      <w:bookmarkEnd w:id="24"/>
      <w:bookmarkEnd w:id="25"/>
      <w:r>
        <w:rPr>
          <w:rFonts w:ascii="宋体" w:hAnsi="宋体"/>
          <w:sz w:val="28"/>
          <w:szCs w:val="28"/>
        </w:rPr>
        <w:br w:type="page"/>
      </w:r>
      <w:bookmarkStart w:id="28" w:name="_Toc276739045"/>
      <w:bookmarkStart w:id="29" w:name="_Toc355859314"/>
      <w:bookmarkStart w:id="30" w:name="_Toc366835695"/>
      <w:bookmarkStart w:id="31" w:name="_Toc295833667"/>
      <w:bookmarkEnd w:id="26"/>
      <w:bookmarkEnd w:id="27"/>
      <w:r>
        <w:rPr>
          <w:rFonts w:ascii="宋体" w:hAnsi="宋体"/>
          <w:sz w:val="28"/>
          <w:szCs w:val="28"/>
        </w:rPr>
        <w:lastRenderedPageBreak/>
        <w:t>基金托管协议当事人</w:t>
      </w:r>
      <w:bookmarkEnd w:id="28"/>
      <w:bookmarkEnd w:id="29"/>
      <w:bookmarkEnd w:id="30"/>
    </w:p>
    <w:bookmarkEnd w:id="31"/>
    <w:p w:rsidR="00092F67" w:rsidRDefault="00C901CF">
      <w:pPr>
        <w:adjustRightInd w:val="0"/>
        <w:snapToGrid w:val="0"/>
        <w:spacing w:line="384" w:lineRule="auto"/>
        <w:ind w:firstLineChars="200" w:firstLine="480"/>
        <w:rPr>
          <w:rFonts w:ascii="宋体" w:hAnsi="宋体"/>
          <w:color w:val="000000"/>
          <w:sz w:val="24"/>
        </w:rPr>
      </w:pPr>
      <w:r>
        <w:rPr>
          <w:rFonts w:ascii="宋体" w:hAnsi="宋体" w:hint="eastAsia"/>
          <w:color w:val="000000"/>
          <w:sz w:val="24"/>
        </w:rPr>
        <w:t>（一）基金管理人</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名称：嘉实基金管理有限公司</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住所：中国（上海）自由贸易试验区陆家嘴环路1318号1806A单元</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办公地址：北京市朝阳区建国门外大街21号北京国际俱乐部C座写字楼12A层</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邮政编码：1</w:t>
      </w:r>
      <w:r>
        <w:rPr>
          <w:rFonts w:ascii="宋体" w:hAnsi="宋体" w:cs="Arial"/>
          <w:sz w:val="24"/>
        </w:rPr>
        <w:t>00020</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法定代表人：经雷</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成立时间：1999年3月25日</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批准设立机关及批准设立文号：中国证监会证监基金字【1999】5号</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组织形式：有限责任公司（外商投资、非独资）</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注册资本：1.5亿元人民币</w:t>
      </w:r>
    </w:p>
    <w:p w:rsidR="00092F67" w:rsidRDefault="00C901CF">
      <w:pPr>
        <w:adjustRightInd w:val="0"/>
        <w:snapToGrid w:val="0"/>
        <w:spacing w:line="384" w:lineRule="auto"/>
        <w:ind w:firstLineChars="200" w:firstLine="480"/>
        <w:rPr>
          <w:rFonts w:ascii="宋体" w:hAnsi="宋体" w:cs="Arial"/>
          <w:sz w:val="24"/>
        </w:rPr>
      </w:pPr>
      <w:r>
        <w:rPr>
          <w:rFonts w:ascii="宋体" w:hAnsi="宋体" w:cs="Arial" w:hint="eastAsia"/>
          <w:sz w:val="24"/>
        </w:rPr>
        <w:t>存续期间：持续经营</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经营范围：基金募集、基金销售、资产管理以及中国证监会许可的其它业务</w:t>
      </w:r>
    </w:p>
    <w:p w:rsidR="00092F67" w:rsidRDefault="00C901CF">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（二）基金托管人</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名称：平安银行股份有限公司(简称：平安银行)</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注册住所：广东省深圳市罗湖区深南东路5047号</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办公地址：广东省深圳市福田区益田路5023号</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法定代表人：</w:t>
      </w:r>
      <w:r>
        <w:rPr>
          <w:rFonts w:ascii="宋体" w:hAnsi="宋体" w:hint="eastAsia"/>
          <w:color w:val="000000"/>
          <w:sz w:val="24"/>
        </w:rPr>
        <w:t>谢永林</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成立日期：1987年12月22日</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批准设立机关和批准设立文号：中国人民银行银复[1987</w:t>
      </w:r>
      <w:r>
        <w:rPr>
          <w:rFonts w:ascii="宋体" w:hAnsi="宋体" w:cs="Arial"/>
          <w:sz w:val="24"/>
        </w:rPr>
        <w:t>]</w:t>
      </w:r>
      <w:r>
        <w:rPr>
          <w:rFonts w:ascii="宋体" w:hAnsi="宋体" w:cs="Arial" w:hint="eastAsia"/>
          <w:sz w:val="24"/>
        </w:rPr>
        <w:t>365号</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组织形式：股份有限公司</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注册资本：</w:t>
      </w:r>
      <w:r>
        <w:rPr>
          <w:rFonts w:ascii="宋体" w:hAnsi="宋体" w:cs="Arial"/>
          <w:sz w:val="24"/>
        </w:rPr>
        <w:t>19,405,918,198</w:t>
      </w:r>
      <w:r>
        <w:rPr>
          <w:rFonts w:ascii="宋体" w:hAnsi="宋体" w:cs="Arial" w:hint="eastAsia"/>
          <w:sz w:val="24"/>
        </w:rPr>
        <w:t>元人民币</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存续期间：持续经营</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基金托管资格批文及文号：中国证监会证监许可[2008]1037号</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联系电话：0755-88675276</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经营范围：办理人民币存、贷、结算、汇兑业务；人民币票据承兑和贴现；</w:t>
      </w:r>
      <w:r>
        <w:rPr>
          <w:rFonts w:ascii="宋体" w:hAnsi="宋体" w:cs="Arial" w:hint="eastAsia"/>
          <w:sz w:val="24"/>
        </w:rPr>
        <w:lastRenderedPageBreak/>
        <w:t>各项信托业务；经监管机构批准发行或买卖人民币有价证券；外汇存款、汇款；境内境外借款；在境内境外发行或代理发行外币有价证券；贸易、非贸易结算；外币票据的承兑和贴现；外汇放款；代客买卖外汇及外币有价证券，自营外汇买卖；资信调查、咨询、见证业务；保险兼业代理业务；黄金进口业务；经有关监管机构批准或允许的其他业务。</w:t>
      </w:r>
    </w:p>
    <w:p w:rsidR="00092F67" w:rsidRDefault="00C901CF">
      <w:pPr>
        <w:pStyle w:val="1"/>
        <w:numPr>
          <w:ilvl w:val="0"/>
          <w:numId w:val="1"/>
        </w:numPr>
        <w:spacing w:line="360" w:lineRule="auto"/>
        <w:jc w:val="center"/>
        <w:rPr>
          <w:rFonts w:ascii="宋体" w:hAnsi="宋体"/>
        </w:rPr>
      </w:pPr>
      <w:r>
        <w:rPr>
          <w:rFonts w:ascii="宋体" w:hAnsi="宋体"/>
          <w:sz w:val="24"/>
        </w:rPr>
        <w:br w:type="page"/>
      </w:r>
      <w:bookmarkStart w:id="32" w:name="_Hlt136831053"/>
      <w:bookmarkStart w:id="33" w:name="_Toc295832625"/>
      <w:bookmarkStart w:id="34" w:name="_Toc295832932"/>
      <w:bookmarkStart w:id="35" w:name="_Toc295832992"/>
      <w:bookmarkStart w:id="36" w:name="_Toc295833668"/>
      <w:bookmarkStart w:id="37" w:name="_Toc270669853"/>
      <w:bookmarkStart w:id="38" w:name="_Toc366835696"/>
      <w:bookmarkStart w:id="39" w:name="_Toc124325886"/>
      <w:bookmarkStart w:id="40" w:name="_Toc355859315"/>
      <w:bookmarkEnd w:id="32"/>
      <w:bookmarkEnd w:id="33"/>
      <w:bookmarkEnd w:id="34"/>
      <w:bookmarkEnd w:id="35"/>
      <w:r>
        <w:rPr>
          <w:rFonts w:ascii="宋体" w:hAnsi="宋体" w:hint="eastAsia"/>
          <w:sz w:val="28"/>
          <w:szCs w:val="28"/>
        </w:rPr>
        <w:lastRenderedPageBreak/>
        <w:t>基金托管协议的依据、目的和原则</w:t>
      </w:r>
      <w:bookmarkEnd w:id="36"/>
      <w:bookmarkEnd w:id="37"/>
      <w:bookmarkEnd w:id="38"/>
      <w:bookmarkEnd w:id="39"/>
      <w:bookmarkEnd w:id="40"/>
    </w:p>
    <w:p w:rsidR="00092F67" w:rsidRDefault="00C901CF">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（一）订立托管协议的依据</w:t>
      </w:r>
    </w:p>
    <w:p w:rsidR="00092F67" w:rsidRDefault="00C901CF">
      <w:pPr>
        <w:spacing w:line="360" w:lineRule="auto"/>
        <w:ind w:firstLineChars="200" w:firstLine="480"/>
        <w:rPr>
          <w:rFonts w:ascii="宋体" w:hAnsi="宋体" w:cs="Arial"/>
          <w:sz w:val="24"/>
        </w:rPr>
      </w:pPr>
      <w:r>
        <w:rPr>
          <w:rFonts w:ascii="宋体" w:hAnsi="宋体" w:cs="Arial" w:hint="eastAsia"/>
          <w:sz w:val="24"/>
        </w:rPr>
        <w:t>本协议依据</w:t>
      </w:r>
      <w:r>
        <w:rPr>
          <w:bCs/>
          <w:sz w:val="24"/>
        </w:rPr>
        <w:t>《中华人民共和国</w:t>
      </w:r>
      <w:r>
        <w:rPr>
          <w:rFonts w:hint="eastAsia"/>
          <w:bCs/>
          <w:sz w:val="24"/>
        </w:rPr>
        <w:t>民法典</w:t>
      </w:r>
      <w:r>
        <w:rPr>
          <w:bCs/>
          <w:sz w:val="24"/>
        </w:rPr>
        <w:t>》</w:t>
      </w:r>
      <w:r>
        <w:rPr>
          <w:rFonts w:hint="eastAsia"/>
          <w:bCs/>
          <w:sz w:val="24"/>
        </w:rPr>
        <w:t>、</w:t>
      </w:r>
      <w:r>
        <w:rPr>
          <w:rFonts w:ascii="宋体" w:hAnsi="宋体" w:cs="Arial" w:hint="eastAsia"/>
          <w:sz w:val="24"/>
        </w:rPr>
        <w:t>《中华人民共和国证券投资基金法》(以下简称“《基金法》”)</w:t>
      </w:r>
      <w:r>
        <w:rPr>
          <w:sz w:val="24"/>
        </w:rPr>
        <w:t>、</w:t>
      </w:r>
      <w:r>
        <w:rPr>
          <w:rFonts w:hint="eastAsia"/>
          <w:sz w:val="24"/>
        </w:rPr>
        <w:t>《商业银行托管业务监督管理办法（试行）》</w:t>
      </w:r>
      <w:r>
        <w:rPr>
          <w:rFonts w:ascii="宋体" w:hAnsi="宋体" w:hint="eastAsia"/>
          <w:sz w:val="24"/>
        </w:rPr>
        <w:t>、《</w:t>
      </w:r>
      <w:r>
        <w:rPr>
          <w:rFonts w:hint="eastAsia"/>
          <w:bCs/>
          <w:sz w:val="24"/>
        </w:rPr>
        <w:t>公开募集</w:t>
      </w:r>
      <w:r>
        <w:rPr>
          <w:bCs/>
          <w:sz w:val="24"/>
        </w:rPr>
        <w:t>证券投资基金运作管理办法</w:t>
      </w:r>
      <w:r>
        <w:rPr>
          <w:rFonts w:ascii="宋体" w:hAnsi="宋体" w:hint="eastAsia"/>
          <w:sz w:val="24"/>
        </w:rPr>
        <w:t>》（以下简称“《运作办法》”）、《公开募集证券投资基金销售机构监督管理办法》、《公开募集证券投资基金信息披露管理办法》（以下简称“《信息披露办法》”）、</w:t>
      </w:r>
      <w:r>
        <w:rPr>
          <w:color w:val="000000"/>
          <w:sz w:val="24"/>
        </w:rPr>
        <w:t>《公开募集开放式证券投资基金流动性风险管理规定》</w:t>
      </w:r>
      <w:r>
        <w:rPr>
          <w:rFonts w:hint="eastAsia"/>
          <w:sz w:val="24"/>
        </w:rPr>
        <w:t>（以下简称“《流动性风险管理规定》”）</w:t>
      </w:r>
      <w:r>
        <w:rPr>
          <w:rFonts w:hint="eastAsia"/>
          <w:bCs/>
          <w:sz w:val="24"/>
        </w:rPr>
        <w:t>、《公开募集证券投资基金运作指引第</w:t>
      </w:r>
      <w:r>
        <w:rPr>
          <w:rFonts w:hint="eastAsia"/>
          <w:bCs/>
          <w:sz w:val="24"/>
        </w:rPr>
        <w:t>2</w:t>
      </w:r>
      <w:r>
        <w:rPr>
          <w:rFonts w:hint="eastAsia"/>
          <w:bCs/>
          <w:sz w:val="24"/>
        </w:rPr>
        <w:t>号——基金中基金指引》、</w:t>
      </w:r>
      <w:r>
        <w:rPr>
          <w:rFonts w:ascii="宋体" w:hAnsi="宋体" w:hint="eastAsia"/>
          <w:sz w:val="24"/>
        </w:rPr>
        <w:t>《证券投资基金信息披露内容与格式准则第7号〈托管协议的内容与格式〉》</w:t>
      </w:r>
      <w:r>
        <w:rPr>
          <w:rFonts w:ascii="宋体" w:hAnsi="宋体" w:cs="Arial" w:hint="eastAsia"/>
          <w:sz w:val="24"/>
        </w:rPr>
        <w:t>等有关法律法规、《基金合同》及其他有关规定制订。</w:t>
      </w:r>
    </w:p>
    <w:p w:rsidR="00092F67" w:rsidRDefault="00C901CF">
      <w:pPr>
        <w:adjustRightInd w:val="0"/>
        <w:snapToGrid w:val="0"/>
        <w:spacing w:line="360" w:lineRule="auto"/>
        <w:ind w:firstLineChars="200" w:firstLine="480"/>
        <w:rPr>
          <w:rFonts w:ascii="宋体" w:hAnsi="宋体"/>
          <w:sz w:val="24"/>
          <w:szCs w:val="20"/>
        </w:rPr>
      </w:pPr>
      <w:r>
        <w:rPr>
          <w:rFonts w:ascii="宋体" w:hAnsi="宋体" w:hint="eastAsia"/>
          <w:color w:val="000000"/>
          <w:sz w:val="24"/>
        </w:rPr>
        <w:t>（二）订立托管协议的目的</w:t>
      </w:r>
    </w:p>
    <w:p w:rsidR="00092F67" w:rsidRDefault="00C901CF">
      <w:pPr>
        <w:adjustRightInd w:val="0"/>
        <w:snapToGrid w:val="0"/>
        <w:spacing w:line="360" w:lineRule="auto"/>
        <w:ind w:firstLineChars="200" w:firstLine="480"/>
        <w:rPr>
          <w:rFonts w:ascii="宋体" w:hAnsi="宋体"/>
          <w:sz w:val="24"/>
        </w:rPr>
      </w:pPr>
      <w:r>
        <w:rPr>
          <w:rFonts w:ascii="宋体" w:hAnsi="宋体" w:cs="Arial" w:hint="eastAsia"/>
          <w:sz w:val="24"/>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092F67" w:rsidRDefault="00C901CF">
      <w:pPr>
        <w:adjustRightInd w:val="0"/>
        <w:snapToGrid w:val="0"/>
        <w:spacing w:line="360" w:lineRule="auto"/>
        <w:ind w:firstLineChars="200" w:firstLine="480"/>
        <w:rPr>
          <w:rFonts w:ascii="宋体" w:hAnsi="宋体"/>
          <w:color w:val="000000"/>
          <w:sz w:val="24"/>
        </w:rPr>
      </w:pPr>
      <w:r>
        <w:rPr>
          <w:rFonts w:ascii="宋体" w:hAnsi="宋体" w:hint="eastAsia"/>
          <w:color w:val="000000"/>
          <w:sz w:val="24"/>
        </w:rPr>
        <w:t>（三）订立托管协议的原则</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基金管理人和基金托管人本着平等自愿、诚实信用、充分保护基金份额持有人合法权益的原则，经协商一致，签订本协议。</w:t>
      </w:r>
    </w:p>
    <w:p w:rsidR="00092F67" w:rsidRDefault="00C901CF">
      <w:pPr>
        <w:pStyle w:val="1"/>
        <w:numPr>
          <w:ilvl w:val="0"/>
          <w:numId w:val="1"/>
        </w:numPr>
        <w:spacing w:line="360" w:lineRule="auto"/>
        <w:jc w:val="center"/>
        <w:rPr>
          <w:sz w:val="28"/>
          <w:szCs w:val="28"/>
        </w:rPr>
      </w:pPr>
      <w:bookmarkStart w:id="41" w:name="_Toc295832628"/>
      <w:bookmarkStart w:id="42" w:name="_Toc295832937"/>
      <w:bookmarkStart w:id="43" w:name="_Toc295832630"/>
      <w:bookmarkStart w:id="44" w:name="_Toc295832936"/>
      <w:bookmarkStart w:id="45" w:name="_Toc295832629"/>
      <w:bookmarkStart w:id="46" w:name="_Toc295832935"/>
      <w:bookmarkStart w:id="47" w:name="_Toc295832996"/>
      <w:bookmarkStart w:id="48" w:name="_Toc295832995"/>
      <w:bookmarkStart w:id="49" w:name="_Toc295832997"/>
      <w:bookmarkEnd w:id="41"/>
      <w:bookmarkEnd w:id="42"/>
      <w:bookmarkEnd w:id="43"/>
      <w:bookmarkEnd w:id="44"/>
      <w:bookmarkEnd w:id="45"/>
      <w:bookmarkEnd w:id="46"/>
      <w:bookmarkEnd w:id="47"/>
      <w:bookmarkEnd w:id="48"/>
      <w:bookmarkEnd w:id="49"/>
      <w:r>
        <w:rPr>
          <w:rFonts w:ascii="宋体" w:hAnsi="宋体"/>
          <w:sz w:val="24"/>
          <w:szCs w:val="24"/>
        </w:rPr>
        <w:br w:type="page"/>
      </w:r>
      <w:bookmarkStart w:id="50" w:name="_Toc366835697"/>
      <w:bookmarkStart w:id="51" w:name="_Toc355859316"/>
      <w:r>
        <w:rPr>
          <w:rFonts w:ascii="宋体" w:hAnsi="宋体" w:hint="eastAsia"/>
          <w:sz w:val="28"/>
          <w:szCs w:val="28"/>
        </w:rPr>
        <w:lastRenderedPageBreak/>
        <w:t>基金托管人对基金管理人的业务监督和核查</w:t>
      </w:r>
      <w:bookmarkEnd w:id="50"/>
      <w:bookmarkEnd w:id="51"/>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一）基金托管人根据有关法律法规的规定及基金合同的约定，对基金投资范围、投资对象进行监督。基金合同明确约定基金投资风格或证券选择标准的，基金管理人应按照基金托管人要求的格式提供投资品种池，以便基金托管人运用相关技术系统，对基金实际投资是否符合基金合同关于证券选择标准的约定进行监督，对存在疑义的事项进行核查。</w:t>
      </w:r>
    </w:p>
    <w:p w:rsidR="00092F67" w:rsidRDefault="00C901CF">
      <w:pPr>
        <w:adjustRightInd w:val="0"/>
        <w:snapToGrid w:val="0"/>
        <w:spacing w:line="360" w:lineRule="auto"/>
        <w:ind w:firstLineChars="200" w:firstLine="480"/>
        <w:rPr>
          <w:rFonts w:ascii="宋体" w:hAnsi="宋体" w:cs="宋体"/>
          <w:iCs/>
          <w:kern w:val="0"/>
          <w:sz w:val="24"/>
        </w:rPr>
      </w:pPr>
      <w:r>
        <w:rPr>
          <w:rFonts w:ascii="宋体" w:hAnsi="宋体" w:cs="宋体" w:hint="eastAsia"/>
          <w:iCs/>
          <w:kern w:val="0"/>
          <w:sz w:val="24"/>
        </w:rPr>
        <w:t>本基金的投资范围为具有良好流动性的金融工具，包括经中国证监会依法核准或注册的公开募集证券投资基金（以下简称“公募基金”，含QDII基金、香港互认基金、商品基金（含商品期货基金、黄金ETF等）、公开募集不动产投资信托基金（以下简称“公募REITs”）及其他经中国证监会核准或注册的基金）、国内依法发行或上市的股票（包含主板、创业板、科创板及其他依法发行或上市的股票）、存托凭证、港股通标的证券（股票和ETF）、债券（包括国债、央行票据、地方政府债、金融债、公开发行的次级债、企业债、公司债、短期融资券、超短期融资券、中期票据、可转换债券（含分离交易可转债）、可交换债券等）、资产支持证券、债券回购、银行存款、同业存单、现金资产以及法律法规或中国证监会允许基金投资的其他金融工具（须符合中国证监会相关规定）。</w:t>
      </w:r>
    </w:p>
    <w:p w:rsidR="00092F67" w:rsidRDefault="00C901CF">
      <w:pPr>
        <w:adjustRightInd w:val="0"/>
        <w:snapToGrid w:val="0"/>
        <w:spacing w:line="360" w:lineRule="auto"/>
        <w:ind w:firstLineChars="200" w:firstLine="480"/>
        <w:rPr>
          <w:rFonts w:ascii="宋体" w:hAnsi="宋体" w:cs="Arial"/>
          <w:bCs/>
          <w:sz w:val="24"/>
        </w:rPr>
      </w:pPr>
      <w:r>
        <w:rPr>
          <w:rFonts w:ascii="宋体" w:hAnsi="宋体" w:cs="Arial"/>
          <w:bCs/>
          <w:sz w:val="24"/>
        </w:rPr>
        <w:t>如法律法规或监管机构以后允许基金投资其他品种，基金管理人在履行适当程序后，可以将其纳入投资范围。</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的投资组合比例为：本基金投资于公募基金的比例不低于基金资产的80%；投资于权益类资产（包括股票型基金、计入权益类资产的混合型基金、国内依法发行或上市的股票、存托凭证、港股通标的股票）合计占基金资产的比例为5%-40%（其中港股通标的股票投资占股票资产的比例不超过50%，投资于境内权益类资产的比例不低于基金资产的5%），计入权益类资产的混合型基金是指基金合同中明确约定股票投资占基金资产的比例为60%以上或者根据定期报告最近4个季度披露的股票投资占基金资产的比例均在60%以上的混合型基金；投资于货币市场基金的比例不超过基金资产的15%，投资于QDII基金和香港互认基金比例合计不超过基金资产的20%。本基金应保持现金或到期日在一年以内的政府债券合计不低于基金资产净值的5%，其中现金不包括结算备付金、存出保证</w:t>
      </w:r>
      <w:r>
        <w:rPr>
          <w:rFonts w:ascii="宋体" w:hAnsi="宋体" w:cs="Arial" w:hint="eastAsia"/>
          <w:sz w:val="24"/>
        </w:rPr>
        <w:lastRenderedPageBreak/>
        <w:t>金及应收申购款等。</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如法律法规或中国证监会变更上述投资品种的比例限制，以变更后的比例为准，在履行适当程序后本基金的投资比例将做相应调整。</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（二）基金托管人根据有关法律法规的规定及基金合同的约定，对基金投资进行监督。基金托管人按下述比例和调整期限进行监督：</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1、本基金投资于公募基金的比例不得低于基金资产的80%；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2、本基金投资于权益类资产（包括股票型基金、计入权益类资产的混合型基金、国内依法发行或上市的股票、存托凭证、港股通标的股票）合计占基金资产的比例为5%-40%（其中港股通标的股票投资占股票资产的比例不超过50%，投资于境内权益类资产的比例不低于基金资产的5%）。计入权益类资产的混合型基金是指基金合同中明确约定股票投资占基金资产的比例为60%以上或者根据定期报告最近4个季度披露的股票投资占基金资产的比例均在60%以上的混合型基金；</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 xml:space="preserve">3、本基金保持不低于基金资产净值5％的现金或者到期日在一年以内的政府债券，其中现金不包括结算备付金、存出保证金、应收申购款等； </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4、本基金持有单只基金市值不得高于基金资产净值的20%；本基金管理人管理的且由本基金托管人托管的全部基金（ETF联接基金除外）持有单只基金不得超过被投资基金净资产的20％，被投资基金净资产规模以最近定期报告披露的规模为准；</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5、本基金投资于其他基金，被投资基金的运作期限应当不少于1年、最近定期报告披露的基金净资产应当不低于1亿元；</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6、本基金投资于封闭运作基金、定期开放式基金等流通受限基金的比例不超过基金资产净值的10%，但不包括上市交易的基金；</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7、本基金投资于货币市场基金的比例不超过基金资产的15%，投资于QDII基金和香港互认基金比例合计不超过基金资产的20%；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8、本基金持有一家公司发行的证券（不含本基金所投资的基金份额），其市值不超过基金资产净值的10％；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9、本基金管理人管理的且由本基金托管人托管的全部基金持有一家公司发行的证券（不含本基金所投资的基金份额），不超过该证券的10％；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0</w:t>
      </w:r>
      <w:r>
        <w:rPr>
          <w:rFonts w:ascii="宋体" w:hAnsi="宋体" w:cs="Arial" w:hint="eastAsia"/>
          <w:sz w:val="24"/>
        </w:rPr>
        <w:t>、本基金投资于同一原始权益人的各类资产支持证券的比例，不得超过基金资产净值的10％；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1</w:t>
      </w:r>
      <w:r>
        <w:rPr>
          <w:rFonts w:ascii="宋体" w:hAnsi="宋体" w:cs="Arial" w:hint="eastAsia"/>
          <w:sz w:val="24"/>
        </w:rPr>
        <w:t>、本基金持有的全部资产支持证券，其市值不得超过基金资产净值的20％；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lastRenderedPageBreak/>
        <w:t>1</w:t>
      </w:r>
      <w:r>
        <w:rPr>
          <w:rFonts w:ascii="宋体" w:hAnsi="宋体" w:cs="Arial"/>
          <w:sz w:val="24"/>
        </w:rPr>
        <w:t>2</w:t>
      </w:r>
      <w:r>
        <w:rPr>
          <w:rFonts w:ascii="宋体" w:hAnsi="宋体" w:cs="Arial" w:hint="eastAsia"/>
          <w:sz w:val="24"/>
        </w:rPr>
        <w:t>、本基金持有的同一（指同一信用级别）资产支持证券的比例，不得超过该资产支持证券规模的10％；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3</w:t>
      </w:r>
      <w:r>
        <w:rPr>
          <w:rFonts w:ascii="宋体" w:hAnsi="宋体" w:cs="Arial" w:hint="eastAsia"/>
          <w:sz w:val="24"/>
        </w:rPr>
        <w:t>、本基金管理人管理的且由本基金托管人托管的全部基金投资于同一原始权益人的各类资产支持证券，不得超过其各类资产支持证券合计规模的10％；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4</w:t>
      </w:r>
      <w:r>
        <w:rPr>
          <w:rFonts w:ascii="宋体" w:hAnsi="宋体" w:cs="Arial" w:hint="eastAsia"/>
          <w:sz w:val="24"/>
        </w:rPr>
        <w:t>、本基金应投资于信用级别评级为BBB以上（含BBB）的资产支持证券。基金持有资产支持证券期间，如果其信用等级下降、不再符合投资标准，应在评级报告发布之日起3个月内予以全部卖出；</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5</w:t>
      </w:r>
      <w:r>
        <w:rPr>
          <w:rFonts w:ascii="宋体" w:hAnsi="宋体" w:cs="Arial" w:hint="eastAsia"/>
          <w:sz w:val="24"/>
        </w:rPr>
        <w:t xml:space="preserve">、本基金基金资产总值不得超过基金资产净值的140%； </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6</w:t>
      </w:r>
      <w:r>
        <w:rPr>
          <w:rFonts w:ascii="宋体" w:hAnsi="宋体" w:cs="Arial" w:hint="eastAsia"/>
          <w:sz w:val="24"/>
        </w:rPr>
        <w:t>、基金财产参与股票发行申购，本基金所申报的金额不超过本基金的总资产，本基金所申报的股票数量不超过拟发行股票公司本次发行股票的总量；</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7</w:t>
      </w:r>
      <w:r>
        <w:rPr>
          <w:rFonts w:ascii="宋体" w:hAnsi="宋体" w:cs="Arial" w:hint="eastAsia"/>
          <w:sz w:val="24"/>
        </w:rPr>
        <w:t>、本基金管理人管理的且由本基金托管人托管的全部开放式基金持有一家上市公司发行的可流通股票，不得超过该上市公司可流通股票的15%；本基金管理人管理的且由本基金托管人托管的全部投资组合持有一家上市公司发行的可流通股票，不得超过该上市公司可流通股票的30%；</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8</w:t>
      </w:r>
      <w:r>
        <w:rPr>
          <w:rFonts w:ascii="宋体" w:hAnsi="宋体" w:cs="Arial" w:hint="eastAsia"/>
          <w:sz w:val="24"/>
        </w:rPr>
        <w:t>、本基金主动投资于流动性受限资产的市值合计不得超过基金资产净值的15%；因证券市场波动、上市公司股票停牌、基金规模变动等基金管理人之外的因素致使基金不符合本款所规定比例限制的，本基金管理人不得主动新增流动性受限资产的投资；</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9</w:t>
      </w:r>
      <w:r>
        <w:rPr>
          <w:rFonts w:ascii="宋体" w:hAnsi="宋体" w:cs="Arial" w:hint="eastAsia"/>
          <w:sz w:val="24"/>
        </w:rPr>
        <w:t>、本基金与私募类证券资管产品及中国证监会认定的其他主体为交易对手开展逆回购交易的，可接受质押品的资质要求应当与基金合同约定的投资范围保持一致；</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2</w:t>
      </w:r>
      <w:r>
        <w:rPr>
          <w:rFonts w:ascii="宋体" w:hAnsi="宋体" w:cs="Arial"/>
          <w:sz w:val="24"/>
        </w:rPr>
        <w:t>0</w:t>
      </w:r>
      <w:r>
        <w:rPr>
          <w:rFonts w:ascii="宋体" w:hAnsi="宋体" w:cs="Arial" w:hint="eastAsia"/>
          <w:sz w:val="24"/>
        </w:rPr>
        <w:t>、本基金投资于股票、债券等金融工具的，投资品种和比例应当符合本基金的投资目标和投资策略；本基金投资存托凭证的比例限制依照境内上市交易的股票执行，与国内依法发行上市的股票合并计算；</w:t>
      </w:r>
    </w:p>
    <w:p w:rsidR="00092F67" w:rsidRDefault="00C901CF">
      <w:pPr>
        <w:adjustRightInd w:val="0"/>
        <w:snapToGrid w:val="0"/>
        <w:spacing w:line="336" w:lineRule="auto"/>
        <w:ind w:firstLineChars="200" w:firstLine="480"/>
        <w:rPr>
          <w:rFonts w:ascii="宋体" w:hAnsi="宋体" w:cs="Arial"/>
          <w:sz w:val="24"/>
        </w:rPr>
      </w:pPr>
      <w:r>
        <w:rPr>
          <w:rFonts w:ascii="宋体" w:hAnsi="宋体" w:cs="Arial" w:hint="eastAsia"/>
          <w:sz w:val="24"/>
        </w:rPr>
        <w:t>2</w:t>
      </w:r>
      <w:r>
        <w:rPr>
          <w:rFonts w:ascii="宋体" w:hAnsi="宋体" w:cs="Arial"/>
          <w:sz w:val="24"/>
        </w:rPr>
        <w:t>1</w:t>
      </w:r>
      <w:r>
        <w:rPr>
          <w:rFonts w:ascii="宋体" w:hAnsi="宋体" w:cs="Arial" w:hint="eastAsia"/>
          <w:sz w:val="24"/>
        </w:rPr>
        <w:t>、法律法规或中国证监会或基金合同规定的其他投资限制。</w:t>
      </w:r>
    </w:p>
    <w:p w:rsidR="00092F67" w:rsidRDefault="00C901CF">
      <w:pPr>
        <w:adjustRightInd w:val="0"/>
        <w:snapToGrid w:val="0"/>
        <w:spacing w:line="360" w:lineRule="auto"/>
        <w:ind w:firstLineChars="200" w:firstLine="480"/>
        <w:rPr>
          <w:rFonts w:ascii="宋体" w:hAnsi="宋体"/>
          <w:sz w:val="24"/>
        </w:rPr>
      </w:pPr>
      <w:r>
        <w:rPr>
          <w:rFonts w:ascii="宋体" w:hAnsi="宋体" w:cs="Arial" w:hint="eastAsia"/>
          <w:sz w:val="24"/>
        </w:rPr>
        <w:t>除上述第</w:t>
      </w:r>
      <w:r>
        <w:rPr>
          <w:rFonts w:ascii="宋体" w:hAnsi="宋体" w:cs="Arial"/>
          <w:sz w:val="24"/>
        </w:rPr>
        <w:t>3</w:t>
      </w:r>
      <w:r>
        <w:rPr>
          <w:rFonts w:ascii="宋体" w:hAnsi="宋体" w:cs="Arial" w:hint="eastAsia"/>
          <w:sz w:val="24"/>
        </w:rPr>
        <w:t>、</w:t>
      </w:r>
      <w:r>
        <w:rPr>
          <w:rFonts w:ascii="宋体" w:hAnsi="宋体" w:cs="Arial"/>
          <w:sz w:val="24"/>
        </w:rPr>
        <w:t>4</w:t>
      </w:r>
      <w:r>
        <w:rPr>
          <w:rFonts w:ascii="宋体" w:hAnsi="宋体" w:cs="Arial" w:hint="eastAsia"/>
          <w:sz w:val="24"/>
        </w:rPr>
        <w:t>、14、1</w:t>
      </w:r>
      <w:r>
        <w:rPr>
          <w:rFonts w:ascii="宋体" w:hAnsi="宋体" w:cs="Arial"/>
          <w:sz w:val="24"/>
        </w:rPr>
        <w:t>8</w:t>
      </w:r>
      <w:r>
        <w:rPr>
          <w:rFonts w:ascii="宋体" w:hAnsi="宋体" w:cs="Arial" w:hint="eastAsia"/>
          <w:sz w:val="24"/>
        </w:rPr>
        <w:t>、1</w:t>
      </w:r>
      <w:r>
        <w:rPr>
          <w:rFonts w:ascii="宋体" w:hAnsi="宋体" w:cs="Arial"/>
          <w:sz w:val="24"/>
        </w:rPr>
        <w:t>9</w:t>
      </w:r>
      <w:r>
        <w:rPr>
          <w:rFonts w:ascii="宋体" w:hAnsi="宋体" w:cs="Arial" w:hint="eastAsia"/>
          <w:sz w:val="24"/>
        </w:rPr>
        <w:t>项规定外，因证券市场波动、证券发行人合并、基金规模变动等基金管理人之外的因素致使基金投资比例不符合上述规定投资比例的，基金管理人应当在所涉证券可交易之日起10个交易日内进行调整，但中国证监会规定的特殊情形除外。因证券市场波动、基金规模变动等基金管理人之外的因素致使基金投资比例不符合上述第4项时，基金管理人应当在20个交易日内进行调整，但中国证监会规定的特殊情形除外。</w:t>
      </w:r>
    </w:p>
    <w:p w:rsidR="00092F67" w:rsidRDefault="00C901CF">
      <w:pPr>
        <w:adjustRightInd w:val="0"/>
        <w:snapToGrid w:val="0"/>
        <w:spacing w:line="360" w:lineRule="auto"/>
        <w:ind w:firstLineChars="200" w:firstLine="480"/>
        <w:rPr>
          <w:rFonts w:ascii="宋体" w:hAnsi="宋体"/>
          <w:sz w:val="24"/>
        </w:rPr>
      </w:pPr>
      <w:r>
        <w:rPr>
          <w:rFonts w:ascii="宋体" w:hAnsi="宋体" w:hint="eastAsia"/>
          <w:sz w:val="24"/>
        </w:rPr>
        <w:lastRenderedPageBreak/>
        <w:t>基金管理人应当自基金合同生效之日起6个月内使基金的投资组合比例符合基金合同的有关约定。</w:t>
      </w:r>
      <w:r>
        <w:rPr>
          <w:bCs/>
          <w:sz w:val="24"/>
        </w:rPr>
        <w:t>在上述期间内，本基金的投资范围、投资策略应当符合基金合同的约定。</w:t>
      </w:r>
      <w:r>
        <w:rPr>
          <w:rFonts w:ascii="宋体" w:hAnsi="宋体" w:hint="eastAsia"/>
          <w:sz w:val="24"/>
        </w:rPr>
        <w:t>基金托管人对基金的投资的监督与检查自基金合同生效之日起开始。</w:t>
      </w:r>
    </w:p>
    <w:p w:rsidR="00092F67" w:rsidRDefault="00C901CF">
      <w:pPr>
        <w:adjustRightInd w:val="0"/>
        <w:snapToGrid w:val="0"/>
        <w:spacing w:line="360" w:lineRule="auto"/>
        <w:ind w:firstLineChars="200" w:firstLine="480"/>
        <w:rPr>
          <w:rFonts w:ascii="宋体" w:hAnsi="宋体"/>
          <w:sz w:val="24"/>
        </w:rPr>
      </w:pPr>
      <w:r>
        <w:rPr>
          <w:rFonts w:ascii="宋体" w:hAnsi="宋体" w:hint="eastAsia"/>
          <w:sz w:val="24"/>
        </w:rPr>
        <w:t>法律法规或监管部门对基金合同所述投资比例、投资限制、组合限制等作出强制性调整的，本基金应当按照法律法规或监管部门的规定执行。</w:t>
      </w:r>
    </w:p>
    <w:p w:rsidR="00092F67" w:rsidRDefault="00C901CF">
      <w:pPr>
        <w:adjustRightInd w:val="0"/>
        <w:snapToGrid w:val="0"/>
        <w:spacing w:line="360" w:lineRule="auto"/>
        <w:ind w:firstLineChars="200" w:firstLine="480"/>
        <w:rPr>
          <w:bCs/>
          <w:sz w:val="24"/>
        </w:rPr>
      </w:pPr>
      <w:r>
        <w:rPr>
          <w:rFonts w:ascii="宋体" w:hAnsi="宋体" w:cs="Arial" w:hint="eastAsia"/>
          <w:sz w:val="24"/>
        </w:rPr>
        <w:t>（三）基</w:t>
      </w:r>
      <w:r>
        <w:rPr>
          <w:rFonts w:ascii="宋体" w:hAnsi="宋体" w:hint="eastAsia"/>
          <w:sz w:val="24"/>
        </w:rPr>
        <w:t>金托管人根据有关法律法规的规定及基金合同的约定，对基金投资禁止行为进行监督。</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含三分之二）的独立董事通过。基金管理人董事会应至少每半年对关联交易事项进行审查。</w:t>
      </w:r>
    </w:p>
    <w:p w:rsidR="00092F67" w:rsidRDefault="00C901CF">
      <w:pPr>
        <w:adjustRightInd w:val="0"/>
        <w:snapToGrid w:val="0"/>
        <w:spacing w:line="360" w:lineRule="auto"/>
        <w:ind w:firstLineChars="200" w:firstLine="480"/>
        <w:rPr>
          <w:bCs/>
          <w:sz w:val="24"/>
        </w:rPr>
      </w:pPr>
      <w:r>
        <w:rPr>
          <w:rFonts w:hint="eastAsia"/>
          <w:bCs/>
          <w:sz w:val="24"/>
        </w:rPr>
        <w:t>本基金投资基金管理人或基金管理人关联方管理基金的情况，不属于前述重大关联交易，但是应当按照法律法规或监管规定的要求履行信息披露义务。</w:t>
      </w:r>
    </w:p>
    <w:p w:rsidR="00092F67" w:rsidRDefault="00C901CF">
      <w:pPr>
        <w:adjustRightInd w:val="0"/>
        <w:snapToGrid w:val="0"/>
        <w:spacing w:line="360" w:lineRule="auto"/>
        <w:ind w:firstLineChars="200" w:firstLine="480"/>
        <w:rPr>
          <w:bCs/>
          <w:sz w:val="24"/>
        </w:rPr>
      </w:pPr>
      <w:r>
        <w:rPr>
          <w:rFonts w:hint="eastAsia"/>
          <w:bCs/>
          <w:sz w:val="24"/>
        </w:rPr>
        <w:t>根据法律法规有关基金从事关联交易的规定，基金管理人和基金托管人应事先相互提供与本机构有控股关系的股东、与本机构有其他重大利害关系的公司名单及有关关联方发行的证券名单。基金管理人和基金托管人有责任确保关联交易名单的真实性、准确性，并负责及时将更新后的名单发送给对方。</w:t>
      </w:r>
    </w:p>
    <w:p w:rsidR="00092F67" w:rsidRDefault="00C901CF">
      <w:pPr>
        <w:adjustRightInd w:val="0"/>
        <w:snapToGrid w:val="0"/>
        <w:spacing w:line="360" w:lineRule="auto"/>
        <w:ind w:firstLineChars="200" w:firstLine="480"/>
        <w:rPr>
          <w:bCs/>
          <w:sz w:val="24"/>
        </w:rPr>
      </w:pPr>
      <w:r>
        <w:rPr>
          <w:rFonts w:hint="eastAsia"/>
          <w:bCs/>
          <w:sz w:val="24"/>
        </w:rPr>
        <w:t>法律法规或监管部门对基金合同所述禁止行为等作出强制性调整的，本基金应当按照法律法规或监管部门的规定执行。</w:t>
      </w:r>
    </w:p>
    <w:p w:rsidR="00092F67" w:rsidRDefault="00C901CF">
      <w:pPr>
        <w:adjustRightInd w:val="0"/>
        <w:snapToGrid w:val="0"/>
        <w:spacing w:line="360" w:lineRule="auto"/>
        <w:ind w:firstLineChars="200" w:firstLine="480"/>
        <w:rPr>
          <w:rFonts w:ascii="宋体" w:hAnsi="宋体"/>
          <w:sz w:val="24"/>
        </w:rPr>
      </w:pPr>
      <w:r>
        <w:rPr>
          <w:rFonts w:ascii="宋体" w:hAnsi="宋体" w:hint="eastAsia"/>
          <w:sz w:val="24"/>
        </w:rPr>
        <w:t>（四）基金托管人根据有关法律法规的规定及基金合同的约定，对基金管理人参与银行间债券市场进行监督。</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基金管理人应在</w:t>
      </w:r>
      <w:r>
        <w:rPr>
          <w:rFonts w:hint="eastAsia"/>
          <w:spacing w:val="-4"/>
          <w:sz w:val="24"/>
        </w:rPr>
        <w:t>参与银行间债券交易</w:t>
      </w:r>
      <w:r>
        <w:rPr>
          <w:rFonts w:ascii="宋体" w:hAnsi="宋体" w:cs="Arial" w:hint="eastAsia"/>
          <w:sz w:val="24"/>
        </w:rPr>
        <w:t>之前向基金托管人提供符合法律法规及行业标准的、经慎重选择的、本基金适用的银行间债券市场交易对手名单并约定相应的结算方式。基金管理人应严格按照交易对手名单的范围在银行间债券市场选择交易对手。基金托管人监督基金管理人是否按事前提供的银行间债券市场交易对手名单及结算方式进行交易</w:t>
      </w:r>
      <w:r>
        <w:rPr>
          <w:sz w:val="24"/>
        </w:rPr>
        <w:t>，如基金管理人在基金投资运作之前未向基金</w:t>
      </w:r>
      <w:r>
        <w:rPr>
          <w:sz w:val="24"/>
        </w:rPr>
        <w:lastRenderedPageBreak/>
        <w:t>托管人提供银行间债券市场交易对手名单的，视为基金管理人认可全市场交易对手</w:t>
      </w:r>
      <w:r>
        <w:rPr>
          <w:rFonts w:ascii="宋体" w:hAnsi="宋体" w:cs="Arial" w:hint="eastAsia"/>
          <w:sz w:val="24"/>
        </w:rPr>
        <w:t>。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及时向基金托管人说明理由，协商解决。</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color w:val="000000"/>
          <w:sz w:val="24"/>
        </w:rPr>
        <w:t>基金管理人负责对交易对手的资信控制，按银行间债券市场的交易规则进行交易，并</w:t>
      </w:r>
      <w:r>
        <w:rPr>
          <w:rFonts w:ascii="宋体" w:hAnsi="宋体" w:hint="eastAsia"/>
          <w:sz w:val="24"/>
        </w:rPr>
        <w:t>负责</w:t>
      </w:r>
      <w:r>
        <w:rPr>
          <w:rFonts w:ascii="宋体" w:hAnsi="宋体"/>
          <w:sz w:val="24"/>
        </w:rPr>
        <w:t>处理</w:t>
      </w:r>
      <w:r>
        <w:rPr>
          <w:rFonts w:ascii="宋体" w:hAnsi="宋体" w:hint="eastAsia"/>
          <w:sz w:val="24"/>
        </w:rPr>
        <w:t>因交易对手不履行合同而造成的纠纷，基金托管人</w:t>
      </w:r>
      <w:r>
        <w:rPr>
          <w:rFonts w:ascii="宋体" w:hAnsi="宋体" w:cs="Arial" w:hint="eastAsia"/>
          <w:color w:val="000000"/>
          <w:sz w:val="24"/>
        </w:rPr>
        <w:t>切实履行监督职责后</w:t>
      </w:r>
      <w:r>
        <w:rPr>
          <w:rFonts w:ascii="宋体" w:hAnsi="宋体" w:hint="eastAsia"/>
          <w:sz w:val="24"/>
        </w:rPr>
        <w:t>不承担由此造成的任何法律责任及损失，但应予以协助与配合。若未履约的交易对手在基金托管人与基金管理人确定的时间前仍未承担违约责任及其他相关法律责任的，由基金管理人向相关交易对手追偿，</w:t>
      </w:r>
      <w:r>
        <w:rPr>
          <w:rFonts w:ascii="宋体" w:hAnsi="宋体"/>
          <w:sz w:val="24"/>
        </w:rPr>
        <w:t>基金托管人</w:t>
      </w:r>
      <w:r>
        <w:rPr>
          <w:rFonts w:ascii="宋体" w:hAnsi="宋体" w:hint="eastAsia"/>
          <w:sz w:val="24"/>
        </w:rPr>
        <w:t>给予必要的协助与配合。</w:t>
      </w:r>
      <w:r>
        <w:rPr>
          <w:rFonts w:ascii="宋体" w:hAnsi="宋体" w:cs="Arial" w:hint="eastAsia"/>
          <w:color w:val="000000"/>
          <w:sz w:val="24"/>
        </w:rPr>
        <w:t>基金托管人则根据银行间债券市场成交单对合同履行情况进行监督。如基金托管人事后发现基金管理人没有按照事先约定的交易对手或交易方式进行交易时，基金托管人应及时提醒基金管理人，基金托管人切实履行监督职责后不承担由此造成的相应损失和责任。如基金管理人未提供名单，视为可与全市场交易对手进行交易。</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（五）基金托管人根据有关法律法规的规定及基金合同的约定，对基金投资中期票据进行监督。</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（六）基金托管人根据有关法律法规的规定及基金合同的约定，对基金资产净值计算、各类基金份额的基金份额净值计算、应收资金到账、基金费用开支及收入确定、基金收益分配、相关信息披露、</w:t>
      </w:r>
      <w:r>
        <w:rPr>
          <w:rFonts w:hint="eastAsia"/>
          <w:spacing w:val="-4"/>
          <w:sz w:val="24"/>
        </w:rPr>
        <w:t>基金产品资料概要、基金清算报告、</w:t>
      </w:r>
      <w:r>
        <w:rPr>
          <w:rFonts w:ascii="宋体" w:hAnsi="宋体" w:cs="Arial" w:hint="eastAsia"/>
          <w:sz w:val="24"/>
        </w:rPr>
        <w:t>基金宣传推介材料中登载基金业绩表现数据等进行监督和核查。</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七）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及时核对并以书面形式给基金托管人发出回函，就基金托管人的合理疑义进行解释或举证，说明违规原因及纠正期限，并保证在规定期限内及时改正。在上述规定期限内，基金托管人有权对通知事项进行复查，督促基金管理人改正。基金管理人对基金托管人通知的违规事项未能在限期内纠正的，基金托管人应报告中国证监会。</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（八）基金管理人有义务配合和协助基金托管人依照法律法规、基金合同和</w:t>
      </w:r>
      <w:r>
        <w:rPr>
          <w:rFonts w:ascii="宋体" w:hAnsi="宋体" w:cs="Arial" w:hint="eastAsia"/>
          <w:sz w:val="24"/>
        </w:rPr>
        <w:lastRenderedPageBreak/>
        <w:t>本托管协议对基金业务执行核查。对基金托管人发出的书面提示，基金管理人应在规定时间内答复并改正，或就基金托管人的合理疑义进行解释或举证；对基金托管人按照法律法规、基金合同和本托管协议的要求需向中国证监会报送基金监督报告的事项，基金管理人应积极配合提供相关数据资料和制度等。</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（九）若基金托管人发现基金管理人依据交易程序已经生效的指令违反法律、行政法规和其他有关规定，或者违反基金合同约定的，应当立即通知基金管理人，基金托管人</w:t>
      </w:r>
      <w:r>
        <w:rPr>
          <w:rFonts w:ascii="宋体" w:hAnsi="宋体" w:cs="Arial" w:hint="eastAsia"/>
          <w:color w:val="000000"/>
          <w:sz w:val="24"/>
        </w:rPr>
        <w:t>切实履行监督职责的，</w:t>
      </w:r>
      <w:r>
        <w:rPr>
          <w:rFonts w:ascii="宋体" w:hAnsi="宋体" w:cs="Arial" w:hint="eastAsia"/>
          <w:sz w:val="24"/>
        </w:rPr>
        <w:t>由此造成的损失由基金管理人承担，基金托管人在履行其通知义务后，予以免责。</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（十）基金托管人在投资监督过程中应当审慎履职，在能力范围内采取必要合理措施，对信息的真实性、准确性等进行评估。</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如基金托管人发现托管产品违反法律法规或合同约定进行投资的，应当拒绝执行；按照交易程序已经达成交易的或无法拒绝执行的，应当及时提示基金管理人等相关方；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rsidR="00092F67" w:rsidRDefault="00092F67">
      <w:pPr>
        <w:adjustRightInd w:val="0"/>
        <w:snapToGrid w:val="0"/>
        <w:spacing w:line="360" w:lineRule="auto"/>
        <w:ind w:firstLine="480"/>
        <w:rPr>
          <w:rFonts w:ascii="宋体" w:hAnsi="宋体" w:cs="Arial"/>
          <w:sz w:val="24"/>
        </w:rPr>
      </w:pPr>
    </w:p>
    <w:p w:rsidR="00092F67" w:rsidRDefault="00C901CF">
      <w:pPr>
        <w:pStyle w:val="1"/>
        <w:numPr>
          <w:ilvl w:val="0"/>
          <w:numId w:val="1"/>
        </w:numPr>
        <w:spacing w:line="360" w:lineRule="auto"/>
        <w:jc w:val="center"/>
        <w:rPr>
          <w:rFonts w:ascii="宋体" w:hAnsi="宋体"/>
          <w:sz w:val="28"/>
          <w:szCs w:val="28"/>
        </w:rPr>
      </w:pPr>
      <w:r>
        <w:rPr>
          <w:rFonts w:ascii="宋体" w:hAnsi="宋体"/>
          <w:sz w:val="24"/>
          <w:szCs w:val="24"/>
        </w:rPr>
        <w:br w:type="page"/>
      </w:r>
      <w:bookmarkStart w:id="52" w:name="_Toc295832940"/>
      <w:bookmarkStart w:id="53" w:name="_Toc295833671"/>
      <w:bookmarkStart w:id="54" w:name="_Toc295833000"/>
      <w:bookmarkStart w:id="55" w:name="_Toc295832633"/>
      <w:bookmarkStart w:id="56" w:name="_Toc118212950"/>
      <w:bookmarkStart w:id="57" w:name="_Toc270669855"/>
      <w:bookmarkStart w:id="58" w:name="_Toc119402710"/>
      <w:bookmarkStart w:id="59" w:name="_Toc89163368"/>
      <w:bookmarkStart w:id="60" w:name="_Toc366835698"/>
      <w:bookmarkStart w:id="61" w:name="_Toc118972648"/>
      <w:bookmarkStart w:id="62" w:name="_Toc120435783"/>
      <w:bookmarkStart w:id="63" w:name="_Toc86726439"/>
      <w:bookmarkStart w:id="64" w:name="_Toc108512358"/>
      <w:bookmarkStart w:id="65" w:name="_Toc86223242"/>
      <w:bookmarkStart w:id="66" w:name="_Toc355859317"/>
      <w:bookmarkStart w:id="67" w:name="_Toc110830492"/>
      <w:bookmarkStart w:id="68" w:name="_Toc86225291"/>
      <w:bookmarkStart w:id="69" w:name="_Toc118774803"/>
      <w:bookmarkStart w:id="70" w:name="_Toc86727355"/>
      <w:bookmarkStart w:id="71" w:name="_Toc110761796"/>
      <w:bookmarkStart w:id="72" w:name="_Toc86649722"/>
      <w:bookmarkStart w:id="73" w:name="_Toc86737929"/>
      <w:bookmarkStart w:id="74" w:name="_Toc124325888"/>
      <w:bookmarkStart w:id="75" w:name="_Toc110765660"/>
      <w:bookmarkEnd w:id="52"/>
      <w:bookmarkEnd w:id="53"/>
      <w:bookmarkEnd w:id="54"/>
      <w:bookmarkEnd w:id="55"/>
      <w:r>
        <w:rPr>
          <w:rFonts w:ascii="宋体" w:hAnsi="宋体" w:hint="eastAsia"/>
          <w:sz w:val="28"/>
          <w:szCs w:val="28"/>
        </w:rPr>
        <w:lastRenderedPageBreak/>
        <w:t>基金管理人对基金托管人的业务核查</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（一）基金管理人对基金托管人履行托管职责情况进行核查，核查事项包括基金托管人安全保管基金财产、开设/协助开立基金财产的托管账户和证券账户</w:t>
      </w:r>
      <w:r>
        <w:rPr>
          <w:spacing w:val="-4"/>
          <w:sz w:val="24"/>
        </w:rPr>
        <w:t>等投资所需账户</w:t>
      </w:r>
      <w:r>
        <w:rPr>
          <w:rFonts w:hint="eastAsia"/>
          <w:spacing w:val="-4"/>
          <w:sz w:val="24"/>
        </w:rPr>
        <w:t>及申请交易编码所需的基金托管人相关信息、</w:t>
      </w:r>
      <w:r>
        <w:rPr>
          <w:rFonts w:ascii="宋体" w:hAnsi="宋体" w:cs="Arial" w:hint="eastAsia"/>
          <w:sz w:val="24"/>
        </w:rPr>
        <w:t>复核基金管理人计算的基金资产净值和各类基金份额的基金份额净值、根据基金管理人指令办理清算交收、相关信息披露和监督基金投资运作等行为。</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092F67" w:rsidRDefault="00C901CF">
      <w:pPr>
        <w:pStyle w:val="1"/>
        <w:numPr>
          <w:ilvl w:val="0"/>
          <w:numId w:val="1"/>
        </w:numPr>
        <w:spacing w:line="360" w:lineRule="auto"/>
        <w:jc w:val="center"/>
        <w:rPr>
          <w:rFonts w:ascii="宋体" w:hAnsi="宋体"/>
          <w:sz w:val="28"/>
          <w:szCs w:val="28"/>
        </w:rPr>
      </w:pPr>
      <w:r>
        <w:rPr>
          <w:rFonts w:ascii="宋体" w:hAnsi="宋体"/>
          <w:sz w:val="24"/>
          <w:szCs w:val="24"/>
        </w:rPr>
        <w:br w:type="page"/>
      </w:r>
      <w:bookmarkStart w:id="76" w:name="_Toc295832635"/>
      <w:bookmarkStart w:id="77" w:name="_Toc295832942"/>
      <w:bookmarkStart w:id="78" w:name="_Toc295833002"/>
      <w:bookmarkStart w:id="79" w:name="_Toc295833673"/>
      <w:bookmarkStart w:id="80" w:name="_Toc270669856"/>
      <w:bookmarkStart w:id="81" w:name="_Toc108512359"/>
      <w:bookmarkStart w:id="82" w:name="_Toc86649723"/>
      <w:bookmarkStart w:id="83" w:name="_Toc86727356"/>
      <w:bookmarkStart w:id="84" w:name="_Toc86223243"/>
      <w:bookmarkStart w:id="85" w:name="_Toc89163369"/>
      <w:bookmarkStart w:id="86" w:name="_Toc366835699"/>
      <w:bookmarkStart w:id="87" w:name="_Toc86726440"/>
      <w:bookmarkStart w:id="88" w:name="_Toc84133786"/>
      <w:bookmarkStart w:id="89" w:name="_Toc118212951"/>
      <w:bookmarkStart w:id="90" w:name="_Toc110765661"/>
      <w:bookmarkStart w:id="91" w:name="_Toc86225292"/>
      <w:bookmarkStart w:id="92" w:name="_Toc110830493"/>
      <w:bookmarkStart w:id="93" w:name="_Toc119402711"/>
      <w:bookmarkStart w:id="94" w:name="_Toc110761797"/>
      <w:bookmarkStart w:id="95" w:name="_Toc120435784"/>
      <w:bookmarkStart w:id="96" w:name="_Toc124325889"/>
      <w:bookmarkStart w:id="97" w:name="_Toc86737930"/>
      <w:bookmarkStart w:id="98" w:name="_Toc86204789"/>
      <w:bookmarkStart w:id="99" w:name="_Toc84234388"/>
      <w:bookmarkStart w:id="100" w:name="_Toc118774804"/>
      <w:bookmarkStart w:id="101" w:name="_Toc84234435"/>
      <w:bookmarkStart w:id="102" w:name="_Toc355859318"/>
      <w:bookmarkStart w:id="103" w:name="_Toc118972649"/>
      <w:bookmarkEnd w:id="76"/>
      <w:bookmarkEnd w:id="77"/>
      <w:bookmarkEnd w:id="78"/>
      <w:bookmarkEnd w:id="79"/>
      <w:r>
        <w:rPr>
          <w:rFonts w:ascii="宋体" w:hAnsi="宋体" w:hint="eastAsia"/>
          <w:sz w:val="28"/>
          <w:szCs w:val="28"/>
        </w:rPr>
        <w:lastRenderedPageBreak/>
        <w:t>基金财产的保管</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（一）基金财产保管的原则</w:t>
      </w:r>
    </w:p>
    <w:p w:rsidR="00092F67" w:rsidRDefault="00C901CF">
      <w:pPr>
        <w:numPr>
          <w:ilvl w:val="0"/>
          <w:numId w:val="2"/>
        </w:numPr>
        <w:adjustRightInd w:val="0"/>
        <w:snapToGrid w:val="0"/>
        <w:spacing w:line="360" w:lineRule="auto"/>
        <w:ind w:left="0" w:firstLine="426"/>
        <w:rPr>
          <w:rFonts w:ascii="宋体" w:hAnsi="宋体" w:cs="Arial"/>
          <w:sz w:val="24"/>
        </w:rPr>
      </w:pPr>
      <w:r>
        <w:rPr>
          <w:rFonts w:ascii="宋体" w:hAnsi="宋体" w:cs="Arial" w:hint="eastAsia"/>
          <w:sz w:val="24"/>
        </w:rPr>
        <w:t>基金财产应独立于基金管理人、基金托管人</w:t>
      </w:r>
      <w:r>
        <w:rPr>
          <w:rFonts w:hint="eastAsia"/>
          <w:spacing w:val="-4"/>
          <w:sz w:val="24"/>
        </w:rPr>
        <w:t>、基金销售机构和基金服务机构</w:t>
      </w:r>
      <w:r>
        <w:rPr>
          <w:rFonts w:ascii="宋体" w:hAnsi="宋体" w:cs="Arial" w:hint="eastAsia"/>
          <w:sz w:val="24"/>
        </w:rPr>
        <w:t>的固有财产。</w:t>
      </w:r>
    </w:p>
    <w:p w:rsidR="00092F67" w:rsidRDefault="00C901CF">
      <w:pPr>
        <w:numPr>
          <w:ilvl w:val="0"/>
          <w:numId w:val="2"/>
        </w:numPr>
        <w:adjustRightInd w:val="0"/>
        <w:snapToGrid w:val="0"/>
        <w:spacing w:line="360" w:lineRule="auto"/>
        <w:ind w:left="0" w:firstLine="426"/>
        <w:rPr>
          <w:rFonts w:ascii="宋体" w:hAnsi="宋体" w:cs="Arial"/>
          <w:sz w:val="24"/>
        </w:rPr>
      </w:pPr>
      <w:r>
        <w:rPr>
          <w:rFonts w:ascii="宋体" w:hAnsi="宋体" w:cs="Arial" w:hint="eastAsia"/>
          <w:sz w:val="24"/>
        </w:rPr>
        <w:t>基金托管人应安全保管基金财产。未经基金管理人依据合法程序作出的合法合规指令，基金托管人不得自行运用、处分、分配基金的任何财产。</w:t>
      </w:r>
    </w:p>
    <w:p w:rsidR="00092F67" w:rsidRDefault="00C901CF">
      <w:pPr>
        <w:numPr>
          <w:ilvl w:val="0"/>
          <w:numId w:val="2"/>
        </w:numPr>
        <w:adjustRightInd w:val="0"/>
        <w:snapToGrid w:val="0"/>
        <w:spacing w:line="360" w:lineRule="auto"/>
        <w:ind w:left="0" w:firstLine="426"/>
        <w:rPr>
          <w:rFonts w:ascii="宋体" w:hAnsi="宋体" w:cs="Arial"/>
          <w:sz w:val="24"/>
        </w:rPr>
      </w:pPr>
      <w:r>
        <w:rPr>
          <w:rFonts w:ascii="宋体" w:hAnsi="宋体" w:cs="Arial" w:hint="eastAsia"/>
          <w:sz w:val="24"/>
        </w:rPr>
        <w:t>基金托管人按照规定开设</w:t>
      </w:r>
      <w:r>
        <w:rPr>
          <w:rFonts w:hint="eastAsia"/>
          <w:sz w:val="24"/>
        </w:rPr>
        <w:t>/</w:t>
      </w:r>
      <w:r>
        <w:rPr>
          <w:rFonts w:hint="eastAsia"/>
          <w:sz w:val="24"/>
        </w:rPr>
        <w:t>协助开设</w:t>
      </w:r>
      <w:r>
        <w:rPr>
          <w:rFonts w:ascii="宋体" w:hAnsi="宋体" w:cs="Arial" w:hint="eastAsia"/>
          <w:sz w:val="24"/>
        </w:rPr>
        <w:t>基金财产的托管账户和证券账户</w:t>
      </w:r>
      <w:r>
        <w:rPr>
          <w:spacing w:val="-4"/>
          <w:sz w:val="24"/>
        </w:rPr>
        <w:t>等投资所需账户</w:t>
      </w:r>
      <w:r>
        <w:rPr>
          <w:rFonts w:hint="eastAsia"/>
          <w:spacing w:val="-4"/>
          <w:sz w:val="24"/>
        </w:rPr>
        <w:t>及申请交易编码所需的基金托管人相关信息</w:t>
      </w:r>
      <w:r>
        <w:rPr>
          <w:rFonts w:ascii="宋体" w:hAnsi="宋体" w:cs="Arial" w:hint="eastAsia"/>
          <w:sz w:val="24"/>
        </w:rPr>
        <w:t>。</w:t>
      </w:r>
    </w:p>
    <w:p w:rsidR="00092F67" w:rsidRDefault="00C901CF">
      <w:pPr>
        <w:numPr>
          <w:ilvl w:val="0"/>
          <w:numId w:val="2"/>
        </w:numPr>
        <w:adjustRightInd w:val="0"/>
        <w:snapToGrid w:val="0"/>
        <w:spacing w:line="360" w:lineRule="auto"/>
        <w:ind w:left="0" w:firstLine="426"/>
        <w:rPr>
          <w:rFonts w:ascii="宋体" w:hAnsi="宋体" w:cs="Arial"/>
          <w:sz w:val="24"/>
        </w:rPr>
      </w:pPr>
      <w:r>
        <w:rPr>
          <w:rFonts w:ascii="宋体" w:hAnsi="宋体" w:cs="Arial" w:hint="eastAsia"/>
          <w:sz w:val="24"/>
        </w:rPr>
        <w:t>基金托管人对所托管的不同基金财产分别设置账户，</w:t>
      </w:r>
      <w:r>
        <w:rPr>
          <w:rFonts w:ascii="宋体" w:hAnsi="宋体" w:cs="Arial" w:hint="eastAsia"/>
          <w:bCs/>
          <w:sz w:val="24"/>
        </w:rPr>
        <w:t>独立核算，分账管理，</w:t>
      </w:r>
      <w:r>
        <w:rPr>
          <w:rFonts w:ascii="宋体" w:hAnsi="宋体" w:cs="Arial" w:hint="eastAsia"/>
          <w:sz w:val="24"/>
        </w:rPr>
        <w:t>确保基金财产的完整与独立。</w:t>
      </w:r>
    </w:p>
    <w:p w:rsidR="00092F67" w:rsidRDefault="00C901CF">
      <w:pPr>
        <w:numPr>
          <w:ilvl w:val="0"/>
          <w:numId w:val="2"/>
        </w:numPr>
        <w:adjustRightInd w:val="0"/>
        <w:snapToGrid w:val="0"/>
        <w:spacing w:line="360" w:lineRule="auto"/>
        <w:ind w:left="0" w:firstLine="426"/>
        <w:rPr>
          <w:rFonts w:ascii="宋体" w:hAnsi="宋体" w:cs="Arial"/>
          <w:sz w:val="24"/>
        </w:rPr>
      </w:pPr>
      <w:r>
        <w:rPr>
          <w:rFonts w:ascii="宋体" w:hAnsi="宋体" w:cs="Arial" w:hint="eastAsia"/>
          <w:sz w:val="24"/>
        </w:rPr>
        <w:t>基金托管人根据基金管理人的指令，按照基金合同和本协议的约定保管基金财产，如有特殊情况双方可另行协商解决。</w:t>
      </w:r>
    </w:p>
    <w:p w:rsidR="00092F67" w:rsidRDefault="00C901CF">
      <w:pPr>
        <w:numPr>
          <w:ilvl w:val="0"/>
          <w:numId w:val="2"/>
        </w:numPr>
        <w:adjustRightInd w:val="0"/>
        <w:snapToGrid w:val="0"/>
        <w:spacing w:line="360" w:lineRule="auto"/>
        <w:ind w:left="0" w:firstLine="426"/>
        <w:rPr>
          <w:rFonts w:ascii="宋体" w:hAnsi="宋体" w:cs="Arial"/>
          <w:sz w:val="24"/>
        </w:rPr>
      </w:pPr>
      <w:r>
        <w:rPr>
          <w:rFonts w:ascii="宋体" w:hAnsi="宋体" w:cs="Arial" w:hint="eastAsia"/>
          <w:sz w:val="24"/>
        </w:rPr>
        <w:t>对于因为</w:t>
      </w:r>
      <w:r>
        <w:rPr>
          <w:rFonts w:hint="eastAsia"/>
          <w:spacing w:val="-4"/>
          <w:sz w:val="24"/>
        </w:rPr>
        <w:t>基金认（申）购、</w:t>
      </w:r>
      <w:r>
        <w:rPr>
          <w:rFonts w:ascii="宋体" w:hAnsi="宋体" w:cs="Arial" w:hint="eastAsia"/>
          <w:sz w:val="24"/>
        </w:rPr>
        <w:t>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对此不承担相应责任，</w:t>
      </w:r>
      <w:r>
        <w:rPr>
          <w:rFonts w:ascii="宋体" w:hAnsi="宋体" w:cs="Arial"/>
          <w:sz w:val="24"/>
        </w:rPr>
        <w:t>但应提供必要的配合</w:t>
      </w:r>
      <w:r>
        <w:rPr>
          <w:rFonts w:ascii="宋体" w:hAnsi="宋体" w:cs="Arial" w:hint="eastAsia"/>
          <w:sz w:val="24"/>
        </w:rPr>
        <w:t>。</w:t>
      </w:r>
    </w:p>
    <w:p w:rsidR="00092F67" w:rsidRDefault="00C901CF">
      <w:pPr>
        <w:numPr>
          <w:ilvl w:val="0"/>
          <w:numId w:val="2"/>
        </w:numPr>
        <w:adjustRightInd w:val="0"/>
        <w:snapToGrid w:val="0"/>
        <w:spacing w:line="360" w:lineRule="auto"/>
        <w:ind w:left="0" w:firstLine="426"/>
        <w:rPr>
          <w:rFonts w:ascii="宋体" w:hAnsi="宋体" w:cs="Arial"/>
          <w:sz w:val="24"/>
        </w:rPr>
      </w:pPr>
      <w:r>
        <w:rPr>
          <w:rFonts w:ascii="宋体" w:hAnsi="宋体" w:cs="Arial" w:hint="eastAsia"/>
          <w:sz w:val="24"/>
        </w:rPr>
        <w:t>除依据法律法规和基金合同的规定外，基金托管人不得委托第三人托管基金财产。</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（二）基金募集期间及募集资金的验资</w:t>
      </w:r>
    </w:p>
    <w:p w:rsidR="00092F67" w:rsidRDefault="00C901CF">
      <w:pPr>
        <w:numPr>
          <w:ilvl w:val="0"/>
          <w:numId w:val="3"/>
        </w:numPr>
        <w:adjustRightInd w:val="0"/>
        <w:snapToGrid w:val="0"/>
        <w:spacing w:line="360" w:lineRule="auto"/>
        <w:ind w:left="0" w:firstLine="426"/>
        <w:rPr>
          <w:rFonts w:ascii="宋体" w:hAnsi="宋体" w:cs="Arial"/>
          <w:sz w:val="24"/>
        </w:rPr>
      </w:pPr>
      <w:r>
        <w:rPr>
          <w:rFonts w:ascii="宋体" w:hAnsi="宋体" w:cs="Arial" w:hint="eastAsia"/>
          <w:sz w:val="24"/>
        </w:rPr>
        <w:t>基金募集期间募集的资金应存于基金管理人或其委托的登记机构在具有托管资格的商业银行开立的基金募集专户。该账户由基金管理人或其委托的登记机构开立并管理。</w:t>
      </w:r>
    </w:p>
    <w:p w:rsidR="00092F67" w:rsidRDefault="00C901CF">
      <w:pPr>
        <w:numPr>
          <w:ilvl w:val="0"/>
          <w:numId w:val="3"/>
        </w:numPr>
        <w:adjustRightInd w:val="0"/>
        <w:snapToGrid w:val="0"/>
        <w:spacing w:line="360" w:lineRule="auto"/>
        <w:ind w:left="0" w:firstLine="426"/>
        <w:rPr>
          <w:rFonts w:ascii="宋体" w:hAnsi="宋体" w:cs="Arial"/>
          <w:sz w:val="24"/>
        </w:rPr>
      </w:pPr>
      <w:r>
        <w:rPr>
          <w:rFonts w:ascii="宋体" w:hAnsi="宋体" w:cs="Arial" w:hint="eastAsia"/>
          <w:sz w:val="24"/>
        </w:rPr>
        <w:t>基金募集期满或基金停止募集时，募集的基金份额总额、基金募集金额、基金份额持有人人数符合《基金法》、《运作办法》等有关规定后，基金管理人应将属于基金财产的全部资金划入基金托管人开立的基金托管账户，同时在规定时间内，聘请符合《中华人民共和国证券法》规定的会计师事务所进行验资，出具验资报告。出具的验资报告由参加验资的2名或2名以上中国注册会计师签字方</w:t>
      </w:r>
      <w:r>
        <w:rPr>
          <w:rFonts w:ascii="宋体" w:hAnsi="宋体" w:cs="Arial" w:hint="eastAsia"/>
          <w:sz w:val="24"/>
        </w:rPr>
        <w:lastRenderedPageBreak/>
        <w:t>为有效。</w:t>
      </w:r>
    </w:p>
    <w:p w:rsidR="00092F67" w:rsidRDefault="00C901CF">
      <w:pPr>
        <w:numPr>
          <w:ilvl w:val="0"/>
          <w:numId w:val="3"/>
        </w:numPr>
        <w:adjustRightInd w:val="0"/>
        <w:snapToGrid w:val="0"/>
        <w:spacing w:line="360" w:lineRule="auto"/>
        <w:ind w:left="0" w:firstLine="426"/>
        <w:rPr>
          <w:rFonts w:ascii="宋体" w:hAnsi="宋体" w:cs="Arial"/>
          <w:sz w:val="24"/>
        </w:rPr>
      </w:pPr>
      <w:r>
        <w:rPr>
          <w:rFonts w:ascii="宋体" w:hAnsi="宋体" w:cs="Arial" w:hint="eastAsia"/>
          <w:sz w:val="24"/>
        </w:rPr>
        <w:t>若基金募集期限届满，未能达到基金合同生效的条件，由基金管理人按规定办理退款等事宜，基金托管人应提供充分协助。</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（三）基金银行账户（也可称为“托管账户”）的开立和管理</w:t>
      </w:r>
    </w:p>
    <w:p w:rsidR="00092F67" w:rsidRDefault="00C901CF">
      <w:pPr>
        <w:numPr>
          <w:ilvl w:val="0"/>
          <w:numId w:val="4"/>
        </w:numPr>
        <w:adjustRightInd w:val="0"/>
        <w:snapToGrid w:val="0"/>
        <w:spacing w:line="360" w:lineRule="auto"/>
        <w:ind w:left="0" w:firstLine="426"/>
        <w:rPr>
          <w:rFonts w:ascii="宋体" w:hAnsi="宋体" w:cs="Arial"/>
          <w:sz w:val="24"/>
        </w:rPr>
      </w:pPr>
      <w:r>
        <w:rPr>
          <w:rFonts w:ascii="宋体" w:hAnsi="宋体" w:cs="Arial" w:hint="eastAsia"/>
          <w:sz w:val="24"/>
        </w:rPr>
        <w:t>基金托管人应负责本基金的银行账户的开设和管理。</w:t>
      </w:r>
    </w:p>
    <w:p w:rsidR="00092F67" w:rsidRDefault="00C901CF">
      <w:pPr>
        <w:numPr>
          <w:ilvl w:val="0"/>
          <w:numId w:val="4"/>
        </w:numPr>
        <w:adjustRightInd w:val="0"/>
        <w:snapToGrid w:val="0"/>
        <w:spacing w:line="360" w:lineRule="auto"/>
        <w:ind w:left="0" w:firstLine="426"/>
        <w:rPr>
          <w:rFonts w:ascii="宋体" w:hAnsi="宋体" w:cs="Arial"/>
          <w:sz w:val="24"/>
        </w:rPr>
      </w:pPr>
      <w:r>
        <w:rPr>
          <w:rFonts w:ascii="宋体" w:hAnsi="宋体" w:cs="Arial" w:hint="eastAsia"/>
          <w:sz w:val="24"/>
        </w:rPr>
        <w:t>基金托管人根据有关规定以本基金的名义在其营业机构开立银行账户，并根据基金管理人合法合规的指令办理资金收付。基金管理人授权基金托管人办理本基金银行账户的开立、销户、变更工作，本基金银行账户无需预留印鉴，具体按基金托管人要求办理。基金银行账户的开立和使用，限于满足开展本基金业务的需要。基金托管人和基金管理人不得假借本基金的名义开立任何其他银行账户；亦不得使用基金的任何账户进行本基金业务以外的活动。</w:t>
      </w:r>
    </w:p>
    <w:p w:rsidR="00092F67" w:rsidRDefault="00C901CF">
      <w:pPr>
        <w:numPr>
          <w:ilvl w:val="0"/>
          <w:numId w:val="4"/>
        </w:numPr>
        <w:adjustRightInd w:val="0"/>
        <w:snapToGrid w:val="0"/>
        <w:spacing w:line="360" w:lineRule="auto"/>
        <w:ind w:left="0" w:firstLine="426"/>
        <w:rPr>
          <w:rFonts w:ascii="宋体" w:hAnsi="宋体" w:cs="Arial"/>
          <w:sz w:val="24"/>
        </w:rPr>
      </w:pPr>
      <w:r>
        <w:rPr>
          <w:rFonts w:ascii="宋体" w:hAnsi="宋体" w:cs="Arial" w:hint="eastAsia"/>
          <w:sz w:val="24"/>
        </w:rPr>
        <w:t>基金银行账户的开立和管理应符合银行业监督管理机构的有关规定。</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（四）基金证券账户和结算备付金账户的开立和管理</w:t>
      </w:r>
    </w:p>
    <w:p w:rsidR="00092F67" w:rsidRDefault="00C901CF">
      <w:pPr>
        <w:numPr>
          <w:ilvl w:val="0"/>
          <w:numId w:val="5"/>
        </w:numPr>
        <w:adjustRightInd w:val="0"/>
        <w:snapToGrid w:val="0"/>
        <w:spacing w:line="360" w:lineRule="auto"/>
        <w:ind w:left="0" w:firstLine="480"/>
        <w:rPr>
          <w:rFonts w:ascii="宋体" w:hAnsi="宋体" w:cs="Arial"/>
          <w:sz w:val="24"/>
        </w:rPr>
      </w:pPr>
      <w:r>
        <w:rPr>
          <w:rFonts w:ascii="宋体" w:hAnsi="宋体" w:cs="Arial" w:hint="eastAsia"/>
          <w:sz w:val="24"/>
        </w:rPr>
        <w:t>基金托管人在中国证券登记结算有限责任公司为基金开立基金托管人与本基金联名的证券账户。</w:t>
      </w:r>
    </w:p>
    <w:p w:rsidR="00092F67" w:rsidRDefault="00C901CF">
      <w:pPr>
        <w:numPr>
          <w:ilvl w:val="0"/>
          <w:numId w:val="5"/>
        </w:numPr>
        <w:adjustRightInd w:val="0"/>
        <w:snapToGrid w:val="0"/>
        <w:spacing w:line="360" w:lineRule="auto"/>
        <w:ind w:left="0" w:firstLine="480"/>
        <w:rPr>
          <w:rFonts w:ascii="宋体" w:hAnsi="宋体" w:cs="Arial"/>
          <w:sz w:val="24"/>
        </w:rPr>
      </w:pPr>
      <w:r>
        <w:rPr>
          <w:rFonts w:ascii="宋体" w:hAnsi="宋体" w:cs="Arial" w:hint="eastAsia"/>
          <w:sz w:val="24"/>
        </w:rPr>
        <w:t>基金证券账户的开立和证券账户卡的保管由基金托管人负责，账户资产的管理和运用由基金管理人负责。</w:t>
      </w:r>
    </w:p>
    <w:p w:rsidR="00092F67" w:rsidRDefault="00C901CF">
      <w:pPr>
        <w:numPr>
          <w:ilvl w:val="0"/>
          <w:numId w:val="5"/>
        </w:numPr>
        <w:adjustRightInd w:val="0"/>
        <w:snapToGrid w:val="0"/>
        <w:spacing w:line="360" w:lineRule="auto"/>
        <w:ind w:left="0" w:firstLine="480"/>
        <w:rPr>
          <w:rFonts w:ascii="宋体" w:hAnsi="宋体" w:cs="Arial"/>
          <w:sz w:val="24"/>
        </w:rPr>
      </w:pPr>
      <w:r>
        <w:rPr>
          <w:rFonts w:ascii="宋体" w:hAnsi="宋体" w:cs="Arial" w:hint="eastAsia"/>
          <w:sz w:val="24"/>
        </w:rPr>
        <w:t>基金托管人以自身法人名义在中国证券登记结算有限责任公司开立结算备付金账户，并代表所托管的基金完成与中国证券登记结算有限责任公司的一级法人清算工作，基金管理人应予以积极协助。结算备付金等的收取按照中国证券登记结算有限责任公司的规定执行。</w:t>
      </w:r>
    </w:p>
    <w:p w:rsidR="00092F67" w:rsidRDefault="00C901CF">
      <w:pPr>
        <w:numPr>
          <w:ilvl w:val="0"/>
          <w:numId w:val="5"/>
        </w:numPr>
        <w:adjustRightInd w:val="0"/>
        <w:snapToGrid w:val="0"/>
        <w:spacing w:line="360" w:lineRule="auto"/>
        <w:ind w:left="0" w:firstLine="480"/>
        <w:rPr>
          <w:rFonts w:ascii="宋体" w:hAnsi="宋体" w:cs="Arial"/>
          <w:sz w:val="24"/>
        </w:rPr>
      </w:pPr>
      <w:r>
        <w:rPr>
          <w:rFonts w:ascii="宋体" w:hAnsi="宋体" w:cs="Arial" w:hint="eastAsia"/>
          <w:sz w:val="24"/>
        </w:rPr>
        <w:t>基金证券账户和结算备付金账户的开立和使用，仅限于满足开展本基金业务的需要。基金托管人和基金管理人不得出借或未经对方同意擅自转让基金的任何账户，亦不得使用基金的任何账户进行本基金业务以外的活动。</w:t>
      </w:r>
    </w:p>
    <w:p w:rsidR="00092F67" w:rsidRDefault="00C901CF">
      <w:pPr>
        <w:numPr>
          <w:ilvl w:val="0"/>
          <w:numId w:val="5"/>
        </w:numPr>
        <w:adjustRightInd w:val="0"/>
        <w:snapToGrid w:val="0"/>
        <w:spacing w:line="360" w:lineRule="auto"/>
        <w:ind w:left="0" w:firstLine="480"/>
        <w:rPr>
          <w:rFonts w:ascii="宋体" w:hAnsi="宋体" w:cs="Arial"/>
          <w:sz w:val="24"/>
        </w:rPr>
      </w:pPr>
      <w:r>
        <w:rPr>
          <w:rFonts w:ascii="宋体" w:hAnsi="宋体" w:cs="Arial" w:hint="eastAsia"/>
          <w:sz w:val="24"/>
        </w:rPr>
        <w:t>若中国证监会或其他监管机构在本托管协议订立日之后允许基金从事其他投资品种的投资业务，涉及相关账户的开立、使用的，若无相关规定，则基金托管人比照上述关于账户开立、使用的规定执行。</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（五）债券托管账户的开设和管理</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基金合同生效后，基金托管人根据中国人民银行、中央国债登记结算有限责任公司的有关规定，在中央国债登记结算有限责任公司</w:t>
      </w:r>
      <w:r>
        <w:rPr>
          <w:rFonts w:ascii="宋体" w:hAnsi="宋体" w:hint="eastAsia"/>
          <w:sz w:val="24"/>
        </w:rPr>
        <w:t>、银行间清算所股份有限</w:t>
      </w:r>
      <w:r>
        <w:rPr>
          <w:rFonts w:ascii="宋体" w:hAnsi="宋体" w:hint="eastAsia"/>
          <w:sz w:val="24"/>
        </w:rPr>
        <w:lastRenderedPageBreak/>
        <w:t>公司根据有关规定以本基金的名义为基金</w:t>
      </w:r>
      <w:r>
        <w:rPr>
          <w:rFonts w:ascii="宋体" w:hAnsi="宋体" w:cs="Arial" w:hint="eastAsia"/>
          <w:sz w:val="24"/>
        </w:rPr>
        <w:t>开立债券托管账户，并代表</w:t>
      </w:r>
      <w:r>
        <w:rPr>
          <w:rFonts w:ascii="宋体" w:hAnsi="宋体" w:hint="eastAsia"/>
          <w:sz w:val="24"/>
        </w:rPr>
        <w:t>本</w:t>
      </w:r>
      <w:r>
        <w:rPr>
          <w:rFonts w:ascii="宋体" w:hAnsi="宋体" w:cs="Arial" w:hint="eastAsia"/>
          <w:sz w:val="24"/>
        </w:rPr>
        <w:t>基金进行银行间市场债券的结算。基金管理人代表</w:t>
      </w:r>
      <w:r>
        <w:rPr>
          <w:rFonts w:ascii="宋体" w:hAnsi="宋体" w:hint="eastAsia"/>
          <w:sz w:val="24"/>
        </w:rPr>
        <w:t>本</w:t>
      </w:r>
      <w:r>
        <w:rPr>
          <w:rFonts w:ascii="宋体" w:hAnsi="宋体" w:cs="Arial" w:hint="eastAsia"/>
          <w:sz w:val="24"/>
        </w:rPr>
        <w:t>基金签订全国银行间债券市场债券回购主协议。</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（六）其他账户的开立和管理</w:t>
      </w:r>
    </w:p>
    <w:p w:rsidR="00092F67" w:rsidRDefault="00C901CF">
      <w:pPr>
        <w:numPr>
          <w:ilvl w:val="0"/>
          <w:numId w:val="6"/>
        </w:numPr>
        <w:adjustRightInd w:val="0"/>
        <w:snapToGrid w:val="0"/>
        <w:spacing w:line="360" w:lineRule="auto"/>
        <w:ind w:left="0" w:firstLine="426"/>
        <w:rPr>
          <w:rFonts w:ascii="宋体" w:hAnsi="宋体" w:cs="Arial"/>
          <w:sz w:val="24"/>
        </w:rPr>
      </w:pPr>
      <w:r>
        <w:rPr>
          <w:rFonts w:ascii="宋体" w:hAnsi="宋体" w:cs="Arial" w:hint="eastAsia"/>
          <w:sz w:val="24"/>
        </w:rPr>
        <w:t>因业务发展需要而开立的其他账户，可以根据法律法规和基金合同的规定开立，在基金管理人和基金托管人商议后由基金托管人负责开立。新账户按有关规定使用并管理。</w:t>
      </w:r>
    </w:p>
    <w:p w:rsidR="00092F67" w:rsidRDefault="00C901CF">
      <w:pPr>
        <w:numPr>
          <w:ilvl w:val="0"/>
          <w:numId w:val="6"/>
        </w:numPr>
        <w:adjustRightInd w:val="0"/>
        <w:snapToGrid w:val="0"/>
        <w:spacing w:line="360" w:lineRule="auto"/>
        <w:ind w:left="0" w:firstLine="426"/>
        <w:rPr>
          <w:rFonts w:ascii="宋体" w:hAnsi="宋体" w:cs="Arial"/>
          <w:sz w:val="24"/>
        </w:rPr>
      </w:pPr>
      <w:r>
        <w:rPr>
          <w:rFonts w:ascii="宋体" w:hAnsi="宋体" w:cs="Arial" w:hint="eastAsia"/>
          <w:sz w:val="24"/>
        </w:rPr>
        <w:t>法律法规等有关规定对相关账户的开立和管理另有规定的，从其规定办理。</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（七）基金财产投资的有关有价凭证等的保管</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财产投资的有关实物证券等有价凭证由基金托管人存放于基金托管人的保管库，也可存入中央国债登记结算有限责任公司、中国证券登记结算有限责任公司或票据营业中心的代保管库，保管凭证由基金托管人持有。实物证券等有价凭证的购买和转让，由基金管理人和基金托管人共同办理。基金托管人对由基金托管人以外机构实际有效控制的证券不承担保管责任。</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（八）与基金财产有关的重大合同的保管</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尽量保证基金管理人和基金托管人至少各持有一份正本的原件。重大合同的保管期限不少于法律法规的规定。</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对于无法取得二份以上的正本的，基金管理人应向基金托管人提供加盖授权业务章的合同传真件或复印件，未经双方协商或未在合同约定范围内，合同原件不得转移。</w:t>
      </w:r>
    </w:p>
    <w:p w:rsidR="00092F67" w:rsidRDefault="00C901CF">
      <w:pPr>
        <w:pStyle w:val="1"/>
        <w:numPr>
          <w:ilvl w:val="0"/>
          <w:numId w:val="1"/>
        </w:numPr>
        <w:spacing w:line="360" w:lineRule="auto"/>
        <w:jc w:val="center"/>
        <w:rPr>
          <w:rFonts w:ascii="宋体" w:hAnsi="宋体"/>
          <w:sz w:val="28"/>
          <w:szCs w:val="28"/>
        </w:rPr>
      </w:pPr>
      <w:bookmarkStart w:id="104" w:name="_Toc295833675"/>
      <w:bookmarkStart w:id="105" w:name="_Toc295832945"/>
      <w:bookmarkStart w:id="106" w:name="_Toc295833006"/>
      <w:bookmarkStart w:id="107" w:name="_Toc295832946"/>
      <w:bookmarkStart w:id="108" w:name="_Toc295832639"/>
      <w:bookmarkStart w:id="109" w:name="_Toc295833005"/>
      <w:bookmarkStart w:id="110" w:name="_Toc295832944"/>
      <w:bookmarkStart w:id="111" w:name="_Toc295832637"/>
      <w:bookmarkStart w:id="112" w:name="_Toc295833677"/>
      <w:bookmarkStart w:id="113" w:name="_Toc295833004"/>
      <w:bookmarkStart w:id="114" w:name="_Toc295833676"/>
      <w:bookmarkStart w:id="115" w:name="_Toc295832638"/>
      <w:bookmarkEnd w:id="104"/>
      <w:bookmarkEnd w:id="105"/>
      <w:bookmarkEnd w:id="106"/>
      <w:bookmarkEnd w:id="107"/>
      <w:bookmarkEnd w:id="108"/>
      <w:bookmarkEnd w:id="109"/>
      <w:bookmarkEnd w:id="110"/>
      <w:bookmarkEnd w:id="111"/>
      <w:bookmarkEnd w:id="112"/>
      <w:bookmarkEnd w:id="113"/>
      <w:bookmarkEnd w:id="114"/>
      <w:bookmarkEnd w:id="115"/>
      <w:r>
        <w:rPr>
          <w:rFonts w:ascii="宋体" w:hAnsi="宋体"/>
          <w:sz w:val="24"/>
          <w:szCs w:val="24"/>
        </w:rPr>
        <w:br w:type="page"/>
      </w:r>
      <w:bookmarkStart w:id="116" w:name="_Toc295832640"/>
      <w:bookmarkStart w:id="117" w:name="_Toc295833007"/>
      <w:bookmarkStart w:id="118" w:name="_Toc295832947"/>
      <w:bookmarkStart w:id="119" w:name="_Toc295833678"/>
      <w:bookmarkStart w:id="120" w:name="_Toc108512360"/>
      <w:bookmarkStart w:id="121" w:name="_Toc118774805"/>
      <w:bookmarkStart w:id="122" w:name="_Toc270669857"/>
      <w:bookmarkStart w:id="123" w:name="_Toc110765662"/>
      <w:bookmarkStart w:id="124" w:name="_Toc110761798"/>
      <w:bookmarkStart w:id="125" w:name="_Toc118212952"/>
      <w:bookmarkStart w:id="126" w:name="_Toc84234389"/>
      <w:bookmarkStart w:id="127" w:name="_Toc86649724"/>
      <w:bookmarkStart w:id="128" w:name="_Toc124325890"/>
      <w:bookmarkStart w:id="129" w:name="_Toc119402712"/>
      <w:bookmarkStart w:id="130" w:name="_Toc86223244"/>
      <w:bookmarkStart w:id="131" w:name="_Toc86727357"/>
      <w:bookmarkStart w:id="132" w:name="_Toc86737931"/>
      <w:bookmarkStart w:id="133" w:name="_Toc366835700"/>
      <w:bookmarkStart w:id="134" w:name="_Toc86204790"/>
      <w:bookmarkStart w:id="135" w:name="_Toc86726441"/>
      <w:bookmarkStart w:id="136" w:name="_Toc84133787"/>
      <w:bookmarkStart w:id="137" w:name="_Toc89163370"/>
      <w:bookmarkStart w:id="138" w:name="_Toc118972650"/>
      <w:bookmarkStart w:id="139" w:name="_Toc84234436"/>
      <w:bookmarkStart w:id="140" w:name="_Toc110830494"/>
      <w:bookmarkStart w:id="141" w:name="_Toc86225293"/>
      <w:bookmarkStart w:id="142" w:name="_Toc120435785"/>
      <w:bookmarkStart w:id="143" w:name="_Toc355859319"/>
      <w:bookmarkEnd w:id="116"/>
      <w:bookmarkEnd w:id="117"/>
      <w:bookmarkEnd w:id="118"/>
      <w:bookmarkEnd w:id="119"/>
      <w:r>
        <w:rPr>
          <w:rFonts w:ascii="宋体" w:hAnsi="宋体" w:hint="eastAsia"/>
          <w:sz w:val="28"/>
          <w:szCs w:val="28"/>
        </w:rPr>
        <w:lastRenderedPageBreak/>
        <w:t>指令的发送、确认及执行</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基金管理人在运用基金财产时向基金托管人发送资金划拨及其他款项付款指令，基金托管人执行基金管理人的指令、办理基金名下的资金往来等有关事项。</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（一）基金管理人对发送指令人员的书面授权</w:t>
      </w:r>
    </w:p>
    <w:p w:rsidR="00092F67" w:rsidRDefault="00C901CF">
      <w:pPr>
        <w:numPr>
          <w:ilvl w:val="0"/>
          <w:numId w:val="7"/>
        </w:numPr>
        <w:adjustRightInd w:val="0"/>
        <w:snapToGrid w:val="0"/>
        <w:spacing w:line="360" w:lineRule="auto"/>
        <w:ind w:left="0" w:firstLine="426"/>
        <w:rPr>
          <w:rFonts w:ascii="宋体" w:hAnsi="宋体" w:cs="Arial"/>
          <w:sz w:val="24"/>
        </w:rPr>
      </w:pPr>
      <w:r>
        <w:rPr>
          <w:rFonts w:ascii="宋体" w:hAnsi="宋体" w:cs="Arial" w:hint="eastAsia"/>
          <w:sz w:val="24"/>
        </w:rPr>
        <w:t>基金管理人应指定专人向基金托管人发送指令。</w:t>
      </w:r>
    </w:p>
    <w:p w:rsidR="00092F67" w:rsidRDefault="00C901CF">
      <w:pPr>
        <w:numPr>
          <w:ilvl w:val="0"/>
          <w:numId w:val="7"/>
        </w:numPr>
        <w:adjustRightInd w:val="0"/>
        <w:snapToGrid w:val="0"/>
        <w:spacing w:line="360" w:lineRule="auto"/>
        <w:ind w:left="0" w:firstLine="426"/>
        <w:rPr>
          <w:rFonts w:ascii="宋体" w:hAnsi="宋体" w:cs="Arial"/>
          <w:sz w:val="24"/>
        </w:rPr>
      </w:pPr>
      <w:r>
        <w:rPr>
          <w:rFonts w:ascii="宋体" w:hAnsi="宋体" w:cs="Arial" w:hint="eastAsia"/>
          <w:sz w:val="24"/>
        </w:rPr>
        <w:t>基金管理人应于本基金成立前三个工作日内，向基金托管人提供书面授权文件，该文件应加盖公章并由法定代表人或其授权代表签署，若由授权代表签署，还应附上法定代表人的授权委托书。文件内容包括被授权人名单、预留印鉴及被授权人签字样本，授权文件应注明被授权人相应的权限。</w:t>
      </w:r>
    </w:p>
    <w:p w:rsidR="00092F67" w:rsidRDefault="00C901CF">
      <w:pPr>
        <w:numPr>
          <w:ilvl w:val="0"/>
          <w:numId w:val="7"/>
        </w:numPr>
        <w:adjustRightInd w:val="0"/>
        <w:snapToGrid w:val="0"/>
        <w:spacing w:line="360" w:lineRule="auto"/>
        <w:ind w:left="0" w:firstLine="426"/>
        <w:rPr>
          <w:rFonts w:ascii="宋体" w:hAnsi="宋体" w:cs="Arial"/>
          <w:sz w:val="24"/>
        </w:rPr>
      </w:pPr>
      <w:r>
        <w:rPr>
          <w:rFonts w:ascii="宋体" w:hAnsi="宋体" w:cs="Arial" w:hint="eastAsia"/>
          <w:sz w:val="24"/>
        </w:rPr>
        <w:t>授权文件于载明的生效日期生效。授权文件中载明的具体生效时间不得早于基金托管人收到授权文件并经电话确认的时点。如早于，则以基金托管人收到授权文件的时间为生效时间。</w:t>
      </w:r>
    </w:p>
    <w:p w:rsidR="00092F67" w:rsidRDefault="00C901CF">
      <w:pPr>
        <w:numPr>
          <w:ilvl w:val="0"/>
          <w:numId w:val="7"/>
        </w:numPr>
        <w:adjustRightInd w:val="0"/>
        <w:snapToGrid w:val="0"/>
        <w:spacing w:line="360" w:lineRule="auto"/>
        <w:ind w:left="0" w:firstLine="426"/>
        <w:rPr>
          <w:rFonts w:ascii="宋体" w:hAnsi="宋体" w:cs="Arial"/>
          <w:sz w:val="24"/>
        </w:rPr>
      </w:pPr>
      <w:r>
        <w:rPr>
          <w:rFonts w:ascii="宋体" w:hAnsi="宋体" w:cs="Arial" w:hint="eastAsia"/>
          <w:sz w:val="24"/>
        </w:rPr>
        <w:t>基金管理人和基金托管人对授权文件负有保密义务，其内容不得向被授权人及相关操作人员以外的任何人泄露，但法律法规另有规定或有权机关另有要求的除外。</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（二）指令的内容</w:t>
      </w:r>
    </w:p>
    <w:p w:rsidR="00092F67" w:rsidRDefault="00C901CF">
      <w:pPr>
        <w:numPr>
          <w:ilvl w:val="0"/>
          <w:numId w:val="8"/>
        </w:numPr>
        <w:adjustRightInd w:val="0"/>
        <w:snapToGrid w:val="0"/>
        <w:spacing w:line="360" w:lineRule="auto"/>
        <w:ind w:left="0" w:firstLine="426"/>
        <w:rPr>
          <w:rFonts w:ascii="宋体" w:hAnsi="宋体" w:cs="Arial"/>
          <w:sz w:val="24"/>
        </w:rPr>
      </w:pPr>
      <w:r>
        <w:rPr>
          <w:rFonts w:ascii="宋体" w:hAnsi="宋体" w:cs="Arial" w:hint="eastAsia"/>
          <w:sz w:val="24"/>
        </w:rPr>
        <w:t>指令包括赎回、分红付款指令、回购到期付款指令、与投资有关的付款指令、实物债券出入库指令以及其他资金划拨指令等。</w:t>
      </w:r>
    </w:p>
    <w:p w:rsidR="00092F67" w:rsidRDefault="00C901CF">
      <w:pPr>
        <w:numPr>
          <w:ilvl w:val="0"/>
          <w:numId w:val="8"/>
        </w:numPr>
        <w:adjustRightInd w:val="0"/>
        <w:snapToGrid w:val="0"/>
        <w:spacing w:line="360" w:lineRule="auto"/>
        <w:ind w:left="0" w:firstLine="426"/>
        <w:rPr>
          <w:rFonts w:ascii="宋体" w:hAnsi="宋体" w:cs="Arial"/>
          <w:sz w:val="24"/>
        </w:rPr>
      </w:pPr>
      <w:r>
        <w:rPr>
          <w:rFonts w:ascii="宋体" w:hAnsi="宋体" w:cs="Arial" w:hint="eastAsia"/>
          <w:sz w:val="24"/>
        </w:rPr>
        <w:t>基金管理人发给基金托管人的指令应写明款项事由、支付时间、到账时间、金额、账户等，加盖预留印鉴并由被授权人签字。</w:t>
      </w:r>
    </w:p>
    <w:p w:rsidR="00092F67" w:rsidRDefault="00C901CF">
      <w:pPr>
        <w:numPr>
          <w:ilvl w:val="0"/>
          <w:numId w:val="8"/>
        </w:numPr>
        <w:adjustRightInd w:val="0"/>
        <w:snapToGrid w:val="0"/>
        <w:spacing w:line="360" w:lineRule="auto"/>
        <w:ind w:left="0" w:firstLine="426"/>
        <w:rPr>
          <w:rFonts w:ascii="宋体" w:hAnsi="宋体" w:cs="Arial"/>
          <w:sz w:val="24"/>
        </w:rPr>
      </w:pPr>
      <w:r>
        <w:rPr>
          <w:rFonts w:ascii="宋体" w:hAnsi="宋体" w:cs="Arial" w:hint="eastAsia"/>
          <w:sz w:val="24"/>
        </w:rPr>
        <w:t>相关登记结算公司向基金托管人发送的结算通知视为基金管理人向基金托管人发出的指令。</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（三）指令的发送、确认及执行的时间和程序</w:t>
      </w:r>
    </w:p>
    <w:p w:rsidR="00092F67" w:rsidRDefault="00C901CF">
      <w:pPr>
        <w:numPr>
          <w:ilvl w:val="0"/>
          <w:numId w:val="9"/>
        </w:numPr>
        <w:adjustRightInd w:val="0"/>
        <w:snapToGrid w:val="0"/>
        <w:spacing w:line="360" w:lineRule="auto"/>
        <w:rPr>
          <w:rFonts w:ascii="宋体" w:hAnsi="宋体" w:cs="Arial"/>
          <w:sz w:val="24"/>
        </w:rPr>
      </w:pPr>
      <w:r>
        <w:rPr>
          <w:rFonts w:ascii="宋体" w:hAnsi="宋体" w:cs="Arial" w:hint="eastAsia"/>
          <w:sz w:val="24"/>
        </w:rPr>
        <w:t>指令的发送</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基金管理人发送指令应采用邮件、深证通指令平台方式</w:t>
      </w:r>
      <w:r>
        <w:rPr>
          <w:rFonts w:ascii="宋体" w:hAnsi="宋体" w:cs="Arial"/>
          <w:sz w:val="24"/>
        </w:rPr>
        <w:t>或其他基金管理人和基金托管人双方书面共同确认的</w:t>
      </w:r>
      <w:r>
        <w:rPr>
          <w:rFonts w:ascii="宋体" w:hAnsi="宋体" w:cs="Arial" w:hint="eastAsia"/>
          <w:sz w:val="24"/>
        </w:rPr>
        <w:t>方式。</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基金管理人应按照法律法规和基金合同的规定，在其合法的经营权限和交易权限内发送指令；被授权人应严格按照其授权权限发送指令。对于被授权人依约</w:t>
      </w:r>
      <w:r>
        <w:rPr>
          <w:rFonts w:ascii="宋体" w:hAnsi="宋体" w:cs="Arial" w:hint="eastAsia"/>
          <w:sz w:val="24"/>
        </w:rPr>
        <w:lastRenderedPageBreak/>
        <w:t>定程序发出的合法合规的有效指令，基金管理人不得否认其效力。但如果基金管理人已经撤销或更改对交易指令发送人员的授权，且上述授权的撤销或更改基金管理人已在指令执行前按照本协议约定通知基金托管人并经基金托管人根据本协议确认后，则对于此后该交易指令发送人员无权发送的指令，或超权限发送的指令，基金管理人不承担责任，授权已更改但未经基金托管人确认的情况除外。</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指令发出后，基金管理人应及时以电话方式向基金托管人确认。基金托管人在复核后应在规定期限内执行，不得延误。</w:t>
      </w:r>
      <w:r>
        <w:rPr>
          <w:rFonts w:ascii="宋体" w:hAnsi="宋体" w:hint="eastAsia"/>
          <w:sz w:val="24"/>
        </w:rPr>
        <w:t>基金</w:t>
      </w:r>
      <w:r>
        <w:rPr>
          <w:rFonts w:ascii="宋体" w:hAnsi="宋体" w:hint="eastAsia"/>
          <w:color w:val="000000"/>
          <w:sz w:val="24"/>
        </w:rPr>
        <w:t>托管人仅对基金管理人提交的指令按照本协议的约定进行审查，基金托管人不负责审查基金管理人发送指令同时提交的其他文件资料的真实性，基金管理人应保证上述文件资料合法、真实、完整和有效。如因基金管理人提供的上述文件不合法、不真实、不完整或失去效力而影响基金托管人的审核，基金托管人不承担相应责任。</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管理人应在交易结束后将银行间同业市场债券交易成交单加盖预留印鉴后及时传真给基金托管人，并电话确认，管理人与托管人协商一致后，可免除成交单的发送。如果银行间簿记系统已经生成的交易需要取消或终止，基金管理人要书面通知基金托管人。</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管理人如需在划款当日下达投资划款指令，在发送指令时，应为基金托管人留出执行指令所必需的时间，除需考虑资金在途时间外，还需给基金托管人留有至少2个小时的复核和审批时间，不足2个小时的划款指令托管人尽力配合处理但不保证成功。基金管理人向基金托管人发送要求当日支付的场外划款指令的最晚时间为每个工作日的15:00。划款指令到达时间以基金托管人认定该划款指令为有效划款指令的时间为准。有效划款指令是指指令要素（包括付款人、付款账号、收款人、收款账号、金额（大、小写）、款项事由、支付时间）准确无误、预留印鉴相符、相关的指令附件齐全且头寸充足的划款指令。因基金管理人指令传输不及时、未能留出足够的划款时间，致使资金未能及时到账所造成的损失由基金管理人承担，基金托管人不承担责任，但基金托管人应当尽力执行基金管理人的前述指令。</w:t>
      </w:r>
    </w:p>
    <w:p w:rsidR="00092F67" w:rsidRDefault="00C901CF">
      <w:pPr>
        <w:numPr>
          <w:ilvl w:val="0"/>
          <w:numId w:val="9"/>
        </w:numPr>
        <w:adjustRightInd w:val="0"/>
        <w:snapToGrid w:val="0"/>
        <w:spacing w:line="360" w:lineRule="auto"/>
        <w:rPr>
          <w:rFonts w:ascii="宋体" w:hAnsi="宋体" w:cs="Arial"/>
          <w:sz w:val="24"/>
        </w:rPr>
      </w:pPr>
      <w:r>
        <w:rPr>
          <w:rFonts w:ascii="宋体" w:hAnsi="宋体" w:cs="Arial" w:hint="eastAsia"/>
          <w:sz w:val="24"/>
        </w:rPr>
        <w:t>指令的确认</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托管人应指定专人接收基金管理人的指令，预先通知基金管理人其名单，并与基金管理人商定指令发送和接收方式。指令到达基金托管人后，基金托管人应指定专人立即对有关内容及印鉴和签名进行表面一致性审查，如有疑问必须及</w:t>
      </w:r>
      <w:r>
        <w:rPr>
          <w:rFonts w:ascii="宋体" w:hAnsi="宋体" w:cs="Arial" w:hint="eastAsia"/>
          <w:sz w:val="24"/>
        </w:rPr>
        <w:lastRenderedPageBreak/>
        <w:t>时通知基金管理人。</w:t>
      </w:r>
    </w:p>
    <w:p w:rsidR="00092F67" w:rsidRDefault="00C901CF">
      <w:pPr>
        <w:numPr>
          <w:ilvl w:val="0"/>
          <w:numId w:val="9"/>
        </w:numPr>
        <w:adjustRightInd w:val="0"/>
        <w:snapToGrid w:val="0"/>
        <w:spacing w:line="360" w:lineRule="auto"/>
        <w:rPr>
          <w:rFonts w:ascii="宋体" w:hAnsi="宋体" w:cs="Arial"/>
          <w:sz w:val="24"/>
        </w:rPr>
      </w:pPr>
      <w:r>
        <w:rPr>
          <w:rFonts w:ascii="宋体" w:hAnsi="宋体" w:cs="Arial" w:hint="eastAsia"/>
          <w:sz w:val="24"/>
        </w:rPr>
        <w:t>指令的时间和执行</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基金托管人对指令验证后，应及时办理。指令执行完毕后，基金托管人应及时通知基金管理人。</w:t>
      </w:r>
    </w:p>
    <w:p w:rsidR="00092F67" w:rsidRDefault="00C901CF">
      <w:pPr>
        <w:pStyle w:val="a9"/>
        <w:snapToGrid w:val="0"/>
        <w:spacing w:after="0" w:line="360" w:lineRule="auto"/>
        <w:rPr>
          <w:rFonts w:hAnsi="宋体" w:cs="Arial"/>
          <w:szCs w:val="24"/>
        </w:rPr>
      </w:pPr>
      <w:r>
        <w:rPr>
          <w:rFonts w:hAnsi="宋体" w:cs="Arial"/>
          <w:szCs w:val="24"/>
        </w:rPr>
        <w:t>基金管理人向基金托管人下达指令时，应确保基金资金账户有足够的资金余额，对基金管理人在没有充足资金的情况下向基金托管人发出的投资指令、赎回、分红资金等的划拨指令，基金托管人可不予执行，但应立即通知基金管理人，由基金管理人审核、查明原因，出具书面文件确认此交易指令无效</w:t>
      </w:r>
      <w:r>
        <w:rPr>
          <w:rFonts w:hAnsi="宋体" w:cs="Arial" w:hint="eastAsia"/>
          <w:szCs w:val="24"/>
        </w:rPr>
        <w:t>（取消）</w:t>
      </w:r>
      <w:r>
        <w:rPr>
          <w:rFonts w:hAnsi="宋体" w:cs="Arial"/>
          <w:szCs w:val="24"/>
        </w:rPr>
        <w:t>。在及时通知后，基金托管人不承担因未执行该指令造成</w:t>
      </w:r>
      <w:r>
        <w:rPr>
          <w:rFonts w:hAnsi="宋体" w:cs="Arial" w:hint="eastAsia"/>
          <w:szCs w:val="24"/>
        </w:rPr>
        <w:t>的</w:t>
      </w:r>
      <w:r>
        <w:rPr>
          <w:rFonts w:hAnsi="宋体" w:cs="Arial"/>
          <w:szCs w:val="24"/>
        </w:rPr>
        <w:t>损失</w:t>
      </w:r>
      <w:r>
        <w:rPr>
          <w:rFonts w:hAnsi="宋体" w:cs="Arial" w:hint="eastAsia"/>
          <w:szCs w:val="24"/>
        </w:rPr>
        <w:t>和</w:t>
      </w:r>
      <w:r>
        <w:rPr>
          <w:rFonts w:hAnsi="宋体" w:cs="Arial"/>
          <w:szCs w:val="24"/>
        </w:rPr>
        <w:t>责任。</w:t>
      </w:r>
    </w:p>
    <w:p w:rsidR="00092F67" w:rsidRDefault="00C901CF">
      <w:pPr>
        <w:pStyle w:val="a9"/>
        <w:snapToGrid w:val="0"/>
        <w:spacing w:after="0" w:line="360" w:lineRule="auto"/>
        <w:rPr>
          <w:rFonts w:hAnsi="宋体" w:cs="Arial"/>
          <w:szCs w:val="24"/>
        </w:rPr>
      </w:pPr>
      <w:r>
        <w:rPr>
          <w:rFonts w:hAnsi="宋体" w:cs="Arial"/>
          <w:szCs w:val="24"/>
        </w:rPr>
        <w:t>对于发送时资金不足的指令，基金托管人有权不予执行，</w:t>
      </w:r>
      <w:r>
        <w:rPr>
          <w:rFonts w:hAnsi="宋体" w:cs="Arial" w:hint="eastAsia"/>
          <w:szCs w:val="24"/>
        </w:rPr>
        <w:t>并</w:t>
      </w:r>
      <w:r>
        <w:rPr>
          <w:rFonts w:hAnsi="宋体" w:cs="Arial"/>
          <w:szCs w:val="24"/>
        </w:rPr>
        <w:t>应立即通知基金管理人，基金管理人确认该指令不予取消的</w:t>
      </w:r>
      <w:r>
        <w:rPr>
          <w:rFonts w:hAnsi="宋体" w:cs="Arial" w:hint="eastAsia"/>
          <w:szCs w:val="24"/>
        </w:rPr>
        <w:t>（或未及时</w:t>
      </w:r>
      <w:r>
        <w:rPr>
          <w:rFonts w:hAnsi="宋体" w:cs="Arial"/>
          <w:szCs w:val="24"/>
        </w:rPr>
        <w:t>出具书面文件确认</w:t>
      </w:r>
      <w:r>
        <w:rPr>
          <w:rFonts w:hAnsi="宋体" w:cs="Arial" w:hint="eastAsia"/>
          <w:szCs w:val="24"/>
        </w:rPr>
        <w:t>取消</w:t>
      </w:r>
      <w:r>
        <w:rPr>
          <w:rFonts w:hAnsi="宋体" w:cs="Arial"/>
          <w:szCs w:val="24"/>
        </w:rPr>
        <w:t>指令</w:t>
      </w:r>
      <w:r>
        <w:rPr>
          <w:rFonts w:hAnsi="宋体" w:cs="Arial" w:hint="eastAsia"/>
          <w:szCs w:val="24"/>
        </w:rPr>
        <w:t>或指令无效）</w:t>
      </w:r>
      <w:r>
        <w:rPr>
          <w:rFonts w:hAnsi="宋体" w:cs="Arial"/>
          <w:szCs w:val="24"/>
        </w:rPr>
        <w:t>，</w:t>
      </w:r>
      <w:r>
        <w:rPr>
          <w:rFonts w:hAnsi="宋体" w:cs="Arial" w:hint="eastAsia"/>
          <w:szCs w:val="24"/>
        </w:rPr>
        <w:t>待</w:t>
      </w:r>
      <w:r>
        <w:rPr>
          <w:rFonts w:hAnsi="宋体" w:cs="Arial"/>
          <w:szCs w:val="24"/>
        </w:rPr>
        <w:t>资金备足</w:t>
      </w:r>
      <w:r>
        <w:rPr>
          <w:rFonts w:hAnsi="宋体" w:cs="Arial" w:hint="eastAsia"/>
          <w:szCs w:val="24"/>
        </w:rPr>
        <w:t>后以</w:t>
      </w:r>
      <w:r>
        <w:rPr>
          <w:rFonts w:hAnsi="宋体" w:cs="Arial"/>
          <w:szCs w:val="24"/>
        </w:rPr>
        <w:t>通知基金托管人的时间视为指令收到时间。</w:t>
      </w:r>
    </w:p>
    <w:p w:rsidR="00092F67" w:rsidRDefault="00C901CF">
      <w:pPr>
        <w:pStyle w:val="a9"/>
        <w:snapToGrid w:val="0"/>
        <w:spacing w:after="0" w:line="360" w:lineRule="auto"/>
        <w:rPr>
          <w:rFonts w:hAnsi="宋体" w:cs="Arial"/>
          <w:szCs w:val="24"/>
          <w:shd w:val="pct10" w:color="auto" w:fill="FFFFFF"/>
        </w:rPr>
      </w:pPr>
      <w:r>
        <w:rPr>
          <w:rFonts w:hAnsi="宋体" w:hint="eastAsia"/>
        </w:rPr>
        <w:t>基金托管人对其正确、及时执行基金管理人的合法有效指令给基金财产造成的损失不承担赔偿责任。</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（四）基金管理人发送错误指令的情形和处理程序</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基金管理人发送错误指令的情形包括指令违反法律法规和基金合同或本协议的、指令发送人员无权或超越权限发送指令、指令不能辨识或要素不全导致无法执行等情形。</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在履行监督职能时，发现基金管理人的指令错误时，应拒绝执行，并及时通知基金管理人改正。如需撤销指令，基金管理人应出具书面说明，并加盖业务用章。基金托管人切实履行了监督职责的，对执行基金管理人的依据交易程序已经生效的指令对本基金资产造成的损失不承担赔偿责任。</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（五）基金托管人依照法律法规暂缓、拒绝执行指令的情形和处理程序</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若基金托管人发现基金管理人的指令违反法律、行政法规和其他有关规定，或者违反基金合同约定的，应当视情况暂缓或拒绝执行，立即通知基金管理人，在及时通知后，基金托管人不承担因未执行该指令造成的损失及</w:t>
      </w:r>
      <w:r>
        <w:rPr>
          <w:rFonts w:ascii="宋体" w:hAnsi="宋体" w:cs="Arial"/>
          <w:sz w:val="24"/>
        </w:rPr>
        <w:t>相应</w:t>
      </w:r>
      <w:r>
        <w:rPr>
          <w:rFonts w:ascii="宋体" w:hAnsi="宋体" w:cs="Arial" w:hint="eastAsia"/>
          <w:sz w:val="24"/>
        </w:rPr>
        <w:t>责任。</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（六）基金托管人未按照基金管理人指令执行的处理方法</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对于基金管理人发送的合法、有效指令，基金托管人由于自身原因，未按照基金管理人发送的指令正确、及时执行，</w:t>
      </w:r>
      <w:r>
        <w:rPr>
          <w:rFonts w:ascii="宋体" w:hAnsi="宋体" w:hint="eastAsia"/>
          <w:sz w:val="24"/>
        </w:rPr>
        <w:t>应在发现后及时采取措施予以弥补；</w:t>
      </w:r>
      <w:r>
        <w:rPr>
          <w:rFonts w:ascii="宋体" w:hAnsi="宋体" w:cs="Arial" w:hint="eastAsia"/>
          <w:sz w:val="24"/>
        </w:rPr>
        <w:t>若对基金管理人、基金财产或投资人造成直接损失的，由基金托管人</w:t>
      </w:r>
      <w:r>
        <w:rPr>
          <w:rFonts w:ascii="宋体" w:hAnsi="宋体" w:hint="eastAsia"/>
          <w:sz w:val="24"/>
        </w:rPr>
        <w:t>赔偿由此造成</w:t>
      </w:r>
      <w:r>
        <w:rPr>
          <w:rFonts w:ascii="宋体" w:hAnsi="宋体" w:hint="eastAsia"/>
          <w:sz w:val="24"/>
        </w:rPr>
        <w:lastRenderedPageBreak/>
        <w:t>的直接损失。</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（七）更换被授权人的程序</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管理人更换被授权人、更改或终止对被授权人的授权，应至少提前一个工作日，以书面方式（以下简称“授权变更通知书”）通知基金托管人，同时基金管理人向基金托管人提供新的被授权人的姓名、权限、预留印鉴和签字样本。基金管理人向基金托管人发出的授权变更通知书应加盖公章并由法定代表人或其授权代表签署，若由授权代表签署，还应附上法定代表人的授权书。授权文件变更通知应载明生效日期，原授权文件同时失效。</w:t>
      </w:r>
      <w:r>
        <w:rPr>
          <w:rFonts w:ascii="宋体" w:hAnsi="宋体" w:hint="eastAsia"/>
          <w:sz w:val="24"/>
        </w:rPr>
        <w:t>授权通知及其变更均应以正本形式送达基金托管人。</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基金托管人更换接收基金管理人指令的人员，应提前通过录音电话通知基金管理人。</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（八）其他事项</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托管人在接收指令时，应对指令的要素是否齐全、印鉴与被授权人是否与预留的授权文件内容相符进行检查，如发现问题，应及时报告基金管理人，基金托管人对执行基金管理人的合法合规、符合基金合同和本协议的指令对基金财产造成的损失不承担赔偿责任。</w:t>
      </w:r>
    </w:p>
    <w:p w:rsidR="00092F67" w:rsidRDefault="00C901CF">
      <w:pPr>
        <w:adjustRightInd w:val="0"/>
        <w:snapToGrid w:val="0"/>
        <w:spacing w:line="360" w:lineRule="auto"/>
        <w:ind w:firstLineChars="200" w:firstLine="480"/>
        <w:jc w:val="left"/>
        <w:rPr>
          <w:rFonts w:ascii="宋体" w:hAnsi="宋体" w:cs="Arial"/>
          <w:sz w:val="24"/>
        </w:rPr>
      </w:pPr>
      <w:r>
        <w:rPr>
          <w:rFonts w:ascii="宋体" w:hAnsi="宋体" w:cs="Arial" w:hint="eastAsia"/>
          <w:sz w:val="24"/>
        </w:rPr>
        <w:t>基金参与认购未上市债券时，基金管理人应代表本基金与对手方签署相关合同或协议，明确约定债券过户具体事宜。否则，基金管理人需对所认购债券的过户事宜承担相应责任。</w:t>
      </w:r>
    </w:p>
    <w:p w:rsidR="00092F67" w:rsidRDefault="00C901CF">
      <w:pPr>
        <w:pStyle w:val="1"/>
        <w:numPr>
          <w:ilvl w:val="0"/>
          <w:numId w:val="1"/>
        </w:numPr>
        <w:spacing w:line="360" w:lineRule="auto"/>
        <w:jc w:val="center"/>
        <w:rPr>
          <w:rFonts w:ascii="宋体" w:hAnsi="宋体"/>
          <w:sz w:val="28"/>
          <w:szCs w:val="28"/>
        </w:rPr>
      </w:pPr>
      <w:r>
        <w:rPr>
          <w:rFonts w:ascii="宋体" w:hAnsi="宋体" w:cs="Arial"/>
          <w:sz w:val="24"/>
          <w:szCs w:val="24"/>
        </w:rPr>
        <w:br w:type="page"/>
      </w:r>
      <w:bookmarkStart w:id="144" w:name="_Toc295832642"/>
      <w:bookmarkStart w:id="145" w:name="_Toc295833680"/>
      <w:bookmarkStart w:id="146" w:name="_Toc295832949"/>
      <w:bookmarkStart w:id="147" w:name="_Toc295833009"/>
      <w:bookmarkStart w:id="148" w:name="_Toc86649725"/>
      <w:bookmarkStart w:id="149" w:name="_Toc118774806"/>
      <w:bookmarkStart w:id="150" w:name="_Toc86204791"/>
      <w:bookmarkStart w:id="151" w:name="_Toc355859320"/>
      <w:bookmarkStart w:id="152" w:name="_Toc110830495"/>
      <w:bookmarkStart w:id="153" w:name="_Toc124325891"/>
      <w:bookmarkStart w:id="154" w:name="_Toc110761799"/>
      <w:bookmarkStart w:id="155" w:name="_Toc84234437"/>
      <w:bookmarkStart w:id="156" w:name="_Toc118212953"/>
      <w:bookmarkStart w:id="157" w:name="_Toc86737932"/>
      <w:bookmarkStart w:id="158" w:name="_Toc86727358"/>
      <w:bookmarkStart w:id="159" w:name="_Toc118972651"/>
      <w:bookmarkStart w:id="160" w:name="_Toc270669858"/>
      <w:bookmarkStart w:id="161" w:name="_Toc366835701"/>
      <w:bookmarkStart w:id="162" w:name="_Toc86223245"/>
      <w:bookmarkStart w:id="163" w:name="_Toc84133788"/>
      <w:bookmarkStart w:id="164" w:name="_Toc119402713"/>
      <w:bookmarkStart w:id="165" w:name="_Toc84234390"/>
      <w:bookmarkStart w:id="166" w:name="_Toc120435786"/>
      <w:bookmarkStart w:id="167" w:name="_Toc89163371"/>
      <w:bookmarkStart w:id="168" w:name="_Toc86726442"/>
      <w:bookmarkStart w:id="169" w:name="_Toc108512361"/>
      <w:bookmarkStart w:id="170" w:name="_Toc86225294"/>
      <w:bookmarkStart w:id="171" w:name="_Toc110765663"/>
      <w:bookmarkEnd w:id="144"/>
      <w:bookmarkEnd w:id="145"/>
      <w:bookmarkEnd w:id="146"/>
      <w:bookmarkEnd w:id="147"/>
      <w:r>
        <w:rPr>
          <w:rFonts w:ascii="宋体" w:hAnsi="宋体" w:hint="eastAsia"/>
          <w:sz w:val="28"/>
          <w:szCs w:val="28"/>
        </w:rPr>
        <w:lastRenderedPageBreak/>
        <w:t>交易及清算交收安排</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092F67" w:rsidRDefault="00C901CF">
      <w:pPr>
        <w:adjustRightInd w:val="0"/>
        <w:snapToGrid w:val="0"/>
        <w:spacing w:line="360" w:lineRule="auto"/>
        <w:ind w:firstLine="480"/>
        <w:rPr>
          <w:rFonts w:ascii="宋体" w:hAnsi="宋体"/>
          <w:i/>
          <w:sz w:val="24"/>
        </w:rPr>
      </w:pPr>
      <w:r>
        <w:rPr>
          <w:rFonts w:ascii="宋体" w:hAnsi="宋体" w:cs="Arial" w:hint="eastAsia"/>
          <w:sz w:val="24"/>
        </w:rPr>
        <w:t>（一）选择证券买卖的证券经纪机构</w:t>
      </w:r>
    </w:p>
    <w:p w:rsidR="00092F67" w:rsidRDefault="00C901CF">
      <w:pPr>
        <w:adjustRightInd w:val="0"/>
        <w:snapToGrid w:val="0"/>
        <w:spacing w:line="360" w:lineRule="auto"/>
        <w:ind w:firstLine="480"/>
        <w:rPr>
          <w:rFonts w:ascii="宋体" w:hAnsi="宋体"/>
          <w:color w:val="000000"/>
          <w:sz w:val="24"/>
        </w:rPr>
      </w:pPr>
      <w:r>
        <w:rPr>
          <w:rFonts w:ascii="宋体" w:hAnsi="宋体" w:hint="eastAsia"/>
          <w:color w:val="000000"/>
          <w:sz w:val="24"/>
        </w:rPr>
        <w:t>基金管理人应设计选择证券买卖的证券经营机构的标准和程序。基金管理人负责选择代理本基金证券买卖的证券经营机构，租用其交易单元作为基金的专用交易单元。基金管理人和被选中的证券经营机构签订协议，基金管理人应提前通知基金托管人。交易单元保证金由被选中的证券经营机构交付。基金管理人应根据有关规定，在基金的中期报告和年度报告中将所选证券经营机构的有关情况、基金通过该证券经营机构买卖证券的成交量、回购成交量和支付的佣金等予以披露，并将上述情况及基金交易单元号、佣金费率等基本信息以及变更情况及时以书面形式通知基金托管人。因相关法律法规或交易规则的修改带来的变化以届时有效的法律法规和相关交易规则为准。</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（二）基金投资证券后的清算交收安排</w:t>
      </w:r>
    </w:p>
    <w:p w:rsidR="00092F67" w:rsidRDefault="00C901CF">
      <w:pPr>
        <w:numPr>
          <w:ilvl w:val="0"/>
          <w:numId w:val="10"/>
        </w:numPr>
        <w:adjustRightInd w:val="0"/>
        <w:snapToGrid w:val="0"/>
        <w:spacing w:line="360" w:lineRule="auto"/>
        <w:rPr>
          <w:rFonts w:ascii="宋体" w:hAnsi="宋体" w:cs="Arial"/>
          <w:sz w:val="24"/>
        </w:rPr>
      </w:pPr>
      <w:r>
        <w:rPr>
          <w:rFonts w:ascii="宋体" w:hAnsi="宋体" w:cs="Arial" w:hint="eastAsia"/>
          <w:sz w:val="24"/>
        </w:rPr>
        <w:t>清算与交割</w:t>
      </w:r>
    </w:p>
    <w:p w:rsidR="00092F67" w:rsidRDefault="00C901CF">
      <w:pPr>
        <w:adjustRightInd w:val="0"/>
        <w:snapToGrid w:val="0"/>
        <w:spacing w:line="360" w:lineRule="auto"/>
        <w:ind w:firstLine="480"/>
        <w:rPr>
          <w:rFonts w:ascii="宋体" w:hAnsi="宋体"/>
          <w:color w:val="000000"/>
          <w:sz w:val="24"/>
        </w:rPr>
      </w:pPr>
      <w:r>
        <w:rPr>
          <w:rFonts w:ascii="宋体" w:hAnsi="宋体" w:hint="eastAsia"/>
          <w:color w:val="000000"/>
          <w:sz w:val="24"/>
        </w:rPr>
        <w:t>根据《中国证券登记结算有限责任公司结算备付金管理办法》《证券结算保证金管理办法》，</w:t>
      </w:r>
      <w:r>
        <w:rPr>
          <w:rFonts w:ascii="宋体" w:hAnsi="宋体" w:hint="eastAsia"/>
          <w:sz w:val="24"/>
        </w:rPr>
        <w:t>在每月第二个工作日内，中国证券登记结算有限责任公司对结算参与人的证券结算保证金进行重新核算、调整，在每月第六个工作日内，中国证券登记结算有限责任公司对结算参与人的最低结算备付金限额进行重新核算、调整，基金管理人应提前一个工作日匡算最低备付金和证券结算保证金调整金额，留出足够资金头寸，以保证正常交收。基金托管人在中国证券登记结算有限责任公司调整最低结算备付金和证券结算保证金当日，在资金调节表中反映调整后的最低备付金和证券结算保证金。基金管理人应预留最低备付金和证券结算保证金，并根据中国证券登记结算有限责任公司确定的实际下月最低备付金和证券结算保证金数据为依据安排资金运作，调整所需的现金头寸。</w:t>
      </w:r>
    </w:p>
    <w:p w:rsidR="00092F67" w:rsidRDefault="00C901CF">
      <w:pPr>
        <w:adjustRightInd w:val="0"/>
        <w:snapToGrid w:val="0"/>
        <w:spacing w:line="360" w:lineRule="auto"/>
        <w:ind w:firstLine="480"/>
        <w:rPr>
          <w:rFonts w:ascii="宋体" w:hAnsi="宋体"/>
          <w:color w:val="000000"/>
          <w:sz w:val="24"/>
        </w:rPr>
      </w:pPr>
      <w:r>
        <w:rPr>
          <w:rFonts w:ascii="宋体" w:hAnsi="宋体" w:hint="eastAsia"/>
          <w:color w:val="000000"/>
          <w:sz w:val="24"/>
        </w:rPr>
        <w:t>基金托管人负责基金买卖证券的清算交收。场内资金结算由基金托管人根据中国证券登记结算有限责任公司结算数据办理；场外资金汇划由基金托管人根据基金管理人的交易划款指令具体办理。</w:t>
      </w:r>
    </w:p>
    <w:p w:rsidR="00092F67" w:rsidRDefault="00C901CF">
      <w:pPr>
        <w:adjustRightInd w:val="0"/>
        <w:snapToGrid w:val="0"/>
        <w:spacing w:line="360" w:lineRule="auto"/>
        <w:ind w:firstLine="480"/>
        <w:rPr>
          <w:rFonts w:ascii="宋体" w:hAnsi="宋体"/>
          <w:color w:val="000000"/>
          <w:sz w:val="24"/>
        </w:rPr>
      </w:pPr>
      <w:r>
        <w:rPr>
          <w:rFonts w:ascii="宋体" w:hAnsi="宋体" w:hint="eastAsia"/>
          <w:color w:val="000000"/>
          <w:sz w:val="24"/>
        </w:rPr>
        <w:t>如果因为基金托管人自身原因在清算上造成基金财产的损失，应由基金托管人负责赔偿；如果因为基金管理人未事先通知基金托管人增加交易单元等事宜，</w:t>
      </w:r>
      <w:r>
        <w:rPr>
          <w:rFonts w:ascii="宋体" w:hAnsi="宋体" w:hint="eastAsia"/>
          <w:color w:val="000000"/>
          <w:sz w:val="24"/>
        </w:rPr>
        <w:lastRenderedPageBreak/>
        <w:t>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等原因造成基金投资清算困难和风险的，基金托管人发现后应立即通知基金管理人，由基金管理人负责处理，由此给基金托管人、本基金造成的直接损失由基金管理人承担。</w:t>
      </w:r>
    </w:p>
    <w:p w:rsidR="00092F67" w:rsidRDefault="00C901CF">
      <w:pPr>
        <w:adjustRightInd w:val="0"/>
        <w:snapToGrid w:val="0"/>
        <w:spacing w:line="360" w:lineRule="auto"/>
        <w:ind w:firstLine="480"/>
        <w:rPr>
          <w:rFonts w:ascii="宋体" w:hAnsi="宋体"/>
          <w:color w:val="000000"/>
          <w:sz w:val="24"/>
        </w:rPr>
      </w:pPr>
      <w:r>
        <w:rPr>
          <w:rFonts w:ascii="宋体" w:hAnsi="宋体" w:hint="eastAsia"/>
          <w:color w:val="000000"/>
          <w:sz w:val="24"/>
        </w:rPr>
        <w:t>基金管理人应采取合理、必要措施，确保T日日终有足够的资金头寸完成 T+1日的投资交易资金结算；如因基金管理人原因导致资金头寸不足，基金管理人应在T+1日上午1</w:t>
      </w:r>
      <w:r>
        <w:rPr>
          <w:rFonts w:ascii="宋体" w:hAnsi="宋体"/>
          <w:color w:val="000000"/>
          <w:sz w:val="24"/>
        </w:rPr>
        <w:t>2</w:t>
      </w:r>
      <w:r>
        <w:rPr>
          <w:rFonts w:ascii="宋体" w:hAnsi="宋体" w:hint="eastAsia"/>
          <w:color w:val="000000"/>
          <w:sz w:val="24"/>
        </w:rPr>
        <w:t>:00前补足透支款项，确保资金清算。如果未遵循上述规定备足资金头寸，影响基金资产的清算交收及基金托管人与中国证券登记结算有限责任公司之间的一级清算，由此给基金托管人、基金资产造成的直接损失由基金管理人负责。</w:t>
      </w:r>
    </w:p>
    <w:p w:rsidR="00092F67" w:rsidRDefault="00C901CF">
      <w:pPr>
        <w:adjustRightInd w:val="0"/>
        <w:snapToGrid w:val="0"/>
        <w:spacing w:line="360" w:lineRule="auto"/>
        <w:ind w:firstLine="480"/>
        <w:rPr>
          <w:rFonts w:ascii="宋体" w:hAnsi="宋体"/>
          <w:color w:val="000000"/>
          <w:sz w:val="24"/>
        </w:rPr>
      </w:pPr>
      <w:r>
        <w:rPr>
          <w:rFonts w:ascii="宋体" w:hAnsi="宋体" w:hint="eastAsia"/>
          <w:color w:val="000000"/>
          <w:sz w:val="24"/>
        </w:rPr>
        <w:t>基金管理人应保证基金托管人在执行基金管理人发送的划款指令时，基金银行账户或资金交收账户（除登记公司收保或冻结资金外）上有充足的资金。基金的资金头寸不足时，基金托管人有权拒绝执行基金管理人发送的划款指令并同时通知基金管理人，并视账户余额充足时为指令送达时间。基金管理人在发送划款指令时应充分考虑基金托管人的划款处理时间，一般为2个工作小时。在基金资金头寸充足的情况下，基金托管人对基金管理人符合法律法规、基金合同、本协议的指令不得拖延或拒绝执行。</w:t>
      </w:r>
    </w:p>
    <w:p w:rsidR="00092F67" w:rsidRDefault="00C901CF">
      <w:pPr>
        <w:numPr>
          <w:ilvl w:val="0"/>
          <w:numId w:val="10"/>
        </w:numPr>
        <w:adjustRightInd w:val="0"/>
        <w:snapToGrid w:val="0"/>
        <w:spacing w:line="360" w:lineRule="auto"/>
        <w:rPr>
          <w:rFonts w:ascii="宋体" w:hAnsi="宋体" w:cs="Arial"/>
          <w:sz w:val="24"/>
        </w:rPr>
      </w:pPr>
      <w:r>
        <w:rPr>
          <w:rFonts w:ascii="宋体" w:hAnsi="宋体" w:cs="Arial" w:hint="eastAsia"/>
          <w:sz w:val="24"/>
        </w:rPr>
        <w:t>交易记录、资金和证券账目核对的时间和方式</w:t>
      </w:r>
    </w:p>
    <w:p w:rsidR="00092F67" w:rsidRDefault="00C901CF">
      <w:pPr>
        <w:numPr>
          <w:ilvl w:val="0"/>
          <w:numId w:val="11"/>
        </w:numPr>
        <w:adjustRightInd w:val="0"/>
        <w:snapToGrid w:val="0"/>
        <w:spacing w:line="360" w:lineRule="auto"/>
        <w:rPr>
          <w:rFonts w:ascii="宋体" w:hAnsi="宋体" w:cs="Arial"/>
          <w:sz w:val="24"/>
        </w:rPr>
      </w:pPr>
      <w:r>
        <w:rPr>
          <w:rFonts w:ascii="宋体" w:hAnsi="宋体" w:cs="Arial" w:hint="eastAsia"/>
          <w:sz w:val="24"/>
        </w:rPr>
        <w:t>交易记录的核对</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基金管理人和基金托管人按日进行交易记录的核对。每个交易日对外披露净值之前，必须保证当天所有实际交易记录与基金会计账簿上的交易记录完全一致。如果实际交易记录与会计账簿记录不一致，造成基金会计核算不完整或不真实，由此导致的损失由基金管理人单方承担。</w:t>
      </w:r>
    </w:p>
    <w:p w:rsidR="00092F67" w:rsidRDefault="00C901CF">
      <w:pPr>
        <w:numPr>
          <w:ilvl w:val="0"/>
          <w:numId w:val="11"/>
        </w:numPr>
        <w:adjustRightInd w:val="0"/>
        <w:snapToGrid w:val="0"/>
        <w:spacing w:line="360" w:lineRule="auto"/>
        <w:rPr>
          <w:rFonts w:ascii="宋体" w:hAnsi="宋体" w:cs="Arial"/>
          <w:sz w:val="24"/>
        </w:rPr>
      </w:pPr>
      <w:r>
        <w:rPr>
          <w:rFonts w:ascii="宋体" w:hAnsi="宋体" w:cs="Arial" w:hint="eastAsia"/>
          <w:sz w:val="24"/>
        </w:rPr>
        <w:t>资金账目的核对</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资金账目按日核实，账实相符。基金资金账户的开立网点无需与基金管理人进行银企对账。</w:t>
      </w:r>
    </w:p>
    <w:p w:rsidR="00092F67" w:rsidRDefault="00C901CF">
      <w:pPr>
        <w:numPr>
          <w:ilvl w:val="0"/>
          <w:numId w:val="11"/>
        </w:numPr>
        <w:adjustRightInd w:val="0"/>
        <w:snapToGrid w:val="0"/>
        <w:spacing w:line="360" w:lineRule="auto"/>
        <w:rPr>
          <w:rFonts w:ascii="宋体" w:hAnsi="宋体" w:cs="Arial"/>
          <w:sz w:val="24"/>
        </w:rPr>
      </w:pPr>
      <w:r>
        <w:rPr>
          <w:rFonts w:ascii="宋体" w:hAnsi="宋体" w:cs="Arial" w:hint="eastAsia"/>
          <w:sz w:val="24"/>
        </w:rPr>
        <w:t>证券账目的核对</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基金管理人和基金托管人每个交易日结束后核对基金证券账目，确保双方账</w:t>
      </w:r>
      <w:r>
        <w:rPr>
          <w:rFonts w:ascii="宋体" w:hAnsi="宋体" w:cs="Arial" w:hint="eastAsia"/>
          <w:sz w:val="24"/>
        </w:rPr>
        <w:lastRenderedPageBreak/>
        <w:t>目相符。</w:t>
      </w:r>
    </w:p>
    <w:p w:rsidR="00092F67" w:rsidRDefault="00C901CF">
      <w:pPr>
        <w:numPr>
          <w:ilvl w:val="0"/>
          <w:numId w:val="11"/>
        </w:numPr>
        <w:adjustRightInd w:val="0"/>
        <w:snapToGrid w:val="0"/>
        <w:spacing w:line="360" w:lineRule="auto"/>
        <w:rPr>
          <w:rFonts w:ascii="宋体" w:hAnsi="宋体" w:cs="Arial"/>
          <w:sz w:val="24"/>
        </w:rPr>
      </w:pPr>
      <w:r>
        <w:rPr>
          <w:rFonts w:ascii="宋体" w:hAnsi="宋体" w:cs="Arial" w:hint="eastAsia"/>
          <w:sz w:val="24"/>
        </w:rPr>
        <w:t>基金管理人和基金托管人每月月末核对实物证券账目。</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（三）基金申购、赎回和转换业务处理的基本规定</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基金份额申购、赎回和转换的确认、清算由基金管理人或其委托的登记机构负责。</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基金管理人应将每个开放日的申购、赎回、转换开放式基金的数据传送给基金托管人。基金管理人应对传递的申购、赎回、转换开放式基金的数据真实性负责。基金托管人应及时查收申购及转入资金的到账情况并根据基金管理人指令及时划付赎回及转出款项。</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基金管理人应保证本基金（或本基金管理人委托）的登记机构T</w:t>
      </w:r>
      <w:r>
        <w:rPr>
          <w:rFonts w:ascii="宋体" w:hAnsi="宋体" w:cs="Arial"/>
          <w:sz w:val="24"/>
        </w:rPr>
        <w:t>+3日</w:t>
      </w:r>
      <w:r>
        <w:rPr>
          <w:rFonts w:ascii="宋体" w:hAnsi="宋体" w:cs="Arial" w:hint="eastAsia"/>
          <w:sz w:val="24"/>
        </w:rPr>
        <w:t>15:00前向基金托管人发送T日的上述有关数据，并保证相关数据的准确、完整。</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登记机构应通过与基金托管人建立的加密系统发送有关数据，如因各种原因，该系统无法正常发送，双方可协商解决处理方式。基金管理人向基金托管人发送的数据，双方各自按有关规定保存。</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如基金管理人委托其他机构办理本基金的登记业务，应保证上述相关事宜按时进行。否则，由基金管理人承担相应的责任。</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关于清算专用账户的设立和管理</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为满足申购、赎回及分红资金汇划的需要，由基金管理人开立资金清算的专用账户（即基金清算账户），该账户由登记机构管理。</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赎回和分红资金划拨规定</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拨付赎回款或进行基金分红时，如基金资金账户有足够的资金，基金托管人应按时拨付；因基金资金账户没有足够的资金，导致基金托管人不能按时拨付，如系基金管理人的原因造成，责任及相应后果均由基金管理人承担，基金托管人不承担垫款义务。</w:t>
      </w:r>
    </w:p>
    <w:p w:rsidR="00092F67" w:rsidRDefault="00C901CF">
      <w:pPr>
        <w:numPr>
          <w:ilvl w:val="0"/>
          <w:numId w:val="12"/>
        </w:numPr>
        <w:adjustRightInd w:val="0"/>
        <w:snapToGrid w:val="0"/>
        <w:spacing w:line="360" w:lineRule="auto"/>
        <w:ind w:left="0" w:firstLine="480"/>
        <w:rPr>
          <w:rFonts w:ascii="宋体" w:hAnsi="宋体" w:cs="Arial"/>
          <w:sz w:val="24"/>
        </w:rPr>
      </w:pPr>
      <w:r>
        <w:rPr>
          <w:rFonts w:ascii="宋体" w:hAnsi="宋体" w:cs="Arial" w:hint="eastAsia"/>
          <w:sz w:val="24"/>
        </w:rPr>
        <w:t>资金指令</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除申购款项到达基金资金账户需双方按约定方式对账外，回购到期付款和与</w:t>
      </w:r>
      <w:r>
        <w:rPr>
          <w:rFonts w:ascii="宋体" w:hAnsi="宋体" w:cs="Arial" w:hint="eastAsia"/>
          <w:sz w:val="24"/>
        </w:rPr>
        <w:lastRenderedPageBreak/>
        <w:t>投资有关的付款、赎回和分红资金划拨时，基金管理人需向基金托管人下达指令。</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（四）申赎净额结算</w:t>
      </w:r>
    </w:p>
    <w:p w:rsidR="00092F67" w:rsidRDefault="00C901CF">
      <w:pPr>
        <w:adjustRightInd w:val="0"/>
        <w:snapToGrid w:val="0"/>
        <w:spacing w:before="50" w:after="50" w:line="360" w:lineRule="auto"/>
        <w:ind w:firstLine="480"/>
        <w:rPr>
          <w:rFonts w:ascii="宋体" w:hAnsi="宋体" w:cs="Arial"/>
          <w:sz w:val="24"/>
        </w:rPr>
      </w:pPr>
      <w:r>
        <w:rPr>
          <w:rFonts w:ascii="宋体" w:hAnsi="宋体" w:hint="eastAsia"/>
          <w:sz w:val="24"/>
        </w:rPr>
        <w:t>基金申购、赎回等款项采用</w:t>
      </w:r>
      <w:r>
        <w:rPr>
          <w:rFonts w:ascii="宋体" w:hAnsi="宋体" w:cs="Arial" w:hint="eastAsia"/>
          <w:sz w:val="24"/>
        </w:rPr>
        <w:t>基金托管账户与“基金清算账户”间</w:t>
      </w:r>
      <w:r>
        <w:rPr>
          <w:rFonts w:ascii="宋体" w:hAnsi="宋体" w:hint="eastAsia"/>
          <w:sz w:val="24"/>
        </w:rPr>
        <w:t>轧差交收的结算方式</w:t>
      </w:r>
      <w:r>
        <w:rPr>
          <w:rFonts w:ascii="宋体" w:hAnsi="宋体" w:cs="Arial" w:hint="eastAsia"/>
          <w:sz w:val="24"/>
        </w:rPr>
        <w:t>。</w:t>
      </w:r>
    </w:p>
    <w:p w:rsidR="00092F67" w:rsidRDefault="00C901CF">
      <w:pPr>
        <w:spacing w:line="360" w:lineRule="auto"/>
        <w:ind w:firstLineChars="200" w:firstLine="480"/>
        <w:rPr>
          <w:rFonts w:ascii="宋体" w:hAnsi="宋体"/>
          <w:sz w:val="24"/>
        </w:rPr>
      </w:pPr>
      <w:r>
        <w:rPr>
          <w:rFonts w:ascii="宋体" w:hAnsi="宋体" w:cs="Arial" w:hint="eastAsia"/>
          <w:sz w:val="24"/>
        </w:rPr>
        <w:t>基金托管账户与“基金清算账户”间的资金清算遵循“全额清算、净额交收”的原则，即按照托管账户当日应收资金（包括申购资金及基金转换转入款）与托管账户应付额（含赎回资金、赎回费、基金转换转出款及转换费）的差额来确定托管账户净应收额或净应付额，以此确定资金交收额。当存在托管账户净应收额时，基金管理人负责将托管账户净应收额在交收日15:00前从“基金清算账户”划到基金托管账户，基金托管人在资金到账后应立即通知基金管理人进行账务处理；当存在托管账户净应付额时，基金管理人应在交收日及时将划款指令发送给基金托管人，基金托管人在资金划出后立即通知基金管理人进行账务处理。</w:t>
      </w:r>
    </w:p>
    <w:p w:rsidR="00092F67" w:rsidRDefault="00C901CF">
      <w:pPr>
        <w:spacing w:line="360" w:lineRule="auto"/>
        <w:ind w:firstLineChars="200" w:firstLine="480"/>
        <w:rPr>
          <w:rFonts w:ascii="宋体" w:hAnsi="宋体"/>
          <w:sz w:val="24"/>
        </w:rPr>
      </w:pPr>
      <w:r>
        <w:rPr>
          <w:rFonts w:ascii="宋体" w:hAnsi="宋体" w:hint="eastAsia"/>
          <w:sz w:val="24"/>
        </w:rPr>
        <w:t>如果当日基金为净应收款，基金托管人应及时查收资金是否到账，对于因基金管理人的原因未准时到账的资金，应及时通知基金管理人划付，由此产生的责任应由基金管理人承担，基金托管人不承担责任。</w:t>
      </w:r>
    </w:p>
    <w:p w:rsidR="00092F67" w:rsidRDefault="00C901CF">
      <w:pPr>
        <w:spacing w:line="360" w:lineRule="auto"/>
        <w:ind w:firstLineChars="200" w:firstLine="480"/>
        <w:rPr>
          <w:rFonts w:ascii="宋体" w:hAnsi="宋体"/>
          <w:sz w:val="24"/>
        </w:rPr>
      </w:pPr>
      <w:r>
        <w:rPr>
          <w:rFonts w:ascii="宋体" w:hAnsi="宋体" w:hint="eastAsia"/>
          <w:sz w:val="24"/>
        </w:rPr>
        <w:t>如果当日基金为净应付款，基金托管人应根据基金管理人的指令及时进行划付。对于因基金托管人的原因未准时划付的资金，基金管理人应及时通知基金托管人划付，由此产生的责任应由基金托管人承担。</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（五）基金转换</w:t>
      </w:r>
    </w:p>
    <w:p w:rsidR="00092F67" w:rsidRDefault="00C901CF">
      <w:pPr>
        <w:numPr>
          <w:ilvl w:val="0"/>
          <w:numId w:val="13"/>
        </w:numPr>
        <w:adjustRightInd w:val="0"/>
        <w:snapToGrid w:val="0"/>
        <w:spacing w:line="360" w:lineRule="auto"/>
        <w:ind w:left="0" w:firstLine="480"/>
        <w:rPr>
          <w:rFonts w:ascii="宋体" w:hAnsi="宋体" w:cs="Arial"/>
          <w:sz w:val="24"/>
        </w:rPr>
      </w:pPr>
      <w:r>
        <w:rPr>
          <w:rFonts w:ascii="宋体" w:hAnsi="宋体" w:cs="Arial" w:hint="eastAsia"/>
          <w:sz w:val="24"/>
        </w:rPr>
        <w:t>在本基金开展基金转换业务之前，基金管理人应函告基金托管人并就相关事宜进行协商。</w:t>
      </w:r>
    </w:p>
    <w:p w:rsidR="00092F67" w:rsidRDefault="00C901CF">
      <w:pPr>
        <w:numPr>
          <w:ilvl w:val="0"/>
          <w:numId w:val="13"/>
        </w:numPr>
        <w:adjustRightInd w:val="0"/>
        <w:snapToGrid w:val="0"/>
        <w:spacing w:line="360" w:lineRule="auto"/>
        <w:ind w:left="0" w:firstLine="480"/>
        <w:rPr>
          <w:rFonts w:ascii="宋体" w:hAnsi="宋体" w:cs="Arial"/>
          <w:sz w:val="24"/>
        </w:rPr>
      </w:pPr>
      <w:r>
        <w:rPr>
          <w:rFonts w:ascii="宋体" w:hAnsi="宋体" w:cs="Arial" w:hint="eastAsia"/>
          <w:sz w:val="24"/>
        </w:rPr>
        <w:t>基金托管人将根据基金管理人传送的基金转换数据进行账务处理，具体资金清算和数据传递的时间、程序及托管协议当事人承担的权责按基金管理人届时的公告执行。</w:t>
      </w:r>
    </w:p>
    <w:p w:rsidR="00092F67" w:rsidRDefault="00C901CF">
      <w:pPr>
        <w:numPr>
          <w:ilvl w:val="0"/>
          <w:numId w:val="13"/>
        </w:numPr>
        <w:adjustRightInd w:val="0"/>
        <w:snapToGrid w:val="0"/>
        <w:spacing w:line="360" w:lineRule="auto"/>
        <w:ind w:left="0" w:firstLine="480"/>
        <w:rPr>
          <w:rFonts w:ascii="宋体" w:hAnsi="宋体" w:cs="Arial"/>
          <w:sz w:val="24"/>
        </w:rPr>
      </w:pPr>
      <w:r>
        <w:rPr>
          <w:rFonts w:ascii="宋体" w:hAnsi="宋体" w:cs="Arial" w:hint="eastAsia"/>
          <w:sz w:val="24"/>
        </w:rPr>
        <w:t>本基金开展基金转换业务应按相关法律法规规定及基金合同的约定进行公告。</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（六）基金现金分红</w:t>
      </w:r>
    </w:p>
    <w:p w:rsidR="00092F67" w:rsidRDefault="00C901CF">
      <w:pPr>
        <w:numPr>
          <w:ilvl w:val="0"/>
          <w:numId w:val="14"/>
        </w:numPr>
        <w:adjustRightInd w:val="0"/>
        <w:snapToGrid w:val="0"/>
        <w:spacing w:line="360" w:lineRule="auto"/>
        <w:ind w:left="0" w:firstLine="480"/>
        <w:rPr>
          <w:rFonts w:ascii="宋体" w:hAnsi="宋体" w:cs="Arial"/>
          <w:sz w:val="24"/>
        </w:rPr>
      </w:pPr>
      <w:r>
        <w:rPr>
          <w:rFonts w:ascii="宋体" w:hAnsi="宋体" w:cs="Arial" w:hint="eastAsia"/>
          <w:sz w:val="24"/>
        </w:rPr>
        <w:t>基金管理人确定分红方案通知基金托管人，双方核定后依照《信息披露办法》的有关规定在中国证监会规定媒介上公告。</w:t>
      </w:r>
    </w:p>
    <w:p w:rsidR="00092F67" w:rsidRDefault="00C901CF">
      <w:pPr>
        <w:numPr>
          <w:ilvl w:val="0"/>
          <w:numId w:val="14"/>
        </w:numPr>
        <w:adjustRightInd w:val="0"/>
        <w:snapToGrid w:val="0"/>
        <w:spacing w:line="360" w:lineRule="auto"/>
        <w:ind w:left="0" w:firstLine="480"/>
        <w:rPr>
          <w:rFonts w:ascii="宋体" w:hAnsi="宋体" w:cs="Arial"/>
          <w:sz w:val="24"/>
        </w:rPr>
      </w:pPr>
      <w:r>
        <w:rPr>
          <w:rFonts w:ascii="宋体" w:hAnsi="宋体" w:cs="Arial" w:hint="eastAsia"/>
          <w:sz w:val="24"/>
        </w:rPr>
        <w:lastRenderedPageBreak/>
        <w:t>基金托管人和基金管理人对基金分红进行账务处理并核对后，基金管理人向基金托管人发送现金红利的划款指令，基金托管人应及时将资金划入专用账户。</w:t>
      </w:r>
    </w:p>
    <w:p w:rsidR="00092F67" w:rsidRDefault="00C901CF">
      <w:pPr>
        <w:numPr>
          <w:ilvl w:val="0"/>
          <w:numId w:val="14"/>
        </w:numPr>
        <w:adjustRightInd w:val="0"/>
        <w:snapToGrid w:val="0"/>
        <w:spacing w:line="360" w:lineRule="auto"/>
        <w:ind w:left="0" w:firstLine="480"/>
        <w:rPr>
          <w:rFonts w:ascii="宋体" w:hAnsi="宋体" w:cs="Arial"/>
          <w:sz w:val="24"/>
        </w:rPr>
      </w:pPr>
      <w:r>
        <w:rPr>
          <w:rFonts w:ascii="宋体" w:hAnsi="宋体" w:cs="Arial" w:hint="eastAsia"/>
          <w:sz w:val="24"/>
        </w:rPr>
        <w:t>基金管理人在下达指令时，应给基金托管人留出必需的划款时间。</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（七）基金融资</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如本基金按国家有关规定进行融资时，基金托管人应为基金融资提供必要的协助。</w:t>
      </w:r>
    </w:p>
    <w:p w:rsidR="00092F67" w:rsidRDefault="00C901CF">
      <w:pPr>
        <w:pStyle w:val="1"/>
        <w:numPr>
          <w:ilvl w:val="0"/>
          <w:numId w:val="1"/>
        </w:numPr>
        <w:spacing w:line="360" w:lineRule="auto"/>
        <w:jc w:val="center"/>
        <w:rPr>
          <w:rFonts w:ascii="宋体" w:hAnsi="宋体"/>
          <w:sz w:val="28"/>
          <w:szCs w:val="28"/>
        </w:rPr>
      </w:pPr>
      <w:r>
        <w:rPr>
          <w:rFonts w:ascii="宋体" w:hAnsi="宋体" w:cs="Arial"/>
          <w:sz w:val="24"/>
          <w:szCs w:val="24"/>
        </w:rPr>
        <w:br w:type="page"/>
      </w:r>
      <w:bookmarkStart w:id="172" w:name="_Toc295832644"/>
      <w:bookmarkStart w:id="173" w:name="_Toc295833011"/>
      <w:bookmarkStart w:id="174" w:name="_Toc295832951"/>
      <w:bookmarkStart w:id="175" w:name="_Toc295833682"/>
      <w:bookmarkStart w:id="176" w:name="_Toc124325892"/>
      <w:bookmarkStart w:id="177" w:name="_Toc355859321"/>
      <w:bookmarkStart w:id="178" w:name="_Toc270669859"/>
      <w:bookmarkStart w:id="179" w:name="_Toc366835702"/>
      <w:bookmarkEnd w:id="172"/>
      <w:bookmarkEnd w:id="173"/>
      <w:bookmarkEnd w:id="174"/>
      <w:bookmarkEnd w:id="175"/>
      <w:r>
        <w:rPr>
          <w:rFonts w:ascii="宋体" w:hAnsi="宋体" w:hint="eastAsia"/>
          <w:sz w:val="28"/>
          <w:szCs w:val="28"/>
        </w:rPr>
        <w:lastRenderedPageBreak/>
        <w:t>基金资产净值计算和会计核算</w:t>
      </w:r>
      <w:bookmarkEnd w:id="176"/>
      <w:bookmarkEnd w:id="177"/>
      <w:bookmarkEnd w:id="178"/>
      <w:bookmarkEnd w:id="179"/>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（一）基金资产净值的计算、复核与完成的时间及程序</w:t>
      </w:r>
    </w:p>
    <w:p w:rsidR="00092F67" w:rsidRDefault="00C901CF">
      <w:pPr>
        <w:numPr>
          <w:ilvl w:val="0"/>
          <w:numId w:val="15"/>
        </w:numPr>
        <w:adjustRightInd w:val="0"/>
        <w:snapToGrid w:val="0"/>
        <w:spacing w:line="360" w:lineRule="auto"/>
        <w:ind w:left="0" w:firstLine="480"/>
        <w:rPr>
          <w:rFonts w:ascii="宋体" w:hAnsi="宋体" w:cs="Arial"/>
          <w:sz w:val="24"/>
        </w:rPr>
      </w:pPr>
      <w:r>
        <w:rPr>
          <w:rFonts w:ascii="宋体" w:hAnsi="宋体" w:cs="Arial" w:hint="eastAsia"/>
          <w:sz w:val="24"/>
        </w:rPr>
        <w:t>基金资产净值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基金资产净值是指基金资产总值减去基金负债后的金额。</w:t>
      </w:r>
    </w:p>
    <w:p w:rsidR="00092F67" w:rsidRDefault="00C901CF">
      <w:pPr>
        <w:adjustRightInd w:val="0"/>
        <w:snapToGrid w:val="0"/>
        <w:spacing w:line="360" w:lineRule="auto"/>
        <w:ind w:firstLineChars="200" w:firstLine="480"/>
        <w:rPr>
          <w:rFonts w:ascii="宋体" w:hAnsi="宋体" w:cs="Arial"/>
          <w:sz w:val="24"/>
        </w:rPr>
      </w:pPr>
      <w:r>
        <w:rPr>
          <w:rFonts w:hint="eastAsia"/>
          <w:bCs/>
          <w:sz w:val="24"/>
        </w:rPr>
        <w:t>本基金</w:t>
      </w:r>
      <w:r>
        <w:rPr>
          <w:rFonts w:hint="eastAsia"/>
          <w:bCs/>
          <w:sz w:val="24"/>
        </w:rPr>
        <w:t>T+</w:t>
      </w:r>
      <w:r>
        <w:rPr>
          <w:bCs/>
          <w:sz w:val="24"/>
        </w:rPr>
        <w:t>2</w:t>
      </w:r>
      <w:r>
        <w:rPr>
          <w:rFonts w:hint="eastAsia"/>
          <w:bCs/>
          <w:sz w:val="24"/>
        </w:rPr>
        <w:t>日内完成</w:t>
      </w:r>
      <w:r>
        <w:rPr>
          <w:rFonts w:hint="eastAsia"/>
          <w:bCs/>
          <w:sz w:val="24"/>
        </w:rPr>
        <w:t>T</w:t>
      </w:r>
      <w:r>
        <w:rPr>
          <w:rFonts w:hint="eastAsia"/>
          <w:bCs/>
          <w:sz w:val="24"/>
        </w:rPr>
        <w:t>日估值，</w:t>
      </w:r>
      <w:r>
        <w:rPr>
          <w:rFonts w:hint="eastAsia"/>
          <w:bCs/>
          <w:sz w:val="24"/>
        </w:rPr>
        <w:t>T+</w:t>
      </w:r>
      <w:r>
        <w:rPr>
          <w:bCs/>
          <w:sz w:val="24"/>
        </w:rPr>
        <w:t>3</w:t>
      </w:r>
      <w:r>
        <w:rPr>
          <w:rFonts w:hint="eastAsia"/>
          <w:bCs/>
          <w:sz w:val="24"/>
        </w:rPr>
        <w:t>日内披露，</w:t>
      </w:r>
      <w:r>
        <w:rPr>
          <w:rFonts w:ascii="宋体" w:hAnsi="宋体" w:cs="Arial" w:hint="eastAsia"/>
          <w:sz w:val="24"/>
        </w:rPr>
        <w:t>各类基金份额净值是</w:t>
      </w:r>
      <w:r>
        <w:rPr>
          <w:bCs/>
          <w:sz w:val="24"/>
        </w:rPr>
        <w:t>按照每个估值日，该类基金资产净值除以估值日当日该类基金份额的余额数量计算，均精确到</w:t>
      </w:r>
      <w:r>
        <w:rPr>
          <w:bCs/>
          <w:sz w:val="24"/>
        </w:rPr>
        <w:t>0.00</w:t>
      </w:r>
      <w:r>
        <w:rPr>
          <w:rFonts w:hint="eastAsia"/>
          <w:bCs/>
          <w:sz w:val="24"/>
        </w:rPr>
        <w:t>0</w:t>
      </w:r>
      <w:r>
        <w:rPr>
          <w:bCs/>
          <w:sz w:val="24"/>
        </w:rPr>
        <w:t>1</w:t>
      </w:r>
      <w:r>
        <w:rPr>
          <w:bCs/>
          <w:sz w:val="24"/>
        </w:rPr>
        <w:t>元，小数点后第</w:t>
      </w:r>
      <w:r>
        <w:rPr>
          <w:rFonts w:hint="eastAsia"/>
          <w:bCs/>
          <w:sz w:val="24"/>
        </w:rPr>
        <w:t>5</w:t>
      </w:r>
      <w:r>
        <w:rPr>
          <w:bCs/>
          <w:sz w:val="24"/>
        </w:rPr>
        <w:t>位四舍五入</w:t>
      </w:r>
      <w:r>
        <w:rPr>
          <w:rFonts w:hint="eastAsia"/>
          <w:bCs/>
          <w:sz w:val="24"/>
        </w:rPr>
        <w:t>，由此产生的收益或损失归入基金财产</w:t>
      </w:r>
      <w:r>
        <w:rPr>
          <w:bCs/>
          <w:sz w:val="24"/>
        </w:rPr>
        <w:t>。</w:t>
      </w:r>
      <w:r>
        <w:rPr>
          <w:rFonts w:hint="eastAsia"/>
          <w:bCs/>
          <w:sz w:val="24"/>
        </w:rPr>
        <w:t>基金管理人可以设立大额赎回情形下的净值精度应急调整机制。</w:t>
      </w:r>
      <w:r>
        <w:rPr>
          <w:rFonts w:ascii="宋体" w:hAnsi="宋体" w:cs="Arial" w:hint="eastAsia"/>
          <w:sz w:val="24"/>
        </w:rPr>
        <w:t>国家另有规定的，从其规定。</w:t>
      </w:r>
    </w:p>
    <w:p w:rsidR="00092F67" w:rsidRDefault="00C901CF">
      <w:pPr>
        <w:numPr>
          <w:ilvl w:val="0"/>
          <w:numId w:val="15"/>
        </w:numPr>
        <w:adjustRightInd w:val="0"/>
        <w:snapToGrid w:val="0"/>
        <w:spacing w:line="360" w:lineRule="auto"/>
        <w:ind w:left="0" w:firstLine="480"/>
        <w:rPr>
          <w:rFonts w:ascii="宋体" w:hAnsi="宋体" w:cs="Arial"/>
          <w:sz w:val="24"/>
        </w:rPr>
      </w:pPr>
      <w:r>
        <w:rPr>
          <w:rFonts w:ascii="宋体" w:hAnsi="宋体" w:cs="Arial" w:hint="eastAsia"/>
          <w:sz w:val="24"/>
        </w:rPr>
        <w:t>复核程序</w:t>
      </w:r>
    </w:p>
    <w:p w:rsidR="00092F67" w:rsidRDefault="00C901CF">
      <w:pPr>
        <w:adjustRightInd w:val="0"/>
        <w:snapToGrid w:val="0"/>
        <w:spacing w:line="360" w:lineRule="auto"/>
        <w:ind w:firstLineChars="200" w:firstLine="480"/>
        <w:rPr>
          <w:rFonts w:ascii="宋体" w:hAnsi="宋体" w:cs="Arial"/>
          <w:sz w:val="24"/>
        </w:rPr>
      </w:pPr>
      <w:r>
        <w:rPr>
          <w:bCs/>
          <w:sz w:val="24"/>
        </w:rPr>
        <w:t>基金管理人应每个</w:t>
      </w:r>
      <w:r>
        <w:rPr>
          <w:rFonts w:hint="eastAsia"/>
          <w:bCs/>
          <w:sz w:val="24"/>
        </w:rPr>
        <w:t>估值日后</w:t>
      </w:r>
      <w:r>
        <w:rPr>
          <w:rFonts w:hint="eastAsia"/>
          <w:bCs/>
          <w:sz w:val="24"/>
        </w:rPr>
        <w:t>2</w:t>
      </w:r>
      <w:r>
        <w:rPr>
          <w:rFonts w:hint="eastAsia"/>
          <w:bCs/>
          <w:sz w:val="24"/>
        </w:rPr>
        <w:t>个工作日内对该估值日的</w:t>
      </w:r>
      <w:r>
        <w:rPr>
          <w:bCs/>
          <w:sz w:val="24"/>
        </w:rPr>
        <w:t>基金资产估值</w:t>
      </w:r>
      <w:r>
        <w:rPr>
          <w:rFonts w:hint="eastAsia"/>
          <w:bCs/>
          <w:sz w:val="24"/>
        </w:rPr>
        <w:t>，</w:t>
      </w:r>
      <w:r>
        <w:rPr>
          <w:bCs/>
          <w:sz w:val="24"/>
        </w:rPr>
        <w:t>但基金管理人根据法律法规或基金合同的规定暂停估值时除外。</w:t>
      </w:r>
      <w:r>
        <w:rPr>
          <w:rFonts w:ascii="宋体" w:hAnsi="宋体" w:cs="Arial" w:hint="eastAsia"/>
          <w:sz w:val="24"/>
        </w:rPr>
        <w:t>基金管理人对基金资产进行估值后，将各类基金份额净值结果以双方约定的方式提交给基金托管人，经基金托管人复核无误后，以约定的方式将复核结果提交给基金管理人，经基金托管人复核无误后，由基金管理人依据基金合同和有关法律法规对外公布。</w:t>
      </w:r>
    </w:p>
    <w:p w:rsidR="00092F67" w:rsidRDefault="00C901CF">
      <w:pPr>
        <w:numPr>
          <w:ilvl w:val="0"/>
          <w:numId w:val="15"/>
        </w:numPr>
        <w:adjustRightInd w:val="0"/>
        <w:snapToGrid w:val="0"/>
        <w:spacing w:line="360" w:lineRule="auto"/>
        <w:ind w:left="0" w:firstLine="480"/>
        <w:rPr>
          <w:rFonts w:ascii="宋体" w:hAnsi="宋体" w:cs="Arial"/>
          <w:sz w:val="24"/>
        </w:rPr>
      </w:pPr>
      <w:r>
        <w:rPr>
          <w:rFonts w:ascii="宋体" w:hAnsi="宋体" w:cs="Arial" w:hint="eastAsia"/>
          <w:sz w:val="24"/>
        </w:rPr>
        <w:t>根据有关法律法规，基金净值信息计算和基金会计核算的义务由基金管理人承担。本基金的基金会计责任方由基金管理人担任，因此，就与本基金有关的会计问题，如经相关各方在平等基础上充分讨论后，仍无法达成一致意见的，按照基金管理人对基金净值信息的计算结果对外予以公布。</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应当根据约定的方法和《企业会计准则》的规定复核基金管理人提供的托管产品财务数据，发现错误的应当及时提示基金管理人。对仅依赖基金管理人提供且无法从其他渠道获取可靠数据进行会计核算的，托管人应对数据进行合理性检查，若所获取信息无法支持进行合理性检查的托管人不承担相关责任。</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（二）基金资产估值方法和特殊情形的处理</w:t>
      </w:r>
    </w:p>
    <w:p w:rsidR="00092F67" w:rsidRDefault="00C901CF">
      <w:pPr>
        <w:numPr>
          <w:ilvl w:val="0"/>
          <w:numId w:val="16"/>
        </w:numPr>
        <w:adjustRightInd w:val="0"/>
        <w:snapToGrid w:val="0"/>
        <w:spacing w:line="360" w:lineRule="auto"/>
        <w:rPr>
          <w:rFonts w:ascii="宋体" w:hAnsi="宋体" w:cs="Arial"/>
          <w:sz w:val="24"/>
        </w:rPr>
      </w:pPr>
      <w:r>
        <w:rPr>
          <w:rFonts w:ascii="宋体" w:hAnsi="宋体" w:cs="Arial" w:hint="eastAsia"/>
          <w:sz w:val="24"/>
        </w:rPr>
        <w:t>估值原则及对象</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（1）估值原则</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基金管理人在确定相关金融资产和金融负债的公允价值时，应符合《企业会计准则》、监管部门有关规定。</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1）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2）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3）如经济环境发生重大变化或证券发行人发生影响证券价格的重大事件，使潜在估值调整对前一估值日的基金资产净值的影响在0.25%以上的，应对估值进行调整并确定公允价值。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）估值对象</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基金所拥有的其他基金份额、股票、债券、资产支持证券和银行存款本息、应收款项、其它投资等资产及负债。</w:t>
      </w:r>
    </w:p>
    <w:p w:rsidR="00092F67" w:rsidRDefault="00C901CF">
      <w:pPr>
        <w:numPr>
          <w:ilvl w:val="0"/>
          <w:numId w:val="16"/>
        </w:numPr>
        <w:adjustRightInd w:val="0"/>
        <w:snapToGrid w:val="0"/>
        <w:spacing w:line="360" w:lineRule="auto"/>
        <w:rPr>
          <w:rFonts w:ascii="宋体" w:hAnsi="宋体" w:cs="Arial"/>
          <w:sz w:val="24"/>
        </w:rPr>
      </w:pPr>
      <w:r>
        <w:rPr>
          <w:rFonts w:ascii="宋体" w:hAnsi="宋体" w:cs="Arial" w:hint="eastAsia"/>
          <w:sz w:val="24"/>
        </w:rPr>
        <w:t>估值方法</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（1）基金估值方法</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1）非上市基金估值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本基金投资于非上市基金的估值：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①本基金投资的境内非货币市场基金，按所投资基金估值日的基金份额净值估值。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②本基金投资的境内货币市场基金，如所投资基金披露份额净值，则按所投资基金估值日的份额净值估值；如所投资基金披露万份收益，按所投资基金前一估值日后至估值日期间（含节假日）的万份收益计提估值日基金收益。</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2）上市基金估值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本基金投资于交易所上市基金的估值：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 xml:space="preserve">①本基金投资的ETF基金、境内上市定期开放式基金、封闭式基金，按照所投资基金估值日的收盘价估值。 </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②本基金投资的境内上市开放式基金（LOF），按所投资基金估值日的基金份额净值估值。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③本基金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3）如遇所投资基金不公布基金份额净值、进行折算或拆分、估值日无交易等特殊情况，基金管理人根据以下原则进行估值：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①以所投资基金的基金份额净值估值的，若所投资基金与本基金估值频率一致但未公布估值日基金份额净值，按其最近公布的基金份额净值为基础估值。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③如果所投资基金前一估值日至估值日期间发生分红除权、折算或拆分，基金管理人应根据基金份额净值或收盘价、单位基金份额分红金额、折算拆分比例、持仓份额等因素合理确定公允价值。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（2）证券交易所上市的有价证券（不包含交易所上市基金）的估值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2）交易所上市交易或挂牌转让的不含权固定收益品种，选取估值日第三方估值基准服务机构提供的相应品种当日的估值全价进行估值。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3）交易所上市交易或挂牌转让的含权固定收益品种，选取估值日第三方估值基准服务机构提供的相应品种当日的唯一估值全价或推荐估值全价进行估值。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4）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（3）处于未上市期间的有价证券应区分如下情况处理：</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1）送股、转增股、配股和公开增发的新股，按估值日在证券交易所挂牌的同一股票的估值方法估值；该日无交易的，以最近一日的市价（收盘价）估值。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2）首次公开发行未上市的股票、债券，采用估值技术确定公允价值。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4）对全国银行间市场上不含权的固定收益品种，选取第三方估值基准服务机构提供的相应品种当日的估值全价进行估值。对银行间市场上含权的固定收益品种，按照第三方估值基准服务机构提供的相应品种当日的唯一估值全价或推荐估值全价估值。对全国银行间市场上未上市或未挂牌转让且不存在活跃市场的固定收益品种，采用估值技术确定其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5）对于含投资人回售权的固定收益品种，行使回售权的，在回售登记日至实际收款日期间采用第三方估值基准服务机构提供的相应品种的唯一估值全价或推荐估值全价估值。回售登记期截止日（含当日）后未行使回售权的按照长待偿期所对应的价格进行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（6）对于未上市或未挂牌转让且不存在活跃市场的固定收益品种，应采用在当前情况下适用并且有足够可利用数据和其他信息支持的估值技术确定其公允价值。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（7）同一证券同时在两个或两个以上市场交易的，按证券所处的市场分别估值。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（8）本基金投资同业存单，按估值日第三方估值基准服务机构提供的估值全价估值；选定的第三方估值基准服务机构未提供估值价格的，应采用估值技术确定公允价值。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lastRenderedPageBreak/>
        <w:t>（9）估值计算中涉及港币对人民币汇率的，将依据下列信息提供机构所提供的汇率为基准：当日中国人民银行公布的人民币与港币的中间价。</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0</w:t>
      </w:r>
      <w:r>
        <w:rPr>
          <w:rFonts w:ascii="宋体" w:hAnsi="宋体" w:cs="Arial" w:hint="eastAsia"/>
          <w:sz w:val="24"/>
        </w:rPr>
        <w:t>）本基金投资存托凭证的估值核算，依照国内依法发行上市的股票执行。</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1</w:t>
      </w:r>
      <w:r>
        <w:rPr>
          <w:rFonts w:ascii="宋体" w:hAnsi="宋体" w:cs="Arial" w:hint="eastAsia"/>
          <w:sz w:val="24"/>
        </w:rPr>
        <w:t>）如有确凿证据表明按上述方法进行估值不能客观反映其公允价值的，基金管理人可根据具体情况与基金托管人商定后，按最能反映公允价值的价格估值。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2</w:t>
      </w:r>
      <w:r>
        <w:rPr>
          <w:rFonts w:ascii="宋体" w:hAnsi="宋体" w:cs="Arial" w:hint="eastAsia"/>
          <w:sz w:val="24"/>
        </w:rPr>
        <w:t>）当本基金发生大额申购或赎回情形时，基金管理人可以采用摆动定价机制，以确保基金估值的公平性。</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（1</w:t>
      </w:r>
      <w:r>
        <w:rPr>
          <w:rFonts w:ascii="宋体" w:hAnsi="宋体" w:cs="Arial"/>
          <w:sz w:val="24"/>
        </w:rPr>
        <w:t>3</w:t>
      </w:r>
      <w:r>
        <w:rPr>
          <w:rFonts w:ascii="宋体" w:hAnsi="宋体" w:cs="Arial" w:hint="eastAsia"/>
          <w:sz w:val="24"/>
        </w:rPr>
        <w:t>）相关法律法规以及监管部门有强制规定的，从其规定。如有新增事项，按国家最新规定估值。</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如基金管理人或基金托管人发现基金估值违反基金合同订明的估值方法、程序及相关法律法规的规定或者未能充分维护基金份额持有人利益时，应立即通知对方，共同查明原因，双方协商解决。</w:t>
      </w:r>
    </w:p>
    <w:p w:rsidR="00092F67" w:rsidRDefault="00C901CF">
      <w:pPr>
        <w:numPr>
          <w:ilvl w:val="0"/>
          <w:numId w:val="16"/>
        </w:numPr>
        <w:adjustRightInd w:val="0"/>
        <w:snapToGrid w:val="0"/>
        <w:spacing w:line="360" w:lineRule="auto"/>
        <w:rPr>
          <w:sz w:val="24"/>
        </w:rPr>
      </w:pPr>
      <w:r>
        <w:rPr>
          <w:rFonts w:hint="eastAsia"/>
          <w:sz w:val="24"/>
        </w:rPr>
        <w:t>特殊情形的处理</w:t>
      </w:r>
    </w:p>
    <w:p w:rsidR="00092F67" w:rsidRDefault="00C901CF">
      <w:pPr>
        <w:adjustRightInd w:val="0"/>
        <w:snapToGrid w:val="0"/>
        <w:spacing w:line="360" w:lineRule="auto"/>
        <w:ind w:firstLineChars="200" w:firstLine="480"/>
        <w:rPr>
          <w:rStyle w:val="read"/>
          <w:rFonts w:ascii="宋体" w:hAnsi="宋体" w:cs="Arial"/>
          <w:sz w:val="24"/>
        </w:rPr>
      </w:pPr>
      <w:r>
        <w:rPr>
          <w:rStyle w:val="read"/>
          <w:rFonts w:ascii="宋体" w:hAnsi="宋体" w:cs="Arial" w:hint="eastAsia"/>
          <w:sz w:val="24"/>
        </w:rPr>
        <w:t>（1）基金管理人或基金托管人按基金合同约定的估值方法进行估值时，所造成的误差不作为基金资产估值错误处理。</w:t>
      </w:r>
    </w:p>
    <w:p w:rsidR="00092F67" w:rsidRDefault="00C901CF">
      <w:pPr>
        <w:adjustRightInd w:val="0"/>
        <w:snapToGrid w:val="0"/>
        <w:spacing w:line="360" w:lineRule="auto"/>
        <w:ind w:firstLineChars="200" w:firstLine="480"/>
        <w:rPr>
          <w:bCs/>
          <w:sz w:val="24"/>
        </w:rPr>
      </w:pPr>
      <w:r>
        <w:rPr>
          <w:rStyle w:val="read"/>
          <w:rFonts w:ascii="宋体" w:hAnsi="宋体" w:cs="Arial" w:hint="eastAsia"/>
          <w:sz w:val="24"/>
        </w:rPr>
        <w:t>（2）由于不可抗力原因，或由于证券交易所，基金管理公司，或第三方估值基准服务机构，或登记结算机构及存款银行等第三方机构发送的数据错误，或国家会计政策变更、市场规则变更等非基金管理人与基金托管人原因，基金管理人和基金托管人虽然已经采取必要、适当、合理的措施进行检查，但未能发现错误或因前述原因未能避免或更正错误的，由此造成的基金资产估值错误，基金管理人和基金托管人免除赔偿责任，但基金管理人、基金托管人应当积极采取必要的措施减轻或消除由此造成的影响</w:t>
      </w:r>
      <w:r>
        <w:rPr>
          <w:rFonts w:hint="eastAsia"/>
          <w:bCs/>
          <w:sz w:val="24"/>
        </w:rPr>
        <w:t>。</w:t>
      </w:r>
    </w:p>
    <w:p w:rsidR="00092F67" w:rsidRDefault="00C901CF">
      <w:pPr>
        <w:numPr>
          <w:ilvl w:val="0"/>
          <w:numId w:val="16"/>
        </w:numPr>
        <w:adjustRightInd w:val="0"/>
        <w:snapToGrid w:val="0"/>
        <w:spacing w:line="360" w:lineRule="auto"/>
        <w:rPr>
          <w:rFonts w:ascii="宋体" w:hAnsi="宋体"/>
          <w:sz w:val="24"/>
        </w:rPr>
      </w:pPr>
      <w:r>
        <w:rPr>
          <w:sz w:val="24"/>
        </w:rPr>
        <w:t>实施侧袋机制期间的基金资产估值</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cs="Arial" w:hint="eastAsia"/>
          <w:sz w:val="24"/>
        </w:rPr>
        <w:t>本基金实施侧袋机制的，应根据本部分的约定对主袋账户资产进行估值并披</w:t>
      </w:r>
      <w:r>
        <w:rPr>
          <w:rStyle w:val="read"/>
          <w:rFonts w:ascii="宋体" w:hAnsi="宋体" w:cs="Arial" w:hint="eastAsia"/>
          <w:sz w:val="24"/>
        </w:rPr>
        <w:lastRenderedPageBreak/>
        <w:t>露主袋账户的基金净值信息，暂停披露侧袋账户的基金净值信息。</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（三）估值错误的处理</w:t>
      </w:r>
    </w:p>
    <w:p w:rsidR="00092F67" w:rsidRDefault="00C901CF">
      <w:pPr>
        <w:spacing w:line="360" w:lineRule="auto"/>
        <w:ind w:firstLineChars="200" w:firstLine="480"/>
        <w:rPr>
          <w:bCs/>
          <w:sz w:val="24"/>
        </w:rPr>
      </w:pPr>
      <w:r>
        <w:rPr>
          <w:bCs/>
          <w:sz w:val="24"/>
        </w:rPr>
        <w:t>基金管理人和基金托管人将采取必要、适当、合理的措施确保基金资产估值的准确性、及时性。当任一类</w:t>
      </w:r>
      <w:r>
        <w:rPr>
          <w:rFonts w:hint="eastAsia"/>
          <w:bCs/>
          <w:sz w:val="24"/>
        </w:rPr>
        <w:t>别的</w:t>
      </w:r>
      <w:r>
        <w:rPr>
          <w:bCs/>
          <w:sz w:val="24"/>
        </w:rPr>
        <w:t>基金份额净值小数点后</w:t>
      </w:r>
      <w:r>
        <w:rPr>
          <w:rFonts w:hint="eastAsia"/>
          <w:bCs/>
          <w:sz w:val="24"/>
        </w:rPr>
        <w:t>4</w:t>
      </w:r>
      <w:r>
        <w:rPr>
          <w:bCs/>
          <w:sz w:val="24"/>
        </w:rPr>
        <w:t>位以内（含第</w:t>
      </w:r>
      <w:r>
        <w:rPr>
          <w:rFonts w:hint="eastAsia"/>
          <w:bCs/>
          <w:sz w:val="24"/>
        </w:rPr>
        <w:t>4</w:t>
      </w:r>
      <w:r>
        <w:rPr>
          <w:bCs/>
          <w:sz w:val="24"/>
        </w:rPr>
        <w:t>位）发生估值错误时，视为该类基金份额净值错误。</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基金合同的当事人应按照以下约定处理：</w:t>
      </w:r>
    </w:p>
    <w:p w:rsidR="00092F67" w:rsidRDefault="00C901CF">
      <w:pPr>
        <w:numPr>
          <w:ilvl w:val="0"/>
          <w:numId w:val="17"/>
        </w:numPr>
        <w:adjustRightInd w:val="0"/>
        <w:snapToGrid w:val="0"/>
        <w:spacing w:line="360" w:lineRule="auto"/>
        <w:rPr>
          <w:sz w:val="24"/>
        </w:rPr>
      </w:pPr>
      <w:r>
        <w:rPr>
          <w:rFonts w:hint="eastAsia"/>
          <w:sz w:val="24"/>
        </w:rPr>
        <w:t>估值错误类型</w:t>
      </w:r>
    </w:p>
    <w:p w:rsidR="00092F67" w:rsidRDefault="00C901CF">
      <w:pPr>
        <w:adjustRightInd w:val="0"/>
        <w:snapToGrid w:val="0"/>
        <w:spacing w:line="360" w:lineRule="auto"/>
        <w:ind w:firstLineChars="177" w:firstLine="425"/>
        <w:rPr>
          <w:rStyle w:val="read"/>
          <w:rFonts w:ascii="宋体" w:hAnsi="宋体"/>
          <w:sz w:val="24"/>
        </w:rPr>
      </w:pPr>
      <w:r>
        <w:rPr>
          <w:rStyle w:val="read"/>
          <w:rFonts w:ascii="宋体" w:hAnsi="宋体" w:hint="eastAsia"/>
          <w:sz w:val="24"/>
        </w:rPr>
        <w:t>本基金运作过程中，如果由于基金管理人、或基金托管人、或投资人自身的原因造成估值错误，导致其他当事人遭受损失的，责任人应当对由于该估值错误遭受损失当事人（“受损方”）的直接损失按下述“估值错误处理原则”给予赔偿，承担赔偿责任。</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上述估值错误的主要类型包括但不限于：资料申报差错、数据传输差错、数据计算差错、系统故障差错、下达指令差错等。</w:t>
      </w:r>
    </w:p>
    <w:p w:rsidR="00092F67" w:rsidRDefault="00C901CF">
      <w:pPr>
        <w:numPr>
          <w:ilvl w:val="0"/>
          <w:numId w:val="17"/>
        </w:numPr>
        <w:adjustRightInd w:val="0"/>
        <w:snapToGrid w:val="0"/>
        <w:spacing w:line="360" w:lineRule="auto"/>
        <w:rPr>
          <w:sz w:val="24"/>
        </w:rPr>
      </w:pPr>
      <w:r>
        <w:rPr>
          <w:rFonts w:hint="eastAsia"/>
          <w:sz w:val="24"/>
        </w:rPr>
        <w:t>估值错误处理原则</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有协助义务的当事人应当承担相应赔偿责任。估值错误责任方应对更正的情况向有关当事人进行确认，确保估值错误已得到更正。</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（2）估值错误的责任方对有关当事人的直接损失负责，不对间接损失负责，并且仅对估值错误的有关直接当事人负责，不对第三方负责。</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lastRenderedPageBreak/>
        <w:t>（4）估值错误调整采用尽量恢复至假设未发生估值错误的正确情形的方式。</w:t>
      </w:r>
    </w:p>
    <w:p w:rsidR="00092F67" w:rsidRDefault="00C901CF">
      <w:pPr>
        <w:numPr>
          <w:ilvl w:val="0"/>
          <w:numId w:val="17"/>
        </w:numPr>
        <w:adjustRightInd w:val="0"/>
        <w:snapToGrid w:val="0"/>
        <w:spacing w:line="360" w:lineRule="auto"/>
        <w:rPr>
          <w:sz w:val="24"/>
        </w:rPr>
      </w:pPr>
      <w:r>
        <w:rPr>
          <w:rFonts w:hint="eastAsia"/>
          <w:sz w:val="24"/>
        </w:rPr>
        <w:t>估值错误处理程序</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估值错误被发现后，有关的当事人应当及时进行处理，处理的程序如下：</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（1）查明估值错误发生的原因，列明所有的当事人，并根据估值错误发生的原因确定估值错误的责任方；</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（2）根据估值错误处理原则或当事人协商的方法对因估值错误造成的损失进行评估；</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（3）根据估值错误处理原则或当事人协商的方法由估值错误的责任方进行更正和赔偿损失；</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（4）根据估值错误处理的方法，需要修改基金登记机构交易数据的，由基金登记机构进行更正，并就估值错误的更正向有关当事人进行确认。</w:t>
      </w:r>
    </w:p>
    <w:p w:rsidR="00092F67" w:rsidRDefault="00C901CF">
      <w:pPr>
        <w:numPr>
          <w:ilvl w:val="0"/>
          <w:numId w:val="17"/>
        </w:numPr>
        <w:adjustRightInd w:val="0"/>
        <w:snapToGrid w:val="0"/>
        <w:spacing w:line="360" w:lineRule="auto"/>
        <w:rPr>
          <w:sz w:val="24"/>
        </w:rPr>
      </w:pPr>
      <w:r>
        <w:rPr>
          <w:rFonts w:hint="eastAsia"/>
          <w:sz w:val="24"/>
        </w:rPr>
        <w:t>基金份额净值估值错误处理的方法如下：</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（1）基金份额净值计算出现错误时，基金管理人应当立即予以纠正，通报基金托管人，并采取合理的措施防止损失进一步扩大。</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（2）错误偏差达到该类基金份额净值的0.25%时，基金管理人应当通报基金托管人并报中国证监会备案；错误偏差达到该类基金份额净值的0.5%时，基金管理人应当公告，通报基金托管人，并报中国证监会备案。</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（3）如法律法规或监管机关另有规定的，从其规定处理。</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（四）暂停估值的情形</w:t>
      </w:r>
    </w:p>
    <w:p w:rsidR="00092F67" w:rsidRDefault="00C901CF">
      <w:pPr>
        <w:adjustRightInd w:val="0"/>
        <w:snapToGrid w:val="0"/>
        <w:spacing w:line="360" w:lineRule="auto"/>
        <w:ind w:firstLine="480"/>
        <w:rPr>
          <w:rStyle w:val="read"/>
          <w:rFonts w:ascii="宋体" w:hAnsi="宋体"/>
          <w:sz w:val="24"/>
        </w:rPr>
      </w:pPr>
      <w:r>
        <w:rPr>
          <w:rStyle w:val="read"/>
          <w:rFonts w:ascii="宋体" w:hAnsi="宋体" w:hint="eastAsia"/>
          <w:sz w:val="24"/>
        </w:rPr>
        <w:t>1、基金投资所涉及的证券交易市场或外汇市场遇法定节假日或因其他原因暂停营业时；</w:t>
      </w:r>
    </w:p>
    <w:p w:rsidR="00092F67" w:rsidRDefault="00C901CF">
      <w:pPr>
        <w:adjustRightInd w:val="0"/>
        <w:snapToGrid w:val="0"/>
        <w:spacing w:line="360" w:lineRule="auto"/>
        <w:ind w:firstLine="480"/>
        <w:rPr>
          <w:rStyle w:val="read"/>
          <w:rFonts w:ascii="宋体" w:hAnsi="宋体"/>
          <w:sz w:val="24"/>
        </w:rPr>
      </w:pPr>
      <w:r>
        <w:rPr>
          <w:rStyle w:val="read"/>
          <w:rFonts w:ascii="宋体" w:hAnsi="宋体" w:hint="eastAsia"/>
          <w:sz w:val="24"/>
        </w:rPr>
        <w:t>2、因不可抗力致使基金管理人、基金托管人无法准确评估基金资产价值时；</w:t>
      </w:r>
    </w:p>
    <w:p w:rsidR="00092F67" w:rsidRDefault="00C901CF">
      <w:pPr>
        <w:adjustRightInd w:val="0"/>
        <w:snapToGrid w:val="0"/>
        <w:spacing w:line="360" w:lineRule="auto"/>
        <w:ind w:firstLine="480"/>
        <w:rPr>
          <w:rStyle w:val="read"/>
          <w:rFonts w:ascii="宋体" w:hAnsi="宋体"/>
          <w:sz w:val="24"/>
        </w:rPr>
      </w:pPr>
      <w:r>
        <w:rPr>
          <w:rStyle w:val="read"/>
          <w:rFonts w:ascii="宋体" w:hAnsi="宋体" w:hint="eastAsia"/>
          <w:sz w:val="24"/>
        </w:rPr>
        <w:t>3、占本基金资产净值相当比例的被投资基金暂停估值时，本基金可以暂停估值；</w:t>
      </w:r>
    </w:p>
    <w:p w:rsidR="00092F67" w:rsidRDefault="00C901CF">
      <w:pPr>
        <w:adjustRightInd w:val="0"/>
        <w:snapToGrid w:val="0"/>
        <w:spacing w:line="360" w:lineRule="auto"/>
        <w:ind w:firstLine="480"/>
        <w:rPr>
          <w:rStyle w:val="read"/>
          <w:rFonts w:ascii="宋体" w:hAnsi="宋体"/>
          <w:sz w:val="24"/>
        </w:rPr>
      </w:pPr>
      <w:r>
        <w:rPr>
          <w:rStyle w:val="read"/>
          <w:rFonts w:ascii="宋体" w:hAnsi="宋体" w:hint="eastAsia"/>
          <w:sz w:val="24"/>
        </w:rPr>
        <w:t>4、当特定资产占前一估值日基金资产净值50%以上的，经与基金托管人协商确认后，基金管理人应当暂停估值；</w:t>
      </w:r>
    </w:p>
    <w:p w:rsidR="00092F67" w:rsidRDefault="00C901CF">
      <w:pPr>
        <w:adjustRightInd w:val="0"/>
        <w:snapToGrid w:val="0"/>
        <w:spacing w:line="360" w:lineRule="auto"/>
        <w:ind w:left="426"/>
        <w:rPr>
          <w:rStyle w:val="read"/>
          <w:rFonts w:ascii="宋体" w:hAnsi="宋体"/>
          <w:sz w:val="24"/>
        </w:rPr>
      </w:pPr>
      <w:r>
        <w:rPr>
          <w:rStyle w:val="read"/>
          <w:rFonts w:ascii="宋体" w:hAnsi="宋体" w:hint="eastAsia"/>
          <w:sz w:val="24"/>
        </w:rPr>
        <w:t>5、法律法规规定、中国证监会和基金合同认定的其它情形。</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（五）基金会计制度</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按国家有关部门规定的会计制度执行。</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（六）基金账册的建立</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lastRenderedPageBreak/>
        <w:t>基金管理人进行基金会计核算并编制基金财务会计报告。基金管理人</w:t>
      </w:r>
      <w:r>
        <w:rPr>
          <w:rFonts w:hint="eastAsia"/>
          <w:spacing w:val="-4"/>
          <w:sz w:val="24"/>
        </w:rPr>
        <w:t>、基金托管人分别</w:t>
      </w:r>
      <w:r>
        <w:rPr>
          <w:rFonts w:ascii="宋体" w:hAnsi="宋体" w:cs="Arial" w:hint="eastAsia"/>
          <w:sz w:val="24"/>
        </w:rPr>
        <w:t>独立地设置、记录和保管本基金的全套账册。基金托管人按规定制作相关账册并与基金管理人核对。若基金管理人和基金托管人对会计处理方法存在分歧，应以基金管理人的处理方法为准。若当日核对不符，暂时无法查找到错账的原因而影响到基金资产净值的计算和公告的，以基金管理人的账册为准。</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（七）基金财务报表与报告的编制和复核</w:t>
      </w:r>
    </w:p>
    <w:p w:rsidR="00092F67" w:rsidRDefault="00C901CF">
      <w:pPr>
        <w:numPr>
          <w:ilvl w:val="0"/>
          <w:numId w:val="18"/>
        </w:numPr>
        <w:adjustRightInd w:val="0"/>
        <w:snapToGrid w:val="0"/>
        <w:spacing w:line="360" w:lineRule="auto"/>
        <w:ind w:left="0" w:firstLine="480"/>
        <w:rPr>
          <w:rStyle w:val="read"/>
          <w:rFonts w:ascii="宋体" w:hAnsi="宋体"/>
          <w:sz w:val="24"/>
        </w:rPr>
      </w:pPr>
      <w:r>
        <w:rPr>
          <w:rStyle w:val="read"/>
          <w:rFonts w:ascii="宋体" w:hAnsi="宋体" w:hint="eastAsia"/>
          <w:sz w:val="24"/>
        </w:rPr>
        <w:t>财务报表的编制</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基金财务报表由基金管理人编制，基金托管人复核。</w:t>
      </w:r>
    </w:p>
    <w:p w:rsidR="00092F67" w:rsidRDefault="00C901CF">
      <w:pPr>
        <w:numPr>
          <w:ilvl w:val="0"/>
          <w:numId w:val="18"/>
        </w:numPr>
        <w:adjustRightInd w:val="0"/>
        <w:snapToGrid w:val="0"/>
        <w:spacing w:line="360" w:lineRule="auto"/>
        <w:ind w:left="0" w:firstLine="480"/>
        <w:rPr>
          <w:rStyle w:val="read"/>
          <w:rFonts w:ascii="宋体" w:hAnsi="宋体"/>
          <w:sz w:val="24"/>
        </w:rPr>
      </w:pPr>
      <w:r>
        <w:rPr>
          <w:rStyle w:val="read"/>
          <w:rFonts w:ascii="宋体" w:hAnsi="宋体" w:hint="eastAsia"/>
          <w:sz w:val="24"/>
        </w:rPr>
        <w:t>报表复核</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基金托管人在收到基金管理人编制的基金财务报表后，进行独立的复核。核对不符时，应及时通知基金管理人共同查出原因，进行调整，直至双方数据完全一致。</w:t>
      </w:r>
    </w:p>
    <w:p w:rsidR="00092F67" w:rsidRDefault="00C901CF">
      <w:pPr>
        <w:numPr>
          <w:ilvl w:val="0"/>
          <w:numId w:val="18"/>
        </w:numPr>
        <w:adjustRightInd w:val="0"/>
        <w:snapToGrid w:val="0"/>
        <w:spacing w:line="360" w:lineRule="auto"/>
        <w:ind w:left="0" w:firstLine="480"/>
        <w:rPr>
          <w:rStyle w:val="read"/>
          <w:rFonts w:ascii="宋体" w:hAnsi="宋体"/>
          <w:sz w:val="24"/>
        </w:rPr>
      </w:pPr>
      <w:r>
        <w:rPr>
          <w:rStyle w:val="read"/>
          <w:rFonts w:ascii="宋体" w:hAnsi="宋体" w:hint="eastAsia"/>
          <w:sz w:val="24"/>
        </w:rPr>
        <w:t>财务报表的编制与复核时间安排</w:t>
      </w:r>
    </w:p>
    <w:p w:rsidR="00092F67" w:rsidRDefault="00C901CF">
      <w:pPr>
        <w:numPr>
          <w:ilvl w:val="0"/>
          <w:numId w:val="19"/>
        </w:numPr>
        <w:adjustRightInd w:val="0"/>
        <w:snapToGrid w:val="0"/>
        <w:spacing w:line="360" w:lineRule="auto"/>
        <w:rPr>
          <w:rFonts w:ascii="宋体" w:hAnsi="宋体" w:cs="Arial"/>
          <w:sz w:val="24"/>
        </w:rPr>
      </w:pPr>
      <w:r>
        <w:rPr>
          <w:rFonts w:ascii="宋体" w:hAnsi="宋体" w:cs="Arial" w:hint="eastAsia"/>
          <w:sz w:val="24"/>
        </w:rPr>
        <w:t>报表的编制</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w:t>
      </w:r>
      <w:r>
        <w:rPr>
          <w:rFonts w:hint="eastAsia"/>
          <w:bCs/>
          <w:sz w:val="24"/>
        </w:rPr>
        <w:t>基金终止运作的，基金管理人不再更新基金产品资料概要。</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当在每年结束之日起三个月内，编制完成基金年度报告，将年度报告登载在规定网站上，并将年度报告提示性公告登载在规定报刊上。基金管理人应当在上半年结束之日起两个月内，编制完成基金中期报告，将中期报告登载在规定网站上，并将中期报告提示性公告登载在规定报刊上。基金管理人应当在季度结束之日起15个工作日内，编制完成基金季度报告，将季度报告登载在规定网站上，并将季度报告提示性公告登载在规定报刊上。基金合同生效不足两个月的，基金管理人可以不编制当期季度报告、中期报告或者年度报告。</w:t>
      </w:r>
    </w:p>
    <w:p w:rsidR="00092F67" w:rsidRDefault="00C901CF">
      <w:pPr>
        <w:numPr>
          <w:ilvl w:val="0"/>
          <w:numId w:val="19"/>
        </w:numPr>
        <w:adjustRightInd w:val="0"/>
        <w:snapToGrid w:val="0"/>
        <w:spacing w:line="360" w:lineRule="auto"/>
        <w:rPr>
          <w:rFonts w:ascii="宋体" w:hAnsi="宋体" w:cs="Arial"/>
          <w:sz w:val="24"/>
        </w:rPr>
      </w:pPr>
      <w:r>
        <w:rPr>
          <w:rFonts w:ascii="宋体" w:hAnsi="宋体" w:cs="Arial" w:hint="eastAsia"/>
          <w:sz w:val="24"/>
        </w:rPr>
        <w:t>报表的复核</w:t>
      </w:r>
    </w:p>
    <w:p w:rsidR="00092F67" w:rsidRDefault="00C901CF">
      <w:pPr>
        <w:pStyle w:val="a0"/>
        <w:adjustRightInd w:val="0"/>
        <w:snapToGrid w:val="0"/>
        <w:spacing w:line="360" w:lineRule="auto"/>
        <w:rPr>
          <w:rFonts w:ascii="宋体" w:hAnsi="宋体" w:cs="Arial"/>
          <w:sz w:val="24"/>
          <w:szCs w:val="24"/>
        </w:rPr>
      </w:pPr>
      <w:r>
        <w:rPr>
          <w:rFonts w:ascii="宋体" w:hAnsi="宋体" w:cs="Arial" w:hint="eastAsia"/>
          <w:sz w:val="24"/>
          <w:szCs w:val="24"/>
        </w:rPr>
        <w:t>基金管理人应及时完成报表编制，将有关报表提供基金托管人复核；基金托</w:t>
      </w:r>
      <w:r>
        <w:rPr>
          <w:rFonts w:ascii="宋体" w:hAnsi="宋体" w:cs="Arial" w:hint="eastAsia"/>
          <w:sz w:val="24"/>
          <w:szCs w:val="24"/>
        </w:rPr>
        <w:lastRenderedPageBreak/>
        <w:t>管人在复核过程中，发现双方的报表存在不符时，基金管理人和基金托管人应共同查明原因，进行调整，调整以国家有关规定为准。</w:t>
      </w:r>
    </w:p>
    <w:p w:rsidR="00092F67" w:rsidRDefault="00C901CF">
      <w:pPr>
        <w:pStyle w:val="a0"/>
        <w:adjustRightInd w:val="0"/>
        <w:snapToGrid w:val="0"/>
        <w:spacing w:line="360" w:lineRule="auto"/>
        <w:rPr>
          <w:rFonts w:ascii="宋体" w:hAnsi="宋体" w:cs="Arial"/>
          <w:sz w:val="24"/>
          <w:szCs w:val="24"/>
        </w:rPr>
      </w:pPr>
      <w:r>
        <w:rPr>
          <w:rFonts w:ascii="宋体" w:hAnsi="宋体" w:cs="Arial" w:hint="eastAsia"/>
          <w:sz w:val="24"/>
          <w:szCs w:val="24"/>
        </w:rPr>
        <w:t>基金管理人应留足充分的时间，便于基金托管人复核相关报表及报告。</w:t>
      </w:r>
    </w:p>
    <w:p w:rsidR="00092F67" w:rsidRDefault="00C901CF">
      <w:pPr>
        <w:pStyle w:val="a0"/>
        <w:adjustRightInd w:val="0"/>
        <w:snapToGrid w:val="0"/>
        <w:spacing w:line="360" w:lineRule="auto"/>
        <w:rPr>
          <w:rFonts w:ascii="宋体" w:hAnsi="宋体" w:cs="Arial"/>
          <w:sz w:val="24"/>
          <w:szCs w:val="24"/>
        </w:rPr>
      </w:pPr>
      <w:r>
        <w:rPr>
          <w:rFonts w:ascii="宋体" w:hAnsi="宋体" w:cs="Arial" w:hint="eastAsia"/>
          <w:sz w:val="24"/>
          <w:szCs w:val="24"/>
        </w:rPr>
        <w:t>（八）基金管理人应在编制季度报告、中期报告或者年度报告之前及时向基金托管人提供基金业绩比较基准的基础数据和编制结果。</w:t>
      </w:r>
    </w:p>
    <w:p w:rsidR="00092F67" w:rsidRDefault="00C901CF">
      <w:pPr>
        <w:pStyle w:val="1"/>
        <w:numPr>
          <w:ilvl w:val="0"/>
          <w:numId w:val="1"/>
        </w:numPr>
        <w:spacing w:line="360" w:lineRule="auto"/>
        <w:jc w:val="center"/>
        <w:rPr>
          <w:rFonts w:ascii="宋体" w:hAnsi="宋体"/>
          <w:sz w:val="28"/>
          <w:szCs w:val="28"/>
        </w:rPr>
      </w:pPr>
      <w:bookmarkStart w:id="180" w:name="_Toc295833685"/>
      <w:bookmarkStart w:id="181" w:name="_Toc295832646"/>
      <w:bookmarkStart w:id="182" w:name="_Toc295832953"/>
      <w:bookmarkStart w:id="183" w:name="_Toc295832647"/>
      <w:bookmarkStart w:id="184" w:name="_Toc295833014"/>
      <w:bookmarkStart w:id="185" w:name="_Toc295833013"/>
      <w:bookmarkStart w:id="186" w:name="_Toc295833684"/>
      <w:bookmarkStart w:id="187" w:name="_Toc295832954"/>
      <w:bookmarkEnd w:id="180"/>
      <w:bookmarkEnd w:id="181"/>
      <w:bookmarkEnd w:id="182"/>
      <w:bookmarkEnd w:id="183"/>
      <w:bookmarkEnd w:id="184"/>
      <w:bookmarkEnd w:id="185"/>
      <w:bookmarkEnd w:id="186"/>
      <w:bookmarkEnd w:id="187"/>
      <w:r>
        <w:rPr>
          <w:rFonts w:ascii="宋体" w:hAnsi="宋体" w:cs="Arial"/>
          <w:sz w:val="24"/>
          <w:szCs w:val="24"/>
        </w:rPr>
        <w:br w:type="page"/>
      </w:r>
      <w:bookmarkStart w:id="188" w:name="_Toc295833015"/>
      <w:bookmarkStart w:id="189" w:name="_Toc295833686"/>
      <w:bookmarkStart w:id="190" w:name="_Toc295832648"/>
      <w:bookmarkStart w:id="191" w:name="_Toc295832955"/>
      <w:bookmarkStart w:id="192" w:name="_Toc366835703"/>
      <w:bookmarkStart w:id="193" w:name="_Toc270669860"/>
      <w:bookmarkStart w:id="194" w:name="_Toc124325893"/>
      <w:bookmarkStart w:id="195" w:name="_Toc355859322"/>
      <w:bookmarkEnd w:id="188"/>
      <w:bookmarkEnd w:id="189"/>
      <w:bookmarkEnd w:id="190"/>
      <w:bookmarkEnd w:id="191"/>
      <w:r>
        <w:rPr>
          <w:rFonts w:ascii="宋体" w:hAnsi="宋体" w:hint="eastAsia"/>
          <w:sz w:val="28"/>
          <w:szCs w:val="28"/>
        </w:rPr>
        <w:lastRenderedPageBreak/>
        <w:t>基金收益分配</w:t>
      </w:r>
      <w:bookmarkEnd w:id="192"/>
      <w:bookmarkEnd w:id="193"/>
      <w:bookmarkEnd w:id="194"/>
      <w:bookmarkEnd w:id="195"/>
    </w:p>
    <w:p w:rsidR="00092F67" w:rsidRDefault="00C901CF">
      <w:pPr>
        <w:spacing w:line="360" w:lineRule="auto"/>
        <w:ind w:firstLineChars="225" w:firstLine="540"/>
        <w:rPr>
          <w:bCs/>
          <w:sz w:val="24"/>
        </w:rPr>
      </w:pPr>
      <w:r>
        <w:rPr>
          <w:bCs/>
          <w:sz w:val="24"/>
        </w:rPr>
        <w:t>一、基金利润的构成</w:t>
      </w:r>
    </w:p>
    <w:p w:rsidR="00092F67" w:rsidRDefault="00C901CF">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rsidR="00092F67" w:rsidRDefault="00C901CF">
      <w:pPr>
        <w:spacing w:line="360" w:lineRule="auto"/>
        <w:ind w:firstLineChars="225" w:firstLine="540"/>
        <w:rPr>
          <w:bCs/>
          <w:sz w:val="24"/>
        </w:rPr>
      </w:pPr>
      <w:r>
        <w:rPr>
          <w:bCs/>
          <w:sz w:val="24"/>
        </w:rPr>
        <w:t>二、基金可供分配利润</w:t>
      </w:r>
    </w:p>
    <w:p w:rsidR="00092F67" w:rsidRDefault="00C901CF">
      <w:pPr>
        <w:spacing w:line="360" w:lineRule="auto"/>
        <w:ind w:firstLineChars="225" w:firstLine="540"/>
        <w:rPr>
          <w:bCs/>
          <w:sz w:val="24"/>
        </w:rPr>
      </w:pPr>
      <w:r>
        <w:rPr>
          <w:bCs/>
          <w:sz w:val="24"/>
        </w:rPr>
        <w:t>基金可供分配利润指截至收益分配基准日基金未分配利润与未分配利润中已实现收益的孰低数。</w:t>
      </w:r>
    </w:p>
    <w:p w:rsidR="00092F67" w:rsidRDefault="00C901CF">
      <w:pPr>
        <w:spacing w:line="360" w:lineRule="auto"/>
        <w:ind w:firstLineChars="225" w:firstLine="540"/>
        <w:rPr>
          <w:bCs/>
          <w:sz w:val="24"/>
        </w:rPr>
      </w:pPr>
      <w:r>
        <w:rPr>
          <w:bCs/>
          <w:sz w:val="24"/>
        </w:rPr>
        <w:t>三、基金收益分配原则</w:t>
      </w:r>
    </w:p>
    <w:p w:rsidR="00092F67" w:rsidRDefault="00C901CF">
      <w:pPr>
        <w:spacing w:line="360" w:lineRule="auto"/>
        <w:ind w:firstLineChars="225" w:firstLine="540"/>
        <w:rPr>
          <w:bCs/>
          <w:sz w:val="24"/>
        </w:rPr>
      </w:pPr>
      <w:r>
        <w:rPr>
          <w:bCs/>
          <w:sz w:val="24"/>
        </w:rPr>
        <w:t>1</w:t>
      </w:r>
      <w:r>
        <w:rPr>
          <w:bCs/>
          <w:sz w:val="24"/>
        </w:rPr>
        <w:t>、</w:t>
      </w:r>
      <w:r>
        <w:rPr>
          <w:rFonts w:hint="eastAsia"/>
          <w:bCs/>
          <w:sz w:val="24"/>
        </w:rPr>
        <w:t>在符合有关基金分红条件的前提下，由基金管理人根据实际情况进行收益分配，具体分配方案以公告为准，若基金合同生效不满</w:t>
      </w:r>
      <w:r>
        <w:rPr>
          <w:rFonts w:hint="eastAsia"/>
          <w:bCs/>
          <w:sz w:val="24"/>
        </w:rPr>
        <w:t>3</w:t>
      </w:r>
      <w:r>
        <w:rPr>
          <w:rFonts w:hint="eastAsia"/>
          <w:bCs/>
          <w:sz w:val="24"/>
        </w:rPr>
        <w:t>个月可不进行收益分配；</w:t>
      </w:r>
    </w:p>
    <w:p w:rsidR="00092F67" w:rsidRDefault="00C901CF">
      <w:pPr>
        <w:spacing w:line="360" w:lineRule="auto"/>
        <w:ind w:firstLineChars="225" w:firstLine="540"/>
        <w:rPr>
          <w:bCs/>
          <w:sz w:val="24"/>
        </w:rPr>
      </w:pPr>
      <w:r>
        <w:rPr>
          <w:bCs/>
          <w:sz w:val="24"/>
        </w:rPr>
        <w:t>2</w:t>
      </w:r>
      <w:r>
        <w:rPr>
          <w:bCs/>
          <w:sz w:val="24"/>
        </w:rPr>
        <w:t>、本基金收益分配方式分两种：现金分红与红利再投资，投资者可选择现金红利或将现金红利自动转为相</w:t>
      </w:r>
      <w:r>
        <w:rPr>
          <w:rFonts w:hint="eastAsia"/>
          <w:bCs/>
          <w:sz w:val="24"/>
        </w:rPr>
        <w:t>应类别的</w:t>
      </w:r>
      <w:r>
        <w:rPr>
          <w:bCs/>
          <w:sz w:val="24"/>
        </w:rPr>
        <w:t>基金份额进行再投资；若投资者不选择，本基金默认的收益分配方式是现金分红；</w:t>
      </w:r>
    </w:p>
    <w:p w:rsidR="00092F67" w:rsidRDefault="00C901CF">
      <w:pPr>
        <w:spacing w:line="360" w:lineRule="auto"/>
        <w:ind w:firstLineChars="225" w:firstLine="540"/>
        <w:rPr>
          <w:bCs/>
          <w:sz w:val="24"/>
        </w:rPr>
      </w:pPr>
      <w:r>
        <w:rPr>
          <w:bCs/>
          <w:sz w:val="24"/>
        </w:rPr>
        <w:t>3</w:t>
      </w:r>
      <w:r>
        <w:rPr>
          <w:bCs/>
          <w:sz w:val="24"/>
        </w:rPr>
        <w:t>、基金收益分配后各类基金份额净值不能低于面值</w:t>
      </w:r>
      <w:r>
        <w:rPr>
          <w:rFonts w:hint="eastAsia"/>
          <w:bCs/>
          <w:sz w:val="24"/>
        </w:rPr>
        <w:t>；即基金收益分配基准日的各类基金份额净值减去每单位该类基金份额收益分配金额后不能低于面值；</w:t>
      </w:r>
    </w:p>
    <w:p w:rsidR="00092F67" w:rsidRDefault="00C901CF">
      <w:pPr>
        <w:spacing w:line="360" w:lineRule="auto"/>
        <w:ind w:firstLineChars="225" w:firstLine="540"/>
        <w:rPr>
          <w:bCs/>
          <w:sz w:val="24"/>
        </w:rPr>
      </w:pPr>
      <w:r>
        <w:rPr>
          <w:bCs/>
          <w:sz w:val="24"/>
        </w:rPr>
        <w:t>4</w:t>
      </w:r>
      <w:r>
        <w:rPr>
          <w:bCs/>
          <w:sz w:val="24"/>
        </w:rPr>
        <w:t>、</w:t>
      </w:r>
      <w:r>
        <w:rPr>
          <w:rFonts w:hint="eastAsia"/>
          <w:bCs/>
          <w:sz w:val="24"/>
        </w:rPr>
        <w:t>由于基金费用的不同，不同类别的基金份额在收益分配数额方面可能有所不同，基金管理人可对各类别基金份额分别制定收益分配方案。同一类别的每一份基金份额享有同等分配权；</w:t>
      </w:r>
    </w:p>
    <w:p w:rsidR="00092F67" w:rsidRDefault="00C901CF">
      <w:pPr>
        <w:spacing w:line="360" w:lineRule="auto"/>
        <w:ind w:firstLineChars="225" w:firstLine="540"/>
        <w:rPr>
          <w:bCs/>
          <w:sz w:val="24"/>
        </w:rPr>
      </w:pPr>
      <w:r>
        <w:rPr>
          <w:rFonts w:hint="eastAsia"/>
          <w:bCs/>
          <w:sz w:val="24"/>
        </w:rPr>
        <w:t>5</w:t>
      </w:r>
      <w:r>
        <w:rPr>
          <w:rFonts w:hint="eastAsia"/>
          <w:bCs/>
          <w:sz w:val="24"/>
        </w:rPr>
        <w:t>、红利再投资获得的基金份额跟随原份额计算锁定持有期；</w:t>
      </w:r>
    </w:p>
    <w:p w:rsidR="00092F67" w:rsidRDefault="00C901CF">
      <w:pPr>
        <w:spacing w:line="360" w:lineRule="auto"/>
        <w:ind w:firstLineChars="225" w:firstLine="540"/>
        <w:rPr>
          <w:bCs/>
          <w:sz w:val="24"/>
        </w:rPr>
      </w:pPr>
      <w:r>
        <w:rPr>
          <w:rFonts w:hint="eastAsia"/>
          <w:bCs/>
          <w:sz w:val="24"/>
        </w:rPr>
        <w:t>6</w:t>
      </w:r>
      <w:r>
        <w:rPr>
          <w:rFonts w:hint="eastAsia"/>
          <w:bCs/>
          <w:sz w:val="24"/>
        </w:rPr>
        <w:t>、法律法规或监管机关另有规定的，从其规定</w:t>
      </w:r>
      <w:r>
        <w:rPr>
          <w:bCs/>
          <w:sz w:val="24"/>
        </w:rPr>
        <w:t>。</w:t>
      </w:r>
    </w:p>
    <w:p w:rsidR="00092F67" w:rsidRDefault="00C901CF">
      <w:pPr>
        <w:spacing w:line="360" w:lineRule="auto"/>
        <w:ind w:firstLineChars="225" w:firstLine="540"/>
        <w:rPr>
          <w:bCs/>
          <w:sz w:val="24"/>
        </w:rPr>
      </w:pPr>
      <w:r>
        <w:rPr>
          <w:rFonts w:hint="eastAsia"/>
          <w:bCs/>
          <w:sz w:val="24"/>
        </w:rPr>
        <w:t>在对基金份额持有人利益无实质性不利影响的前提下，基金管理人可对基金收益分配原则和支付方式进行调整，并于变更实施日前按照《信息披露办法》的要求在规定媒介公告。</w:t>
      </w:r>
    </w:p>
    <w:p w:rsidR="00092F67" w:rsidRDefault="00C901CF">
      <w:pPr>
        <w:spacing w:line="360" w:lineRule="auto"/>
        <w:ind w:firstLineChars="225" w:firstLine="540"/>
        <w:rPr>
          <w:bCs/>
          <w:sz w:val="24"/>
        </w:rPr>
      </w:pPr>
      <w:r>
        <w:rPr>
          <w:bCs/>
          <w:sz w:val="24"/>
        </w:rPr>
        <w:t>四、收益分配方案</w:t>
      </w:r>
    </w:p>
    <w:p w:rsidR="00092F67" w:rsidRDefault="00C901CF">
      <w:pPr>
        <w:spacing w:line="360" w:lineRule="auto"/>
        <w:ind w:firstLineChars="225" w:firstLine="540"/>
        <w:rPr>
          <w:bCs/>
          <w:sz w:val="24"/>
        </w:rPr>
      </w:pPr>
      <w:r>
        <w:rPr>
          <w:bCs/>
          <w:sz w:val="24"/>
        </w:rPr>
        <w:t>基金收益分配方案中应载明截</w:t>
      </w:r>
      <w:r>
        <w:rPr>
          <w:rFonts w:hint="eastAsia"/>
          <w:bCs/>
          <w:sz w:val="24"/>
        </w:rPr>
        <w:t>至</w:t>
      </w:r>
      <w:r>
        <w:rPr>
          <w:bCs/>
          <w:sz w:val="24"/>
        </w:rPr>
        <w:t>收益分配基准日的可供分配利润、基金收益分配对象、分配时间、分配数额及比例、分配方式等内容。</w:t>
      </w:r>
    </w:p>
    <w:p w:rsidR="00092F67" w:rsidRDefault="00C901CF">
      <w:pPr>
        <w:spacing w:line="360" w:lineRule="auto"/>
        <w:ind w:firstLineChars="225" w:firstLine="540"/>
        <w:rPr>
          <w:bCs/>
          <w:sz w:val="24"/>
        </w:rPr>
      </w:pPr>
      <w:r>
        <w:rPr>
          <w:bCs/>
          <w:sz w:val="24"/>
        </w:rPr>
        <w:t>五、收益分配方案的确定、公告与实施</w:t>
      </w:r>
    </w:p>
    <w:p w:rsidR="00092F67" w:rsidRDefault="00C901CF">
      <w:pPr>
        <w:spacing w:line="360" w:lineRule="auto"/>
        <w:ind w:firstLineChars="225" w:firstLine="540"/>
        <w:rPr>
          <w:bCs/>
          <w:sz w:val="24"/>
        </w:rPr>
      </w:pPr>
      <w:r>
        <w:rPr>
          <w:bCs/>
          <w:sz w:val="24"/>
        </w:rPr>
        <w:lastRenderedPageBreak/>
        <w:t>本基金收益分配方案由基金管理人拟定，并由基金托管人复核，</w:t>
      </w:r>
      <w:r>
        <w:rPr>
          <w:rFonts w:hint="eastAsia"/>
          <w:bCs/>
          <w:sz w:val="24"/>
        </w:rPr>
        <w:t>依照《信息披露办法》的有关规定在规定媒介公告</w:t>
      </w:r>
      <w:r>
        <w:rPr>
          <w:bCs/>
          <w:sz w:val="24"/>
        </w:rPr>
        <w:t>。</w:t>
      </w:r>
    </w:p>
    <w:p w:rsidR="00092F67" w:rsidRDefault="00C901CF">
      <w:pPr>
        <w:spacing w:line="360" w:lineRule="auto"/>
        <w:ind w:firstLineChars="225" w:firstLine="540"/>
        <w:rPr>
          <w:bCs/>
          <w:sz w:val="24"/>
        </w:rPr>
      </w:pPr>
      <w:r>
        <w:rPr>
          <w:bCs/>
          <w:sz w:val="24"/>
        </w:rPr>
        <w:t>六、基金收益分配中发生的费用</w:t>
      </w:r>
    </w:p>
    <w:p w:rsidR="00092F67" w:rsidRDefault="00C901CF">
      <w:pPr>
        <w:spacing w:line="360" w:lineRule="auto"/>
        <w:ind w:firstLineChars="225" w:firstLine="540"/>
        <w:rPr>
          <w:bCs/>
          <w:sz w:val="24"/>
        </w:rPr>
      </w:pPr>
      <w:r>
        <w:rPr>
          <w:bCs/>
          <w:sz w:val="24"/>
        </w:rPr>
        <w:t>基金收益分配时所发生的银行转账或其他手续费用由投资者自行承担。当投资者的现金红利小于一定金额，不足</w:t>
      </w:r>
      <w:r>
        <w:rPr>
          <w:rFonts w:hint="eastAsia"/>
          <w:bCs/>
          <w:sz w:val="24"/>
        </w:rPr>
        <w:t>以</w:t>
      </w:r>
      <w:r>
        <w:rPr>
          <w:bCs/>
          <w:sz w:val="24"/>
        </w:rPr>
        <w:t>支付银行转账或其他手续费用时，基金登记机构可将基金份额持有人的现金红利自动转为</w:t>
      </w:r>
      <w:r>
        <w:rPr>
          <w:rFonts w:hint="eastAsia"/>
          <w:bCs/>
          <w:sz w:val="24"/>
        </w:rPr>
        <w:t>相应类别的</w:t>
      </w:r>
      <w:r>
        <w:rPr>
          <w:bCs/>
          <w:sz w:val="24"/>
        </w:rPr>
        <w:t>基金份额。红利再投资的计算方法，依照《业务规则》执行。</w:t>
      </w:r>
    </w:p>
    <w:p w:rsidR="00092F67" w:rsidRDefault="00C901CF">
      <w:pPr>
        <w:spacing w:line="360" w:lineRule="auto"/>
        <w:ind w:firstLineChars="225" w:firstLine="540"/>
        <w:rPr>
          <w:sz w:val="24"/>
        </w:rPr>
      </w:pPr>
      <w:r>
        <w:rPr>
          <w:rFonts w:hint="eastAsia"/>
          <w:bCs/>
          <w:sz w:val="24"/>
        </w:rPr>
        <w:t>七、实施侧袋机制期间的收益分配</w:t>
      </w:r>
    </w:p>
    <w:p w:rsidR="00092F67" w:rsidRDefault="00C901CF">
      <w:pPr>
        <w:spacing w:line="480" w:lineRule="auto"/>
        <w:ind w:firstLineChars="200" w:firstLine="480"/>
        <w:rPr>
          <w:bCs/>
          <w:sz w:val="24"/>
        </w:rPr>
      </w:pPr>
      <w:r>
        <w:rPr>
          <w:rFonts w:hint="eastAsia"/>
          <w:bCs/>
          <w:sz w:val="24"/>
        </w:rPr>
        <w:t>本基金实施侧袋机制的，侧袋账户不进行收益分配，详见招募说明书的规定。</w:t>
      </w:r>
    </w:p>
    <w:p w:rsidR="00092F67" w:rsidRDefault="00C901CF">
      <w:pPr>
        <w:pStyle w:val="1"/>
        <w:numPr>
          <w:ilvl w:val="0"/>
          <w:numId w:val="1"/>
        </w:numPr>
        <w:spacing w:line="360" w:lineRule="auto"/>
        <w:jc w:val="center"/>
        <w:rPr>
          <w:rFonts w:ascii="宋体" w:hAnsi="宋体"/>
          <w:sz w:val="28"/>
          <w:szCs w:val="28"/>
        </w:rPr>
      </w:pPr>
      <w:r>
        <w:rPr>
          <w:rFonts w:ascii="宋体" w:hAnsi="宋体" w:cs="Arial"/>
          <w:sz w:val="24"/>
          <w:szCs w:val="24"/>
        </w:rPr>
        <w:br w:type="page"/>
      </w:r>
      <w:bookmarkStart w:id="196" w:name="_Toc295832957"/>
      <w:bookmarkStart w:id="197" w:name="_Toc295832650"/>
      <w:bookmarkStart w:id="198" w:name="_Toc295833017"/>
      <w:bookmarkStart w:id="199" w:name="_Toc295833688"/>
      <w:bookmarkStart w:id="200" w:name="_Toc355859323"/>
      <w:bookmarkStart w:id="201" w:name="_Toc124325894"/>
      <w:bookmarkStart w:id="202" w:name="_Toc366835704"/>
      <w:bookmarkStart w:id="203" w:name="_Toc270669861"/>
      <w:bookmarkEnd w:id="196"/>
      <w:bookmarkEnd w:id="197"/>
      <w:bookmarkEnd w:id="198"/>
      <w:bookmarkEnd w:id="199"/>
      <w:r>
        <w:rPr>
          <w:rFonts w:ascii="宋体" w:hAnsi="宋体" w:hint="eastAsia"/>
          <w:sz w:val="28"/>
          <w:szCs w:val="28"/>
        </w:rPr>
        <w:lastRenderedPageBreak/>
        <w:t>基金信息披露</w:t>
      </w:r>
      <w:bookmarkEnd w:id="200"/>
      <w:bookmarkEnd w:id="201"/>
      <w:bookmarkEnd w:id="202"/>
      <w:bookmarkEnd w:id="203"/>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（一）保密义务</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和基金管理人应以保护基金份额持有人利益为根本出发点，按法律法规、基金合同的有关规定进行信息披露，拟公开披露的信息在公开披露之前应予保密。除按《基金法》、基金合同、《信息披露办法》、</w:t>
      </w:r>
      <w:r>
        <w:rPr>
          <w:rFonts w:hint="eastAsia"/>
          <w:sz w:val="24"/>
        </w:rPr>
        <w:t>《流动性风险管理规定》</w:t>
      </w:r>
      <w:r>
        <w:rPr>
          <w:rFonts w:ascii="宋体" w:hAnsi="宋体" w:cs="Arial" w:hint="eastAsia"/>
          <w:sz w:val="24"/>
        </w:rPr>
        <w:t>及其他有关规定进行信息披露外，基金管理人和基金托管人对基金运作中产生的信息以及从对方获得的业务信息应予保密。但是，如下情况不应视为基金管理人或基金托管人违反保密义务：</w:t>
      </w:r>
    </w:p>
    <w:p w:rsidR="00092F67" w:rsidRDefault="00C901CF">
      <w:pPr>
        <w:numPr>
          <w:ilvl w:val="0"/>
          <w:numId w:val="20"/>
        </w:numPr>
        <w:adjustRightInd w:val="0"/>
        <w:snapToGrid w:val="0"/>
        <w:spacing w:line="360" w:lineRule="auto"/>
        <w:ind w:left="0" w:firstLine="480"/>
        <w:rPr>
          <w:rStyle w:val="read"/>
          <w:rFonts w:ascii="宋体" w:hAnsi="宋体"/>
          <w:sz w:val="24"/>
        </w:rPr>
      </w:pPr>
      <w:r>
        <w:rPr>
          <w:rStyle w:val="read"/>
          <w:rFonts w:ascii="宋体" w:hAnsi="宋体" w:hint="eastAsia"/>
          <w:sz w:val="24"/>
        </w:rPr>
        <w:t>非因基金管理人和基金托管人的原因导致保密信息被披露、泄露或公开；</w:t>
      </w:r>
    </w:p>
    <w:p w:rsidR="00092F67" w:rsidRDefault="00C901CF">
      <w:pPr>
        <w:numPr>
          <w:ilvl w:val="0"/>
          <w:numId w:val="20"/>
        </w:numPr>
        <w:adjustRightInd w:val="0"/>
        <w:snapToGrid w:val="0"/>
        <w:spacing w:line="360" w:lineRule="auto"/>
        <w:ind w:left="0" w:firstLine="480"/>
        <w:rPr>
          <w:rStyle w:val="read"/>
          <w:rFonts w:ascii="宋体" w:hAnsi="宋体"/>
          <w:sz w:val="24"/>
        </w:rPr>
      </w:pPr>
      <w:r>
        <w:rPr>
          <w:rStyle w:val="read"/>
          <w:rFonts w:ascii="宋体" w:hAnsi="宋体" w:hint="eastAsia"/>
          <w:sz w:val="24"/>
        </w:rPr>
        <w:t>基金管理人和基金托管人为遵守和服从法院判决或裁定、仲裁裁决或中国证监会等监管机构的命令、决定所做出的信息披露或公开；</w:t>
      </w:r>
    </w:p>
    <w:p w:rsidR="00092F67" w:rsidRDefault="00C901CF">
      <w:pPr>
        <w:numPr>
          <w:ilvl w:val="0"/>
          <w:numId w:val="20"/>
        </w:numPr>
        <w:adjustRightInd w:val="0"/>
        <w:snapToGrid w:val="0"/>
        <w:spacing w:line="360" w:lineRule="auto"/>
        <w:ind w:left="0" w:firstLine="480"/>
        <w:rPr>
          <w:rStyle w:val="read"/>
          <w:rFonts w:ascii="宋体" w:hAnsi="宋体"/>
          <w:sz w:val="24"/>
        </w:rPr>
      </w:pPr>
      <w:r>
        <w:rPr>
          <w:rFonts w:ascii="宋体" w:hAnsi="宋体" w:hint="eastAsia"/>
          <w:bCs/>
          <w:sz w:val="24"/>
        </w:rPr>
        <w:t>向审计、法律等外部专业顾问提供的情况</w:t>
      </w:r>
      <w:r>
        <w:rPr>
          <w:rStyle w:val="read"/>
          <w:rFonts w:ascii="宋体" w:hAnsi="宋体" w:hint="eastAsia"/>
          <w:sz w:val="24"/>
        </w:rPr>
        <w:t>。</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（二）信息披露的内容</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的信息披露内容主要包括基金招募说明书、基金合同、基金托管协议、基金产品资料概要、基金份额发售公告、基金合同生效公告、基金净值信息、基金份额申购、赎回价格、基金定期报告（包括基金年度报告、基金中期报告和基金季度报告）、临时报告、澄清公告、基金份额持有人大会决议、清算报告、投资基金份额的信息披露</w:t>
      </w:r>
      <w:r>
        <w:rPr>
          <w:rFonts w:hint="eastAsia"/>
          <w:bCs/>
          <w:sz w:val="24"/>
        </w:rPr>
        <w:t>、</w:t>
      </w:r>
      <w:r>
        <w:rPr>
          <w:rFonts w:ascii="宋体" w:hAnsi="宋体" w:cs="Arial" w:hint="eastAsia"/>
          <w:sz w:val="24"/>
        </w:rPr>
        <w:t>实施侧袋机制期间的信息披露、中国证监会规定应予公开披露的其他信息。基金年度报告</w:t>
      </w:r>
      <w:r>
        <w:rPr>
          <w:rFonts w:hint="eastAsia"/>
          <w:bCs/>
          <w:sz w:val="24"/>
        </w:rPr>
        <w:t>中</w:t>
      </w:r>
      <w:r>
        <w:rPr>
          <w:bCs/>
          <w:sz w:val="24"/>
        </w:rPr>
        <w:t>的财务会计报告</w:t>
      </w:r>
      <w:r>
        <w:rPr>
          <w:rFonts w:ascii="宋体" w:hAnsi="宋体" w:cs="Arial" w:hint="eastAsia"/>
          <w:sz w:val="24"/>
        </w:rPr>
        <w:t>需经符合《中华人民共和国证券法》规定的会计师事务所审计后，方可披露。</w:t>
      </w:r>
    </w:p>
    <w:p w:rsidR="00092F67" w:rsidRDefault="00C901CF">
      <w:pPr>
        <w:adjustRightInd w:val="0"/>
        <w:snapToGrid w:val="0"/>
        <w:spacing w:line="360" w:lineRule="auto"/>
        <w:ind w:firstLineChars="200" w:firstLine="480"/>
        <w:rPr>
          <w:bCs/>
          <w:sz w:val="24"/>
        </w:rPr>
      </w:pPr>
      <w:r>
        <w:rPr>
          <w:rFonts w:hint="eastAsia"/>
          <w:bCs/>
          <w:sz w:val="24"/>
        </w:rPr>
        <w:t>若本基金投资产支持证券、港股通标的证券，基金管理人将按相关法律法规要求进行披露。</w:t>
      </w:r>
    </w:p>
    <w:p w:rsidR="00092F67" w:rsidRDefault="00C901CF">
      <w:pPr>
        <w:adjustRightInd w:val="0"/>
        <w:snapToGrid w:val="0"/>
        <w:spacing w:line="360" w:lineRule="auto"/>
        <w:ind w:firstLineChars="200" w:firstLine="480"/>
        <w:rPr>
          <w:rFonts w:ascii="宋体" w:hAnsi="宋体" w:cs="Arial"/>
          <w:sz w:val="24"/>
        </w:rPr>
      </w:pPr>
      <w:r>
        <w:rPr>
          <w:rFonts w:hint="eastAsia"/>
          <w:bCs/>
          <w:sz w:val="24"/>
        </w:rPr>
        <w:t>本基金实施侧袋机制的，相关信息披露义务人应当根据法律法规、基金合同和招募说明书的规定进行信息披露，详见招募说明书的规定。</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（三）基金托管人和基金管理人在信息披露中的职责和信息披露程序</w:t>
      </w:r>
    </w:p>
    <w:p w:rsidR="00092F67" w:rsidRDefault="00C901CF">
      <w:pPr>
        <w:numPr>
          <w:ilvl w:val="0"/>
          <w:numId w:val="21"/>
        </w:numPr>
        <w:adjustRightInd w:val="0"/>
        <w:snapToGrid w:val="0"/>
        <w:spacing w:line="360" w:lineRule="auto"/>
        <w:rPr>
          <w:rStyle w:val="read"/>
          <w:rFonts w:ascii="宋体" w:hAnsi="宋体"/>
          <w:sz w:val="24"/>
        </w:rPr>
      </w:pPr>
      <w:r>
        <w:rPr>
          <w:rStyle w:val="read"/>
          <w:rFonts w:ascii="宋体" w:hAnsi="宋体" w:hint="eastAsia"/>
          <w:sz w:val="24"/>
        </w:rPr>
        <w:t>职责</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基金托管人和基金管理人在信息披露过程中应以保护基金份额持有人利益为宗旨，诚实信用，严守秘密。基金管理人负责办理与基金有关的信息披露事宜，</w:t>
      </w:r>
      <w:r>
        <w:rPr>
          <w:rFonts w:ascii="宋体" w:hAnsi="宋体" w:cs="Arial" w:hint="eastAsia"/>
          <w:sz w:val="24"/>
        </w:rPr>
        <w:lastRenderedPageBreak/>
        <w:t>基金托管人应当按照相关法律法规和基金合同的约定，对于本章第（二）条规定的应由基金托管人复核的事项进行复核，基金托管人复核无误后，由基金管理人予以公布。</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基金管理人和基金托管人应积极配合、互相监督，保证其履行按照法定方式和限时披露的义务。同时，当基金经理发生变更时，基金管理人需及时通知基金托管人。</w:t>
      </w:r>
    </w:p>
    <w:p w:rsidR="00092F67" w:rsidRDefault="00C901CF">
      <w:pPr>
        <w:adjustRightInd w:val="0"/>
        <w:snapToGrid w:val="0"/>
        <w:spacing w:line="360" w:lineRule="auto"/>
        <w:ind w:firstLineChars="200" w:firstLine="480"/>
        <w:rPr>
          <w:rFonts w:ascii="宋体" w:hAnsi="宋体" w:cs="宋体"/>
          <w:sz w:val="24"/>
        </w:rPr>
      </w:pPr>
      <w:r>
        <w:rPr>
          <w:rFonts w:ascii="宋体" w:hAnsi="宋体" w:cs="Arial" w:hint="eastAsia"/>
          <w:sz w:val="24"/>
        </w:rPr>
        <w:t>基金管理人应当在中国证监会规定的时间内，将应予披露的基金信息通过规定媒介披露。根据法律法规应由基金托管人公开披露的信息，基金托管人将通过规定报刊或基金托管人的互联网网站公开披露。</w:t>
      </w:r>
      <w:r>
        <w:rPr>
          <w:rFonts w:ascii="宋体" w:hAnsi="宋体" w:cs="宋体" w:hint="eastAsia"/>
          <w:bCs/>
          <w:sz w:val="24"/>
        </w:rPr>
        <w:t>对需要托管人同步披露资料，管理人需及时同步托管人信息披露时间</w:t>
      </w:r>
      <w:r>
        <w:rPr>
          <w:rFonts w:ascii="宋体" w:hAnsi="宋体" w:cs="宋体" w:hint="eastAsia"/>
          <w:sz w:val="24"/>
        </w:rPr>
        <w:t>。</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基金托管人发现托管产品发生重大事项的，应当根据法律法规规定和托管协议约定，及时提示基金管理人进行信息披露。</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如基金管理人或其他相关方披露信息需要基金托管人复核，基金托管人应当根据自身能够获取的数据和信息进行复核，并在信息披露时说明所复核的数据和信息。</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当出现下述情况时，基金管理人和基金托管人可暂停或延迟披露基金信息：</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（1）基金投资所涉及的证券交易所或外汇市场遇法定节假日或因其他原因暂停营业时；</w:t>
      </w:r>
    </w:p>
    <w:p w:rsidR="00092F67" w:rsidRDefault="00C901CF">
      <w:pPr>
        <w:adjustRightInd w:val="0"/>
        <w:snapToGrid w:val="0"/>
        <w:spacing w:line="360" w:lineRule="auto"/>
        <w:ind w:firstLine="480"/>
        <w:rPr>
          <w:rFonts w:ascii="宋体" w:hAnsi="宋体" w:cs="Arial"/>
          <w:sz w:val="24"/>
        </w:rPr>
      </w:pPr>
      <w:r>
        <w:rPr>
          <w:rFonts w:ascii="宋体" w:hAnsi="宋体" w:cs="Arial" w:hint="eastAsia"/>
          <w:sz w:val="24"/>
        </w:rPr>
        <w:t>（2）因不可抗力或其他情形致使基金管理人、基金托管人无法准确评估基金资产价值时；</w:t>
      </w:r>
    </w:p>
    <w:p w:rsidR="00092F67" w:rsidRDefault="00C901CF">
      <w:pPr>
        <w:adjustRightInd w:val="0"/>
        <w:snapToGrid w:val="0"/>
        <w:spacing w:line="360" w:lineRule="auto"/>
        <w:ind w:left="480"/>
        <w:rPr>
          <w:rFonts w:ascii="宋体" w:hAnsi="宋体" w:cs="Arial"/>
          <w:sz w:val="24"/>
        </w:rPr>
      </w:pPr>
      <w:r>
        <w:rPr>
          <w:rFonts w:ascii="宋体" w:hAnsi="宋体" w:cs="Arial" w:hint="eastAsia"/>
          <w:sz w:val="24"/>
        </w:rPr>
        <w:t>（</w:t>
      </w:r>
      <w:r>
        <w:rPr>
          <w:rFonts w:ascii="宋体" w:hAnsi="宋体" w:cs="Arial"/>
          <w:sz w:val="24"/>
        </w:rPr>
        <w:t>3</w:t>
      </w:r>
      <w:r>
        <w:rPr>
          <w:rFonts w:ascii="宋体" w:hAnsi="宋体" w:cs="Arial" w:hint="eastAsia"/>
          <w:sz w:val="24"/>
        </w:rPr>
        <w:t>）法律法规规定、中国证监会或基金合同认定的其他情形。</w:t>
      </w:r>
    </w:p>
    <w:p w:rsidR="00092F67" w:rsidRDefault="00C901CF">
      <w:pPr>
        <w:numPr>
          <w:ilvl w:val="0"/>
          <w:numId w:val="21"/>
        </w:numPr>
        <w:adjustRightInd w:val="0"/>
        <w:snapToGrid w:val="0"/>
        <w:spacing w:line="360" w:lineRule="auto"/>
        <w:rPr>
          <w:rStyle w:val="read"/>
          <w:rFonts w:ascii="宋体" w:hAnsi="宋体"/>
          <w:sz w:val="24"/>
        </w:rPr>
      </w:pPr>
      <w:r>
        <w:rPr>
          <w:rStyle w:val="read"/>
          <w:rFonts w:ascii="宋体" w:hAnsi="宋体" w:hint="eastAsia"/>
          <w:sz w:val="24"/>
        </w:rPr>
        <w:t>程序</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按有关规定须经基金托管人复核的信息披露文件，由基金管理人起草、并经基金托管人复核后由基金管理人公告。发生基金合同中规定需要披露的事项时，按基金合同规定公布。</w:t>
      </w:r>
    </w:p>
    <w:p w:rsidR="00092F67" w:rsidRDefault="00C901CF">
      <w:pPr>
        <w:numPr>
          <w:ilvl w:val="0"/>
          <w:numId w:val="21"/>
        </w:numPr>
        <w:adjustRightInd w:val="0"/>
        <w:snapToGrid w:val="0"/>
        <w:spacing w:line="360" w:lineRule="auto"/>
        <w:rPr>
          <w:rStyle w:val="read"/>
          <w:rFonts w:ascii="宋体" w:hAnsi="宋体"/>
          <w:sz w:val="24"/>
        </w:rPr>
      </w:pPr>
      <w:r>
        <w:rPr>
          <w:rStyle w:val="read"/>
          <w:rFonts w:ascii="宋体" w:hAnsi="宋体" w:hint="eastAsia"/>
          <w:sz w:val="24"/>
        </w:rPr>
        <w:t>信息文本的存放</w:t>
      </w:r>
    </w:p>
    <w:p w:rsidR="00092F67" w:rsidRDefault="00C901CF">
      <w:pPr>
        <w:pStyle w:val="a0"/>
        <w:snapToGrid w:val="0"/>
        <w:spacing w:line="360" w:lineRule="auto"/>
        <w:ind w:firstLineChars="200" w:firstLine="480"/>
        <w:rPr>
          <w:rFonts w:ascii="宋体" w:hAnsi="宋体" w:cs="Arial"/>
          <w:sz w:val="24"/>
          <w:szCs w:val="24"/>
        </w:rPr>
      </w:pPr>
      <w:r>
        <w:rPr>
          <w:rFonts w:ascii="宋体" w:hAnsi="宋体" w:cs="Arial" w:hint="eastAsia"/>
          <w:sz w:val="24"/>
          <w:szCs w:val="24"/>
        </w:rPr>
        <w:t>依法必须披露的信息发布后，基金管理人、基金托管人应当按照相关法律法规规定将信息置备于各自住所或办公场所，供社会公众查阅、复制。投资者可以免费查阅或者在支付工本费后可在合理时间获得上述文件的复制件或复印件。基金管理人和基金托管人应保证文本的内容与所公告的内容完全一致。</w:t>
      </w:r>
    </w:p>
    <w:p w:rsidR="00092F67" w:rsidRDefault="00C901CF">
      <w:pPr>
        <w:pStyle w:val="1"/>
        <w:spacing w:line="360" w:lineRule="auto"/>
        <w:jc w:val="center"/>
        <w:rPr>
          <w:rFonts w:ascii="宋体" w:hAnsi="宋体"/>
          <w:sz w:val="28"/>
          <w:szCs w:val="28"/>
        </w:rPr>
      </w:pPr>
      <w:bookmarkStart w:id="204" w:name="_Toc295832652"/>
      <w:bookmarkStart w:id="205" w:name="_Toc295833690"/>
      <w:bookmarkStart w:id="206" w:name="_Toc295832959"/>
      <w:bookmarkStart w:id="207" w:name="_Toc295833019"/>
      <w:bookmarkStart w:id="208" w:name="_Toc124325895"/>
      <w:bookmarkStart w:id="209" w:name="_Toc355859324"/>
      <w:bookmarkStart w:id="210" w:name="_Toc366835705"/>
      <w:bookmarkStart w:id="211" w:name="_Toc270669862"/>
      <w:bookmarkEnd w:id="204"/>
      <w:bookmarkEnd w:id="205"/>
      <w:bookmarkEnd w:id="206"/>
      <w:bookmarkEnd w:id="207"/>
      <w:r>
        <w:rPr>
          <w:rFonts w:ascii="宋体" w:hAnsi="宋体" w:hint="eastAsia"/>
          <w:sz w:val="28"/>
          <w:szCs w:val="28"/>
        </w:rPr>
        <w:lastRenderedPageBreak/>
        <w:t>十一、基金费用</w:t>
      </w:r>
      <w:bookmarkEnd w:id="208"/>
      <w:bookmarkEnd w:id="209"/>
      <w:bookmarkEnd w:id="210"/>
      <w:bookmarkEnd w:id="211"/>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（一）基金管理费的计提比例和计提方法</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本基金基金财产中投资于本基金管理人管理的其他基金份额的部分不收取管理费。在通常情况下，基金管理费按前一日基金资产净值扣除基金资产中本基金管理人管理的其他基金份额所对应资产净值后剩余部分（若为负数，则取0）的0.60%年费率计提。</w:t>
      </w:r>
      <w:r>
        <w:rPr>
          <w:bCs/>
          <w:sz w:val="24"/>
        </w:rPr>
        <w:t>管理费的</w:t>
      </w:r>
      <w:r>
        <w:rPr>
          <w:rFonts w:ascii="宋体" w:hAnsi="宋体" w:cs="Arial" w:hint="eastAsia"/>
          <w:sz w:val="24"/>
        </w:rPr>
        <w:t>计算方法如下：</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H＝E×0.60%÷当年天数</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H为每日应计提的基金管理费</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E为前一日的基金资产净值扣除基金财产中本基金基金管理人管理的其他基金份额所对应资产净值的剩余部分；若为负数，则E取0</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费每日计提，逐日累计至每月月末，按月支付，由基金托管人根据与基金管理人核对一致的财务数据，自动在次月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（二）基金托管费的计提比例和计提方法</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本基金基金财产中投资于本基金托管人托管的其他基金份额的部分不收取托管费。在通常情况下，基金托管费按前一日基金资产净值扣除基金资产中本基金托管人托管的其他基金份额所对应资产净值后剩余部分（若为负数，则取0）的0.15%年费率计提。</w:t>
      </w:r>
      <w:r>
        <w:rPr>
          <w:bCs/>
          <w:sz w:val="24"/>
        </w:rPr>
        <w:t>托管费的</w:t>
      </w:r>
      <w:r>
        <w:rPr>
          <w:rFonts w:ascii="宋体" w:hAnsi="宋体" w:cs="Arial" w:hint="eastAsia"/>
          <w:sz w:val="24"/>
        </w:rPr>
        <w:t>计算方法如下：</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I＝E×0.15%÷当年天数</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I为每日应计提的基金托管费</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E为前一日的基金资产净值扣除基金财产中本基金基金托管人托管的其他基金份额所对应资产净值的剩余部分；若为负数，则E取0</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费每日计提，逐日累计至每月月末，按月支付，由基金托管人根据与基金管理人核对一致的财务数据，自动在次月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rsidR="00092F67" w:rsidRDefault="00C901CF">
      <w:pPr>
        <w:spacing w:line="360" w:lineRule="auto"/>
        <w:ind w:firstLineChars="200" w:firstLine="480"/>
        <w:rPr>
          <w:bCs/>
          <w:sz w:val="24"/>
        </w:rPr>
      </w:pPr>
      <w:r>
        <w:rPr>
          <w:rFonts w:ascii="宋体" w:hAnsi="宋体" w:cs="Arial" w:hint="eastAsia"/>
          <w:sz w:val="24"/>
        </w:rPr>
        <w:lastRenderedPageBreak/>
        <w:t>（三）</w:t>
      </w:r>
      <w:r>
        <w:rPr>
          <w:rFonts w:hint="eastAsia"/>
          <w:bCs/>
          <w:sz w:val="24"/>
        </w:rPr>
        <w:t>销售服务费</w:t>
      </w:r>
    </w:p>
    <w:p w:rsidR="00092F67" w:rsidRDefault="00C901CF">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类基金份额的销售服务费年费率为</w:t>
      </w:r>
      <w:r>
        <w:rPr>
          <w:rFonts w:hint="eastAsia"/>
          <w:bCs/>
          <w:sz w:val="24"/>
        </w:rPr>
        <w:t>0.</w:t>
      </w:r>
      <w:r>
        <w:rPr>
          <w:bCs/>
          <w:sz w:val="24"/>
        </w:rPr>
        <w:t>40</w:t>
      </w:r>
      <w:r>
        <w:rPr>
          <w:rFonts w:hint="eastAsia"/>
          <w:bCs/>
          <w:sz w:val="24"/>
        </w:rPr>
        <w:t>%</w:t>
      </w:r>
      <w:r>
        <w:rPr>
          <w:rFonts w:hint="eastAsia"/>
          <w:bCs/>
          <w:sz w:val="24"/>
        </w:rPr>
        <w:t>，按前一日</w:t>
      </w:r>
      <w:r>
        <w:rPr>
          <w:rFonts w:hint="eastAsia"/>
          <w:bCs/>
          <w:sz w:val="24"/>
        </w:rPr>
        <w:t>C</w:t>
      </w:r>
      <w:r>
        <w:rPr>
          <w:rFonts w:hint="eastAsia"/>
          <w:bCs/>
          <w:sz w:val="24"/>
        </w:rPr>
        <w:t>类基金份额的基金资产净值的</w:t>
      </w:r>
      <w:r>
        <w:rPr>
          <w:rFonts w:hint="eastAsia"/>
          <w:bCs/>
          <w:sz w:val="24"/>
        </w:rPr>
        <w:t>0.40%</w:t>
      </w:r>
      <w:r>
        <w:rPr>
          <w:rFonts w:hint="eastAsia"/>
          <w:bCs/>
          <w:sz w:val="24"/>
        </w:rPr>
        <w:t>年费率计提。销售服务费的计算方法如下：</w:t>
      </w:r>
    </w:p>
    <w:p w:rsidR="00092F67" w:rsidRDefault="00C901CF">
      <w:pPr>
        <w:spacing w:line="360" w:lineRule="auto"/>
        <w:ind w:firstLineChars="200" w:firstLine="480"/>
        <w:rPr>
          <w:bCs/>
          <w:sz w:val="24"/>
        </w:rPr>
      </w:pPr>
      <w:r>
        <w:rPr>
          <w:rFonts w:hint="eastAsia"/>
          <w:bCs/>
          <w:sz w:val="24"/>
        </w:rPr>
        <w:t>S</w:t>
      </w:r>
      <w:r>
        <w:rPr>
          <w:rFonts w:hint="eastAsia"/>
          <w:bCs/>
          <w:sz w:val="24"/>
        </w:rPr>
        <w:t>＝</w:t>
      </w:r>
      <w:r>
        <w:rPr>
          <w:rFonts w:hint="eastAsia"/>
          <w:bCs/>
          <w:sz w:val="24"/>
        </w:rPr>
        <w:t>E</w:t>
      </w:r>
      <w:r>
        <w:rPr>
          <w:rFonts w:hint="eastAsia"/>
          <w:bCs/>
          <w:sz w:val="24"/>
        </w:rPr>
        <w:t>×</w:t>
      </w:r>
      <w:r>
        <w:rPr>
          <w:rFonts w:hint="eastAsia"/>
          <w:bCs/>
          <w:sz w:val="24"/>
        </w:rPr>
        <w:t>0.</w:t>
      </w:r>
      <w:r>
        <w:rPr>
          <w:bCs/>
          <w:sz w:val="24"/>
        </w:rPr>
        <w:t>40</w:t>
      </w:r>
      <w:r>
        <w:rPr>
          <w:rFonts w:hint="eastAsia"/>
          <w:bCs/>
          <w:sz w:val="24"/>
        </w:rPr>
        <w:t>%</w:t>
      </w:r>
      <w:r>
        <w:rPr>
          <w:rFonts w:hint="eastAsia"/>
          <w:bCs/>
          <w:sz w:val="24"/>
        </w:rPr>
        <w:t>÷当年天数</w:t>
      </w:r>
    </w:p>
    <w:p w:rsidR="00092F67" w:rsidRDefault="00C901CF">
      <w:pPr>
        <w:spacing w:line="360" w:lineRule="auto"/>
        <w:ind w:firstLineChars="200" w:firstLine="480"/>
        <w:rPr>
          <w:bCs/>
          <w:sz w:val="24"/>
        </w:rPr>
      </w:pPr>
      <w:r>
        <w:rPr>
          <w:rFonts w:hint="eastAsia"/>
          <w:bCs/>
          <w:sz w:val="24"/>
        </w:rPr>
        <w:t>S</w:t>
      </w:r>
      <w:r>
        <w:rPr>
          <w:rFonts w:hint="eastAsia"/>
          <w:bCs/>
          <w:sz w:val="24"/>
        </w:rPr>
        <w:t>为</w:t>
      </w:r>
      <w:r>
        <w:rPr>
          <w:rFonts w:hint="eastAsia"/>
          <w:bCs/>
          <w:sz w:val="24"/>
        </w:rPr>
        <w:t>C</w:t>
      </w:r>
      <w:r>
        <w:rPr>
          <w:rFonts w:hint="eastAsia"/>
          <w:bCs/>
          <w:sz w:val="24"/>
        </w:rPr>
        <w:t>类基金份额每日应计提的销售服务费</w:t>
      </w:r>
    </w:p>
    <w:p w:rsidR="00092F67" w:rsidRDefault="00C901CF">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rsidR="00092F67" w:rsidRDefault="00C901CF">
      <w:pPr>
        <w:spacing w:line="360" w:lineRule="auto"/>
        <w:ind w:firstLineChars="200" w:firstLine="480"/>
        <w:rPr>
          <w:bCs/>
          <w:sz w:val="24"/>
        </w:rPr>
      </w:pPr>
      <w:r>
        <w:rPr>
          <w:rFonts w:hint="eastAsia"/>
          <w:bCs/>
          <w:sz w:val="24"/>
        </w:rPr>
        <w:t>销售服务费每日计提。</w:t>
      </w:r>
    </w:p>
    <w:p w:rsidR="00092F67" w:rsidRDefault="00C901CF">
      <w:pPr>
        <w:spacing w:line="360" w:lineRule="auto"/>
        <w:ind w:firstLineChars="200" w:firstLine="480"/>
        <w:rPr>
          <w:bCs/>
          <w:sz w:val="24"/>
        </w:rPr>
      </w:pPr>
      <w:r>
        <w:rPr>
          <w:rFonts w:hint="eastAsia"/>
          <w:bCs/>
          <w:sz w:val="24"/>
        </w:rPr>
        <w:t>1</w:t>
      </w:r>
      <w:r>
        <w:rPr>
          <w:rFonts w:hint="eastAsia"/>
          <w:bCs/>
          <w:sz w:val="24"/>
        </w:rPr>
        <w:t>、基金管理人处保有的</w:t>
      </w:r>
      <w:r>
        <w:rPr>
          <w:rFonts w:hint="eastAsia"/>
          <w:bCs/>
          <w:sz w:val="24"/>
        </w:rPr>
        <w:t>C</w:t>
      </w:r>
      <w:r>
        <w:rPr>
          <w:rFonts w:hint="eastAsia"/>
          <w:bCs/>
          <w:sz w:val="24"/>
        </w:rPr>
        <w:t>类基金份额</w:t>
      </w:r>
    </w:p>
    <w:p w:rsidR="00092F67" w:rsidRDefault="00C901CF">
      <w:pPr>
        <w:spacing w:line="360" w:lineRule="auto"/>
        <w:ind w:firstLineChars="200" w:firstLine="480"/>
        <w:rPr>
          <w:bCs/>
          <w:sz w:val="24"/>
        </w:rPr>
      </w:pPr>
      <w:r>
        <w:rPr>
          <w:rFonts w:hint="eastAsia"/>
          <w:bCs/>
          <w:sz w:val="24"/>
        </w:rPr>
        <w:t>投资者在基金管理人处保有的</w:t>
      </w:r>
      <w:r>
        <w:rPr>
          <w:rFonts w:hint="eastAsia"/>
          <w:bCs/>
          <w:sz w:val="24"/>
        </w:rPr>
        <w:t>C</w:t>
      </w:r>
      <w:r>
        <w:rPr>
          <w:rFonts w:hint="eastAsia"/>
          <w:bCs/>
          <w:sz w:val="24"/>
        </w:rPr>
        <w:t>类基金份额，将先行计提相应的销售服务费，但并不实际支付给相关机构。当投资者赎回或基金合同终止的情形发生时，该部分费用随赎回款或清算款一并返还给投资者。</w:t>
      </w:r>
    </w:p>
    <w:p w:rsidR="00092F67" w:rsidRDefault="00C901CF">
      <w:pPr>
        <w:spacing w:line="360" w:lineRule="auto"/>
        <w:ind w:firstLineChars="200" w:firstLine="480"/>
        <w:rPr>
          <w:bCs/>
          <w:sz w:val="24"/>
        </w:rPr>
      </w:pPr>
      <w:r>
        <w:rPr>
          <w:rFonts w:hint="eastAsia"/>
          <w:bCs/>
          <w:sz w:val="24"/>
        </w:rPr>
        <w:t>基金销售子公司销售母公司所管理基金的，按照前述要求执行。</w:t>
      </w:r>
    </w:p>
    <w:p w:rsidR="00092F67" w:rsidRDefault="00C901CF">
      <w:pPr>
        <w:spacing w:line="360" w:lineRule="auto"/>
        <w:ind w:firstLineChars="200" w:firstLine="480"/>
        <w:rPr>
          <w:bCs/>
          <w:sz w:val="24"/>
        </w:rPr>
      </w:pPr>
      <w:r>
        <w:rPr>
          <w:rFonts w:hint="eastAsia"/>
          <w:bCs/>
          <w:sz w:val="24"/>
        </w:rPr>
        <w:t>2</w:t>
      </w:r>
      <w:r>
        <w:rPr>
          <w:rFonts w:hint="eastAsia"/>
          <w:bCs/>
          <w:sz w:val="24"/>
        </w:rPr>
        <w:t>、其他销售机构处保有的</w:t>
      </w:r>
      <w:r>
        <w:rPr>
          <w:rFonts w:hint="eastAsia"/>
          <w:bCs/>
          <w:sz w:val="24"/>
        </w:rPr>
        <w:t>C</w:t>
      </w:r>
      <w:r>
        <w:rPr>
          <w:rFonts w:hint="eastAsia"/>
          <w:bCs/>
          <w:sz w:val="24"/>
        </w:rPr>
        <w:t>类基金份额</w:t>
      </w:r>
    </w:p>
    <w:p w:rsidR="00092F67" w:rsidRDefault="00C901CF">
      <w:pPr>
        <w:spacing w:line="360" w:lineRule="auto"/>
        <w:ind w:firstLineChars="200" w:firstLine="480"/>
        <w:rPr>
          <w:bCs/>
          <w:sz w:val="24"/>
        </w:rPr>
      </w:pPr>
      <w:r>
        <w:rPr>
          <w:rFonts w:hint="eastAsia"/>
          <w:bCs/>
          <w:sz w:val="24"/>
        </w:rPr>
        <w:t>对于投资者持续持有期限未超过一年（即</w:t>
      </w:r>
      <w:r>
        <w:rPr>
          <w:rFonts w:hint="eastAsia"/>
          <w:bCs/>
          <w:sz w:val="24"/>
        </w:rPr>
        <w:t>365</w:t>
      </w:r>
      <w:r>
        <w:rPr>
          <w:rFonts w:hint="eastAsia"/>
          <w:bCs/>
          <w:sz w:val="24"/>
        </w:rPr>
        <w:t>天）的</w:t>
      </w:r>
      <w:r>
        <w:rPr>
          <w:rFonts w:hint="eastAsia"/>
          <w:bCs/>
          <w:sz w:val="24"/>
        </w:rPr>
        <w:t>C</w:t>
      </w:r>
      <w:r>
        <w:rPr>
          <w:rFonts w:hint="eastAsia"/>
          <w:bCs/>
          <w:sz w:val="24"/>
        </w:rPr>
        <w:t>类基金份额计提的销售服务费，逐日累计至每月月末，按月支付，由基金托管人根据与基金管理人核对一致的财务数据，自动在次月月初</w:t>
      </w:r>
      <w:r>
        <w:rPr>
          <w:rFonts w:hint="eastAsia"/>
          <w:bCs/>
          <w:sz w:val="24"/>
        </w:rPr>
        <w:t>5</w:t>
      </w:r>
      <w:r>
        <w:rPr>
          <w:rFonts w:hint="eastAsia"/>
          <w:bCs/>
          <w:sz w:val="24"/>
        </w:rPr>
        <w:t>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rsidR="00092F67" w:rsidRDefault="00C901CF">
      <w:pPr>
        <w:spacing w:line="360" w:lineRule="auto"/>
        <w:ind w:firstLineChars="200" w:firstLine="480"/>
        <w:rPr>
          <w:bCs/>
          <w:sz w:val="24"/>
        </w:rPr>
      </w:pPr>
      <w:r>
        <w:rPr>
          <w:rFonts w:hint="eastAsia"/>
          <w:bCs/>
          <w:sz w:val="24"/>
        </w:rPr>
        <w:t>对于投资者持续持有期限超过一年（即</w:t>
      </w:r>
      <w:r>
        <w:rPr>
          <w:rFonts w:hint="eastAsia"/>
          <w:bCs/>
          <w:sz w:val="24"/>
        </w:rPr>
        <w:t>365</w:t>
      </w:r>
      <w:r>
        <w:rPr>
          <w:rFonts w:hint="eastAsia"/>
          <w:bCs/>
          <w:sz w:val="24"/>
        </w:rPr>
        <w:t>天）的</w:t>
      </w:r>
      <w:r>
        <w:rPr>
          <w:rFonts w:hint="eastAsia"/>
          <w:bCs/>
          <w:sz w:val="24"/>
        </w:rPr>
        <w:t>C</w:t>
      </w:r>
      <w:r>
        <w:rPr>
          <w:rFonts w:hint="eastAsia"/>
          <w:bCs/>
          <w:sz w:val="24"/>
        </w:rPr>
        <w:t>类基金份额，超过一年后将继续先行计提销售服务费，该部分销售服务费不实际支付给相关机构，当投资者赎回或基金合同终止的情形发生时，该部分费用随赎回款或清算款一并返还给投资者。</w:t>
      </w:r>
    </w:p>
    <w:p w:rsidR="00092F67" w:rsidRDefault="00C901CF">
      <w:pPr>
        <w:spacing w:line="360" w:lineRule="auto"/>
        <w:ind w:firstLineChars="200" w:firstLine="480"/>
        <w:rPr>
          <w:bCs/>
          <w:sz w:val="24"/>
        </w:rPr>
      </w:pPr>
      <w:r>
        <w:rPr>
          <w:rFonts w:hint="eastAsia"/>
          <w:bCs/>
          <w:sz w:val="24"/>
        </w:rPr>
        <w:t>销售服务费计提后按规定收取或返还投资者的金额以登记机构的计算结果为准。</w:t>
      </w:r>
    </w:p>
    <w:p w:rsidR="00092F67" w:rsidRDefault="00C901CF">
      <w:pPr>
        <w:spacing w:line="360" w:lineRule="auto"/>
        <w:ind w:firstLineChars="200" w:firstLine="480"/>
        <w:rPr>
          <w:bCs/>
          <w:sz w:val="24"/>
        </w:rPr>
      </w:pPr>
      <w:r>
        <w:rPr>
          <w:rFonts w:hint="eastAsia"/>
          <w:bCs/>
          <w:sz w:val="24"/>
        </w:rPr>
        <w:t>在不违反法律法规、基金合同的约定的情况下，基金管理人可根据基金实际运作情况和市场环境变化，经履行适当程序后，对本基金的销售服务费的计提或收取方式进行调整，无需召开基金份额持有人大会。</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（四）基金合同生效后与基金相关的信息披露费用；基金合同生效后与基金</w:t>
      </w:r>
      <w:r>
        <w:rPr>
          <w:rFonts w:ascii="宋体" w:hAnsi="宋体" w:cs="Arial" w:hint="eastAsia"/>
          <w:sz w:val="24"/>
        </w:rPr>
        <w:lastRenderedPageBreak/>
        <w:t>相关的会计师费、律师费、诉讼费或仲裁费；基金份额持有人大会费用；基金的证券交易费用；基金的银行汇划费用；基金的开户费用、账户维护费用；被投资基金的申购、赎回费用等销售费用，但法律法规禁止从基金财产中列支的除外；因投资港股通标的证券而产生的各项费用；按照国家有关规定和基金合同约定，可以在基金财产中列支的其他费用。根据有关法规及相应协议的规定，</w:t>
      </w:r>
      <w:r>
        <w:rPr>
          <w:rFonts w:hint="eastAsia"/>
          <w:spacing w:val="-4"/>
          <w:sz w:val="24"/>
        </w:rPr>
        <w:t>按费用实际支出金额</w:t>
      </w:r>
      <w:r>
        <w:rPr>
          <w:rFonts w:ascii="宋体" w:hAnsi="宋体" w:cs="Arial" w:hint="eastAsia"/>
          <w:sz w:val="24"/>
        </w:rPr>
        <w:t>列入当期费用</w:t>
      </w:r>
      <w:r>
        <w:rPr>
          <w:bCs/>
          <w:sz w:val="24"/>
        </w:rPr>
        <w:t>，由基金托管人从基金财产中支付</w:t>
      </w:r>
      <w:r>
        <w:rPr>
          <w:rFonts w:ascii="宋体" w:hAnsi="宋体" w:cs="Arial" w:hint="eastAsia"/>
          <w:sz w:val="24"/>
        </w:rPr>
        <w:t>。</w:t>
      </w:r>
    </w:p>
    <w:p w:rsidR="00092F67" w:rsidRDefault="00C901CF">
      <w:pPr>
        <w:adjustRightInd w:val="0"/>
        <w:snapToGrid w:val="0"/>
        <w:spacing w:line="360" w:lineRule="auto"/>
        <w:ind w:firstLineChars="200" w:firstLine="480"/>
        <w:rPr>
          <w:bCs/>
          <w:sz w:val="24"/>
        </w:rPr>
      </w:pPr>
      <w:bookmarkStart w:id="212" w:name="_Hlk207800857"/>
      <w:r>
        <w:rPr>
          <w:rFonts w:hint="eastAsia"/>
          <w:bCs/>
          <w:sz w:val="24"/>
        </w:rPr>
        <w:t>本基金管理人运用本基金财产申购其自身管理的其他基金的（</w:t>
      </w:r>
      <w:r>
        <w:rPr>
          <w:rFonts w:hint="eastAsia"/>
          <w:bCs/>
          <w:sz w:val="24"/>
        </w:rPr>
        <w:t xml:space="preserve">ETF </w:t>
      </w:r>
      <w:r>
        <w:rPr>
          <w:rFonts w:hint="eastAsia"/>
          <w:bCs/>
          <w:sz w:val="24"/>
        </w:rPr>
        <w:t>除外），应当通过直销渠道申购且不得收取申购费、赎回费（按照相关法规、基金招募说明书约定应当收取，并记入基金财产的赎回费用除外）、销售服务费等销售费用。</w:t>
      </w:r>
    </w:p>
    <w:bookmarkEnd w:id="212"/>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（五）不列入基金费用的项目</w:t>
      </w:r>
    </w:p>
    <w:p w:rsidR="00092F67" w:rsidRDefault="00C901CF">
      <w:pPr>
        <w:numPr>
          <w:ilvl w:val="0"/>
          <w:numId w:val="22"/>
        </w:numPr>
        <w:adjustRightInd w:val="0"/>
        <w:snapToGrid w:val="0"/>
        <w:spacing w:line="360" w:lineRule="auto"/>
        <w:ind w:left="0" w:firstLine="426"/>
        <w:rPr>
          <w:rStyle w:val="read"/>
          <w:rFonts w:ascii="宋体" w:hAnsi="宋体"/>
          <w:sz w:val="24"/>
        </w:rPr>
      </w:pPr>
      <w:r>
        <w:rPr>
          <w:rStyle w:val="read"/>
          <w:rFonts w:ascii="宋体" w:hAnsi="宋体" w:hint="eastAsia"/>
          <w:sz w:val="24"/>
        </w:rPr>
        <w:t>基金管理人和基金托管人因未履行或未完全履行义务导致的费用支出或基金财产的损失；</w:t>
      </w:r>
    </w:p>
    <w:p w:rsidR="00092F67" w:rsidRDefault="00C901CF">
      <w:pPr>
        <w:numPr>
          <w:ilvl w:val="0"/>
          <w:numId w:val="22"/>
        </w:numPr>
        <w:adjustRightInd w:val="0"/>
        <w:snapToGrid w:val="0"/>
        <w:spacing w:line="360" w:lineRule="auto"/>
        <w:ind w:left="0" w:firstLine="426"/>
        <w:rPr>
          <w:rStyle w:val="read"/>
          <w:rFonts w:ascii="宋体" w:hAnsi="宋体"/>
          <w:sz w:val="24"/>
        </w:rPr>
      </w:pPr>
      <w:r>
        <w:rPr>
          <w:rStyle w:val="read"/>
          <w:rFonts w:ascii="宋体" w:hAnsi="宋体" w:hint="eastAsia"/>
          <w:sz w:val="24"/>
        </w:rPr>
        <w:t>基金管理人和基金托管人处理与基金运作无关的事项发生的费用；</w:t>
      </w:r>
    </w:p>
    <w:p w:rsidR="00092F67" w:rsidRDefault="00C901CF">
      <w:pPr>
        <w:numPr>
          <w:ilvl w:val="0"/>
          <w:numId w:val="22"/>
        </w:numPr>
        <w:adjustRightInd w:val="0"/>
        <w:snapToGrid w:val="0"/>
        <w:spacing w:line="360" w:lineRule="auto"/>
        <w:ind w:left="0" w:firstLine="426"/>
        <w:rPr>
          <w:rStyle w:val="read"/>
          <w:rFonts w:ascii="宋体" w:hAnsi="宋体"/>
          <w:sz w:val="24"/>
        </w:rPr>
      </w:pPr>
      <w:r>
        <w:rPr>
          <w:rStyle w:val="read"/>
          <w:rFonts w:ascii="宋体" w:hAnsi="宋体" w:hint="eastAsia"/>
          <w:sz w:val="24"/>
        </w:rPr>
        <w:t>基金合同生效前的相关费用；</w:t>
      </w:r>
    </w:p>
    <w:p w:rsidR="00092F67" w:rsidRDefault="00C901CF">
      <w:pPr>
        <w:numPr>
          <w:ilvl w:val="0"/>
          <w:numId w:val="22"/>
        </w:numPr>
        <w:adjustRightInd w:val="0"/>
        <w:snapToGrid w:val="0"/>
        <w:spacing w:line="360" w:lineRule="auto"/>
        <w:ind w:left="0" w:firstLine="426"/>
        <w:rPr>
          <w:rStyle w:val="read"/>
          <w:rFonts w:ascii="宋体" w:hAnsi="宋体"/>
          <w:sz w:val="24"/>
        </w:rPr>
      </w:pPr>
      <w:r>
        <w:rPr>
          <w:rStyle w:val="read"/>
          <w:rFonts w:ascii="宋体" w:hAnsi="宋体" w:hint="eastAsia"/>
          <w:sz w:val="24"/>
        </w:rPr>
        <w:t>其他根据相关法律法规及中国证监会的有关规</w:t>
      </w:r>
      <w:bookmarkStart w:id="213" w:name="_Hlt88827255"/>
      <w:bookmarkEnd w:id="213"/>
      <w:r>
        <w:rPr>
          <w:rStyle w:val="read"/>
          <w:rFonts w:ascii="宋体" w:hAnsi="宋体" w:hint="eastAsia"/>
          <w:sz w:val="24"/>
        </w:rPr>
        <w:t>定不得列入基金费用的项目。</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（六）本基金运作前产生的</w:t>
      </w:r>
      <w:r>
        <w:rPr>
          <w:spacing w:val="-4"/>
          <w:sz w:val="24"/>
        </w:rPr>
        <w:t>根据《基金合同》约定</w:t>
      </w:r>
      <w:r>
        <w:rPr>
          <w:rFonts w:ascii="宋体" w:hAnsi="宋体" w:cs="Arial" w:hint="eastAsia"/>
          <w:sz w:val="24"/>
        </w:rPr>
        <w:t>可以从基金财产中列支的相关费用由基金管理人垫付，运作后由基金管理人于次日起三个工作日内向基金托管人发送划付指令，经基金托管人复核后于三个工作日内从基金资产中一次性支付给基金管理人。</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（七）实施侧袋机制期间的基金费用</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本基金实施侧袋机制的，与侧袋账户有关的费用可以从侧袋账户中列支，但应待侧袋账户资产变现后方可列支，有关费用可酌情收取或减免，但不得收取管理费，详见招募说明书的规定。</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（八）违规处理方式</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基金托管人发现基金管理人违反《基金法》、基金合同、《运作办法》及其他有关规定从基金财产中列支费用时，基金托管人可要求基金管理人予以说明解释，如基金管理人无正当理由，基金托管人可拒绝支付。</w:t>
      </w:r>
    </w:p>
    <w:p w:rsidR="00092F67" w:rsidRDefault="00C901CF" w:rsidP="00F14E01">
      <w:pPr>
        <w:pStyle w:val="1"/>
        <w:numPr>
          <w:ilvl w:val="0"/>
          <w:numId w:val="32"/>
        </w:numPr>
        <w:spacing w:line="360" w:lineRule="auto"/>
        <w:jc w:val="center"/>
        <w:rPr>
          <w:rFonts w:ascii="宋体" w:hAnsi="宋体"/>
          <w:sz w:val="28"/>
          <w:szCs w:val="28"/>
        </w:rPr>
      </w:pPr>
      <w:bookmarkStart w:id="214" w:name="_Toc295832961"/>
      <w:bookmarkStart w:id="215" w:name="_Toc295833022"/>
      <w:bookmarkStart w:id="216" w:name="_Toc295833694"/>
      <w:bookmarkStart w:id="217" w:name="_Toc295833021"/>
      <w:bookmarkStart w:id="218" w:name="_Toc295832962"/>
      <w:bookmarkStart w:id="219" w:name="_Toc295832963"/>
      <w:bookmarkStart w:id="220" w:name="_Toc295833692"/>
      <w:bookmarkStart w:id="221" w:name="_Toc295833023"/>
      <w:bookmarkStart w:id="222" w:name="_Toc295833693"/>
      <w:bookmarkEnd w:id="214"/>
      <w:bookmarkEnd w:id="215"/>
      <w:bookmarkEnd w:id="216"/>
      <w:bookmarkEnd w:id="217"/>
      <w:bookmarkEnd w:id="218"/>
      <w:bookmarkEnd w:id="219"/>
      <w:bookmarkEnd w:id="220"/>
      <w:bookmarkEnd w:id="221"/>
      <w:bookmarkEnd w:id="222"/>
      <w:r>
        <w:rPr>
          <w:rFonts w:ascii="宋体" w:hAnsi="宋体" w:cs="Arial"/>
          <w:sz w:val="24"/>
        </w:rPr>
        <w:br w:type="page"/>
      </w:r>
      <w:bookmarkStart w:id="223" w:name="_Toc366835706"/>
      <w:bookmarkStart w:id="224" w:name="_Toc124325896"/>
      <w:bookmarkStart w:id="225" w:name="_Toc355859325"/>
      <w:bookmarkStart w:id="226" w:name="_Toc270669863"/>
      <w:r>
        <w:rPr>
          <w:rFonts w:ascii="宋体" w:hAnsi="宋体" w:hint="eastAsia"/>
          <w:sz w:val="28"/>
          <w:szCs w:val="28"/>
        </w:rPr>
        <w:lastRenderedPageBreak/>
        <w:t>基金份额持有人名册的保管</w:t>
      </w:r>
      <w:bookmarkEnd w:id="223"/>
      <w:bookmarkEnd w:id="224"/>
      <w:bookmarkEnd w:id="225"/>
      <w:bookmarkEnd w:id="226"/>
    </w:p>
    <w:p w:rsidR="00092F67" w:rsidRDefault="00C901CF">
      <w:pPr>
        <w:tabs>
          <w:tab w:val="left" w:pos="1260"/>
        </w:tabs>
        <w:spacing w:line="360" w:lineRule="auto"/>
        <w:ind w:firstLineChars="200" w:firstLine="480"/>
        <w:rPr>
          <w:kern w:val="0"/>
          <w:sz w:val="24"/>
        </w:rPr>
      </w:pPr>
      <w:r>
        <w:rPr>
          <w:rFonts w:hint="eastAsia"/>
          <w:kern w:val="0"/>
          <w:sz w:val="24"/>
        </w:rPr>
        <w:t>基金份额持有人名册至少应包括基金份额持有人的名称、证件号码和持有的基金份额。基金份额持有人名册由基金登记机构根据基金管理人的指令编制和保管，基金管理人和基金托管人应分别保管基金份额持有人名册，保存期不少于法律法规规定的最低期限。如不能妥善保管，则按相关法律法规承担责任。</w:t>
      </w:r>
    </w:p>
    <w:p w:rsidR="00092F67" w:rsidRDefault="00C901CF">
      <w:pPr>
        <w:tabs>
          <w:tab w:val="left" w:pos="1260"/>
        </w:tabs>
        <w:spacing w:line="360" w:lineRule="auto"/>
        <w:ind w:firstLineChars="200" w:firstLine="480"/>
        <w:rPr>
          <w:kern w:val="0"/>
          <w:sz w:val="24"/>
        </w:rPr>
      </w:pPr>
      <w:r>
        <w:rPr>
          <w:rFonts w:hint="eastAsia"/>
          <w:kern w:val="0"/>
          <w:sz w:val="24"/>
        </w:rPr>
        <w:t>基金托管人依法编制中期报告和年度报告前或托管人基于正当要求时，基金管理人应及时将有关资料送交基金托管人，不得无故拒绝或延误提供，并保证其的真实性、准确性和完整性。基金管理人和托管人不得将所保管的基金份额持有人名册用于基金托管业务以外的其他用途，并应遵守保密义务，法律法规另有规定或有权机关另有要求的除外</w:t>
      </w:r>
      <w:r>
        <w:rPr>
          <w:kern w:val="0"/>
          <w:sz w:val="24"/>
        </w:rPr>
        <w:t>。</w:t>
      </w:r>
    </w:p>
    <w:p w:rsidR="00092F67" w:rsidRDefault="00C901CF" w:rsidP="00F14E01">
      <w:pPr>
        <w:pStyle w:val="1"/>
        <w:numPr>
          <w:ilvl w:val="0"/>
          <w:numId w:val="32"/>
        </w:numPr>
        <w:spacing w:line="360" w:lineRule="auto"/>
        <w:jc w:val="center"/>
        <w:rPr>
          <w:rFonts w:ascii="宋体" w:hAnsi="宋体"/>
          <w:sz w:val="28"/>
          <w:szCs w:val="28"/>
        </w:rPr>
      </w:pPr>
      <w:bookmarkStart w:id="227" w:name="_Toc295832965"/>
      <w:bookmarkStart w:id="228" w:name="_Toc295832966"/>
      <w:bookmarkStart w:id="229" w:name="_Toc295833696"/>
      <w:bookmarkStart w:id="230" w:name="_Toc295833025"/>
      <w:bookmarkStart w:id="231" w:name="_Toc295833026"/>
      <w:bookmarkStart w:id="232" w:name="_Toc295833697"/>
      <w:bookmarkEnd w:id="227"/>
      <w:bookmarkEnd w:id="228"/>
      <w:bookmarkEnd w:id="229"/>
      <w:bookmarkEnd w:id="230"/>
      <w:bookmarkEnd w:id="231"/>
      <w:bookmarkEnd w:id="232"/>
      <w:r>
        <w:rPr>
          <w:rFonts w:ascii="宋体" w:hAnsi="宋体" w:cs="Arial"/>
          <w:sz w:val="24"/>
          <w:szCs w:val="24"/>
        </w:rPr>
        <w:br w:type="page"/>
      </w:r>
      <w:bookmarkStart w:id="233" w:name="_Toc295832967"/>
      <w:bookmarkStart w:id="234" w:name="_Toc295833698"/>
      <w:bookmarkStart w:id="235" w:name="_Toc295833027"/>
      <w:bookmarkStart w:id="236" w:name="_Toc270669864"/>
      <w:bookmarkStart w:id="237" w:name="_Toc355859326"/>
      <w:bookmarkStart w:id="238" w:name="_Toc366835707"/>
      <w:bookmarkStart w:id="239" w:name="_Toc124325897"/>
      <w:bookmarkEnd w:id="233"/>
      <w:bookmarkEnd w:id="234"/>
      <w:bookmarkEnd w:id="235"/>
      <w:r>
        <w:rPr>
          <w:rFonts w:ascii="宋体" w:hAnsi="宋体" w:hint="eastAsia"/>
          <w:sz w:val="28"/>
          <w:szCs w:val="28"/>
        </w:rPr>
        <w:lastRenderedPageBreak/>
        <w:t>基金有关文件档案的保存</w:t>
      </w:r>
      <w:bookmarkEnd w:id="236"/>
      <w:bookmarkEnd w:id="237"/>
      <w:bookmarkEnd w:id="238"/>
      <w:bookmarkEnd w:id="239"/>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（一）档案保存</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法律法规的规定。如不能妥善保管，则按相关法律法规承担责任。</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（二）合同档案的建立</w:t>
      </w:r>
    </w:p>
    <w:p w:rsidR="00092F67" w:rsidRDefault="00C901CF">
      <w:pPr>
        <w:numPr>
          <w:ilvl w:val="0"/>
          <w:numId w:val="23"/>
        </w:numPr>
        <w:adjustRightInd w:val="0"/>
        <w:snapToGrid w:val="0"/>
        <w:spacing w:line="360" w:lineRule="auto"/>
        <w:ind w:left="0" w:firstLine="480"/>
        <w:rPr>
          <w:rStyle w:val="read"/>
          <w:rFonts w:ascii="宋体" w:hAnsi="宋体"/>
          <w:sz w:val="24"/>
        </w:rPr>
      </w:pPr>
      <w:r>
        <w:rPr>
          <w:rStyle w:val="read"/>
          <w:rFonts w:ascii="宋体" w:hAnsi="宋体" w:hint="eastAsia"/>
          <w:sz w:val="24"/>
        </w:rPr>
        <w:t>基金管理人签署重大合同文本后，应及时将合同文本送达基金托管人处。</w:t>
      </w:r>
    </w:p>
    <w:p w:rsidR="00092F67" w:rsidRDefault="00C901CF">
      <w:pPr>
        <w:numPr>
          <w:ilvl w:val="0"/>
          <w:numId w:val="23"/>
        </w:numPr>
        <w:adjustRightInd w:val="0"/>
        <w:snapToGrid w:val="0"/>
        <w:spacing w:line="360" w:lineRule="auto"/>
        <w:ind w:left="0" w:firstLine="480"/>
        <w:rPr>
          <w:rStyle w:val="read"/>
          <w:rFonts w:ascii="宋体" w:hAnsi="宋体"/>
          <w:sz w:val="24"/>
        </w:rPr>
      </w:pPr>
      <w:r>
        <w:rPr>
          <w:rStyle w:val="read"/>
          <w:rFonts w:ascii="宋体" w:hAnsi="宋体" w:hint="eastAsia"/>
          <w:sz w:val="24"/>
        </w:rPr>
        <w:t>基金管理人应及时将与本基金账务处理、资金划拨等有关的合同、协议传真基金托管人。</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（三）变更与协助</w:t>
      </w:r>
    </w:p>
    <w:p w:rsidR="00092F67" w:rsidRDefault="00C901CF">
      <w:pPr>
        <w:adjustRightInd w:val="0"/>
        <w:snapToGrid w:val="0"/>
        <w:spacing w:line="360" w:lineRule="auto"/>
        <w:ind w:firstLineChars="200" w:firstLine="480"/>
        <w:rPr>
          <w:rFonts w:ascii="宋体" w:hAnsi="宋体"/>
          <w:b/>
          <w:bCs/>
          <w:sz w:val="24"/>
        </w:rPr>
      </w:pPr>
      <w:r>
        <w:rPr>
          <w:rFonts w:ascii="宋体" w:hAnsi="宋体" w:cs="Arial" w:hint="eastAsia"/>
          <w:sz w:val="24"/>
        </w:rPr>
        <w:t>若基金管理人/基金托管人发生变更，未变更的一方有义务协助变更后的接任人接收相应文件。</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（四）基金管理人和基金托管人应按各自职责完整保存原始凭证、记账凭证、基金账册、交易记录和重要合同等，承担保密义务并保存，保存期限不少于法律法规的规定。</w:t>
      </w:r>
    </w:p>
    <w:p w:rsidR="00092F67" w:rsidRDefault="00C901CF" w:rsidP="00F14E01">
      <w:pPr>
        <w:pStyle w:val="1"/>
        <w:numPr>
          <w:ilvl w:val="0"/>
          <w:numId w:val="32"/>
        </w:numPr>
        <w:spacing w:line="360" w:lineRule="auto"/>
        <w:jc w:val="center"/>
        <w:rPr>
          <w:szCs w:val="24"/>
        </w:rPr>
      </w:pPr>
      <w:r>
        <w:rPr>
          <w:rFonts w:ascii="宋体" w:hAnsi="宋体"/>
          <w:sz w:val="24"/>
          <w:szCs w:val="24"/>
        </w:rPr>
        <w:br w:type="page"/>
      </w:r>
      <w:r>
        <w:rPr>
          <w:rFonts w:ascii="宋体" w:hAnsi="宋体" w:hint="eastAsia"/>
          <w:sz w:val="28"/>
          <w:szCs w:val="28"/>
        </w:rPr>
        <w:lastRenderedPageBreak/>
        <w:t xml:space="preserve"> </w:t>
      </w:r>
      <w:bookmarkStart w:id="240" w:name="_Toc295833700"/>
      <w:bookmarkStart w:id="241" w:name="_Toc295832969"/>
      <w:bookmarkStart w:id="242" w:name="_Toc295833029"/>
      <w:bookmarkStart w:id="243" w:name="_Toc270669865"/>
      <w:bookmarkStart w:id="244" w:name="_Toc355859327"/>
      <w:bookmarkStart w:id="245" w:name="_Toc295833701"/>
      <w:bookmarkStart w:id="246" w:name="_Toc124325898"/>
      <w:bookmarkStart w:id="247" w:name="_Toc366835708"/>
      <w:bookmarkEnd w:id="240"/>
      <w:bookmarkEnd w:id="241"/>
      <w:bookmarkEnd w:id="242"/>
      <w:r>
        <w:rPr>
          <w:rFonts w:ascii="宋体" w:hAnsi="宋体" w:hint="eastAsia"/>
          <w:sz w:val="28"/>
          <w:szCs w:val="28"/>
        </w:rPr>
        <w:t>基金管理人和基金托管人的更换</w:t>
      </w:r>
      <w:bookmarkEnd w:id="243"/>
      <w:bookmarkEnd w:id="244"/>
      <w:bookmarkEnd w:id="245"/>
      <w:bookmarkEnd w:id="246"/>
      <w:bookmarkEnd w:id="247"/>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（一）基金管理人和基金托管人职责终止的情形</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1、</w:t>
      </w:r>
      <w:r>
        <w:rPr>
          <w:rFonts w:ascii="宋体" w:hAnsi="宋体" w:cs="Arial" w:hint="eastAsia"/>
          <w:sz w:val="24"/>
        </w:rPr>
        <w:tab/>
        <w:t>基金管理人职责终止的情形</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有下列情形之一的，基金管理人职责终止：</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（1）被依法取消基金管理资格；</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（2）被基金份额持有人大会解任；</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w:t>
      </w:r>
      <w:r>
        <w:rPr>
          <w:rFonts w:ascii="宋体" w:hAnsi="宋体" w:cs="Arial"/>
          <w:sz w:val="24"/>
        </w:rPr>
        <w:t>3</w:t>
      </w:r>
      <w:r>
        <w:rPr>
          <w:rFonts w:ascii="宋体" w:hAnsi="宋体" w:cs="Arial" w:hint="eastAsia"/>
          <w:sz w:val="24"/>
        </w:rPr>
        <w:t>）依法解散、被依法撤销或被依法宣告破产；</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w:t>
      </w:r>
      <w:r>
        <w:rPr>
          <w:rFonts w:ascii="宋体" w:hAnsi="宋体" w:cs="Arial"/>
          <w:sz w:val="24"/>
        </w:rPr>
        <w:t>4</w:t>
      </w:r>
      <w:r>
        <w:rPr>
          <w:rFonts w:ascii="宋体" w:hAnsi="宋体" w:cs="Arial" w:hint="eastAsia"/>
          <w:sz w:val="24"/>
        </w:rPr>
        <w:t>）法律法规及中国证监会规定的和基金合同约定的其他情形。</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sz w:val="24"/>
        </w:rPr>
        <w:t>2</w:t>
      </w:r>
      <w:r>
        <w:rPr>
          <w:rFonts w:ascii="宋体" w:hAnsi="宋体" w:cs="Arial" w:hint="eastAsia"/>
          <w:sz w:val="24"/>
        </w:rPr>
        <w:t>、基金托管人职责终止的情形</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有下列情形之一的，基金托管人职责终止：</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（1）被依法取消基金托管资格；</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（2）被基金份额持有人大会解任；</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（3）依法解散、被依法撤销或被依法宣告破产；</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（4）法律法规及中国证监会规定的和基金合同约定的其他情形。</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（二）基金管理人和基金托管人的更换程序</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sz w:val="24"/>
        </w:rPr>
        <w:t>1</w:t>
      </w:r>
      <w:r>
        <w:rPr>
          <w:rFonts w:ascii="宋体" w:hAnsi="宋体" w:cs="Arial" w:hint="eastAsia"/>
          <w:sz w:val="24"/>
        </w:rPr>
        <w:t>、基金管理人的更换程序</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（1）提名：新任基金管理人由基金托管人或由单独或合计持有10%以上（含10%）基金份额的基金份额持有人提名；</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（3）临时基金管理人：新任基金管理人产生之前，由中国证监会指定临时基金管理人；</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（4）备案：基金份额持有人大会更换基金管理人的决议须报中国证监会备案；</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（5）公告：基金管理人更换后，由基金托管人在更换基金管理人的基金份额持有人大会决议生效后依照《信息披露办法》的有关规定在规定媒介公告；</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（6）交接：基金管理人职责终止的，基金管理人应妥善保管基金管理业务</w:t>
      </w:r>
      <w:r>
        <w:rPr>
          <w:rFonts w:ascii="宋体" w:hAnsi="宋体" w:cs="Arial" w:hint="eastAsia"/>
          <w:sz w:val="24"/>
        </w:rPr>
        <w:lastRenderedPageBreak/>
        <w:t>资料，及时向新任基金管理人或临时基金管理人办理基金管理业务的移交手续，临时基金管理人或新任基金管理人应及时接收。临时基金管理人或新任基金管理人应与基金托管人核对基金资产总值和净值；</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（7）审计：基金管理人职责终止的，应当聘请符合《中华人民共和国证券法》规定的会计师事务所对基金财产进行审计，并将审计结果予以公告，同时报中国证监会备案，审计费用从基金财产中列支；</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（8）基金名称变更：基金管理人更换后，如果原任或新任基金管理人要求，应按其要求替换或删除基金名称中与原基金管理人有关的名称字样。</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sz w:val="24"/>
        </w:rPr>
        <w:t>2</w:t>
      </w:r>
      <w:r>
        <w:rPr>
          <w:rFonts w:ascii="宋体" w:hAnsi="宋体" w:cs="Arial" w:hint="eastAsia"/>
          <w:sz w:val="24"/>
        </w:rPr>
        <w:t>、基金托管人的更换程序</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（1）提名：新任基金托管人由基金管理人或由单独或合计持有10%以上（含10%）基金份额的基金份额持有人提名；</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（3）临时基金托管人：新任基金托管人产生之前，由中国证监会指定临时基金托管人；</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（4）备案：基金份额持有人大会更换基金托管人的决议须报中国证监会备案；</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（5）公告：基金托管人更换后，由基金管理人在更换基金托管人的基金份额持有人大会决议生效后依照《信息披露办法》的有关规定在规定媒介公告；</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6）交接：基金托管人职责终止的，应当妥善保管基金财产和基金托管业务资料，及时办理基金财产和基金托管业务的移交手续，新任基金托管人或者临时基金托管人应当及时接收。新任基金托管人或临时基金托管人应与基金管理人核对基金资产总值和净值；</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（7）审计：基金托管人职责终止的，应当聘请符合《中华人民共和国证券法》规定的会计师事务所对基金财产进行审计，并将审计结果予以公告，同时报中国证监会备案，审计费用从基金财产中列支。</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3、基金管理人与基金托管人同时更换的条件和程序</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（1）提名：如果基金管理人和基金托管人同时更换，由单独或合计持有10%以上（含10%）基金份额的基金份额持有人提名新的基金管理人和基金托管人；</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lastRenderedPageBreak/>
        <w:t>（</w:t>
      </w:r>
      <w:r>
        <w:rPr>
          <w:rFonts w:ascii="宋体" w:hAnsi="宋体" w:cs="Arial"/>
          <w:sz w:val="24"/>
        </w:rPr>
        <w:t>2</w:t>
      </w:r>
      <w:r>
        <w:rPr>
          <w:rFonts w:ascii="宋体" w:hAnsi="宋体" w:cs="Arial" w:hint="eastAsia"/>
          <w:sz w:val="24"/>
        </w:rPr>
        <w:t>）基金管理人和基金托管人的更换分别按上述程序进行；</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（3）公告：新任基金管理人和新任基金托管人应在更换基金管理人和基金托管人的基金份额持有人大会决议生效后依照《信息披露办法》的有关规定在规定媒介上联合公告。</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4、新任基金管理人或临时基金管理人接收基金管理业务，或新任基金托管人或临时基金托管人接收基金财产和基金托管业务前，原基金管理人或原基金托管人应继续履行相关职责，并保证不做出对基金份额持有人的利益造成损害的行为。原基金管理人或原基金托管人在继续履行相关职责期间，仍有权按照基金合同的规定收取基金管理费或基金托管费。</w:t>
      </w:r>
    </w:p>
    <w:p w:rsidR="00092F67" w:rsidRDefault="00C901CF">
      <w:pPr>
        <w:adjustRightInd w:val="0"/>
        <w:snapToGrid w:val="0"/>
        <w:spacing w:line="360" w:lineRule="auto"/>
        <w:ind w:firstLineChars="177" w:firstLine="425"/>
        <w:rPr>
          <w:rFonts w:ascii="宋体" w:hAnsi="宋体" w:cs="Arial"/>
          <w:sz w:val="24"/>
        </w:rPr>
      </w:pPr>
      <w:r>
        <w:rPr>
          <w:rFonts w:ascii="宋体" w:hAnsi="宋体" w:cs="Arial" w:hint="eastAsia"/>
          <w:sz w:val="24"/>
        </w:rPr>
        <w:t>（三）基金管理人、基金托管人更换条件和程序除应符合本部分的约定外，还应符合基金合同第八部分“基金份额持有人大会”的约定。在基金管理人、基金托管人更换事宜中，凡是直接引用法律法规或监管规则的部分，如将来法律法规或监管规则修改导致相关内容被取消或变更的，基金管理人与基金托管人协商一致，履行适当程序并提前公告后，可直接对相应内容进行修改和调整，无需召开基金份额持有人大会审议。</w:t>
      </w:r>
    </w:p>
    <w:p w:rsidR="00092F67" w:rsidRDefault="00092F67">
      <w:pPr>
        <w:adjustRightInd w:val="0"/>
        <w:snapToGrid w:val="0"/>
        <w:spacing w:line="360" w:lineRule="auto"/>
        <w:ind w:firstLineChars="200" w:firstLine="480"/>
        <w:rPr>
          <w:rFonts w:ascii="宋体" w:hAnsi="宋体" w:cs="Arial"/>
          <w:sz w:val="24"/>
        </w:rPr>
      </w:pPr>
    </w:p>
    <w:p w:rsidR="00092F67" w:rsidRDefault="00C901CF" w:rsidP="00F14E01">
      <w:pPr>
        <w:pStyle w:val="1"/>
        <w:numPr>
          <w:ilvl w:val="0"/>
          <w:numId w:val="32"/>
        </w:numPr>
        <w:spacing w:line="360" w:lineRule="auto"/>
        <w:jc w:val="center"/>
        <w:rPr>
          <w:rFonts w:ascii="宋体" w:hAnsi="宋体"/>
          <w:sz w:val="28"/>
          <w:szCs w:val="28"/>
        </w:rPr>
      </w:pPr>
      <w:r>
        <w:rPr>
          <w:rFonts w:ascii="宋体" w:hAnsi="宋体" w:cs="Arial"/>
          <w:sz w:val="24"/>
          <w:szCs w:val="24"/>
        </w:rPr>
        <w:br w:type="page"/>
      </w:r>
      <w:bookmarkStart w:id="248" w:name="_Toc295832972"/>
      <w:bookmarkStart w:id="249" w:name="_Toc295833032"/>
      <w:bookmarkStart w:id="250" w:name="_Toc295833703"/>
      <w:bookmarkStart w:id="251" w:name="_Toc270669866"/>
      <w:bookmarkStart w:id="252" w:name="_Toc366835709"/>
      <w:bookmarkStart w:id="253" w:name="_Toc124325899"/>
      <w:bookmarkStart w:id="254" w:name="_Toc355859328"/>
      <w:bookmarkEnd w:id="248"/>
      <w:bookmarkEnd w:id="249"/>
      <w:bookmarkEnd w:id="250"/>
      <w:r>
        <w:rPr>
          <w:rFonts w:ascii="宋体" w:hAnsi="宋体" w:hint="eastAsia"/>
          <w:sz w:val="28"/>
          <w:szCs w:val="28"/>
        </w:rPr>
        <w:lastRenderedPageBreak/>
        <w:t>禁止行为</w:t>
      </w:r>
      <w:bookmarkEnd w:id="251"/>
      <w:bookmarkEnd w:id="252"/>
      <w:bookmarkEnd w:id="253"/>
      <w:bookmarkEnd w:id="254"/>
    </w:p>
    <w:p w:rsidR="00092F67" w:rsidRDefault="00C901CF">
      <w:pPr>
        <w:snapToGrid w:val="0"/>
        <w:spacing w:line="360" w:lineRule="auto"/>
        <w:ind w:firstLineChars="200" w:firstLine="480"/>
        <w:rPr>
          <w:rFonts w:ascii="宋体" w:hAnsi="宋体"/>
          <w:sz w:val="24"/>
        </w:rPr>
      </w:pPr>
      <w:r>
        <w:rPr>
          <w:rFonts w:ascii="宋体" w:hAnsi="宋体" w:hint="eastAsia"/>
          <w:sz w:val="24"/>
        </w:rPr>
        <w:t>本协议当事人禁止从事的行为，包括但不限于：</w:t>
      </w:r>
    </w:p>
    <w:p w:rsidR="00092F67" w:rsidRDefault="00C901CF">
      <w:pPr>
        <w:snapToGrid w:val="0"/>
        <w:spacing w:line="360" w:lineRule="auto"/>
        <w:ind w:firstLineChars="200" w:firstLine="480"/>
        <w:rPr>
          <w:rFonts w:ascii="宋体" w:hAnsi="宋体"/>
          <w:sz w:val="24"/>
        </w:rPr>
      </w:pPr>
      <w:r>
        <w:rPr>
          <w:rFonts w:ascii="宋体" w:hAnsi="宋体" w:hint="eastAsia"/>
          <w:sz w:val="24"/>
        </w:rPr>
        <w:t>（一）基金管理人、基金托管人将其固有财产或者他人财产混同于基金财产从事证券投资。</w:t>
      </w:r>
    </w:p>
    <w:p w:rsidR="00092F67" w:rsidRDefault="00C901CF">
      <w:pPr>
        <w:snapToGrid w:val="0"/>
        <w:spacing w:line="360" w:lineRule="auto"/>
        <w:ind w:firstLineChars="200" w:firstLine="480"/>
        <w:rPr>
          <w:rFonts w:ascii="宋体" w:hAnsi="宋体"/>
          <w:sz w:val="24"/>
        </w:rPr>
      </w:pPr>
      <w:r>
        <w:rPr>
          <w:rFonts w:ascii="宋体" w:hAnsi="宋体" w:hint="eastAsia"/>
          <w:sz w:val="24"/>
        </w:rPr>
        <w:t>（二）基金管理人不公平地对待其管理的不同基金财产，基金托管人不公平地对待其托管的不同基金财产。</w:t>
      </w:r>
    </w:p>
    <w:p w:rsidR="00092F67" w:rsidRDefault="00C901CF">
      <w:pPr>
        <w:snapToGrid w:val="0"/>
        <w:spacing w:line="360" w:lineRule="auto"/>
        <w:ind w:firstLineChars="200" w:firstLine="480"/>
        <w:rPr>
          <w:rFonts w:ascii="宋体" w:hAnsi="宋体"/>
          <w:sz w:val="24"/>
        </w:rPr>
      </w:pPr>
      <w:r>
        <w:rPr>
          <w:rFonts w:ascii="宋体" w:hAnsi="宋体" w:hint="eastAsia"/>
          <w:sz w:val="24"/>
        </w:rPr>
        <w:t>（三）基金管理人、基金托管人利用基金财产或职务之便为基金份额持有人以外的人牟取利益。</w:t>
      </w:r>
    </w:p>
    <w:p w:rsidR="00092F67" w:rsidRDefault="00C901CF">
      <w:pPr>
        <w:snapToGrid w:val="0"/>
        <w:spacing w:line="360" w:lineRule="auto"/>
        <w:ind w:firstLineChars="200" w:firstLine="480"/>
        <w:rPr>
          <w:rFonts w:ascii="宋体" w:hAnsi="宋体"/>
          <w:sz w:val="24"/>
        </w:rPr>
      </w:pPr>
      <w:r>
        <w:rPr>
          <w:rFonts w:ascii="宋体" w:hAnsi="宋体" w:hint="eastAsia"/>
          <w:sz w:val="24"/>
        </w:rPr>
        <w:t>（四）基金管理人、基金托管人向基金份额持有人违规承诺收益或者承担损失。</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（五）基金管理人、基金托管人对他人泄露基金运作和管理过程中任何尚未按法律法规规定的方式公开披露的信息。</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sz w:val="24"/>
        </w:rPr>
        <w:t>（六）基金管理人在没有充足资金的情况下向基金托管人发出投资指令和赎回、分红资金的划拨指令，或违规向基金托管人发出指令。</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（七）基金管理人、基金托管人在行政上、财务上不独立，其董事、监事、高级管理人员和其他从业人员相互兼职。</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（八）基金托管人私自动用或处分基金财产，根据基金管理人的合法指令、基金合同或托管协议的规定进行处分的除外。</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（九）基金财产用于下列投资或者活动：</w:t>
      </w:r>
    </w:p>
    <w:p w:rsidR="00092F67" w:rsidRDefault="00C901CF">
      <w:pPr>
        <w:numPr>
          <w:ilvl w:val="0"/>
          <w:numId w:val="24"/>
        </w:numPr>
        <w:adjustRightInd w:val="0"/>
        <w:snapToGrid w:val="0"/>
        <w:spacing w:line="360" w:lineRule="auto"/>
        <w:ind w:left="0" w:firstLine="480"/>
        <w:rPr>
          <w:rStyle w:val="read"/>
          <w:rFonts w:ascii="宋体" w:hAnsi="宋体"/>
          <w:sz w:val="24"/>
        </w:rPr>
      </w:pPr>
      <w:r>
        <w:rPr>
          <w:rStyle w:val="read"/>
          <w:rFonts w:ascii="宋体" w:hAnsi="宋体" w:hint="eastAsia"/>
          <w:sz w:val="24"/>
        </w:rPr>
        <w:t>承销证券；</w:t>
      </w:r>
    </w:p>
    <w:p w:rsidR="00092F67" w:rsidRDefault="00C901CF">
      <w:pPr>
        <w:numPr>
          <w:ilvl w:val="0"/>
          <w:numId w:val="24"/>
        </w:numPr>
        <w:adjustRightInd w:val="0"/>
        <w:snapToGrid w:val="0"/>
        <w:spacing w:line="360" w:lineRule="auto"/>
        <w:ind w:left="0" w:firstLine="480"/>
        <w:rPr>
          <w:rStyle w:val="read"/>
          <w:rFonts w:ascii="宋体" w:hAnsi="宋体"/>
          <w:sz w:val="24"/>
        </w:rPr>
      </w:pPr>
      <w:r>
        <w:rPr>
          <w:rStyle w:val="read"/>
          <w:rFonts w:ascii="宋体" w:hAnsi="宋体" w:hint="eastAsia"/>
          <w:sz w:val="24"/>
        </w:rPr>
        <w:t>违反规定向他人贷款或者提供担保；</w:t>
      </w:r>
    </w:p>
    <w:p w:rsidR="00092F67" w:rsidRDefault="00C901CF">
      <w:pPr>
        <w:numPr>
          <w:ilvl w:val="0"/>
          <w:numId w:val="24"/>
        </w:numPr>
        <w:adjustRightInd w:val="0"/>
        <w:snapToGrid w:val="0"/>
        <w:spacing w:line="360" w:lineRule="auto"/>
        <w:ind w:left="0" w:firstLine="480"/>
        <w:rPr>
          <w:rStyle w:val="read"/>
          <w:rFonts w:ascii="宋体" w:hAnsi="宋体"/>
          <w:sz w:val="24"/>
        </w:rPr>
      </w:pPr>
      <w:r>
        <w:rPr>
          <w:rStyle w:val="read"/>
          <w:rFonts w:ascii="宋体" w:hAnsi="宋体" w:hint="eastAsia"/>
          <w:sz w:val="24"/>
        </w:rPr>
        <w:t>从事承担无限责任的投资；</w:t>
      </w:r>
    </w:p>
    <w:p w:rsidR="00092F67" w:rsidRDefault="00C901CF">
      <w:pPr>
        <w:numPr>
          <w:ilvl w:val="0"/>
          <w:numId w:val="24"/>
        </w:numPr>
        <w:adjustRightInd w:val="0"/>
        <w:snapToGrid w:val="0"/>
        <w:spacing w:line="360" w:lineRule="auto"/>
        <w:ind w:left="0" w:firstLine="426"/>
        <w:rPr>
          <w:rStyle w:val="read"/>
          <w:rFonts w:ascii="宋体" w:hAnsi="宋体"/>
          <w:sz w:val="24"/>
        </w:rPr>
      </w:pPr>
      <w:r>
        <w:rPr>
          <w:rStyle w:val="read"/>
          <w:rFonts w:ascii="宋体" w:hAnsi="宋体" w:hint="eastAsia"/>
          <w:sz w:val="24"/>
        </w:rPr>
        <w:t>本基金持有其他基金中基金；本基金持有具有复杂、衍生品性质的基金份额，包括分级基金和中国证监会认定的其他基金份额；</w:t>
      </w:r>
    </w:p>
    <w:p w:rsidR="00092F67" w:rsidRDefault="00C901CF">
      <w:pPr>
        <w:numPr>
          <w:ilvl w:val="0"/>
          <w:numId w:val="24"/>
        </w:numPr>
        <w:adjustRightInd w:val="0"/>
        <w:snapToGrid w:val="0"/>
        <w:spacing w:line="360" w:lineRule="auto"/>
        <w:ind w:left="0" w:firstLine="480"/>
        <w:rPr>
          <w:rStyle w:val="read"/>
          <w:rFonts w:ascii="宋体" w:hAnsi="宋体"/>
          <w:sz w:val="24"/>
        </w:rPr>
      </w:pPr>
      <w:r>
        <w:rPr>
          <w:rStyle w:val="read"/>
          <w:rFonts w:ascii="宋体" w:hAnsi="宋体" w:hint="eastAsia"/>
          <w:sz w:val="24"/>
        </w:rPr>
        <w:t>向其基金管理人、基金托管人出资；</w:t>
      </w:r>
    </w:p>
    <w:p w:rsidR="00092F67" w:rsidRDefault="00C901CF">
      <w:pPr>
        <w:numPr>
          <w:ilvl w:val="0"/>
          <w:numId w:val="24"/>
        </w:numPr>
        <w:adjustRightInd w:val="0"/>
        <w:snapToGrid w:val="0"/>
        <w:spacing w:line="360" w:lineRule="auto"/>
        <w:ind w:left="0" w:firstLine="480"/>
        <w:rPr>
          <w:rStyle w:val="read"/>
          <w:rFonts w:ascii="宋体" w:hAnsi="宋体"/>
          <w:sz w:val="24"/>
        </w:rPr>
      </w:pPr>
      <w:r>
        <w:rPr>
          <w:rStyle w:val="read"/>
          <w:rFonts w:ascii="宋体" w:hAnsi="宋体" w:hint="eastAsia"/>
          <w:sz w:val="24"/>
        </w:rPr>
        <w:t>从事内幕交易、操纵证券交易价格及其他不正当的证券交易活动；</w:t>
      </w:r>
    </w:p>
    <w:p w:rsidR="00092F67" w:rsidRDefault="00C901CF">
      <w:pPr>
        <w:numPr>
          <w:ilvl w:val="0"/>
          <w:numId w:val="24"/>
        </w:numPr>
        <w:adjustRightInd w:val="0"/>
        <w:snapToGrid w:val="0"/>
        <w:spacing w:line="360" w:lineRule="auto"/>
        <w:ind w:left="0" w:firstLine="480"/>
        <w:rPr>
          <w:rStyle w:val="read"/>
          <w:rFonts w:ascii="宋体" w:hAnsi="宋体"/>
          <w:sz w:val="24"/>
        </w:rPr>
      </w:pPr>
      <w:r>
        <w:rPr>
          <w:rStyle w:val="read"/>
          <w:rFonts w:ascii="宋体" w:hAnsi="宋体" w:hint="eastAsia"/>
          <w:sz w:val="24"/>
        </w:rPr>
        <w:t>法律、行政法规和中国证监会规定禁止的其他活动</w:t>
      </w:r>
      <w:r>
        <w:rPr>
          <w:rStyle w:val="read"/>
          <w:rFonts w:ascii="宋体" w:hAnsi="宋体"/>
          <w:sz w:val="24"/>
        </w:rPr>
        <w:t>。</w:t>
      </w:r>
    </w:p>
    <w:p w:rsidR="00092F67" w:rsidRDefault="00C901CF">
      <w:pPr>
        <w:adjustRightInd w:val="0"/>
        <w:snapToGrid w:val="0"/>
        <w:spacing w:line="360" w:lineRule="auto"/>
        <w:ind w:firstLineChars="200" w:firstLine="480"/>
        <w:rPr>
          <w:rStyle w:val="read"/>
          <w:rFonts w:ascii="宋体" w:hAnsi="宋体"/>
          <w:sz w:val="24"/>
        </w:rPr>
      </w:pPr>
      <w:r>
        <w:rPr>
          <w:rStyle w:val="read"/>
          <w:rFonts w:ascii="宋体" w:hAnsi="宋体" w:hint="eastAsia"/>
          <w:sz w:val="24"/>
        </w:rPr>
        <w:t>如法律、行政法规或监管部门取消或变更上述禁止性规定，如适用于本基金，</w:t>
      </w:r>
      <w:r>
        <w:rPr>
          <w:rStyle w:val="read"/>
          <w:rFonts w:ascii="宋体" w:hAnsi="宋体" w:hint="eastAsia"/>
          <w:sz w:val="24"/>
        </w:rPr>
        <w:lastRenderedPageBreak/>
        <w:t>基金管理人在履行适当程序后，本基金可不受上述规定的限制或以变更后的规定为准。</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（十）基金托管人开展托管业务，不得承担以下职责：</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承担托管产品财产的信用风险、市场风险等；</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为托管产品提供直接或间接、显性或隐性担保，包括承诺本金或保证收益；</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为托管产品垫付资金、提供流动性支持或融资承诺等；</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参与投资者适当性管理；</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保证投资项目及交易信息真实性；</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保证托管产品资金来源的合法合规性；</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对已划出托管账户以及处于托管人实际控制之外的资产承担保管责任；</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参与基金管理人对托管产品的投资决策；</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违规代替基金管理人向其他机构或者个人进行托管产品信息披露或提供相关数据信息；</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基金管理人未接受托管人的复核意见进行信息披露产生的相应责任；</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负责未兑付产品的资金追偿、财产保全、诉讼仲裁、债务重组和破产程序等，法律另有规定的除外；</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因不可抗力，以及非本机构履职错误或过失造成的托管资产损失；</w:t>
      </w:r>
    </w:p>
    <w:p w:rsidR="00092F67" w:rsidRDefault="00C901CF">
      <w:pPr>
        <w:pStyle w:val="a0"/>
        <w:numPr>
          <w:ilvl w:val="0"/>
          <w:numId w:val="25"/>
        </w:numPr>
        <w:spacing w:line="360" w:lineRule="auto"/>
        <w:ind w:left="0" w:firstLineChars="200" w:firstLine="480"/>
        <w:rPr>
          <w:rFonts w:ascii="宋体" w:hAnsi="宋体" w:cs="Arial"/>
          <w:sz w:val="24"/>
          <w:szCs w:val="24"/>
        </w:rPr>
      </w:pPr>
      <w:r>
        <w:rPr>
          <w:rFonts w:ascii="宋体" w:hAnsi="宋体" w:cs="Arial" w:hint="eastAsia"/>
          <w:sz w:val="24"/>
          <w:szCs w:val="24"/>
        </w:rPr>
        <w:t>国务院金融监管部门规定的不属于托管人托管业务范围的其他职责。</w:t>
      </w:r>
    </w:p>
    <w:p w:rsidR="00092F67" w:rsidRDefault="00C901CF">
      <w:pPr>
        <w:pStyle w:val="a0"/>
        <w:spacing w:line="360" w:lineRule="auto"/>
        <w:ind w:firstLineChars="200" w:firstLine="480"/>
        <w:rPr>
          <w:rFonts w:ascii="宋体" w:hAnsi="宋体" w:cs="Arial"/>
          <w:sz w:val="24"/>
          <w:szCs w:val="24"/>
        </w:rPr>
      </w:pPr>
      <w:r>
        <w:rPr>
          <w:rFonts w:ascii="宋体" w:hAnsi="宋体" w:cs="Arial" w:hint="eastAsia"/>
          <w:sz w:val="24"/>
          <w:szCs w:val="24"/>
        </w:rPr>
        <w:t>（十一）基金托管人开展托管业务，不得有以下行为：</w:t>
      </w:r>
    </w:p>
    <w:p w:rsidR="00092F67" w:rsidRDefault="00C901CF">
      <w:pPr>
        <w:pStyle w:val="a0"/>
        <w:numPr>
          <w:ilvl w:val="0"/>
          <w:numId w:val="26"/>
        </w:numPr>
        <w:spacing w:line="360" w:lineRule="auto"/>
        <w:ind w:left="0" w:firstLineChars="200" w:firstLine="480"/>
        <w:rPr>
          <w:rFonts w:ascii="宋体" w:hAnsi="宋体" w:cs="Arial"/>
          <w:sz w:val="24"/>
          <w:szCs w:val="24"/>
        </w:rPr>
      </w:pPr>
      <w:r>
        <w:rPr>
          <w:rFonts w:ascii="宋体" w:hAnsi="宋体" w:cs="Arial" w:hint="eastAsia"/>
          <w:sz w:val="24"/>
          <w:szCs w:val="24"/>
        </w:rPr>
        <w:t>混同管理托管产品财产与自有财产;</w:t>
      </w:r>
    </w:p>
    <w:p w:rsidR="00092F67" w:rsidRDefault="00C901CF">
      <w:pPr>
        <w:pStyle w:val="a0"/>
        <w:numPr>
          <w:ilvl w:val="0"/>
          <w:numId w:val="26"/>
        </w:numPr>
        <w:spacing w:line="360" w:lineRule="auto"/>
        <w:ind w:left="0" w:firstLineChars="200" w:firstLine="480"/>
        <w:rPr>
          <w:rFonts w:ascii="宋体" w:hAnsi="宋体" w:cs="Arial"/>
          <w:sz w:val="24"/>
          <w:szCs w:val="24"/>
        </w:rPr>
      </w:pPr>
      <w:r>
        <w:rPr>
          <w:rFonts w:ascii="宋体" w:hAnsi="宋体" w:cs="Arial" w:hint="eastAsia"/>
          <w:sz w:val="24"/>
          <w:szCs w:val="24"/>
        </w:rPr>
        <w:t>混同管理不同托管产品持有的财产；</w:t>
      </w:r>
    </w:p>
    <w:p w:rsidR="00092F67" w:rsidRDefault="00C901CF">
      <w:pPr>
        <w:pStyle w:val="a0"/>
        <w:numPr>
          <w:ilvl w:val="0"/>
          <w:numId w:val="26"/>
        </w:numPr>
        <w:spacing w:line="360" w:lineRule="auto"/>
        <w:ind w:left="0" w:firstLineChars="200" w:firstLine="480"/>
        <w:rPr>
          <w:rFonts w:ascii="宋体" w:hAnsi="宋体" w:cs="Arial"/>
          <w:sz w:val="24"/>
          <w:szCs w:val="24"/>
        </w:rPr>
      </w:pPr>
      <w:r>
        <w:rPr>
          <w:rFonts w:ascii="宋体" w:hAnsi="宋体" w:cs="Arial" w:hint="eastAsia"/>
          <w:sz w:val="24"/>
          <w:szCs w:val="24"/>
        </w:rPr>
        <w:t>侵占、挪用托管产品财产；</w:t>
      </w:r>
    </w:p>
    <w:p w:rsidR="00092F67" w:rsidRDefault="00C901CF">
      <w:pPr>
        <w:pStyle w:val="a0"/>
        <w:numPr>
          <w:ilvl w:val="0"/>
          <w:numId w:val="26"/>
        </w:numPr>
        <w:spacing w:line="360" w:lineRule="auto"/>
        <w:ind w:left="0" w:firstLineChars="200" w:firstLine="480"/>
        <w:rPr>
          <w:rFonts w:ascii="宋体" w:hAnsi="宋体" w:cs="Arial"/>
          <w:sz w:val="24"/>
          <w:szCs w:val="24"/>
        </w:rPr>
      </w:pPr>
      <w:r>
        <w:rPr>
          <w:rFonts w:ascii="宋体" w:hAnsi="宋体" w:cs="Arial" w:hint="eastAsia"/>
          <w:sz w:val="24"/>
          <w:szCs w:val="24"/>
        </w:rPr>
        <w:t>非法利用内部信息谋取不正当利益；</w:t>
      </w:r>
    </w:p>
    <w:p w:rsidR="00092F67" w:rsidRDefault="00C901CF">
      <w:pPr>
        <w:pStyle w:val="a0"/>
        <w:numPr>
          <w:ilvl w:val="0"/>
          <w:numId w:val="26"/>
        </w:numPr>
        <w:spacing w:line="360" w:lineRule="auto"/>
        <w:ind w:left="0" w:firstLineChars="200" w:firstLine="480"/>
        <w:rPr>
          <w:rFonts w:ascii="宋体" w:hAnsi="宋体" w:cs="Arial"/>
          <w:sz w:val="24"/>
          <w:szCs w:val="24"/>
        </w:rPr>
      </w:pPr>
      <w:r>
        <w:rPr>
          <w:rFonts w:ascii="宋体" w:hAnsi="宋体" w:cs="Arial" w:hint="eastAsia"/>
          <w:sz w:val="24"/>
          <w:szCs w:val="24"/>
        </w:rPr>
        <w:t>利用或者承诺利用托管业务进行利益输送或利益交换；</w:t>
      </w:r>
    </w:p>
    <w:p w:rsidR="00092F67" w:rsidRDefault="00C901CF">
      <w:pPr>
        <w:pStyle w:val="a0"/>
        <w:numPr>
          <w:ilvl w:val="0"/>
          <w:numId w:val="26"/>
        </w:numPr>
        <w:spacing w:line="360" w:lineRule="auto"/>
        <w:ind w:left="0" w:firstLineChars="200" w:firstLine="480"/>
        <w:rPr>
          <w:rFonts w:ascii="宋体" w:hAnsi="宋体" w:cs="Arial"/>
          <w:sz w:val="24"/>
          <w:szCs w:val="24"/>
        </w:rPr>
      </w:pPr>
      <w:r>
        <w:rPr>
          <w:rFonts w:ascii="宋体" w:hAnsi="宋体" w:cs="Arial" w:hint="eastAsia"/>
          <w:sz w:val="24"/>
          <w:szCs w:val="24"/>
        </w:rPr>
        <w:t>法律法规、监管规定禁止的其他行为。</w:t>
      </w:r>
    </w:p>
    <w:p w:rsidR="00092F67" w:rsidRDefault="00C901CF">
      <w:pPr>
        <w:pStyle w:val="a0"/>
        <w:spacing w:line="360" w:lineRule="auto"/>
        <w:ind w:firstLineChars="200" w:firstLine="480"/>
        <w:rPr>
          <w:rFonts w:ascii="宋体" w:hAnsi="宋体" w:cs="Arial"/>
          <w:sz w:val="24"/>
          <w:szCs w:val="24"/>
        </w:rPr>
      </w:pPr>
      <w:r>
        <w:rPr>
          <w:rFonts w:ascii="宋体" w:hAnsi="宋体" w:cs="Arial" w:hint="eastAsia"/>
          <w:sz w:val="24"/>
          <w:szCs w:val="24"/>
        </w:rPr>
        <w:t>（十二）基金托管人开展托管业务发生下列情形的，应当按照相关规定，及时向基金管理人等相关方的监管部门或主管部门报告：</w:t>
      </w:r>
    </w:p>
    <w:p w:rsidR="00092F67" w:rsidRDefault="00C901CF">
      <w:pPr>
        <w:pStyle w:val="a0"/>
        <w:numPr>
          <w:ilvl w:val="0"/>
          <w:numId w:val="27"/>
        </w:numPr>
        <w:spacing w:line="360" w:lineRule="auto"/>
        <w:ind w:left="0" w:firstLineChars="200" w:firstLine="480"/>
        <w:rPr>
          <w:rFonts w:ascii="宋体" w:hAnsi="宋体" w:cs="Arial"/>
          <w:sz w:val="24"/>
          <w:szCs w:val="24"/>
        </w:rPr>
      </w:pPr>
      <w:r>
        <w:rPr>
          <w:rFonts w:ascii="宋体" w:hAnsi="宋体" w:cs="Arial" w:hint="eastAsia"/>
          <w:sz w:val="24"/>
          <w:szCs w:val="24"/>
        </w:rPr>
        <w:t>基金管理人违反法律法规规定或合同约定进行投资且拒不纠正的；</w:t>
      </w:r>
    </w:p>
    <w:p w:rsidR="00092F67" w:rsidRDefault="00C901CF">
      <w:pPr>
        <w:pStyle w:val="a0"/>
        <w:numPr>
          <w:ilvl w:val="0"/>
          <w:numId w:val="27"/>
        </w:numPr>
        <w:spacing w:line="360" w:lineRule="auto"/>
        <w:ind w:left="0" w:firstLineChars="200" w:firstLine="480"/>
        <w:rPr>
          <w:rFonts w:ascii="宋体" w:hAnsi="宋体" w:cs="Arial"/>
          <w:sz w:val="24"/>
          <w:szCs w:val="24"/>
        </w:rPr>
      </w:pPr>
      <w:r>
        <w:rPr>
          <w:rFonts w:ascii="宋体" w:hAnsi="宋体" w:cs="Arial" w:hint="eastAsia"/>
          <w:sz w:val="24"/>
          <w:szCs w:val="24"/>
        </w:rPr>
        <w:lastRenderedPageBreak/>
        <w:t>基金管理人发布未经托管机构复核的产品估值结果，或未对估值不一致事项进行说明的;</w:t>
      </w:r>
    </w:p>
    <w:p w:rsidR="00092F67" w:rsidRDefault="00C901CF">
      <w:pPr>
        <w:pStyle w:val="a0"/>
        <w:numPr>
          <w:ilvl w:val="0"/>
          <w:numId w:val="27"/>
        </w:numPr>
        <w:spacing w:line="360" w:lineRule="auto"/>
        <w:ind w:left="0" w:firstLineChars="200" w:firstLine="480"/>
        <w:rPr>
          <w:rFonts w:ascii="宋体" w:hAnsi="宋体" w:cs="Arial"/>
          <w:sz w:val="24"/>
          <w:szCs w:val="24"/>
        </w:rPr>
      </w:pPr>
      <w:r>
        <w:rPr>
          <w:rFonts w:ascii="宋体" w:hAnsi="宋体" w:cs="Arial" w:hint="eastAsia"/>
          <w:sz w:val="24"/>
          <w:szCs w:val="24"/>
        </w:rPr>
        <w:t>基金管理人拒不履行托管协议、被依法取消业务资格、被依法解散撤销的；</w:t>
      </w:r>
    </w:p>
    <w:p w:rsidR="00092F67" w:rsidRDefault="00C901CF">
      <w:pPr>
        <w:pStyle w:val="a0"/>
        <w:numPr>
          <w:ilvl w:val="0"/>
          <w:numId w:val="27"/>
        </w:numPr>
        <w:spacing w:line="360" w:lineRule="auto"/>
        <w:ind w:left="0" w:firstLineChars="200" w:firstLine="480"/>
        <w:rPr>
          <w:rFonts w:ascii="宋体" w:hAnsi="宋体" w:cs="Arial"/>
          <w:sz w:val="24"/>
          <w:szCs w:val="24"/>
        </w:rPr>
      </w:pPr>
      <w:r>
        <w:rPr>
          <w:rFonts w:ascii="宋体" w:hAnsi="宋体" w:cs="Arial" w:hint="eastAsia"/>
          <w:sz w:val="24"/>
          <w:szCs w:val="24"/>
        </w:rPr>
        <w:t>发现基金管理人侵占、挪用产品财产或者失联的；</w:t>
      </w:r>
    </w:p>
    <w:p w:rsidR="00092F67" w:rsidRDefault="00C901CF">
      <w:pPr>
        <w:pStyle w:val="a0"/>
        <w:numPr>
          <w:ilvl w:val="0"/>
          <w:numId w:val="27"/>
        </w:numPr>
        <w:spacing w:line="360" w:lineRule="auto"/>
        <w:ind w:left="0" w:firstLineChars="200" w:firstLine="480"/>
        <w:rPr>
          <w:rFonts w:ascii="宋体" w:hAnsi="宋体" w:cs="Arial"/>
          <w:sz w:val="24"/>
          <w:szCs w:val="24"/>
        </w:rPr>
      </w:pPr>
      <w:r>
        <w:rPr>
          <w:rFonts w:ascii="宋体" w:hAnsi="宋体" w:cs="Arial" w:hint="eastAsia"/>
          <w:sz w:val="24"/>
          <w:szCs w:val="24"/>
        </w:rPr>
        <w:t>相关监管部门或主管部门规定的其他情形。</w:t>
      </w:r>
    </w:p>
    <w:p w:rsidR="00092F67" w:rsidRDefault="00C901CF">
      <w:pPr>
        <w:pStyle w:val="a0"/>
        <w:spacing w:line="360" w:lineRule="auto"/>
        <w:ind w:firstLineChars="200" w:firstLine="480"/>
        <w:rPr>
          <w:rFonts w:ascii="宋体" w:hAnsi="宋体" w:cs="Arial"/>
          <w:sz w:val="24"/>
          <w:szCs w:val="24"/>
        </w:rPr>
      </w:pPr>
      <w:r>
        <w:rPr>
          <w:rFonts w:ascii="宋体" w:hAnsi="宋体" w:cs="Arial" w:hint="eastAsia"/>
          <w:sz w:val="24"/>
          <w:szCs w:val="24"/>
        </w:rPr>
        <w:t>（十三）基金托管人应当有效保护和合理利用托管业务数据和客户信息，不得违反法律法规规定和托管协议约定，收集、存储、使用、加工、传输、提供、公开、删除托管业务相关数据信息。</w:t>
      </w:r>
    </w:p>
    <w:p w:rsidR="00092F67" w:rsidRDefault="00C901CF">
      <w:pPr>
        <w:pStyle w:val="a0"/>
        <w:spacing w:line="360" w:lineRule="auto"/>
        <w:ind w:firstLineChars="200" w:firstLine="480"/>
        <w:rPr>
          <w:rFonts w:ascii="宋体" w:hAnsi="宋体" w:cs="Arial"/>
          <w:sz w:val="24"/>
          <w:szCs w:val="24"/>
        </w:rPr>
      </w:pPr>
      <w:r>
        <w:rPr>
          <w:rFonts w:ascii="宋体" w:hAnsi="宋体" w:cs="Arial" w:hint="eastAsia"/>
          <w:sz w:val="24"/>
          <w:szCs w:val="24"/>
        </w:rPr>
        <w:t>（十四）法律法规和基金合同禁止的其他行为，以及依照法律、行政法规有关规定，由中国证监会规定禁止基金管理人、基金托管人从事的其他行为。</w:t>
      </w:r>
    </w:p>
    <w:p w:rsidR="00092F67" w:rsidRDefault="00092F67">
      <w:pPr>
        <w:adjustRightInd w:val="0"/>
        <w:snapToGrid w:val="0"/>
        <w:spacing w:line="360" w:lineRule="auto"/>
        <w:ind w:firstLineChars="200" w:firstLine="480"/>
        <w:rPr>
          <w:rFonts w:ascii="宋体" w:hAnsi="宋体" w:cs="Arial"/>
          <w:sz w:val="24"/>
        </w:rPr>
      </w:pPr>
    </w:p>
    <w:p w:rsidR="00092F67" w:rsidRDefault="00C901CF" w:rsidP="00F14E01">
      <w:pPr>
        <w:pStyle w:val="1"/>
        <w:numPr>
          <w:ilvl w:val="0"/>
          <w:numId w:val="32"/>
        </w:numPr>
        <w:spacing w:line="360" w:lineRule="auto"/>
        <w:jc w:val="center"/>
        <w:rPr>
          <w:rFonts w:ascii="宋体" w:hAnsi="宋体"/>
          <w:sz w:val="28"/>
          <w:szCs w:val="28"/>
        </w:rPr>
      </w:pPr>
      <w:r>
        <w:rPr>
          <w:rFonts w:ascii="宋体" w:hAnsi="宋体"/>
          <w:sz w:val="24"/>
          <w:szCs w:val="24"/>
        </w:rPr>
        <w:br w:type="page"/>
      </w:r>
      <w:bookmarkStart w:id="255" w:name="_Toc295832974"/>
      <w:bookmarkStart w:id="256" w:name="_Toc295833705"/>
      <w:bookmarkStart w:id="257" w:name="_Toc295833034"/>
      <w:bookmarkStart w:id="258" w:name="_Toc355859329"/>
      <w:bookmarkStart w:id="259" w:name="_Toc124325900"/>
      <w:bookmarkStart w:id="260" w:name="_Toc366835710"/>
      <w:bookmarkStart w:id="261" w:name="_Toc270669867"/>
      <w:bookmarkEnd w:id="255"/>
      <w:bookmarkEnd w:id="256"/>
      <w:bookmarkEnd w:id="257"/>
      <w:r>
        <w:rPr>
          <w:rFonts w:ascii="宋体" w:hAnsi="宋体" w:hint="eastAsia"/>
          <w:sz w:val="28"/>
          <w:szCs w:val="28"/>
        </w:rPr>
        <w:lastRenderedPageBreak/>
        <w:t>托管协议的变更、终止与基金财产的清算</w:t>
      </w:r>
      <w:bookmarkEnd w:id="258"/>
      <w:bookmarkEnd w:id="259"/>
      <w:bookmarkEnd w:id="260"/>
      <w:bookmarkEnd w:id="261"/>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（一）托管协议的变更程序</w:t>
      </w:r>
    </w:p>
    <w:p w:rsidR="00092F67" w:rsidRDefault="00C901CF">
      <w:pPr>
        <w:adjustRightInd w:val="0"/>
        <w:snapToGrid w:val="0"/>
        <w:spacing w:line="360" w:lineRule="auto"/>
        <w:ind w:firstLineChars="200" w:firstLine="480"/>
        <w:rPr>
          <w:rFonts w:ascii="宋体" w:hAnsi="宋体"/>
          <w:sz w:val="24"/>
        </w:rPr>
      </w:pPr>
      <w:r>
        <w:rPr>
          <w:rFonts w:ascii="宋体" w:hAnsi="宋体" w:cs="Arial" w:hint="eastAsia"/>
          <w:sz w:val="24"/>
        </w:rPr>
        <w:t>本协议双方当事人经协商一致，可以对协议进行修改。修改后的新协议，其内容不得与基金合同的规定有任何冲突。变更托管协议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（二）基金托管协议终止出现的情形</w:t>
      </w:r>
    </w:p>
    <w:p w:rsidR="00092F67" w:rsidRDefault="00C901CF">
      <w:pPr>
        <w:numPr>
          <w:ilvl w:val="0"/>
          <w:numId w:val="28"/>
        </w:numPr>
        <w:adjustRightInd w:val="0"/>
        <w:snapToGrid w:val="0"/>
        <w:spacing w:line="360" w:lineRule="auto"/>
        <w:ind w:left="0" w:firstLine="480"/>
        <w:rPr>
          <w:rStyle w:val="read"/>
          <w:rFonts w:ascii="宋体" w:hAnsi="宋体"/>
          <w:sz w:val="24"/>
        </w:rPr>
      </w:pPr>
      <w:r>
        <w:rPr>
          <w:rStyle w:val="read"/>
          <w:rFonts w:ascii="宋体" w:hAnsi="宋体" w:hint="eastAsia"/>
          <w:sz w:val="24"/>
        </w:rPr>
        <w:t>基金合同终止；</w:t>
      </w:r>
    </w:p>
    <w:p w:rsidR="00092F67" w:rsidRDefault="00C901CF">
      <w:pPr>
        <w:numPr>
          <w:ilvl w:val="0"/>
          <w:numId w:val="28"/>
        </w:numPr>
        <w:adjustRightInd w:val="0"/>
        <w:snapToGrid w:val="0"/>
        <w:spacing w:line="360" w:lineRule="auto"/>
        <w:ind w:left="0" w:firstLine="480"/>
        <w:rPr>
          <w:rStyle w:val="read"/>
          <w:rFonts w:ascii="宋体" w:hAnsi="宋体"/>
          <w:sz w:val="24"/>
        </w:rPr>
      </w:pPr>
      <w:r>
        <w:rPr>
          <w:rStyle w:val="read"/>
          <w:rFonts w:ascii="宋体" w:hAnsi="宋体" w:hint="eastAsia"/>
          <w:sz w:val="24"/>
        </w:rPr>
        <w:t>基金托管人解散、依法被撤销、破产或由其他基金托管人接管基金资产；</w:t>
      </w:r>
    </w:p>
    <w:p w:rsidR="00092F67" w:rsidRDefault="00C901CF">
      <w:pPr>
        <w:numPr>
          <w:ilvl w:val="0"/>
          <w:numId w:val="28"/>
        </w:numPr>
        <w:adjustRightInd w:val="0"/>
        <w:snapToGrid w:val="0"/>
        <w:spacing w:line="360" w:lineRule="auto"/>
        <w:ind w:left="0" w:firstLine="480"/>
        <w:rPr>
          <w:rStyle w:val="read"/>
          <w:rFonts w:ascii="宋体" w:hAnsi="宋体"/>
          <w:sz w:val="24"/>
        </w:rPr>
      </w:pPr>
      <w:r>
        <w:rPr>
          <w:rStyle w:val="read"/>
          <w:rFonts w:ascii="宋体" w:hAnsi="宋体" w:hint="eastAsia"/>
          <w:sz w:val="24"/>
        </w:rPr>
        <w:t>基金管理人解散、依法被撤销、破产或由其他基金管理人接管基金管理权；</w:t>
      </w:r>
    </w:p>
    <w:p w:rsidR="00092F67" w:rsidRDefault="00C901CF">
      <w:pPr>
        <w:numPr>
          <w:ilvl w:val="0"/>
          <w:numId w:val="28"/>
        </w:numPr>
        <w:adjustRightInd w:val="0"/>
        <w:snapToGrid w:val="0"/>
        <w:spacing w:line="360" w:lineRule="auto"/>
        <w:ind w:left="0" w:firstLine="480"/>
        <w:rPr>
          <w:rStyle w:val="read"/>
          <w:rFonts w:ascii="宋体" w:hAnsi="宋体"/>
          <w:sz w:val="24"/>
        </w:rPr>
      </w:pPr>
      <w:r>
        <w:rPr>
          <w:rStyle w:val="read"/>
          <w:rFonts w:ascii="宋体" w:hAnsi="宋体" w:hint="eastAsia"/>
          <w:sz w:val="24"/>
        </w:rPr>
        <w:t>发生法律法规</w:t>
      </w:r>
      <w:r>
        <w:rPr>
          <w:rFonts w:hint="eastAsia"/>
          <w:color w:val="000000"/>
          <w:sz w:val="24"/>
        </w:rPr>
        <w:t>、中国证监会</w:t>
      </w:r>
      <w:r>
        <w:rPr>
          <w:rStyle w:val="read"/>
          <w:rFonts w:ascii="宋体" w:hAnsi="宋体" w:hint="eastAsia"/>
          <w:sz w:val="24"/>
        </w:rPr>
        <w:t>或基金合同规定的终止事项。</w:t>
      </w:r>
    </w:p>
    <w:p w:rsidR="00092F67" w:rsidRDefault="00C901CF">
      <w:pPr>
        <w:pStyle w:val="a0"/>
        <w:spacing w:line="360" w:lineRule="auto"/>
        <w:ind w:firstLineChars="200" w:firstLine="480"/>
        <w:rPr>
          <w:rStyle w:val="read"/>
          <w:rFonts w:ascii="宋体" w:hAnsi="宋体"/>
          <w:sz w:val="24"/>
          <w:szCs w:val="24"/>
        </w:rPr>
      </w:pPr>
      <w:r>
        <w:rPr>
          <w:rStyle w:val="read"/>
          <w:rFonts w:ascii="宋体" w:hAnsi="宋体" w:hint="eastAsia"/>
          <w:sz w:val="24"/>
          <w:szCs w:val="24"/>
        </w:rPr>
        <w:t>如基金管理人存在拒不履行托管协议、被依法取消业务资格、被依法解散撤销等情形的，基金托管人可根据规定，采取有关措施保护财产安全，并及时告知相关方。在采取必要、合理措施保障投资者合法权益的前提下，基金托管人有权终止托管服务。</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（三）基金财产的清算</w:t>
      </w:r>
    </w:p>
    <w:p w:rsidR="00092F67" w:rsidRDefault="00C901CF">
      <w:pPr>
        <w:numPr>
          <w:ilvl w:val="0"/>
          <w:numId w:val="29"/>
        </w:numPr>
        <w:autoSpaceDE w:val="0"/>
        <w:autoSpaceDN w:val="0"/>
        <w:adjustRightInd w:val="0"/>
        <w:spacing w:line="360" w:lineRule="auto"/>
        <w:ind w:left="0" w:firstLine="425"/>
        <w:jc w:val="left"/>
        <w:rPr>
          <w:rFonts w:ascii="宋体" w:hAnsi="宋体"/>
          <w:sz w:val="24"/>
        </w:rPr>
      </w:pPr>
      <w:r>
        <w:rPr>
          <w:rFonts w:ascii="宋体" w:hAnsi="宋体" w:hint="eastAsia"/>
          <w:sz w:val="24"/>
        </w:rPr>
        <w:t>基金财产清算小组</w:t>
      </w:r>
    </w:p>
    <w:p w:rsidR="00092F67" w:rsidRDefault="00C901CF">
      <w:pPr>
        <w:numPr>
          <w:ilvl w:val="0"/>
          <w:numId w:val="30"/>
        </w:numPr>
        <w:autoSpaceDE w:val="0"/>
        <w:autoSpaceDN w:val="0"/>
        <w:adjustRightInd w:val="0"/>
        <w:spacing w:line="360" w:lineRule="auto"/>
        <w:ind w:left="0" w:firstLine="426"/>
        <w:jc w:val="left"/>
        <w:rPr>
          <w:rFonts w:ascii="宋体" w:hAnsi="宋体"/>
          <w:sz w:val="24"/>
        </w:rPr>
      </w:pPr>
      <w:r>
        <w:rPr>
          <w:bCs/>
          <w:sz w:val="24"/>
        </w:rPr>
        <w:t>自出现基金合同终止事由之日起</w:t>
      </w:r>
      <w:r>
        <w:rPr>
          <w:bCs/>
          <w:sz w:val="24"/>
        </w:rPr>
        <w:t>30</w:t>
      </w:r>
      <w:r>
        <w:rPr>
          <w:bCs/>
          <w:sz w:val="24"/>
        </w:rPr>
        <w:t>个工作日内</w:t>
      </w:r>
      <w:r>
        <w:rPr>
          <w:rFonts w:ascii="宋体" w:hAnsi="宋体" w:hint="eastAsia"/>
          <w:sz w:val="24"/>
        </w:rPr>
        <w:t>成立基金财产清算小组，</w:t>
      </w:r>
      <w:r>
        <w:rPr>
          <w:bCs/>
          <w:sz w:val="24"/>
        </w:rPr>
        <w:t>基金管理人组织</w:t>
      </w:r>
      <w:r>
        <w:rPr>
          <w:rFonts w:ascii="宋体" w:hAnsi="宋体" w:hint="eastAsia"/>
          <w:sz w:val="24"/>
        </w:rPr>
        <w:t>基金财产清算小组并在中国证监会的监督下进行基金清算。</w:t>
      </w:r>
    </w:p>
    <w:p w:rsidR="00092F67" w:rsidRDefault="00C901CF">
      <w:pPr>
        <w:numPr>
          <w:ilvl w:val="0"/>
          <w:numId w:val="30"/>
        </w:numPr>
        <w:autoSpaceDE w:val="0"/>
        <w:autoSpaceDN w:val="0"/>
        <w:adjustRightInd w:val="0"/>
        <w:spacing w:line="360" w:lineRule="auto"/>
        <w:ind w:left="0" w:firstLine="426"/>
        <w:jc w:val="left"/>
        <w:rPr>
          <w:rFonts w:ascii="宋体" w:hAnsi="宋体"/>
          <w:sz w:val="24"/>
        </w:rPr>
      </w:pPr>
      <w:r>
        <w:rPr>
          <w:rFonts w:hint="eastAsia"/>
          <w:color w:val="000000"/>
          <w:sz w:val="24"/>
        </w:rPr>
        <w:t>在基金财产清算小组接管基金财产之前，基金管理人和基金托管人应按照基金合同和托管协议的规定继续履行保护基金财产安全的职责。</w:t>
      </w:r>
    </w:p>
    <w:p w:rsidR="00092F67" w:rsidRDefault="00C901CF">
      <w:pPr>
        <w:numPr>
          <w:ilvl w:val="0"/>
          <w:numId w:val="30"/>
        </w:numPr>
        <w:autoSpaceDE w:val="0"/>
        <w:autoSpaceDN w:val="0"/>
        <w:adjustRightInd w:val="0"/>
        <w:spacing w:line="360" w:lineRule="auto"/>
        <w:ind w:left="0" w:firstLine="425"/>
        <w:jc w:val="left"/>
        <w:rPr>
          <w:rFonts w:ascii="宋体" w:hAnsi="宋体"/>
          <w:sz w:val="24"/>
        </w:rPr>
      </w:pPr>
      <w:r>
        <w:rPr>
          <w:rFonts w:ascii="宋体" w:hAnsi="宋体" w:hint="eastAsia"/>
          <w:sz w:val="24"/>
        </w:rPr>
        <w:t>基金财产清算小组成员由基金管理人、基金托管人、符合《中华人民共和国证券法》规定的注册会计师、律师组成。基金财产清算小组可以聘用必要的工作人员。</w:t>
      </w:r>
    </w:p>
    <w:p w:rsidR="00092F67" w:rsidRDefault="00C901CF">
      <w:pPr>
        <w:numPr>
          <w:ilvl w:val="0"/>
          <w:numId w:val="30"/>
        </w:numPr>
        <w:autoSpaceDE w:val="0"/>
        <w:autoSpaceDN w:val="0"/>
        <w:adjustRightInd w:val="0"/>
        <w:spacing w:line="360" w:lineRule="auto"/>
        <w:ind w:left="0" w:firstLine="425"/>
        <w:jc w:val="left"/>
        <w:rPr>
          <w:rFonts w:ascii="宋体" w:hAnsi="宋体"/>
          <w:sz w:val="24"/>
        </w:rPr>
      </w:pPr>
      <w:r>
        <w:rPr>
          <w:rFonts w:ascii="宋体" w:hAnsi="宋体" w:hint="eastAsia"/>
          <w:sz w:val="24"/>
        </w:rPr>
        <w:t>基金财产清算小组负责基金财产的保管、清理、估价、变现和分配。基金财产清算小组可以依法进行必要的民事活动。</w:t>
      </w:r>
    </w:p>
    <w:p w:rsidR="00092F67" w:rsidRDefault="00C901CF">
      <w:pPr>
        <w:numPr>
          <w:ilvl w:val="0"/>
          <w:numId w:val="29"/>
        </w:numPr>
        <w:autoSpaceDE w:val="0"/>
        <w:autoSpaceDN w:val="0"/>
        <w:adjustRightInd w:val="0"/>
        <w:spacing w:line="360" w:lineRule="auto"/>
        <w:ind w:left="0" w:firstLineChars="177" w:firstLine="425"/>
        <w:jc w:val="left"/>
        <w:rPr>
          <w:rFonts w:ascii="宋体" w:hAnsi="宋体"/>
          <w:sz w:val="24"/>
        </w:rPr>
      </w:pPr>
      <w:r>
        <w:rPr>
          <w:rFonts w:ascii="宋体" w:hAnsi="宋体" w:hint="eastAsia"/>
          <w:sz w:val="24"/>
        </w:rPr>
        <w:lastRenderedPageBreak/>
        <w:t>基金财产清算程序</w:t>
      </w:r>
    </w:p>
    <w:p w:rsidR="00092F67" w:rsidRDefault="00C901CF">
      <w:pPr>
        <w:spacing w:line="360" w:lineRule="auto"/>
        <w:ind w:firstLineChars="200" w:firstLine="480"/>
        <w:rPr>
          <w:bCs/>
          <w:sz w:val="24"/>
        </w:rPr>
      </w:pPr>
      <w:r>
        <w:rPr>
          <w:bCs/>
          <w:sz w:val="24"/>
        </w:rPr>
        <w:t>1</w:t>
      </w:r>
      <w:r>
        <w:rPr>
          <w:bCs/>
          <w:sz w:val="24"/>
        </w:rPr>
        <w:t>）基金</w:t>
      </w:r>
      <w:r>
        <w:rPr>
          <w:rFonts w:hint="eastAsia"/>
          <w:bCs/>
          <w:sz w:val="24"/>
        </w:rPr>
        <w:t>财产清算小组成立后</w:t>
      </w:r>
      <w:r>
        <w:rPr>
          <w:bCs/>
          <w:sz w:val="24"/>
        </w:rPr>
        <w:t>，由基金财产清算小组统一接管基金</w:t>
      </w:r>
      <w:r>
        <w:rPr>
          <w:rFonts w:hint="eastAsia"/>
          <w:bCs/>
          <w:sz w:val="24"/>
        </w:rPr>
        <w:t>财产</w:t>
      </w:r>
      <w:r>
        <w:rPr>
          <w:bCs/>
          <w:sz w:val="24"/>
        </w:rPr>
        <w:t>；</w:t>
      </w:r>
    </w:p>
    <w:p w:rsidR="00092F67" w:rsidRDefault="00C901CF">
      <w:pPr>
        <w:spacing w:line="360" w:lineRule="auto"/>
        <w:ind w:firstLineChars="200" w:firstLine="480"/>
        <w:rPr>
          <w:bCs/>
          <w:sz w:val="24"/>
        </w:rPr>
      </w:pPr>
      <w:r>
        <w:rPr>
          <w:bCs/>
          <w:sz w:val="24"/>
        </w:rPr>
        <w:t>2</w:t>
      </w:r>
      <w:r>
        <w:rPr>
          <w:bCs/>
          <w:sz w:val="24"/>
        </w:rPr>
        <w:t>）对基金财产和债权债务进行清理和确认；</w:t>
      </w:r>
    </w:p>
    <w:p w:rsidR="00092F67" w:rsidRDefault="00C901CF">
      <w:pPr>
        <w:spacing w:line="360" w:lineRule="auto"/>
        <w:ind w:firstLineChars="200" w:firstLine="480"/>
        <w:rPr>
          <w:bCs/>
          <w:sz w:val="24"/>
        </w:rPr>
      </w:pPr>
      <w:r>
        <w:rPr>
          <w:bCs/>
          <w:sz w:val="24"/>
        </w:rPr>
        <w:t>3</w:t>
      </w:r>
      <w:r>
        <w:rPr>
          <w:bCs/>
          <w:sz w:val="24"/>
        </w:rPr>
        <w:t>）对基金财产进行估值和变现；</w:t>
      </w:r>
    </w:p>
    <w:p w:rsidR="00092F67" w:rsidRDefault="00C901CF">
      <w:pPr>
        <w:spacing w:line="360" w:lineRule="auto"/>
        <w:ind w:firstLineChars="200" w:firstLine="480"/>
        <w:rPr>
          <w:bCs/>
          <w:sz w:val="24"/>
        </w:rPr>
      </w:pPr>
      <w:r>
        <w:rPr>
          <w:bCs/>
          <w:sz w:val="24"/>
        </w:rPr>
        <w:t>4</w:t>
      </w:r>
      <w:r>
        <w:rPr>
          <w:bCs/>
          <w:sz w:val="24"/>
        </w:rPr>
        <w:t>）制作清算报告；</w:t>
      </w:r>
    </w:p>
    <w:p w:rsidR="00092F67" w:rsidRDefault="00C901CF">
      <w:pPr>
        <w:spacing w:line="360" w:lineRule="auto"/>
        <w:ind w:firstLineChars="200" w:firstLine="480"/>
        <w:rPr>
          <w:bCs/>
          <w:sz w:val="24"/>
        </w:rPr>
      </w:pPr>
      <w:r>
        <w:rPr>
          <w:bCs/>
          <w:sz w:val="24"/>
        </w:rPr>
        <w:t>5</w:t>
      </w:r>
      <w:r>
        <w:rPr>
          <w:bCs/>
          <w:sz w:val="24"/>
        </w:rPr>
        <w:t>）聘请会计师事务所对清算报告进行外部审计，聘请律师事务所对清算报告出具法律意见书；</w:t>
      </w:r>
    </w:p>
    <w:p w:rsidR="00092F67" w:rsidRDefault="00C901CF">
      <w:pPr>
        <w:spacing w:line="360" w:lineRule="auto"/>
        <w:ind w:firstLineChars="200" w:firstLine="480"/>
        <w:rPr>
          <w:bCs/>
          <w:sz w:val="24"/>
        </w:rPr>
      </w:pPr>
      <w:r>
        <w:rPr>
          <w:bCs/>
          <w:sz w:val="24"/>
        </w:rPr>
        <w:t>6</w:t>
      </w:r>
      <w:r>
        <w:rPr>
          <w:bCs/>
          <w:sz w:val="24"/>
        </w:rPr>
        <w:t>）将清算报告报中国证监会备案并公告</w:t>
      </w:r>
      <w:r>
        <w:rPr>
          <w:rFonts w:hint="eastAsia"/>
          <w:bCs/>
          <w:sz w:val="24"/>
        </w:rPr>
        <w:t>；</w:t>
      </w:r>
    </w:p>
    <w:p w:rsidR="00092F67" w:rsidRDefault="00C901CF">
      <w:pPr>
        <w:spacing w:line="360" w:lineRule="auto"/>
        <w:ind w:firstLineChars="200" w:firstLine="480"/>
        <w:rPr>
          <w:rFonts w:ascii="宋体" w:hAnsi="宋体"/>
          <w:sz w:val="24"/>
        </w:rPr>
      </w:pPr>
      <w:r>
        <w:rPr>
          <w:bCs/>
          <w:sz w:val="24"/>
        </w:rPr>
        <w:t>7</w:t>
      </w:r>
      <w:r>
        <w:rPr>
          <w:bCs/>
          <w:sz w:val="24"/>
        </w:rPr>
        <w:t>）对基金</w:t>
      </w:r>
      <w:r>
        <w:rPr>
          <w:rFonts w:hint="eastAsia"/>
          <w:bCs/>
          <w:sz w:val="24"/>
        </w:rPr>
        <w:t>剩余</w:t>
      </w:r>
      <w:r>
        <w:rPr>
          <w:bCs/>
          <w:sz w:val="24"/>
        </w:rPr>
        <w:t>财产进行分配</w:t>
      </w:r>
      <w:r>
        <w:rPr>
          <w:rFonts w:hint="eastAsia"/>
          <w:bCs/>
          <w:sz w:val="24"/>
        </w:rPr>
        <w:t>。</w:t>
      </w:r>
    </w:p>
    <w:p w:rsidR="00092F67" w:rsidRDefault="00C901CF">
      <w:pPr>
        <w:numPr>
          <w:ilvl w:val="0"/>
          <w:numId w:val="29"/>
        </w:numPr>
        <w:autoSpaceDE w:val="0"/>
        <w:autoSpaceDN w:val="0"/>
        <w:adjustRightInd w:val="0"/>
        <w:spacing w:line="360" w:lineRule="auto"/>
        <w:ind w:left="0" w:firstLine="426"/>
        <w:jc w:val="left"/>
        <w:rPr>
          <w:rFonts w:ascii="宋体" w:hAnsi="宋体"/>
          <w:sz w:val="24"/>
        </w:rPr>
      </w:pPr>
      <w:r>
        <w:rPr>
          <w:bCs/>
          <w:sz w:val="24"/>
        </w:rPr>
        <w:t>基金财产清算的期限为</w:t>
      </w:r>
      <w:r>
        <w:rPr>
          <w:rFonts w:hint="eastAsia"/>
          <w:bCs/>
          <w:sz w:val="24"/>
        </w:rPr>
        <w:t>6</w:t>
      </w:r>
      <w:r>
        <w:rPr>
          <w:bCs/>
          <w:sz w:val="24"/>
        </w:rPr>
        <w:t>个月</w:t>
      </w:r>
      <w:r>
        <w:rPr>
          <w:rFonts w:hint="eastAsia"/>
          <w:bCs/>
          <w:sz w:val="24"/>
        </w:rPr>
        <w:t>，但因基金所持证券或基金的流动性受到限制而不能及时变现、结算保证金相关规定等客观因素，清算期限相应顺延</w:t>
      </w:r>
      <w:r>
        <w:rPr>
          <w:bCs/>
          <w:sz w:val="24"/>
        </w:rPr>
        <w:t>。</w:t>
      </w:r>
    </w:p>
    <w:p w:rsidR="00092F67" w:rsidRDefault="00C901CF">
      <w:pPr>
        <w:autoSpaceDE w:val="0"/>
        <w:autoSpaceDN w:val="0"/>
        <w:adjustRightInd w:val="0"/>
        <w:spacing w:line="360" w:lineRule="auto"/>
        <w:ind w:left="425"/>
        <w:jc w:val="left"/>
        <w:rPr>
          <w:rFonts w:ascii="宋体" w:hAnsi="宋体"/>
          <w:sz w:val="24"/>
        </w:rPr>
      </w:pPr>
      <w:r>
        <w:rPr>
          <w:rFonts w:ascii="宋体" w:hAnsi="宋体" w:cs="Arial" w:hint="eastAsia"/>
          <w:sz w:val="24"/>
        </w:rPr>
        <w:t>（四）</w:t>
      </w:r>
      <w:r>
        <w:rPr>
          <w:rFonts w:ascii="宋体" w:hAnsi="宋体" w:hint="eastAsia"/>
          <w:sz w:val="24"/>
        </w:rPr>
        <w:t>清算费用</w:t>
      </w:r>
    </w:p>
    <w:p w:rsidR="00092F67" w:rsidRDefault="00C901CF">
      <w:pPr>
        <w:spacing w:line="360" w:lineRule="auto"/>
        <w:ind w:firstLineChars="200" w:firstLine="480"/>
        <w:rPr>
          <w:rFonts w:ascii="宋体" w:hAnsi="宋体"/>
          <w:sz w:val="24"/>
        </w:rPr>
      </w:pPr>
      <w:r>
        <w:rPr>
          <w:rFonts w:ascii="宋体" w:hAnsi="宋体" w:hint="eastAsia"/>
          <w:sz w:val="24"/>
        </w:rPr>
        <w:t>清算费用是指基金财产清算小组在进行基金财产清算过程中发生的所有合理费用，清算费用由基金财产清算小组优先从基金财产中支付。</w:t>
      </w:r>
    </w:p>
    <w:p w:rsidR="00092F67" w:rsidRDefault="00C901CF">
      <w:pPr>
        <w:autoSpaceDE w:val="0"/>
        <w:autoSpaceDN w:val="0"/>
        <w:adjustRightInd w:val="0"/>
        <w:spacing w:line="360" w:lineRule="auto"/>
        <w:ind w:left="425"/>
        <w:jc w:val="left"/>
        <w:rPr>
          <w:rFonts w:ascii="宋体" w:hAnsi="宋体" w:cs="Arial"/>
          <w:sz w:val="24"/>
        </w:rPr>
      </w:pPr>
      <w:r>
        <w:rPr>
          <w:rFonts w:ascii="宋体" w:hAnsi="宋体" w:cs="Arial" w:hint="eastAsia"/>
          <w:sz w:val="24"/>
        </w:rPr>
        <w:t>（五）基金财产清算剩余资产的分配</w:t>
      </w:r>
    </w:p>
    <w:p w:rsidR="00092F67" w:rsidRDefault="00C901CF">
      <w:pPr>
        <w:autoSpaceDE w:val="0"/>
        <w:autoSpaceDN w:val="0"/>
        <w:adjustRightInd w:val="0"/>
        <w:spacing w:line="360" w:lineRule="auto"/>
        <w:ind w:firstLineChars="177" w:firstLine="425"/>
        <w:jc w:val="left"/>
        <w:rPr>
          <w:rFonts w:ascii="宋体" w:hAnsi="宋体"/>
          <w:sz w:val="24"/>
        </w:rPr>
      </w:pPr>
      <w:r>
        <w:rPr>
          <w:rFonts w:ascii="宋体" w:hAnsi="宋体" w:cs="Arial" w:hint="eastAsia"/>
          <w:sz w:val="24"/>
        </w:rPr>
        <w:t>依据基金财产清算的分配方案，将基金财产清算后的全部剩余资产扣除基金财产清算费用、交纳所欠税款并清偿基金债务后，按各类基金份额资产净值的比例确定剩余财产在各类基金份额中的分配比例，并在各类基金份额可分配的剩余财产范围内按各类别基金份额持有人持有的该类基金份额比例进行分配。同一类别的基金份额持有人持有的每一份基金份额对基金财产清算后本类别基金份额的剩余资产具有同等的分配权。</w:t>
      </w:r>
    </w:p>
    <w:p w:rsidR="00092F67" w:rsidRDefault="00C901CF">
      <w:pPr>
        <w:autoSpaceDE w:val="0"/>
        <w:autoSpaceDN w:val="0"/>
        <w:adjustRightInd w:val="0"/>
        <w:spacing w:line="360" w:lineRule="auto"/>
        <w:ind w:left="425"/>
        <w:jc w:val="left"/>
        <w:rPr>
          <w:rFonts w:ascii="宋体" w:hAnsi="宋体"/>
          <w:sz w:val="24"/>
        </w:rPr>
      </w:pPr>
      <w:r>
        <w:rPr>
          <w:rFonts w:ascii="宋体" w:hAnsi="宋体" w:cs="Arial" w:hint="eastAsia"/>
          <w:sz w:val="24"/>
        </w:rPr>
        <w:t>（六）</w:t>
      </w:r>
      <w:r>
        <w:rPr>
          <w:rFonts w:ascii="宋体" w:hAnsi="宋体" w:hint="eastAsia"/>
          <w:sz w:val="24"/>
        </w:rPr>
        <w:t>基金财产清算的公告</w:t>
      </w:r>
    </w:p>
    <w:p w:rsidR="00092F67" w:rsidRDefault="00C901CF">
      <w:pPr>
        <w:spacing w:line="360" w:lineRule="auto"/>
        <w:ind w:firstLineChars="200" w:firstLine="480"/>
        <w:rPr>
          <w:rFonts w:ascii="宋体" w:hAnsi="宋体"/>
          <w:sz w:val="24"/>
        </w:rPr>
      </w:pPr>
      <w:r>
        <w:rPr>
          <w:rFonts w:ascii="宋体" w:hAnsi="宋体" w:hint="eastAsia"/>
          <w:sz w:val="24"/>
        </w:rPr>
        <w:t>清算过程中的有关重大事项须及时公告；基金财产清算</w:t>
      </w:r>
      <w:r>
        <w:rPr>
          <w:bCs/>
          <w:sz w:val="24"/>
        </w:rPr>
        <w:t>报告</w:t>
      </w:r>
      <w:r>
        <w:rPr>
          <w:rFonts w:ascii="宋体" w:hAnsi="宋体" w:hint="eastAsia"/>
          <w:sz w:val="24"/>
        </w:rPr>
        <w:t>经符合《中华人民共和国证券法》规定的会计师事务所审计，律师事务所出具法律意见书后，由基金财产清算小组报中国证监会备案并公告。</w:t>
      </w:r>
      <w:r>
        <w:rPr>
          <w:bCs/>
          <w:sz w:val="24"/>
        </w:rPr>
        <w:t>基金财产清算报告</w:t>
      </w:r>
      <w:r>
        <w:rPr>
          <w:rFonts w:ascii="宋体" w:hAnsi="宋体" w:hint="eastAsia"/>
          <w:sz w:val="24"/>
        </w:rPr>
        <w:t>报中国证监会备案后 5个工作日内由基金财产清算</w:t>
      </w:r>
      <w:r>
        <w:rPr>
          <w:bCs/>
          <w:sz w:val="24"/>
        </w:rPr>
        <w:t>小</w:t>
      </w:r>
      <w:r>
        <w:rPr>
          <w:rFonts w:ascii="宋体" w:hAnsi="宋体" w:hint="eastAsia"/>
          <w:sz w:val="24"/>
        </w:rPr>
        <w:t>组公告。</w:t>
      </w:r>
    </w:p>
    <w:p w:rsidR="00092F67" w:rsidRDefault="00C901CF">
      <w:pPr>
        <w:spacing w:line="360" w:lineRule="auto"/>
        <w:ind w:firstLineChars="200" w:firstLine="480"/>
        <w:rPr>
          <w:rFonts w:ascii="宋体" w:hAnsi="宋体"/>
          <w:sz w:val="24"/>
        </w:rPr>
      </w:pPr>
      <w:r>
        <w:rPr>
          <w:rFonts w:ascii="宋体" w:hAnsi="宋体" w:cs="Arial" w:hint="eastAsia"/>
          <w:sz w:val="24"/>
        </w:rPr>
        <w:t>（七）</w:t>
      </w:r>
      <w:r>
        <w:rPr>
          <w:rFonts w:ascii="宋体" w:hAnsi="宋体" w:hint="eastAsia"/>
          <w:sz w:val="24"/>
        </w:rPr>
        <w:t>基金财产清算账册及文件的保存</w:t>
      </w:r>
    </w:p>
    <w:p w:rsidR="00092F67" w:rsidRDefault="00C901CF" w:rsidP="00F15440">
      <w:pPr>
        <w:spacing w:line="360" w:lineRule="auto"/>
        <w:ind w:firstLineChars="200" w:firstLine="480"/>
        <w:rPr>
          <w:rFonts w:ascii="宋体" w:hAnsi="宋体" w:hint="eastAsia"/>
          <w:sz w:val="24"/>
        </w:rPr>
      </w:pPr>
      <w:r>
        <w:rPr>
          <w:rFonts w:ascii="宋体" w:hAnsi="宋体" w:hint="eastAsia"/>
          <w:sz w:val="24"/>
        </w:rPr>
        <w:t>基金财产清算账册及有关文件由基金托管人保存，保存期限不少于法律法规规定的最低期限。</w:t>
      </w:r>
    </w:p>
    <w:p w:rsidR="00092F67" w:rsidRDefault="00C901CF" w:rsidP="00F14E01">
      <w:pPr>
        <w:pStyle w:val="1"/>
        <w:numPr>
          <w:ilvl w:val="0"/>
          <w:numId w:val="32"/>
        </w:numPr>
        <w:spacing w:line="360" w:lineRule="auto"/>
        <w:jc w:val="center"/>
        <w:rPr>
          <w:rFonts w:ascii="宋体" w:hAnsi="宋体"/>
          <w:sz w:val="28"/>
          <w:szCs w:val="28"/>
        </w:rPr>
      </w:pPr>
      <w:r>
        <w:rPr>
          <w:rFonts w:ascii="宋体" w:hAnsi="宋体" w:cs="Arial"/>
          <w:sz w:val="24"/>
          <w:szCs w:val="24"/>
        </w:rPr>
        <w:br w:type="page"/>
      </w:r>
      <w:bookmarkStart w:id="262" w:name="_Toc295832976"/>
      <w:bookmarkStart w:id="263" w:name="_Toc295833036"/>
      <w:bookmarkStart w:id="264" w:name="_Toc295833707"/>
      <w:bookmarkStart w:id="265" w:name="_Toc355859330"/>
      <w:bookmarkStart w:id="266" w:name="_Toc270669868"/>
      <w:bookmarkStart w:id="267" w:name="_Toc366835711"/>
      <w:bookmarkStart w:id="268" w:name="_Toc124325901"/>
      <w:bookmarkEnd w:id="262"/>
      <w:bookmarkEnd w:id="263"/>
      <w:bookmarkEnd w:id="264"/>
      <w:r>
        <w:rPr>
          <w:rFonts w:ascii="宋体" w:hAnsi="宋体" w:hint="eastAsia"/>
          <w:sz w:val="28"/>
          <w:szCs w:val="28"/>
        </w:rPr>
        <w:lastRenderedPageBreak/>
        <w:t>违约责任</w:t>
      </w:r>
      <w:bookmarkEnd w:id="265"/>
      <w:bookmarkEnd w:id="266"/>
      <w:bookmarkEnd w:id="267"/>
      <w:bookmarkEnd w:id="268"/>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（一）</w:t>
      </w:r>
      <w:r>
        <w:rPr>
          <w:rFonts w:ascii="宋体" w:hAnsi="宋体" w:cs="Arial"/>
          <w:sz w:val="24"/>
        </w:rPr>
        <w:t>基金管理人、基金托管人</w:t>
      </w:r>
      <w:r>
        <w:rPr>
          <w:rFonts w:ascii="宋体" w:hAnsi="宋体" w:cs="Arial" w:hint="eastAsia"/>
          <w:sz w:val="24"/>
        </w:rPr>
        <w:t>不</w:t>
      </w:r>
      <w:r>
        <w:rPr>
          <w:rFonts w:ascii="宋体" w:hAnsi="宋体" w:cs="Arial"/>
          <w:sz w:val="24"/>
        </w:rPr>
        <w:t>履行</w:t>
      </w:r>
      <w:r>
        <w:rPr>
          <w:rFonts w:ascii="宋体" w:hAnsi="宋体" w:cs="Arial" w:hint="eastAsia"/>
          <w:sz w:val="24"/>
        </w:rPr>
        <w:t>本协议或履行本协议不符合约定的，应当承担违约责任。</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二）基金管理人、基金托管人在履行各自职责的过程中，违反《基金法》或者基金合同和本托管协议约定，给基金财产或者基金份额持有人造成损害的，应当分别对各自的行为依法承担相应赔偿责任；因共同行为给基金财产或者基金份额持有人造成损害的，应当承担连带赔偿责任。对损失的赔偿，仅限于直接损失。如发生下列情况之一的，相应的当事人应当免责：</w:t>
      </w:r>
    </w:p>
    <w:p w:rsidR="00092F67" w:rsidRDefault="00C901CF">
      <w:pPr>
        <w:numPr>
          <w:ilvl w:val="0"/>
          <w:numId w:val="31"/>
        </w:numPr>
        <w:adjustRightInd w:val="0"/>
        <w:snapToGrid w:val="0"/>
        <w:spacing w:line="360" w:lineRule="auto"/>
        <w:ind w:left="0" w:firstLine="426"/>
        <w:rPr>
          <w:rStyle w:val="read"/>
          <w:rFonts w:ascii="宋体" w:hAnsi="宋体"/>
          <w:sz w:val="24"/>
        </w:rPr>
      </w:pPr>
      <w:r>
        <w:rPr>
          <w:rStyle w:val="read"/>
          <w:rFonts w:ascii="宋体" w:hAnsi="宋体" w:hint="eastAsia"/>
          <w:sz w:val="24"/>
        </w:rPr>
        <w:t>不可抗力；</w:t>
      </w:r>
    </w:p>
    <w:p w:rsidR="00092F67" w:rsidRDefault="00C901CF">
      <w:pPr>
        <w:numPr>
          <w:ilvl w:val="0"/>
          <w:numId w:val="31"/>
        </w:numPr>
        <w:adjustRightInd w:val="0"/>
        <w:snapToGrid w:val="0"/>
        <w:spacing w:line="360" w:lineRule="auto"/>
        <w:ind w:left="0" w:firstLine="426"/>
        <w:rPr>
          <w:rStyle w:val="read"/>
          <w:rFonts w:ascii="宋体" w:hAnsi="宋体"/>
          <w:sz w:val="24"/>
        </w:rPr>
      </w:pPr>
      <w:r>
        <w:rPr>
          <w:rStyle w:val="read"/>
          <w:rFonts w:ascii="宋体" w:hAnsi="宋体" w:hint="eastAsia"/>
          <w:sz w:val="24"/>
        </w:rPr>
        <w:t>基金管理人和/或基金托管人按照当时有效的法律法规、规章或中国证监会</w:t>
      </w:r>
      <w:r>
        <w:rPr>
          <w:rFonts w:hint="eastAsia"/>
          <w:sz w:val="24"/>
        </w:rPr>
        <w:t>等监管机构</w:t>
      </w:r>
      <w:r>
        <w:rPr>
          <w:rStyle w:val="read"/>
          <w:rFonts w:ascii="宋体" w:hAnsi="宋体" w:hint="eastAsia"/>
          <w:sz w:val="24"/>
        </w:rPr>
        <w:t>的规定</w:t>
      </w:r>
      <w:r>
        <w:rPr>
          <w:rFonts w:hint="eastAsia"/>
          <w:sz w:val="24"/>
        </w:rPr>
        <w:t>或交易所规则</w:t>
      </w:r>
      <w:r>
        <w:rPr>
          <w:rStyle w:val="read"/>
          <w:rFonts w:ascii="宋体" w:hAnsi="宋体" w:hint="eastAsia"/>
          <w:sz w:val="24"/>
        </w:rPr>
        <w:t>作为或不作为而造成的损失等；</w:t>
      </w:r>
    </w:p>
    <w:p w:rsidR="00092F67" w:rsidRDefault="00C901CF">
      <w:pPr>
        <w:numPr>
          <w:ilvl w:val="0"/>
          <w:numId w:val="31"/>
        </w:numPr>
        <w:adjustRightInd w:val="0"/>
        <w:snapToGrid w:val="0"/>
        <w:spacing w:line="360" w:lineRule="auto"/>
        <w:ind w:left="0" w:firstLine="426"/>
        <w:rPr>
          <w:rStyle w:val="read"/>
          <w:sz w:val="24"/>
        </w:rPr>
      </w:pPr>
      <w:r>
        <w:rPr>
          <w:rStyle w:val="read"/>
          <w:rFonts w:ascii="宋体" w:hAnsi="宋体" w:hint="eastAsia"/>
          <w:sz w:val="24"/>
        </w:rPr>
        <w:t>基金管理人按照基金合同约定的投资原则</w:t>
      </w:r>
      <w:r>
        <w:rPr>
          <w:rStyle w:val="read"/>
          <w:rFonts w:hint="eastAsia"/>
          <w:sz w:val="24"/>
        </w:rPr>
        <w:t>投资或不投资造成的损失等。</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三）在发生一方或多方违约的情况下，在最大限度地保护基金份额持有人利益的前提下，基金合同能够继续履行的应当继续履行。非违约方当事人在职责范围内有义务及时采取必要的措施，尽力防止损失的扩大。没有采取适当措施致使损失进一步扩大的，不得就扩大的损失要求赔偿。非违约方因防止损失扩大而支出的合理费用由违约方承担。</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（四）由于基金管理人、基金托管人不可控制的因素导致业务出现差错，基金管理人和基金托管人虽然已经采取必要、适当、合理的措施进行检查，但未能发现错误</w:t>
      </w:r>
      <w:r>
        <w:rPr>
          <w:rFonts w:hint="eastAsia"/>
          <w:spacing w:val="-4"/>
          <w:sz w:val="24"/>
        </w:rPr>
        <w:t>或因前述原因未能避免或更正错误的，</w:t>
      </w:r>
      <w:r>
        <w:rPr>
          <w:rFonts w:ascii="宋体" w:hAnsi="宋体" w:cs="Arial" w:hint="eastAsia"/>
          <w:sz w:val="24"/>
        </w:rPr>
        <w:t>由此造成基金财产或投资人损失，基金管理人和基金托管人免除赔偿责任。但是基金管理人和基金托管人应积极采取必要的措施消除或减轻由此造成的影响。</w:t>
      </w:r>
    </w:p>
    <w:p w:rsidR="00092F67" w:rsidRDefault="00092F67">
      <w:pPr>
        <w:adjustRightInd w:val="0"/>
        <w:snapToGrid w:val="0"/>
        <w:spacing w:line="360" w:lineRule="auto"/>
        <w:ind w:firstLineChars="200" w:firstLine="480"/>
        <w:rPr>
          <w:rFonts w:ascii="宋体" w:hAnsi="宋体" w:cs="Arial"/>
          <w:sz w:val="24"/>
        </w:rPr>
      </w:pPr>
    </w:p>
    <w:p w:rsidR="00092F67" w:rsidRDefault="00C901CF" w:rsidP="00F14E01">
      <w:pPr>
        <w:pStyle w:val="1"/>
        <w:numPr>
          <w:ilvl w:val="0"/>
          <w:numId w:val="32"/>
        </w:numPr>
        <w:spacing w:line="360" w:lineRule="auto"/>
        <w:jc w:val="center"/>
        <w:rPr>
          <w:rFonts w:ascii="宋体" w:hAnsi="宋体"/>
          <w:sz w:val="28"/>
          <w:szCs w:val="28"/>
        </w:rPr>
      </w:pPr>
      <w:r>
        <w:rPr>
          <w:rFonts w:ascii="宋体" w:hAnsi="宋体" w:cs="Arial"/>
          <w:sz w:val="24"/>
          <w:szCs w:val="24"/>
        </w:rPr>
        <w:br w:type="page"/>
      </w:r>
      <w:bookmarkStart w:id="269" w:name="_Toc295832978"/>
      <w:bookmarkStart w:id="270" w:name="_Toc295833038"/>
      <w:bookmarkStart w:id="271" w:name="_Toc295833709"/>
      <w:bookmarkStart w:id="272" w:name="_Toc355859331"/>
      <w:bookmarkStart w:id="273" w:name="_Toc124325902"/>
      <w:bookmarkStart w:id="274" w:name="_Toc270669869"/>
      <w:bookmarkStart w:id="275" w:name="_Toc366835712"/>
      <w:bookmarkEnd w:id="269"/>
      <w:bookmarkEnd w:id="270"/>
      <w:bookmarkEnd w:id="271"/>
      <w:r>
        <w:rPr>
          <w:rFonts w:ascii="宋体" w:hAnsi="宋体" w:hint="eastAsia"/>
          <w:sz w:val="28"/>
          <w:szCs w:val="28"/>
        </w:rPr>
        <w:lastRenderedPageBreak/>
        <w:t>争议解决方式</w:t>
      </w:r>
      <w:bookmarkEnd w:id="272"/>
      <w:bookmarkEnd w:id="273"/>
      <w:bookmarkEnd w:id="274"/>
      <w:bookmarkEnd w:id="275"/>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因本协议产生或与之相关的争议，双方当事人应尽量通过协商、调解解决，协商、调解不能解决的，</w:t>
      </w:r>
      <w:r>
        <w:rPr>
          <w:rFonts w:hint="eastAsia"/>
          <w:bCs/>
          <w:sz w:val="24"/>
        </w:rPr>
        <w:t>应当将争议提交中国国际经济贸易仲裁委员会，按照中国国际经济贸易仲裁委员会届时有效的仲裁规则进行仲裁。仲裁地点为北京市。仲裁裁决是终局的，对仲裁各方当事人均具有约束力。仲裁费用由败诉方承担，除非仲裁裁决另有决定</w:t>
      </w:r>
      <w:r>
        <w:rPr>
          <w:rFonts w:ascii="宋体" w:hAnsi="宋体" w:cs="Arial" w:hint="eastAsia"/>
          <w:sz w:val="24"/>
        </w:rPr>
        <w:t>。</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争议处理期间，双方当事人应恪守基金管理人和基金托管人职责，各自继续忠实、勤勉、尽责地履行基金合同和本托管协议规定的义务，维护基金份额持有人的合法权益。</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本协议受中国法律</w:t>
      </w:r>
      <w:r>
        <w:rPr>
          <w:rFonts w:hint="eastAsia"/>
          <w:spacing w:val="-4"/>
          <w:sz w:val="24"/>
        </w:rPr>
        <w:t>（为本协议之目的，不包括香港特别行政区、澳门特别行政区和台湾地区法律）</w:t>
      </w:r>
      <w:r>
        <w:rPr>
          <w:rFonts w:ascii="宋体" w:hAnsi="宋体" w:cs="Arial" w:hint="eastAsia"/>
          <w:sz w:val="24"/>
        </w:rPr>
        <w:t>管辖</w:t>
      </w:r>
      <w:r>
        <w:rPr>
          <w:rFonts w:hint="eastAsia"/>
          <w:spacing w:val="-4"/>
          <w:sz w:val="24"/>
        </w:rPr>
        <w:t>并从其解释</w:t>
      </w:r>
      <w:r>
        <w:rPr>
          <w:rFonts w:ascii="宋体" w:hAnsi="宋体" w:cs="Arial" w:hint="eastAsia"/>
          <w:sz w:val="24"/>
        </w:rPr>
        <w:t>。</w:t>
      </w:r>
    </w:p>
    <w:p w:rsidR="00092F67" w:rsidRDefault="00092F67">
      <w:pPr>
        <w:adjustRightInd w:val="0"/>
        <w:snapToGrid w:val="0"/>
        <w:spacing w:line="360" w:lineRule="auto"/>
        <w:ind w:firstLineChars="200" w:firstLine="480"/>
        <w:rPr>
          <w:rFonts w:ascii="宋体" w:hAnsi="宋体" w:cs="Arial"/>
          <w:sz w:val="24"/>
        </w:rPr>
      </w:pPr>
    </w:p>
    <w:p w:rsidR="00092F67" w:rsidRDefault="00C901CF" w:rsidP="00F14E01">
      <w:pPr>
        <w:pStyle w:val="1"/>
        <w:numPr>
          <w:ilvl w:val="0"/>
          <w:numId w:val="32"/>
        </w:numPr>
        <w:spacing w:line="360" w:lineRule="auto"/>
        <w:jc w:val="center"/>
        <w:rPr>
          <w:rFonts w:ascii="宋体" w:hAnsi="宋体"/>
          <w:sz w:val="28"/>
          <w:szCs w:val="28"/>
        </w:rPr>
      </w:pPr>
      <w:r>
        <w:rPr>
          <w:rFonts w:ascii="宋体" w:hAnsi="宋体" w:cs="Arial"/>
          <w:sz w:val="24"/>
          <w:szCs w:val="24"/>
        </w:rPr>
        <w:br w:type="page"/>
      </w:r>
      <w:bookmarkStart w:id="276" w:name="_Toc295832980"/>
      <w:bookmarkStart w:id="277" w:name="_Toc295833040"/>
      <w:bookmarkStart w:id="278" w:name="_Toc295833711"/>
      <w:bookmarkStart w:id="279" w:name="_Toc270669870"/>
      <w:bookmarkStart w:id="280" w:name="_Toc366835713"/>
      <w:bookmarkStart w:id="281" w:name="_Toc124325903"/>
      <w:bookmarkStart w:id="282" w:name="_Toc355859332"/>
      <w:bookmarkEnd w:id="276"/>
      <w:bookmarkEnd w:id="277"/>
      <w:bookmarkEnd w:id="278"/>
      <w:r>
        <w:rPr>
          <w:rFonts w:ascii="宋体" w:hAnsi="宋体" w:hint="eastAsia"/>
          <w:sz w:val="28"/>
          <w:szCs w:val="28"/>
        </w:rPr>
        <w:lastRenderedPageBreak/>
        <w:t>托管协议的效力</w:t>
      </w:r>
      <w:bookmarkEnd w:id="279"/>
      <w:bookmarkEnd w:id="280"/>
      <w:bookmarkEnd w:id="281"/>
      <w:bookmarkEnd w:id="282"/>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双方对托管协议的效力约定如下：</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一）基金管理人在向中国证监会申请发售基金份额时提交的托管协议草案，应经托管协议当事人双方盖章以及双方法定代表人或授权代表签字或签章，协议当事人双方根据中国证监会的意见修改托管协议草案。托管协议以中国证监会注册的文本为正式文本。</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二）托管协议自基金管理人、基金托管人盖章以及双方法定代表人或授权代表签字或签章之日起成立，自基金合同生效之日起生效。托管协议的有效期自其生效之日起至基金财产清算结果报中国证监会备案并公告之日止。</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（三）托管协议自生效之日起对托管协议当事人具有同等的法律约束力。</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（四）本协议一式三份，协议双方各持一份，上报监管部门一份，每份具有同等的法律效力。</w:t>
      </w:r>
    </w:p>
    <w:p w:rsidR="00092F67" w:rsidRDefault="00092F67">
      <w:pPr>
        <w:adjustRightInd w:val="0"/>
        <w:snapToGrid w:val="0"/>
        <w:spacing w:line="360" w:lineRule="auto"/>
        <w:ind w:firstLineChars="200" w:firstLine="480"/>
        <w:rPr>
          <w:rFonts w:ascii="宋体" w:hAnsi="宋体"/>
          <w:sz w:val="24"/>
        </w:rPr>
      </w:pPr>
    </w:p>
    <w:p w:rsidR="00092F67" w:rsidRDefault="00C901CF" w:rsidP="00F14E01">
      <w:pPr>
        <w:pStyle w:val="1"/>
        <w:numPr>
          <w:ilvl w:val="0"/>
          <w:numId w:val="32"/>
        </w:numPr>
        <w:spacing w:line="360" w:lineRule="auto"/>
        <w:jc w:val="center"/>
        <w:rPr>
          <w:rFonts w:ascii="宋体" w:hAnsi="宋体"/>
          <w:sz w:val="28"/>
          <w:szCs w:val="28"/>
        </w:rPr>
      </w:pPr>
      <w:r>
        <w:rPr>
          <w:rFonts w:ascii="宋体" w:hAnsi="宋体" w:cs="Arial"/>
          <w:sz w:val="24"/>
          <w:szCs w:val="24"/>
        </w:rPr>
        <w:br w:type="page"/>
      </w:r>
      <w:bookmarkStart w:id="283" w:name="_Toc295833713"/>
      <w:bookmarkStart w:id="284" w:name="_Toc295833042"/>
      <w:bookmarkStart w:id="285" w:name="_Toc295832982"/>
      <w:bookmarkStart w:id="286" w:name="_Toc355859333"/>
      <w:bookmarkStart w:id="287" w:name="_Toc366835714"/>
      <w:bookmarkStart w:id="288" w:name="_Toc124325904"/>
      <w:bookmarkStart w:id="289" w:name="_Toc270669871"/>
      <w:bookmarkEnd w:id="283"/>
      <w:bookmarkEnd w:id="284"/>
      <w:bookmarkEnd w:id="285"/>
      <w:r>
        <w:rPr>
          <w:rFonts w:ascii="宋体" w:hAnsi="宋体" w:hint="eastAsia"/>
          <w:sz w:val="28"/>
          <w:szCs w:val="28"/>
        </w:rPr>
        <w:lastRenderedPageBreak/>
        <w:t>其他事项</w:t>
      </w:r>
      <w:bookmarkEnd w:id="286"/>
      <w:bookmarkEnd w:id="287"/>
      <w:bookmarkEnd w:id="288"/>
      <w:bookmarkEnd w:id="289"/>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如发生有权司法机关依法冻结基金份额持有人的基金份额时，基金管理人应予以配合，承担司法协助义务。</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除本协议有明确定义外，本协议的用语定义适用基金合同的约定。本协议未尽事宜，当事人依据基金合同、有关法律法规等规定协商办理。</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托管人如发现基金管理人、产品销售机构借助托管银行的品牌、声誉开展不当营销宣传的，应当督促相关机构及时纠正。相关机构未及时采取有效纠正措施的，基金托管人有权终止托管业务合作，并进行通知。</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理解、认可并同意反洗钱、反恐怖融资及反逃税系中华人民共和国法律法规及监管要求，基金托管人作为金融机构须根据该等规定进行相关管理，并有权依该等规定对相关合约的签约主体进行风险告知、提示、并要求基金管理人遵守和符合该等规定。</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同意接受基金托管人在反洗钱、反恐怖融资及反逃税方面的监管。基金管理人在此确认和承诺，基金托管人已明确向其提出反洗钱、反恐怖融资及反逃税相关要求；基金管理人亦进一步在此确认和同意，其将严格遵守《中华人民共和国反洗钱法》、《金融机构客户尽职调查和客户身份资料及交易记录保存管理办法》、《金融机构大额交易和可疑交易报告管理办法》、《中华人民共和国反恐怖主义法》以及其他相关法律法规中有关被监管方的要求和规定，以及基金托管人基于反洗钱、反恐怖融资及/或反逃税不时发布的相关政策、规则或办法，且其在通过基金托管人办理相关业务时，认可基金管理人履行合规义务是基金托管人提供相关业务服务的前提。</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基金管理人承诺将依法合规地向基金托管人开展或办理各类业务、目的合法、背景真实、所提交申请材料均准确、合法、有效且无重大遗漏，不存在直接或间接以合法形式掩盖非法或不合规目的之情形。</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基金管理人同意，反洗钱、反恐怖融资及反逃税方面具有协助和配合基金托管人工作的义务。</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基金管理人承诺其知晓并同意其有义务协助及配合基金托管人履行所有以反洗钱、反恐怖融资及/或反逃税为目的的检查、调查、额外业务流程或程序、</w:t>
      </w:r>
      <w:r>
        <w:rPr>
          <w:rFonts w:ascii="宋体" w:hAnsi="宋体" w:cs="Arial" w:hint="eastAsia"/>
          <w:sz w:val="24"/>
        </w:rPr>
        <w:lastRenderedPageBreak/>
        <w:t>按要求补充提供相关材料、并同意承担由此等合规目的可能带来的处理时间或成本的合理增加。</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基金管理人承诺其知晓并同意基金托管人在法律法规允许的范围内，有权为反洗钱、反恐怖融资及/或反逃税目的使用、汇总或向有权监管机构报送与基金管理人有关的数据、信息。</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承诺其知晓并同意在基金托管人与其任何业务关系存续期间，如基金管理人发生或卷入（或涉嫌发生或卷入）任何与基金托管人（或其他银行等金融机构）反洗钱及/或反恐怖融资及/或反逃税事项或调查的，基金托管人有权在履行适当程序后暂停、中止或终止为基金管理人产品提供托管服务，由此产生的不利后果由基金管理人自行承担。如基金管理人已被证实（包括通过新闻等公开渠道或信息）受到涉及洗钱及/或恐怖融资及/或逃税相关正式调查、立案、处罚或来自政府机构的其他正式官方程序的，视为构成基金管理人对银行每一交易或业务文件项下违反，基金托管人有权宣布基金管理人违约并在履行适当程序后停止提供托管服务、追究违约责任；如约定的违约金（若有）不足以弥补银行由此受到的损失的，基金管理人还应当承担相应的赔偿责任。</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理解上述反洗钱、反恐怖融资及反逃税要求可能根据相关法律法规及监管规定及宏观金融环境的变迁而不时更新和完善，基金管理人承诺将持续关注和了解该等法律法规及监管规定之最新版本，并在与基金托管人开展业务期间保持持续合规。</w:t>
      </w:r>
    </w:p>
    <w:p w:rsidR="00092F67" w:rsidRDefault="00C901CF">
      <w:pPr>
        <w:adjustRightInd w:val="0"/>
        <w:snapToGrid w:val="0"/>
        <w:spacing w:line="360" w:lineRule="auto"/>
        <w:ind w:firstLineChars="200" w:firstLine="480"/>
        <w:rPr>
          <w:rFonts w:ascii="宋体" w:hAnsi="宋体" w:cs="Arial"/>
          <w:sz w:val="24"/>
        </w:rPr>
      </w:pPr>
      <w:r>
        <w:rPr>
          <w:rFonts w:ascii="宋体" w:hAnsi="宋体" w:cs="Arial" w:hint="eastAsia"/>
          <w:sz w:val="24"/>
        </w:rPr>
        <w:t>基金管理人明白和理解反恐反洗钱及反逃税作为一项复杂工程，可能涉及跨境跨主权合作，并可能受限于国际组织及/或其他主权国家相关法律规定之要求；基金管理人在此确认，在法律法规允许的前提下，上述反恐反洗钱及反逃税特别条款同样适用于国际反恐反洗钱及/或反逃税合规要求；当基金托管人涉及国际反恐反洗钱协作时，基金托管人有权依据上述条款进行相应的调查、检查或采取适当的行动。</w:t>
      </w:r>
    </w:p>
    <w:p w:rsidR="00092F67" w:rsidRDefault="00C901CF" w:rsidP="00F14E01">
      <w:pPr>
        <w:pStyle w:val="1"/>
        <w:numPr>
          <w:ilvl w:val="0"/>
          <w:numId w:val="32"/>
        </w:numPr>
        <w:spacing w:line="360" w:lineRule="auto"/>
        <w:jc w:val="center"/>
        <w:rPr>
          <w:rFonts w:ascii="宋体" w:hAnsi="宋体"/>
          <w:sz w:val="28"/>
          <w:szCs w:val="28"/>
        </w:rPr>
      </w:pPr>
      <w:bookmarkStart w:id="290" w:name="_Toc295833716"/>
      <w:bookmarkStart w:id="291" w:name="_Toc295832984"/>
      <w:bookmarkStart w:id="292" w:name="_Toc295832985"/>
      <w:bookmarkStart w:id="293" w:name="_Toc295833045"/>
      <w:bookmarkStart w:id="294" w:name="_Toc295833715"/>
      <w:bookmarkStart w:id="295" w:name="_Toc295833044"/>
      <w:bookmarkEnd w:id="290"/>
      <w:bookmarkEnd w:id="291"/>
      <w:bookmarkEnd w:id="292"/>
      <w:bookmarkEnd w:id="293"/>
      <w:bookmarkEnd w:id="294"/>
      <w:bookmarkEnd w:id="295"/>
      <w:r>
        <w:rPr>
          <w:rFonts w:ascii="宋体" w:hAnsi="宋体"/>
          <w:sz w:val="24"/>
          <w:szCs w:val="24"/>
        </w:rPr>
        <w:br w:type="page"/>
      </w:r>
      <w:bookmarkStart w:id="296" w:name="_Toc295832986"/>
      <w:bookmarkStart w:id="297" w:name="_Toc295833717"/>
      <w:bookmarkStart w:id="298" w:name="_Toc295833046"/>
      <w:bookmarkStart w:id="299" w:name="_Toc270669872"/>
      <w:bookmarkStart w:id="300" w:name="_Toc355859334"/>
      <w:bookmarkStart w:id="301" w:name="_Toc366835715"/>
      <w:bookmarkStart w:id="302" w:name="_Toc124325905"/>
      <w:bookmarkEnd w:id="296"/>
      <w:bookmarkEnd w:id="297"/>
      <w:bookmarkEnd w:id="298"/>
      <w:r>
        <w:rPr>
          <w:rFonts w:ascii="宋体" w:hAnsi="宋体" w:hint="eastAsia"/>
          <w:sz w:val="28"/>
          <w:szCs w:val="28"/>
        </w:rPr>
        <w:lastRenderedPageBreak/>
        <w:t>托管协议的签订</w:t>
      </w:r>
      <w:bookmarkEnd w:id="299"/>
      <w:bookmarkEnd w:id="300"/>
      <w:bookmarkEnd w:id="301"/>
      <w:bookmarkEnd w:id="302"/>
    </w:p>
    <w:p w:rsidR="00092F67" w:rsidRDefault="00C901CF" w:rsidP="00561C9F">
      <w:pPr>
        <w:adjustRightInd w:val="0"/>
        <w:snapToGrid w:val="0"/>
        <w:spacing w:line="360" w:lineRule="auto"/>
        <w:ind w:firstLineChars="200" w:firstLine="480"/>
        <w:rPr>
          <w:rFonts w:ascii="宋体" w:hAnsi="宋体" w:cs="Arial"/>
          <w:sz w:val="24"/>
        </w:rPr>
      </w:pPr>
      <w:r>
        <w:rPr>
          <w:rFonts w:ascii="宋体" w:hAnsi="宋体" w:cs="Arial" w:hint="eastAsia"/>
          <w:sz w:val="24"/>
        </w:rPr>
        <w:t>本托管协议经基金管理人和基金托管人认可后，由该双方当事人在基金托管协议上盖章，并由各自的法定代表人或授权代表签字或盖章，并注明基金托管协议的签订地点和签订日期。</w:t>
      </w:r>
    </w:p>
    <w:p w:rsidR="002E41A0" w:rsidRDefault="002E41A0" w:rsidP="002E41A0">
      <w:pPr>
        <w:pStyle w:val="a0"/>
      </w:pPr>
    </w:p>
    <w:p w:rsidR="002E41A0" w:rsidRPr="002E41A0" w:rsidRDefault="002E41A0" w:rsidP="002E41A0">
      <w:pPr>
        <w:rPr>
          <w:rFonts w:hint="eastAsia"/>
        </w:rPr>
      </w:pPr>
    </w:p>
    <w:sectPr w:rsidR="002E41A0" w:rsidRPr="002E41A0" w:rsidSect="002E41A0">
      <w:footerReference w:type="default" r:id="rId9"/>
      <w:type w:val="continuous"/>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EA0" w:rsidRDefault="00960EA0">
      <w:r>
        <w:separator/>
      </w:r>
    </w:p>
  </w:endnote>
  <w:endnote w:type="continuationSeparator" w:id="0">
    <w:p w:rsidR="00960EA0" w:rsidRDefault="0096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F67" w:rsidRDefault="00092F67" w:rsidP="002E41A0">
    <w:pPr>
      <w:pStyle w:val="ad"/>
      <w:jc w:val="cen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364462"/>
      <w:docPartObj>
        <w:docPartGallery w:val="Page Numbers (Bottom of Page)"/>
        <w:docPartUnique/>
      </w:docPartObj>
    </w:sdtPr>
    <w:sdtContent>
      <w:p w:rsidR="002E41A0" w:rsidRDefault="002E41A0" w:rsidP="002E41A0">
        <w:pPr>
          <w:pStyle w:val="ad"/>
          <w:jc w:val="center"/>
          <w:rPr>
            <w:rFonts w:hint="eastAsia"/>
          </w:rPr>
        </w:pPr>
        <w:r>
          <w:fldChar w:fldCharType="begin"/>
        </w:r>
        <w:r>
          <w:instrText>PAGE   \* MERGEFORMAT</w:instrText>
        </w:r>
        <w:r>
          <w:fldChar w:fldCharType="separate"/>
        </w:r>
        <w:r w:rsidR="00D52EB7" w:rsidRPr="00D52EB7">
          <w:rPr>
            <w:noProof/>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EA0" w:rsidRDefault="00960EA0">
      <w:r>
        <w:separator/>
      </w:r>
    </w:p>
  </w:footnote>
  <w:footnote w:type="continuationSeparator" w:id="0">
    <w:p w:rsidR="00960EA0" w:rsidRDefault="00960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5FF184"/>
    <w:multiLevelType w:val="singleLevel"/>
    <w:tmpl w:val="A35FF184"/>
    <w:lvl w:ilvl="0">
      <w:start w:val="1"/>
      <w:numFmt w:val="decimal"/>
      <w:lvlText w:val="%1."/>
      <w:lvlJc w:val="left"/>
      <w:pPr>
        <w:ind w:left="425" w:hanging="425"/>
      </w:pPr>
      <w:rPr>
        <w:rFonts w:hint="default"/>
      </w:rPr>
    </w:lvl>
  </w:abstractNum>
  <w:abstractNum w:abstractNumId="1" w15:restartNumberingAfterBreak="0">
    <w:nsid w:val="C016402C"/>
    <w:multiLevelType w:val="singleLevel"/>
    <w:tmpl w:val="C016402C"/>
    <w:lvl w:ilvl="0">
      <w:start w:val="1"/>
      <w:numFmt w:val="decimal"/>
      <w:lvlText w:val="%1."/>
      <w:lvlJc w:val="left"/>
      <w:pPr>
        <w:ind w:left="425" w:hanging="425"/>
      </w:pPr>
      <w:rPr>
        <w:rFonts w:hint="default"/>
      </w:rPr>
    </w:lvl>
  </w:abstractNum>
  <w:abstractNum w:abstractNumId="2" w15:restartNumberingAfterBreak="0">
    <w:nsid w:val="01240098"/>
    <w:multiLevelType w:val="multilevel"/>
    <w:tmpl w:val="01240098"/>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8B82434"/>
    <w:multiLevelType w:val="multilevel"/>
    <w:tmpl w:val="08B8243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0BC93FFE"/>
    <w:multiLevelType w:val="multilevel"/>
    <w:tmpl w:val="0BC93FFE"/>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116D2B52"/>
    <w:multiLevelType w:val="multilevel"/>
    <w:tmpl w:val="116D2B52"/>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154243C0"/>
    <w:multiLevelType w:val="multilevel"/>
    <w:tmpl w:val="154243C0"/>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 w15:restartNumberingAfterBreak="0">
    <w:nsid w:val="20AF1B69"/>
    <w:multiLevelType w:val="multilevel"/>
    <w:tmpl w:val="20AF1B69"/>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249938B3"/>
    <w:multiLevelType w:val="multilevel"/>
    <w:tmpl w:val="249938B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24AD44D0"/>
    <w:multiLevelType w:val="multilevel"/>
    <w:tmpl w:val="24AD44D0"/>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0" w15:restartNumberingAfterBreak="0">
    <w:nsid w:val="254E5FDC"/>
    <w:multiLevelType w:val="multilevel"/>
    <w:tmpl w:val="254E5FDC"/>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27702AC9"/>
    <w:multiLevelType w:val="multilevel"/>
    <w:tmpl w:val="27702AC9"/>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 w15:restartNumberingAfterBreak="0">
    <w:nsid w:val="29013EC3"/>
    <w:multiLevelType w:val="multilevel"/>
    <w:tmpl w:val="29013EC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2B361A31"/>
    <w:multiLevelType w:val="singleLevel"/>
    <w:tmpl w:val="2B361A31"/>
    <w:lvl w:ilvl="0">
      <w:start w:val="1"/>
      <w:numFmt w:val="decimal"/>
      <w:lvlText w:val="%1."/>
      <w:lvlJc w:val="left"/>
      <w:pPr>
        <w:ind w:left="425" w:hanging="425"/>
      </w:pPr>
      <w:rPr>
        <w:rFonts w:hint="default"/>
      </w:rPr>
    </w:lvl>
  </w:abstractNum>
  <w:abstractNum w:abstractNumId="14" w15:restartNumberingAfterBreak="0">
    <w:nsid w:val="2B8C4FC7"/>
    <w:multiLevelType w:val="multilevel"/>
    <w:tmpl w:val="2B8C4FC7"/>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 w15:restartNumberingAfterBreak="0">
    <w:nsid w:val="33307F77"/>
    <w:multiLevelType w:val="multilevel"/>
    <w:tmpl w:val="33307F77"/>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 w15:restartNumberingAfterBreak="0">
    <w:nsid w:val="378A5E6F"/>
    <w:multiLevelType w:val="multilevel"/>
    <w:tmpl w:val="378A5E6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15:restartNumberingAfterBreak="0">
    <w:nsid w:val="38DC1469"/>
    <w:multiLevelType w:val="multilevel"/>
    <w:tmpl w:val="38DC1469"/>
    <w:lvl w:ilvl="0">
      <w:start w:val="1"/>
      <w:numFmt w:val="chineseCountingThousand"/>
      <w:lvlText w:val="%1、"/>
      <w:lvlJc w:val="left"/>
      <w:pPr>
        <w:ind w:left="420" w:hanging="420"/>
      </w:pPr>
      <w:rPr>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3BAC6E6D"/>
    <w:multiLevelType w:val="multilevel"/>
    <w:tmpl w:val="3BAC6E6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9" w15:restartNumberingAfterBreak="0">
    <w:nsid w:val="424F0ED6"/>
    <w:multiLevelType w:val="multilevel"/>
    <w:tmpl w:val="424F0ED6"/>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 w15:restartNumberingAfterBreak="0">
    <w:nsid w:val="42532261"/>
    <w:multiLevelType w:val="multilevel"/>
    <w:tmpl w:val="4253226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1" w15:restartNumberingAfterBreak="0">
    <w:nsid w:val="46E33CAB"/>
    <w:multiLevelType w:val="multilevel"/>
    <w:tmpl w:val="46E33CAB"/>
    <w:lvl w:ilvl="0">
      <w:start w:val="1"/>
      <w:numFmt w:val="decimal"/>
      <w:lvlText w:val="%1)"/>
      <w:lvlJc w:val="left"/>
      <w:pPr>
        <w:ind w:left="845" w:hanging="420"/>
      </w:p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2" w15:restartNumberingAfterBreak="0">
    <w:nsid w:val="4D143481"/>
    <w:multiLevelType w:val="multilevel"/>
    <w:tmpl w:val="2CBC7838"/>
    <w:lvl w:ilvl="0">
      <w:start w:val="12"/>
      <w:numFmt w:val="chineseCountingThousand"/>
      <w:lvlText w:val="%1、"/>
      <w:lvlJc w:val="left"/>
      <w:pPr>
        <w:ind w:left="420" w:hanging="420"/>
      </w:pPr>
      <w:rPr>
        <w:rFonts w:hint="eastAsia"/>
        <w:sz w:val="28"/>
        <w:szCs w:val="2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15:restartNumberingAfterBreak="0">
    <w:nsid w:val="4D1A3004"/>
    <w:multiLevelType w:val="multilevel"/>
    <w:tmpl w:val="4D1A3004"/>
    <w:lvl w:ilvl="0">
      <w:start w:val="1"/>
      <w:numFmt w:val="decimal"/>
      <w:lvlText w:val="%1."/>
      <w:lvlJc w:val="left"/>
      <w:pPr>
        <w:ind w:left="900" w:hanging="420"/>
      </w:pPr>
      <w:rPr>
        <w:rFonts w:ascii="宋体" w:eastAsia="宋体" w:hAnsi="宋体"/>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4" w15:restartNumberingAfterBreak="0">
    <w:nsid w:val="52426473"/>
    <w:multiLevelType w:val="multilevel"/>
    <w:tmpl w:val="5242647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15:restartNumberingAfterBreak="0">
    <w:nsid w:val="57825F28"/>
    <w:multiLevelType w:val="multilevel"/>
    <w:tmpl w:val="57825F28"/>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6" w15:restartNumberingAfterBreak="0">
    <w:nsid w:val="5EA531B2"/>
    <w:multiLevelType w:val="multilevel"/>
    <w:tmpl w:val="5EA531B2"/>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15:restartNumberingAfterBreak="0">
    <w:nsid w:val="677B31E3"/>
    <w:multiLevelType w:val="multilevel"/>
    <w:tmpl w:val="677B31E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15:restartNumberingAfterBreak="0">
    <w:nsid w:val="71604700"/>
    <w:multiLevelType w:val="multilevel"/>
    <w:tmpl w:val="71604700"/>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9" w15:restartNumberingAfterBreak="0">
    <w:nsid w:val="72946D72"/>
    <w:multiLevelType w:val="multilevel"/>
    <w:tmpl w:val="72946D72"/>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0" w15:restartNumberingAfterBreak="0">
    <w:nsid w:val="76FE424D"/>
    <w:multiLevelType w:val="multilevel"/>
    <w:tmpl w:val="76FE424D"/>
    <w:lvl w:ilvl="0">
      <w:start w:val="1"/>
      <w:numFmt w:val="decimal"/>
      <w:lvlText w:val="%1."/>
      <w:lvlJc w:val="left"/>
      <w:pPr>
        <w:ind w:left="900" w:hanging="420"/>
      </w:pPr>
      <w:rPr>
        <w:rFonts w:ascii="宋体" w:eastAsia="宋体" w:hAnsi="宋体"/>
        <w:sz w:val="24"/>
        <w:szCs w:val="24"/>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15:restartNumberingAfterBreak="0">
    <w:nsid w:val="7C744D1B"/>
    <w:multiLevelType w:val="multilevel"/>
    <w:tmpl w:val="7C744D1B"/>
    <w:lvl w:ilvl="0">
      <w:start w:val="1"/>
      <w:numFmt w:val="decimal"/>
      <w:lvlText w:val="%1."/>
      <w:lvlJc w:val="left"/>
      <w:pPr>
        <w:ind w:left="900" w:hanging="420"/>
      </w:pPr>
      <w:rPr>
        <w:rFonts w:ascii="宋体" w:eastAsia="宋体" w:hAnsi="宋体"/>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7"/>
  </w:num>
  <w:num w:numId="2">
    <w:abstractNumId w:val="19"/>
  </w:num>
  <w:num w:numId="3">
    <w:abstractNumId w:val="12"/>
  </w:num>
  <w:num w:numId="4">
    <w:abstractNumId w:val="3"/>
  </w:num>
  <w:num w:numId="5">
    <w:abstractNumId w:val="16"/>
  </w:num>
  <w:num w:numId="6">
    <w:abstractNumId w:val="5"/>
  </w:num>
  <w:num w:numId="7">
    <w:abstractNumId w:val="25"/>
  </w:num>
  <w:num w:numId="8">
    <w:abstractNumId w:val="29"/>
  </w:num>
  <w:num w:numId="9">
    <w:abstractNumId w:val="24"/>
  </w:num>
  <w:num w:numId="10">
    <w:abstractNumId w:val="26"/>
  </w:num>
  <w:num w:numId="11">
    <w:abstractNumId w:val="2"/>
  </w:num>
  <w:num w:numId="12">
    <w:abstractNumId w:val="11"/>
  </w:num>
  <w:num w:numId="13">
    <w:abstractNumId w:val="20"/>
  </w:num>
  <w:num w:numId="14">
    <w:abstractNumId w:val="18"/>
  </w:num>
  <w:num w:numId="15">
    <w:abstractNumId w:val="10"/>
  </w:num>
  <w:num w:numId="16">
    <w:abstractNumId w:val="23"/>
  </w:num>
  <w:num w:numId="17">
    <w:abstractNumId w:val="31"/>
  </w:num>
  <w:num w:numId="18">
    <w:abstractNumId w:val="9"/>
  </w:num>
  <w:num w:numId="19">
    <w:abstractNumId w:val="8"/>
  </w:num>
  <w:num w:numId="20">
    <w:abstractNumId w:val="7"/>
  </w:num>
  <w:num w:numId="21">
    <w:abstractNumId w:val="14"/>
  </w:num>
  <w:num w:numId="22">
    <w:abstractNumId w:val="6"/>
  </w:num>
  <w:num w:numId="23">
    <w:abstractNumId w:val="28"/>
  </w:num>
  <w:num w:numId="24">
    <w:abstractNumId w:val="27"/>
  </w:num>
  <w:num w:numId="25">
    <w:abstractNumId w:val="0"/>
  </w:num>
  <w:num w:numId="26">
    <w:abstractNumId w:val="13"/>
  </w:num>
  <w:num w:numId="27">
    <w:abstractNumId w:val="1"/>
  </w:num>
  <w:num w:numId="28">
    <w:abstractNumId w:val="15"/>
  </w:num>
  <w:num w:numId="29">
    <w:abstractNumId w:val="4"/>
  </w:num>
  <w:num w:numId="30">
    <w:abstractNumId w:val="21"/>
  </w:num>
  <w:num w:numId="31">
    <w:abstractNumId w:val="3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F21"/>
    <w:rsid w:val="000006CF"/>
    <w:rsid w:val="00003085"/>
    <w:rsid w:val="00006E75"/>
    <w:rsid w:val="00007234"/>
    <w:rsid w:val="00010A88"/>
    <w:rsid w:val="000143E6"/>
    <w:rsid w:val="000173A9"/>
    <w:rsid w:val="00024C97"/>
    <w:rsid w:val="0002582A"/>
    <w:rsid w:val="00027180"/>
    <w:rsid w:val="00031792"/>
    <w:rsid w:val="00031DAF"/>
    <w:rsid w:val="0003302E"/>
    <w:rsid w:val="000333A7"/>
    <w:rsid w:val="00035B9B"/>
    <w:rsid w:val="00041416"/>
    <w:rsid w:val="00044E34"/>
    <w:rsid w:val="00045340"/>
    <w:rsid w:val="000471D1"/>
    <w:rsid w:val="0005092C"/>
    <w:rsid w:val="0005197F"/>
    <w:rsid w:val="000519E8"/>
    <w:rsid w:val="00051EF3"/>
    <w:rsid w:val="00052CEB"/>
    <w:rsid w:val="00052E43"/>
    <w:rsid w:val="000570AE"/>
    <w:rsid w:val="00057B5D"/>
    <w:rsid w:val="00060200"/>
    <w:rsid w:val="00060653"/>
    <w:rsid w:val="00061F5E"/>
    <w:rsid w:val="000642C4"/>
    <w:rsid w:val="00064674"/>
    <w:rsid w:val="00064A1D"/>
    <w:rsid w:val="00066526"/>
    <w:rsid w:val="00067DEF"/>
    <w:rsid w:val="00070664"/>
    <w:rsid w:val="000713BD"/>
    <w:rsid w:val="00073271"/>
    <w:rsid w:val="0007365F"/>
    <w:rsid w:val="00073E55"/>
    <w:rsid w:val="00075EC5"/>
    <w:rsid w:val="000806B3"/>
    <w:rsid w:val="00081A7B"/>
    <w:rsid w:val="00082B15"/>
    <w:rsid w:val="00084F1E"/>
    <w:rsid w:val="00086C5C"/>
    <w:rsid w:val="00090328"/>
    <w:rsid w:val="0009083B"/>
    <w:rsid w:val="00090B7E"/>
    <w:rsid w:val="00092F67"/>
    <w:rsid w:val="00095FF8"/>
    <w:rsid w:val="00096C39"/>
    <w:rsid w:val="000A0942"/>
    <w:rsid w:val="000A5B47"/>
    <w:rsid w:val="000B7B65"/>
    <w:rsid w:val="000C014B"/>
    <w:rsid w:val="000C350D"/>
    <w:rsid w:val="000C48AB"/>
    <w:rsid w:val="000C5433"/>
    <w:rsid w:val="000C783D"/>
    <w:rsid w:val="000C7E3F"/>
    <w:rsid w:val="000D152B"/>
    <w:rsid w:val="000D1E56"/>
    <w:rsid w:val="000D4317"/>
    <w:rsid w:val="000D4341"/>
    <w:rsid w:val="000D4916"/>
    <w:rsid w:val="000D5291"/>
    <w:rsid w:val="000D651F"/>
    <w:rsid w:val="000D76A7"/>
    <w:rsid w:val="000E0ACB"/>
    <w:rsid w:val="000E0EBA"/>
    <w:rsid w:val="000E148E"/>
    <w:rsid w:val="000E2A7C"/>
    <w:rsid w:val="000E3844"/>
    <w:rsid w:val="000E5EBB"/>
    <w:rsid w:val="000E6A2D"/>
    <w:rsid w:val="000F0A15"/>
    <w:rsid w:val="000F1534"/>
    <w:rsid w:val="000F1B62"/>
    <w:rsid w:val="000F25F4"/>
    <w:rsid w:val="000F2D2C"/>
    <w:rsid w:val="000F3962"/>
    <w:rsid w:val="000F6880"/>
    <w:rsid w:val="000F7A4F"/>
    <w:rsid w:val="000F7EFD"/>
    <w:rsid w:val="001008AE"/>
    <w:rsid w:val="0010233F"/>
    <w:rsid w:val="0010304F"/>
    <w:rsid w:val="00107916"/>
    <w:rsid w:val="0011023F"/>
    <w:rsid w:val="00110C8F"/>
    <w:rsid w:val="001119C5"/>
    <w:rsid w:val="00111ACE"/>
    <w:rsid w:val="00112298"/>
    <w:rsid w:val="001160D1"/>
    <w:rsid w:val="001167AA"/>
    <w:rsid w:val="0012012D"/>
    <w:rsid w:val="00122AB6"/>
    <w:rsid w:val="00123C13"/>
    <w:rsid w:val="0012414A"/>
    <w:rsid w:val="0012579F"/>
    <w:rsid w:val="001273E6"/>
    <w:rsid w:val="0012751A"/>
    <w:rsid w:val="001277A3"/>
    <w:rsid w:val="00133B89"/>
    <w:rsid w:val="001407DD"/>
    <w:rsid w:val="00141F88"/>
    <w:rsid w:val="00142C12"/>
    <w:rsid w:val="00144B24"/>
    <w:rsid w:val="00150742"/>
    <w:rsid w:val="001507FF"/>
    <w:rsid w:val="001510B8"/>
    <w:rsid w:val="00151FEC"/>
    <w:rsid w:val="00152AB3"/>
    <w:rsid w:val="00153F22"/>
    <w:rsid w:val="00155829"/>
    <w:rsid w:val="0015629A"/>
    <w:rsid w:val="00156530"/>
    <w:rsid w:val="00156D80"/>
    <w:rsid w:val="001574BD"/>
    <w:rsid w:val="00160124"/>
    <w:rsid w:val="00161D22"/>
    <w:rsid w:val="001716F1"/>
    <w:rsid w:val="0017202D"/>
    <w:rsid w:val="00173757"/>
    <w:rsid w:val="001754BF"/>
    <w:rsid w:val="001755E7"/>
    <w:rsid w:val="00175AD1"/>
    <w:rsid w:val="00180DF6"/>
    <w:rsid w:val="0018566D"/>
    <w:rsid w:val="00185FCC"/>
    <w:rsid w:val="001863C5"/>
    <w:rsid w:val="00186641"/>
    <w:rsid w:val="001867AA"/>
    <w:rsid w:val="001868D6"/>
    <w:rsid w:val="001876A7"/>
    <w:rsid w:val="00187EB2"/>
    <w:rsid w:val="00190ABC"/>
    <w:rsid w:val="0019355A"/>
    <w:rsid w:val="00193993"/>
    <w:rsid w:val="00196E02"/>
    <w:rsid w:val="00196E97"/>
    <w:rsid w:val="00197F08"/>
    <w:rsid w:val="001A1070"/>
    <w:rsid w:val="001A3141"/>
    <w:rsid w:val="001A4141"/>
    <w:rsid w:val="001A4E27"/>
    <w:rsid w:val="001A5BE0"/>
    <w:rsid w:val="001B17BC"/>
    <w:rsid w:val="001B40F6"/>
    <w:rsid w:val="001B47E0"/>
    <w:rsid w:val="001B74C3"/>
    <w:rsid w:val="001C143A"/>
    <w:rsid w:val="001C2CFD"/>
    <w:rsid w:val="001C6D84"/>
    <w:rsid w:val="001D0762"/>
    <w:rsid w:val="001D144B"/>
    <w:rsid w:val="001D29E5"/>
    <w:rsid w:val="001D37A5"/>
    <w:rsid w:val="001D3EC3"/>
    <w:rsid w:val="001D6A4D"/>
    <w:rsid w:val="001E358D"/>
    <w:rsid w:val="001F1589"/>
    <w:rsid w:val="001F2F4B"/>
    <w:rsid w:val="001F5B95"/>
    <w:rsid w:val="001F5BDC"/>
    <w:rsid w:val="001F74BF"/>
    <w:rsid w:val="001F7D8A"/>
    <w:rsid w:val="00200D2D"/>
    <w:rsid w:val="002034C3"/>
    <w:rsid w:val="00205761"/>
    <w:rsid w:val="002065CE"/>
    <w:rsid w:val="00207113"/>
    <w:rsid w:val="002129BA"/>
    <w:rsid w:val="00213300"/>
    <w:rsid w:val="0021680A"/>
    <w:rsid w:val="00220192"/>
    <w:rsid w:val="002202E4"/>
    <w:rsid w:val="00221EE1"/>
    <w:rsid w:val="00223976"/>
    <w:rsid w:val="00224654"/>
    <w:rsid w:val="00225D56"/>
    <w:rsid w:val="002264F0"/>
    <w:rsid w:val="002307D5"/>
    <w:rsid w:val="002307E4"/>
    <w:rsid w:val="0023280D"/>
    <w:rsid w:val="002351FD"/>
    <w:rsid w:val="00235AD1"/>
    <w:rsid w:val="00235F13"/>
    <w:rsid w:val="00236AD6"/>
    <w:rsid w:val="00236CF8"/>
    <w:rsid w:val="00236EF8"/>
    <w:rsid w:val="002409D3"/>
    <w:rsid w:val="00244446"/>
    <w:rsid w:val="00246B37"/>
    <w:rsid w:val="00250382"/>
    <w:rsid w:val="00250D27"/>
    <w:rsid w:val="00253315"/>
    <w:rsid w:val="00255B1D"/>
    <w:rsid w:val="00255BB1"/>
    <w:rsid w:val="00261C8D"/>
    <w:rsid w:val="002636E9"/>
    <w:rsid w:val="002654F9"/>
    <w:rsid w:val="00266A82"/>
    <w:rsid w:val="00266B2A"/>
    <w:rsid w:val="002672B7"/>
    <w:rsid w:val="00270937"/>
    <w:rsid w:val="002714EB"/>
    <w:rsid w:val="002715D0"/>
    <w:rsid w:val="00273113"/>
    <w:rsid w:val="0027612A"/>
    <w:rsid w:val="002770C4"/>
    <w:rsid w:val="002814CA"/>
    <w:rsid w:val="0028296D"/>
    <w:rsid w:val="00284669"/>
    <w:rsid w:val="00286145"/>
    <w:rsid w:val="002861D5"/>
    <w:rsid w:val="00286E82"/>
    <w:rsid w:val="002927BE"/>
    <w:rsid w:val="0029388F"/>
    <w:rsid w:val="0029757E"/>
    <w:rsid w:val="002A3AD1"/>
    <w:rsid w:val="002A3C08"/>
    <w:rsid w:val="002A4E91"/>
    <w:rsid w:val="002A5B2B"/>
    <w:rsid w:val="002A5B9E"/>
    <w:rsid w:val="002A6CB3"/>
    <w:rsid w:val="002B0B8E"/>
    <w:rsid w:val="002B190B"/>
    <w:rsid w:val="002B5266"/>
    <w:rsid w:val="002B6778"/>
    <w:rsid w:val="002B6A59"/>
    <w:rsid w:val="002C0652"/>
    <w:rsid w:val="002C4017"/>
    <w:rsid w:val="002C5233"/>
    <w:rsid w:val="002C6651"/>
    <w:rsid w:val="002C7D38"/>
    <w:rsid w:val="002D3498"/>
    <w:rsid w:val="002D3D74"/>
    <w:rsid w:val="002D40C5"/>
    <w:rsid w:val="002D5808"/>
    <w:rsid w:val="002D70CF"/>
    <w:rsid w:val="002D74B0"/>
    <w:rsid w:val="002E06FB"/>
    <w:rsid w:val="002E177F"/>
    <w:rsid w:val="002E1B20"/>
    <w:rsid w:val="002E41A0"/>
    <w:rsid w:val="002E69FA"/>
    <w:rsid w:val="002E70CE"/>
    <w:rsid w:val="002F091F"/>
    <w:rsid w:val="002F15F1"/>
    <w:rsid w:val="002F3782"/>
    <w:rsid w:val="002F6316"/>
    <w:rsid w:val="00303680"/>
    <w:rsid w:val="00303798"/>
    <w:rsid w:val="003047F2"/>
    <w:rsid w:val="00305487"/>
    <w:rsid w:val="00305D09"/>
    <w:rsid w:val="00307C50"/>
    <w:rsid w:val="0031056F"/>
    <w:rsid w:val="00311709"/>
    <w:rsid w:val="00311F2D"/>
    <w:rsid w:val="00313C42"/>
    <w:rsid w:val="00315BFD"/>
    <w:rsid w:val="0032127D"/>
    <w:rsid w:val="00323055"/>
    <w:rsid w:val="0032467C"/>
    <w:rsid w:val="003305A7"/>
    <w:rsid w:val="00331BC9"/>
    <w:rsid w:val="00331E20"/>
    <w:rsid w:val="00333805"/>
    <w:rsid w:val="00336A33"/>
    <w:rsid w:val="00337A19"/>
    <w:rsid w:val="00337A80"/>
    <w:rsid w:val="00340621"/>
    <w:rsid w:val="00340794"/>
    <w:rsid w:val="00340F85"/>
    <w:rsid w:val="00341A0C"/>
    <w:rsid w:val="003462B7"/>
    <w:rsid w:val="00346FE4"/>
    <w:rsid w:val="00347188"/>
    <w:rsid w:val="00350673"/>
    <w:rsid w:val="003546AB"/>
    <w:rsid w:val="00354E6C"/>
    <w:rsid w:val="0035532C"/>
    <w:rsid w:val="00360D9B"/>
    <w:rsid w:val="003618D2"/>
    <w:rsid w:val="003619B2"/>
    <w:rsid w:val="00361F71"/>
    <w:rsid w:val="00363D5D"/>
    <w:rsid w:val="0036496A"/>
    <w:rsid w:val="00365EA7"/>
    <w:rsid w:val="00370096"/>
    <w:rsid w:val="00370E40"/>
    <w:rsid w:val="00371E47"/>
    <w:rsid w:val="003738E2"/>
    <w:rsid w:val="00373F3A"/>
    <w:rsid w:val="003759CA"/>
    <w:rsid w:val="00375E38"/>
    <w:rsid w:val="00376195"/>
    <w:rsid w:val="00381943"/>
    <w:rsid w:val="003820AA"/>
    <w:rsid w:val="00383117"/>
    <w:rsid w:val="00385676"/>
    <w:rsid w:val="0039270C"/>
    <w:rsid w:val="00392FD3"/>
    <w:rsid w:val="003932E6"/>
    <w:rsid w:val="00394EFC"/>
    <w:rsid w:val="00394F9E"/>
    <w:rsid w:val="003958B8"/>
    <w:rsid w:val="00396D7E"/>
    <w:rsid w:val="00397F12"/>
    <w:rsid w:val="003A0C0C"/>
    <w:rsid w:val="003A50D6"/>
    <w:rsid w:val="003A55A8"/>
    <w:rsid w:val="003B0820"/>
    <w:rsid w:val="003B5535"/>
    <w:rsid w:val="003B6FE7"/>
    <w:rsid w:val="003C1677"/>
    <w:rsid w:val="003C1D97"/>
    <w:rsid w:val="003C209C"/>
    <w:rsid w:val="003C266D"/>
    <w:rsid w:val="003C41F3"/>
    <w:rsid w:val="003C6FB7"/>
    <w:rsid w:val="003D49CA"/>
    <w:rsid w:val="003D6A8B"/>
    <w:rsid w:val="003D722A"/>
    <w:rsid w:val="003D7437"/>
    <w:rsid w:val="003E0C02"/>
    <w:rsid w:val="003E2F2A"/>
    <w:rsid w:val="003E3F28"/>
    <w:rsid w:val="003E426D"/>
    <w:rsid w:val="003E4F26"/>
    <w:rsid w:val="003E7621"/>
    <w:rsid w:val="003F1031"/>
    <w:rsid w:val="003F1FC4"/>
    <w:rsid w:val="003F25A1"/>
    <w:rsid w:val="003F333C"/>
    <w:rsid w:val="003F3E3D"/>
    <w:rsid w:val="003F3F52"/>
    <w:rsid w:val="003F4B51"/>
    <w:rsid w:val="003F4BBE"/>
    <w:rsid w:val="003F73E3"/>
    <w:rsid w:val="00401A94"/>
    <w:rsid w:val="004104AF"/>
    <w:rsid w:val="00412933"/>
    <w:rsid w:val="0041436A"/>
    <w:rsid w:val="00414D82"/>
    <w:rsid w:val="00415BEF"/>
    <w:rsid w:val="00415FF9"/>
    <w:rsid w:val="0041670C"/>
    <w:rsid w:val="00416E82"/>
    <w:rsid w:val="00417352"/>
    <w:rsid w:val="00417FCC"/>
    <w:rsid w:val="004210E9"/>
    <w:rsid w:val="00422F90"/>
    <w:rsid w:val="00430F2C"/>
    <w:rsid w:val="00431AFF"/>
    <w:rsid w:val="00432D8B"/>
    <w:rsid w:val="004371FD"/>
    <w:rsid w:val="004373CB"/>
    <w:rsid w:val="004431E1"/>
    <w:rsid w:val="00444746"/>
    <w:rsid w:val="004453FE"/>
    <w:rsid w:val="00445CDE"/>
    <w:rsid w:val="004470B2"/>
    <w:rsid w:val="00451426"/>
    <w:rsid w:val="0045196B"/>
    <w:rsid w:val="00453566"/>
    <w:rsid w:val="00453D45"/>
    <w:rsid w:val="00455C8F"/>
    <w:rsid w:val="00462173"/>
    <w:rsid w:val="00463010"/>
    <w:rsid w:val="004631AB"/>
    <w:rsid w:val="004651A1"/>
    <w:rsid w:val="00470B48"/>
    <w:rsid w:val="0047117E"/>
    <w:rsid w:val="00471754"/>
    <w:rsid w:val="004737BA"/>
    <w:rsid w:val="00473C45"/>
    <w:rsid w:val="004756B8"/>
    <w:rsid w:val="00480437"/>
    <w:rsid w:val="00482870"/>
    <w:rsid w:val="004834A5"/>
    <w:rsid w:val="0048353D"/>
    <w:rsid w:val="004841C3"/>
    <w:rsid w:val="00486208"/>
    <w:rsid w:val="0048682C"/>
    <w:rsid w:val="00487D43"/>
    <w:rsid w:val="00490164"/>
    <w:rsid w:val="004914D6"/>
    <w:rsid w:val="00493378"/>
    <w:rsid w:val="0049352F"/>
    <w:rsid w:val="00496AE3"/>
    <w:rsid w:val="0049700E"/>
    <w:rsid w:val="00497266"/>
    <w:rsid w:val="004A0000"/>
    <w:rsid w:val="004A0005"/>
    <w:rsid w:val="004A0B5D"/>
    <w:rsid w:val="004A386C"/>
    <w:rsid w:val="004A4CC7"/>
    <w:rsid w:val="004B0C57"/>
    <w:rsid w:val="004B1088"/>
    <w:rsid w:val="004B1944"/>
    <w:rsid w:val="004B23FC"/>
    <w:rsid w:val="004B4690"/>
    <w:rsid w:val="004B6BAF"/>
    <w:rsid w:val="004C4DF7"/>
    <w:rsid w:val="004C5696"/>
    <w:rsid w:val="004C5A2F"/>
    <w:rsid w:val="004D29C8"/>
    <w:rsid w:val="004D354F"/>
    <w:rsid w:val="004D37EF"/>
    <w:rsid w:val="004D680B"/>
    <w:rsid w:val="004E14CD"/>
    <w:rsid w:val="004E1E26"/>
    <w:rsid w:val="004E3087"/>
    <w:rsid w:val="004E5846"/>
    <w:rsid w:val="004E5867"/>
    <w:rsid w:val="004E5BF8"/>
    <w:rsid w:val="004F3910"/>
    <w:rsid w:val="004F5F1E"/>
    <w:rsid w:val="0050064D"/>
    <w:rsid w:val="005018F9"/>
    <w:rsid w:val="005027B7"/>
    <w:rsid w:val="00502A2C"/>
    <w:rsid w:val="00502CB6"/>
    <w:rsid w:val="005034DD"/>
    <w:rsid w:val="00503BDC"/>
    <w:rsid w:val="00503DEA"/>
    <w:rsid w:val="00504004"/>
    <w:rsid w:val="005055EB"/>
    <w:rsid w:val="0050575C"/>
    <w:rsid w:val="005059B0"/>
    <w:rsid w:val="00511C0B"/>
    <w:rsid w:val="0051466C"/>
    <w:rsid w:val="00516DE1"/>
    <w:rsid w:val="00521B33"/>
    <w:rsid w:val="0052209A"/>
    <w:rsid w:val="00522723"/>
    <w:rsid w:val="005267DF"/>
    <w:rsid w:val="0052775D"/>
    <w:rsid w:val="00527B90"/>
    <w:rsid w:val="00530945"/>
    <w:rsid w:val="00530B11"/>
    <w:rsid w:val="005349A3"/>
    <w:rsid w:val="0053642A"/>
    <w:rsid w:val="00537B88"/>
    <w:rsid w:val="005428BC"/>
    <w:rsid w:val="00544DE5"/>
    <w:rsid w:val="00550150"/>
    <w:rsid w:val="00551333"/>
    <w:rsid w:val="00551503"/>
    <w:rsid w:val="005530BF"/>
    <w:rsid w:val="00553174"/>
    <w:rsid w:val="00554F85"/>
    <w:rsid w:val="005567D2"/>
    <w:rsid w:val="005579E1"/>
    <w:rsid w:val="00560823"/>
    <w:rsid w:val="005611A7"/>
    <w:rsid w:val="0056179B"/>
    <w:rsid w:val="00561C9F"/>
    <w:rsid w:val="00562DCB"/>
    <w:rsid w:val="00563042"/>
    <w:rsid w:val="0056404F"/>
    <w:rsid w:val="00564B3F"/>
    <w:rsid w:val="005669E7"/>
    <w:rsid w:val="005700E0"/>
    <w:rsid w:val="00571A87"/>
    <w:rsid w:val="00571AAE"/>
    <w:rsid w:val="00573629"/>
    <w:rsid w:val="0057550E"/>
    <w:rsid w:val="0057754E"/>
    <w:rsid w:val="00580668"/>
    <w:rsid w:val="005810F9"/>
    <w:rsid w:val="00581566"/>
    <w:rsid w:val="005826FC"/>
    <w:rsid w:val="00582E0B"/>
    <w:rsid w:val="00585A6D"/>
    <w:rsid w:val="00586F40"/>
    <w:rsid w:val="005901F9"/>
    <w:rsid w:val="00595276"/>
    <w:rsid w:val="00596749"/>
    <w:rsid w:val="005A063B"/>
    <w:rsid w:val="005A2819"/>
    <w:rsid w:val="005A3D77"/>
    <w:rsid w:val="005A50F4"/>
    <w:rsid w:val="005B1C67"/>
    <w:rsid w:val="005B6763"/>
    <w:rsid w:val="005B6FB6"/>
    <w:rsid w:val="005B7236"/>
    <w:rsid w:val="005C0CB7"/>
    <w:rsid w:val="005C0F6E"/>
    <w:rsid w:val="005C2D54"/>
    <w:rsid w:val="005C4D21"/>
    <w:rsid w:val="005C6C32"/>
    <w:rsid w:val="005C7226"/>
    <w:rsid w:val="005D0D93"/>
    <w:rsid w:val="005D1723"/>
    <w:rsid w:val="005D39E9"/>
    <w:rsid w:val="005D3FED"/>
    <w:rsid w:val="005D64A0"/>
    <w:rsid w:val="005D763A"/>
    <w:rsid w:val="005E1053"/>
    <w:rsid w:val="005E17CA"/>
    <w:rsid w:val="005E18AD"/>
    <w:rsid w:val="005E2CE7"/>
    <w:rsid w:val="005E37BF"/>
    <w:rsid w:val="005E3B17"/>
    <w:rsid w:val="005E7333"/>
    <w:rsid w:val="005F23D5"/>
    <w:rsid w:val="005F41D7"/>
    <w:rsid w:val="005F4898"/>
    <w:rsid w:val="005F6B6C"/>
    <w:rsid w:val="00601968"/>
    <w:rsid w:val="006036FC"/>
    <w:rsid w:val="00604BE2"/>
    <w:rsid w:val="0060645D"/>
    <w:rsid w:val="00607390"/>
    <w:rsid w:val="006116B6"/>
    <w:rsid w:val="006121EF"/>
    <w:rsid w:val="00612B10"/>
    <w:rsid w:val="00612C29"/>
    <w:rsid w:val="00612E50"/>
    <w:rsid w:val="006211FE"/>
    <w:rsid w:val="006232FE"/>
    <w:rsid w:val="0062466F"/>
    <w:rsid w:val="00626EA7"/>
    <w:rsid w:val="006273CC"/>
    <w:rsid w:val="00630846"/>
    <w:rsid w:val="0063290B"/>
    <w:rsid w:val="00634726"/>
    <w:rsid w:val="00635C6D"/>
    <w:rsid w:val="006365FA"/>
    <w:rsid w:val="00637470"/>
    <w:rsid w:val="00644BC0"/>
    <w:rsid w:val="00645DF4"/>
    <w:rsid w:val="00647087"/>
    <w:rsid w:val="00647577"/>
    <w:rsid w:val="00647E0A"/>
    <w:rsid w:val="00651AEC"/>
    <w:rsid w:val="00653211"/>
    <w:rsid w:val="00656AA7"/>
    <w:rsid w:val="00657A21"/>
    <w:rsid w:val="00663E45"/>
    <w:rsid w:val="006662C5"/>
    <w:rsid w:val="0067209C"/>
    <w:rsid w:val="0067347D"/>
    <w:rsid w:val="00673F82"/>
    <w:rsid w:val="0067573B"/>
    <w:rsid w:val="006774EE"/>
    <w:rsid w:val="00680B8E"/>
    <w:rsid w:val="00681773"/>
    <w:rsid w:val="006835C3"/>
    <w:rsid w:val="00691505"/>
    <w:rsid w:val="00691D62"/>
    <w:rsid w:val="006931AE"/>
    <w:rsid w:val="00693270"/>
    <w:rsid w:val="00693ABF"/>
    <w:rsid w:val="00693AD3"/>
    <w:rsid w:val="006951BD"/>
    <w:rsid w:val="00696C94"/>
    <w:rsid w:val="006972C8"/>
    <w:rsid w:val="006A21AE"/>
    <w:rsid w:val="006A31FE"/>
    <w:rsid w:val="006A330F"/>
    <w:rsid w:val="006A4244"/>
    <w:rsid w:val="006A624C"/>
    <w:rsid w:val="006A772D"/>
    <w:rsid w:val="006A7D51"/>
    <w:rsid w:val="006B0C26"/>
    <w:rsid w:val="006B2BFE"/>
    <w:rsid w:val="006B362C"/>
    <w:rsid w:val="006B54F5"/>
    <w:rsid w:val="006B68BB"/>
    <w:rsid w:val="006B6F92"/>
    <w:rsid w:val="006C4972"/>
    <w:rsid w:val="006C5953"/>
    <w:rsid w:val="006C73CB"/>
    <w:rsid w:val="006C757A"/>
    <w:rsid w:val="006D077E"/>
    <w:rsid w:val="006D33F6"/>
    <w:rsid w:val="006D39FD"/>
    <w:rsid w:val="006D3B4F"/>
    <w:rsid w:val="006D3DDD"/>
    <w:rsid w:val="006D4032"/>
    <w:rsid w:val="006D6033"/>
    <w:rsid w:val="006D64D7"/>
    <w:rsid w:val="006D78D5"/>
    <w:rsid w:val="006E0097"/>
    <w:rsid w:val="006E14B2"/>
    <w:rsid w:val="006E4A77"/>
    <w:rsid w:val="006E556E"/>
    <w:rsid w:val="006E5D13"/>
    <w:rsid w:val="006E62FD"/>
    <w:rsid w:val="006E7CC8"/>
    <w:rsid w:val="006F10BE"/>
    <w:rsid w:val="006F232B"/>
    <w:rsid w:val="006F46F6"/>
    <w:rsid w:val="006F50B7"/>
    <w:rsid w:val="006F6068"/>
    <w:rsid w:val="006F6078"/>
    <w:rsid w:val="006F6220"/>
    <w:rsid w:val="006F6A9C"/>
    <w:rsid w:val="006F70E1"/>
    <w:rsid w:val="006F7455"/>
    <w:rsid w:val="007000D6"/>
    <w:rsid w:val="00703E5D"/>
    <w:rsid w:val="007050A2"/>
    <w:rsid w:val="00706642"/>
    <w:rsid w:val="007068A3"/>
    <w:rsid w:val="00707668"/>
    <w:rsid w:val="007104E7"/>
    <w:rsid w:val="00717808"/>
    <w:rsid w:val="00717A6C"/>
    <w:rsid w:val="00720482"/>
    <w:rsid w:val="0072387F"/>
    <w:rsid w:val="00724EED"/>
    <w:rsid w:val="00727C91"/>
    <w:rsid w:val="00731A46"/>
    <w:rsid w:val="00736597"/>
    <w:rsid w:val="0074009C"/>
    <w:rsid w:val="007427ED"/>
    <w:rsid w:val="00744CB4"/>
    <w:rsid w:val="0074536C"/>
    <w:rsid w:val="0075049C"/>
    <w:rsid w:val="007515EF"/>
    <w:rsid w:val="0075248E"/>
    <w:rsid w:val="007535F8"/>
    <w:rsid w:val="00754D33"/>
    <w:rsid w:val="007601C7"/>
    <w:rsid w:val="007613FF"/>
    <w:rsid w:val="0076541E"/>
    <w:rsid w:val="007659CA"/>
    <w:rsid w:val="00766899"/>
    <w:rsid w:val="007670BB"/>
    <w:rsid w:val="007705E5"/>
    <w:rsid w:val="00772357"/>
    <w:rsid w:val="00772A40"/>
    <w:rsid w:val="00772BEE"/>
    <w:rsid w:val="00773179"/>
    <w:rsid w:val="00774CB9"/>
    <w:rsid w:val="00774D2C"/>
    <w:rsid w:val="0077551E"/>
    <w:rsid w:val="00781391"/>
    <w:rsid w:val="0078226F"/>
    <w:rsid w:val="00784465"/>
    <w:rsid w:val="0078574A"/>
    <w:rsid w:val="007901D3"/>
    <w:rsid w:val="00791AF7"/>
    <w:rsid w:val="0079254C"/>
    <w:rsid w:val="0079448D"/>
    <w:rsid w:val="0079571D"/>
    <w:rsid w:val="00795ED9"/>
    <w:rsid w:val="007A09AF"/>
    <w:rsid w:val="007A1137"/>
    <w:rsid w:val="007A20BE"/>
    <w:rsid w:val="007A20D2"/>
    <w:rsid w:val="007A2471"/>
    <w:rsid w:val="007A3113"/>
    <w:rsid w:val="007A3424"/>
    <w:rsid w:val="007A41E6"/>
    <w:rsid w:val="007A5810"/>
    <w:rsid w:val="007B2104"/>
    <w:rsid w:val="007B2125"/>
    <w:rsid w:val="007B3122"/>
    <w:rsid w:val="007B3FAD"/>
    <w:rsid w:val="007B7265"/>
    <w:rsid w:val="007B7708"/>
    <w:rsid w:val="007C09AE"/>
    <w:rsid w:val="007C2537"/>
    <w:rsid w:val="007C3DE0"/>
    <w:rsid w:val="007C5B5B"/>
    <w:rsid w:val="007C6000"/>
    <w:rsid w:val="007D0843"/>
    <w:rsid w:val="007D29D1"/>
    <w:rsid w:val="007D7275"/>
    <w:rsid w:val="007D7F7F"/>
    <w:rsid w:val="007E1FA2"/>
    <w:rsid w:val="007E36C2"/>
    <w:rsid w:val="007E3AAA"/>
    <w:rsid w:val="007E4DC7"/>
    <w:rsid w:val="007F05AB"/>
    <w:rsid w:val="007F6CCB"/>
    <w:rsid w:val="007F6FBA"/>
    <w:rsid w:val="007F7142"/>
    <w:rsid w:val="007F7D4F"/>
    <w:rsid w:val="008011DC"/>
    <w:rsid w:val="00802212"/>
    <w:rsid w:val="00803950"/>
    <w:rsid w:val="008051DA"/>
    <w:rsid w:val="00805F33"/>
    <w:rsid w:val="008146EF"/>
    <w:rsid w:val="00814C7A"/>
    <w:rsid w:val="0081593F"/>
    <w:rsid w:val="00817EBD"/>
    <w:rsid w:val="00820769"/>
    <w:rsid w:val="008214DA"/>
    <w:rsid w:val="00821624"/>
    <w:rsid w:val="00821B41"/>
    <w:rsid w:val="00822C0D"/>
    <w:rsid w:val="00824AF1"/>
    <w:rsid w:val="00825A14"/>
    <w:rsid w:val="008274C5"/>
    <w:rsid w:val="00830E10"/>
    <w:rsid w:val="0083211B"/>
    <w:rsid w:val="00832313"/>
    <w:rsid w:val="00833491"/>
    <w:rsid w:val="0084207D"/>
    <w:rsid w:val="00845614"/>
    <w:rsid w:val="008459EF"/>
    <w:rsid w:val="00845BEF"/>
    <w:rsid w:val="0085145A"/>
    <w:rsid w:val="0085155D"/>
    <w:rsid w:val="0085296D"/>
    <w:rsid w:val="00856B7F"/>
    <w:rsid w:val="00857399"/>
    <w:rsid w:val="00860123"/>
    <w:rsid w:val="00860897"/>
    <w:rsid w:val="00860CA3"/>
    <w:rsid w:val="008626D2"/>
    <w:rsid w:val="00863433"/>
    <w:rsid w:val="0086485F"/>
    <w:rsid w:val="00865164"/>
    <w:rsid w:val="008661CC"/>
    <w:rsid w:val="0086695F"/>
    <w:rsid w:val="008673D2"/>
    <w:rsid w:val="00872E12"/>
    <w:rsid w:val="00876C68"/>
    <w:rsid w:val="00883AB3"/>
    <w:rsid w:val="008847FF"/>
    <w:rsid w:val="00885913"/>
    <w:rsid w:val="00885A71"/>
    <w:rsid w:val="00890A69"/>
    <w:rsid w:val="008933D0"/>
    <w:rsid w:val="00893FDD"/>
    <w:rsid w:val="008945E3"/>
    <w:rsid w:val="00894CA9"/>
    <w:rsid w:val="00895455"/>
    <w:rsid w:val="008968E8"/>
    <w:rsid w:val="008A0116"/>
    <w:rsid w:val="008A0D3A"/>
    <w:rsid w:val="008A1166"/>
    <w:rsid w:val="008A1369"/>
    <w:rsid w:val="008A2239"/>
    <w:rsid w:val="008A2D94"/>
    <w:rsid w:val="008A44CD"/>
    <w:rsid w:val="008A4974"/>
    <w:rsid w:val="008A754C"/>
    <w:rsid w:val="008B1765"/>
    <w:rsid w:val="008B5FF1"/>
    <w:rsid w:val="008C41F5"/>
    <w:rsid w:val="008C61E7"/>
    <w:rsid w:val="008C6F40"/>
    <w:rsid w:val="008D2B60"/>
    <w:rsid w:val="008D4185"/>
    <w:rsid w:val="008D7ACD"/>
    <w:rsid w:val="008D7CA4"/>
    <w:rsid w:val="008E510F"/>
    <w:rsid w:val="008E572C"/>
    <w:rsid w:val="008E66E5"/>
    <w:rsid w:val="008F1805"/>
    <w:rsid w:val="008F4BDB"/>
    <w:rsid w:val="00902EC7"/>
    <w:rsid w:val="00903872"/>
    <w:rsid w:val="009046F4"/>
    <w:rsid w:val="00905EC4"/>
    <w:rsid w:val="009061C3"/>
    <w:rsid w:val="00910FF0"/>
    <w:rsid w:val="0091634C"/>
    <w:rsid w:val="00916375"/>
    <w:rsid w:val="00920082"/>
    <w:rsid w:val="009202CA"/>
    <w:rsid w:val="009213DE"/>
    <w:rsid w:val="00922984"/>
    <w:rsid w:val="009236CE"/>
    <w:rsid w:val="00924449"/>
    <w:rsid w:val="00924D83"/>
    <w:rsid w:val="0092616F"/>
    <w:rsid w:val="009275E2"/>
    <w:rsid w:val="00927B89"/>
    <w:rsid w:val="00927F4F"/>
    <w:rsid w:val="00930122"/>
    <w:rsid w:val="00930330"/>
    <w:rsid w:val="00931CF3"/>
    <w:rsid w:val="00931ED6"/>
    <w:rsid w:val="00932092"/>
    <w:rsid w:val="009323C7"/>
    <w:rsid w:val="009327C0"/>
    <w:rsid w:val="0093685D"/>
    <w:rsid w:val="009372F4"/>
    <w:rsid w:val="00940B88"/>
    <w:rsid w:val="00941BDC"/>
    <w:rsid w:val="00944B94"/>
    <w:rsid w:val="00944C05"/>
    <w:rsid w:val="009453BF"/>
    <w:rsid w:val="00945448"/>
    <w:rsid w:val="009458DA"/>
    <w:rsid w:val="00947200"/>
    <w:rsid w:val="009531CD"/>
    <w:rsid w:val="009540C5"/>
    <w:rsid w:val="0096029A"/>
    <w:rsid w:val="00960EA0"/>
    <w:rsid w:val="009628CF"/>
    <w:rsid w:val="00962B34"/>
    <w:rsid w:val="00962FE2"/>
    <w:rsid w:val="00963736"/>
    <w:rsid w:val="009641E2"/>
    <w:rsid w:val="00964B16"/>
    <w:rsid w:val="00967604"/>
    <w:rsid w:val="00970FB2"/>
    <w:rsid w:val="009761D7"/>
    <w:rsid w:val="00981710"/>
    <w:rsid w:val="00982B77"/>
    <w:rsid w:val="00985799"/>
    <w:rsid w:val="009928E1"/>
    <w:rsid w:val="00993198"/>
    <w:rsid w:val="00993DBF"/>
    <w:rsid w:val="00996505"/>
    <w:rsid w:val="00997C1E"/>
    <w:rsid w:val="00997F29"/>
    <w:rsid w:val="009A16BE"/>
    <w:rsid w:val="009A790D"/>
    <w:rsid w:val="009A7A2D"/>
    <w:rsid w:val="009A7E4E"/>
    <w:rsid w:val="009B1E72"/>
    <w:rsid w:val="009B330E"/>
    <w:rsid w:val="009B42B9"/>
    <w:rsid w:val="009B4C88"/>
    <w:rsid w:val="009B608C"/>
    <w:rsid w:val="009B62A1"/>
    <w:rsid w:val="009C0282"/>
    <w:rsid w:val="009C133F"/>
    <w:rsid w:val="009C3453"/>
    <w:rsid w:val="009C41CD"/>
    <w:rsid w:val="009D67BD"/>
    <w:rsid w:val="009E17AE"/>
    <w:rsid w:val="009E330A"/>
    <w:rsid w:val="009E6B3B"/>
    <w:rsid w:val="009F20B4"/>
    <w:rsid w:val="009F2D3D"/>
    <w:rsid w:val="009F40E1"/>
    <w:rsid w:val="009F5135"/>
    <w:rsid w:val="00A02C01"/>
    <w:rsid w:val="00A04D7D"/>
    <w:rsid w:val="00A06F3B"/>
    <w:rsid w:val="00A0765D"/>
    <w:rsid w:val="00A10E18"/>
    <w:rsid w:val="00A11693"/>
    <w:rsid w:val="00A11E96"/>
    <w:rsid w:val="00A165F5"/>
    <w:rsid w:val="00A17FE1"/>
    <w:rsid w:val="00A20807"/>
    <w:rsid w:val="00A22E2A"/>
    <w:rsid w:val="00A2391C"/>
    <w:rsid w:val="00A30FDB"/>
    <w:rsid w:val="00A329EB"/>
    <w:rsid w:val="00A3480C"/>
    <w:rsid w:val="00A34DF9"/>
    <w:rsid w:val="00A35EB9"/>
    <w:rsid w:val="00A419AC"/>
    <w:rsid w:val="00A41AA4"/>
    <w:rsid w:val="00A50273"/>
    <w:rsid w:val="00A5053E"/>
    <w:rsid w:val="00A50D31"/>
    <w:rsid w:val="00A535EF"/>
    <w:rsid w:val="00A54E1F"/>
    <w:rsid w:val="00A5642D"/>
    <w:rsid w:val="00A604B2"/>
    <w:rsid w:val="00A60F80"/>
    <w:rsid w:val="00A62EBF"/>
    <w:rsid w:val="00A63DE9"/>
    <w:rsid w:val="00A663B8"/>
    <w:rsid w:val="00A703D6"/>
    <w:rsid w:val="00A710F2"/>
    <w:rsid w:val="00A728C0"/>
    <w:rsid w:val="00A737C0"/>
    <w:rsid w:val="00A74372"/>
    <w:rsid w:val="00A7473C"/>
    <w:rsid w:val="00A75792"/>
    <w:rsid w:val="00A81272"/>
    <w:rsid w:val="00A81543"/>
    <w:rsid w:val="00A83590"/>
    <w:rsid w:val="00A85D32"/>
    <w:rsid w:val="00A85E09"/>
    <w:rsid w:val="00A87D4A"/>
    <w:rsid w:val="00A90F08"/>
    <w:rsid w:val="00A92873"/>
    <w:rsid w:val="00A96D35"/>
    <w:rsid w:val="00AA271A"/>
    <w:rsid w:val="00AA35B1"/>
    <w:rsid w:val="00AA3F48"/>
    <w:rsid w:val="00AB0645"/>
    <w:rsid w:val="00AB2D14"/>
    <w:rsid w:val="00AB6209"/>
    <w:rsid w:val="00AB7453"/>
    <w:rsid w:val="00AC0AF8"/>
    <w:rsid w:val="00AC1C9C"/>
    <w:rsid w:val="00AC5DD8"/>
    <w:rsid w:val="00AC6515"/>
    <w:rsid w:val="00AC6FD1"/>
    <w:rsid w:val="00AD28B7"/>
    <w:rsid w:val="00AD3B26"/>
    <w:rsid w:val="00AD4CCC"/>
    <w:rsid w:val="00AD70EF"/>
    <w:rsid w:val="00AE1C86"/>
    <w:rsid w:val="00AE2CC8"/>
    <w:rsid w:val="00AE2DBD"/>
    <w:rsid w:val="00AE7497"/>
    <w:rsid w:val="00AE7900"/>
    <w:rsid w:val="00AE7F78"/>
    <w:rsid w:val="00AF073D"/>
    <w:rsid w:val="00AF0F32"/>
    <w:rsid w:val="00AF4DB8"/>
    <w:rsid w:val="00AF747E"/>
    <w:rsid w:val="00AF7D12"/>
    <w:rsid w:val="00B02242"/>
    <w:rsid w:val="00B02EE4"/>
    <w:rsid w:val="00B03A8C"/>
    <w:rsid w:val="00B101BA"/>
    <w:rsid w:val="00B10E11"/>
    <w:rsid w:val="00B11435"/>
    <w:rsid w:val="00B12C20"/>
    <w:rsid w:val="00B14702"/>
    <w:rsid w:val="00B151BD"/>
    <w:rsid w:val="00B154E1"/>
    <w:rsid w:val="00B158B8"/>
    <w:rsid w:val="00B1702A"/>
    <w:rsid w:val="00B17A17"/>
    <w:rsid w:val="00B2276C"/>
    <w:rsid w:val="00B23A57"/>
    <w:rsid w:val="00B2477C"/>
    <w:rsid w:val="00B305F9"/>
    <w:rsid w:val="00B33382"/>
    <w:rsid w:val="00B364E1"/>
    <w:rsid w:val="00B4301C"/>
    <w:rsid w:val="00B43A23"/>
    <w:rsid w:val="00B45A04"/>
    <w:rsid w:val="00B47651"/>
    <w:rsid w:val="00B519B7"/>
    <w:rsid w:val="00B55445"/>
    <w:rsid w:val="00B56F41"/>
    <w:rsid w:val="00B60645"/>
    <w:rsid w:val="00B635B5"/>
    <w:rsid w:val="00B65716"/>
    <w:rsid w:val="00B74D10"/>
    <w:rsid w:val="00B7582A"/>
    <w:rsid w:val="00B76132"/>
    <w:rsid w:val="00B83D89"/>
    <w:rsid w:val="00B84313"/>
    <w:rsid w:val="00B84979"/>
    <w:rsid w:val="00B86952"/>
    <w:rsid w:val="00B86AE1"/>
    <w:rsid w:val="00B86F2D"/>
    <w:rsid w:val="00B925E0"/>
    <w:rsid w:val="00B92960"/>
    <w:rsid w:val="00B94807"/>
    <w:rsid w:val="00B957D9"/>
    <w:rsid w:val="00B9676A"/>
    <w:rsid w:val="00B972BA"/>
    <w:rsid w:val="00BA1C14"/>
    <w:rsid w:val="00BA5F1E"/>
    <w:rsid w:val="00BB0FED"/>
    <w:rsid w:val="00BB1B67"/>
    <w:rsid w:val="00BB392A"/>
    <w:rsid w:val="00BB3E76"/>
    <w:rsid w:val="00BB4816"/>
    <w:rsid w:val="00BB5BD7"/>
    <w:rsid w:val="00BB7EF0"/>
    <w:rsid w:val="00BC10CD"/>
    <w:rsid w:val="00BC223E"/>
    <w:rsid w:val="00BC367B"/>
    <w:rsid w:val="00BC3BD6"/>
    <w:rsid w:val="00BC6817"/>
    <w:rsid w:val="00BC7965"/>
    <w:rsid w:val="00BD04A0"/>
    <w:rsid w:val="00BD0F65"/>
    <w:rsid w:val="00BD286D"/>
    <w:rsid w:val="00BD3686"/>
    <w:rsid w:val="00BD3B45"/>
    <w:rsid w:val="00BD639E"/>
    <w:rsid w:val="00BD7348"/>
    <w:rsid w:val="00BE0A59"/>
    <w:rsid w:val="00BE0F21"/>
    <w:rsid w:val="00BE367E"/>
    <w:rsid w:val="00BE3C6B"/>
    <w:rsid w:val="00BE543E"/>
    <w:rsid w:val="00BE5E1F"/>
    <w:rsid w:val="00BE732A"/>
    <w:rsid w:val="00BF7F8F"/>
    <w:rsid w:val="00C01A61"/>
    <w:rsid w:val="00C02BC9"/>
    <w:rsid w:val="00C040D6"/>
    <w:rsid w:val="00C07FD0"/>
    <w:rsid w:val="00C105CE"/>
    <w:rsid w:val="00C11CC7"/>
    <w:rsid w:val="00C12A63"/>
    <w:rsid w:val="00C1477C"/>
    <w:rsid w:val="00C15F84"/>
    <w:rsid w:val="00C1758F"/>
    <w:rsid w:val="00C17C66"/>
    <w:rsid w:val="00C20F93"/>
    <w:rsid w:val="00C229CD"/>
    <w:rsid w:val="00C22A61"/>
    <w:rsid w:val="00C22C4E"/>
    <w:rsid w:val="00C25F15"/>
    <w:rsid w:val="00C26055"/>
    <w:rsid w:val="00C329C4"/>
    <w:rsid w:val="00C429E3"/>
    <w:rsid w:val="00C44E2E"/>
    <w:rsid w:val="00C45AD8"/>
    <w:rsid w:val="00C46288"/>
    <w:rsid w:val="00C462BF"/>
    <w:rsid w:val="00C47A45"/>
    <w:rsid w:val="00C51BAB"/>
    <w:rsid w:val="00C5248D"/>
    <w:rsid w:val="00C53609"/>
    <w:rsid w:val="00C56FD9"/>
    <w:rsid w:val="00C57701"/>
    <w:rsid w:val="00C650D3"/>
    <w:rsid w:val="00C65ED9"/>
    <w:rsid w:val="00C6783F"/>
    <w:rsid w:val="00C7031B"/>
    <w:rsid w:val="00C731F5"/>
    <w:rsid w:val="00C741E0"/>
    <w:rsid w:val="00C7512B"/>
    <w:rsid w:val="00C804AC"/>
    <w:rsid w:val="00C812E7"/>
    <w:rsid w:val="00C82574"/>
    <w:rsid w:val="00C82AD7"/>
    <w:rsid w:val="00C8315D"/>
    <w:rsid w:val="00C83F82"/>
    <w:rsid w:val="00C85406"/>
    <w:rsid w:val="00C85591"/>
    <w:rsid w:val="00C856C2"/>
    <w:rsid w:val="00C87243"/>
    <w:rsid w:val="00C87C78"/>
    <w:rsid w:val="00C901CF"/>
    <w:rsid w:val="00C93205"/>
    <w:rsid w:val="00C947FB"/>
    <w:rsid w:val="00C95664"/>
    <w:rsid w:val="00CA3581"/>
    <w:rsid w:val="00CA7462"/>
    <w:rsid w:val="00CB2B78"/>
    <w:rsid w:val="00CB7EF4"/>
    <w:rsid w:val="00CC2817"/>
    <w:rsid w:val="00CC35A0"/>
    <w:rsid w:val="00CC78BF"/>
    <w:rsid w:val="00CD2266"/>
    <w:rsid w:val="00CD3D81"/>
    <w:rsid w:val="00CD4CF1"/>
    <w:rsid w:val="00CD503B"/>
    <w:rsid w:val="00CD5645"/>
    <w:rsid w:val="00CD6AED"/>
    <w:rsid w:val="00CD71FF"/>
    <w:rsid w:val="00CE44F0"/>
    <w:rsid w:val="00CE58A5"/>
    <w:rsid w:val="00CF1AAA"/>
    <w:rsid w:val="00CF2C85"/>
    <w:rsid w:val="00CF7304"/>
    <w:rsid w:val="00CF791B"/>
    <w:rsid w:val="00D012B7"/>
    <w:rsid w:val="00D018B0"/>
    <w:rsid w:val="00D045A5"/>
    <w:rsid w:val="00D05E0B"/>
    <w:rsid w:val="00D05E5B"/>
    <w:rsid w:val="00D0631A"/>
    <w:rsid w:val="00D06FCE"/>
    <w:rsid w:val="00D126A2"/>
    <w:rsid w:val="00D14495"/>
    <w:rsid w:val="00D14DF4"/>
    <w:rsid w:val="00D1501F"/>
    <w:rsid w:val="00D2056D"/>
    <w:rsid w:val="00D2542C"/>
    <w:rsid w:val="00D31862"/>
    <w:rsid w:val="00D33E57"/>
    <w:rsid w:val="00D34EF8"/>
    <w:rsid w:val="00D358B0"/>
    <w:rsid w:val="00D36941"/>
    <w:rsid w:val="00D4213E"/>
    <w:rsid w:val="00D42D8F"/>
    <w:rsid w:val="00D436F9"/>
    <w:rsid w:val="00D43C89"/>
    <w:rsid w:val="00D44D84"/>
    <w:rsid w:val="00D47C86"/>
    <w:rsid w:val="00D52EB7"/>
    <w:rsid w:val="00D56ED9"/>
    <w:rsid w:val="00D56F56"/>
    <w:rsid w:val="00D5740C"/>
    <w:rsid w:val="00D675A4"/>
    <w:rsid w:val="00D75F29"/>
    <w:rsid w:val="00D75F86"/>
    <w:rsid w:val="00D80304"/>
    <w:rsid w:val="00D80CBC"/>
    <w:rsid w:val="00D830DE"/>
    <w:rsid w:val="00D84FBE"/>
    <w:rsid w:val="00D92D7D"/>
    <w:rsid w:val="00D93495"/>
    <w:rsid w:val="00D9585C"/>
    <w:rsid w:val="00D96CD7"/>
    <w:rsid w:val="00DA0368"/>
    <w:rsid w:val="00DA0843"/>
    <w:rsid w:val="00DA107C"/>
    <w:rsid w:val="00DA162A"/>
    <w:rsid w:val="00DA248C"/>
    <w:rsid w:val="00DA27EE"/>
    <w:rsid w:val="00DA326D"/>
    <w:rsid w:val="00DA33A2"/>
    <w:rsid w:val="00DA360A"/>
    <w:rsid w:val="00DA4683"/>
    <w:rsid w:val="00DA4E9C"/>
    <w:rsid w:val="00DA5E05"/>
    <w:rsid w:val="00DA6947"/>
    <w:rsid w:val="00DA7C0D"/>
    <w:rsid w:val="00DB0388"/>
    <w:rsid w:val="00DB2AA4"/>
    <w:rsid w:val="00DB2D09"/>
    <w:rsid w:val="00DB6B17"/>
    <w:rsid w:val="00DB75A4"/>
    <w:rsid w:val="00DC19FB"/>
    <w:rsid w:val="00DC5569"/>
    <w:rsid w:val="00DC64C6"/>
    <w:rsid w:val="00DC7502"/>
    <w:rsid w:val="00DD1C5B"/>
    <w:rsid w:val="00DD1D04"/>
    <w:rsid w:val="00DD49FF"/>
    <w:rsid w:val="00DD5519"/>
    <w:rsid w:val="00DD583F"/>
    <w:rsid w:val="00DE0144"/>
    <w:rsid w:val="00DE0552"/>
    <w:rsid w:val="00DE1041"/>
    <w:rsid w:val="00DE10C2"/>
    <w:rsid w:val="00DE1819"/>
    <w:rsid w:val="00DE1864"/>
    <w:rsid w:val="00DE2275"/>
    <w:rsid w:val="00DE2395"/>
    <w:rsid w:val="00DE2BBB"/>
    <w:rsid w:val="00DE332D"/>
    <w:rsid w:val="00DE5456"/>
    <w:rsid w:val="00DE7B46"/>
    <w:rsid w:val="00DF02AF"/>
    <w:rsid w:val="00DF02BE"/>
    <w:rsid w:val="00DF0985"/>
    <w:rsid w:val="00DF10C0"/>
    <w:rsid w:val="00DF323A"/>
    <w:rsid w:val="00DF5777"/>
    <w:rsid w:val="00DF5A61"/>
    <w:rsid w:val="00DF5DFA"/>
    <w:rsid w:val="00DF7514"/>
    <w:rsid w:val="00E00BA7"/>
    <w:rsid w:val="00E01FD6"/>
    <w:rsid w:val="00E075E9"/>
    <w:rsid w:val="00E07A76"/>
    <w:rsid w:val="00E10325"/>
    <w:rsid w:val="00E1251C"/>
    <w:rsid w:val="00E168BF"/>
    <w:rsid w:val="00E20CCC"/>
    <w:rsid w:val="00E213A7"/>
    <w:rsid w:val="00E23C3E"/>
    <w:rsid w:val="00E25B66"/>
    <w:rsid w:val="00E2750B"/>
    <w:rsid w:val="00E30F29"/>
    <w:rsid w:val="00E31950"/>
    <w:rsid w:val="00E341C5"/>
    <w:rsid w:val="00E371CB"/>
    <w:rsid w:val="00E40B41"/>
    <w:rsid w:val="00E41BBF"/>
    <w:rsid w:val="00E41CC1"/>
    <w:rsid w:val="00E42394"/>
    <w:rsid w:val="00E524F0"/>
    <w:rsid w:val="00E53003"/>
    <w:rsid w:val="00E535D6"/>
    <w:rsid w:val="00E54ADA"/>
    <w:rsid w:val="00E55B0C"/>
    <w:rsid w:val="00E55FC0"/>
    <w:rsid w:val="00E565C9"/>
    <w:rsid w:val="00E56CE9"/>
    <w:rsid w:val="00E577F0"/>
    <w:rsid w:val="00E57C60"/>
    <w:rsid w:val="00E60931"/>
    <w:rsid w:val="00E617BD"/>
    <w:rsid w:val="00E62037"/>
    <w:rsid w:val="00E626FD"/>
    <w:rsid w:val="00E6572E"/>
    <w:rsid w:val="00E6608D"/>
    <w:rsid w:val="00E66555"/>
    <w:rsid w:val="00E66CF1"/>
    <w:rsid w:val="00E70C20"/>
    <w:rsid w:val="00E71A96"/>
    <w:rsid w:val="00E71B8F"/>
    <w:rsid w:val="00E73286"/>
    <w:rsid w:val="00E74588"/>
    <w:rsid w:val="00E813EB"/>
    <w:rsid w:val="00E81673"/>
    <w:rsid w:val="00E819B0"/>
    <w:rsid w:val="00E83992"/>
    <w:rsid w:val="00E839E9"/>
    <w:rsid w:val="00E83B6A"/>
    <w:rsid w:val="00E86B28"/>
    <w:rsid w:val="00E8793A"/>
    <w:rsid w:val="00E879CB"/>
    <w:rsid w:val="00E87BB7"/>
    <w:rsid w:val="00E87D9E"/>
    <w:rsid w:val="00E910A1"/>
    <w:rsid w:val="00E961D2"/>
    <w:rsid w:val="00E96211"/>
    <w:rsid w:val="00E965B0"/>
    <w:rsid w:val="00E976F1"/>
    <w:rsid w:val="00E97C33"/>
    <w:rsid w:val="00E97D42"/>
    <w:rsid w:val="00EA068B"/>
    <w:rsid w:val="00EA07E2"/>
    <w:rsid w:val="00EA3680"/>
    <w:rsid w:val="00EA4339"/>
    <w:rsid w:val="00EB23F9"/>
    <w:rsid w:val="00EB2E17"/>
    <w:rsid w:val="00EB3EC4"/>
    <w:rsid w:val="00EB6474"/>
    <w:rsid w:val="00EC18C0"/>
    <w:rsid w:val="00EC27F8"/>
    <w:rsid w:val="00ED1F1E"/>
    <w:rsid w:val="00ED5E28"/>
    <w:rsid w:val="00ED63E3"/>
    <w:rsid w:val="00ED715A"/>
    <w:rsid w:val="00ED7A82"/>
    <w:rsid w:val="00EE11DA"/>
    <w:rsid w:val="00EE186B"/>
    <w:rsid w:val="00EE38B3"/>
    <w:rsid w:val="00EE4225"/>
    <w:rsid w:val="00EE4B17"/>
    <w:rsid w:val="00EE5A03"/>
    <w:rsid w:val="00EE6366"/>
    <w:rsid w:val="00EE6718"/>
    <w:rsid w:val="00EE71E4"/>
    <w:rsid w:val="00EE7303"/>
    <w:rsid w:val="00EF2420"/>
    <w:rsid w:val="00EF323F"/>
    <w:rsid w:val="00EF366F"/>
    <w:rsid w:val="00EF50B0"/>
    <w:rsid w:val="00EF574A"/>
    <w:rsid w:val="00EF5F62"/>
    <w:rsid w:val="00EF61A1"/>
    <w:rsid w:val="00F01C55"/>
    <w:rsid w:val="00F0209B"/>
    <w:rsid w:val="00F04A57"/>
    <w:rsid w:val="00F060A2"/>
    <w:rsid w:val="00F07B71"/>
    <w:rsid w:val="00F07D59"/>
    <w:rsid w:val="00F111B8"/>
    <w:rsid w:val="00F13898"/>
    <w:rsid w:val="00F14D18"/>
    <w:rsid w:val="00F14E01"/>
    <w:rsid w:val="00F15440"/>
    <w:rsid w:val="00F162CF"/>
    <w:rsid w:val="00F16866"/>
    <w:rsid w:val="00F16892"/>
    <w:rsid w:val="00F21546"/>
    <w:rsid w:val="00F22191"/>
    <w:rsid w:val="00F22379"/>
    <w:rsid w:val="00F25C7B"/>
    <w:rsid w:val="00F27A7B"/>
    <w:rsid w:val="00F32552"/>
    <w:rsid w:val="00F32B30"/>
    <w:rsid w:val="00F33B24"/>
    <w:rsid w:val="00F354D2"/>
    <w:rsid w:val="00F369B2"/>
    <w:rsid w:val="00F37E3D"/>
    <w:rsid w:val="00F42167"/>
    <w:rsid w:val="00F43062"/>
    <w:rsid w:val="00F50D26"/>
    <w:rsid w:val="00F53584"/>
    <w:rsid w:val="00F55D2C"/>
    <w:rsid w:val="00F57C38"/>
    <w:rsid w:val="00F601D0"/>
    <w:rsid w:val="00F6354B"/>
    <w:rsid w:val="00F6442E"/>
    <w:rsid w:val="00F66770"/>
    <w:rsid w:val="00F71555"/>
    <w:rsid w:val="00F72B3B"/>
    <w:rsid w:val="00F73288"/>
    <w:rsid w:val="00F73714"/>
    <w:rsid w:val="00F73F9B"/>
    <w:rsid w:val="00F760EA"/>
    <w:rsid w:val="00F77BE7"/>
    <w:rsid w:val="00F77DA1"/>
    <w:rsid w:val="00F8129D"/>
    <w:rsid w:val="00F81B78"/>
    <w:rsid w:val="00F8296F"/>
    <w:rsid w:val="00F84745"/>
    <w:rsid w:val="00F84A75"/>
    <w:rsid w:val="00F877D8"/>
    <w:rsid w:val="00F9225B"/>
    <w:rsid w:val="00F92C10"/>
    <w:rsid w:val="00F94E2C"/>
    <w:rsid w:val="00F955BD"/>
    <w:rsid w:val="00F95C73"/>
    <w:rsid w:val="00F9661A"/>
    <w:rsid w:val="00F9666C"/>
    <w:rsid w:val="00F97C82"/>
    <w:rsid w:val="00FA0303"/>
    <w:rsid w:val="00FA099A"/>
    <w:rsid w:val="00FA5C67"/>
    <w:rsid w:val="00FA6721"/>
    <w:rsid w:val="00FA73E3"/>
    <w:rsid w:val="00FB1013"/>
    <w:rsid w:val="00FB117C"/>
    <w:rsid w:val="00FB4844"/>
    <w:rsid w:val="00FC038B"/>
    <w:rsid w:val="00FC1699"/>
    <w:rsid w:val="00FC2FBB"/>
    <w:rsid w:val="00FC444A"/>
    <w:rsid w:val="00FC46DB"/>
    <w:rsid w:val="00FC64E5"/>
    <w:rsid w:val="00FD1D92"/>
    <w:rsid w:val="00FD224E"/>
    <w:rsid w:val="00FD2B3E"/>
    <w:rsid w:val="00FD2C33"/>
    <w:rsid w:val="00FE0CA8"/>
    <w:rsid w:val="00FE5A0A"/>
    <w:rsid w:val="00FE6857"/>
    <w:rsid w:val="00FE6DEA"/>
    <w:rsid w:val="00FE7FF8"/>
    <w:rsid w:val="00FF011B"/>
    <w:rsid w:val="00FF0C99"/>
    <w:rsid w:val="00FF4D54"/>
    <w:rsid w:val="030316B0"/>
    <w:rsid w:val="05133C63"/>
    <w:rsid w:val="053F6E04"/>
    <w:rsid w:val="07DE58D8"/>
    <w:rsid w:val="09592261"/>
    <w:rsid w:val="0FD40CAA"/>
    <w:rsid w:val="106D43EE"/>
    <w:rsid w:val="109C3A45"/>
    <w:rsid w:val="10EB0B26"/>
    <w:rsid w:val="156C5B9F"/>
    <w:rsid w:val="189F25CF"/>
    <w:rsid w:val="1A262BD4"/>
    <w:rsid w:val="1BA013E4"/>
    <w:rsid w:val="1CCC6951"/>
    <w:rsid w:val="1DCD0774"/>
    <w:rsid w:val="214C3BAE"/>
    <w:rsid w:val="22AC559C"/>
    <w:rsid w:val="253A41A3"/>
    <w:rsid w:val="274E0EEF"/>
    <w:rsid w:val="27976201"/>
    <w:rsid w:val="289A4A08"/>
    <w:rsid w:val="28DC5CDF"/>
    <w:rsid w:val="290A2CCA"/>
    <w:rsid w:val="2C0C26E2"/>
    <w:rsid w:val="2C191269"/>
    <w:rsid w:val="2C475230"/>
    <w:rsid w:val="2CE1308F"/>
    <w:rsid w:val="2F41278B"/>
    <w:rsid w:val="300470CC"/>
    <w:rsid w:val="31F63288"/>
    <w:rsid w:val="32113AB2"/>
    <w:rsid w:val="355D23D3"/>
    <w:rsid w:val="35A36CA2"/>
    <w:rsid w:val="35D91AB0"/>
    <w:rsid w:val="39600B44"/>
    <w:rsid w:val="397C1B2F"/>
    <w:rsid w:val="3AAE7237"/>
    <w:rsid w:val="3B145373"/>
    <w:rsid w:val="3D5B052A"/>
    <w:rsid w:val="408F05F9"/>
    <w:rsid w:val="40ED1606"/>
    <w:rsid w:val="45281C01"/>
    <w:rsid w:val="45437F7D"/>
    <w:rsid w:val="4563415B"/>
    <w:rsid w:val="46FE0CDA"/>
    <w:rsid w:val="483C7010"/>
    <w:rsid w:val="48DB5895"/>
    <w:rsid w:val="4B11098D"/>
    <w:rsid w:val="520F4780"/>
    <w:rsid w:val="526A445B"/>
    <w:rsid w:val="526D6A4B"/>
    <w:rsid w:val="55BD4D47"/>
    <w:rsid w:val="59E90550"/>
    <w:rsid w:val="5B5560E4"/>
    <w:rsid w:val="5CCD5CD0"/>
    <w:rsid w:val="5E2E6025"/>
    <w:rsid w:val="5E8F3E6B"/>
    <w:rsid w:val="5F281E50"/>
    <w:rsid w:val="5FDC0F21"/>
    <w:rsid w:val="64552516"/>
    <w:rsid w:val="671B0DB1"/>
    <w:rsid w:val="69B071F3"/>
    <w:rsid w:val="735646F2"/>
    <w:rsid w:val="78922979"/>
    <w:rsid w:val="79C23068"/>
    <w:rsid w:val="79EE0117"/>
    <w:rsid w:val="7CB266A1"/>
    <w:rsid w:val="7DED09A7"/>
    <w:rsid w:val="7FC62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783397"/>
  <w15:docId w15:val="{D5E7A396-5DF3-40EE-B4B3-A3E3CCA9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qFormat="1"/>
    <w:lsdException w:name="annotation text" w:uiPriority="99"/>
    <w:lsdException w:name="header" w:qFormat="1"/>
    <w:lsdException w:name="footer" w:uiPriority="99" w:qFormat="1"/>
    <w:lsdException w:name="caption" w:semiHidden="1" w:unhideWhenUsed="1" w:qFormat="1"/>
    <w:lsdException w:name="annotation reference" w:uiPriority="99" w:qFormat="1"/>
    <w:lsdException w:name="Title" w:qFormat="1"/>
    <w:lsdException w:name="Default Paragraph Font" w:semiHidden="1" w:uiPriority="1" w:unhideWhenUsed="1"/>
    <w:lsdException w:name="Body Text Indent" w:qFormat="1"/>
    <w:lsdException w:name="Subtitle" w:qFormat="1"/>
    <w:lsdException w:name="Body Text Indent 3" w:qFormat="1"/>
    <w:lsdException w:name="Hyperlink" w:uiPriority="99" w:unhideWhenUsed="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pPr>
      <w:ind w:firstLine="420"/>
    </w:pPr>
    <w:rPr>
      <w:szCs w:val="20"/>
    </w:rPr>
  </w:style>
  <w:style w:type="paragraph" w:styleId="a4">
    <w:name w:val="Document Map"/>
    <w:basedOn w:val="a"/>
    <w:link w:val="a5"/>
    <w:qFormat/>
    <w:rPr>
      <w:rFonts w:ascii="宋体"/>
      <w:sz w:val="18"/>
      <w:szCs w:val="18"/>
    </w:rPr>
  </w:style>
  <w:style w:type="paragraph" w:styleId="a6">
    <w:name w:val="annotation text"/>
    <w:basedOn w:val="a"/>
    <w:link w:val="11"/>
    <w:uiPriority w:val="99"/>
    <w:pPr>
      <w:jc w:val="left"/>
    </w:pPr>
  </w:style>
  <w:style w:type="paragraph" w:styleId="a7">
    <w:name w:val="Body Text"/>
    <w:basedOn w:val="a"/>
    <w:link w:val="a8"/>
    <w:pPr>
      <w:spacing w:line="360" w:lineRule="auto"/>
    </w:pPr>
    <w:rPr>
      <w:sz w:val="24"/>
    </w:rPr>
  </w:style>
  <w:style w:type="paragraph" w:styleId="a9">
    <w:name w:val="Body Text Indent"/>
    <w:basedOn w:val="a"/>
    <w:link w:val="aa"/>
    <w:qFormat/>
    <w:pPr>
      <w:autoSpaceDE w:val="0"/>
      <w:autoSpaceDN w:val="0"/>
      <w:adjustRightInd w:val="0"/>
      <w:spacing w:after="120" w:line="440" w:lineRule="atLeast"/>
      <w:ind w:firstLine="539"/>
    </w:pPr>
    <w:rPr>
      <w:rFonts w:ascii="宋体"/>
      <w:kern w:val="0"/>
      <w:sz w:val="24"/>
      <w:szCs w:val="20"/>
    </w:rPr>
  </w:style>
  <w:style w:type="paragraph" w:styleId="ab">
    <w:name w:val="Balloon Text"/>
    <w:basedOn w:val="a"/>
    <w:link w:val="ac"/>
    <w:qFormat/>
    <w:rPr>
      <w:sz w:val="18"/>
      <w:szCs w:val="18"/>
    </w:rPr>
  </w:style>
  <w:style w:type="paragraph" w:styleId="ad">
    <w:name w:val="footer"/>
    <w:basedOn w:val="a"/>
    <w:link w:val="12"/>
    <w:uiPriority w:val="99"/>
    <w:qFormat/>
    <w:pPr>
      <w:tabs>
        <w:tab w:val="center" w:pos="4153"/>
        <w:tab w:val="right" w:pos="8306"/>
      </w:tabs>
      <w:snapToGrid w:val="0"/>
      <w:jc w:val="left"/>
    </w:pPr>
    <w:rPr>
      <w:sz w:val="18"/>
      <w:szCs w:val="18"/>
    </w:rPr>
  </w:style>
  <w:style w:type="paragraph" w:styleId="ae">
    <w:name w:val="header"/>
    <w:basedOn w:val="a"/>
    <w:link w:val="13"/>
    <w:qFormat/>
    <w:pPr>
      <w:pBdr>
        <w:bottom w:val="single" w:sz="6" w:space="1" w:color="auto"/>
      </w:pBdr>
      <w:tabs>
        <w:tab w:val="center" w:pos="4153"/>
        <w:tab w:val="right" w:pos="8306"/>
      </w:tabs>
      <w:snapToGrid w:val="0"/>
      <w:jc w:val="center"/>
    </w:pPr>
    <w:rPr>
      <w:sz w:val="18"/>
      <w:szCs w:val="18"/>
    </w:rPr>
  </w:style>
  <w:style w:type="paragraph" w:styleId="14">
    <w:name w:val="toc 1"/>
    <w:basedOn w:val="a"/>
    <w:next w:val="a"/>
    <w:uiPriority w:val="39"/>
  </w:style>
  <w:style w:type="paragraph" w:styleId="3">
    <w:name w:val="Body Text Indent 3"/>
    <w:basedOn w:val="a"/>
    <w:link w:val="30"/>
    <w:qFormat/>
    <w:pPr>
      <w:spacing w:line="400" w:lineRule="atLeast"/>
      <w:ind w:firstLine="600"/>
    </w:pPr>
    <w:rPr>
      <w:rFonts w:ascii="宋体"/>
      <w:sz w:val="28"/>
      <w:szCs w:val="20"/>
    </w:rPr>
  </w:style>
  <w:style w:type="paragraph" w:styleId="21">
    <w:name w:val="toc 2"/>
    <w:basedOn w:val="a"/>
    <w:next w:val="a"/>
    <w:uiPriority w:val="39"/>
    <w:qFormat/>
    <w:pPr>
      <w:tabs>
        <w:tab w:val="left" w:pos="1050"/>
        <w:tab w:val="right" w:leader="dot" w:pos="8494"/>
      </w:tabs>
      <w:spacing w:line="360" w:lineRule="auto"/>
      <w:ind w:leftChars="200" w:left="420"/>
    </w:pPr>
  </w:style>
  <w:style w:type="paragraph" w:styleId="af">
    <w:name w:val="annotation subject"/>
    <w:basedOn w:val="a6"/>
    <w:next w:val="a6"/>
    <w:link w:val="af0"/>
    <w:qFormat/>
    <w:rPr>
      <w:b/>
      <w:bCs/>
    </w:rPr>
  </w:style>
  <w:style w:type="character" w:styleId="af1">
    <w:name w:val="Hyperlink"/>
    <w:uiPriority w:val="99"/>
    <w:unhideWhenUsed/>
    <w:rPr>
      <w:color w:val="0000FF"/>
      <w:u w:val="single"/>
    </w:rPr>
  </w:style>
  <w:style w:type="character" w:styleId="af2">
    <w:name w:val="annotation reference"/>
    <w:uiPriority w:val="99"/>
    <w:qFormat/>
    <w:rPr>
      <w:sz w:val="21"/>
      <w:szCs w:val="21"/>
    </w:rPr>
  </w:style>
  <w:style w:type="character" w:customStyle="1" w:styleId="10">
    <w:name w:val="标题 1 字符"/>
    <w:link w:val="1"/>
    <w:qFormat/>
    <w:rPr>
      <w:b/>
      <w:bCs/>
      <w:kern w:val="44"/>
      <w:sz w:val="44"/>
      <w:szCs w:val="44"/>
    </w:rPr>
  </w:style>
  <w:style w:type="character" w:customStyle="1" w:styleId="20">
    <w:name w:val="标题 2 字符"/>
    <w:link w:val="2"/>
    <w:qFormat/>
    <w:rPr>
      <w:rFonts w:ascii="Arial" w:eastAsia="黑体" w:hAnsi="Arial"/>
      <w:b/>
      <w:bCs/>
      <w:kern w:val="2"/>
      <w:sz w:val="32"/>
      <w:szCs w:val="32"/>
    </w:rPr>
  </w:style>
  <w:style w:type="character" w:customStyle="1" w:styleId="a5">
    <w:name w:val="文档结构图 字符"/>
    <w:link w:val="a4"/>
    <w:qFormat/>
    <w:rPr>
      <w:rFonts w:ascii="宋体"/>
      <w:kern w:val="2"/>
      <w:sz w:val="18"/>
      <w:szCs w:val="18"/>
    </w:rPr>
  </w:style>
  <w:style w:type="character" w:customStyle="1" w:styleId="11">
    <w:name w:val="批注文字 字符1"/>
    <w:link w:val="a6"/>
    <w:rPr>
      <w:kern w:val="2"/>
      <w:sz w:val="21"/>
      <w:szCs w:val="24"/>
    </w:rPr>
  </w:style>
  <w:style w:type="character" w:customStyle="1" w:styleId="a8">
    <w:name w:val="正文文本 字符"/>
    <w:link w:val="a7"/>
    <w:qFormat/>
    <w:rPr>
      <w:kern w:val="2"/>
      <w:sz w:val="24"/>
      <w:szCs w:val="24"/>
    </w:rPr>
  </w:style>
  <w:style w:type="character" w:customStyle="1" w:styleId="aa">
    <w:name w:val="正文文本缩进 字符"/>
    <w:link w:val="a9"/>
    <w:qFormat/>
    <w:rPr>
      <w:rFonts w:ascii="宋体"/>
      <w:sz w:val="24"/>
    </w:rPr>
  </w:style>
  <w:style w:type="character" w:customStyle="1" w:styleId="ac">
    <w:name w:val="批注框文本 字符"/>
    <w:link w:val="ab"/>
    <w:qFormat/>
    <w:rPr>
      <w:kern w:val="2"/>
      <w:sz w:val="18"/>
      <w:szCs w:val="18"/>
    </w:rPr>
  </w:style>
  <w:style w:type="character" w:customStyle="1" w:styleId="12">
    <w:name w:val="页脚 字符1"/>
    <w:link w:val="ad"/>
    <w:uiPriority w:val="99"/>
    <w:qFormat/>
    <w:rPr>
      <w:kern w:val="2"/>
      <w:sz w:val="18"/>
      <w:szCs w:val="18"/>
    </w:rPr>
  </w:style>
  <w:style w:type="character" w:customStyle="1" w:styleId="13">
    <w:name w:val="页眉 字符1"/>
    <w:link w:val="ae"/>
    <w:qFormat/>
    <w:rPr>
      <w:kern w:val="2"/>
      <w:sz w:val="18"/>
      <w:szCs w:val="18"/>
    </w:rPr>
  </w:style>
  <w:style w:type="character" w:customStyle="1" w:styleId="30">
    <w:name w:val="正文文本缩进 3 字符"/>
    <w:link w:val="3"/>
    <w:qFormat/>
    <w:rPr>
      <w:rFonts w:ascii="宋体"/>
      <w:kern w:val="2"/>
      <w:sz w:val="28"/>
    </w:rPr>
  </w:style>
  <w:style w:type="character" w:customStyle="1" w:styleId="af0">
    <w:name w:val="批注主题 字符"/>
    <w:link w:val="af"/>
    <w:qFormat/>
    <w:rPr>
      <w:b/>
      <w:bCs/>
      <w:kern w:val="2"/>
      <w:sz w:val="21"/>
      <w:szCs w:val="24"/>
    </w:rPr>
  </w:style>
  <w:style w:type="character" w:customStyle="1" w:styleId="read">
    <w:name w:val="read"/>
  </w:style>
  <w:style w:type="paragraph" w:customStyle="1" w:styleId="Style31">
    <w:name w:val="_Style 3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Style32">
    <w:name w:val="_Style 32"/>
    <w:uiPriority w:val="99"/>
    <w:semiHidden/>
    <w:rPr>
      <w:kern w:val="2"/>
      <w:sz w:val="21"/>
      <w:szCs w:val="24"/>
    </w:rPr>
  </w:style>
  <w:style w:type="paragraph" w:customStyle="1" w:styleId="CharCharChar">
    <w:name w:val="Char Char Char"/>
    <w:basedOn w:val="a"/>
    <w:qFormat/>
  </w:style>
  <w:style w:type="character" w:customStyle="1" w:styleId="CharChar3">
    <w:name w:val="Char Char3"/>
    <w:qFormat/>
    <w:locked/>
    <w:rPr>
      <w:rFonts w:ascii="宋体" w:eastAsia="宋体" w:hAnsi="宋体"/>
      <w:kern w:val="2"/>
      <w:sz w:val="21"/>
      <w:lang w:bidi="ar-SA"/>
    </w:rPr>
  </w:style>
  <w:style w:type="character" w:customStyle="1" w:styleId="af3">
    <w:name w:val="页眉 字符"/>
    <w:qFormat/>
    <w:rPr>
      <w:kern w:val="2"/>
      <w:sz w:val="18"/>
    </w:rPr>
  </w:style>
  <w:style w:type="character" w:customStyle="1" w:styleId="af4">
    <w:name w:val="页脚 字符"/>
    <w:uiPriority w:val="99"/>
    <w:qFormat/>
    <w:rPr>
      <w:kern w:val="2"/>
      <w:sz w:val="18"/>
    </w:rPr>
  </w:style>
  <w:style w:type="character" w:customStyle="1" w:styleId="af5">
    <w:name w:val="批注文字 字符"/>
    <w:uiPriority w:val="99"/>
    <w:qFormat/>
    <w:rPr>
      <w:rFonts w:ascii="宋体" w:eastAsia="宋体" w:hAnsi="宋体" w:cs="宋体"/>
      <w:lang w:val="zh-CN" w:eastAsia="zh-CN" w:bidi="zh-CN"/>
    </w:rPr>
  </w:style>
  <w:style w:type="paragraph" w:customStyle="1" w:styleId="15">
    <w:name w:val="修订1"/>
    <w:hidden/>
    <w:uiPriority w:val="99"/>
    <w:semiHidden/>
    <w:qFormat/>
    <w:rPr>
      <w:kern w:val="2"/>
      <w:sz w:val="21"/>
      <w:szCs w:val="24"/>
    </w:rPr>
  </w:style>
  <w:style w:type="paragraph" w:styleId="af6">
    <w:name w:val="Revision"/>
    <w:hidden/>
    <w:uiPriority w:val="99"/>
    <w:semiHidden/>
    <w:rsid w:val="00554F8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8DEE9-28FF-4A3C-84CC-53F9EC09D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57</Pages>
  <Words>5653</Words>
  <Characters>32223</Characters>
  <Application>Microsoft Office Word</Application>
  <DocSecurity>0</DocSecurity>
  <Lines>268</Lines>
  <Paragraphs>75</Paragraphs>
  <ScaleCrop>false</ScaleCrop>
  <Company>嘉实基金</Company>
  <LinksUpToDate>false</LinksUpToDate>
  <CharactersWithSpaces>37801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博道中证A500</dc:title>
  <dc:creator>sdb</dc:creator>
  <cp:lastModifiedBy>徐伯元</cp:lastModifiedBy>
  <cp:revision>82</cp:revision>
  <cp:lastPrinted>2013-01-27T17:13:00Z</cp:lastPrinted>
  <dcterms:created xsi:type="dcterms:W3CDTF">2026-05-12T11:37:00Z</dcterms:created>
  <dcterms:modified xsi:type="dcterms:W3CDTF">2026-08-25T09:51:00Z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EED4E2B3A2094DC49179A0A630CF3ADC</vt:lpwstr>
  </property>
</Properties>
</file>