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2BBDB" w14:textId="77777777" w:rsidR="005A043F" w:rsidRDefault="005A043F">
      <w:pPr>
        <w:jc w:val="center"/>
        <w:rPr>
          <w:b/>
          <w:sz w:val="32"/>
        </w:rPr>
      </w:pPr>
      <w:bookmarkStart w:id="0" w:name="_Toc22454436"/>
      <w:bookmarkStart w:id="1" w:name="_Toc48703888"/>
      <w:bookmarkStart w:id="2" w:name="_Toc466788853"/>
      <w:bookmarkStart w:id="3" w:name="_Toc523829994"/>
      <w:bookmarkStart w:id="4" w:name="_Toc523829996"/>
      <w:bookmarkStart w:id="5" w:name="_Toc466788855"/>
      <w:bookmarkStart w:id="6" w:name="_Toc48703898"/>
      <w:bookmarkStart w:id="7" w:name="_Toc48703908"/>
      <w:bookmarkStart w:id="8" w:name="_Toc466788858"/>
      <w:bookmarkStart w:id="9" w:name="_Toc523829999"/>
      <w:bookmarkStart w:id="10" w:name="_Toc88373425"/>
    </w:p>
    <w:p w14:paraId="6B6D7D19" w14:textId="77777777" w:rsidR="005A043F" w:rsidRDefault="005A043F">
      <w:pPr>
        <w:jc w:val="center"/>
        <w:rPr>
          <w:b/>
          <w:sz w:val="32"/>
        </w:rPr>
      </w:pPr>
    </w:p>
    <w:p w14:paraId="62651F4B" w14:textId="77777777" w:rsidR="005A043F" w:rsidRDefault="005A043F">
      <w:pPr>
        <w:jc w:val="center"/>
        <w:rPr>
          <w:b/>
          <w:sz w:val="32"/>
        </w:rPr>
      </w:pPr>
    </w:p>
    <w:p w14:paraId="5C6E59C9" w14:textId="77777777" w:rsidR="005A043F" w:rsidRDefault="0029200C">
      <w:pPr>
        <w:jc w:val="center"/>
        <w:rPr>
          <w:rFonts w:ascii="黑体" w:eastAsia="黑体"/>
          <w:b/>
          <w:sz w:val="36"/>
          <w:szCs w:val="30"/>
        </w:rPr>
      </w:pPr>
      <w:r>
        <w:rPr>
          <w:rFonts w:ascii="黑体" w:eastAsia="黑体" w:hint="eastAsia"/>
          <w:b/>
          <w:sz w:val="36"/>
          <w:szCs w:val="30"/>
        </w:rPr>
        <w:t>嘉实</w:t>
      </w:r>
      <w:proofErr w:type="gramStart"/>
      <w:r>
        <w:rPr>
          <w:rFonts w:ascii="黑体" w:eastAsia="黑体" w:hint="eastAsia"/>
          <w:b/>
          <w:sz w:val="36"/>
          <w:szCs w:val="30"/>
        </w:rPr>
        <w:t>稳健瑞</w:t>
      </w:r>
      <w:proofErr w:type="gramEnd"/>
      <w:r>
        <w:rPr>
          <w:rFonts w:ascii="黑体" w:eastAsia="黑体" w:hint="eastAsia"/>
          <w:b/>
          <w:sz w:val="36"/>
          <w:szCs w:val="30"/>
        </w:rPr>
        <w:t>庆6个月持有期混合型证券投资基金</w:t>
      </w:r>
    </w:p>
    <w:p w14:paraId="1077502F" w14:textId="77777777" w:rsidR="005A043F" w:rsidRDefault="0029200C">
      <w:pPr>
        <w:jc w:val="center"/>
        <w:rPr>
          <w:rFonts w:ascii="黑体" w:eastAsia="黑体"/>
          <w:b/>
          <w:sz w:val="36"/>
          <w:szCs w:val="30"/>
        </w:rPr>
      </w:pPr>
      <w:r>
        <w:rPr>
          <w:rFonts w:ascii="黑体" w:eastAsia="黑体" w:hint="eastAsia"/>
          <w:b/>
          <w:sz w:val="36"/>
          <w:szCs w:val="30"/>
        </w:rPr>
        <w:t>托管协议</w:t>
      </w:r>
    </w:p>
    <w:p w14:paraId="44E6B3C7" w14:textId="77777777" w:rsidR="005A043F" w:rsidRDefault="005A043F">
      <w:pPr>
        <w:jc w:val="center"/>
        <w:rPr>
          <w:b/>
          <w:sz w:val="32"/>
        </w:rPr>
      </w:pPr>
    </w:p>
    <w:p w14:paraId="618BA784" w14:textId="77777777" w:rsidR="005A043F" w:rsidRDefault="005A043F">
      <w:pPr>
        <w:rPr>
          <w:rFonts w:ascii="宋体"/>
          <w:sz w:val="30"/>
        </w:rPr>
      </w:pPr>
    </w:p>
    <w:p w14:paraId="45A66512" w14:textId="77777777" w:rsidR="005A043F" w:rsidRDefault="005A043F">
      <w:pPr>
        <w:rPr>
          <w:rFonts w:ascii="宋体"/>
          <w:sz w:val="30"/>
        </w:rPr>
      </w:pPr>
    </w:p>
    <w:p w14:paraId="1B802F85" w14:textId="77777777" w:rsidR="005A043F" w:rsidRDefault="005A043F">
      <w:pPr>
        <w:rPr>
          <w:rFonts w:ascii="宋体"/>
          <w:sz w:val="30"/>
        </w:rPr>
      </w:pPr>
    </w:p>
    <w:p w14:paraId="1FABBBD6" w14:textId="77777777" w:rsidR="005A043F" w:rsidRDefault="005A043F">
      <w:pPr>
        <w:rPr>
          <w:rFonts w:ascii="宋体"/>
          <w:sz w:val="30"/>
        </w:rPr>
      </w:pPr>
    </w:p>
    <w:p w14:paraId="1A51D544" w14:textId="77777777" w:rsidR="005A043F" w:rsidRDefault="005A043F">
      <w:pPr>
        <w:rPr>
          <w:rFonts w:ascii="宋体"/>
          <w:sz w:val="30"/>
        </w:rPr>
      </w:pPr>
    </w:p>
    <w:p w14:paraId="506F40FB" w14:textId="77777777" w:rsidR="005A043F" w:rsidRDefault="005A043F">
      <w:pPr>
        <w:rPr>
          <w:rFonts w:ascii="宋体"/>
          <w:sz w:val="30"/>
        </w:rPr>
      </w:pPr>
    </w:p>
    <w:p w14:paraId="571CCEA0" w14:textId="77777777" w:rsidR="005A043F" w:rsidRDefault="0029200C">
      <w:pPr>
        <w:spacing w:line="360" w:lineRule="auto"/>
        <w:ind w:leftChars="1000" w:left="2100" w:rightChars="12" w:right="25"/>
        <w:outlineLvl w:val="0"/>
        <w:rPr>
          <w:rFonts w:ascii="黑体" w:eastAsia="黑体" w:hAnsi="宋体"/>
          <w:b/>
          <w:sz w:val="28"/>
          <w:szCs w:val="28"/>
        </w:rPr>
      </w:pPr>
      <w:bookmarkStart w:id="11" w:name="_Toc125361069"/>
      <w:bookmarkStart w:id="12" w:name="_Toc140002332"/>
      <w:r>
        <w:rPr>
          <w:rFonts w:ascii="黑体" w:eastAsia="黑体" w:hAnsi="宋体" w:hint="eastAsia"/>
          <w:b/>
          <w:sz w:val="28"/>
          <w:szCs w:val="28"/>
        </w:rPr>
        <w:t>基金管理人：嘉</w:t>
      </w:r>
      <w:proofErr w:type="gramStart"/>
      <w:r>
        <w:rPr>
          <w:rFonts w:ascii="黑体" w:eastAsia="黑体" w:hAnsi="宋体" w:hint="eastAsia"/>
          <w:b/>
          <w:sz w:val="28"/>
          <w:szCs w:val="28"/>
        </w:rPr>
        <w:t>实基金</w:t>
      </w:r>
      <w:proofErr w:type="gramEnd"/>
      <w:r>
        <w:rPr>
          <w:rFonts w:ascii="黑体" w:eastAsia="黑体" w:hAnsi="宋体" w:hint="eastAsia"/>
          <w:b/>
          <w:sz w:val="28"/>
          <w:szCs w:val="28"/>
        </w:rPr>
        <w:t>管理有限公司</w:t>
      </w:r>
      <w:bookmarkStart w:id="13" w:name="_Toc140002333"/>
      <w:bookmarkStart w:id="14" w:name="_Toc125361070"/>
      <w:bookmarkEnd w:id="11"/>
      <w:bookmarkEnd w:id="12"/>
    </w:p>
    <w:p w14:paraId="072FAA1E" w14:textId="77777777" w:rsidR="005A043F" w:rsidRDefault="0029200C">
      <w:pPr>
        <w:spacing w:line="360" w:lineRule="auto"/>
        <w:ind w:leftChars="1000" w:left="2100" w:rightChars="12" w:right="25"/>
        <w:outlineLvl w:val="0"/>
        <w:rPr>
          <w:rFonts w:ascii="黑体" w:eastAsia="黑体" w:hAnsi="宋体"/>
          <w:b/>
          <w:sz w:val="28"/>
          <w:szCs w:val="28"/>
        </w:rPr>
      </w:pPr>
      <w:r>
        <w:rPr>
          <w:rFonts w:ascii="黑体" w:eastAsia="黑体" w:hAnsi="宋体" w:hint="eastAsia"/>
          <w:b/>
          <w:sz w:val="28"/>
          <w:szCs w:val="28"/>
        </w:rPr>
        <w:t>基金托管人：</w:t>
      </w:r>
      <w:bookmarkEnd w:id="13"/>
      <w:bookmarkEnd w:id="14"/>
      <w:r>
        <w:rPr>
          <w:rFonts w:ascii="黑体" w:eastAsia="黑体" w:hAnsi="宋体" w:hint="eastAsia"/>
          <w:b/>
          <w:sz w:val="28"/>
          <w:szCs w:val="28"/>
        </w:rPr>
        <w:t>重庆农村商业银行股份有限公司</w:t>
      </w:r>
    </w:p>
    <w:p w14:paraId="4A9DFA25" w14:textId="77777777" w:rsidR="005A043F" w:rsidRDefault="005A043F">
      <w:pPr>
        <w:spacing w:line="500" w:lineRule="atLeast"/>
        <w:ind w:left="2698" w:hangingChars="896" w:hanging="2698"/>
        <w:jc w:val="center"/>
        <w:outlineLvl w:val="0"/>
        <w:rPr>
          <w:rFonts w:ascii="宋体" w:hAnsi="宋体"/>
          <w:b/>
          <w:sz w:val="30"/>
          <w:szCs w:val="30"/>
        </w:rPr>
      </w:pPr>
    </w:p>
    <w:p w14:paraId="29922E97" w14:textId="7E3820E6" w:rsidR="005A043F" w:rsidRDefault="0029200C">
      <w:pPr>
        <w:spacing w:line="500" w:lineRule="atLeast"/>
        <w:ind w:left="2519" w:hangingChars="896" w:hanging="2519"/>
        <w:jc w:val="center"/>
        <w:outlineLvl w:val="0"/>
        <w:rPr>
          <w:rFonts w:ascii="黑体" w:eastAsia="黑体" w:hAnsi="宋体"/>
          <w:b/>
          <w:sz w:val="28"/>
          <w:szCs w:val="28"/>
        </w:rPr>
      </w:pPr>
      <w:r>
        <w:rPr>
          <w:rFonts w:ascii="黑体" w:eastAsia="黑体" w:hAnsi="宋体" w:hint="eastAsia"/>
          <w:b/>
          <w:sz w:val="28"/>
          <w:szCs w:val="28"/>
        </w:rPr>
        <w:t>二零二六年</w:t>
      </w:r>
      <w:r w:rsidR="00571887">
        <w:rPr>
          <w:rFonts w:ascii="黑体" w:eastAsia="黑体" w:hAnsi="宋体" w:hint="eastAsia"/>
          <w:b/>
          <w:sz w:val="28"/>
          <w:szCs w:val="28"/>
        </w:rPr>
        <w:t>九</w:t>
      </w:r>
      <w:r>
        <w:rPr>
          <w:rFonts w:ascii="黑体" w:eastAsia="黑体" w:hAnsi="宋体" w:hint="eastAsia"/>
          <w:b/>
          <w:sz w:val="28"/>
          <w:szCs w:val="28"/>
        </w:rPr>
        <w:t>月</w:t>
      </w:r>
    </w:p>
    <w:p w14:paraId="1B422117" w14:textId="0295C9E4" w:rsidR="005A043F" w:rsidRDefault="0029200C" w:rsidP="005475E8">
      <w:pPr>
        <w:spacing w:line="500" w:lineRule="atLeast"/>
        <w:jc w:val="center"/>
        <w:outlineLvl w:val="0"/>
        <w:rPr>
          <w:rFonts w:ascii="宋体" w:hAnsi="宋体"/>
          <w:sz w:val="24"/>
        </w:rPr>
      </w:pPr>
      <w:r>
        <w:rPr>
          <w:rFonts w:ascii="黑体" w:eastAsia="黑体" w:hAnsi="宋体"/>
          <w:b/>
          <w:sz w:val="28"/>
          <w:szCs w:val="28"/>
        </w:rPr>
        <w:br w:type="page"/>
      </w:r>
      <w:bookmarkStart w:id="15" w:name="_Toc125361072"/>
      <w:bookmarkStart w:id="16" w:name="_Toc140002335"/>
      <w:r>
        <w:rPr>
          <w:rFonts w:ascii="黑体" w:eastAsia="黑体" w:hAnsi="宋体" w:hint="eastAsia"/>
          <w:b/>
          <w:sz w:val="30"/>
          <w:szCs w:val="30"/>
        </w:rPr>
        <w:lastRenderedPageBreak/>
        <w:t>目  录</w:t>
      </w:r>
      <w:bookmarkEnd w:id="15"/>
      <w:bookmarkEnd w:id="16"/>
    </w:p>
    <w:p w14:paraId="52FC387C" w14:textId="24ADF72C" w:rsidR="005A043F" w:rsidRDefault="0029200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r>
        <w:fldChar w:fldCharType="begin"/>
      </w:r>
      <w:r>
        <w:instrText xml:space="preserve"> </w:instrText>
      </w:r>
      <w:r>
        <w:rPr>
          <w:rFonts w:hint="eastAsia"/>
        </w:rPr>
        <w:instrText>TOC \o "1-1" \h \z \u</w:instrText>
      </w:r>
      <w:r>
        <w:instrText xml:space="preserve"> </w:instrText>
      </w:r>
      <w:r>
        <w:fldChar w:fldCharType="separate"/>
      </w:r>
      <w:r w:rsidR="00A2059C">
        <w:rPr>
          <w:noProof/>
        </w:rPr>
        <w:fldChar w:fldCharType="begin"/>
      </w:r>
      <w:r w:rsidR="00A2059C">
        <w:rPr>
          <w:noProof/>
        </w:rPr>
        <w:instrText xml:space="preserve"> HYPERLINK \l "_Toc140002336" </w:instrText>
      </w:r>
      <w:r w:rsidR="00CA514F">
        <w:rPr>
          <w:noProof/>
        </w:rPr>
      </w:r>
      <w:r w:rsidR="00A2059C">
        <w:rPr>
          <w:noProof/>
        </w:rPr>
        <w:fldChar w:fldCharType="separate"/>
      </w:r>
      <w:r>
        <w:rPr>
          <w:rStyle w:val="ae"/>
          <w:rFonts w:ascii="宋体" w:hAnsi="宋体" w:hint="eastAsia"/>
          <w:noProof/>
          <w:color w:val="auto"/>
        </w:rPr>
        <w:t>一、 基金托管协议当事人</w:t>
      </w:r>
      <w:r>
        <w:rPr>
          <w:noProof/>
        </w:rPr>
        <w:tab/>
      </w:r>
      <w:r>
        <w:rPr>
          <w:noProof/>
        </w:rPr>
        <w:fldChar w:fldCharType="begin"/>
      </w:r>
      <w:r>
        <w:rPr>
          <w:noProof/>
        </w:rPr>
        <w:instrText xml:space="preserve"> PAGEREF _Toc140002336 \h </w:instrText>
      </w:r>
      <w:r>
        <w:rPr>
          <w:noProof/>
        </w:rPr>
      </w:r>
      <w:r>
        <w:rPr>
          <w:noProof/>
        </w:rPr>
        <w:fldChar w:fldCharType="separate"/>
      </w:r>
      <w:r w:rsidR="00CA514F">
        <w:rPr>
          <w:noProof/>
        </w:rPr>
        <w:t>0</w:t>
      </w:r>
      <w:r>
        <w:rPr>
          <w:noProof/>
        </w:rPr>
        <w:fldChar w:fldCharType="end"/>
      </w:r>
      <w:r w:rsidR="00A2059C">
        <w:rPr>
          <w:noProof/>
        </w:rPr>
        <w:fldChar w:fldCharType="end"/>
      </w:r>
    </w:p>
    <w:p w14:paraId="310FD1AD" w14:textId="50025BB8"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r>
        <w:rPr>
          <w:noProof/>
        </w:rPr>
        <w:fldChar w:fldCharType="begin"/>
      </w:r>
      <w:r>
        <w:rPr>
          <w:noProof/>
        </w:rPr>
        <w:instrText xml:space="preserve"> HYPERLINK \l "_Toc140002337" </w:instrText>
      </w:r>
      <w:r w:rsidR="00CA514F">
        <w:rPr>
          <w:noProof/>
        </w:rPr>
      </w:r>
      <w:r>
        <w:rPr>
          <w:noProof/>
        </w:rPr>
        <w:fldChar w:fldCharType="separate"/>
      </w:r>
      <w:r w:rsidR="0029200C">
        <w:rPr>
          <w:rStyle w:val="ae"/>
          <w:rFonts w:ascii="宋体" w:hAnsi="宋体" w:hint="eastAsia"/>
          <w:noProof/>
          <w:color w:val="auto"/>
        </w:rPr>
        <w:t>二、 基金托管协议的依据、目的和原则</w:t>
      </w:r>
      <w:r w:rsidR="0029200C">
        <w:rPr>
          <w:noProof/>
        </w:rPr>
        <w:tab/>
      </w:r>
      <w:r w:rsidR="0029200C">
        <w:rPr>
          <w:noProof/>
        </w:rPr>
        <w:fldChar w:fldCharType="begin"/>
      </w:r>
      <w:r w:rsidR="0029200C">
        <w:rPr>
          <w:noProof/>
        </w:rPr>
        <w:instrText xml:space="preserve"> PAGEREF _Toc140002337 \h </w:instrText>
      </w:r>
      <w:r w:rsidR="0029200C">
        <w:rPr>
          <w:noProof/>
        </w:rPr>
      </w:r>
      <w:r w:rsidR="0029200C">
        <w:rPr>
          <w:noProof/>
        </w:rPr>
        <w:fldChar w:fldCharType="separate"/>
      </w:r>
      <w:r w:rsidR="00CA514F">
        <w:rPr>
          <w:noProof/>
        </w:rPr>
        <w:t>1</w:t>
      </w:r>
      <w:r w:rsidR="0029200C">
        <w:rPr>
          <w:noProof/>
        </w:rPr>
        <w:fldChar w:fldCharType="end"/>
      </w:r>
      <w:r>
        <w:rPr>
          <w:noProof/>
        </w:rPr>
        <w:fldChar w:fldCharType="end"/>
      </w:r>
    </w:p>
    <w:p w14:paraId="46EBB183" w14:textId="58CA462A"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r>
        <w:rPr>
          <w:noProof/>
        </w:rPr>
        <w:fldChar w:fldCharType="begin"/>
      </w:r>
      <w:r>
        <w:rPr>
          <w:noProof/>
        </w:rPr>
        <w:instrText xml:space="preserve"> HYPERLINK \l "_Toc140002338" </w:instrText>
      </w:r>
      <w:r w:rsidR="00CA514F">
        <w:rPr>
          <w:noProof/>
        </w:rPr>
      </w:r>
      <w:r>
        <w:rPr>
          <w:noProof/>
        </w:rPr>
        <w:fldChar w:fldCharType="separate"/>
      </w:r>
      <w:r w:rsidR="0029200C">
        <w:rPr>
          <w:rStyle w:val="ae"/>
          <w:rFonts w:ascii="宋体" w:hAnsi="宋体" w:hint="eastAsia"/>
          <w:noProof/>
          <w:color w:val="auto"/>
        </w:rPr>
        <w:t>三、 基金托管人对基金管理人的业务监督和核查</w:t>
      </w:r>
      <w:r w:rsidR="0029200C">
        <w:rPr>
          <w:noProof/>
        </w:rPr>
        <w:tab/>
      </w:r>
      <w:r w:rsidR="0029200C">
        <w:rPr>
          <w:noProof/>
        </w:rPr>
        <w:fldChar w:fldCharType="begin"/>
      </w:r>
      <w:r w:rsidR="0029200C">
        <w:rPr>
          <w:noProof/>
        </w:rPr>
        <w:instrText xml:space="preserve"> PAGEREF _Toc140002338 \h </w:instrText>
      </w:r>
      <w:r w:rsidR="0029200C">
        <w:rPr>
          <w:noProof/>
        </w:rPr>
      </w:r>
      <w:r w:rsidR="0029200C">
        <w:rPr>
          <w:noProof/>
        </w:rPr>
        <w:fldChar w:fldCharType="separate"/>
      </w:r>
      <w:r w:rsidR="00CA514F">
        <w:rPr>
          <w:noProof/>
        </w:rPr>
        <w:t>2</w:t>
      </w:r>
      <w:r w:rsidR="0029200C">
        <w:rPr>
          <w:noProof/>
        </w:rPr>
        <w:fldChar w:fldCharType="end"/>
      </w:r>
      <w:r>
        <w:rPr>
          <w:noProof/>
        </w:rPr>
        <w:fldChar w:fldCharType="end"/>
      </w:r>
    </w:p>
    <w:p w14:paraId="5B05DC5C" w14:textId="25A910B5"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r>
        <w:rPr>
          <w:noProof/>
        </w:rPr>
        <w:fldChar w:fldCharType="begin"/>
      </w:r>
      <w:r>
        <w:rPr>
          <w:noProof/>
        </w:rPr>
        <w:instrText xml:space="preserve"> HYPERLINK \l "_Toc140002339" </w:instrText>
      </w:r>
      <w:r w:rsidR="00CA514F">
        <w:rPr>
          <w:noProof/>
        </w:rPr>
      </w:r>
      <w:r>
        <w:rPr>
          <w:noProof/>
        </w:rPr>
        <w:fldChar w:fldCharType="separate"/>
      </w:r>
      <w:r w:rsidR="0029200C">
        <w:rPr>
          <w:rStyle w:val="ae"/>
          <w:rFonts w:ascii="宋体" w:hAnsi="宋体" w:hint="eastAsia"/>
          <w:noProof/>
          <w:color w:val="auto"/>
        </w:rPr>
        <w:t>四、 基金管理人对基金托管人的业</w:t>
      </w:r>
      <w:bookmarkStart w:id="17" w:name="_GoBack"/>
      <w:bookmarkEnd w:id="17"/>
      <w:r w:rsidR="0029200C">
        <w:rPr>
          <w:rStyle w:val="ae"/>
          <w:rFonts w:ascii="宋体" w:hAnsi="宋体" w:hint="eastAsia"/>
          <w:noProof/>
          <w:color w:val="auto"/>
        </w:rPr>
        <w:t>务核查</w:t>
      </w:r>
      <w:r w:rsidR="0029200C">
        <w:rPr>
          <w:noProof/>
        </w:rPr>
        <w:tab/>
      </w:r>
      <w:r w:rsidR="0029200C">
        <w:rPr>
          <w:noProof/>
        </w:rPr>
        <w:fldChar w:fldCharType="begin"/>
      </w:r>
      <w:r w:rsidR="0029200C">
        <w:rPr>
          <w:noProof/>
        </w:rPr>
        <w:instrText xml:space="preserve"> PAGEREF _Toc140002339 \h </w:instrText>
      </w:r>
      <w:r w:rsidR="0029200C">
        <w:rPr>
          <w:noProof/>
        </w:rPr>
      </w:r>
      <w:r w:rsidR="0029200C">
        <w:rPr>
          <w:noProof/>
        </w:rPr>
        <w:fldChar w:fldCharType="separate"/>
      </w:r>
      <w:r w:rsidR="00CA514F">
        <w:rPr>
          <w:noProof/>
        </w:rPr>
        <w:t>11</w:t>
      </w:r>
      <w:r w:rsidR="0029200C">
        <w:rPr>
          <w:noProof/>
        </w:rPr>
        <w:fldChar w:fldCharType="end"/>
      </w:r>
      <w:r>
        <w:rPr>
          <w:noProof/>
        </w:rPr>
        <w:fldChar w:fldCharType="end"/>
      </w:r>
    </w:p>
    <w:p w14:paraId="0AE3933C" w14:textId="6159A118"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0" w:history="1">
        <w:r w:rsidR="0029200C">
          <w:rPr>
            <w:rStyle w:val="ae"/>
            <w:rFonts w:ascii="宋体" w:hAnsi="宋体" w:hint="eastAsia"/>
            <w:noProof/>
            <w:color w:val="auto"/>
          </w:rPr>
          <w:t>五、 基金财产保管</w:t>
        </w:r>
        <w:r w:rsidR="0029200C">
          <w:rPr>
            <w:noProof/>
          </w:rPr>
          <w:tab/>
        </w:r>
        <w:r w:rsidR="0029200C">
          <w:rPr>
            <w:noProof/>
          </w:rPr>
          <w:fldChar w:fldCharType="begin"/>
        </w:r>
        <w:r w:rsidR="0029200C">
          <w:rPr>
            <w:noProof/>
          </w:rPr>
          <w:instrText xml:space="preserve"> PAGEREF _Toc140002340 \h </w:instrText>
        </w:r>
        <w:r w:rsidR="0029200C">
          <w:rPr>
            <w:noProof/>
          </w:rPr>
        </w:r>
        <w:r w:rsidR="0029200C">
          <w:rPr>
            <w:noProof/>
          </w:rPr>
          <w:fldChar w:fldCharType="separate"/>
        </w:r>
        <w:r w:rsidR="00CA514F">
          <w:rPr>
            <w:noProof/>
          </w:rPr>
          <w:t>12</w:t>
        </w:r>
        <w:r w:rsidR="0029200C">
          <w:rPr>
            <w:noProof/>
          </w:rPr>
          <w:fldChar w:fldCharType="end"/>
        </w:r>
      </w:hyperlink>
    </w:p>
    <w:p w14:paraId="57942828" w14:textId="237E1D8F"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1" w:history="1">
        <w:r w:rsidR="0029200C">
          <w:rPr>
            <w:rStyle w:val="ae"/>
            <w:rFonts w:ascii="宋体" w:hAnsi="宋体" w:hint="eastAsia"/>
            <w:noProof/>
            <w:color w:val="auto"/>
          </w:rPr>
          <w:t>六、 指令的发</w:t>
        </w:r>
        <w:bookmarkStart w:id="18" w:name="_Hlt297733191"/>
        <w:r w:rsidR="0029200C">
          <w:rPr>
            <w:rStyle w:val="ae"/>
            <w:rFonts w:ascii="宋体" w:hAnsi="宋体" w:hint="eastAsia"/>
            <w:noProof/>
            <w:color w:val="auto"/>
          </w:rPr>
          <w:t>送</w:t>
        </w:r>
        <w:bookmarkEnd w:id="18"/>
        <w:r w:rsidR="0029200C">
          <w:rPr>
            <w:rStyle w:val="ae"/>
            <w:rFonts w:ascii="宋体" w:hAnsi="宋体" w:hint="eastAsia"/>
            <w:noProof/>
            <w:color w:val="auto"/>
          </w:rPr>
          <w:t>、确认和执行</w:t>
        </w:r>
        <w:r w:rsidR="0029200C">
          <w:rPr>
            <w:noProof/>
          </w:rPr>
          <w:tab/>
        </w:r>
        <w:r w:rsidR="0029200C">
          <w:rPr>
            <w:noProof/>
          </w:rPr>
          <w:fldChar w:fldCharType="begin"/>
        </w:r>
        <w:r w:rsidR="0029200C">
          <w:rPr>
            <w:noProof/>
          </w:rPr>
          <w:instrText xml:space="preserve"> PAGEREF _Toc140002341 \h </w:instrText>
        </w:r>
        <w:r w:rsidR="0029200C">
          <w:rPr>
            <w:noProof/>
          </w:rPr>
        </w:r>
        <w:r w:rsidR="0029200C">
          <w:rPr>
            <w:noProof/>
          </w:rPr>
          <w:fldChar w:fldCharType="separate"/>
        </w:r>
        <w:r w:rsidR="00CA514F">
          <w:rPr>
            <w:noProof/>
          </w:rPr>
          <w:t>17</w:t>
        </w:r>
        <w:r w:rsidR="0029200C">
          <w:rPr>
            <w:noProof/>
          </w:rPr>
          <w:fldChar w:fldCharType="end"/>
        </w:r>
      </w:hyperlink>
    </w:p>
    <w:p w14:paraId="69D56BAF" w14:textId="6CB00072"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交易及清算交收安排" w:history="1">
        <w:r w:rsidR="0029200C">
          <w:rPr>
            <w:rStyle w:val="ae"/>
            <w:rFonts w:ascii="宋体" w:hAnsi="宋体" w:hint="eastAsia"/>
            <w:noProof/>
            <w:color w:val="auto"/>
          </w:rPr>
          <w:t>七、 交易及清算交收安排</w:t>
        </w:r>
        <w:r w:rsidR="0029200C">
          <w:rPr>
            <w:rStyle w:val="ae"/>
            <w:noProof/>
          </w:rPr>
          <w:tab/>
        </w:r>
        <w:r w:rsidR="0029200C">
          <w:rPr>
            <w:rStyle w:val="ae"/>
            <w:noProof/>
          </w:rPr>
          <w:fldChar w:fldCharType="begin"/>
        </w:r>
        <w:r w:rsidR="0029200C">
          <w:rPr>
            <w:rStyle w:val="ae"/>
            <w:noProof/>
          </w:rPr>
          <w:instrText xml:space="preserve"> PAGEREF _Toc140002342 \h </w:instrText>
        </w:r>
        <w:r w:rsidR="0029200C">
          <w:rPr>
            <w:rStyle w:val="ae"/>
            <w:noProof/>
          </w:rPr>
        </w:r>
        <w:r w:rsidR="0029200C">
          <w:rPr>
            <w:rStyle w:val="ae"/>
            <w:noProof/>
          </w:rPr>
          <w:fldChar w:fldCharType="separate"/>
        </w:r>
        <w:r w:rsidR="00CA514F">
          <w:rPr>
            <w:rStyle w:val="ae"/>
            <w:noProof/>
          </w:rPr>
          <w:t>17</w:t>
        </w:r>
        <w:r w:rsidR="0029200C">
          <w:rPr>
            <w:rStyle w:val="ae"/>
            <w:noProof/>
          </w:rPr>
          <w:fldChar w:fldCharType="end"/>
        </w:r>
      </w:hyperlink>
    </w:p>
    <w:p w14:paraId="3B90FAA8" w14:textId="4C2535AD"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3" w:history="1">
        <w:r w:rsidR="0029200C">
          <w:rPr>
            <w:rStyle w:val="ae"/>
            <w:rFonts w:ascii="宋体" w:hAnsi="宋体" w:hint="eastAsia"/>
            <w:noProof/>
            <w:color w:val="auto"/>
          </w:rPr>
          <w:t>八、 基金资产净值计算和会</w:t>
        </w:r>
        <w:bookmarkStart w:id="19" w:name="_Hlt193098038"/>
        <w:r w:rsidR="0029200C">
          <w:rPr>
            <w:rStyle w:val="ae"/>
            <w:rFonts w:ascii="宋体" w:hAnsi="宋体" w:hint="eastAsia"/>
            <w:noProof/>
            <w:color w:val="auto"/>
          </w:rPr>
          <w:t>计</w:t>
        </w:r>
        <w:bookmarkEnd w:id="19"/>
        <w:r w:rsidR="0029200C">
          <w:rPr>
            <w:rStyle w:val="ae"/>
            <w:rFonts w:ascii="宋体" w:hAnsi="宋体" w:hint="eastAsia"/>
            <w:noProof/>
            <w:color w:val="auto"/>
          </w:rPr>
          <w:t>核算</w:t>
        </w:r>
        <w:r w:rsidR="0029200C">
          <w:rPr>
            <w:noProof/>
          </w:rPr>
          <w:tab/>
        </w:r>
        <w:r w:rsidR="0029200C">
          <w:rPr>
            <w:noProof/>
          </w:rPr>
          <w:fldChar w:fldCharType="begin"/>
        </w:r>
        <w:r w:rsidR="0029200C">
          <w:rPr>
            <w:noProof/>
          </w:rPr>
          <w:instrText xml:space="preserve"> PAGEREF _Toc140002343 \h </w:instrText>
        </w:r>
        <w:r w:rsidR="0029200C">
          <w:rPr>
            <w:noProof/>
          </w:rPr>
        </w:r>
        <w:r w:rsidR="0029200C">
          <w:rPr>
            <w:noProof/>
          </w:rPr>
          <w:fldChar w:fldCharType="separate"/>
        </w:r>
        <w:r w:rsidR="00CA514F">
          <w:rPr>
            <w:noProof/>
          </w:rPr>
          <w:t>25</w:t>
        </w:r>
        <w:r w:rsidR="0029200C">
          <w:rPr>
            <w:noProof/>
          </w:rPr>
          <w:fldChar w:fldCharType="end"/>
        </w:r>
      </w:hyperlink>
    </w:p>
    <w:p w14:paraId="43ECCFF4" w14:textId="59A97A68"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4" w:history="1">
        <w:r w:rsidR="0029200C">
          <w:rPr>
            <w:rStyle w:val="ae"/>
            <w:rFonts w:ascii="宋体" w:hAnsi="宋体" w:hint="eastAsia"/>
            <w:noProof/>
            <w:color w:val="auto"/>
          </w:rPr>
          <w:t>九、 基金收益分配</w:t>
        </w:r>
        <w:r w:rsidR="0029200C">
          <w:rPr>
            <w:noProof/>
          </w:rPr>
          <w:tab/>
        </w:r>
        <w:r w:rsidR="0029200C">
          <w:rPr>
            <w:noProof/>
          </w:rPr>
          <w:fldChar w:fldCharType="begin"/>
        </w:r>
        <w:r w:rsidR="0029200C">
          <w:rPr>
            <w:noProof/>
          </w:rPr>
          <w:instrText xml:space="preserve"> PAGEREF _Toc140002344 \h </w:instrText>
        </w:r>
        <w:r w:rsidR="0029200C">
          <w:rPr>
            <w:noProof/>
          </w:rPr>
        </w:r>
        <w:r w:rsidR="0029200C">
          <w:rPr>
            <w:noProof/>
          </w:rPr>
          <w:fldChar w:fldCharType="separate"/>
        </w:r>
        <w:r w:rsidR="00CA514F">
          <w:rPr>
            <w:noProof/>
          </w:rPr>
          <w:t>32</w:t>
        </w:r>
        <w:r w:rsidR="0029200C">
          <w:rPr>
            <w:noProof/>
          </w:rPr>
          <w:fldChar w:fldCharType="end"/>
        </w:r>
      </w:hyperlink>
    </w:p>
    <w:p w14:paraId="6EF2A412" w14:textId="35739E65"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5" w:history="1">
        <w:r w:rsidR="0029200C">
          <w:rPr>
            <w:rStyle w:val="ae"/>
            <w:rFonts w:ascii="宋体" w:hAnsi="宋体" w:hint="eastAsia"/>
            <w:noProof/>
            <w:color w:val="auto"/>
          </w:rPr>
          <w:t>十、 信息披露</w:t>
        </w:r>
        <w:r w:rsidR="0029200C">
          <w:rPr>
            <w:noProof/>
          </w:rPr>
          <w:tab/>
        </w:r>
        <w:r w:rsidR="0029200C">
          <w:rPr>
            <w:noProof/>
          </w:rPr>
          <w:fldChar w:fldCharType="begin"/>
        </w:r>
        <w:r w:rsidR="0029200C">
          <w:rPr>
            <w:noProof/>
          </w:rPr>
          <w:instrText xml:space="preserve"> PAGEREF _Toc140002345 \h </w:instrText>
        </w:r>
        <w:r w:rsidR="0029200C">
          <w:rPr>
            <w:noProof/>
          </w:rPr>
        </w:r>
        <w:r w:rsidR="0029200C">
          <w:rPr>
            <w:noProof/>
          </w:rPr>
          <w:fldChar w:fldCharType="separate"/>
        </w:r>
        <w:r w:rsidR="00CA514F">
          <w:rPr>
            <w:noProof/>
          </w:rPr>
          <w:t>33</w:t>
        </w:r>
        <w:r w:rsidR="0029200C">
          <w:rPr>
            <w:noProof/>
          </w:rPr>
          <w:fldChar w:fldCharType="end"/>
        </w:r>
      </w:hyperlink>
    </w:p>
    <w:p w14:paraId="6D8D3DF9" w14:textId="124BEFF7"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6" w:history="1">
        <w:r w:rsidR="0029200C">
          <w:rPr>
            <w:rStyle w:val="ae"/>
            <w:rFonts w:ascii="宋体" w:hAnsi="宋体" w:hint="eastAsia"/>
            <w:noProof/>
            <w:color w:val="auto"/>
          </w:rPr>
          <w:t>十一、 基金费用</w:t>
        </w:r>
        <w:r w:rsidR="0029200C">
          <w:rPr>
            <w:noProof/>
          </w:rPr>
          <w:tab/>
        </w:r>
        <w:r w:rsidR="0029200C">
          <w:rPr>
            <w:noProof/>
          </w:rPr>
          <w:fldChar w:fldCharType="begin"/>
        </w:r>
        <w:r w:rsidR="0029200C">
          <w:rPr>
            <w:noProof/>
          </w:rPr>
          <w:instrText xml:space="preserve"> PAGEREF _Toc140002346 \h </w:instrText>
        </w:r>
        <w:r w:rsidR="0029200C">
          <w:rPr>
            <w:noProof/>
          </w:rPr>
        </w:r>
        <w:r w:rsidR="0029200C">
          <w:rPr>
            <w:noProof/>
          </w:rPr>
          <w:fldChar w:fldCharType="separate"/>
        </w:r>
        <w:r w:rsidR="00CA514F">
          <w:rPr>
            <w:noProof/>
          </w:rPr>
          <w:t>35</w:t>
        </w:r>
        <w:r w:rsidR="0029200C">
          <w:rPr>
            <w:noProof/>
          </w:rPr>
          <w:fldChar w:fldCharType="end"/>
        </w:r>
      </w:hyperlink>
    </w:p>
    <w:p w14:paraId="5E8F67FA" w14:textId="3D55BBFF"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7" w:history="1">
        <w:r w:rsidR="0029200C">
          <w:rPr>
            <w:rStyle w:val="ae"/>
            <w:rFonts w:ascii="宋体" w:hAnsi="宋体" w:hint="eastAsia"/>
            <w:noProof/>
            <w:color w:val="auto"/>
          </w:rPr>
          <w:t>十二、 基金份额持有人名册的保管</w:t>
        </w:r>
        <w:r w:rsidR="0029200C">
          <w:rPr>
            <w:noProof/>
          </w:rPr>
          <w:tab/>
        </w:r>
        <w:r w:rsidR="0029200C">
          <w:rPr>
            <w:noProof/>
          </w:rPr>
          <w:fldChar w:fldCharType="begin"/>
        </w:r>
        <w:r w:rsidR="0029200C">
          <w:rPr>
            <w:noProof/>
          </w:rPr>
          <w:instrText xml:space="preserve"> PAGEREF _Toc140002347 \h </w:instrText>
        </w:r>
        <w:r w:rsidR="0029200C">
          <w:rPr>
            <w:noProof/>
          </w:rPr>
        </w:r>
        <w:r w:rsidR="0029200C">
          <w:rPr>
            <w:noProof/>
          </w:rPr>
          <w:fldChar w:fldCharType="separate"/>
        </w:r>
        <w:r w:rsidR="00CA514F">
          <w:rPr>
            <w:noProof/>
          </w:rPr>
          <w:t>38</w:t>
        </w:r>
        <w:r w:rsidR="0029200C">
          <w:rPr>
            <w:noProof/>
          </w:rPr>
          <w:fldChar w:fldCharType="end"/>
        </w:r>
      </w:hyperlink>
    </w:p>
    <w:p w14:paraId="3E94B8AA" w14:textId="7A3C5D32"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8" w:history="1">
        <w:r w:rsidR="0029200C">
          <w:rPr>
            <w:rStyle w:val="ae"/>
            <w:rFonts w:ascii="宋体" w:hAnsi="宋体" w:hint="eastAsia"/>
            <w:noProof/>
            <w:color w:val="auto"/>
          </w:rPr>
          <w:t>十三、 基金有关文件和档案的保存</w:t>
        </w:r>
        <w:r w:rsidR="0029200C">
          <w:rPr>
            <w:noProof/>
          </w:rPr>
          <w:tab/>
        </w:r>
        <w:r w:rsidR="0029200C">
          <w:rPr>
            <w:noProof/>
          </w:rPr>
          <w:fldChar w:fldCharType="begin"/>
        </w:r>
        <w:r w:rsidR="0029200C">
          <w:rPr>
            <w:noProof/>
          </w:rPr>
          <w:instrText xml:space="preserve"> PAGEREF _Toc140002348 \h </w:instrText>
        </w:r>
        <w:r w:rsidR="0029200C">
          <w:rPr>
            <w:noProof/>
          </w:rPr>
        </w:r>
        <w:r w:rsidR="0029200C">
          <w:rPr>
            <w:noProof/>
          </w:rPr>
          <w:fldChar w:fldCharType="separate"/>
        </w:r>
        <w:r w:rsidR="00CA514F">
          <w:rPr>
            <w:noProof/>
          </w:rPr>
          <w:t>39</w:t>
        </w:r>
        <w:r w:rsidR="0029200C">
          <w:rPr>
            <w:noProof/>
          </w:rPr>
          <w:fldChar w:fldCharType="end"/>
        </w:r>
      </w:hyperlink>
    </w:p>
    <w:p w14:paraId="6A7D193D" w14:textId="42869C1A"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49" w:history="1">
        <w:r w:rsidR="0029200C">
          <w:rPr>
            <w:rStyle w:val="ae"/>
            <w:rFonts w:ascii="宋体" w:hAnsi="宋体" w:hint="eastAsia"/>
            <w:noProof/>
            <w:color w:val="auto"/>
          </w:rPr>
          <w:t>十四、 基金管理人和基金托管人的更换</w:t>
        </w:r>
        <w:r w:rsidR="0029200C">
          <w:rPr>
            <w:noProof/>
          </w:rPr>
          <w:tab/>
        </w:r>
        <w:r w:rsidR="0029200C">
          <w:rPr>
            <w:noProof/>
          </w:rPr>
          <w:fldChar w:fldCharType="begin"/>
        </w:r>
        <w:r w:rsidR="0029200C">
          <w:rPr>
            <w:noProof/>
          </w:rPr>
          <w:instrText xml:space="preserve"> PAGEREF _Toc140002349 \h </w:instrText>
        </w:r>
        <w:r w:rsidR="0029200C">
          <w:rPr>
            <w:noProof/>
          </w:rPr>
        </w:r>
        <w:r w:rsidR="0029200C">
          <w:rPr>
            <w:noProof/>
          </w:rPr>
          <w:fldChar w:fldCharType="separate"/>
        </w:r>
        <w:r w:rsidR="00CA514F">
          <w:rPr>
            <w:noProof/>
          </w:rPr>
          <w:t>39</w:t>
        </w:r>
        <w:r w:rsidR="0029200C">
          <w:rPr>
            <w:noProof/>
          </w:rPr>
          <w:fldChar w:fldCharType="end"/>
        </w:r>
      </w:hyperlink>
    </w:p>
    <w:p w14:paraId="5C3E1DF0" w14:textId="2C49B40C"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50" w:history="1">
        <w:r w:rsidR="0029200C">
          <w:rPr>
            <w:rStyle w:val="ae"/>
            <w:rFonts w:ascii="宋体" w:hAnsi="宋体" w:hint="eastAsia"/>
            <w:noProof/>
            <w:color w:val="auto"/>
          </w:rPr>
          <w:t>十五、 禁止行</w:t>
        </w:r>
        <w:bookmarkStart w:id="20" w:name="_Hlt297731995"/>
        <w:r w:rsidR="0029200C">
          <w:rPr>
            <w:rStyle w:val="ae"/>
            <w:rFonts w:ascii="宋体" w:hAnsi="宋体" w:hint="eastAsia"/>
            <w:noProof/>
            <w:color w:val="auto"/>
          </w:rPr>
          <w:t>为</w:t>
        </w:r>
        <w:bookmarkEnd w:id="20"/>
        <w:r w:rsidR="0029200C">
          <w:rPr>
            <w:noProof/>
          </w:rPr>
          <w:tab/>
        </w:r>
        <w:r w:rsidR="0029200C">
          <w:rPr>
            <w:noProof/>
          </w:rPr>
          <w:fldChar w:fldCharType="begin"/>
        </w:r>
        <w:r w:rsidR="0029200C">
          <w:rPr>
            <w:noProof/>
          </w:rPr>
          <w:instrText xml:space="preserve"> PAGEREF _Toc140002350 \h </w:instrText>
        </w:r>
        <w:r w:rsidR="0029200C">
          <w:rPr>
            <w:noProof/>
          </w:rPr>
        </w:r>
        <w:r w:rsidR="0029200C">
          <w:rPr>
            <w:noProof/>
          </w:rPr>
          <w:fldChar w:fldCharType="separate"/>
        </w:r>
        <w:r w:rsidR="00CA514F">
          <w:rPr>
            <w:noProof/>
          </w:rPr>
          <w:t>42</w:t>
        </w:r>
        <w:r w:rsidR="0029200C">
          <w:rPr>
            <w:noProof/>
          </w:rPr>
          <w:fldChar w:fldCharType="end"/>
        </w:r>
      </w:hyperlink>
    </w:p>
    <w:p w14:paraId="560F65CA" w14:textId="2CEDFE27"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51" w:history="1">
        <w:r w:rsidR="0029200C">
          <w:rPr>
            <w:rStyle w:val="ae"/>
            <w:rFonts w:ascii="宋体" w:hAnsi="宋体" w:hint="eastAsia"/>
            <w:noProof/>
            <w:color w:val="auto"/>
          </w:rPr>
          <w:t>十六、 基金托管协</w:t>
        </w:r>
        <w:bookmarkStart w:id="21" w:name="_Hlt146559320"/>
        <w:bookmarkStart w:id="22" w:name="_Hlt146559319"/>
        <w:r w:rsidR="0029200C">
          <w:rPr>
            <w:rStyle w:val="ae"/>
            <w:rFonts w:ascii="宋体" w:hAnsi="宋体" w:hint="eastAsia"/>
            <w:noProof/>
            <w:color w:val="auto"/>
          </w:rPr>
          <w:t>议</w:t>
        </w:r>
        <w:bookmarkEnd w:id="21"/>
        <w:bookmarkEnd w:id="22"/>
        <w:r w:rsidR="0029200C">
          <w:rPr>
            <w:rStyle w:val="ae"/>
            <w:rFonts w:ascii="宋体" w:hAnsi="宋体" w:hint="eastAsia"/>
            <w:noProof/>
            <w:color w:val="auto"/>
          </w:rPr>
          <w:t>的变更、终止与基金财产的清算</w:t>
        </w:r>
        <w:r w:rsidR="0029200C">
          <w:rPr>
            <w:noProof/>
          </w:rPr>
          <w:tab/>
        </w:r>
        <w:r w:rsidR="0029200C">
          <w:rPr>
            <w:noProof/>
          </w:rPr>
          <w:fldChar w:fldCharType="begin"/>
        </w:r>
        <w:r w:rsidR="0029200C">
          <w:rPr>
            <w:noProof/>
          </w:rPr>
          <w:instrText xml:space="preserve"> PAGEREF _Toc140002351 \h </w:instrText>
        </w:r>
        <w:r w:rsidR="0029200C">
          <w:rPr>
            <w:noProof/>
          </w:rPr>
        </w:r>
        <w:r w:rsidR="0029200C">
          <w:rPr>
            <w:noProof/>
          </w:rPr>
          <w:fldChar w:fldCharType="separate"/>
        </w:r>
        <w:r w:rsidR="00CA514F">
          <w:rPr>
            <w:noProof/>
          </w:rPr>
          <w:t>43</w:t>
        </w:r>
        <w:r w:rsidR="0029200C">
          <w:rPr>
            <w:noProof/>
          </w:rPr>
          <w:fldChar w:fldCharType="end"/>
        </w:r>
      </w:hyperlink>
    </w:p>
    <w:p w14:paraId="27C0DBEA" w14:textId="3C15ACA6"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52" w:history="1">
        <w:r w:rsidR="0029200C">
          <w:rPr>
            <w:rStyle w:val="ae"/>
            <w:rFonts w:ascii="宋体" w:hAnsi="宋体" w:hint="eastAsia"/>
            <w:noProof/>
            <w:color w:val="auto"/>
          </w:rPr>
          <w:t>十七、 违约责任</w:t>
        </w:r>
        <w:r w:rsidR="0029200C">
          <w:rPr>
            <w:noProof/>
          </w:rPr>
          <w:tab/>
        </w:r>
        <w:r w:rsidR="0029200C">
          <w:rPr>
            <w:noProof/>
          </w:rPr>
          <w:fldChar w:fldCharType="begin"/>
        </w:r>
        <w:r w:rsidR="0029200C">
          <w:rPr>
            <w:noProof/>
          </w:rPr>
          <w:instrText xml:space="preserve"> PAGEREF _Toc140002352 \h </w:instrText>
        </w:r>
        <w:r w:rsidR="0029200C">
          <w:rPr>
            <w:noProof/>
          </w:rPr>
        </w:r>
        <w:r w:rsidR="0029200C">
          <w:rPr>
            <w:noProof/>
          </w:rPr>
          <w:fldChar w:fldCharType="separate"/>
        </w:r>
        <w:r w:rsidR="00CA514F">
          <w:rPr>
            <w:noProof/>
          </w:rPr>
          <w:t>46</w:t>
        </w:r>
        <w:r w:rsidR="0029200C">
          <w:rPr>
            <w:noProof/>
          </w:rPr>
          <w:fldChar w:fldCharType="end"/>
        </w:r>
      </w:hyperlink>
    </w:p>
    <w:p w14:paraId="2CC15835" w14:textId="5C89E0E5"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53" w:history="1">
        <w:r w:rsidR="0029200C">
          <w:rPr>
            <w:rStyle w:val="ae"/>
            <w:rFonts w:ascii="宋体" w:hAnsi="宋体" w:hint="eastAsia"/>
            <w:noProof/>
            <w:color w:val="auto"/>
          </w:rPr>
          <w:t>十八、 争议解决方式</w:t>
        </w:r>
        <w:r w:rsidR="0029200C">
          <w:rPr>
            <w:noProof/>
          </w:rPr>
          <w:tab/>
        </w:r>
        <w:r w:rsidR="0029200C">
          <w:rPr>
            <w:noProof/>
          </w:rPr>
          <w:fldChar w:fldCharType="begin"/>
        </w:r>
        <w:r w:rsidR="0029200C">
          <w:rPr>
            <w:noProof/>
          </w:rPr>
          <w:instrText xml:space="preserve"> PAGEREF _Toc140002353 \h </w:instrText>
        </w:r>
        <w:r w:rsidR="0029200C">
          <w:rPr>
            <w:noProof/>
          </w:rPr>
        </w:r>
        <w:r w:rsidR="0029200C">
          <w:rPr>
            <w:noProof/>
          </w:rPr>
          <w:fldChar w:fldCharType="separate"/>
        </w:r>
        <w:r w:rsidR="00CA514F">
          <w:rPr>
            <w:noProof/>
          </w:rPr>
          <w:t>47</w:t>
        </w:r>
        <w:r w:rsidR="0029200C">
          <w:rPr>
            <w:noProof/>
          </w:rPr>
          <w:fldChar w:fldCharType="end"/>
        </w:r>
      </w:hyperlink>
    </w:p>
    <w:p w14:paraId="1061A593" w14:textId="0FF100F8"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54" w:history="1">
        <w:r w:rsidR="0029200C">
          <w:rPr>
            <w:rStyle w:val="ae"/>
            <w:rFonts w:ascii="宋体" w:hAnsi="宋体" w:hint="eastAsia"/>
            <w:noProof/>
            <w:color w:val="auto"/>
          </w:rPr>
          <w:t>十九、 基金托管协议的效力</w:t>
        </w:r>
        <w:r w:rsidR="0029200C">
          <w:rPr>
            <w:noProof/>
          </w:rPr>
          <w:tab/>
        </w:r>
        <w:r w:rsidR="0029200C">
          <w:rPr>
            <w:noProof/>
          </w:rPr>
          <w:fldChar w:fldCharType="begin"/>
        </w:r>
        <w:r w:rsidR="0029200C">
          <w:rPr>
            <w:noProof/>
          </w:rPr>
          <w:instrText xml:space="preserve"> PAGEREF _Toc140002354 \h </w:instrText>
        </w:r>
        <w:r w:rsidR="0029200C">
          <w:rPr>
            <w:noProof/>
          </w:rPr>
        </w:r>
        <w:r w:rsidR="0029200C">
          <w:rPr>
            <w:noProof/>
          </w:rPr>
          <w:fldChar w:fldCharType="separate"/>
        </w:r>
        <w:r w:rsidR="00CA514F">
          <w:rPr>
            <w:noProof/>
          </w:rPr>
          <w:t>47</w:t>
        </w:r>
        <w:r w:rsidR="0029200C">
          <w:rPr>
            <w:noProof/>
          </w:rPr>
          <w:fldChar w:fldCharType="end"/>
        </w:r>
      </w:hyperlink>
    </w:p>
    <w:p w14:paraId="0D19B459" w14:textId="1850C775" w:rsidR="005A043F" w:rsidRDefault="00A2059C">
      <w:pPr>
        <w:pStyle w:val="10"/>
        <w:tabs>
          <w:tab w:val="right" w:pos="8296"/>
        </w:tabs>
        <w:adjustRightInd w:val="0"/>
        <w:spacing w:before="100" w:beforeAutospacing="1" w:after="100" w:afterAutospacing="1"/>
        <w:rPr>
          <w:rFonts w:ascii="Times New Roman" w:hAnsi="Times New Roman" w:cs="Times New Roman"/>
          <w:b w:val="0"/>
          <w:bCs w:val="0"/>
          <w:caps w:val="0"/>
          <w:noProof/>
          <w:sz w:val="21"/>
        </w:rPr>
      </w:pPr>
      <w:hyperlink w:anchor="_Toc140002355" w:history="1">
        <w:r w:rsidR="0029200C">
          <w:rPr>
            <w:rStyle w:val="ae"/>
            <w:rFonts w:ascii="宋体" w:hAnsi="宋体" w:hint="eastAsia"/>
            <w:noProof/>
            <w:color w:val="auto"/>
          </w:rPr>
          <w:t>二十、 基金托管协议的签订</w:t>
        </w:r>
        <w:r w:rsidR="0029200C">
          <w:rPr>
            <w:noProof/>
          </w:rPr>
          <w:tab/>
        </w:r>
        <w:r w:rsidR="0029200C">
          <w:rPr>
            <w:noProof/>
          </w:rPr>
          <w:fldChar w:fldCharType="begin"/>
        </w:r>
        <w:r w:rsidR="0029200C">
          <w:rPr>
            <w:noProof/>
          </w:rPr>
          <w:instrText xml:space="preserve"> PAGEREF _Toc140002355 \h </w:instrText>
        </w:r>
        <w:r w:rsidR="0029200C">
          <w:rPr>
            <w:noProof/>
          </w:rPr>
        </w:r>
        <w:r w:rsidR="0029200C">
          <w:rPr>
            <w:noProof/>
          </w:rPr>
          <w:fldChar w:fldCharType="separate"/>
        </w:r>
        <w:r w:rsidR="00CA514F">
          <w:rPr>
            <w:noProof/>
          </w:rPr>
          <w:t>48</w:t>
        </w:r>
        <w:r w:rsidR="0029200C">
          <w:rPr>
            <w:noProof/>
          </w:rPr>
          <w:fldChar w:fldCharType="end"/>
        </w:r>
      </w:hyperlink>
    </w:p>
    <w:p w14:paraId="61D55B2D" w14:textId="476ED152" w:rsidR="005A043F" w:rsidRDefault="0029200C">
      <w:r>
        <w:lastRenderedPageBreak/>
        <w:fldChar w:fldCharType="end"/>
      </w:r>
    </w:p>
    <w:p w14:paraId="1B65C931" w14:textId="77777777" w:rsidR="005A043F" w:rsidRDefault="005A043F">
      <w:pPr>
        <w:sectPr w:rsidR="005A043F">
          <w:headerReference w:type="default" r:id="rId9"/>
          <w:footerReference w:type="even" r:id="rId10"/>
          <w:footerReference w:type="default" r:id="rId11"/>
          <w:pgSz w:w="11906" w:h="16838"/>
          <w:pgMar w:top="1440" w:right="1800" w:bottom="1440" w:left="1800" w:header="851" w:footer="992" w:gutter="0"/>
          <w:pgNumType w:start="0"/>
          <w:cols w:space="720"/>
          <w:titlePg/>
          <w:docGrid w:type="lines" w:linePitch="312"/>
        </w:sectPr>
      </w:pPr>
    </w:p>
    <w:p w14:paraId="2AE42050"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23" w:name="_Toc124749936"/>
      <w:bookmarkStart w:id="24" w:name="_Toc22454432"/>
      <w:bookmarkStart w:id="25" w:name="_Toc523829992"/>
      <w:bookmarkStart w:id="26" w:name="_Toc140002336"/>
      <w:bookmarkStart w:id="27" w:name="_Toc123626167"/>
      <w:bookmarkStart w:id="28" w:name="_Toc48703884"/>
      <w:bookmarkStart w:id="29" w:name="_Toc125361073"/>
      <w:bookmarkStart w:id="30" w:name="_Toc124749225"/>
      <w:r>
        <w:rPr>
          <w:rFonts w:ascii="宋体" w:hAnsi="宋体" w:cs="Arial" w:hint="eastAsia"/>
          <w:sz w:val="30"/>
        </w:rPr>
        <w:lastRenderedPageBreak/>
        <w:t>基金托管协议当事人</w:t>
      </w:r>
      <w:bookmarkEnd w:id="23"/>
      <w:bookmarkEnd w:id="24"/>
      <w:bookmarkEnd w:id="25"/>
      <w:bookmarkEnd w:id="26"/>
      <w:bookmarkEnd w:id="27"/>
      <w:bookmarkEnd w:id="28"/>
      <w:bookmarkEnd w:id="29"/>
      <w:bookmarkEnd w:id="30"/>
    </w:p>
    <w:p w14:paraId="0CB869CB" w14:textId="77777777" w:rsidR="005A043F" w:rsidRDefault="0029200C">
      <w:pPr>
        <w:spacing w:line="360" w:lineRule="auto"/>
        <w:ind w:firstLineChars="200" w:firstLine="480"/>
        <w:rPr>
          <w:rFonts w:ascii="宋体" w:hAnsi="宋体"/>
          <w:sz w:val="24"/>
        </w:rPr>
      </w:pPr>
      <w:bookmarkStart w:id="31" w:name="_Toc22454433"/>
      <w:bookmarkStart w:id="32" w:name="_Toc48703885"/>
      <w:r>
        <w:rPr>
          <w:rFonts w:ascii="宋体" w:hAnsi="宋体" w:hint="eastAsia"/>
          <w:sz w:val="24"/>
        </w:rPr>
        <w:t>（一）基金管理人</w:t>
      </w:r>
      <w:bookmarkEnd w:id="31"/>
      <w:bookmarkEnd w:id="32"/>
    </w:p>
    <w:p w14:paraId="19BF4439" w14:textId="77777777" w:rsidR="005A043F" w:rsidRDefault="0029200C">
      <w:pPr>
        <w:spacing w:line="360" w:lineRule="auto"/>
        <w:ind w:firstLineChars="200" w:firstLine="480"/>
        <w:rPr>
          <w:rFonts w:ascii="宋体" w:hAnsi="宋体"/>
          <w:sz w:val="24"/>
        </w:rPr>
      </w:pPr>
      <w:bookmarkStart w:id="33" w:name="_Toc15118236"/>
      <w:bookmarkStart w:id="34" w:name="_Toc48703886"/>
      <w:bookmarkStart w:id="35" w:name="_Toc22454434"/>
      <w:r>
        <w:rPr>
          <w:rFonts w:ascii="宋体" w:hAnsi="宋体" w:hint="eastAsia"/>
          <w:sz w:val="24"/>
        </w:rPr>
        <w:t>名称：嘉</w:t>
      </w:r>
      <w:proofErr w:type="gramStart"/>
      <w:r>
        <w:rPr>
          <w:rFonts w:ascii="宋体" w:hAnsi="宋体" w:hint="eastAsia"/>
          <w:sz w:val="24"/>
        </w:rPr>
        <w:t>实基金</w:t>
      </w:r>
      <w:proofErr w:type="gramEnd"/>
      <w:r>
        <w:rPr>
          <w:rFonts w:ascii="宋体" w:hAnsi="宋体" w:hint="eastAsia"/>
          <w:sz w:val="24"/>
        </w:rPr>
        <w:t>管理有限公司</w:t>
      </w:r>
    </w:p>
    <w:p w14:paraId="59A91061" w14:textId="77777777" w:rsidR="005A043F" w:rsidRDefault="0029200C">
      <w:pPr>
        <w:spacing w:line="360" w:lineRule="auto"/>
        <w:ind w:firstLineChars="200" w:firstLine="480"/>
        <w:rPr>
          <w:rFonts w:ascii="宋体" w:hAnsi="宋体"/>
          <w:sz w:val="24"/>
        </w:rPr>
      </w:pPr>
      <w:r>
        <w:rPr>
          <w:rFonts w:ascii="宋体" w:hAnsi="宋体" w:hint="eastAsia"/>
          <w:sz w:val="24"/>
        </w:rPr>
        <w:t>住所：中国（上海）自由贸易试验区陆家嘴环路1318号1806A单元</w:t>
      </w:r>
    </w:p>
    <w:p w14:paraId="45E632A1" w14:textId="77777777" w:rsidR="005A043F" w:rsidRDefault="0029200C">
      <w:pPr>
        <w:spacing w:line="360" w:lineRule="auto"/>
        <w:ind w:firstLineChars="200" w:firstLine="480"/>
        <w:rPr>
          <w:rFonts w:ascii="宋体" w:hAnsi="宋体"/>
          <w:sz w:val="24"/>
        </w:rPr>
      </w:pPr>
      <w:r>
        <w:rPr>
          <w:rFonts w:ascii="宋体" w:hAnsi="宋体" w:hint="eastAsia"/>
          <w:sz w:val="24"/>
        </w:rPr>
        <w:t>法定代表人：经雷</w:t>
      </w:r>
    </w:p>
    <w:p w14:paraId="2B3118B7" w14:textId="77777777" w:rsidR="005A043F" w:rsidRDefault="0029200C">
      <w:pPr>
        <w:spacing w:line="360" w:lineRule="auto"/>
        <w:ind w:firstLineChars="200" w:firstLine="480"/>
        <w:rPr>
          <w:rFonts w:ascii="宋体" w:hAnsi="宋体"/>
          <w:sz w:val="24"/>
        </w:rPr>
      </w:pPr>
      <w:r>
        <w:rPr>
          <w:rFonts w:ascii="宋体" w:hAnsi="宋体" w:hint="eastAsia"/>
          <w:sz w:val="24"/>
        </w:rPr>
        <w:t>成立时间：1999年3月25日</w:t>
      </w:r>
    </w:p>
    <w:p w14:paraId="158DF03C" w14:textId="77777777" w:rsidR="005A043F" w:rsidRDefault="0029200C">
      <w:pPr>
        <w:spacing w:line="360" w:lineRule="auto"/>
        <w:ind w:firstLineChars="200" w:firstLine="480"/>
        <w:rPr>
          <w:rFonts w:ascii="宋体" w:hAnsi="宋体"/>
          <w:sz w:val="24"/>
        </w:rPr>
      </w:pPr>
      <w:r>
        <w:rPr>
          <w:rFonts w:ascii="宋体" w:hAnsi="宋体" w:hint="eastAsia"/>
          <w:sz w:val="24"/>
        </w:rPr>
        <w:t>批准设立机关及批准设立文号：中国证监会证</w:t>
      </w:r>
      <w:proofErr w:type="gramStart"/>
      <w:r>
        <w:rPr>
          <w:rFonts w:ascii="宋体" w:hAnsi="宋体" w:hint="eastAsia"/>
          <w:sz w:val="24"/>
        </w:rPr>
        <w:t>监基金字</w:t>
      </w:r>
      <w:proofErr w:type="gramEnd"/>
      <w:r>
        <w:rPr>
          <w:rFonts w:ascii="宋体" w:hAnsi="宋体" w:hint="eastAsia"/>
          <w:sz w:val="24"/>
        </w:rPr>
        <w:t>【1999】5号</w:t>
      </w:r>
    </w:p>
    <w:p w14:paraId="0145F9C7" w14:textId="77777777" w:rsidR="005A043F" w:rsidRDefault="0029200C">
      <w:pPr>
        <w:spacing w:line="360" w:lineRule="auto"/>
        <w:ind w:firstLineChars="200" w:firstLine="480"/>
        <w:rPr>
          <w:rFonts w:ascii="宋体" w:hAnsi="宋体"/>
          <w:sz w:val="24"/>
        </w:rPr>
      </w:pPr>
      <w:r>
        <w:rPr>
          <w:rFonts w:ascii="宋体" w:hAnsi="宋体" w:hint="eastAsia"/>
          <w:sz w:val="24"/>
        </w:rPr>
        <w:t>注册资本：1.5亿元人民币</w:t>
      </w:r>
    </w:p>
    <w:p w14:paraId="748C01CF" w14:textId="77777777" w:rsidR="005A043F" w:rsidRDefault="0029200C">
      <w:pPr>
        <w:spacing w:line="360" w:lineRule="auto"/>
        <w:ind w:firstLineChars="200" w:firstLine="480"/>
        <w:rPr>
          <w:rFonts w:ascii="宋体" w:hAnsi="宋体"/>
          <w:sz w:val="24"/>
        </w:rPr>
      </w:pPr>
      <w:r>
        <w:rPr>
          <w:rFonts w:ascii="宋体" w:hAnsi="宋体" w:hint="eastAsia"/>
          <w:sz w:val="24"/>
        </w:rPr>
        <w:t>组织形式：有限责任公司（外商投资、非独资）</w:t>
      </w:r>
    </w:p>
    <w:p w14:paraId="3A2E5D15" w14:textId="77777777" w:rsidR="005A043F" w:rsidRDefault="0029200C">
      <w:pPr>
        <w:spacing w:line="360" w:lineRule="auto"/>
        <w:ind w:firstLineChars="200" w:firstLine="480"/>
        <w:rPr>
          <w:rFonts w:ascii="宋体" w:hAnsi="宋体"/>
          <w:sz w:val="24"/>
        </w:rPr>
      </w:pPr>
      <w:r>
        <w:rPr>
          <w:rFonts w:ascii="宋体" w:hAnsi="宋体" w:hint="eastAsia"/>
          <w:sz w:val="24"/>
        </w:rPr>
        <w:t>经营范围：基金募集、基金销售、资产管理及中国证监会许可的其他业务</w:t>
      </w:r>
    </w:p>
    <w:p w14:paraId="1FB5CFD0" w14:textId="77777777" w:rsidR="005A043F" w:rsidRDefault="0029200C">
      <w:pPr>
        <w:spacing w:line="360" w:lineRule="auto"/>
        <w:ind w:firstLineChars="200" w:firstLine="480"/>
        <w:rPr>
          <w:rFonts w:ascii="宋体" w:hAnsi="宋体"/>
          <w:sz w:val="24"/>
        </w:rPr>
      </w:pPr>
      <w:r>
        <w:rPr>
          <w:rFonts w:ascii="宋体" w:hAnsi="宋体" w:hint="eastAsia"/>
          <w:sz w:val="24"/>
        </w:rPr>
        <w:t>存续期间：</w:t>
      </w:r>
      <w:bookmarkEnd w:id="33"/>
      <w:r>
        <w:rPr>
          <w:rFonts w:ascii="宋体" w:hAnsi="宋体" w:hint="eastAsia"/>
          <w:sz w:val="24"/>
        </w:rPr>
        <w:t>持续经营</w:t>
      </w:r>
    </w:p>
    <w:p w14:paraId="1CF22898" w14:textId="77777777" w:rsidR="005A043F" w:rsidRDefault="0029200C">
      <w:pPr>
        <w:spacing w:line="360" w:lineRule="auto"/>
        <w:ind w:firstLineChars="200" w:firstLine="480"/>
        <w:rPr>
          <w:rFonts w:ascii="宋体" w:hAnsi="宋体"/>
          <w:sz w:val="24"/>
        </w:rPr>
      </w:pPr>
      <w:r>
        <w:rPr>
          <w:rFonts w:ascii="宋体" w:hAnsi="宋体" w:hint="eastAsia"/>
          <w:sz w:val="24"/>
        </w:rPr>
        <w:t>电话：(010)65215588</w:t>
      </w:r>
    </w:p>
    <w:p w14:paraId="110C1461" w14:textId="77777777" w:rsidR="005A043F" w:rsidRDefault="0029200C">
      <w:pPr>
        <w:spacing w:line="360" w:lineRule="auto"/>
        <w:ind w:firstLineChars="200" w:firstLine="480"/>
        <w:rPr>
          <w:rFonts w:ascii="宋体" w:hAnsi="宋体"/>
          <w:sz w:val="24"/>
        </w:rPr>
      </w:pPr>
      <w:r>
        <w:rPr>
          <w:rFonts w:ascii="宋体" w:hAnsi="宋体" w:hint="eastAsia"/>
          <w:sz w:val="24"/>
        </w:rPr>
        <w:t>传真：(010)65185678</w:t>
      </w:r>
    </w:p>
    <w:p w14:paraId="177699D1" w14:textId="77777777" w:rsidR="005A043F" w:rsidRDefault="0029200C">
      <w:pPr>
        <w:spacing w:line="360" w:lineRule="auto"/>
        <w:ind w:firstLineChars="200" w:firstLine="480"/>
        <w:rPr>
          <w:rFonts w:ascii="宋体" w:hAnsi="宋体"/>
          <w:sz w:val="24"/>
        </w:rPr>
      </w:pPr>
      <w:r>
        <w:rPr>
          <w:rFonts w:ascii="宋体" w:hAnsi="宋体" w:hint="eastAsia"/>
          <w:sz w:val="24"/>
        </w:rPr>
        <w:t>联系人：罗朝伟</w:t>
      </w:r>
    </w:p>
    <w:p w14:paraId="3BF7B2D4" w14:textId="77777777" w:rsidR="005A043F" w:rsidRDefault="005A043F">
      <w:pPr>
        <w:spacing w:line="360" w:lineRule="auto"/>
        <w:ind w:firstLineChars="200" w:firstLine="480"/>
        <w:rPr>
          <w:rFonts w:ascii="宋体" w:hAnsi="宋体"/>
          <w:sz w:val="24"/>
        </w:rPr>
      </w:pPr>
    </w:p>
    <w:p w14:paraId="289448EE" w14:textId="77777777" w:rsidR="005A043F" w:rsidRDefault="0029200C">
      <w:pPr>
        <w:spacing w:line="360" w:lineRule="auto"/>
        <w:ind w:firstLineChars="200" w:firstLine="480"/>
        <w:rPr>
          <w:rFonts w:ascii="宋体" w:hAnsi="宋体"/>
          <w:sz w:val="24"/>
        </w:rPr>
      </w:pPr>
      <w:r>
        <w:rPr>
          <w:rFonts w:ascii="宋体" w:hAnsi="宋体" w:hint="eastAsia"/>
          <w:sz w:val="24"/>
        </w:rPr>
        <w:t>（二）基金托管人</w:t>
      </w:r>
      <w:bookmarkEnd w:id="34"/>
      <w:bookmarkEnd w:id="35"/>
    </w:p>
    <w:p w14:paraId="3CB6D9B7"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名称：重庆农村商业银行股份有限公司</w:t>
      </w:r>
      <w:r>
        <w:rPr>
          <w:rFonts w:ascii="宋体" w:hAnsi="宋体" w:cs="宋体"/>
          <w:sz w:val="24"/>
        </w:rPr>
        <w:t xml:space="preserve"> </w:t>
      </w:r>
    </w:p>
    <w:p w14:paraId="4DCB1014"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住所：重庆市</w:t>
      </w:r>
      <w:proofErr w:type="gramStart"/>
      <w:r>
        <w:rPr>
          <w:rFonts w:ascii="宋体" w:hAnsi="宋体" w:cs="宋体" w:hint="eastAsia"/>
          <w:sz w:val="24"/>
        </w:rPr>
        <w:t>两江新区</w:t>
      </w:r>
      <w:proofErr w:type="gramEnd"/>
      <w:r>
        <w:rPr>
          <w:rFonts w:ascii="宋体" w:hAnsi="宋体" w:cs="宋体" w:hint="eastAsia"/>
          <w:sz w:val="24"/>
        </w:rPr>
        <w:t>金沙门路36号</w:t>
      </w:r>
      <w:r>
        <w:rPr>
          <w:rFonts w:ascii="宋体" w:hAnsi="宋体" w:cs="宋体"/>
          <w:sz w:val="24"/>
        </w:rPr>
        <w:t xml:space="preserve"> </w:t>
      </w:r>
    </w:p>
    <w:p w14:paraId="0234BDDD"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法定代表人：刘小军</w:t>
      </w:r>
    </w:p>
    <w:p w14:paraId="3C647EA8"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成立时间：2008年6月27日</w:t>
      </w:r>
      <w:r>
        <w:rPr>
          <w:rFonts w:ascii="宋体" w:hAnsi="宋体" w:cs="宋体"/>
          <w:sz w:val="24"/>
        </w:rPr>
        <w:t xml:space="preserve"> </w:t>
      </w:r>
    </w:p>
    <w:p w14:paraId="765BD5C9"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组织形式：股份有限公司</w:t>
      </w:r>
      <w:r>
        <w:rPr>
          <w:rFonts w:ascii="宋体" w:hAnsi="宋体" w:cs="宋体"/>
          <w:sz w:val="24"/>
        </w:rPr>
        <w:t xml:space="preserve"> </w:t>
      </w:r>
    </w:p>
    <w:p w14:paraId="3C25804C"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lastRenderedPageBreak/>
        <w:t>注册资本：113.57亿人民币</w:t>
      </w:r>
      <w:r>
        <w:rPr>
          <w:rFonts w:ascii="宋体" w:hAnsi="宋体" w:cs="宋体"/>
          <w:sz w:val="24"/>
        </w:rPr>
        <w:t xml:space="preserve"> </w:t>
      </w:r>
    </w:p>
    <w:p w14:paraId="05B7BC41"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批准设立机关和设立文号：中国银监</w:t>
      </w:r>
      <w:proofErr w:type="gramStart"/>
      <w:r>
        <w:rPr>
          <w:rFonts w:ascii="宋体" w:hAnsi="宋体" w:cs="宋体" w:hint="eastAsia"/>
          <w:sz w:val="24"/>
        </w:rPr>
        <w:t>会银监复</w:t>
      </w:r>
      <w:proofErr w:type="gramEnd"/>
      <w:r>
        <w:rPr>
          <w:rFonts w:ascii="宋体" w:hAnsi="宋体" w:cs="宋体" w:hint="eastAsia"/>
          <w:sz w:val="24"/>
        </w:rPr>
        <w:t xml:space="preserve">[2008]244号 </w:t>
      </w:r>
      <w:r>
        <w:rPr>
          <w:rFonts w:ascii="宋体" w:hAnsi="宋体" w:cs="宋体"/>
          <w:sz w:val="24"/>
        </w:rPr>
        <w:t xml:space="preserve"> </w:t>
      </w:r>
    </w:p>
    <w:p w14:paraId="74BDB884"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基金托管业务批准文号：</w:t>
      </w:r>
      <w:r>
        <w:rPr>
          <w:rFonts w:ascii="宋体" w:hAnsi="宋体" w:cs="宋体"/>
          <w:sz w:val="24"/>
        </w:rPr>
        <w:t xml:space="preserve"> </w:t>
      </w:r>
      <w:r>
        <w:rPr>
          <w:rFonts w:ascii="宋体" w:hAnsi="宋体" w:cs="宋体" w:hint="eastAsia"/>
          <w:sz w:val="24"/>
        </w:rPr>
        <w:t>《关于核准重庆农村商业银行股份有限公司证券投资基金托管资格的批复》（证监许可〔2025〕1395号）</w:t>
      </w:r>
    </w:p>
    <w:p w14:paraId="53C9C3AD"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存续期间：持续经营</w:t>
      </w:r>
      <w:r>
        <w:rPr>
          <w:rFonts w:ascii="宋体" w:hAnsi="宋体" w:cs="宋体"/>
          <w:sz w:val="24"/>
        </w:rPr>
        <w:t xml:space="preserve"> </w:t>
      </w:r>
    </w:p>
    <w:p w14:paraId="7E64A88C"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电话：</w:t>
      </w:r>
      <w:r>
        <w:rPr>
          <w:rFonts w:ascii="宋体" w:hAnsi="宋体" w:cs="宋体"/>
          <w:sz w:val="24"/>
        </w:rPr>
        <w:t>023-61110331</w:t>
      </w:r>
    </w:p>
    <w:p w14:paraId="76A307DB"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传真：</w:t>
      </w:r>
      <w:r>
        <w:rPr>
          <w:rFonts w:ascii="宋体" w:hAnsi="宋体" w:cs="宋体"/>
          <w:sz w:val="24"/>
        </w:rPr>
        <w:t>023-61110342</w:t>
      </w:r>
    </w:p>
    <w:p w14:paraId="67714648" w14:textId="77777777" w:rsidR="005A043F" w:rsidRDefault="0029200C">
      <w:pPr>
        <w:spacing w:line="360" w:lineRule="auto"/>
        <w:ind w:firstLineChars="200" w:firstLine="480"/>
        <w:rPr>
          <w:rFonts w:ascii="宋体" w:hAnsi="宋体" w:cs="宋体"/>
          <w:sz w:val="24"/>
        </w:rPr>
      </w:pPr>
      <w:r>
        <w:rPr>
          <w:rFonts w:ascii="宋体" w:hAnsi="宋体" w:cs="宋体" w:hint="eastAsia"/>
          <w:sz w:val="24"/>
        </w:rPr>
        <w:t>联系人：叶明煜</w:t>
      </w:r>
      <w:r>
        <w:rPr>
          <w:rFonts w:ascii="宋体" w:hAnsi="宋体" w:cs="宋体"/>
          <w:sz w:val="24"/>
        </w:rPr>
        <w:t xml:space="preserve"> </w:t>
      </w:r>
    </w:p>
    <w:p w14:paraId="7FA21D61" w14:textId="77777777" w:rsidR="005A043F" w:rsidRDefault="0029200C">
      <w:pPr>
        <w:spacing w:line="360" w:lineRule="auto"/>
        <w:ind w:firstLineChars="200" w:firstLine="480"/>
        <w:rPr>
          <w:rFonts w:ascii="宋体" w:hAnsi="宋体"/>
          <w:sz w:val="24"/>
        </w:rPr>
      </w:pPr>
      <w:r>
        <w:rPr>
          <w:rFonts w:ascii="宋体" w:hAnsi="宋体" w:cs="宋体" w:hint="eastAsia"/>
          <w:sz w:val="24"/>
        </w:rPr>
        <w:t>经营范围：银行业务；公募证券投资基金销售；证券投资基金托管。</w:t>
      </w:r>
    </w:p>
    <w:p w14:paraId="094E21A8"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36" w:name="_Toc140002337"/>
      <w:bookmarkStart w:id="37" w:name="_Toc124749226"/>
      <w:bookmarkStart w:id="38" w:name="_Toc123626168"/>
      <w:bookmarkStart w:id="39" w:name="_Toc466788852"/>
      <w:bookmarkStart w:id="40" w:name="_Toc48703887"/>
      <w:bookmarkStart w:id="41" w:name="_Toc124749937"/>
      <w:bookmarkStart w:id="42" w:name="_Toc125361074"/>
      <w:bookmarkStart w:id="43" w:name="_Toc22454435"/>
      <w:bookmarkStart w:id="44" w:name="_Toc523829993"/>
      <w:r>
        <w:rPr>
          <w:rFonts w:ascii="宋体" w:hAnsi="宋体" w:cs="Arial" w:hint="eastAsia"/>
          <w:sz w:val="30"/>
        </w:rPr>
        <w:t>基金托管协议的依据、目的和原则</w:t>
      </w:r>
      <w:bookmarkEnd w:id="36"/>
      <w:bookmarkEnd w:id="37"/>
      <w:bookmarkEnd w:id="38"/>
      <w:bookmarkEnd w:id="39"/>
      <w:bookmarkEnd w:id="40"/>
      <w:bookmarkEnd w:id="41"/>
      <w:bookmarkEnd w:id="42"/>
      <w:bookmarkEnd w:id="43"/>
      <w:bookmarkEnd w:id="44"/>
    </w:p>
    <w:p w14:paraId="156DD09F" w14:textId="02FE1636" w:rsidR="005A043F" w:rsidRDefault="0029200C">
      <w:pPr>
        <w:spacing w:line="360" w:lineRule="auto"/>
        <w:ind w:firstLineChars="200" w:firstLine="480"/>
        <w:rPr>
          <w:rFonts w:ascii="宋体" w:hAnsi="宋体"/>
          <w:sz w:val="24"/>
        </w:rPr>
      </w:pPr>
      <w:r>
        <w:rPr>
          <w:rFonts w:ascii="宋体" w:hAnsi="宋体" w:hint="eastAsia"/>
          <w:sz w:val="24"/>
        </w:rPr>
        <w:t>订立本协议的依据是《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证券投资基金信息披露内容与格式准则第7号〈托管协议的内容与格式〉》、《公开募集开放式证券投资基金流动性风险管理规定》（以下简称《流动性风险管理规定》）、《嘉实稳健瑞庆6个月持有期混合型证券投资基金基金合同》（以下简称《基金合同》）及其他有关规定。</w:t>
      </w:r>
    </w:p>
    <w:p w14:paraId="7C4F4CBF" w14:textId="77777777" w:rsidR="005A043F" w:rsidRDefault="0029200C">
      <w:pPr>
        <w:spacing w:line="360" w:lineRule="auto"/>
        <w:ind w:firstLineChars="200" w:firstLine="480"/>
        <w:rPr>
          <w:rFonts w:ascii="宋体" w:hAnsi="宋体"/>
          <w:sz w:val="24"/>
        </w:rPr>
      </w:pPr>
      <w:r>
        <w:rPr>
          <w:rFonts w:ascii="宋体" w:hAnsi="宋体" w:hint="eastAsia"/>
          <w:sz w:val="24"/>
        </w:rPr>
        <w:t>订立本协议的目的是明确基金托管人与基金管理人之间在基金财产的保管、投资运作、净值计算、收益分配、信息披露及相互监督等有关事宜中的权利、义务及职责，确保基金财产的安全，保护基金份额持有人的合法权益。</w:t>
      </w:r>
    </w:p>
    <w:p w14:paraId="09403C44"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基金管理人和基金托管人本着平等自愿、诚实信用、充分保护基金份额持有人合法权益的原则，经协商一致，签订本协议。</w:t>
      </w:r>
    </w:p>
    <w:p w14:paraId="0054C05E"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除非本协议另有约定，本协议所使用的词语或简称与其在《基金合同》的释义部分具有相同含义；若有抵触应以《基金合同》为准并依其条款解释。</w:t>
      </w:r>
    </w:p>
    <w:p w14:paraId="4E648A73" w14:textId="77777777" w:rsidR="005A043F" w:rsidRDefault="0029200C">
      <w:pPr>
        <w:spacing w:line="360" w:lineRule="auto"/>
        <w:ind w:firstLineChars="200" w:firstLine="480"/>
        <w:rPr>
          <w:rFonts w:ascii="宋体" w:hAnsi="宋体"/>
          <w:sz w:val="24"/>
        </w:rPr>
      </w:pPr>
      <w:r>
        <w:rPr>
          <w:rFonts w:ascii="宋体" w:hAnsi="宋体" w:hint="eastAsia"/>
          <w:sz w:val="24"/>
        </w:rPr>
        <w:t>若本基金实施</w:t>
      </w:r>
      <w:proofErr w:type="gramStart"/>
      <w:r>
        <w:rPr>
          <w:rFonts w:ascii="宋体" w:hAnsi="宋体" w:hint="eastAsia"/>
          <w:sz w:val="24"/>
        </w:rPr>
        <w:t>侧袋机制</w:t>
      </w:r>
      <w:proofErr w:type="gramEnd"/>
      <w:r>
        <w:rPr>
          <w:rFonts w:ascii="宋体" w:hAnsi="宋体" w:hint="eastAsia"/>
          <w:sz w:val="24"/>
        </w:rPr>
        <w:t>的，</w:t>
      </w:r>
      <w:proofErr w:type="gramStart"/>
      <w:r>
        <w:rPr>
          <w:rFonts w:ascii="宋体" w:hAnsi="宋体" w:hint="eastAsia"/>
          <w:sz w:val="24"/>
        </w:rPr>
        <w:t>侧袋机制</w:t>
      </w:r>
      <w:proofErr w:type="gramEnd"/>
      <w:r>
        <w:rPr>
          <w:rFonts w:ascii="宋体" w:hAnsi="宋体" w:hint="eastAsia"/>
          <w:sz w:val="24"/>
        </w:rPr>
        <w:t>实施期间的相关安排</w:t>
      </w:r>
      <w:proofErr w:type="gramStart"/>
      <w:r>
        <w:rPr>
          <w:rFonts w:ascii="宋体" w:hAnsi="宋体" w:hint="eastAsia"/>
          <w:sz w:val="24"/>
        </w:rPr>
        <w:t>见基金</w:t>
      </w:r>
      <w:proofErr w:type="gramEnd"/>
      <w:r>
        <w:rPr>
          <w:rFonts w:ascii="宋体" w:hAnsi="宋体" w:hint="eastAsia"/>
          <w:sz w:val="24"/>
        </w:rPr>
        <w:t>合同和招募说明书的规定。</w:t>
      </w:r>
    </w:p>
    <w:p w14:paraId="02202F61"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45" w:name="_Toc125361075"/>
      <w:bookmarkStart w:id="46" w:name="_Toc124749227"/>
      <w:bookmarkStart w:id="47" w:name="_Toc124749938"/>
      <w:bookmarkStart w:id="48" w:name="_Toc140002338"/>
      <w:bookmarkEnd w:id="0"/>
      <w:bookmarkEnd w:id="1"/>
      <w:bookmarkEnd w:id="2"/>
      <w:bookmarkEnd w:id="3"/>
      <w:r>
        <w:rPr>
          <w:rFonts w:ascii="宋体" w:hAnsi="宋体" w:cs="Arial" w:hint="eastAsia"/>
          <w:sz w:val="30"/>
        </w:rPr>
        <w:t>基金托管人对基金管理人的业务监督和核查</w:t>
      </w:r>
      <w:bookmarkEnd w:id="45"/>
      <w:bookmarkEnd w:id="46"/>
      <w:bookmarkEnd w:id="47"/>
      <w:bookmarkEnd w:id="48"/>
    </w:p>
    <w:p w14:paraId="27C656AF" w14:textId="77777777" w:rsidR="005A043F" w:rsidRDefault="0029200C">
      <w:pPr>
        <w:spacing w:line="360" w:lineRule="auto"/>
        <w:ind w:firstLineChars="200" w:firstLine="480"/>
        <w:rPr>
          <w:rFonts w:ascii="宋体" w:hAnsi="宋体"/>
          <w:sz w:val="24"/>
        </w:rPr>
      </w:pPr>
      <w:r>
        <w:rPr>
          <w:rFonts w:ascii="宋体" w:hAnsi="宋体" w:hint="eastAsia"/>
          <w:sz w:val="24"/>
        </w:rPr>
        <w:t>（一）基金托管人对基金管理人的投资行为行使监督权</w:t>
      </w:r>
    </w:p>
    <w:p w14:paraId="7EF84520" w14:textId="77777777" w:rsidR="005A043F" w:rsidRDefault="0029200C">
      <w:pPr>
        <w:spacing w:line="360" w:lineRule="auto"/>
        <w:ind w:firstLineChars="200" w:firstLine="480"/>
        <w:rPr>
          <w:rFonts w:ascii="宋体" w:hAnsi="宋体"/>
          <w:sz w:val="24"/>
        </w:rPr>
      </w:pPr>
      <w:r>
        <w:rPr>
          <w:rFonts w:ascii="宋体" w:hAnsi="宋体" w:hint="eastAsia"/>
          <w:sz w:val="24"/>
        </w:rPr>
        <w:t>1、基金托管人根据有关法律法规的规定和《基金合同》的约定，对下述基金投资范围、投资对象进行监督。</w:t>
      </w:r>
    </w:p>
    <w:p w14:paraId="1580CD65" w14:textId="77777777" w:rsidR="005A043F" w:rsidRDefault="0029200C">
      <w:pPr>
        <w:spacing w:line="360" w:lineRule="auto"/>
        <w:ind w:firstLineChars="200" w:firstLine="480"/>
        <w:rPr>
          <w:rFonts w:ascii="宋体" w:hAnsi="宋体"/>
          <w:sz w:val="24"/>
        </w:rPr>
      </w:pPr>
      <w:r>
        <w:rPr>
          <w:rFonts w:ascii="宋体" w:hAnsi="宋体" w:hint="eastAsia"/>
          <w:sz w:val="24"/>
        </w:rPr>
        <w:t>本基金将投资于以下金融工具：</w:t>
      </w:r>
    </w:p>
    <w:p w14:paraId="09545D68" w14:textId="77777777" w:rsidR="005A043F" w:rsidRDefault="0029200C">
      <w:pPr>
        <w:spacing w:line="360" w:lineRule="auto"/>
        <w:ind w:firstLine="480"/>
        <w:rPr>
          <w:sz w:val="24"/>
        </w:rPr>
      </w:pPr>
      <w:bookmarkStart w:id="49" w:name="_Hlk146551443"/>
      <w:r>
        <w:rPr>
          <w:rFonts w:hint="eastAsia"/>
          <w:sz w:val="24"/>
        </w:rPr>
        <w:t>本基金的投资范围包括国内依法发行上市的债券（国债、地方政府债、金融债、企业债、公司债、次级债、可转换债券（含分离交易可转债，下同）、可交换债券、央行票据、短期融资</w:t>
      </w:r>
      <w:proofErr w:type="gramStart"/>
      <w:r>
        <w:rPr>
          <w:rFonts w:hint="eastAsia"/>
          <w:sz w:val="24"/>
        </w:rPr>
        <w:t>券</w:t>
      </w:r>
      <w:proofErr w:type="gramEnd"/>
      <w:r>
        <w:rPr>
          <w:rFonts w:hint="eastAsia"/>
          <w:sz w:val="24"/>
        </w:rPr>
        <w:t>、超短期融资</w:t>
      </w:r>
      <w:proofErr w:type="gramStart"/>
      <w:r>
        <w:rPr>
          <w:rFonts w:hint="eastAsia"/>
          <w:sz w:val="24"/>
        </w:rPr>
        <w:t>券</w:t>
      </w:r>
      <w:proofErr w:type="gramEnd"/>
      <w:r>
        <w:rPr>
          <w:rFonts w:hint="eastAsia"/>
          <w:sz w:val="24"/>
        </w:rPr>
        <w:t>、中期票据等）、资产支持证券、债券回购、银行存款、同业存单、国内依法发行上市的股票（包括主板、创业板、存托凭证以及其他依法发行、上市的股票）、内地与香港股票市场交易互联互通机制下允许买卖的香港联合交易所上市股票（以下简称“港股通标的股票”）、经中国证监会依法核准或注册的公开募集的证券投资基金（以下统称为“公募基金”，仅包括全市场股票</w:t>
      </w:r>
      <w:r>
        <w:rPr>
          <w:rFonts w:hint="eastAsia"/>
          <w:sz w:val="24"/>
        </w:rPr>
        <w:t>ETF</w:t>
      </w:r>
      <w:r>
        <w:rPr>
          <w:rFonts w:hint="eastAsia"/>
          <w:sz w:val="24"/>
        </w:rPr>
        <w:t>、</w:t>
      </w:r>
      <w:r>
        <w:rPr>
          <w:rFonts w:hint="eastAsia"/>
          <w:bCs/>
          <w:color w:val="000000"/>
          <w:sz w:val="24"/>
        </w:rPr>
        <w:t>公开募集不动产投资信托基金（以下简称“公募</w:t>
      </w:r>
      <w:r>
        <w:rPr>
          <w:rFonts w:hint="eastAsia"/>
          <w:bCs/>
          <w:color w:val="000000"/>
          <w:sz w:val="24"/>
        </w:rPr>
        <w:t>REITs</w:t>
      </w:r>
      <w:r>
        <w:rPr>
          <w:rFonts w:hint="eastAsia"/>
          <w:bCs/>
          <w:color w:val="000000"/>
          <w:sz w:val="24"/>
        </w:rPr>
        <w:t>”）</w:t>
      </w:r>
      <w:r>
        <w:rPr>
          <w:rFonts w:hint="eastAsia"/>
          <w:sz w:val="24"/>
        </w:rPr>
        <w:t>及本基金管理人所管理的股票型基金和计入权益类资产的混合型基金，不包括</w:t>
      </w:r>
      <w:r>
        <w:rPr>
          <w:rFonts w:hint="eastAsia"/>
          <w:sz w:val="24"/>
        </w:rPr>
        <w:t xml:space="preserve"> QDII </w:t>
      </w:r>
      <w:r>
        <w:rPr>
          <w:rFonts w:hint="eastAsia"/>
          <w:sz w:val="24"/>
        </w:rPr>
        <w:t>基金、货币市场基金、香港互认基金、基金中基金、其他投资范围包含基金的</w:t>
      </w:r>
      <w:proofErr w:type="gramStart"/>
      <w:r>
        <w:rPr>
          <w:rFonts w:hint="eastAsia"/>
          <w:sz w:val="24"/>
        </w:rPr>
        <w:t>非基金</w:t>
      </w:r>
      <w:proofErr w:type="gramEnd"/>
      <w:r>
        <w:rPr>
          <w:rFonts w:hint="eastAsia"/>
          <w:sz w:val="24"/>
        </w:rPr>
        <w:t>中基金和本</w:t>
      </w:r>
      <w:proofErr w:type="gramStart"/>
      <w:r>
        <w:rPr>
          <w:rFonts w:hint="eastAsia"/>
          <w:sz w:val="24"/>
        </w:rPr>
        <w:t>基金基金</w:t>
      </w:r>
      <w:proofErr w:type="gramEnd"/>
      <w:r>
        <w:rPr>
          <w:rFonts w:hint="eastAsia"/>
          <w:sz w:val="24"/>
        </w:rPr>
        <w:t>经理管理的其他基金）、衍生工具（股指期货、股票期权、国债期货、信用衍生品等）、现金以及法律法规或中国证监会允许基金投资的其他金融工具（但须符合中国证监会的相关规定）。</w:t>
      </w:r>
    </w:p>
    <w:p w14:paraId="19C0E5F8" w14:textId="77777777" w:rsidR="005A043F" w:rsidRDefault="0029200C">
      <w:pPr>
        <w:spacing w:line="360" w:lineRule="auto"/>
        <w:ind w:firstLine="480"/>
        <w:rPr>
          <w:sz w:val="24"/>
        </w:rPr>
      </w:pPr>
      <w:r>
        <w:rPr>
          <w:rFonts w:hint="eastAsia"/>
          <w:sz w:val="24"/>
        </w:rPr>
        <w:t>如法律法规或监管机构以后允许基金投资其他品种，基金管理人在履行适当程序后，可以将其纳入投资范围。</w:t>
      </w:r>
    </w:p>
    <w:p w14:paraId="184315EA" w14:textId="77777777" w:rsidR="005A043F" w:rsidRDefault="0029200C">
      <w:pPr>
        <w:spacing w:line="360" w:lineRule="auto"/>
        <w:ind w:firstLineChars="200" w:firstLine="480"/>
        <w:rPr>
          <w:rFonts w:ascii="宋体" w:hAnsi="宋体"/>
          <w:sz w:val="24"/>
        </w:rPr>
      </w:pPr>
      <w:r>
        <w:rPr>
          <w:rFonts w:ascii="宋体" w:hAnsi="宋体" w:hint="eastAsia"/>
          <w:sz w:val="24"/>
        </w:rPr>
        <w:t>2、基金托管人根据有关法律法规的规定及《基金合同》的约定对下述基金</w:t>
      </w:r>
      <w:r>
        <w:rPr>
          <w:rFonts w:ascii="宋体" w:hAnsi="宋体" w:hint="eastAsia"/>
          <w:sz w:val="24"/>
        </w:rPr>
        <w:lastRenderedPageBreak/>
        <w:t>投融资比例进行监督：</w:t>
      </w:r>
    </w:p>
    <w:p w14:paraId="60AC7C09" w14:textId="77777777" w:rsidR="005A043F" w:rsidRDefault="0029200C">
      <w:pPr>
        <w:spacing w:line="360" w:lineRule="auto"/>
        <w:ind w:firstLineChars="200" w:firstLine="480"/>
        <w:rPr>
          <w:rFonts w:ascii="宋体" w:hAnsi="宋体"/>
          <w:sz w:val="24"/>
        </w:rPr>
      </w:pPr>
      <w:r>
        <w:rPr>
          <w:rFonts w:ascii="宋体" w:hAnsi="宋体" w:hint="eastAsia"/>
          <w:sz w:val="24"/>
        </w:rPr>
        <w:t>（1）按法律法规的规定及《基金合同》的约定，本基金的投资资产配置比例为：</w:t>
      </w:r>
    </w:p>
    <w:p w14:paraId="541F50CA" w14:textId="60B70691" w:rsidR="005A043F" w:rsidRDefault="0029200C">
      <w:pPr>
        <w:spacing w:line="360" w:lineRule="auto"/>
        <w:ind w:firstLineChars="200" w:firstLine="480"/>
        <w:rPr>
          <w:sz w:val="24"/>
        </w:rPr>
      </w:pPr>
      <w:r>
        <w:rPr>
          <w:rFonts w:hint="eastAsia"/>
          <w:sz w:val="24"/>
        </w:rPr>
        <w:t>本基金投资权益类资产、可转换债券和可交换债券的比例合计为基金资产的</w:t>
      </w:r>
      <w:r>
        <w:rPr>
          <w:rFonts w:hint="eastAsia"/>
          <w:sz w:val="24"/>
        </w:rPr>
        <w:t>10%-30%</w:t>
      </w:r>
      <w:r>
        <w:rPr>
          <w:rFonts w:hint="eastAsia"/>
          <w:sz w:val="24"/>
        </w:rPr>
        <w:t>，其中投资于境内股票资产（含</w:t>
      </w:r>
      <w:r>
        <w:rPr>
          <w:rFonts w:hint="eastAsia"/>
          <w:sz w:val="24"/>
        </w:rPr>
        <w:t>A</w:t>
      </w:r>
      <w:r>
        <w:rPr>
          <w:rFonts w:hint="eastAsia"/>
          <w:sz w:val="24"/>
        </w:rPr>
        <w:t>股</w:t>
      </w:r>
      <w:r>
        <w:rPr>
          <w:color w:val="000000"/>
          <w:sz w:val="24"/>
        </w:rPr>
        <w:t>ETF</w:t>
      </w:r>
      <w:r>
        <w:rPr>
          <w:rFonts w:hint="eastAsia"/>
          <w:color w:val="000000"/>
          <w:sz w:val="24"/>
        </w:rPr>
        <w:t>）</w:t>
      </w:r>
      <w:r>
        <w:rPr>
          <w:rFonts w:hint="eastAsia"/>
          <w:sz w:val="24"/>
        </w:rPr>
        <w:t>的比例合计不低于基金资产的</w:t>
      </w:r>
      <w:r>
        <w:rPr>
          <w:rFonts w:hint="eastAsia"/>
          <w:sz w:val="24"/>
        </w:rPr>
        <w:t>10%</w:t>
      </w:r>
      <w:r>
        <w:rPr>
          <w:rFonts w:hint="eastAsia"/>
          <w:sz w:val="24"/>
        </w:rPr>
        <w:t>，投资于港股通标的股票的比例占股票资产的</w:t>
      </w:r>
      <w:r>
        <w:rPr>
          <w:rFonts w:hint="eastAsia"/>
          <w:sz w:val="24"/>
        </w:rPr>
        <w:t>0-50%</w:t>
      </w:r>
      <w:r>
        <w:rPr>
          <w:rFonts w:hint="eastAsia"/>
          <w:sz w:val="24"/>
        </w:rPr>
        <w:t>；本基金对公</w:t>
      </w:r>
      <w:proofErr w:type="gramStart"/>
      <w:r>
        <w:rPr>
          <w:rFonts w:hint="eastAsia"/>
          <w:sz w:val="24"/>
        </w:rPr>
        <w:t>募</w:t>
      </w:r>
      <w:proofErr w:type="gramEnd"/>
      <w:r>
        <w:rPr>
          <w:rFonts w:hint="eastAsia"/>
          <w:sz w:val="24"/>
        </w:rPr>
        <w:t>基金的投资比例不超过基金资产净值的</w:t>
      </w:r>
      <w:r>
        <w:rPr>
          <w:rFonts w:hint="eastAsia"/>
          <w:sz w:val="24"/>
        </w:rPr>
        <w:t>10%</w:t>
      </w:r>
      <w:r>
        <w:rPr>
          <w:rFonts w:hint="eastAsia"/>
          <w:sz w:val="24"/>
        </w:rPr>
        <w:t>。本基金投资于同业存单的比例不超过基金资产的</w:t>
      </w:r>
      <w:r>
        <w:rPr>
          <w:rFonts w:hint="eastAsia"/>
          <w:sz w:val="24"/>
        </w:rPr>
        <w:t>20%</w:t>
      </w:r>
      <w:r>
        <w:rPr>
          <w:rFonts w:hint="eastAsia"/>
          <w:sz w:val="24"/>
        </w:rPr>
        <w:t>。本基金持有的现金或到期日在一年以内的政府债券不低于基金资产净值的</w:t>
      </w:r>
      <w:r>
        <w:rPr>
          <w:rFonts w:hint="eastAsia"/>
          <w:sz w:val="24"/>
        </w:rPr>
        <w:t>5%</w:t>
      </w:r>
      <w:r>
        <w:rPr>
          <w:rFonts w:hint="eastAsia"/>
          <w:sz w:val="24"/>
        </w:rPr>
        <w:t>，其中现金不包括结算备付金、存出保证金、应收申购款等。</w:t>
      </w:r>
    </w:p>
    <w:p w14:paraId="0E01A3A5" w14:textId="1331724A" w:rsidR="005A043F" w:rsidRDefault="0029200C">
      <w:pPr>
        <w:spacing w:line="360" w:lineRule="auto"/>
        <w:ind w:firstLineChars="200" w:firstLine="480"/>
        <w:rPr>
          <w:sz w:val="24"/>
          <w:szCs w:val="20"/>
        </w:rPr>
      </w:pPr>
      <w:r>
        <w:rPr>
          <w:rFonts w:hint="eastAsia"/>
          <w:sz w:val="24"/>
          <w:szCs w:val="20"/>
        </w:rPr>
        <w:t>其中，权益类资产包括股票，股票型基金和满足下述条件之一的混合型基金：①基金合同约定股票资产</w:t>
      </w:r>
      <w:r>
        <w:rPr>
          <w:sz w:val="24"/>
          <w:szCs w:val="20"/>
        </w:rPr>
        <w:t>(</w:t>
      </w:r>
      <w:proofErr w:type="gramStart"/>
      <w:r>
        <w:rPr>
          <w:rFonts w:hint="eastAsia"/>
          <w:sz w:val="24"/>
          <w:szCs w:val="20"/>
        </w:rPr>
        <w:t>含存托</w:t>
      </w:r>
      <w:proofErr w:type="gramEnd"/>
      <w:r>
        <w:rPr>
          <w:rFonts w:hint="eastAsia"/>
          <w:sz w:val="24"/>
          <w:szCs w:val="20"/>
        </w:rPr>
        <w:t>凭证</w:t>
      </w:r>
      <w:r>
        <w:rPr>
          <w:sz w:val="24"/>
          <w:szCs w:val="20"/>
        </w:rPr>
        <w:t>)</w:t>
      </w:r>
      <w:r>
        <w:rPr>
          <w:rFonts w:hint="eastAsia"/>
          <w:sz w:val="24"/>
          <w:szCs w:val="20"/>
        </w:rPr>
        <w:t>投资比例应不低于基金资产的</w:t>
      </w:r>
      <w:r>
        <w:rPr>
          <w:sz w:val="24"/>
          <w:szCs w:val="20"/>
        </w:rPr>
        <w:t>60%</w:t>
      </w:r>
      <w:r>
        <w:rPr>
          <w:rFonts w:hint="eastAsia"/>
          <w:sz w:val="24"/>
          <w:szCs w:val="20"/>
        </w:rPr>
        <w:t>；②最近四个季度定期报告披露的股票资产</w:t>
      </w:r>
      <w:r>
        <w:rPr>
          <w:sz w:val="24"/>
          <w:szCs w:val="20"/>
        </w:rPr>
        <w:t>(</w:t>
      </w:r>
      <w:proofErr w:type="gramStart"/>
      <w:r>
        <w:rPr>
          <w:rFonts w:hint="eastAsia"/>
          <w:sz w:val="24"/>
          <w:szCs w:val="20"/>
        </w:rPr>
        <w:t>含存托</w:t>
      </w:r>
      <w:proofErr w:type="gramEnd"/>
      <w:r>
        <w:rPr>
          <w:rFonts w:hint="eastAsia"/>
          <w:sz w:val="24"/>
          <w:szCs w:val="20"/>
        </w:rPr>
        <w:t>凭证</w:t>
      </w:r>
      <w:r>
        <w:rPr>
          <w:sz w:val="24"/>
          <w:szCs w:val="20"/>
        </w:rPr>
        <w:t>)</w:t>
      </w:r>
      <w:r>
        <w:rPr>
          <w:rFonts w:hint="eastAsia"/>
          <w:sz w:val="24"/>
          <w:szCs w:val="20"/>
        </w:rPr>
        <w:t>投资比例均不低于基金资产的</w:t>
      </w:r>
      <w:r>
        <w:rPr>
          <w:sz w:val="24"/>
          <w:szCs w:val="20"/>
        </w:rPr>
        <w:t>60%</w:t>
      </w:r>
      <w:r>
        <w:rPr>
          <w:rFonts w:hint="eastAsia"/>
          <w:sz w:val="24"/>
          <w:szCs w:val="20"/>
        </w:rPr>
        <w:t>。</w:t>
      </w:r>
    </w:p>
    <w:p w14:paraId="6FEF9FD8" w14:textId="77777777" w:rsidR="005A043F" w:rsidRDefault="0029200C">
      <w:pPr>
        <w:spacing w:line="360" w:lineRule="auto"/>
        <w:ind w:firstLineChars="200" w:firstLine="480"/>
        <w:rPr>
          <w:sz w:val="24"/>
          <w:szCs w:val="20"/>
        </w:rPr>
      </w:pPr>
      <w:r>
        <w:rPr>
          <w:rFonts w:hint="eastAsia"/>
          <w:sz w:val="24"/>
          <w:szCs w:val="20"/>
        </w:rPr>
        <w:t>如法律法规或监管机构变更上述投资品种的比例限制，以变更后的比例为准，本基金的投资比例将做相应调整。</w:t>
      </w:r>
    </w:p>
    <w:p w14:paraId="56D4166E" w14:textId="77777777" w:rsidR="005A043F" w:rsidRDefault="0029200C">
      <w:pPr>
        <w:spacing w:line="360" w:lineRule="auto"/>
        <w:ind w:firstLineChars="200" w:firstLine="480"/>
        <w:rPr>
          <w:rFonts w:ascii="宋体" w:hAnsi="宋体"/>
          <w:sz w:val="24"/>
        </w:rPr>
      </w:pPr>
      <w:r>
        <w:rPr>
          <w:rFonts w:ascii="宋体" w:hAnsi="宋体" w:hint="eastAsia"/>
          <w:sz w:val="24"/>
        </w:rPr>
        <w:t>（2）根据法律法规的规定及《基金合同》的约定，本基金投资组合遵循以下投资限制：</w:t>
      </w:r>
    </w:p>
    <w:p w14:paraId="216D68A2" w14:textId="1A9AEBE6" w:rsidR="005A043F" w:rsidRDefault="0029200C">
      <w:pPr>
        <w:spacing w:line="360" w:lineRule="auto"/>
        <w:ind w:firstLineChars="200" w:firstLine="480"/>
        <w:rPr>
          <w:bCs/>
          <w:color w:val="000000"/>
          <w:sz w:val="24"/>
        </w:rPr>
      </w:pPr>
      <w:r>
        <w:rPr>
          <w:rFonts w:hint="eastAsia"/>
          <w:bCs/>
          <w:color w:val="000000"/>
          <w:sz w:val="24"/>
        </w:rPr>
        <w:t>1</w:t>
      </w:r>
      <w:r>
        <w:rPr>
          <w:rFonts w:hint="eastAsia"/>
          <w:bCs/>
          <w:color w:val="000000"/>
          <w:sz w:val="24"/>
        </w:rPr>
        <w:t>）本基金投资于权益类资产、可转换债券和可交换债券合计占基金资产的比例为</w:t>
      </w:r>
      <w:r>
        <w:rPr>
          <w:rFonts w:hint="eastAsia"/>
          <w:bCs/>
          <w:color w:val="000000"/>
          <w:sz w:val="24"/>
        </w:rPr>
        <w:t>10</w:t>
      </w:r>
      <w:r>
        <w:rPr>
          <w:bCs/>
          <w:color w:val="000000"/>
          <w:sz w:val="24"/>
        </w:rPr>
        <w:t>%</w:t>
      </w:r>
      <w:r>
        <w:rPr>
          <w:rFonts w:hint="eastAsia"/>
          <w:bCs/>
          <w:color w:val="000000"/>
          <w:sz w:val="24"/>
        </w:rPr>
        <w:t>-30%</w:t>
      </w:r>
      <w:r>
        <w:rPr>
          <w:rFonts w:hint="eastAsia"/>
          <w:bCs/>
          <w:color w:val="000000"/>
          <w:sz w:val="24"/>
        </w:rPr>
        <w:t>，</w:t>
      </w:r>
      <w:r>
        <w:rPr>
          <w:rFonts w:hint="eastAsia"/>
          <w:sz w:val="24"/>
        </w:rPr>
        <w:t>其中投资于境内股票资产（含</w:t>
      </w:r>
      <w:r>
        <w:rPr>
          <w:rFonts w:hint="eastAsia"/>
          <w:bCs/>
          <w:color w:val="000000"/>
          <w:sz w:val="24"/>
        </w:rPr>
        <w:t>A</w:t>
      </w:r>
      <w:r>
        <w:rPr>
          <w:rFonts w:hint="eastAsia"/>
          <w:bCs/>
          <w:color w:val="000000"/>
          <w:sz w:val="24"/>
        </w:rPr>
        <w:t>股</w:t>
      </w:r>
      <w:r>
        <w:rPr>
          <w:rFonts w:hint="eastAsia"/>
          <w:bCs/>
          <w:color w:val="000000"/>
          <w:sz w:val="24"/>
        </w:rPr>
        <w:t>E</w:t>
      </w:r>
      <w:r>
        <w:rPr>
          <w:bCs/>
          <w:color w:val="000000"/>
          <w:sz w:val="24"/>
        </w:rPr>
        <w:t>TF</w:t>
      </w:r>
      <w:r>
        <w:rPr>
          <w:rFonts w:hint="eastAsia"/>
          <w:bCs/>
          <w:color w:val="000000"/>
          <w:sz w:val="24"/>
        </w:rPr>
        <w:t>）</w:t>
      </w:r>
      <w:r>
        <w:rPr>
          <w:rFonts w:hint="eastAsia"/>
          <w:sz w:val="24"/>
        </w:rPr>
        <w:t>的比例合计不低于基金资产的</w:t>
      </w:r>
      <w:r>
        <w:rPr>
          <w:rFonts w:hint="eastAsia"/>
          <w:sz w:val="24"/>
        </w:rPr>
        <w:t>10%</w:t>
      </w:r>
      <w:r>
        <w:rPr>
          <w:rFonts w:hint="eastAsia"/>
          <w:bCs/>
          <w:color w:val="000000"/>
          <w:sz w:val="24"/>
        </w:rPr>
        <w:t>；本基金投资于港股通标的股票的比例占股票资产的</w:t>
      </w:r>
      <w:r>
        <w:rPr>
          <w:rFonts w:hint="eastAsia"/>
          <w:bCs/>
          <w:color w:val="000000"/>
          <w:sz w:val="24"/>
        </w:rPr>
        <w:t>0-50%</w:t>
      </w:r>
      <w:r>
        <w:rPr>
          <w:rFonts w:hint="eastAsia"/>
          <w:bCs/>
          <w:color w:val="000000"/>
          <w:sz w:val="24"/>
        </w:rPr>
        <w:t>；</w:t>
      </w:r>
    </w:p>
    <w:p w14:paraId="12F3AF70" w14:textId="4458A202" w:rsidR="005A043F" w:rsidRDefault="0029200C">
      <w:pPr>
        <w:spacing w:line="360" w:lineRule="auto"/>
        <w:ind w:firstLineChars="200" w:firstLine="480"/>
        <w:rPr>
          <w:bCs/>
          <w:color w:val="000000"/>
          <w:sz w:val="24"/>
        </w:rPr>
      </w:pPr>
      <w:r>
        <w:rPr>
          <w:bCs/>
          <w:color w:val="000000"/>
          <w:sz w:val="24"/>
        </w:rPr>
        <w:t>2</w:t>
      </w:r>
      <w:r>
        <w:rPr>
          <w:rFonts w:hint="eastAsia"/>
          <w:bCs/>
          <w:color w:val="000000"/>
          <w:sz w:val="24"/>
        </w:rPr>
        <w:t>）本基金投资于同业存单的比例不超过基金资产的</w:t>
      </w:r>
      <w:r>
        <w:rPr>
          <w:rFonts w:hint="eastAsia"/>
          <w:bCs/>
          <w:color w:val="000000"/>
          <w:sz w:val="24"/>
        </w:rPr>
        <w:t>20%</w:t>
      </w:r>
      <w:r>
        <w:rPr>
          <w:rFonts w:hint="eastAsia"/>
          <w:bCs/>
          <w:color w:val="000000"/>
          <w:sz w:val="24"/>
        </w:rPr>
        <w:t>；</w:t>
      </w:r>
    </w:p>
    <w:p w14:paraId="299E1F0D" w14:textId="174BFD32" w:rsidR="005A043F" w:rsidRDefault="0029200C">
      <w:pPr>
        <w:spacing w:line="360" w:lineRule="auto"/>
        <w:ind w:firstLineChars="200" w:firstLine="480"/>
        <w:rPr>
          <w:bCs/>
          <w:color w:val="000000"/>
          <w:sz w:val="24"/>
        </w:rPr>
      </w:pPr>
      <w:r>
        <w:rPr>
          <w:rFonts w:hint="eastAsia"/>
          <w:bCs/>
          <w:color w:val="000000"/>
          <w:sz w:val="24"/>
        </w:rPr>
        <w:t>3</w:t>
      </w:r>
      <w:r>
        <w:rPr>
          <w:rFonts w:hint="eastAsia"/>
          <w:bCs/>
          <w:color w:val="000000"/>
          <w:sz w:val="24"/>
        </w:rPr>
        <w:t>）本基金应当保持不低于基金资产净值</w:t>
      </w:r>
      <w:r>
        <w:rPr>
          <w:rFonts w:hint="eastAsia"/>
          <w:bCs/>
          <w:color w:val="000000"/>
          <w:sz w:val="24"/>
        </w:rPr>
        <w:t>5</w:t>
      </w:r>
      <w:r>
        <w:rPr>
          <w:rFonts w:hint="eastAsia"/>
          <w:bCs/>
          <w:color w:val="000000"/>
          <w:sz w:val="24"/>
        </w:rPr>
        <w:t>％的现金或者到期日在一年以内的政府债券，其中现金不包括结算备付金、存出保证金和应收申购款等；</w:t>
      </w:r>
    </w:p>
    <w:p w14:paraId="3219F484" w14:textId="593D322B" w:rsidR="005A043F" w:rsidRDefault="0029200C">
      <w:pPr>
        <w:spacing w:line="360" w:lineRule="auto"/>
        <w:ind w:firstLineChars="200" w:firstLine="480"/>
        <w:rPr>
          <w:bCs/>
          <w:color w:val="000000"/>
          <w:sz w:val="24"/>
        </w:rPr>
      </w:pPr>
      <w:r>
        <w:rPr>
          <w:rFonts w:hint="eastAsia"/>
          <w:bCs/>
          <w:color w:val="000000"/>
          <w:sz w:val="24"/>
        </w:rPr>
        <w:t>4</w:t>
      </w:r>
      <w:r>
        <w:rPr>
          <w:rFonts w:hint="eastAsia"/>
          <w:bCs/>
          <w:color w:val="000000"/>
          <w:sz w:val="24"/>
        </w:rPr>
        <w:t>）本基金持有一家公司发行的证券（不含本基金所投资的基金份额），其市值不超过基金资产净值的</w:t>
      </w:r>
      <w:r>
        <w:rPr>
          <w:rFonts w:hint="eastAsia"/>
          <w:bCs/>
          <w:color w:val="000000"/>
          <w:sz w:val="24"/>
        </w:rPr>
        <w:t>10</w:t>
      </w:r>
      <w:r>
        <w:rPr>
          <w:rFonts w:hint="eastAsia"/>
          <w:bCs/>
          <w:color w:val="000000"/>
          <w:sz w:val="24"/>
        </w:rPr>
        <w:t>％；</w:t>
      </w:r>
    </w:p>
    <w:p w14:paraId="28C627AC" w14:textId="1BBA6EA5" w:rsidR="005A043F" w:rsidRDefault="0029200C">
      <w:pPr>
        <w:spacing w:line="360" w:lineRule="auto"/>
        <w:ind w:firstLineChars="200" w:firstLine="480"/>
        <w:rPr>
          <w:bCs/>
          <w:color w:val="000000"/>
          <w:sz w:val="24"/>
        </w:rPr>
      </w:pPr>
      <w:r>
        <w:rPr>
          <w:rFonts w:hint="eastAsia"/>
          <w:bCs/>
          <w:color w:val="000000"/>
          <w:sz w:val="24"/>
        </w:rPr>
        <w:lastRenderedPageBreak/>
        <w:t>5</w:t>
      </w:r>
      <w:r>
        <w:rPr>
          <w:rFonts w:hint="eastAsia"/>
          <w:bCs/>
          <w:color w:val="000000"/>
          <w:sz w:val="24"/>
        </w:rPr>
        <w:t>）本基金管理人管理的全部基金持有一家公司发行的证券（不含本基金所投资的基金份额），不超过该证券的</w:t>
      </w:r>
      <w:r>
        <w:rPr>
          <w:rFonts w:hint="eastAsia"/>
          <w:bCs/>
          <w:color w:val="000000"/>
          <w:sz w:val="24"/>
        </w:rPr>
        <w:t>10</w:t>
      </w:r>
      <w:r>
        <w:rPr>
          <w:rFonts w:hint="eastAsia"/>
          <w:bCs/>
          <w:color w:val="000000"/>
          <w:sz w:val="24"/>
        </w:rPr>
        <w:t>％；</w:t>
      </w:r>
    </w:p>
    <w:p w14:paraId="54ECC268" w14:textId="5A336D4E" w:rsidR="005A043F" w:rsidRDefault="0029200C">
      <w:pPr>
        <w:spacing w:line="360" w:lineRule="auto"/>
        <w:ind w:firstLineChars="200" w:firstLine="480"/>
        <w:rPr>
          <w:bCs/>
          <w:color w:val="000000"/>
          <w:sz w:val="24"/>
        </w:rPr>
      </w:pPr>
      <w:r>
        <w:rPr>
          <w:rFonts w:hint="eastAsia"/>
          <w:bCs/>
          <w:color w:val="000000"/>
          <w:sz w:val="24"/>
        </w:rPr>
        <w:t>6</w:t>
      </w:r>
      <w:r>
        <w:rPr>
          <w:rFonts w:hint="eastAsia"/>
          <w:bCs/>
          <w:color w:val="000000"/>
          <w:sz w:val="24"/>
        </w:rPr>
        <w:t>）本基金投资于同一原始权益人的各类资产支持证券的比例，不得超过基金资产净值的</w:t>
      </w:r>
      <w:r>
        <w:rPr>
          <w:rFonts w:hint="eastAsia"/>
          <w:bCs/>
          <w:color w:val="000000"/>
          <w:sz w:val="24"/>
        </w:rPr>
        <w:t>10</w:t>
      </w:r>
      <w:r>
        <w:rPr>
          <w:rFonts w:hint="eastAsia"/>
          <w:bCs/>
          <w:color w:val="000000"/>
          <w:sz w:val="24"/>
        </w:rPr>
        <w:t>％；</w:t>
      </w:r>
    </w:p>
    <w:p w14:paraId="19EAF037" w14:textId="01F5407A" w:rsidR="005A043F" w:rsidRDefault="0029200C">
      <w:pPr>
        <w:spacing w:line="360" w:lineRule="auto"/>
        <w:ind w:firstLineChars="200" w:firstLine="480"/>
        <w:rPr>
          <w:bCs/>
          <w:color w:val="000000"/>
          <w:sz w:val="24"/>
        </w:rPr>
      </w:pPr>
      <w:r>
        <w:rPr>
          <w:rFonts w:hint="eastAsia"/>
          <w:bCs/>
          <w:color w:val="000000"/>
          <w:sz w:val="24"/>
        </w:rPr>
        <w:t>7</w:t>
      </w:r>
      <w:r>
        <w:rPr>
          <w:rFonts w:hint="eastAsia"/>
          <w:bCs/>
          <w:color w:val="000000"/>
          <w:sz w:val="24"/>
        </w:rPr>
        <w:t>）本基金持有的全部资产支持证券，其市值不得超过基金资产净值的</w:t>
      </w:r>
      <w:r>
        <w:rPr>
          <w:rFonts w:hint="eastAsia"/>
          <w:bCs/>
          <w:color w:val="000000"/>
          <w:sz w:val="24"/>
        </w:rPr>
        <w:t>20</w:t>
      </w:r>
      <w:r>
        <w:rPr>
          <w:rFonts w:hint="eastAsia"/>
          <w:bCs/>
          <w:color w:val="000000"/>
          <w:sz w:val="24"/>
        </w:rPr>
        <w:t>％；</w:t>
      </w:r>
    </w:p>
    <w:p w14:paraId="650E3F0D" w14:textId="38B73474" w:rsidR="005A043F" w:rsidRDefault="0029200C">
      <w:pPr>
        <w:spacing w:line="360" w:lineRule="auto"/>
        <w:ind w:firstLineChars="200" w:firstLine="480"/>
        <w:rPr>
          <w:bCs/>
          <w:color w:val="000000"/>
          <w:sz w:val="24"/>
        </w:rPr>
      </w:pPr>
      <w:r>
        <w:rPr>
          <w:rFonts w:hint="eastAsia"/>
          <w:bCs/>
          <w:color w:val="000000"/>
          <w:sz w:val="24"/>
        </w:rPr>
        <w:t>8</w:t>
      </w:r>
      <w:r>
        <w:rPr>
          <w:rFonts w:hint="eastAsia"/>
          <w:bCs/>
          <w:color w:val="000000"/>
          <w:sz w:val="24"/>
        </w:rPr>
        <w:t>）本基金持有的同一（指同一信用级别）资产支持证券的比例，不得超过该资产支持证券规模的</w:t>
      </w:r>
      <w:r>
        <w:rPr>
          <w:rFonts w:hint="eastAsia"/>
          <w:bCs/>
          <w:color w:val="000000"/>
          <w:sz w:val="24"/>
        </w:rPr>
        <w:t>10</w:t>
      </w:r>
      <w:r>
        <w:rPr>
          <w:rFonts w:hint="eastAsia"/>
          <w:bCs/>
          <w:color w:val="000000"/>
          <w:sz w:val="24"/>
        </w:rPr>
        <w:t>％；</w:t>
      </w:r>
    </w:p>
    <w:p w14:paraId="6E95C417" w14:textId="67641F75" w:rsidR="005A043F" w:rsidRDefault="0029200C">
      <w:pPr>
        <w:spacing w:line="360" w:lineRule="auto"/>
        <w:ind w:firstLineChars="200" w:firstLine="480"/>
        <w:rPr>
          <w:bCs/>
          <w:color w:val="000000"/>
          <w:sz w:val="24"/>
        </w:rPr>
      </w:pPr>
      <w:r>
        <w:rPr>
          <w:rFonts w:hint="eastAsia"/>
          <w:bCs/>
          <w:color w:val="000000"/>
          <w:sz w:val="24"/>
        </w:rPr>
        <w:t>9</w:t>
      </w:r>
      <w:r>
        <w:rPr>
          <w:rFonts w:hint="eastAsia"/>
          <w:bCs/>
          <w:color w:val="000000"/>
          <w:sz w:val="24"/>
        </w:rPr>
        <w:t>）本基金管理人管理的全部基金投资于同一原始权益人的各类资产支持证券，不得超过其各类资产支持证券合计规模的</w:t>
      </w:r>
      <w:r>
        <w:rPr>
          <w:rFonts w:hint="eastAsia"/>
          <w:bCs/>
          <w:color w:val="000000"/>
          <w:sz w:val="24"/>
        </w:rPr>
        <w:t>10</w:t>
      </w:r>
      <w:r>
        <w:rPr>
          <w:rFonts w:hint="eastAsia"/>
          <w:bCs/>
          <w:color w:val="000000"/>
          <w:sz w:val="24"/>
        </w:rPr>
        <w:t>％；</w:t>
      </w:r>
    </w:p>
    <w:p w14:paraId="0290958E" w14:textId="0717A9C4" w:rsidR="005A043F" w:rsidRDefault="0029200C">
      <w:pPr>
        <w:spacing w:line="360" w:lineRule="auto"/>
        <w:ind w:firstLineChars="200" w:firstLine="480"/>
        <w:rPr>
          <w:bCs/>
          <w:color w:val="000000"/>
          <w:sz w:val="24"/>
        </w:rPr>
      </w:pPr>
      <w:r>
        <w:rPr>
          <w:rFonts w:hint="eastAsia"/>
          <w:bCs/>
          <w:color w:val="000000"/>
          <w:sz w:val="24"/>
        </w:rPr>
        <w:t>10</w:t>
      </w:r>
      <w:r>
        <w:rPr>
          <w:rFonts w:hint="eastAsia"/>
          <w:bCs/>
          <w:color w:val="000000"/>
          <w:sz w:val="24"/>
        </w:rPr>
        <w:t>）基金财产参与股票发行申购，本基金所申报的金额不超过本基金的总资产，本基金所申报的股票数量不超过拟发行股票公司本次发行股票的总量；</w:t>
      </w:r>
    </w:p>
    <w:p w14:paraId="6BA000F8" w14:textId="27495091" w:rsidR="005A043F" w:rsidRDefault="0029200C">
      <w:pPr>
        <w:spacing w:line="360" w:lineRule="auto"/>
        <w:ind w:firstLineChars="200" w:firstLine="480"/>
        <w:rPr>
          <w:bCs/>
          <w:color w:val="000000"/>
          <w:sz w:val="24"/>
        </w:rPr>
      </w:pPr>
      <w:r>
        <w:rPr>
          <w:bCs/>
          <w:color w:val="000000"/>
          <w:sz w:val="24"/>
        </w:rPr>
        <w:t>11</w:t>
      </w:r>
      <w:r>
        <w:rPr>
          <w:rFonts w:hint="eastAsia"/>
          <w:bCs/>
          <w:color w:val="000000"/>
          <w:sz w:val="24"/>
        </w:rPr>
        <w:t>）本基金</w:t>
      </w:r>
      <w:proofErr w:type="gramStart"/>
      <w:r>
        <w:rPr>
          <w:rFonts w:hint="eastAsia"/>
          <w:bCs/>
          <w:color w:val="000000"/>
          <w:sz w:val="24"/>
        </w:rPr>
        <w:t>若参</w:t>
      </w:r>
      <w:proofErr w:type="gramEnd"/>
      <w:r>
        <w:rPr>
          <w:rFonts w:hint="eastAsia"/>
          <w:bCs/>
          <w:color w:val="000000"/>
          <w:sz w:val="24"/>
        </w:rPr>
        <w:t>与股指期货交易，应当符合下列投资限制：</w:t>
      </w:r>
    </w:p>
    <w:p w14:paraId="74522D71" w14:textId="77777777" w:rsidR="005A043F" w:rsidRDefault="0029200C">
      <w:pPr>
        <w:spacing w:line="360" w:lineRule="auto"/>
        <w:ind w:firstLineChars="200" w:firstLine="480"/>
        <w:rPr>
          <w:bCs/>
          <w:color w:val="000000"/>
          <w:sz w:val="24"/>
        </w:rPr>
      </w:pPr>
      <w:r>
        <w:rPr>
          <w:rFonts w:hint="eastAsia"/>
          <w:bCs/>
          <w:color w:val="000000"/>
          <w:sz w:val="24"/>
        </w:rPr>
        <w:t>①本基金在任何交易日日终，持有的买入股指期货合约价值，不得超过基金资产净值的</w:t>
      </w:r>
      <w:r>
        <w:rPr>
          <w:rFonts w:hint="eastAsia"/>
          <w:bCs/>
          <w:color w:val="000000"/>
          <w:sz w:val="24"/>
        </w:rPr>
        <w:t>10%</w:t>
      </w:r>
      <w:r>
        <w:rPr>
          <w:rFonts w:hint="eastAsia"/>
          <w:bCs/>
          <w:color w:val="000000"/>
          <w:sz w:val="24"/>
        </w:rPr>
        <w:t>；</w:t>
      </w:r>
    </w:p>
    <w:p w14:paraId="0FA631EE" w14:textId="77777777" w:rsidR="005A043F" w:rsidRDefault="0029200C">
      <w:pPr>
        <w:spacing w:line="360" w:lineRule="auto"/>
        <w:ind w:firstLineChars="200" w:firstLine="480"/>
        <w:rPr>
          <w:bCs/>
          <w:color w:val="000000"/>
          <w:sz w:val="24"/>
        </w:rPr>
      </w:pPr>
      <w:r>
        <w:rPr>
          <w:rFonts w:hint="eastAsia"/>
          <w:bCs/>
          <w:color w:val="000000"/>
          <w:sz w:val="24"/>
        </w:rPr>
        <w:t>②每个交易日日终在扣除股指期货合约和国债期货合约需缴纳的交易保证金后，应当保持不低于基金资产净值的</w:t>
      </w:r>
      <w:r>
        <w:rPr>
          <w:rFonts w:hint="eastAsia"/>
          <w:bCs/>
          <w:color w:val="000000"/>
          <w:sz w:val="24"/>
        </w:rPr>
        <w:t>5%</w:t>
      </w:r>
      <w:r>
        <w:rPr>
          <w:rFonts w:hint="eastAsia"/>
          <w:bCs/>
          <w:color w:val="000000"/>
          <w:sz w:val="24"/>
        </w:rPr>
        <w:t>的现金或到期日在一年以内的政府债券，其中现金不包括结算备付金、存出保证金、应收申购款等；</w:t>
      </w:r>
    </w:p>
    <w:p w14:paraId="75D61DE5" w14:textId="77777777" w:rsidR="005A043F" w:rsidRDefault="0029200C">
      <w:pPr>
        <w:spacing w:line="360" w:lineRule="auto"/>
        <w:ind w:firstLineChars="200" w:firstLine="480"/>
        <w:rPr>
          <w:bCs/>
          <w:color w:val="000000"/>
          <w:sz w:val="24"/>
        </w:rPr>
      </w:pPr>
      <w:r>
        <w:rPr>
          <w:rFonts w:hint="eastAsia"/>
          <w:bCs/>
          <w:color w:val="000000"/>
          <w:sz w:val="24"/>
        </w:rPr>
        <w:t>③本基金在任何交易日日终，持有的买入股指期货、国债期货合约价值与有价证券市值之和，不得超过基金资产净值的</w:t>
      </w:r>
      <w:r>
        <w:rPr>
          <w:rFonts w:hint="eastAsia"/>
          <w:bCs/>
          <w:color w:val="000000"/>
          <w:sz w:val="24"/>
        </w:rPr>
        <w:t>95%</w:t>
      </w:r>
      <w:r>
        <w:rPr>
          <w:rFonts w:hint="eastAsia"/>
          <w:bCs/>
          <w:color w:val="000000"/>
          <w:sz w:val="24"/>
        </w:rPr>
        <w:t>；</w:t>
      </w:r>
    </w:p>
    <w:p w14:paraId="3245E15D" w14:textId="77777777" w:rsidR="005A043F" w:rsidRDefault="0029200C">
      <w:pPr>
        <w:spacing w:line="360" w:lineRule="auto"/>
        <w:ind w:firstLineChars="200" w:firstLine="480"/>
        <w:rPr>
          <w:bCs/>
          <w:color w:val="000000"/>
          <w:sz w:val="24"/>
        </w:rPr>
      </w:pPr>
      <w:r>
        <w:rPr>
          <w:rFonts w:hint="eastAsia"/>
          <w:bCs/>
          <w:color w:val="000000"/>
          <w:sz w:val="24"/>
        </w:rPr>
        <w:t>其中，有价证券指股票、债券（不含到期日在一年以内的政府债券）、资产支持证券、买入返售金融资产（不含质押式回购）等；</w:t>
      </w:r>
    </w:p>
    <w:p w14:paraId="3DE37A56" w14:textId="77777777" w:rsidR="005A043F" w:rsidRDefault="0029200C">
      <w:pPr>
        <w:spacing w:line="360" w:lineRule="auto"/>
        <w:ind w:firstLineChars="200" w:firstLine="480"/>
        <w:rPr>
          <w:bCs/>
          <w:color w:val="000000"/>
          <w:sz w:val="24"/>
        </w:rPr>
      </w:pPr>
      <w:r>
        <w:rPr>
          <w:rFonts w:hint="eastAsia"/>
          <w:bCs/>
          <w:color w:val="000000"/>
          <w:sz w:val="24"/>
        </w:rPr>
        <w:t>④本基金在任何交易日日终，持有的卖出股指期货合约价值不得超过基金持有的股票总市值的</w:t>
      </w:r>
      <w:r>
        <w:rPr>
          <w:rFonts w:hint="eastAsia"/>
          <w:bCs/>
          <w:color w:val="000000"/>
          <w:sz w:val="24"/>
        </w:rPr>
        <w:t>20%</w:t>
      </w:r>
      <w:r>
        <w:rPr>
          <w:rFonts w:hint="eastAsia"/>
          <w:bCs/>
          <w:color w:val="000000"/>
          <w:sz w:val="24"/>
        </w:rPr>
        <w:t>；</w:t>
      </w:r>
    </w:p>
    <w:p w14:paraId="5AD90F01" w14:textId="77777777" w:rsidR="005A043F" w:rsidRDefault="0029200C">
      <w:pPr>
        <w:spacing w:line="360" w:lineRule="auto"/>
        <w:ind w:firstLineChars="200" w:firstLine="480"/>
        <w:rPr>
          <w:bCs/>
          <w:color w:val="000000"/>
          <w:sz w:val="24"/>
        </w:rPr>
      </w:pPr>
      <w:r>
        <w:rPr>
          <w:rFonts w:hint="eastAsia"/>
          <w:bCs/>
          <w:color w:val="000000"/>
          <w:sz w:val="24"/>
        </w:rPr>
        <w:t>⑤本基金所持有的股票市值和买入、卖出股指期货合约价值，合计（轧差计算）应当符合基金合同关于股票投资比例的有关规定；</w:t>
      </w:r>
    </w:p>
    <w:p w14:paraId="54218A6E" w14:textId="77777777" w:rsidR="005A043F" w:rsidRDefault="0029200C">
      <w:pPr>
        <w:spacing w:line="360" w:lineRule="auto"/>
        <w:ind w:firstLineChars="200" w:firstLine="480"/>
        <w:rPr>
          <w:bCs/>
          <w:color w:val="000000"/>
          <w:sz w:val="24"/>
        </w:rPr>
      </w:pPr>
      <w:r>
        <w:rPr>
          <w:rFonts w:hint="eastAsia"/>
          <w:bCs/>
          <w:color w:val="000000"/>
          <w:sz w:val="24"/>
        </w:rPr>
        <w:lastRenderedPageBreak/>
        <w:t>⑥本基金在任何交易日内交易（不包括平仓）的股指期货合约的成交金额不得超过上一交易日基金资产净值的</w:t>
      </w:r>
      <w:r>
        <w:rPr>
          <w:rFonts w:hint="eastAsia"/>
          <w:bCs/>
          <w:color w:val="000000"/>
          <w:sz w:val="24"/>
        </w:rPr>
        <w:t>20%</w:t>
      </w:r>
      <w:r>
        <w:rPr>
          <w:rFonts w:hint="eastAsia"/>
          <w:bCs/>
          <w:color w:val="000000"/>
          <w:sz w:val="24"/>
        </w:rPr>
        <w:t>；</w:t>
      </w:r>
    </w:p>
    <w:p w14:paraId="25C87B79" w14:textId="661474B9" w:rsidR="005A043F" w:rsidRDefault="0029200C">
      <w:pPr>
        <w:spacing w:line="360" w:lineRule="auto"/>
        <w:ind w:firstLineChars="200" w:firstLine="480"/>
        <w:rPr>
          <w:bCs/>
          <w:color w:val="000000"/>
          <w:sz w:val="24"/>
        </w:rPr>
      </w:pPr>
      <w:r>
        <w:rPr>
          <w:bCs/>
          <w:color w:val="000000"/>
          <w:sz w:val="24"/>
        </w:rPr>
        <w:t>12</w:t>
      </w:r>
      <w:r>
        <w:rPr>
          <w:rFonts w:hint="eastAsia"/>
          <w:bCs/>
          <w:color w:val="000000"/>
          <w:sz w:val="24"/>
        </w:rPr>
        <w:t>）本基金</w:t>
      </w:r>
      <w:proofErr w:type="gramStart"/>
      <w:r>
        <w:rPr>
          <w:rFonts w:hint="eastAsia"/>
          <w:bCs/>
          <w:color w:val="000000"/>
          <w:sz w:val="24"/>
        </w:rPr>
        <w:t>若参</w:t>
      </w:r>
      <w:proofErr w:type="gramEnd"/>
      <w:r>
        <w:rPr>
          <w:rFonts w:hint="eastAsia"/>
          <w:bCs/>
          <w:color w:val="000000"/>
          <w:sz w:val="24"/>
        </w:rPr>
        <w:t>与国债期货交易，应当符合下列投资限制：</w:t>
      </w:r>
    </w:p>
    <w:p w14:paraId="17359ECF" w14:textId="77777777" w:rsidR="005A043F" w:rsidRDefault="0029200C">
      <w:pPr>
        <w:spacing w:line="360" w:lineRule="auto"/>
        <w:ind w:firstLineChars="200" w:firstLine="480"/>
        <w:rPr>
          <w:bCs/>
          <w:color w:val="000000"/>
          <w:sz w:val="24"/>
        </w:rPr>
      </w:pPr>
      <w:r>
        <w:rPr>
          <w:rFonts w:hint="eastAsia"/>
          <w:bCs/>
          <w:color w:val="000000"/>
          <w:sz w:val="24"/>
        </w:rPr>
        <w:t>①本基金在任何交易日日终，持有的买入国债期货合约价值，不得超过基金资产净值的</w:t>
      </w:r>
      <w:r>
        <w:rPr>
          <w:rFonts w:hint="eastAsia"/>
          <w:bCs/>
          <w:color w:val="000000"/>
          <w:sz w:val="24"/>
        </w:rPr>
        <w:t>15%</w:t>
      </w:r>
      <w:r>
        <w:rPr>
          <w:rFonts w:hint="eastAsia"/>
          <w:bCs/>
          <w:color w:val="000000"/>
          <w:sz w:val="24"/>
        </w:rPr>
        <w:t>；</w:t>
      </w:r>
    </w:p>
    <w:p w14:paraId="7F1A3A78" w14:textId="77777777" w:rsidR="005A043F" w:rsidRDefault="0029200C">
      <w:pPr>
        <w:spacing w:line="360" w:lineRule="auto"/>
        <w:ind w:firstLineChars="200" w:firstLine="480"/>
        <w:rPr>
          <w:bCs/>
          <w:color w:val="000000"/>
          <w:sz w:val="24"/>
        </w:rPr>
      </w:pPr>
      <w:r>
        <w:rPr>
          <w:rFonts w:hint="eastAsia"/>
          <w:bCs/>
          <w:color w:val="000000"/>
          <w:sz w:val="24"/>
        </w:rPr>
        <w:t>②每个交易日日终在扣除股指期货合约和国债期货合约需缴纳的交易保证金后，应当保持不低于基金资产净值的</w:t>
      </w:r>
      <w:r>
        <w:rPr>
          <w:rFonts w:hint="eastAsia"/>
          <w:bCs/>
          <w:color w:val="000000"/>
          <w:sz w:val="24"/>
        </w:rPr>
        <w:t>5%</w:t>
      </w:r>
      <w:r>
        <w:rPr>
          <w:rFonts w:hint="eastAsia"/>
          <w:bCs/>
          <w:color w:val="000000"/>
          <w:sz w:val="24"/>
        </w:rPr>
        <w:t>的现金或到期日在一年以内的政府债券，其中现金不包括结算备付金、存出保证金、应收申购款等；</w:t>
      </w:r>
    </w:p>
    <w:p w14:paraId="2C42148B" w14:textId="77777777" w:rsidR="005A043F" w:rsidRDefault="0029200C">
      <w:pPr>
        <w:spacing w:line="360" w:lineRule="auto"/>
        <w:ind w:firstLineChars="200" w:firstLine="480"/>
        <w:rPr>
          <w:bCs/>
          <w:color w:val="000000"/>
          <w:sz w:val="24"/>
        </w:rPr>
      </w:pPr>
      <w:r>
        <w:rPr>
          <w:rFonts w:hint="eastAsia"/>
          <w:bCs/>
          <w:color w:val="000000"/>
          <w:sz w:val="24"/>
        </w:rPr>
        <w:t>③本基金在任何交易日日终，持有的买入股指期货、国债期货合约价值与有价证券市值之和，不得超过基金资产净值的</w:t>
      </w:r>
      <w:r>
        <w:rPr>
          <w:rFonts w:hint="eastAsia"/>
          <w:bCs/>
          <w:color w:val="000000"/>
          <w:sz w:val="24"/>
        </w:rPr>
        <w:t>95%</w:t>
      </w:r>
      <w:r>
        <w:rPr>
          <w:rFonts w:hint="eastAsia"/>
          <w:bCs/>
          <w:color w:val="000000"/>
          <w:sz w:val="24"/>
        </w:rPr>
        <w:t>；</w:t>
      </w:r>
    </w:p>
    <w:p w14:paraId="7E1AD137" w14:textId="77777777" w:rsidR="005A043F" w:rsidRDefault="0029200C">
      <w:pPr>
        <w:spacing w:line="360" w:lineRule="auto"/>
        <w:ind w:firstLineChars="200" w:firstLine="480"/>
        <w:rPr>
          <w:bCs/>
          <w:color w:val="000000"/>
          <w:sz w:val="24"/>
        </w:rPr>
      </w:pPr>
      <w:r>
        <w:rPr>
          <w:rFonts w:hint="eastAsia"/>
          <w:bCs/>
          <w:color w:val="000000"/>
          <w:sz w:val="24"/>
        </w:rPr>
        <w:t>其中，有价证券指股票、债券（不含到期日在一年以内的政府债券）、资产支持证券、买入返售金融资产（不含质押式回购）等；</w:t>
      </w:r>
    </w:p>
    <w:p w14:paraId="65D91813" w14:textId="77777777" w:rsidR="005A043F" w:rsidRDefault="0029200C">
      <w:pPr>
        <w:spacing w:line="360" w:lineRule="auto"/>
        <w:ind w:firstLineChars="200" w:firstLine="480"/>
        <w:rPr>
          <w:bCs/>
          <w:color w:val="000000"/>
          <w:sz w:val="24"/>
        </w:rPr>
      </w:pPr>
      <w:r>
        <w:rPr>
          <w:rFonts w:hint="eastAsia"/>
          <w:bCs/>
          <w:color w:val="000000"/>
          <w:sz w:val="24"/>
        </w:rPr>
        <w:t>④本基金在任何交易日日终，持有的卖出国债期货合约价值不得超过基金持有的债券总市值的</w:t>
      </w:r>
      <w:r>
        <w:rPr>
          <w:rFonts w:hint="eastAsia"/>
          <w:bCs/>
          <w:color w:val="000000"/>
          <w:sz w:val="24"/>
        </w:rPr>
        <w:t>30%</w:t>
      </w:r>
      <w:r>
        <w:rPr>
          <w:rFonts w:hint="eastAsia"/>
          <w:bCs/>
          <w:color w:val="000000"/>
          <w:sz w:val="24"/>
        </w:rPr>
        <w:t>；</w:t>
      </w:r>
    </w:p>
    <w:p w14:paraId="547D7CB9" w14:textId="77777777" w:rsidR="005A043F" w:rsidRDefault="0029200C">
      <w:pPr>
        <w:spacing w:line="360" w:lineRule="auto"/>
        <w:ind w:firstLineChars="200" w:firstLine="480"/>
        <w:rPr>
          <w:bCs/>
          <w:color w:val="000000"/>
          <w:sz w:val="24"/>
        </w:rPr>
      </w:pPr>
      <w:r>
        <w:rPr>
          <w:rFonts w:hint="eastAsia"/>
          <w:bCs/>
          <w:color w:val="000000"/>
          <w:sz w:val="24"/>
        </w:rPr>
        <w:t>⑤本基金所持有的债券（不含到期日在一年以内的政府债券）市值和买入、卖出国债期货合约价值，合计（轧差计算）应当符合基金合同关于债券投资比例的有关约定；</w:t>
      </w:r>
    </w:p>
    <w:p w14:paraId="6D26ADA8" w14:textId="77777777" w:rsidR="005A043F" w:rsidRDefault="0029200C">
      <w:pPr>
        <w:spacing w:line="360" w:lineRule="auto"/>
        <w:ind w:firstLineChars="200" w:firstLine="480"/>
        <w:rPr>
          <w:bCs/>
          <w:color w:val="000000"/>
          <w:sz w:val="24"/>
        </w:rPr>
      </w:pPr>
      <w:r>
        <w:rPr>
          <w:rFonts w:hint="eastAsia"/>
          <w:bCs/>
          <w:color w:val="000000"/>
          <w:sz w:val="24"/>
        </w:rPr>
        <w:t>⑥本基金在任何交易日内交易（不包括平仓）的国债期货合约的成交金额不得超过上一交易日基金资产净值的</w:t>
      </w:r>
      <w:r>
        <w:rPr>
          <w:rFonts w:hint="eastAsia"/>
          <w:bCs/>
          <w:color w:val="000000"/>
          <w:sz w:val="24"/>
        </w:rPr>
        <w:t>30%</w:t>
      </w:r>
      <w:r>
        <w:rPr>
          <w:rFonts w:hint="eastAsia"/>
          <w:bCs/>
          <w:color w:val="000000"/>
          <w:sz w:val="24"/>
        </w:rPr>
        <w:t>；</w:t>
      </w:r>
    </w:p>
    <w:p w14:paraId="7FE0E7CF" w14:textId="5741C558" w:rsidR="005A043F" w:rsidRDefault="0029200C">
      <w:pPr>
        <w:spacing w:line="360" w:lineRule="auto"/>
        <w:ind w:firstLineChars="200" w:firstLine="480"/>
        <w:rPr>
          <w:bCs/>
          <w:color w:val="000000"/>
          <w:sz w:val="24"/>
        </w:rPr>
      </w:pPr>
      <w:r>
        <w:rPr>
          <w:bCs/>
          <w:color w:val="000000"/>
          <w:sz w:val="24"/>
        </w:rPr>
        <w:t>13</w:t>
      </w:r>
      <w:r>
        <w:rPr>
          <w:rFonts w:hint="eastAsia"/>
          <w:bCs/>
          <w:color w:val="000000"/>
          <w:sz w:val="24"/>
        </w:rPr>
        <w:t>）本基金</w:t>
      </w:r>
      <w:proofErr w:type="gramStart"/>
      <w:r>
        <w:rPr>
          <w:rFonts w:hint="eastAsia"/>
          <w:bCs/>
          <w:color w:val="000000"/>
          <w:sz w:val="24"/>
        </w:rPr>
        <w:t>若参</w:t>
      </w:r>
      <w:proofErr w:type="gramEnd"/>
      <w:r>
        <w:rPr>
          <w:rFonts w:hint="eastAsia"/>
          <w:bCs/>
          <w:color w:val="000000"/>
          <w:sz w:val="24"/>
        </w:rPr>
        <w:t>与股票期权交易的，需遵守下列投资比例限制：</w:t>
      </w:r>
    </w:p>
    <w:p w14:paraId="7229F20C" w14:textId="77777777" w:rsidR="005A043F" w:rsidRDefault="0029200C">
      <w:pPr>
        <w:spacing w:line="360" w:lineRule="auto"/>
        <w:ind w:firstLineChars="200" w:firstLine="480"/>
        <w:rPr>
          <w:bCs/>
          <w:color w:val="000000"/>
          <w:sz w:val="24"/>
        </w:rPr>
      </w:pPr>
      <w:r>
        <w:rPr>
          <w:rFonts w:hint="eastAsia"/>
          <w:bCs/>
          <w:color w:val="000000"/>
          <w:sz w:val="24"/>
        </w:rPr>
        <w:t>①本基金因未平仓的股票期权合约支付和收取的权利金总额不得超过基金资产净值的</w:t>
      </w:r>
      <w:r>
        <w:rPr>
          <w:rFonts w:hint="eastAsia"/>
          <w:bCs/>
          <w:color w:val="000000"/>
          <w:sz w:val="24"/>
        </w:rPr>
        <w:t>10%</w:t>
      </w:r>
      <w:r>
        <w:rPr>
          <w:rFonts w:hint="eastAsia"/>
          <w:bCs/>
          <w:color w:val="000000"/>
          <w:sz w:val="24"/>
        </w:rPr>
        <w:t>；</w:t>
      </w:r>
    </w:p>
    <w:p w14:paraId="4E37AE52" w14:textId="77777777" w:rsidR="005A043F" w:rsidRDefault="0029200C">
      <w:pPr>
        <w:spacing w:line="360" w:lineRule="auto"/>
        <w:ind w:firstLineChars="200" w:firstLine="480"/>
        <w:rPr>
          <w:bCs/>
          <w:color w:val="000000"/>
          <w:sz w:val="24"/>
        </w:rPr>
      </w:pPr>
      <w:r>
        <w:rPr>
          <w:rFonts w:hint="eastAsia"/>
          <w:bCs/>
          <w:color w:val="000000"/>
          <w:sz w:val="24"/>
        </w:rPr>
        <w:t>②本基金开仓卖出认购股票期权的，应持有足额标的证券；开仓卖出认</w:t>
      </w:r>
      <w:proofErr w:type="gramStart"/>
      <w:r>
        <w:rPr>
          <w:rFonts w:hint="eastAsia"/>
          <w:bCs/>
          <w:color w:val="000000"/>
          <w:sz w:val="24"/>
        </w:rPr>
        <w:t>沽股票</w:t>
      </w:r>
      <w:proofErr w:type="gramEnd"/>
      <w:r>
        <w:rPr>
          <w:rFonts w:hint="eastAsia"/>
          <w:bCs/>
          <w:color w:val="000000"/>
          <w:sz w:val="24"/>
        </w:rPr>
        <w:t>期权的，应持有合约行权所需的全额现金或交易所规则认可的可冲抵股票期权保证金的现金等价物；</w:t>
      </w:r>
    </w:p>
    <w:p w14:paraId="49275249" w14:textId="77777777" w:rsidR="005A043F" w:rsidRDefault="0029200C">
      <w:pPr>
        <w:spacing w:line="360" w:lineRule="auto"/>
        <w:ind w:firstLineChars="200" w:firstLine="480"/>
        <w:rPr>
          <w:bCs/>
          <w:color w:val="000000"/>
          <w:sz w:val="24"/>
        </w:rPr>
      </w:pPr>
      <w:r>
        <w:rPr>
          <w:rFonts w:hint="eastAsia"/>
          <w:bCs/>
          <w:color w:val="000000"/>
          <w:sz w:val="24"/>
        </w:rPr>
        <w:lastRenderedPageBreak/>
        <w:t>③本基金未平仓的股票期权合约面值不得超过基金资产净值的</w:t>
      </w:r>
      <w:r>
        <w:rPr>
          <w:rFonts w:hint="eastAsia"/>
          <w:bCs/>
          <w:color w:val="000000"/>
          <w:sz w:val="24"/>
        </w:rPr>
        <w:t>20%</w:t>
      </w:r>
      <w:r>
        <w:rPr>
          <w:rFonts w:hint="eastAsia"/>
          <w:bCs/>
          <w:color w:val="000000"/>
          <w:sz w:val="24"/>
        </w:rPr>
        <w:t>。其中，合约面值按照行权价乘以合约乘数计算；</w:t>
      </w:r>
    </w:p>
    <w:p w14:paraId="048C93D7" w14:textId="62AA0399" w:rsidR="005A043F" w:rsidRDefault="0029200C">
      <w:pPr>
        <w:spacing w:line="360" w:lineRule="auto"/>
        <w:ind w:firstLineChars="200" w:firstLine="480"/>
        <w:rPr>
          <w:bCs/>
          <w:color w:val="000000"/>
          <w:sz w:val="24"/>
        </w:rPr>
      </w:pPr>
      <w:r>
        <w:rPr>
          <w:bCs/>
          <w:color w:val="000000"/>
          <w:sz w:val="24"/>
        </w:rPr>
        <w:t>14</w:t>
      </w:r>
      <w:r>
        <w:rPr>
          <w:rFonts w:hint="eastAsia"/>
          <w:bCs/>
          <w:color w:val="000000"/>
          <w:sz w:val="24"/>
        </w:rPr>
        <w:t>）本基金</w:t>
      </w:r>
      <w:proofErr w:type="gramStart"/>
      <w:r>
        <w:rPr>
          <w:rFonts w:hint="eastAsia"/>
          <w:bCs/>
          <w:color w:val="000000"/>
          <w:sz w:val="24"/>
        </w:rPr>
        <w:t>不</w:t>
      </w:r>
      <w:proofErr w:type="gramEnd"/>
      <w:r>
        <w:rPr>
          <w:rFonts w:hint="eastAsia"/>
          <w:bCs/>
          <w:color w:val="000000"/>
          <w:sz w:val="24"/>
        </w:rPr>
        <w:t>持有具有信用保护卖方属性的信用衍生品；</w:t>
      </w:r>
      <w:proofErr w:type="gramStart"/>
      <w:r>
        <w:rPr>
          <w:rFonts w:hint="eastAsia"/>
          <w:bCs/>
          <w:color w:val="000000"/>
          <w:sz w:val="24"/>
        </w:rPr>
        <w:t>不</w:t>
      </w:r>
      <w:proofErr w:type="gramEnd"/>
      <w:r>
        <w:rPr>
          <w:rFonts w:hint="eastAsia"/>
          <w:bCs/>
          <w:color w:val="000000"/>
          <w:sz w:val="24"/>
        </w:rPr>
        <w:t>持有合约类信用衍生品；本基金持有的具有信用保护买方属性的信用衍生品名义本金，不得超过本基金中所对应受保护债券面值的</w:t>
      </w:r>
      <w:r>
        <w:rPr>
          <w:rFonts w:hint="eastAsia"/>
          <w:bCs/>
          <w:color w:val="000000"/>
          <w:sz w:val="24"/>
        </w:rPr>
        <w:t>100%</w:t>
      </w:r>
      <w:r>
        <w:rPr>
          <w:rFonts w:hint="eastAsia"/>
          <w:bCs/>
          <w:color w:val="000000"/>
          <w:sz w:val="24"/>
        </w:rPr>
        <w:t>；本基金投资于同一信用保护卖方的各类信用衍生品名义本金合计不得超过基金资产净值的</w:t>
      </w:r>
      <w:r>
        <w:rPr>
          <w:rFonts w:hint="eastAsia"/>
          <w:bCs/>
          <w:color w:val="000000"/>
          <w:sz w:val="24"/>
        </w:rPr>
        <w:t>10%</w:t>
      </w:r>
      <w:r>
        <w:rPr>
          <w:rFonts w:hint="eastAsia"/>
          <w:bCs/>
          <w:color w:val="000000"/>
          <w:sz w:val="24"/>
        </w:rPr>
        <w:t>；因证券</w:t>
      </w:r>
      <w:r>
        <w:rPr>
          <w:rFonts w:hint="eastAsia"/>
          <w:bCs/>
          <w:color w:val="000000"/>
          <w:sz w:val="24"/>
        </w:rPr>
        <w:t>/</w:t>
      </w:r>
      <w:r>
        <w:rPr>
          <w:rFonts w:hint="eastAsia"/>
          <w:bCs/>
          <w:color w:val="000000"/>
          <w:sz w:val="24"/>
        </w:rPr>
        <w:t>期货市场波动、证券发行人合并、基金规模变动等基金管理人之外的因素致使基金投资比例不符合上述规定投资比例的，基金管理人应当在</w:t>
      </w:r>
      <w:r>
        <w:rPr>
          <w:rFonts w:hint="eastAsia"/>
          <w:bCs/>
          <w:color w:val="000000"/>
          <w:sz w:val="24"/>
        </w:rPr>
        <w:t>3</w:t>
      </w:r>
      <w:r>
        <w:rPr>
          <w:rFonts w:hint="eastAsia"/>
          <w:bCs/>
          <w:color w:val="000000"/>
          <w:sz w:val="24"/>
        </w:rPr>
        <w:t>个月内进行调整；</w:t>
      </w:r>
    </w:p>
    <w:p w14:paraId="20104000" w14:textId="73AFB292" w:rsidR="005A043F" w:rsidRDefault="0029200C">
      <w:pPr>
        <w:spacing w:line="360" w:lineRule="auto"/>
        <w:ind w:firstLineChars="200" w:firstLine="480"/>
        <w:rPr>
          <w:bCs/>
          <w:color w:val="000000"/>
          <w:sz w:val="24"/>
        </w:rPr>
      </w:pPr>
      <w:r>
        <w:rPr>
          <w:bCs/>
          <w:color w:val="000000"/>
          <w:sz w:val="24"/>
        </w:rPr>
        <w:t>15</w:t>
      </w:r>
      <w:r>
        <w:rPr>
          <w:rFonts w:hint="eastAsia"/>
          <w:bCs/>
          <w:color w:val="000000"/>
          <w:sz w:val="24"/>
        </w:rPr>
        <w:t>）本基金管理人管理的全部开放式基金持有一家上市公司发行的可流通股票，不得超过该上市公司可流通股票的</w:t>
      </w:r>
      <w:r>
        <w:rPr>
          <w:rFonts w:hint="eastAsia"/>
          <w:bCs/>
          <w:color w:val="000000"/>
          <w:sz w:val="24"/>
        </w:rPr>
        <w:t>15%</w:t>
      </w:r>
      <w:r>
        <w:rPr>
          <w:rFonts w:hint="eastAsia"/>
          <w:bCs/>
          <w:color w:val="000000"/>
          <w:sz w:val="24"/>
        </w:rPr>
        <w:t>；本基金管理人管理的全部投资组合持有一家上市公司发行的可流通股票，不得超过该上市公司可流通股票的</w:t>
      </w:r>
      <w:r>
        <w:rPr>
          <w:rFonts w:hint="eastAsia"/>
          <w:bCs/>
          <w:color w:val="000000"/>
          <w:sz w:val="24"/>
        </w:rPr>
        <w:t>30%</w:t>
      </w:r>
      <w:r>
        <w:rPr>
          <w:rFonts w:hint="eastAsia"/>
          <w:bCs/>
          <w:color w:val="000000"/>
          <w:sz w:val="24"/>
        </w:rPr>
        <w:t>；</w:t>
      </w:r>
    </w:p>
    <w:p w14:paraId="2A740FE0" w14:textId="31CA6EF5" w:rsidR="005A043F" w:rsidRDefault="0029200C">
      <w:pPr>
        <w:spacing w:line="360" w:lineRule="auto"/>
        <w:ind w:firstLineChars="200" w:firstLine="480"/>
        <w:rPr>
          <w:bCs/>
          <w:color w:val="000000"/>
          <w:sz w:val="24"/>
        </w:rPr>
      </w:pPr>
      <w:r>
        <w:rPr>
          <w:bCs/>
          <w:color w:val="000000"/>
          <w:sz w:val="24"/>
        </w:rPr>
        <w:t>16</w:t>
      </w:r>
      <w:r>
        <w:rPr>
          <w:rFonts w:hint="eastAsia"/>
          <w:bCs/>
          <w:color w:val="000000"/>
          <w:sz w:val="24"/>
        </w:rPr>
        <w:t>）本基金主动投资于流动性受限资产（包括封闭运作基金及定期开放式基金等流通受限基金，但可上市交易的除外）的市值合计不得超过基金资产净值的</w:t>
      </w:r>
      <w:r>
        <w:rPr>
          <w:rFonts w:hint="eastAsia"/>
          <w:bCs/>
          <w:color w:val="000000"/>
          <w:sz w:val="24"/>
        </w:rPr>
        <w:t>15%</w:t>
      </w:r>
      <w:r>
        <w:rPr>
          <w:rFonts w:hint="eastAsia"/>
          <w:bCs/>
          <w:color w:val="000000"/>
          <w:sz w:val="24"/>
        </w:rPr>
        <w:t>；因证券市场波动、上市公司股票停牌、基金规模变动等基金管理人之外的因素致使基金不符合该比例限制的，基金管理人不得主动新增流动性受限资产的投资；</w:t>
      </w:r>
    </w:p>
    <w:p w14:paraId="083109D6" w14:textId="4C0D50B3" w:rsidR="005A043F" w:rsidRDefault="0029200C">
      <w:pPr>
        <w:spacing w:line="360" w:lineRule="auto"/>
        <w:ind w:firstLineChars="200" w:firstLine="480"/>
        <w:rPr>
          <w:bCs/>
          <w:color w:val="000000"/>
          <w:sz w:val="24"/>
        </w:rPr>
      </w:pPr>
      <w:r>
        <w:rPr>
          <w:bCs/>
          <w:color w:val="000000"/>
          <w:sz w:val="24"/>
        </w:rPr>
        <w:t>17</w:t>
      </w:r>
      <w:r>
        <w:rPr>
          <w:rFonts w:hint="eastAsia"/>
          <w:bCs/>
          <w:color w:val="000000"/>
          <w:sz w:val="24"/>
        </w:rPr>
        <w:t>）本基金与私募类</w:t>
      </w:r>
      <w:proofErr w:type="gramStart"/>
      <w:r>
        <w:rPr>
          <w:rFonts w:hint="eastAsia"/>
          <w:bCs/>
          <w:color w:val="000000"/>
          <w:sz w:val="24"/>
        </w:rPr>
        <w:t>证券资管产品</w:t>
      </w:r>
      <w:proofErr w:type="gramEnd"/>
      <w:r>
        <w:rPr>
          <w:rFonts w:hint="eastAsia"/>
          <w:bCs/>
          <w:color w:val="000000"/>
          <w:sz w:val="24"/>
        </w:rPr>
        <w:t>及中国证监会认定的其他主体为交易对手开展逆回购交易的，可接受质押品的资质要求应当与基金合同约定的投资范围保持一致；</w:t>
      </w:r>
    </w:p>
    <w:p w14:paraId="5C530426" w14:textId="17725903" w:rsidR="005A043F" w:rsidRDefault="0029200C">
      <w:pPr>
        <w:spacing w:line="360" w:lineRule="auto"/>
        <w:ind w:firstLineChars="200" w:firstLine="480"/>
        <w:rPr>
          <w:bCs/>
          <w:color w:val="000000"/>
          <w:sz w:val="24"/>
        </w:rPr>
      </w:pPr>
      <w:r>
        <w:rPr>
          <w:bCs/>
          <w:color w:val="000000"/>
          <w:sz w:val="24"/>
        </w:rPr>
        <w:t>18</w:t>
      </w:r>
      <w:r>
        <w:rPr>
          <w:rFonts w:hint="eastAsia"/>
          <w:bCs/>
          <w:color w:val="000000"/>
          <w:sz w:val="24"/>
        </w:rPr>
        <w:t>）基金资产总值不得超过基金资产净值的</w:t>
      </w:r>
      <w:r>
        <w:rPr>
          <w:rFonts w:hint="eastAsia"/>
          <w:bCs/>
          <w:color w:val="000000"/>
          <w:sz w:val="24"/>
        </w:rPr>
        <w:t>140%</w:t>
      </w:r>
      <w:r>
        <w:rPr>
          <w:rFonts w:hint="eastAsia"/>
          <w:bCs/>
          <w:color w:val="000000"/>
          <w:sz w:val="24"/>
        </w:rPr>
        <w:t>；</w:t>
      </w:r>
    </w:p>
    <w:p w14:paraId="77D3027D" w14:textId="1F7FEA8A" w:rsidR="005A043F" w:rsidRDefault="0029200C">
      <w:pPr>
        <w:spacing w:line="360" w:lineRule="auto"/>
        <w:ind w:firstLineChars="200" w:firstLine="480"/>
        <w:rPr>
          <w:bCs/>
          <w:color w:val="000000"/>
          <w:sz w:val="24"/>
        </w:rPr>
      </w:pPr>
      <w:r>
        <w:rPr>
          <w:bCs/>
          <w:color w:val="000000"/>
          <w:sz w:val="24"/>
        </w:rPr>
        <w:t>19</w:t>
      </w:r>
      <w:r>
        <w:rPr>
          <w:rFonts w:hint="eastAsia"/>
          <w:bCs/>
          <w:color w:val="000000"/>
          <w:sz w:val="24"/>
        </w:rPr>
        <w:t>）本基金投资存托凭证的比例限制依照国内依法发行上市的股票执行，与国内依法发行上市的股票合并计算；</w:t>
      </w:r>
    </w:p>
    <w:p w14:paraId="751369B2" w14:textId="2BFDA7CB" w:rsidR="005A043F" w:rsidRDefault="0029200C">
      <w:pPr>
        <w:spacing w:line="360" w:lineRule="auto"/>
        <w:ind w:firstLineChars="200" w:firstLine="480"/>
        <w:rPr>
          <w:bCs/>
          <w:color w:val="000000"/>
          <w:sz w:val="24"/>
        </w:rPr>
      </w:pPr>
      <w:r>
        <w:rPr>
          <w:bCs/>
          <w:color w:val="000000"/>
          <w:sz w:val="24"/>
        </w:rPr>
        <w:t>20</w:t>
      </w:r>
      <w:r>
        <w:rPr>
          <w:rFonts w:hint="eastAsia"/>
          <w:bCs/>
          <w:color w:val="000000"/>
          <w:sz w:val="24"/>
        </w:rPr>
        <w:t>）本基金投资于公</w:t>
      </w:r>
      <w:proofErr w:type="gramStart"/>
      <w:r>
        <w:rPr>
          <w:rFonts w:hint="eastAsia"/>
          <w:bCs/>
          <w:color w:val="000000"/>
          <w:sz w:val="24"/>
        </w:rPr>
        <w:t>募基金</w:t>
      </w:r>
      <w:proofErr w:type="gramEnd"/>
      <w:r>
        <w:rPr>
          <w:rFonts w:hint="eastAsia"/>
          <w:bCs/>
          <w:color w:val="000000"/>
          <w:sz w:val="24"/>
        </w:rPr>
        <w:t>的比例为基金资产净值的</w:t>
      </w:r>
      <w:r>
        <w:rPr>
          <w:rFonts w:hint="eastAsia"/>
          <w:bCs/>
          <w:color w:val="000000"/>
          <w:sz w:val="24"/>
        </w:rPr>
        <w:t>0-10%</w:t>
      </w:r>
      <w:r>
        <w:rPr>
          <w:rFonts w:hint="eastAsia"/>
          <w:bCs/>
          <w:color w:val="000000"/>
          <w:sz w:val="24"/>
        </w:rPr>
        <w:t>；</w:t>
      </w:r>
    </w:p>
    <w:p w14:paraId="04CACE46" w14:textId="4B287D7C" w:rsidR="005A043F" w:rsidRDefault="0029200C">
      <w:pPr>
        <w:spacing w:line="360" w:lineRule="auto"/>
        <w:ind w:firstLineChars="200" w:firstLine="480"/>
        <w:rPr>
          <w:bCs/>
          <w:color w:val="000000"/>
          <w:sz w:val="24"/>
        </w:rPr>
      </w:pPr>
      <w:r>
        <w:rPr>
          <w:bCs/>
          <w:color w:val="000000"/>
          <w:sz w:val="24"/>
        </w:rPr>
        <w:t>21</w:t>
      </w:r>
      <w:r>
        <w:rPr>
          <w:rFonts w:hint="eastAsia"/>
          <w:bCs/>
          <w:color w:val="000000"/>
          <w:sz w:val="24"/>
        </w:rPr>
        <w:t>）本基金管理人管理的全部基金（</w:t>
      </w:r>
      <w:r>
        <w:rPr>
          <w:rFonts w:hint="eastAsia"/>
          <w:bCs/>
          <w:color w:val="000000"/>
          <w:sz w:val="24"/>
        </w:rPr>
        <w:t>ETF</w:t>
      </w:r>
      <w:r>
        <w:rPr>
          <w:rFonts w:hint="eastAsia"/>
          <w:bCs/>
          <w:color w:val="000000"/>
          <w:sz w:val="24"/>
        </w:rPr>
        <w:t>联接基金除外）持有单只基金不超过被投资基金净资产的</w:t>
      </w:r>
      <w:r>
        <w:rPr>
          <w:rFonts w:hint="eastAsia"/>
          <w:bCs/>
          <w:color w:val="000000"/>
          <w:sz w:val="24"/>
        </w:rPr>
        <w:t>20%</w:t>
      </w:r>
      <w:r>
        <w:rPr>
          <w:rFonts w:hint="eastAsia"/>
          <w:bCs/>
          <w:color w:val="000000"/>
          <w:sz w:val="24"/>
        </w:rPr>
        <w:t>，被投资基金净资产规模以最近定期报告披露的规模为准；</w:t>
      </w:r>
    </w:p>
    <w:p w14:paraId="7358099A" w14:textId="466A985B" w:rsidR="005A043F" w:rsidRDefault="0029200C">
      <w:pPr>
        <w:spacing w:line="360" w:lineRule="auto"/>
        <w:ind w:firstLineChars="200" w:firstLine="480"/>
        <w:rPr>
          <w:bCs/>
          <w:color w:val="000000"/>
          <w:sz w:val="24"/>
        </w:rPr>
      </w:pPr>
      <w:r>
        <w:rPr>
          <w:bCs/>
          <w:color w:val="000000"/>
          <w:sz w:val="24"/>
        </w:rPr>
        <w:lastRenderedPageBreak/>
        <w:t>22</w:t>
      </w:r>
      <w:r>
        <w:rPr>
          <w:rFonts w:hint="eastAsia"/>
          <w:bCs/>
          <w:color w:val="000000"/>
          <w:sz w:val="24"/>
        </w:rPr>
        <w:t>）本基金投资其他基金时，被投资基金的运作期限应当不少于</w:t>
      </w:r>
      <w:r>
        <w:rPr>
          <w:rFonts w:hint="eastAsia"/>
          <w:bCs/>
          <w:color w:val="000000"/>
          <w:sz w:val="24"/>
        </w:rPr>
        <w:t>1</w:t>
      </w:r>
      <w:r>
        <w:rPr>
          <w:rFonts w:hint="eastAsia"/>
          <w:bCs/>
          <w:color w:val="000000"/>
          <w:sz w:val="24"/>
        </w:rPr>
        <w:t>年，最近定期报告披露的基金净资产应当不低于</w:t>
      </w:r>
      <w:r>
        <w:rPr>
          <w:rFonts w:hint="eastAsia"/>
          <w:bCs/>
          <w:color w:val="000000"/>
          <w:sz w:val="24"/>
        </w:rPr>
        <w:t>1</w:t>
      </w:r>
      <w:r>
        <w:rPr>
          <w:rFonts w:hint="eastAsia"/>
          <w:bCs/>
          <w:color w:val="000000"/>
          <w:sz w:val="24"/>
        </w:rPr>
        <w:t>亿元；</w:t>
      </w:r>
    </w:p>
    <w:p w14:paraId="13753F4D" w14:textId="77777777" w:rsidR="005A043F" w:rsidRDefault="0029200C">
      <w:pPr>
        <w:spacing w:line="360" w:lineRule="auto"/>
        <w:ind w:firstLineChars="200" w:firstLine="480"/>
        <w:rPr>
          <w:bCs/>
          <w:color w:val="000000"/>
          <w:sz w:val="24"/>
        </w:rPr>
      </w:pPr>
      <w:r>
        <w:rPr>
          <w:bCs/>
          <w:color w:val="000000"/>
          <w:sz w:val="24"/>
        </w:rPr>
        <w:t>23</w:t>
      </w:r>
      <w:r>
        <w:rPr>
          <w:rFonts w:hint="eastAsia"/>
          <w:bCs/>
          <w:color w:val="000000"/>
          <w:sz w:val="24"/>
        </w:rPr>
        <w:t>）法律法规及中国证监会规定的和基金合同约定的其他投资限制。</w:t>
      </w:r>
    </w:p>
    <w:p w14:paraId="140A253F" w14:textId="68DCDC5C" w:rsidR="005A043F" w:rsidRDefault="0029200C">
      <w:pPr>
        <w:spacing w:line="360" w:lineRule="auto"/>
        <w:ind w:firstLineChars="200" w:firstLine="480"/>
        <w:rPr>
          <w:bCs/>
          <w:color w:val="000000"/>
          <w:sz w:val="24"/>
        </w:rPr>
      </w:pPr>
      <w:r>
        <w:rPr>
          <w:bCs/>
          <w:color w:val="000000"/>
          <w:sz w:val="24"/>
        </w:rPr>
        <w:t>除上述</w:t>
      </w:r>
      <w:r>
        <w:rPr>
          <w:bCs/>
          <w:color w:val="000000"/>
          <w:sz w:val="24"/>
        </w:rPr>
        <w:t>3</w:t>
      </w:r>
      <w:r>
        <w:rPr>
          <w:bCs/>
          <w:color w:val="000000"/>
          <w:sz w:val="24"/>
        </w:rPr>
        <w:t>）、</w:t>
      </w:r>
      <w:r>
        <w:rPr>
          <w:bCs/>
          <w:color w:val="000000"/>
          <w:sz w:val="24"/>
        </w:rPr>
        <w:t>14</w:t>
      </w:r>
      <w:r>
        <w:rPr>
          <w:rFonts w:hint="eastAsia"/>
          <w:bCs/>
          <w:color w:val="000000"/>
          <w:sz w:val="24"/>
        </w:rPr>
        <w:t>）、</w:t>
      </w:r>
      <w:r>
        <w:rPr>
          <w:rFonts w:hint="eastAsia"/>
          <w:bCs/>
          <w:color w:val="000000"/>
          <w:sz w:val="24"/>
        </w:rPr>
        <w:t>1</w:t>
      </w:r>
      <w:r>
        <w:rPr>
          <w:bCs/>
          <w:color w:val="000000"/>
          <w:sz w:val="24"/>
        </w:rPr>
        <w:t>6</w:t>
      </w:r>
      <w:r>
        <w:rPr>
          <w:rFonts w:hint="eastAsia"/>
          <w:bCs/>
          <w:color w:val="000000"/>
          <w:sz w:val="24"/>
        </w:rPr>
        <w:t>）、</w:t>
      </w:r>
      <w:r>
        <w:rPr>
          <w:rFonts w:hint="eastAsia"/>
          <w:bCs/>
          <w:color w:val="000000"/>
          <w:sz w:val="24"/>
        </w:rPr>
        <w:t>1</w:t>
      </w:r>
      <w:r>
        <w:rPr>
          <w:bCs/>
          <w:color w:val="000000"/>
          <w:sz w:val="24"/>
        </w:rPr>
        <w:t>7</w:t>
      </w:r>
      <w:r>
        <w:rPr>
          <w:bCs/>
          <w:color w:val="000000"/>
          <w:sz w:val="24"/>
        </w:rPr>
        <w:t>）、</w:t>
      </w:r>
      <w:r>
        <w:rPr>
          <w:rFonts w:hint="eastAsia"/>
          <w:bCs/>
          <w:color w:val="000000"/>
          <w:sz w:val="24"/>
        </w:rPr>
        <w:t>2</w:t>
      </w:r>
      <w:r>
        <w:rPr>
          <w:bCs/>
          <w:color w:val="000000"/>
          <w:sz w:val="24"/>
        </w:rPr>
        <w:t>1</w:t>
      </w:r>
      <w:r>
        <w:rPr>
          <w:bCs/>
          <w:color w:val="000000"/>
          <w:sz w:val="24"/>
        </w:rPr>
        <w:t>）情形之外，因证券</w:t>
      </w:r>
      <w:r>
        <w:rPr>
          <w:rFonts w:hint="eastAsia"/>
          <w:bCs/>
          <w:color w:val="000000"/>
          <w:sz w:val="24"/>
        </w:rPr>
        <w:t>、</w:t>
      </w:r>
      <w:r>
        <w:rPr>
          <w:bCs/>
          <w:color w:val="000000"/>
          <w:sz w:val="24"/>
        </w:rPr>
        <w:t>期货市场波动、</w:t>
      </w:r>
      <w:r>
        <w:rPr>
          <w:rFonts w:hint="eastAsia"/>
          <w:bCs/>
          <w:color w:val="000000"/>
          <w:sz w:val="24"/>
        </w:rPr>
        <w:t>证券发行人</w:t>
      </w:r>
      <w:r>
        <w:rPr>
          <w:bCs/>
          <w:color w:val="000000"/>
          <w:sz w:val="24"/>
        </w:rPr>
        <w:t>合并、基金规模变动等基金管理人之外的因素致使基金投资比例不符合上述规定投资比例的，基金管理人应当在</w:t>
      </w:r>
      <w:r>
        <w:rPr>
          <w:rFonts w:hint="eastAsia"/>
          <w:bCs/>
          <w:color w:val="000000"/>
          <w:sz w:val="24"/>
        </w:rPr>
        <w:t>所涉证券可交易之日起</w:t>
      </w:r>
      <w:r>
        <w:rPr>
          <w:bCs/>
          <w:color w:val="000000"/>
          <w:sz w:val="24"/>
        </w:rPr>
        <w:t>10</w:t>
      </w:r>
      <w:r>
        <w:rPr>
          <w:bCs/>
          <w:color w:val="000000"/>
          <w:sz w:val="24"/>
        </w:rPr>
        <w:t>个交易日内进行调整</w:t>
      </w:r>
      <w:r>
        <w:rPr>
          <w:rFonts w:hint="eastAsia"/>
          <w:bCs/>
          <w:color w:val="000000"/>
          <w:sz w:val="24"/>
        </w:rPr>
        <w:t>，</w:t>
      </w:r>
      <w:r>
        <w:rPr>
          <w:bCs/>
          <w:color w:val="000000"/>
          <w:sz w:val="24"/>
        </w:rPr>
        <w:t>但中国证监会规定的特殊情形除外。</w:t>
      </w:r>
      <w:r>
        <w:rPr>
          <w:rFonts w:hint="eastAsia"/>
          <w:bCs/>
          <w:color w:val="000000"/>
          <w:sz w:val="24"/>
        </w:rPr>
        <w:t>因证券市场波动、基金规模变动等基金管理人之外的因素致使基金投资不符合前款第</w:t>
      </w:r>
      <w:r>
        <w:rPr>
          <w:bCs/>
          <w:color w:val="000000"/>
          <w:sz w:val="24"/>
        </w:rPr>
        <w:t>21</w:t>
      </w:r>
      <w:r>
        <w:rPr>
          <w:rFonts w:hint="eastAsia"/>
          <w:bCs/>
          <w:color w:val="000000"/>
          <w:sz w:val="24"/>
        </w:rPr>
        <w:t>）项规定的比例的，基金管理人应当在</w:t>
      </w:r>
      <w:r>
        <w:rPr>
          <w:rFonts w:hint="eastAsia"/>
          <w:bCs/>
          <w:color w:val="000000"/>
          <w:sz w:val="24"/>
        </w:rPr>
        <w:t>20</w:t>
      </w:r>
      <w:r>
        <w:rPr>
          <w:rFonts w:hint="eastAsia"/>
          <w:bCs/>
          <w:color w:val="000000"/>
          <w:sz w:val="24"/>
        </w:rPr>
        <w:t>个交易日内进行调整，但中国证监会规定的特殊情形除外。法律法规另有规定的，从其规定。</w:t>
      </w:r>
    </w:p>
    <w:p w14:paraId="1224672C"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当自基金合同生效之日起6个月内使基金的投资组合比例符合基金合同的有关约定。在上述期间内，本基金的投资范围、投资策略应当符合基金合同的约定。基金托管人对基金投资的监督与检查自基金合同生效之日起开始。</w:t>
      </w:r>
    </w:p>
    <w:p w14:paraId="1996C2D3" w14:textId="77777777" w:rsidR="005A043F" w:rsidRDefault="0029200C">
      <w:pPr>
        <w:spacing w:line="360" w:lineRule="auto"/>
        <w:ind w:firstLineChars="200" w:firstLine="480"/>
        <w:rPr>
          <w:rFonts w:ascii="宋体" w:hAnsi="宋体"/>
          <w:sz w:val="24"/>
        </w:rPr>
      </w:pPr>
      <w:r>
        <w:rPr>
          <w:rFonts w:ascii="宋体" w:hAnsi="宋体" w:hint="eastAsia"/>
          <w:sz w:val="24"/>
        </w:rPr>
        <w:t>3、基金托管人根据有关法律法规的规定及《基金合同》的约定对下述基金投资禁止行为进行监督：</w:t>
      </w:r>
    </w:p>
    <w:p w14:paraId="47BCE933" w14:textId="77777777" w:rsidR="005A043F" w:rsidRDefault="0029200C">
      <w:pPr>
        <w:spacing w:line="360" w:lineRule="auto"/>
        <w:ind w:firstLineChars="200" w:firstLine="480"/>
        <w:rPr>
          <w:rFonts w:ascii="宋体" w:hAnsi="宋体"/>
          <w:sz w:val="24"/>
        </w:rPr>
      </w:pPr>
      <w:r>
        <w:rPr>
          <w:rFonts w:ascii="宋体" w:hAnsi="宋体" w:hint="eastAsia"/>
          <w:sz w:val="24"/>
        </w:rPr>
        <w:t>根据法律法规的规定及《基金合同》的约定，本基金禁止从事下列行为：</w:t>
      </w:r>
    </w:p>
    <w:p w14:paraId="354B2D7C" w14:textId="77777777" w:rsidR="005A043F" w:rsidRDefault="0029200C">
      <w:pPr>
        <w:spacing w:line="360" w:lineRule="auto"/>
        <w:ind w:firstLineChars="200" w:firstLine="480"/>
        <w:rPr>
          <w:rFonts w:ascii="宋体" w:hAnsi="宋体"/>
          <w:sz w:val="24"/>
        </w:rPr>
      </w:pPr>
      <w:r>
        <w:rPr>
          <w:rFonts w:ascii="宋体" w:hAnsi="宋体" w:hint="eastAsia"/>
          <w:sz w:val="24"/>
        </w:rPr>
        <w:t>（1）承销证券；</w:t>
      </w:r>
    </w:p>
    <w:p w14:paraId="201CAD5D" w14:textId="77777777" w:rsidR="005A043F" w:rsidRDefault="0029200C">
      <w:pPr>
        <w:spacing w:line="360" w:lineRule="auto"/>
        <w:ind w:firstLineChars="200" w:firstLine="480"/>
        <w:rPr>
          <w:rFonts w:ascii="宋体" w:hAnsi="宋体"/>
          <w:sz w:val="24"/>
        </w:rPr>
      </w:pPr>
      <w:r>
        <w:rPr>
          <w:rFonts w:ascii="宋体" w:hAnsi="宋体" w:hint="eastAsia"/>
          <w:sz w:val="24"/>
        </w:rPr>
        <w:t>（2）违反规定向他人贷款或者提供担保；</w:t>
      </w:r>
    </w:p>
    <w:p w14:paraId="07338EEC" w14:textId="77777777" w:rsidR="005A043F" w:rsidRDefault="0029200C">
      <w:pPr>
        <w:spacing w:line="360" w:lineRule="auto"/>
        <w:ind w:firstLineChars="200" w:firstLine="480"/>
        <w:rPr>
          <w:rFonts w:ascii="宋体" w:hAnsi="宋体"/>
          <w:sz w:val="24"/>
        </w:rPr>
      </w:pPr>
      <w:r>
        <w:rPr>
          <w:rFonts w:ascii="宋体" w:hAnsi="宋体" w:hint="eastAsia"/>
          <w:sz w:val="24"/>
        </w:rPr>
        <w:t>（3）</w:t>
      </w:r>
      <w:r>
        <w:rPr>
          <w:rFonts w:ascii="宋体" w:hAnsi="宋体"/>
          <w:sz w:val="24"/>
        </w:rPr>
        <w:t>从事承担无限责任的投资；</w:t>
      </w:r>
    </w:p>
    <w:p w14:paraId="5FFEA7CF" w14:textId="77777777" w:rsidR="005A043F" w:rsidRDefault="0029200C">
      <w:pPr>
        <w:spacing w:line="360" w:lineRule="auto"/>
        <w:ind w:firstLineChars="200" w:firstLine="480"/>
        <w:rPr>
          <w:rFonts w:ascii="宋体" w:hAnsi="宋体"/>
          <w:sz w:val="24"/>
        </w:rPr>
      </w:pPr>
      <w:r>
        <w:rPr>
          <w:rFonts w:ascii="宋体" w:hAnsi="宋体" w:hint="eastAsia"/>
          <w:sz w:val="24"/>
        </w:rPr>
        <w:t>（4）投资</w:t>
      </w:r>
      <w:r>
        <w:rPr>
          <w:rFonts w:hint="eastAsia"/>
          <w:sz w:val="24"/>
        </w:rPr>
        <w:t>QDII</w:t>
      </w:r>
      <w:r>
        <w:rPr>
          <w:rFonts w:hint="eastAsia"/>
          <w:sz w:val="24"/>
        </w:rPr>
        <w:t>基金、货币市场基金、香港互认基金、</w:t>
      </w:r>
      <w:r>
        <w:rPr>
          <w:rFonts w:ascii="宋体" w:hAnsi="宋体" w:hint="eastAsia"/>
          <w:sz w:val="24"/>
        </w:rPr>
        <w:t>基金中基金、可投资其他基金的</w:t>
      </w:r>
      <w:proofErr w:type="gramStart"/>
      <w:r>
        <w:rPr>
          <w:rFonts w:ascii="宋体" w:hAnsi="宋体" w:hint="eastAsia"/>
          <w:sz w:val="24"/>
        </w:rPr>
        <w:t>非基金</w:t>
      </w:r>
      <w:proofErr w:type="gramEnd"/>
      <w:r>
        <w:rPr>
          <w:rFonts w:ascii="宋体" w:hAnsi="宋体" w:hint="eastAsia"/>
          <w:sz w:val="24"/>
        </w:rPr>
        <w:t>中基金和本</w:t>
      </w:r>
      <w:proofErr w:type="gramStart"/>
      <w:r>
        <w:rPr>
          <w:rFonts w:ascii="宋体" w:hAnsi="宋体" w:hint="eastAsia"/>
          <w:sz w:val="24"/>
        </w:rPr>
        <w:t>基金基金</w:t>
      </w:r>
      <w:proofErr w:type="gramEnd"/>
      <w:r>
        <w:rPr>
          <w:rFonts w:ascii="宋体" w:hAnsi="宋体" w:hint="eastAsia"/>
          <w:sz w:val="24"/>
        </w:rPr>
        <w:t>经理管理的其他基金，但是中国证监会另有规定的除外；</w:t>
      </w:r>
    </w:p>
    <w:p w14:paraId="47789341" w14:textId="77777777" w:rsidR="005A043F" w:rsidRDefault="0029200C">
      <w:pPr>
        <w:spacing w:line="360" w:lineRule="auto"/>
        <w:ind w:firstLineChars="200" w:firstLine="480"/>
        <w:rPr>
          <w:rFonts w:ascii="宋体" w:hAnsi="宋体"/>
          <w:sz w:val="24"/>
        </w:rPr>
      </w:pPr>
      <w:r>
        <w:rPr>
          <w:rFonts w:ascii="宋体" w:hAnsi="宋体" w:hint="eastAsia"/>
          <w:sz w:val="24"/>
        </w:rPr>
        <w:t>（5）持有具有复杂、衍生品性质的基金份额，包括分级基金和中国证监会认定的其他基金份额；</w:t>
      </w:r>
    </w:p>
    <w:p w14:paraId="77B60365" w14:textId="715D3CE7" w:rsidR="005A043F" w:rsidRDefault="0029200C">
      <w:pPr>
        <w:spacing w:line="360" w:lineRule="auto"/>
        <w:ind w:firstLineChars="200" w:firstLine="480"/>
        <w:rPr>
          <w:rFonts w:ascii="宋体" w:hAnsi="宋体"/>
          <w:sz w:val="24"/>
        </w:rPr>
      </w:pPr>
      <w:r>
        <w:rPr>
          <w:rFonts w:ascii="宋体" w:hAnsi="宋体" w:hint="eastAsia"/>
          <w:sz w:val="24"/>
        </w:rPr>
        <w:lastRenderedPageBreak/>
        <w:t>（6）向其基金管理人、基金托管人出资；</w:t>
      </w:r>
    </w:p>
    <w:p w14:paraId="1CAD3148" w14:textId="77777777" w:rsidR="005A043F" w:rsidRDefault="0029200C">
      <w:pPr>
        <w:spacing w:line="360" w:lineRule="auto"/>
        <w:ind w:firstLineChars="200" w:firstLine="480"/>
        <w:rPr>
          <w:rFonts w:ascii="宋体" w:hAnsi="宋体"/>
          <w:sz w:val="24"/>
        </w:rPr>
      </w:pPr>
      <w:r>
        <w:rPr>
          <w:rFonts w:ascii="宋体" w:hAnsi="宋体" w:hint="eastAsia"/>
          <w:sz w:val="24"/>
        </w:rPr>
        <w:t>（7）从事内幕交易、操纵证券交易价格及其他不正当的证券交易活动；</w:t>
      </w:r>
    </w:p>
    <w:p w14:paraId="3B4846BD" w14:textId="77777777" w:rsidR="005A043F" w:rsidRDefault="0029200C">
      <w:pPr>
        <w:spacing w:line="360" w:lineRule="auto"/>
        <w:ind w:firstLineChars="200" w:firstLine="480"/>
        <w:rPr>
          <w:rFonts w:ascii="宋体" w:hAnsi="宋体"/>
          <w:sz w:val="24"/>
        </w:rPr>
      </w:pPr>
      <w:r>
        <w:rPr>
          <w:rFonts w:ascii="宋体" w:hAnsi="宋体" w:hint="eastAsia"/>
          <w:sz w:val="24"/>
        </w:rPr>
        <w:t>（8）法律、行政法规和中国证监会规定禁止的其他活动。</w:t>
      </w:r>
    </w:p>
    <w:p w14:paraId="5ECE813F"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33413DC1" w14:textId="77777777" w:rsidR="005A043F" w:rsidRDefault="0029200C">
      <w:pPr>
        <w:spacing w:line="360" w:lineRule="auto"/>
        <w:ind w:firstLineChars="200" w:firstLine="480"/>
        <w:rPr>
          <w:rFonts w:ascii="宋体" w:hAnsi="宋体"/>
          <w:sz w:val="24"/>
        </w:rPr>
      </w:pPr>
      <w:r>
        <w:rPr>
          <w:rFonts w:ascii="宋体" w:hAnsi="宋体" w:hint="eastAsia"/>
          <w:sz w:val="24"/>
        </w:rPr>
        <w:t>本基金投资基金管理人或基金管理人关联方管理基金的情况，不属于前述重大关联交易，但是应当按照法律法规或监管规定的要求履行信息披露义务。</w:t>
      </w:r>
    </w:p>
    <w:p w14:paraId="68EAF638" w14:textId="77777777" w:rsidR="005A043F" w:rsidRDefault="0029200C">
      <w:pPr>
        <w:spacing w:line="360" w:lineRule="auto"/>
        <w:ind w:firstLineChars="200" w:firstLine="480"/>
        <w:rPr>
          <w:rFonts w:ascii="宋体" w:hAnsi="宋体"/>
          <w:sz w:val="24"/>
        </w:rPr>
      </w:pPr>
      <w:r>
        <w:rPr>
          <w:rFonts w:ascii="宋体" w:hAnsi="宋体" w:hint="eastAsia"/>
          <w:sz w:val="24"/>
        </w:rPr>
        <w:t>法律法规或监管部门对基金合同所述投资比例、投资限制、组合限制、禁止行为等</w:t>
      </w:r>
      <w:proofErr w:type="gramStart"/>
      <w:r>
        <w:rPr>
          <w:rFonts w:ascii="宋体" w:hAnsi="宋体" w:hint="eastAsia"/>
          <w:sz w:val="24"/>
        </w:rPr>
        <w:t>作出</w:t>
      </w:r>
      <w:proofErr w:type="gramEnd"/>
      <w:r>
        <w:rPr>
          <w:rFonts w:ascii="宋体" w:hAnsi="宋体" w:hint="eastAsia"/>
          <w:sz w:val="24"/>
        </w:rPr>
        <w:t>强制性调整的，本基金应当按照法律法规或监管部门的规定执行。</w:t>
      </w:r>
    </w:p>
    <w:bookmarkEnd w:id="49"/>
    <w:p w14:paraId="772FE92A" w14:textId="49DA5012" w:rsidR="005A043F" w:rsidRDefault="0029200C">
      <w:pPr>
        <w:spacing w:line="360" w:lineRule="auto"/>
        <w:ind w:firstLineChars="200" w:firstLine="480"/>
        <w:rPr>
          <w:rFonts w:ascii="宋体" w:hAnsi="宋体"/>
          <w:sz w:val="24"/>
        </w:rPr>
      </w:pPr>
      <w:r>
        <w:rPr>
          <w:rFonts w:ascii="宋体" w:hAnsi="宋体" w:hint="eastAsia"/>
          <w:sz w:val="24"/>
        </w:rPr>
        <w:t>4、关于银行存款投资</w:t>
      </w:r>
    </w:p>
    <w:p w14:paraId="0410D5CA" w14:textId="1AAB4843" w:rsidR="005A043F" w:rsidRDefault="0029200C">
      <w:pPr>
        <w:spacing w:line="360" w:lineRule="auto"/>
        <w:ind w:firstLineChars="200" w:firstLine="480"/>
        <w:rPr>
          <w:rFonts w:ascii="宋体" w:hAnsi="宋体"/>
          <w:sz w:val="24"/>
        </w:rPr>
      </w:pPr>
      <w:r>
        <w:rPr>
          <w:rFonts w:ascii="宋体" w:hAnsi="宋体" w:hint="eastAsia"/>
          <w:sz w:val="24"/>
        </w:rPr>
        <w:t>本基金投资银行存款的信用风险主要包括存款银行的信用等级、存款银行的支付能力等涉及到存款银行选择方面的风险。基金管理人应基于审慎原则评估存款银行信用风险并自主选择存款银行，基金托管人对此不予监督。因基金管理人违反上述原则给基金造成的损失，基金托管人不承担责任。</w:t>
      </w:r>
    </w:p>
    <w:p w14:paraId="14E65EA8" w14:textId="37FFFA1F" w:rsidR="005A043F" w:rsidRDefault="0029200C">
      <w:pPr>
        <w:spacing w:line="360" w:lineRule="auto"/>
        <w:ind w:firstLineChars="200" w:firstLine="480"/>
        <w:rPr>
          <w:rFonts w:ascii="宋体" w:hAnsi="宋体"/>
          <w:sz w:val="24"/>
        </w:rPr>
      </w:pPr>
      <w:r>
        <w:rPr>
          <w:rFonts w:ascii="宋体" w:hAnsi="宋体" w:hint="eastAsia"/>
          <w:sz w:val="24"/>
        </w:rPr>
        <w:t>5、基金托管人对基金投资流通受限证券的监督</w:t>
      </w:r>
    </w:p>
    <w:p w14:paraId="64CA1651" w14:textId="77777777" w:rsidR="005A043F" w:rsidRDefault="0029200C">
      <w:pPr>
        <w:spacing w:line="360" w:lineRule="auto"/>
        <w:ind w:firstLineChars="200" w:firstLine="480"/>
        <w:rPr>
          <w:rFonts w:ascii="宋体" w:hAnsi="宋体"/>
          <w:sz w:val="24"/>
        </w:rPr>
      </w:pPr>
      <w:r>
        <w:rPr>
          <w:rFonts w:ascii="宋体" w:hAnsi="宋体" w:hint="eastAsia"/>
          <w:sz w:val="24"/>
        </w:rPr>
        <w:t>（1）基金投资流通受限证券，应遵守《关于基金投资非公开发行股票等流通受限证券有关问题的通知》等有关法律法规规定。</w:t>
      </w:r>
    </w:p>
    <w:p w14:paraId="37C6FF9D" w14:textId="77777777" w:rsidR="005A043F" w:rsidRDefault="0029200C">
      <w:pPr>
        <w:spacing w:line="360" w:lineRule="auto"/>
        <w:ind w:firstLineChars="200" w:firstLine="480"/>
        <w:rPr>
          <w:rFonts w:ascii="宋体" w:hAnsi="宋体"/>
          <w:sz w:val="24"/>
        </w:rPr>
      </w:pPr>
      <w:r>
        <w:rPr>
          <w:rFonts w:ascii="宋体" w:hAnsi="宋体" w:hint="eastAsia"/>
          <w:sz w:val="24"/>
        </w:rPr>
        <w:t>（2）此处的流通受限证券与上文提及的流动性受限资产并不完全一致，包括由《上市公司证券发行注册管理办法》规范的非公开发行股票、公开发行股票</w:t>
      </w:r>
      <w:r>
        <w:rPr>
          <w:rFonts w:ascii="宋体" w:hAnsi="宋体" w:hint="eastAsia"/>
          <w:sz w:val="24"/>
        </w:rPr>
        <w:lastRenderedPageBreak/>
        <w:t>网下配售部分等在发行时明确一定期限锁定期的可交易证券</w:t>
      </w:r>
      <w:r>
        <w:rPr>
          <w:rFonts w:ascii="宋体" w:hAnsi="宋体"/>
          <w:sz w:val="24"/>
        </w:rPr>
        <w:t>，</w:t>
      </w:r>
      <w:r>
        <w:rPr>
          <w:rFonts w:ascii="宋体" w:hAnsi="宋体" w:hint="eastAsia"/>
          <w:sz w:val="24"/>
        </w:rPr>
        <w:t>不包括由于发布重大消息或其他原因而临时停牌的证券、已发行未上市证券、回购交易中的质押</w:t>
      </w:r>
      <w:proofErr w:type="gramStart"/>
      <w:r>
        <w:rPr>
          <w:rFonts w:ascii="宋体" w:hAnsi="宋体" w:hint="eastAsia"/>
          <w:sz w:val="24"/>
        </w:rPr>
        <w:t>券</w:t>
      </w:r>
      <w:proofErr w:type="gramEnd"/>
      <w:r>
        <w:rPr>
          <w:rFonts w:ascii="宋体" w:hAnsi="宋体" w:hint="eastAsia"/>
          <w:sz w:val="24"/>
        </w:rPr>
        <w:t>等流通受限证券。</w:t>
      </w:r>
    </w:p>
    <w:p w14:paraId="6848E9DF" w14:textId="722B518C" w:rsidR="005A043F" w:rsidRDefault="0029200C">
      <w:pPr>
        <w:spacing w:line="360" w:lineRule="auto"/>
        <w:ind w:firstLineChars="200" w:firstLine="480"/>
        <w:rPr>
          <w:rFonts w:ascii="宋体" w:hAnsi="宋体"/>
          <w:sz w:val="24"/>
        </w:rPr>
      </w:pPr>
      <w:r>
        <w:rPr>
          <w:rFonts w:ascii="宋体" w:hAnsi="宋体" w:hint="eastAsia"/>
          <w:sz w:val="24"/>
        </w:rPr>
        <w:t>（3）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504106EC"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基金管理人应至少</w:t>
      </w:r>
      <w:proofErr w:type="gramStart"/>
      <w:r>
        <w:rPr>
          <w:rFonts w:ascii="宋体" w:hAnsi="宋体" w:hint="eastAsia"/>
          <w:sz w:val="24"/>
        </w:rPr>
        <w:t>于首次</w:t>
      </w:r>
      <w:proofErr w:type="gramEnd"/>
      <w:r>
        <w:rPr>
          <w:rFonts w:ascii="宋体" w:hAnsi="宋体" w:hint="eastAsia"/>
          <w:sz w:val="24"/>
        </w:rPr>
        <w:t>执行投资指令之前两个工作日将上述资料书面发至基金托管人，保证基金托管人有足够的时间进行审核。基金托管人应在收到上述资料后两个工作日内，以书面或其他双方认可的方式确认收到上述资料。</w:t>
      </w:r>
    </w:p>
    <w:p w14:paraId="69B36FB0" w14:textId="77777777" w:rsidR="005A043F" w:rsidRDefault="0029200C">
      <w:pPr>
        <w:spacing w:line="360" w:lineRule="auto"/>
        <w:ind w:firstLineChars="200" w:firstLine="480"/>
        <w:rPr>
          <w:rFonts w:ascii="宋体" w:hAnsi="宋体"/>
          <w:sz w:val="24"/>
        </w:rPr>
      </w:pPr>
      <w:r>
        <w:rPr>
          <w:rFonts w:ascii="宋体" w:hAnsi="宋体" w:hint="eastAsia"/>
          <w:sz w:val="24"/>
        </w:rPr>
        <w:t>（4）基金投资流通受限证券前，基金管理人应向基金托管人提供符合法律法规要求的有关书面信息，包括但不限于拟发行证券主体的中国证监会批准或注册文件、发行证券数量、发行价格、锁定期，基金拟认购的数量、价格、总成本、资金划付时间等。基金管理人应保证上述信息的真实、完整，并应至少</w:t>
      </w:r>
      <w:proofErr w:type="gramStart"/>
      <w:r>
        <w:rPr>
          <w:rFonts w:ascii="宋体" w:hAnsi="宋体" w:hint="eastAsia"/>
          <w:sz w:val="24"/>
        </w:rPr>
        <w:t>于拟执行</w:t>
      </w:r>
      <w:proofErr w:type="gramEnd"/>
      <w:r>
        <w:rPr>
          <w:rFonts w:ascii="宋体" w:hAnsi="宋体" w:hint="eastAsia"/>
          <w:sz w:val="24"/>
        </w:rPr>
        <w:t>投资指令前两个工作日将上述信息书面发至基金托管人，保证基金托管人有足够的时间进行审核。</w:t>
      </w:r>
    </w:p>
    <w:p w14:paraId="23D0989E" w14:textId="77777777" w:rsidR="005A043F" w:rsidRDefault="0029200C">
      <w:pPr>
        <w:spacing w:line="360" w:lineRule="auto"/>
        <w:ind w:firstLineChars="200" w:firstLine="480"/>
        <w:rPr>
          <w:rFonts w:ascii="宋体" w:hAnsi="宋体"/>
          <w:sz w:val="24"/>
        </w:rPr>
      </w:pPr>
      <w:r>
        <w:rPr>
          <w:rFonts w:ascii="宋体" w:hAnsi="宋体" w:hint="eastAsia"/>
          <w:sz w:val="24"/>
        </w:rPr>
        <w:t>（5）基金托管人应按照《关于基金投资非公开发行股票等流通受限证券有关问题的通知》规定，对基金管理人是否遵守法律法规进行监督，并审核基金管理人提供的有关书面信息。</w:t>
      </w:r>
    </w:p>
    <w:p w14:paraId="147BAB89" w14:textId="0EC3E7A3" w:rsidR="005A043F" w:rsidRDefault="0029200C">
      <w:pPr>
        <w:spacing w:line="360" w:lineRule="auto"/>
        <w:ind w:firstLineChars="200" w:firstLine="480"/>
        <w:rPr>
          <w:rFonts w:ascii="宋体" w:hAnsi="宋体"/>
          <w:sz w:val="24"/>
        </w:rPr>
      </w:pPr>
      <w:r>
        <w:rPr>
          <w:rFonts w:ascii="宋体" w:hAnsi="宋体" w:hint="eastAsia"/>
          <w:sz w:val="24"/>
        </w:rPr>
        <w:t>如基金管理人和基金托管人无法达成一致，应及时上报中国证监会请求解决。如果基金托管人</w:t>
      </w:r>
      <w:r>
        <w:rPr>
          <w:rFonts w:ascii="宋体" w:hAnsi="宋体"/>
          <w:sz w:val="24"/>
        </w:rPr>
        <w:t>切实履行监督职责</w:t>
      </w:r>
      <w:r>
        <w:rPr>
          <w:rFonts w:ascii="宋体" w:hAnsi="宋体" w:hint="eastAsia"/>
          <w:sz w:val="24"/>
        </w:rPr>
        <w:t>，则不承担责任。</w:t>
      </w:r>
      <w:r>
        <w:rPr>
          <w:rFonts w:ascii="宋体" w:hAnsi="宋体"/>
          <w:sz w:val="24"/>
        </w:rPr>
        <w:t>如果基金托管</w:t>
      </w:r>
      <w:r>
        <w:rPr>
          <w:rFonts w:ascii="宋体" w:hAnsi="宋体" w:hint="eastAsia"/>
          <w:sz w:val="24"/>
        </w:rPr>
        <w:t>人</w:t>
      </w:r>
      <w:r>
        <w:rPr>
          <w:rFonts w:ascii="宋体" w:hAnsi="宋体"/>
          <w:sz w:val="24"/>
        </w:rPr>
        <w:t>没有切实履行监督职责，导致基金出现风险，基金托管</w:t>
      </w:r>
      <w:r>
        <w:rPr>
          <w:rFonts w:ascii="宋体" w:hAnsi="宋体" w:hint="eastAsia"/>
          <w:sz w:val="24"/>
        </w:rPr>
        <w:t>人</w:t>
      </w:r>
      <w:r>
        <w:rPr>
          <w:rFonts w:ascii="宋体" w:hAnsi="宋体"/>
          <w:sz w:val="24"/>
        </w:rPr>
        <w:t>应承担连带责任。</w:t>
      </w:r>
    </w:p>
    <w:p w14:paraId="67705AD8" w14:textId="77777777" w:rsidR="005A043F" w:rsidRDefault="0029200C">
      <w:pPr>
        <w:spacing w:line="360" w:lineRule="auto"/>
        <w:ind w:firstLineChars="200" w:firstLine="480"/>
        <w:rPr>
          <w:rFonts w:ascii="宋体" w:hAnsi="宋体"/>
          <w:sz w:val="24"/>
        </w:rPr>
      </w:pPr>
      <w:r>
        <w:rPr>
          <w:rFonts w:ascii="宋体" w:hAnsi="宋体" w:hint="eastAsia"/>
          <w:sz w:val="24"/>
        </w:rPr>
        <w:t>（二）投资监督范围的调整</w:t>
      </w:r>
    </w:p>
    <w:p w14:paraId="5C59F386" w14:textId="77777777" w:rsidR="005A043F" w:rsidRDefault="0029200C">
      <w:pPr>
        <w:spacing w:line="360" w:lineRule="auto"/>
        <w:ind w:firstLineChars="200" w:firstLine="480"/>
        <w:rPr>
          <w:rFonts w:ascii="宋体" w:hAnsi="宋体"/>
          <w:sz w:val="24"/>
        </w:rPr>
      </w:pPr>
      <w:r>
        <w:rPr>
          <w:rFonts w:ascii="宋体" w:hAnsi="宋体" w:hint="eastAsia"/>
          <w:sz w:val="24"/>
        </w:rPr>
        <w:t>因法律法规、监管要求导致本基金投资事项调整的，基金管理人应提前通知基金托管人，并与基金托管人协商一致更新投资监督范围。基金管理人知晓基金</w:t>
      </w:r>
      <w:r>
        <w:rPr>
          <w:rFonts w:ascii="宋体" w:hAnsi="宋体" w:hint="eastAsia"/>
          <w:sz w:val="24"/>
        </w:rPr>
        <w:lastRenderedPageBreak/>
        <w:t>托管人投资监督职责的履行受外部数据来源或系统开发等因素影响，基金管理人应为托管人系统调整预留所需的合理必要时间。</w:t>
      </w:r>
    </w:p>
    <w:p w14:paraId="01E03A78" w14:textId="77777777" w:rsidR="005A043F" w:rsidRDefault="0029200C">
      <w:pPr>
        <w:spacing w:line="360" w:lineRule="auto"/>
        <w:ind w:firstLineChars="200" w:firstLine="480"/>
        <w:rPr>
          <w:rFonts w:ascii="宋体" w:hAnsi="宋体"/>
          <w:sz w:val="24"/>
        </w:rPr>
      </w:pPr>
      <w:r>
        <w:rPr>
          <w:rFonts w:ascii="宋体" w:hAnsi="宋体" w:hint="eastAsia"/>
          <w:sz w:val="24"/>
        </w:rPr>
        <w:t>（</w:t>
      </w:r>
      <w:r>
        <w:rPr>
          <w:rFonts w:ascii="宋体" w:hAnsi="宋体"/>
          <w:sz w:val="24"/>
        </w:rPr>
        <w:t>三</w:t>
      </w:r>
      <w:r>
        <w:rPr>
          <w:rFonts w:ascii="宋体" w:hAnsi="宋体" w:hint="eastAsia"/>
          <w:sz w:val="24"/>
        </w:rPr>
        <w:t>）除投资资产配置外，基金托管人应根据有关法律法规的规定及《基金合同》和本协议的约定，对基金资产净值计算、各类基金份额净值计算、应收资金到账、基金费用开支及收入确定、基金收益分配、相关信息披露、基金宣传推介材料中登载基金业绩表现数据等进行监督和核查。</w:t>
      </w:r>
    </w:p>
    <w:p w14:paraId="122FB875" w14:textId="77777777" w:rsidR="005A043F" w:rsidRDefault="0029200C">
      <w:pPr>
        <w:spacing w:line="360" w:lineRule="auto"/>
        <w:ind w:firstLineChars="200" w:firstLine="480"/>
        <w:rPr>
          <w:rFonts w:ascii="宋体" w:hAnsi="宋体"/>
          <w:sz w:val="24"/>
        </w:rPr>
      </w:pPr>
      <w:r>
        <w:rPr>
          <w:rFonts w:ascii="宋体" w:hAnsi="宋体" w:hint="eastAsia"/>
          <w:sz w:val="24"/>
        </w:rPr>
        <w:t>（四）基金托管人应当加强对基金合同的审核，对业绩比较基准的选取、变更等进行充分评估，确保基金管理人选取的业绩比较基准符合法律法规、中国证监会的规定和基金合同约定。</w:t>
      </w:r>
    </w:p>
    <w:p w14:paraId="4BC41016"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应当对定期报告有关业绩比较基准的披露内容进行复核。基金托管人应当按照规定对基金投资风格库进行审慎复核，督促基金管理人夯实研究支持，确保相关投资标的符合基金合同约定，并与基金投资风格相匹配。</w:t>
      </w:r>
    </w:p>
    <w:p w14:paraId="01F281EF" w14:textId="0B581E25" w:rsidR="005A043F" w:rsidRDefault="0029200C">
      <w:pPr>
        <w:spacing w:line="360" w:lineRule="auto"/>
        <w:ind w:firstLineChars="200" w:firstLine="480"/>
        <w:rPr>
          <w:rFonts w:ascii="宋体" w:hAnsi="宋体"/>
          <w:sz w:val="24"/>
        </w:rPr>
      </w:pPr>
      <w:r>
        <w:rPr>
          <w:rFonts w:ascii="宋体" w:hAnsi="宋体" w:hint="eastAsia"/>
          <w:sz w:val="24"/>
        </w:rPr>
        <w:t>（五）基金托管人发现基金管理人的投资运作及其他运作违反《基金法》、《基金合同》、本协议有关规定时，应及时以书面形式通知基金管理人限期纠正。基金管理人收到通知后应及时核对，并以书面形式向基金托管人发出回函，就基金托管人的合理疑义进行解释或举证。</w:t>
      </w:r>
    </w:p>
    <w:p w14:paraId="4F6F6964" w14:textId="77777777" w:rsidR="005A043F" w:rsidRDefault="0029200C">
      <w:pPr>
        <w:spacing w:line="360" w:lineRule="auto"/>
        <w:ind w:firstLineChars="200" w:firstLine="480"/>
        <w:rPr>
          <w:rFonts w:ascii="宋体" w:hAnsi="宋体"/>
          <w:sz w:val="24"/>
        </w:rPr>
      </w:pPr>
      <w:r>
        <w:rPr>
          <w:rFonts w:ascii="宋体" w:hAnsi="宋体" w:hint="eastAsia"/>
          <w:sz w:val="24"/>
        </w:rPr>
        <w:t>在限期内，基金托管人有权随时对通知事项进行复查，督促基金管理人改正。基金管理人对基金托管人通知的违规事项未能在限期内纠正的，基金托管人应报告中国证监会。</w:t>
      </w:r>
    </w:p>
    <w:p w14:paraId="002B0AAF" w14:textId="77777777" w:rsidR="005A043F" w:rsidRDefault="0029200C">
      <w:pPr>
        <w:spacing w:line="360" w:lineRule="auto"/>
        <w:ind w:firstLineChars="200" w:firstLine="480"/>
        <w:rPr>
          <w:rFonts w:ascii="宋体" w:hAnsi="宋体"/>
          <w:sz w:val="24"/>
        </w:rPr>
      </w:pPr>
      <w:r>
        <w:rPr>
          <w:rFonts w:ascii="宋体" w:hAnsi="宋体" w:hint="eastAsia"/>
          <w:sz w:val="24"/>
        </w:rPr>
        <w:t>对于依据交易程序尚未成交的</w:t>
      </w:r>
      <w:proofErr w:type="gramStart"/>
      <w:r>
        <w:rPr>
          <w:rFonts w:ascii="宋体" w:hAnsi="宋体" w:hint="eastAsia"/>
          <w:sz w:val="24"/>
        </w:rPr>
        <w:t>且基金</w:t>
      </w:r>
      <w:proofErr w:type="gramEnd"/>
      <w:r>
        <w:rPr>
          <w:rFonts w:ascii="宋体" w:hAnsi="宋体" w:hint="eastAsia"/>
          <w:sz w:val="24"/>
        </w:rPr>
        <w:t>托管人在交易前能够监控的投资指令，基金托管人发现该投资指令违反有关法律法规规定或者违反《基金合同》或本协议约定的，应当拒绝执行，立即通知基金管理人。</w:t>
      </w:r>
    </w:p>
    <w:p w14:paraId="0E458E87" w14:textId="77777777" w:rsidR="005A043F" w:rsidRDefault="0029200C">
      <w:pPr>
        <w:spacing w:line="360" w:lineRule="auto"/>
        <w:ind w:firstLineChars="200" w:firstLine="480"/>
        <w:rPr>
          <w:rFonts w:ascii="宋体" w:hAnsi="宋体"/>
          <w:sz w:val="24"/>
        </w:rPr>
      </w:pPr>
      <w:r>
        <w:rPr>
          <w:rFonts w:ascii="宋体" w:hAnsi="宋体" w:hint="eastAsia"/>
          <w:sz w:val="24"/>
        </w:rPr>
        <w:t>对于必须于估值完成后方可获知的监控指标或依据交易程序已经成交的投资指令，基金托管人发现该投资指令违反法律法规或者违反《基金合同》或本协议约定的，应当立即通知基金管理人。</w:t>
      </w:r>
    </w:p>
    <w:p w14:paraId="1D79984E"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基金管理人应积极配合和协助基金托管人的监督和核查，必须在规定时间内</w:t>
      </w:r>
      <w:r>
        <w:rPr>
          <w:rFonts w:ascii="宋体" w:hAnsi="宋体" w:hint="eastAsia"/>
          <w:sz w:val="24"/>
        </w:rPr>
        <w:lastRenderedPageBreak/>
        <w:t>答复基金托管人并改正，就基金托管人的合理疑义进行解释或举证。对基金托管人按照法规要求需向中国证监会报送基金监督报告的，基金管理人应积极配合提供必要的相关数据资料和制度等。</w:t>
      </w:r>
    </w:p>
    <w:p w14:paraId="5CD4A036" w14:textId="24D05EEC" w:rsidR="005A043F" w:rsidRDefault="0029200C">
      <w:pPr>
        <w:spacing w:line="360" w:lineRule="auto"/>
        <w:ind w:firstLineChars="200" w:firstLine="480"/>
        <w:rPr>
          <w:rFonts w:ascii="宋体" w:hAnsi="宋体"/>
          <w:sz w:val="24"/>
        </w:rPr>
      </w:pPr>
      <w:r>
        <w:rPr>
          <w:rFonts w:ascii="宋体" w:hAnsi="宋体" w:hint="eastAsia"/>
          <w:sz w:val="24"/>
        </w:rPr>
        <w:t>基金托管人发现基金管理人有重大违规行为，应立即报告中国证监会，同时通知基金管理人限期纠正。基金托管人发现基金管理人借助基金托管人的品牌、声誉开展不当营销宣传的，有权督促基金管理人及时纠正。基金管理人未及时采取有效纠正措施的，基金托管人在采取必要、合理措施保障投资者合法权益的前提下，有权按照托管协议约定终止本托管协议，并通知管理人和基金份额持有人。</w:t>
      </w:r>
    </w:p>
    <w:p w14:paraId="64132CA7"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无正当理由，拒绝、阻挠基金托管人根据本协议约定行使监督权，或采取拖延、欺诈等手段妨碍基金托管人进行有效监督，情节严重或经基金托管人提出警告仍不改正的，基金托管人应报告中国证监会。</w:t>
      </w:r>
    </w:p>
    <w:p w14:paraId="4EA4F83B"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50" w:name="_Toc125361076"/>
      <w:bookmarkStart w:id="51" w:name="_Toc140002339"/>
      <w:bookmarkStart w:id="52" w:name="_Toc124749939"/>
      <w:bookmarkStart w:id="53" w:name="_Toc123705448"/>
      <w:bookmarkStart w:id="54" w:name="_Toc124749228"/>
      <w:r>
        <w:rPr>
          <w:rFonts w:ascii="宋体" w:hAnsi="宋体" w:cs="Arial" w:hint="eastAsia"/>
          <w:sz w:val="30"/>
        </w:rPr>
        <w:t>基金管理人对基金托管人的业务核查</w:t>
      </w:r>
      <w:bookmarkEnd w:id="50"/>
      <w:bookmarkEnd w:id="51"/>
      <w:bookmarkEnd w:id="52"/>
      <w:bookmarkEnd w:id="53"/>
      <w:bookmarkEnd w:id="54"/>
    </w:p>
    <w:p w14:paraId="29D3C90D" w14:textId="68D6455F" w:rsidR="005A043F" w:rsidRDefault="0029200C">
      <w:pPr>
        <w:spacing w:line="360" w:lineRule="auto"/>
        <w:ind w:firstLineChars="200" w:firstLine="480"/>
        <w:rPr>
          <w:rFonts w:ascii="宋体" w:hAnsi="宋体"/>
          <w:sz w:val="24"/>
        </w:rPr>
      </w:pPr>
      <w:r>
        <w:rPr>
          <w:rFonts w:ascii="宋体" w:hAnsi="宋体" w:hint="eastAsia"/>
          <w:sz w:val="24"/>
        </w:rPr>
        <w:t>基金管理人对基金托管人履行托管职责情况进行核查，核查事项包括但不限于基金托管人安全保管基金财产、开设基金财产的资金账户、证券账户和期货账户等投资所需账户、复核基金管理人计算的基金资产净值和各类基金份额净值、根据管理人指令办理清算交收、相关信息披露和监督基金投资运作等行为。</w:t>
      </w:r>
    </w:p>
    <w:p w14:paraId="3CD4B47D"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发现基金托管人擅自挪用基金财产、未对基金财产实行分账管理、无故未执行或无故延迟执行基金管理人资金划拨指令、泄露基金投资信息等违反《基金法》、《基金合同》、本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的，基金管理人应报告中国证监会。基金管理人有义务要求基金托管人赔偿基金因此所遭受的损失。</w:t>
      </w:r>
    </w:p>
    <w:p w14:paraId="471D052A"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基金管理人发现基金托管人有重大违规行为，应立即报告中国证监会和银行业监督管理机构，同时通知基金托管人限期纠正。</w:t>
      </w:r>
    </w:p>
    <w:p w14:paraId="3F5BE95C"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基金托管人应积极配合基金管理人的核查行为，包括但不限于：提交相关资料以</w:t>
      </w:r>
      <w:proofErr w:type="gramStart"/>
      <w:r>
        <w:rPr>
          <w:rFonts w:ascii="宋体" w:hAnsi="宋体" w:hint="eastAsia"/>
          <w:sz w:val="24"/>
        </w:rPr>
        <w:t>供基金</w:t>
      </w:r>
      <w:proofErr w:type="gramEnd"/>
      <w:r>
        <w:rPr>
          <w:rFonts w:ascii="宋体" w:hAnsi="宋体" w:hint="eastAsia"/>
          <w:sz w:val="24"/>
        </w:rPr>
        <w:t>管理人核查托管财产的完整性和真实性，在规定时间内答复基金管理人并改正。</w:t>
      </w:r>
    </w:p>
    <w:p w14:paraId="441444BD"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无正当理由，拒绝、阻挠基金管理人根据本协议约定行使监督权，或采取拖延、欺诈等手段妨碍基金管理人进行有效监督，情节严重或经基金管理人提出警告仍不改正的，基金管理人应报告中国证监会。</w:t>
      </w:r>
    </w:p>
    <w:p w14:paraId="589DEA17"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55" w:name="_Hlt88903324"/>
      <w:bookmarkStart w:id="56" w:name="_Toc140002340"/>
      <w:bookmarkStart w:id="57" w:name="_Toc523829995"/>
      <w:bookmarkStart w:id="58" w:name="_Toc22454437"/>
      <w:bookmarkStart w:id="59" w:name="_Toc466788854"/>
      <w:bookmarkStart w:id="60" w:name="_Toc48703889"/>
      <w:bookmarkStart w:id="61" w:name="_Toc125361077"/>
      <w:bookmarkStart w:id="62" w:name="_Toc123626171"/>
      <w:bookmarkStart w:id="63" w:name="_Toc124749940"/>
      <w:bookmarkStart w:id="64" w:name="_Toc124749229"/>
      <w:bookmarkEnd w:id="55"/>
      <w:r>
        <w:rPr>
          <w:rFonts w:ascii="宋体" w:hAnsi="宋体" w:cs="Arial" w:hint="eastAsia"/>
          <w:sz w:val="30"/>
        </w:rPr>
        <w:t>基金财产保管</w:t>
      </w:r>
      <w:bookmarkEnd w:id="56"/>
      <w:bookmarkEnd w:id="57"/>
      <w:bookmarkEnd w:id="58"/>
      <w:bookmarkEnd w:id="59"/>
      <w:bookmarkEnd w:id="60"/>
      <w:bookmarkEnd w:id="61"/>
      <w:bookmarkEnd w:id="62"/>
      <w:bookmarkEnd w:id="63"/>
      <w:bookmarkEnd w:id="64"/>
    </w:p>
    <w:p w14:paraId="3D2A4F9E" w14:textId="77777777" w:rsidR="005A043F" w:rsidRDefault="0029200C">
      <w:pPr>
        <w:spacing w:line="360" w:lineRule="auto"/>
        <w:ind w:firstLineChars="200" w:firstLine="480"/>
        <w:rPr>
          <w:rFonts w:ascii="宋体" w:hAnsi="宋体"/>
          <w:sz w:val="24"/>
        </w:rPr>
      </w:pPr>
      <w:bookmarkStart w:id="65" w:name="_Toc37159173"/>
      <w:r>
        <w:rPr>
          <w:rFonts w:ascii="宋体" w:hAnsi="宋体" w:hint="eastAsia"/>
          <w:sz w:val="24"/>
        </w:rPr>
        <w:t>（一）基金财产保管的原则</w:t>
      </w:r>
      <w:bookmarkStart w:id="66" w:name="_Hlt88903033"/>
      <w:bookmarkEnd w:id="65"/>
      <w:bookmarkEnd w:id="66"/>
    </w:p>
    <w:p w14:paraId="1B3D4362" w14:textId="77777777" w:rsidR="005A043F" w:rsidRDefault="0029200C">
      <w:pPr>
        <w:spacing w:line="360" w:lineRule="auto"/>
        <w:ind w:firstLineChars="200" w:firstLine="480"/>
        <w:rPr>
          <w:rFonts w:ascii="宋体" w:hAnsi="宋体"/>
          <w:sz w:val="24"/>
        </w:rPr>
      </w:pPr>
      <w:r>
        <w:rPr>
          <w:rFonts w:ascii="宋体" w:hAnsi="宋体" w:hint="eastAsia"/>
          <w:sz w:val="24"/>
        </w:rPr>
        <w:t>1、基金财产应独立于基金管理人、基金托管人和证券经纪商的固有财产。</w:t>
      </w:r>
    </w:p>
    <w:p w14:paraId="184EB80F" w14:textId="77777777" w:rsidR="005A043F" w:rsidRDefault="0029200C">
      <w:pPr>
        <w:spacing w:line="360" w:lineRule="auto"/>
        <w:ind w:firstLineChars="200" w:firstLine="480"/>
        <w:rPr>
          <w:rFonts w:ascii="宋体" w:hAnsi="宋体"/>
          <w:sz w:val="24"/>
        </w:rPr>
      </w:pPr>
      <w:r>
        <w:rPr>
          <w:rFonts w:ascii="宋体" w:hAnsi="宋体" w:hint="eastAsia"/>
          <w:sz w:val="24"/>
        </w:rPr>
        <w:t>2、基金托管人应安全保管基金财产。未经基金管理人的有效指令，不得自行运用、处分、分配基金的任何财产。</w:t>
      </w:r>
    </w:p>
    <w:p w14:paraId="1EF7C66E" w14:textId="77777777" w:rsidR="005A043F" w:rsidRDefault="0029200C">
      <w:pPr>
        <w:spacing w:line="360" w:lineRule="auto"/>
        <w:ind w:firstLineChars="200" w:firstLine="480"/>
        <w:rPr>
          <w:rFonts w:ascii="宋体" w:hAnsi="宋体"/>
          <w:sz w:val="24"/>
        </w:rPr>
      </w:pPr>
      <w:r>
        <w:rPr>
          <w:rFonts w:ascii="宋体" w:hAnsi="宋体" w:hint="eastAsia"/>
          <w:sz w:val="24"/>
        </w:rPr>
        <w:t>3、基金托管人按照规定开设基金财产的资金账户和证券账户等投资所需账户。</w:t>
      </w:r>
    </w:p>
    <w:p w14:paraId="22843F88" w14:textId="77777777" w:rsidR="005A043F" w:rsidRDefault="0029200C">
      <w:pPr>
        <w:spacing w:line="360" w:lineRule="auto"/>
        <w:ind w:firstLineChars="200" w:firstLine="480"/>
        <w:rPr>
          <w:rFonts w:ascii="宋体" w:hAnsi="宋体"/>
          <w:sz w:val="24"/>
        </w:rPr>
      </w:pPr>
      <w:r>
        <w:rPr>
          <w:rFonts w:ascii="宋体" w:hAnsi="宋体" w:hint="eastAsia"/>
          <w:sz w:val="24"/>
        </w:rPr>
        <w:t>4、基金托管人对所托管的不同基金财产分别设置账户，与基金托管人的其他业务和其他基金的托管业务实行严格的分账管理，确保基金财产的完整与独立。</w:t>
      </w:r>
    </w:p>
    <w:p w14:paraId="46860884" w14:textId="5DF2DC57" w:rsidR="005A043F" w:rsidRDefault="0029200C">
      <w:pPr>
        <w:spacing w:line="360" w:lineRule="auto"/>
        <w:ind w:firstLineChars="200" w:firstLine="480"/>
        <w:rPr>
          <w:rFonts w:ascii="宋体" w:hAnsi="宋体"/>
          <w:sz w:val="24"/>
        </w:rPr>
      </w:pPr>
      <w:r>
        <w:rPr>
          <w:rFonts w:ascii="宋体" w:hAnsi="宋体" w:hint="eastAsia"/>
          <w:sz w:val="24"/>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应予以必要的协助和配合，基金托管人</w:t>
      </w:r>
      <w:r w:rsidRPr="00324CB0">
        <w:rPr>
          <w:rFonts w:ascii="宋体" w:hAnsi="宋体" w:hint="eastAsia"/>
          <w:sz w:val="24"/>
          <w:lang w:bidi="ar"/>
        </w:rPr>
        <w:t>对此不承担</w:t>
      </w:r>
      <w:r>
        <w:rPr>
          <w:rFonts w:ascii="宋体" w:hAnsi="宋体" w:hint="eastAsia"/>
          <w:sz w:val="24"/>
          <w:lang w:bidi="ar"/>
        </w:rPr>
        <w:t>责任。</w:t>
      </w:r>
      <w:bookmarkStart w:id="67" w:name="_Hlt88902859"/>
      <w:bookmarkEnd w:id="67"/>
    </w:p>
    <w:p w14:paraId="1F018E11" w14:textId="77777777" w:rsidR="005A043F" w:rsidRDefault="0029200C">
      <w:pPr>
        <w:spacing w:line="360" w:lineRule="auto"/>
        <w:ind w:firstLineChars="200" w:firstLine="480"/>
        <w:rPr>
          <w:rFonts w:ascii="宋体" w:hAnsi="宋体"/>
          <w:sz w:val="24"/>
        </w:rPr>
      </w:pPr>
      <w:bookmarkStart w:id="68" w:name="_Toc37159174"/>
      <w:r>
        <w:rPr>
          <w:rFonts w:ascii="宋体" w:hAnsi="宋体" w:hint="eastAsia"/>
          <w:sz w:val="24"/>
        </w:rPr>
        <w:t>（二）募集资金的验证</w:t>
      </w:r>
      <w:bookmarkEnd w:id="68"/>
    </w:p>
    <w:p w14:paraId="19B3DB0D" w14:textId="77777777" w:rsidR="005A043F" w:rsidRDefault="0029200C">
      <w:pPr>
        <w:spacing w:line="360" w:lineRule="auto"/>
        <w:ind w:firstLineChars="200" w:firstLine="480"/>
        <w:rPr>
          <w:rFonts w:ascii="宋体" w:hAnsi="宋体"/>
          <w:sz w:val="24"/>
        </w:rPr>
      </w:pPr>
      <w:r>
        <w:rPr>
          <w:rFonts w:ascii="宋体" w:hAnsi="宋体" w:hint="eastAsia"/>
          <w:sz w:val="24"/>
        </w:rPr>
        <w:t>募集期内销售机构按销售与服务代理协议的约定，将认购资金划入基金管理人在具有托管资格的商业银行开设的嘉</w:t>
      </w:r>
      <w:proofErr w:type="gramStart"/>
      <w:r>
        <w:rPr>
          <w:rFonts w:ascii="宋体" w:hAnsi="宋体" w:hint="eastAsia"/>
          <w:sz w:val="24"/>
        </w:rPr>
        <w:t>实基金</w:t>
      </w:r>
      <w:proofErr w:type="gramEnd"/>
      <w:r>
        <w:rPr>
          <w:rFonts w:ascii="宋体" w:hAnsi="宋体" w:hint="eastAsia"/>
          <w:sz w:val="24"/>
        </w:rPr>
        <w:t>管理有限公司基金认购专户。该账户由基金管理人开立并管理。基金管理人按照法律法规的反洗钱要求，对投资人</w:t>
      </w:r>
      <w:r>
        <w:rPr>
          <w:rFonts w:ascii="宋体" w:hAnsi="宋体" w:hint="eastAsia"/>
          <w:sz w:val="24"/>
        </w:rPr>
        <w:lastRenderedPageBreak/>
        <w:t>及其资金来源履行必要的反洗钱合</w:t>
      </w:r>
      <w:proofErr w:type="gramStart"/>
      <w:r>
        <w:rPr>
          <w:rFonts w:ascii="宋体" w:hAnsi="宋体" w:hint="eastAsia"/>
          <w:sz w:val="24"/>
        </w:rPr>
        <w:t>规</w:t>
      </w:r>
      <w:proofErr w:type="gramEnd"/>
      <w:r>
        <w:rPr>
          <w:rFonts w:ascii="宋体" w:hAnsi="宋体" w:hint="eastAsia"/>
          <w:sz w:val="24"/>
        </w:rPr>
        <w:t>审查工作。基金募集期满或基金提前结束募集，募集的基金份额总额、基金募集金额、基金份额持有人人数符合《基金法》、《运作办法》等有关规定后，由基金管理人聘请符合《中华人民共和国证券法》（以下简称“《证券法》”）规定的会计师事务所进行验资，出具验资报告，出具的验资报告应由参加验资的</w:t>
      </w:r>
      <w:r>
        <w:rPr>
          <w:rFonts w:ascii="宋体" w:hAnsi="宋体"/>
          <w:sz w:val="24"/>
        </w:rPr>
        <w:t>2</w:t>
      </w:r>
      <w:r>
        <w:rPr>
          <w:rFonts w:ascii="宋体" w:hAnsi="宋体" w:hint="eastAsia"/>
          <w:sz w:val="24"/>
        </w:rPr>
        <w:t>名以上（含</w:t>
      </w:r>
      <w:r>
        <w:rPr>
          <w:rFonts w:ascii="宋体" w:hAnsi="宋体"/>
          <w:sz w:val="24"/>
        </w:rPr>
        <w:t>2</w:t>
      </w:r>
      <w:r>
        <w:rPr>
          <w:rFonts w:ascii="宋体" w:hAnsi="宋体" w:hint="eastAsia"/>
          <w:sz w:val="24"/>
        </w:rPr>
        <w:t>名）中国注册会计师签字有效。验资完成，基金管理人应将募集的属于本基金财产的全部资金划入基金托管人为基金开立的资产托管专户中，</w:t>
      </w:r>
      <w:r w:rsidRPr="00460426">
        <w:rPr>
          <w:rFonts w:ascii="宋体" w:hAnsi="宋体" w:hint="eastAsia"/>
          <w:sz w:val="24"/>
        </w:rPr>
        <w:t>基金托管人在收到资金当日出具确认文件</w:t>
      </w:r>
      <w:r>
        <w:rPr>
          <w:rFonts w:ascii="宋体" w:hAnsi="宋体" w:hint="eastAsia"/>
          <w:sz w:val="24"/>
        </w:rPr>
        <w:t>。</w:t>
      </w:r>
    </w:p>
    <w:p w14:paraId="2FB66E76" w14:textId="77777777" w:rsidR="005A043F" w:rsidRDefault="0029200C">
      <w:pPr>
        <w:spacing w:line="360" w:lineRule="auto"/>
        <w:ind w:firstLineChars="200" w:firstLine="480"/>
        <w:rPr>
          <w:rFonts w:ascii="宋体" w:hAnsi="宋体"/>
          <w:sz w:val="24"/>
        </w:rPr>
      </w:pPr>
      <w:proofErr w:type="gramStart"/>
      <w:r>
        <w:rPr>
          <w:rFonts w:ascii="宋体" w:hAnsi="宋体" w:hint="eastAsia"/>
          <w:sz w:val="24"/>
        </w:rPr>
        <w:t>若基金</w:t>
      </w:r>
      <w:proofErr w:type="gramEnd"/>
      <w:r>
        <w:rPr>
          <w:rFonts w:ascii="宋体" w:hAnsi="宋体" w:hint="eastAsia"/>
          <w:sz w:val="24"/>
        </w:rPr>
        <w:t>募集期限届满，未能达到《基金合同》生效的条件，由基金管理人按规定办理退款事宜，基金托管人应予以必要的协助和配合。</w:t>
      </w:r>
    </w:p>
    <w:p w14:paraId="350435E0" w14:textId="77777777" w:rsidR="005A043F" w:rsidRDefault="0029200C">
      <w:pPr>
        <w:spacing w:line="360" w:lineRule="auto"/>
        <w:ind w:firstLineChars="200" w:firstLine="480"/>
        <w:rPr>
          <w:rFonts w:ascii="宋体" w:hAnsi="宋体"/>
          <w:sz w:val="24"/>
        </w:rPr>
      </w:pPr>
      <w:r>
        <w:rPr>
          <w:rFonts w:ascii="宋体" w:hAnsi="宋体" w:hint="eastAsia"/>
          <w:sz w:val="24"/>
        </w:rPr>
        <w:t>（三）基金的银行账户的开立和管理</w:t>
      </w:r>
    </w:p>
    <w:p w14:paraId="7D93A0AC" w14:textId="3EBE73B2" w:rsidR="005A043F" w:rsidRDefault="0029200C">
      <w:pPr>
        <w:spacing w:line="360" w:lineRule="auto"/>
        <w:ind w:firstLineChars="200" w:firstLine="480"/>
        <w:rPr>
          <w:rFonts w:ascii="宋体" w:hAnsi="宋体"/>
          <w:sz w:val="24"/>
        </w:rPr>
      </w:pPr>
      <w:r>
        <w:rPr>
          <w:rFonts w:ascii="宋体" w:hAnsi="宋体" w:hint="eastAsia"/>
          <w:sz w:val="24"/>
        </w:rPr>
        <w:t>基金管理人协助基金托管人以基金管理人全称+产品全称的命名方式，在其营业机构开设资产托管专户，保管基金的现金资产。托管专户的银行预留印鉴为</w:t>
      </w:r>
      <w:r>
        <w:rPr>
          <w:rFonts w:ascii="宋体" w:hAnsi="宋体" w:hint="eastAsia"/>
          <w:color w:val="000000" w:themeColor="text1"/>
          <w:sz w:val="24"/>
        </w:rPr>
        <w:t>基金管理人公章、法定代表人或授权人人名章和基金托管人资产托管部业务公章</w:t>
      </w:r>
      <w:r>
        <w:rPr>
          <w:rFonts w:ascii="宋体" w:hAnsi="宋体" w:hint="eastAsia"/>
          <w:sz w:val="24"/>
        </w:rPr>
        <w:t>。该账户的开设和管理由基金托管人承担，严格遵循基金托管人关于账户管理的相关规定。本基金的一切货币收支活动，均需通过基金托管人的资产托管专户进行。</w:t>
      </w:r>
    </w:p>
    <w:p w14:paraId="2387DF92" w14:textId="77777777" w:rsidR="005A043F" w:rsidRDefault="0029200C">
      <w:pPr>
        <w:spacing w:line="360" w:lineRule="auto"/>
        <w:ind w:firstLineChars="200" w:firstLine="480"/>
        <w:rPr>
          <w:rFonts w:ascii="宋体" w:hAnsi="宋体"/>
          <w:sz w:val="24"/>
        </w:rPr>
      </w:pPr>
      <w:r>
        <w:rPr>
          <w:rFonts w:ascii="宋体" w:hAnsi="宋体" w:hint="eastAsia"/>
          <w:sz w:val="24"/>
        </w:rPr>
        <w:t>资产托管专户的开立和使用，限于满足开展本基金业务的需要。基金托管人和基金管理人不得假借本基金的名义开立其他任何银行账户；亦不得使用基金的任何银行账户进行本基金业务以外的活动。</w:t>
      </w:r>
    </w:p>
    <w:p w14:paraId="2E98ABE6" w14:textId="77777777" w:rsidR="005A043F" w:rsidRDefault="0029200C">
      <w:pPr>
        <w:spacing w:line="360" w:lineRule="auto"/>
        <w:ind w:firstLineChars="200" w:firstLine="480"/>
        <w:rPr>
          <w:rFonts w:ascii="宋体" w:hAnsi="宋体"/>
          <w:sz w:val="24"/>
        </w:rPr>
      </w:pPr>
      <w:r>
        <w:rPr>
          <w:rFonts w:ascii="宋体" w:hAnsi="宋体" w:hint="eastAsia"/>
          <w:sz w:val="24"/>
        </w:rPr>
        <w:t>资产托管专户的管理应符合《</w:t>
      </w:r>
      <w:r>
        <w:rPr>
          <w:rFonts w:ascii="宋体" w:hAnsi="宋体"/>
          <w:sz w:val="24"/>
        </w:rPr>
        <w:t>人民币银行结算账户管理</w:t>
      </w:r>
      <w:r>
        <w:rPr>
          <w:rFonts w:ascii="宋体" w:hAnsi="宋体" w:hint="eastAsia"/>
          <w:sz w:val="24"/>
        </w:rPr>
        <w:t>办法》、《支付结算办法》利率管理等相关监管法规要求。</w:t>
      </w:r>
    </w:p>
    <w:p w14:paraId="32075173" w14:textId="2B69530D" w:rsidR="005A043F" w:rsidRDefault="0029200C">
      <w:pPr>
        <w:spacing w:line="360" w:lineRule="auto"/>
        <w:ind w:firstLineChars="200" w:firstLine="480"/>
        <w:rPr>
          <w:rFonts w:ascii="宋体" w:hAnsi="宋体"/>
          <w:sz w:val="24"/>
        </w:rPr>
      </w:pPr>
      <w:r>
        <w:rPr>
          <w:rFonts w:ascii="宋体" w:hAnsi="宋体" w:hint="eastAsia"/>
          <w:sz w:val="24"/>
        </w:rPr>
        <w:t>（四）基金证券账户的开设和管理</w:t>
      </w:r>
    </w:p>
    <w:p w14:paraId="5DCC79C6" w14:textId="552AB620" w:rsidR="005A043F" w:rsidRDefault="0029200C">
      <w:pPr>
        <w:spacing w:line="360" w:lineRule="auto"/>
        <w:ind w:firstLineChars="200" w:firstLine="480"/>
        <w:rPr>
          <w:rFonts w:ascii="宋体" w:hAnsi="宋体"/>
          <w:sz w:val="24"/>
        </w:rPr>
      </w:pPr>
      <w:r>
        <w:rPr>
          <w:rFonts w:ascii="宋体" w:hAnsi="宋体" w:hint="eastAsia"/>
          <w:sz w:val="24"/>
        </w:rPr>
        <w:t>基金托管人以基金托管人和本基金联名的方式在中国证券登记结算有限责任公司开设证券账户。</w:t>
      </w:r>
    </w:p>
    <w:p w14:paraId="7C4440C2" w14:textId="77777777" w:rsidR="005A043F" w:rsidRDefault="0029200C">
      <w:pPr>
        <w:spacing w:line="360" w:lineRule="auto"/>
        <w:ind w:firstLineChars="200" w:firstLine="480"/>
        <w:rPr>
          <w:rFonts w:ascii="宋体" w:hAnsi="宋体"/>
          <w:sz w:val="24"/>
        </w:rPr>
      </w:pPr>
      <w:r>
        <w:rPr>
          <w:rFonts w:ascii="宋体" w:hAnsi="宋体" w:hint="eastAsia"/>
          <w:sz w:val="24"/>
        </w:rPr>
        <w:t>基金证券账户的开立和使用，限于满足开展本基金业务的需要。基金托管人和基金管理人不得出借和未经对方同意擅自转让基金的任何证券账户；亦不得使用基金的任何账户进行本基金业务以外的活动。</w:t>
      </w:r>
    </w:p>
    <w:p w14:paraId="61753E26"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（五）证券资金账户的开立和管理</w:t>
      </w:r>
    </w:p>
    <w:p w14:paraId="69DE1264"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以基金名义在基金管理人选择的证券经营机构营业网点开立证券资金账户。证券经营机构根据相关法律法规、规范性文件为本基金开立证券资金账户，并按照该证券经营机构开户的流程和要求与基金管理人签订相关协议。</w:t>
      </w:r>
    </w:p>
    <w:p w14:paraId="07747753" w14:textId="49B7B19F" w:rsidR="005A043F" w:rsidRDefault="0029200C">
      <w:pPr>
        <w:spacing w:line="360" w:lineRule="auto"/>
        <w:ind w:firstLineChars="200" w:firstLine="480"/>
        <w:rPr>
          <w:rFonts w:ascii="宋体" w:hAnsi="宋体"/>
          <w:sz w:val="24"/>
        </w:rPr>
      </w:pPr>
      <w:r>
        <w:rPr>
          <w:rFonts w:ascii="宋体" w:hAnsi="宋体" w:hint="eastAsia"/>
          <w:sz w:val="24"/>
        </w:rPr>
        <w:t>交易所证券交易资金采用第三方存管模式，证券资金账户与基金托管人在托管人指定的第三方存管银行营业机构开立的三方存管账户建立第三方存管关系。即用于证券交易的结算资金全额存放在基金管理人为基金开立的证券资金账户中，场内的证券交易资金清算由基金管理人所选择的证券经营机构负责。证券资金账户内的资金，只能通过证银转账方式将资金划转至三方存管账户，再由三方存管账户划转至托管专户，不得将资金划转至任何其他银行账户。基金托管人不负责办理场内的证券交易资金清算，也不负责保管证券资金账户内存放的资金。</w:t>
      </w:r>
    </w:p>
    <w:p w14:paraId="29228319" w14:textId="2725EADE" w:rsidR="005A043F" w:rsidRDefault="0029200C">
      <w:pPr>
        <w:spacing w:line="360" w:lineRule="auto"/>
        <w:ind w:firstLineChars="200" w:firstLine="480"/>
        <w:rPr>
          <w:rFonts w:ascii="宋体" w:hAnsi="宋体"/>
          <w:sz w:val="24"/>
        </w:rPr>
      </w:pPr>
      <w:r>
        <w:rPr>
          <w:rFonts w:ascii="宋体" w:hAnsi="宋体" w:hint="eastAsia"/>
          <w:sz w:val="24"/>
        </w:rPr>
        <w:t>（六）债券托管账户的开立和管理</w:t>
      </w:r>
    </w:p>
    <w:p w14:paraId="2C0C13D3" w14:textId="21CD24C0" w:rsidR="005A043F" w:rsidRDefault="0029200C">
      <w:pPr>
        <w:widowControl/>
        <w:spacing w:line="360" w:lineRule="auto"/>
        <w:ind w:firstLineChars="200" w:firstLine="480"/>
        <w:jc w:val="left"/>
        <w:rPr>
          <w:rFonts w:ascii="宋体" w:hAnsi="宋体"/>
          <w:sz w:val="24"/>
        </w:rPr>
      </w:pPr>
      <w:r>
        <w:rPr>
          <w:rFonts w:ascii="宋体" w:hAnsi="宋体" w:hint="eastAsia"/>
          <w:sz w:val="24"/>
        </w:rPr>
        <w:t>1、《基金合同》生效后，基金管理人负责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账户和资金结算专户，</w:t>
      </w:r>
      <w:r>
        <w:rPr>
          <w:rFonts w:ascii="宋体" w:hAnsi="宋体" w:hint="eastAsia"/>
          <w:sz w:val="24"/>
          <w:lang w:bidi="ar"/>
        </w:rPr>
        <w:t>并代表基金进行银行间债券市场债券和资金的清算。</w:t>
      </w:r>
    </w:p>
    <w:p w14:paraId="666152E7" w14:textId="77777777" w:rsidR="005A043F" w:rsidRDefault="0029200C">
      <w:pPr>
        <w:spacing w:line="360" w:lineRule="auto"/>
        <w:ind w:firstLineChars="200" w:firstLine="480"/>
        <w:rPr>
          <w:rFonts w:ascii="宋体" w:hAnsi="宋体"/>
          <w:sz w:val="24"/>
        </w:rPr>
      </w:pPr>
      <w:r>
        <w:rPr>
          <w:rFonts w:ascii="宋体" w:hAnsi="宋体" w:hint="eastAsia"/>
          <w:sz w:val="24"/>
        </w:rPr>
        <w:t>2、基金管理人和基金托管人应一起负责为基金对外签订全国银行间债券市场回购主协议，正本由基金托管人保管，基金管理人保存副本。</w:t>
      </w:r>
    </w:p>
    <w:p w14:paraId="3EB64C2C" w14:textId="5607A61A" w:rsidR="005A043F" w:rsidRDefault="0029200C">
      <w:pPr>
        <w:spacing w:line="360" w:lineRule="auto"/>
        <w:ind w:firstLineChars="200" w:firstLine="480"/>
        <w:rPr>
          <w:rFonts w:ascii="宋体" w:hAnsi="宋体"/>
          <w:sz w:val="24"/>
        </w:rPr>
      </w:pPr>
      <w:r>
        <w:rPr>
          <w:rFonts w:ascii="宋体" w:hAnsi="宋体" w:hint="eastAsia"/>
          <w:sz w:val="24"/>
        </w:rPr>
        <w:t>（七）存款投资账户的开立和管理</w:t>
      </w:r>
    </w:p>
    <w:p w14:paraId="72950F2B" w14:textId="77777777" w:rsidR="005A043F" w:rsidRDefault="0029200C">
      <w:pPr>
        <w:spacing w:line="360" w:lineRule="auto"/>
        <w:ind w:firstLineChars="200" w:firstLine="480"/>
        <w:rPr>
          <w:rFonts w:ascii="宋体" w:hAnsi="宋体"/>
          <w:sz w:val="24"/>
        </w:rPr>
      </w:pPr>
      <w:r>
        <w:rPr>
          <w:rFonts w:ascii="宋体" w:hAnsi="宋体" w:hint="eastAsia"/>
          <w:sz w:val="24"/>
        </w:rPr>
        <w:t>基金财产开展定期存款等银行存款投资前，基金管理人应以基金名义开立银行存款账户，该账户仅限向托管账户划拨存款本金及利息资金。开户时基金管理人须向存款银行预留基金托管人印鉴，如基金托管人需变更预留印鉴，基金管理人应通知并配合存款银行办理变更手续。</w:t>
      </w:r>
    </w:p>
    <w:p w14:paraId="5B73E6FF"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基金管理人应按照双方约定，事先向基金托管人提供办理开户、存入、支取、变更等存款业务所需的经办人员身份证明信息等材料。如需在存款银行开通网上</w:t>
      </w:r>
      <w:r>
        <w:rPr>
          <w:rFonts w:ascii="宋体" w:hAnsi="宋体" w:hint="eastAsia"/>
          <w:sz w:val="24"/>
        </w:rPr>
        <w:lastRenderedPageBreak/>
        <w:t>银行、电话银行、手机银行等功能，需经基金管理人、基金托管人双方确认同意。</w:t>
      </w:r>
    </w:p>
    <w:p w14:paraId="0871A094" w14:textId="77777777" w:rsidR="005A043F" w:rsidRDefault="0029200C">
      <w:pPr>
        <w:spacing w:line="360" w:lineRule="auto"/>
        <w:ind w:firstLineChars="200" w:firstLine="480"/>
      </w:pPr>
      <w:r>
        <w:rPr>
          <w:rFonts w:ascii="宋体" w:hAnsi="宋体" w:cs="宋体"/>
          <w:kern w:val="0"/>
          <w:sz w:val="24"/>
          <w:lang w:bidi="ar"/>
        </w:rPr>
        <w:t>本基金投资银行存款时，基金管理人应当与存款银行签订具体存款协议，明确存款的类型、期限、利率、金额、账号、支取方式等细则，并作为划款指令附件。</w:t>
      </w:r>
      <w:r>
        <w:rPr>
          <w:rFonts w:ascii="宋体" w:hAnsi="宋体" w:cs="宋体" w:hint="eastAsia"/>
          <w:kern w:val="0"/>
          <w:sz w:val="24"/>
          <w:lang w:bidi="ar"/>
        </w:rPr>
        <w:t>同时，须</w:t>
      </w:r>
      <w:r>
        <w:rPr>
          <w:rFonts w:ascii="宋体" w:hAnsi="宋体" w:cs="宋体"/>
          <w:kern w:val="0"/>
          <w:sz w:val="24"/>
          <w:lang w:bidi="ar"/>
        </w:rPr>
        <w:t>将基金托管人为本基金开立的托管</w:t>
      </w:r>
      <w:r>
        <w:rPr>
          <w:rFonts w:ascii="宋体" w:hAnsi="宋体" w:cs="宋体" w:hint="eastAsia"/>
          <w:kern w:val="0"/>
          <w:sz w:val="24"/>
          <w:lang w:bidi="ar"/>
        </w:rPr>
        <w:t>专</w:t>
      </w:r>
      <w:r>
        <w:rPr>
          <w:rFonts w:ascii="宋体" w:hAnsi="宋体" w:cs="宋体"/>
          <w:kern w:val="0"/>
          <w:sz w:val="24"/>
          <w:lang w:bidi="ar"/>
        </w:rPr>
        <w:t>户指定为唯一回款账户，任何情况下，存款银行都不得将存款</w:t>
      </w:r>
      <w:proofErr w:type="gramStart"/>
      <w:r>
        <w:rPr>
          <w:rFonts w:ascii="宋体" w:hAnsi="宋体" w:cs="宋体"/>
          <w:kern w:val="0"/>
          <w:sz w:val="24"/>
          <w:lang w:bidi="ar"/>
        </w:rPr>
        <w:t>本息划往任何</w:t>
      </w:r>
      <w:proofErr w:type="gramEnd"/>
      <w:r>
        <w:rPr>
          <w:rFonts w:ascii="宋体" w:hAnsi="宋体" w:cs="宋体"/>
          <w:kern w:val="0"/>
          <w:sz w:val="24"/>
          <w:lang w:bidi="ar"/>
        </w:rPr>
        <w:t>其他账户。</w:t>
      </w:r>
    </w:p>
    <w:p w14:paraId="07C3A19B" w14:textId="77777777" w:rsidR="005A043F" w:rsidRDefault="0029200C">
      <w:pPr>
        <w:spacing w:line="360" w:lineRule="auto"/>
        <w:ind w:firstLineChars="200" w:firstLine="480"/>
        <w:rPr>
          <w:rFonts w:ascii="宋体" w:hAnsi="宋体"/>
          <w:sz w:val="24"/>
        </w:rPr>
      </w:pPr>
      <w:r>
        <w:rPr>
          <w:rFonts w:ascii="宋体" w:hAnsi="宋体" w:hint="eastAsia"/>
          <w:sz w:val="24"/>
        </w:rPr>
        <w:t>如需停止使用银行存款账户，基金管理人应联系基金托管人及时办理销户手续。</w:t>
      </w:r>
    </w:p>
    <w:p w14:paraId="771B69A8" w14:textId="7E7C10CD" w:rsidR="005A043F" w:rsidRDefault="0029200C">
      <w:pPr>
        <w:spacing w:line="360" w:lineRule="auto"/>
        <w:ind w:firstLineChars="200" w:firstLine="480"/>
        <w:rPr>
          <w:rFonts w:ascii="宋体" w:hAnsi="宋体"/>
          <w:sz w:val="24"/>
        </w:rPr>
      </w:pPr>
      <w:r>
        <w:rPr>
          <w:rFonts w:ascii="宋体" w:hAnsi="宋体" w:hint="eastAsia"/>
          <w:sz w:val="24"/>
        </w:rPr>
        <w:t>（八）</w:t>
      </w:r>
      <w:r>
        <w:rPr>
          <w:rFonts w:ascii="宋体" w:hAnsi="宋体"/>
          <w:sz w:val="24"/>
        </w:rPr>
        <w:t>期货账户的开立和管理</w:t>
      </w:r>
    </w:p>
    <w:p w14:paraId="71B154A1" w14:textId="77777777" w:rsidR="005A043F" w:rsidRDefault="0029200C">
      <w:pPr>
        <w:spacing w:line="360" w:lineRule="auto"/>
        <w:ind w:firstLineChars="200" w:firstLine="480"/>
        <w:rPr>
          <w:rFonts w:ascii="宋体" w:hAnsi="宋体"/>
          <w:sz w:val="24"/>
        </w:rPr>
      </w:pPr>
      <w:r>
        <w:rPr>
          <w:rFonts w:ascii="宋体" w:hAnsi="宋体"/>
          <w:sz w:val="24"/>
        </w:rPr>
        <w:t>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托管人。</w:t>
      </w:r>
    </w:p>
    <w:p w14:paraId="3B089568" w14:textId="77777777" w:rsidR="005A043F" w:rsidRDefault="0029200C">
      <w:pPr>
        <w:spacing w:line="360" w:lineRule="auto"/>
        <w:ind w:firstLineChars="200" w:firstLine="480"/>
        <w:rPr>
          <w:rFonts w:ascii="宋体" w:hAnsi="宋体"/>
          <w:sz w:val="24"/>
        </w:rPr>
      </w:pPr>
      <w:r>
        <w:rPr>
          <w:rFonts w:ascii="宋体" w:hAnsi="宋体"/>
          <w:sz w:val="24"/>
        </w:rPr>
        <w:t>基金托管人和基金管理人应当在开户过程中相互配合，并提供所需资料。基金管理人保证所提供的账户开户材料的真实性和有效性，且在相关资料变更后及时将变更的资料提供给基金托管人。</w:t>
      </w:r>
    </w:p>
    <w:p w14:paraId="5358866E" w14:textId="789D951C" w:rsidR="005A043F" w:rsidRDefault="0029200C">
      <w:pPr>
        <w:spacing w:line="360" w:lineRule="auto"/>
        <w:ind w:firstLineChars="200" w:firstLine="480"/>
        <w:rPr>
          <w:rFonts w:ascii="宋体" w:hAnsi="宋体"/>
          <w:sz w:val="24"/>
        </w:rPr>
      </w:pPr>
      <w:r>
        <w:rPr>
          <w:rFonts w:ascii="宋体" w:hAnsi="宋体" w:hint="eastAsia"/>
          <w:sz w:val="24"/>
        </w:rPr>
        <w:t>（九）其他账户的开设和管理</w:t>
      </w:r>
    </w:p>
    <w:p w14:paraId="062A0707" w14:textId="77777777" w:rsidR="005A043F" w:rsidRDefault="0029200C">
      <w:pPr>
        <w:spacing w:line="360" w:lineRule="auto"/>
        <w:ind w:firstLineChars="200" w:firstLine="480"/>
        <w:rPr>
          <w:rFonts w:ascii="宋体" w:hAnsi="宋体"/>
          <w:sz w:val="24"/>
        </w:rPr>
      </w:pPr>
      <w:r>
        <w:rPr>
          <w:rFonts w:ascii="宋体" w:hAnsi="宋体" w:hint="eastAsia"/>
          <w:sz w:val="24"/>
        </w:rPr>
        <w:t>在本协议订立日之后，本基金被允许从事符合法律法规规定和《基金合同》约定的其他投资品种的投资业务时，如果涉及相关账户的开设和使用，由基金管理人与托管人协商一致后，根据有关法律法规的规定和《基金合同》的约定，开立有关账户。该账户按有关规则使用并管理。</w:t>
      </w:r>
    </w:p>
    <w:p w14:paraId="155C3B96" w14:textId="506E5120" w:rsidR="005A043F" w:rsidRDefault="0029200C">
      <w:pPr>
        <w:spacing w:line="360" w:lineRule="auto"/>
        <w:ind w:firstLineChars="200" w:firstLine="480"/>
        <w:rPr>
          <w:rFonts w:ascii="宋体" w:hAnsi="宋体"/>
          <w:sz w:val="24"/>
        </w:rPr>
      </w:pPr>
      <w:r>
        <w:rPr>
          <w:rFonts w:ascii="宋体" w:hAnsi="宋体" w:hint="eastAsia"/>
          <w:sz w:val="24"/>
        </w:rPr>
        <w:t>（十）存款证实书等实物证券的保管</w:t>
      </w:r>
    </w:p>
    <w:p w14:paraId="0E66AB22" w14:textId="77777777" w:rsidR="005A043F" w:rsidRDefault="0029200C">
      <w:pPr>
        <w:spacing w:line="360" w:lineRule="auto"/>
        <w:ind w:firstLineChars="200" w:firstLine="480"/>
        <w:rPr>
          <w:rFonts w:ascii="宋体" w:hAnsi="宋体"/>
          <w:sz w:val="24"/>
        </w:rPr>
      </w:pPr>
      <w:bookmarkStart w:id="69" w:name="_Toc37159180"/>
      <w:r>
        <w:rPr>
          <w:rFonts w:ascii="宋体" w:hAnsi="宋体" w:hint="eastAsia"/>
          <w:sz w:val="24"/>
        </w:rPr>
        <w:t>基金管理人应将基金财产投资的有关实物证券交由基金托管人保管。属于基金托管人实际有效控制下的实物证券在基金托管人保管期间的毁损、灭失，由此产生的责任应由基金托管人承担。基金托管人对基金托管人以外机构实际有效控制或保管的证券不承担保管责任。</w:t>
      </w:r>
    </w:p>
    <w:p w14:paraId="13BFEF53"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基金投资银行存款的，由存款银行向基金管理人开具存款证实书，基金管理人与基金托管人应遵守以下特别约定：</w:t>
      </w:r>
    </w:p>
    <w:p w14:paraId="454D10EE" w14:textId="77777777" w:rsidR="005A043F" w:rsidRDefault="0029200C">
      <w:pPr>
        <w:spacing w:line="360" w:lineRule="auto"/>
        <w:ind w:firstLineChars="200" w:firstLine="480"/>
        <w:rPr>
          <w:rFonts w:ascii="宋体" w:hAnsi="宋体"/>
          <w:sz w:val="24"/>
        </w:rPr>
      </w:pPr>
      <w:r>
        <w:rPr>
          <w:rFonts w:ascii="宋体" w:hAnsi="宋体" w:hint="eastAsia"/>
          <w:sz w:val="24"/>
        </w:rPr>
        <w:t>1、基金财产在开展银行存款投资业务前，基金管理人应根据基金托管人的要求，提供办理存款证实书出入库手续所需的经办人员身份信息等相关材料。如基金托管人对相关材料有异议，应及时书面通知基金管理人，基金托管人有权视情况拒绝办理，但应立即通知基金管理人，基金管理人应采取措施核实信息。</w:t>
      </w:r>
    </w:p>
    <w:p w14:paraId="388F42C4" w14:textId="77777777" w:rsidR="005A043F" w:rsidRDefault="0029200C">
      <w:pPr>
        <w:spacing w:line="360" w:lineRule="auto"/>
        <w:ind w:firstLineChars="200" w:firstLine="480"/>
        <w:rPr>
          <w:rFonts w:ascii="宋体" w:hAnsi="宋体"/>
          <w:sz w:val="24"/>
        </w:rPr>
      </w:pPr>
      <w:r>
        <w:rPr>
          <w:rFonts w:ascii="宋体" w:hAnsi="宋体" w:hint="eastAsia"/>
          <w:sz w:val="24"/>
        </w:rPr>
        <w:t>2、基金管理人应通知存款银行及时与基金托管人办理存款证实书入库保管手续。如存款证实书要素与存款协议不符，在基金管理人与存款银行核实更正前，基金托管人有权拒绝办理入库手续，但应立即通知基金管理人。因发生自然灾害等不可抗力情况导致入库延误的，基金管理人应及时向基金托管人书面说明，并采取措施积极推动存款证实书入库；在完成入库前，由存款证实书持有方履行保管责任。</w:t>
      </w:r>
    </w:p>
    <w:p w14:paraId="6B013DE8" w14:textId="77777777" w:rsidR="005A043F" w:rsidRDefault="0029200C">
      <w:pPr>
        <w:spacing w:line="360" w:lineRule="auto"/>
        <w:ind w:firstLineChars="200" w:firstLine="480"/>
        <w:rPr>
          <w:rFonts w:ascii="宋体" w:hAnsi="宋体"/>
          <w:sz w:val="24"/>
        </w:rPr>
      </w:pPr>
      <w:r>
        <w:rPr>
          <w:rFonts w:ascii="宋体" w:hAnsi="宋体" w:hint="eastAsia"/>
          <w:sz w:val="24"/>
        </w:rPr>
        <w:t>3、存款到期前，基金管理人应及时与基金托管人办理存款证实书出库手续。如需提前支取，基金管理人应出具提前支取说明函。如需部分提前支取，应办理存款证实书置换，置换后新存款</w:t>
      </w:r>
      <w:proofErr w:type="gramStart"/>
      <w:r>
        <w:rPr>
          <w:rFonts w:ascii="宋体" w:hAnsi="宋体" w:hint="eastAsia"/>
          <w:sz w:val="24"/>
        </w:rPr>
        <w:t>证实书除金额</w:t>
      </w:r>
      <w:proofErr w:type="gramEnd"/>
      <w:r>
        <w:rPr>
          <w:rFonts w:ascii="宋体" w:hAnsi="宋体" w:hint="eastAsia"/>
          <w:sz w:val="24"/>
        </w:rPr>
        <w:t>、编号、存款证实书开具日期外，其他核心要素与原存款证实书一致。</w:t>
      </w:r>
    </w:p>
    <w:p w14:paraId="29B0CBEB" w14:textId="77777777" w:rsidR="005A043F" w:rsidRDefault="0029200C">
      <w:pPr>
        <w:spacing w:line="360" w:lineRule="auto"/>
        <w:ind w:firstLineChars="200" w:firstLine="480"/>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存款到期后，如因自然灾害等不可抗力导致无法正常办理存款证实书出库手续的，基金管理人应在与存款银行的存款协议中就上述情况</w:t>
      </w:r>
      <w:proofErr w:type="gramStart"/>
      <w:r>
        <w:rPr>
          <w:rFonts w:ascii="宋体" w:hAnsi="宋体" w:hint="eastAsia"/>
          <w:sz w:val="24"/>
        </w:rPr>
        <w:t>作出</w:t>
      </w:r>
      <w:proofErr w:type="gramEnd"/>
      <w:r>
        <w:rPr>
          <w:rFonts w:ascii="宋体" w:hAnsi="宋体" w:hint="eastAsia"/>
          <w:sz w:val="24"/>
        </w:rPr>
        <w:t>相应安排，并明确存款银行应将支取后的存款本息全部划转回基金资产托管专户。</w:t>
      </w:r>
    </w:p>
    <w:p w14:paraId="7E8BB9BA" w14:textId="77777777" w:rsidR="005A043F" w:rsidRDefault="0029200C">
      <w:pPr>
        <w:spacing w:line="360" w:lineRule="auto"/>
        <w:ind w:firstLineChars="200" w:firstLine="480"/>
        <w:rPr>
          <w:rFonts w:ascii="宋体" w:hAnsi="宋体"/>
          <w:sz w:val="24"/>
        </w:rPr>
      </w:pPr>
      <w:r>
        <w:rPr>
          <w:rFonts w:ascii="宋体" w:hAnsi="宋体" w:hint="eastAsia"/>
          <w:sz w:val="24"/>
        </w:rPr>
        <w:t>5、如存款证实书因</w:t>
      </w:r>
      <w:proofErr w:type="gramStart"/>
      <w:r>
        <w:rPr>
          <w:rFonts w:ascii="宋体" w:hAnsi="宋体" w:hint="eastAsia"/>
          <w:sz w:val="24"/>
        </w:rPr>
        <w:t>非基金托管人原因</w:t>
      </w:r>
      <w:proofErr w:type="gramEnd"/>
      <w:r>
        <w:rPr>
          <w:rFonts w:ascii="宋体" w:hAnsi="宋体" w:hint="eastAsia"/>
          <w:sz w:val="24"/>
        </w:rPr>
        <w:t>出现毁损、灭失，或晚于存款到期</w:t>
      </w:r>
      <w:r>
        <w:rPr>
          <w:rFonts w:ascii="宋体" w:hAnsi="宋体"/>
          <w:sz w:val="24"/>
        </w:rPr>
        <w:t>日</w:t>
      </w:r>
      <w:r>
        <w:rPr>
          <w:rFonts w:ascii="宋体" w:hAnsi="宋体" w:hint="eastAsia"/>
          <w:sz w:val="24"/>
        </w:rPr>
        <w:t>到达存款行等情形，导致存款无法被按时支取的，基金管理人应及时采取补救措施，基金托管人不承担相关责任，但应给予必要配合。存款证实书仅作为存款证实，不得设立担保或用于任何可能导致存款资金损失的其他用途。</w:t>
      </w:r>
    </w:p>
    <w:p w14:paraId="51612016" w14:textId="77777777" w:rsidR="005A043F" w:rsidRDefault="0029200C">
      <w:pPr>
        <w:spacing w:line="360" w:lineRule="auto"/>
        <w:ind w:firstLineChars="200" w:firstLine="480"/>
        <w:rPr>
          <w:rFonts w:ascii="宋体" w:hAnsi="宋体"/>
          <w:sz w:val="24"/>
        </w:rPr>
      </w:pPr>
      <w:r>
        <w:rPr>
          <w:rFonts w:ascii="宋体" w:hAnsi="宋体" w:hint="eastAsia"/>
          <w:sz w:val="24"/>
        </w:rPr>
        <w:t>（十一）与基金财产有关的重大合同的保管</w:t>
      </w:r>
      <w:bookmarkEnd w:id="69"/>
    </w:p>
    <w:p w14:paraId="1618CE3A" w14:textId="77777777" w:rsidR="005A043F" w:rsidRDefault="0029200C">
      <w:pPr>
        <w:spacing w:line="360" w:lineRule="auto"/>
        <w:ind w:firstLineChars="200" w:firstLine="480"/>
        <w:rPr>
          <w:rFonts w:ascii="宋体" w:hAnsi="宋体"/>
          <w:sz w:val="24"/>
        </w:rPr>
      </w:pPr>
      <w:r>
        <w:rPr>
          <w:rFonts w:ascii="宋体" w:hAnsi="宋体" w:hint="eastAsia"/>
          <w:sz w:val="24"/>
        </w:rPr>
        <w:t>由基金管理人代表基金签署的与基金有关的重大合同的原件分别应由基金托管人、基金管理人保管。除本协议另有约定外，基金管理人在代表基金签署与</w:t>
      </w:r>
      <w:r>
        <w:rPr>
          <w:rFonts w:ascii="宋体" w:hAnsi="宋体" w:hint="eastAsia"/>
          <w:sz w:val="24"/>
        </w:rPr>
        <w:lastRenderedPageBreak/>
        <w:t>基金有关的重大合同时应尽量保证基金一方持有两份以上的正本，以便基金管理人和基金托管人至少各持有一份正本的原件。基金管理人在合同签署后5个工作日内通过专人送达、挂号邮寄等安全方式将合同原件送达基金托管人处。合同原件应存放于基金管理人和基金托管人各自文件保管部门，保管期限不少于法律法规规定的最低年限。</w:t>
      </w:r>
    </w:p>
    <w:p w14:paraId="50AC3F91" w14:textId="77777777" w:rsidR="005A043F" w:rsidRDefault="0029200C">
      <w:pPr>
        <w:spacing w:line="360" w:lineRule="auto"/>
        <w:ind w:firstLineChars="200" w:firstLine="480"/>
        <w:rPr>
          <w:rFonts w:ascii="宋体" w:hAnsi="宋体"/>
          <w:sz w:val="24"/>
        </w:rPr>
      </w:pPr>
      <w:r>
        <w:rPr>
          <w:rFonts w:ascii="宋体" w:hAnsi="宋体" w:hint="eastAsia"/>
          <w:sz w:val="24"/>
        </w:rPr>
        <w:t>对于无法取得二份以上的正本的，基金管理人应向基金托管人提供加盖授权业务章的合同传真件或扫描件，未经双方协商或未在合同约定范围内，合同原件不得转移。</w:t>
      </w:r>
    </w:p>
    <w:p w14:paraId="7B0F75DD"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70" w:name="_Toc123626172"/>
      <w:bookmarkStart w:id="71" w:name="_Toc125361078"/>
      <w:bookmarkStart w:id="72" w:name="_Toc140002341"/>
      <w:bookmarkStart w:id="73" w:name="_Toc124749230"/>
      <w:bookmarkStart w:id="74" w:name="_Toc124749941"/>
      <w:r>
        <w:rPr>
          <w:rFonts w:ascii="宋体" w:hAnsi="宋体" w:cs="Arial" w:hint="eastAsia"/>
          <w:sz w:val="30"/>
        </w:rPr>
        <w:t>指令的发送、确认和执行</w:t>
      </w:r>
      <w:bookmarkEnd w:id="4"/>
      <w:bookmarkEnd w:id="5"/>
      <w:bookmarkEnd w:id="6"/>
      <w:bookmarkEnd w:id="70"/>
      <w:bookmarkEnd w:id="71"/>
      <w:bookmarkEnd w:id="72"/>
      <w:bookmarkEnd w:id="73"/>
      <w:bookmarkEnd w:id="74"/>
    </w:p>
    <w:p w14:paraId="1B299779" w14:textId="77777777" w:rsidR="005A043F" w:rsidRDefault="0029200C">
      <w:pPr>
        <w:spacing w:line="360" w:lineRule="auto"/>
        <w:ind w:firstLineChars="200" w:firstLine="480"/>
        <w:rPr>
          <w:rFonts w:ascii="宋体" w:hAnsi="宋体"/>
          <w:sz w:val="24"/>
        </w:rPr>
      </w:pPr>
      <w:bookmarkStart w:id="75" w:name="_Toc48703899"/>
      <w:bookmarkStart w:id="76" w:name="_Toc22454451"/>
      <w:bookmarkStart w:id="77" w:name="_Toc48703903"/>
      <w:bookmarkStart w:id="78" w:name="_Toc140002342"/>
      <w:bookmarkStart w:id="79" w:name="_Toc124749231"/>
      <w:bookmarkStart w:id="80" w:name="_Toc125361079"/>
      <w:bookmarkStart w:id="81" w:name="_Toc124749942"/>
      <w:bookmarkStart w:id="82" w:name="_Toc523829997"/>
      <w:bookmarkStart w:id="83" w:name="_Toc466788856"/>
      <w:bookmarkStart w:id="84" w:name="_Toc123626173"/>
      <w:r>
        <w:rPr>
          <w:rFonts w:ascii="宋体" w:hAnsi="宋体" w:hint="eastAsia"/>
          <w:sz w:val="24"/>
        </w:rPr>
        <w:t>（一）指令的形式和授权</w:t>
      </w:r>
    </w:p>
    <w:p w14:paraId="25A4BDEC" w14:textId="111CF2FA" w:rsidR="005A043F" w:rsidRDefault="0029200C">
      <w:pPr>
        <w:spacing w:line="360" w:lineRule="auto"/>
        <w:ind w:firstLineChars="200" w:firstLine="480"/>
        <w:rPr>
          <w:rFonts w:ascii="宋体" w:hAnsi="宋体"/>
          <w:sz w:val="24"/>
        </w:rPr>
      </w:pPr>
      <w:r>
        <w:rPr>
          <w:rFonts w:ascii="宋体" w:hAnsi="宋体" w:hint="eastAsia"/>
          <w:sz w:val="24"/>
        </w:rPr>
        <w:t>基金管理人在运用基金财产开展场内证券交易前，基金托管人通过其合作银行将第三方存管账户与证券资金账户建立第三方存管关系，办理银证签约、资金转账等业务。三方存管账户与证券资金账户之间划款，</w:t>
      </w:r>
      <w:proofErr w:type="gramStart"/>
      <w:r>
        <w:rPr>
          <w:rFonts w:ascii="宋体" w:hAnsi="宋体" w:hint="eastAsia"/>
          <w:sz w:val="24"/>
        </w:rPr>
        <w:t>即银证互</w:t>
      </w:r>
      <w:proofErr w:type="gramEnd"/>
      <w:r>
        <w:rPr>
          <w:rFonts w:ascii="宋体" w:hAnsi="宋体" w:hint="eastAsia"/>
          <w:sz w:val="24"/>
        </w:rPr>
        <w:t>转。三方存管账户只可与产品的证券资金账户、托管专户进行转账和收款，资金闭环流转。</w:t>
      </w:r>
      <w:proofErr w:type="gramStart"/>
      <w:r>
        <w:rPr>
          <w:rFonts w:ascii="宋体" w:hAnsi="宋体" w:hint="eastAsia"/>
          <w:sz w:val="24"/>
        </w:rPr>
        <w:t>银证互转</w:t>
      </w:r>
      <w:proofErr w:type="gramEnd"/>
      <w:r>
        <w:rPr>
          <w:rFonts w:ascii="宋体" w:hAnsi="宋体" w:hint="eastAsia"/>
          <w:sz w:val="24"/>
        </w:rPr>
        <w:t>，由基金管理人向基金托管人发送指令，基金托管人操作。</w:t>
      </w:r>
    </w:p>
    <w:p w14:paraId="51B87B58" w14:textId="77777777" w:rsidR="005A043F" w:rsidRDefault="0029200C">
      <w:pPr>
        <w:spacing w:line="360" w:lineRule="auto"/>
        <w:ind w:firstLineChars="200" w:firstLine="480"/>
        <w:rPr>
          <w:rFonts w:ascii="宋体" w:hAnsi="宋体"/>
          <w:sz w:val="24"/>
        </w:rPr>
      </w:pPr>
      <w:r>
        <w:rPr>
          <w:rFonts w:ascii="宋体" w:hAnsi="宋体" w:hint="eastAsia"/>
          <w:sz w:val="24"/>
        </w:rPr>
        <w:t>指令是基金管理人在运用基金资产时，向基金托管人发出的</w:t>
      </w:r>
      <w:proofErr w:type="gramStart"/>
      <w:r>
        <w:rPr>
          <w:rFonts w:ascii="宋体" w:hAnsi="宋体" w:hint="eastAsia"/>
          <w:sz w:val="24"/>
        </w:rPr>
        <w:t>银证互转</w:t>
      </w:r>
      <w:proofErr w:type="gramEnd"/>
      <w:r>
        <w:rPr>
          <w:rFonts w:ascii="宋体" w:hAnsi="宋体" w:hint="eastAsia"/>
          <w:sz w:val="24"/>
        </w:rPr>
        <w:t>、投资资金划拨及其他款项支付的指示或要求。基金管理人向基金托管人发送的指令形式包括电子指令、授权指令和书面指令。</w:t>
      </w:r>
    </w:p>
    <w:p w14:paraId="2D60CA44" w14:textId="77777777" w:rsidR="005A043F" w:rsidRDefault="0029200C">
      <w:pPr>
        <w:spacing w:line="360" w:lineRule="auto"/>
        <w:ind w:firstLineChars="200" w:firstLine="480"/>
        <w:rPr>
          <w:rFonts w:ascii="宋体" w:hAnsi="宋体"/>
          <w:sz w:val="24"/>
        </w:rPr>
      </w:pPr>
      <w:r>
        <w:rPr>
          <w:rFonts w:ascii="宋体" w:hAnsi="宋体" w:hint="eastAsia"/>
          <w:sz w:val="24"/>
        </w:rPr>
        <w:t>1、电子指令</w:t>
      </w:r>
    </w:p>
    <w:p w14:paraId="753C70BC" w14:textId="0A632889" w:rsidR="005A043F" w:rsidRDefault="0029200C">
      <w:pPr>
        <w:spacing w:line="360" w:lineRule="auto"/>
        <w:ind w:firstLineChars="200" w:firstLine="480"/>
        <w:rPr>
          <w:rFonts w:ascii="宋体" w:hAnsi="宋体"/>
          <w:sz w:val="24"/>
        </w:rPr>
      </w:pPr>
      <w:r>
        <w:rPr>
          <w:rFonts w:ascii="宋体" w:hAnsi="宋体" w:hint="eastAsia"/>
          <w:sz w:val="24"/>
        </w:rPr>
        <w:t>电子指令是指基金管理人通过</w:t>
      </w:r>
      <w:proofErr w:type="gramStart"/>
      <w:r>
        <w:rPr>
          <w:rFonts w:ascii="宋体" w:hAnsi="宋体" w:hint="eastAsia"/>
          <w:sz w:val="24"/>
        </w:rPr>
        <w:t>深证通数据</w:t>
      </w:r>
      <w:proofErr w:type="gramEnd"/>
      <w:r>
        <w:rPr>
          <w:rFonts w:ascii="宋体" w:hAnsi="宋体" w:hint="eastAsia"/>
          <w:sz w:val="24"/>
        </w:rPr>
        <w:t>传输平台电子直连的方式向基金托管人发出的划款指令。</w:t>
      </w:r>
    </w:p>
    <w:p w14:paraId="08703D6A" w14:textId="77777777" w:rsidR="005A043F" w:rsidRDefault="0029200C">
      <w:pPr>
        <w:spacing w:line="360" w:lineRule="auto"/>
        <w:ind w:firstLineChars="200" w:firstLine="480"/>
        <w:rPr>
          <w:rFonts w:ascii="宋体" w:hAnsi="宋体"/>
          <w:sz w:val="24"/>
        </w:rPr>
      </w:pPr>
      <w:r>
        <w:rPr>
          <w:rFonts w:ascii="宋体" w:hAnsi="宋体" w:hint="eastAsia"/>
          <w:sz w:val="24"/>
        </w:rPr>
        <w:t>2、授权指令</w:t>
      </w:r>
    </w:p>
    <w:p w14:paraId="54F0C99F" w14:textId="77777777" w:rsidR="005A043F" w:rsidRDefault="0029200C">
      <w:pPr>
        <w:spacing w:line="360" w:lineRule="auto"/>
        <w:ind w:firstLineChars="200" w:firstLine="480"/>
        <w:rPr>
          <w:rFonts w:ascii="宋体" w:hAnsi="宋体"/>
          <w:sz w:val="24"/>
        </w:rPr>
      </w:pPr>
      <w:r>
        <w:rPr>
          <w:rFonts w:ascii="宋体" w:hAnsi="宋体" w:hint="eastAsia"/>
          <w:sz w:val="24"/>
        </w:rPr>
        <w:t>授权指令是指基金托管人根据基金管理人的授权，基于双方协商一致所设定的业务规则、登记结算机构数据或监管部门认可的公告等公开信息形成的指令。</w:t>
      </w:r>
      <w:r>
        <w:rPr>
          <w:rFonts w:ascii="宋体" w:hAnsi="宋体" w:hint="eastAsia"/>
          <w:sz w:val="24"/>
        </w:rPr>
        <w:lastRenderedPageBreak/>
        <w:t>具体适用条件、发送、确认和执行等相关要求均由双方根据业务需要另行协商确定。</w:t>
      </w:r>
    </w:p>
    <w:p w14:paraId="3473C8DB"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基金管理人拟采用授权指令的，应提前向基金托管人提供对应类别授权指令的书面授权，载明指令内容和执行程序。</w:t>
      </w:r>
    </w:p>
    <w:p w14:paraId="58ED4935" w14:textId="77777777" w:rsidR="005A043F" w:rsidRDefault="0029200C">
      <w:pPr>
        <w:spacing w:line="360" w:lineRule="auto"/>
        <w:ind w:firstLineChars="200" w:firstLine="480"/>
        <w:rPr>
          <w:rFonts w:ascii="宋体" w:hAnsi="宋体"/>
          <w:sz w:val="24"/>
        </w:rPr>
      </w:pPr>
      <w:r>
        <w:rPr>
          <w:rFonts w:ascii="宋体" w:hAnsi="宋体" w:hint="eastAsia"/>
          <w:sz w:val="24"/>
        </w:rPr>
        <w:t>3、书面指令</w:t>
      </w:r>
    </w:p>
    <w:p w14:paraId="221E5351" w14:textId="4AD2B906" w:rsidR="005A043F" w:rsidRDefault="0029200C">
      <w:pPr>
        <w:spacing w:line="360" w:lineRule="auto"/>
        <w:ind w:firstLineChars="200" w:firstLine="480"/>
        <w:rPr>
          <w:rFonts w:ascii="宋体" w:hAnsi="宋体"/>
          <w:sz w:val="24"/>
        </w:rPr>
      </w:pPr>
      <w:r>
        <w:rPr>
          <w:rFonts w:ascii="宋体" w:hAnsi="宋体" w:hint="eastAsia"/>
          <w:sz w:val="24"/>
        </w:rPr>
        <w:t>书面指令是指基金管理人出具的纸质指令。基金管理人应通过传真或者邮件等双方约定的方式</w:t>
      </w:r>
      <w:r>
        <w:rPr>
          <w:rFonts w:ascii="宋体" w:hAnsi="宋体"/>
          <w:sz w:val="24"/>
        </w:rPr>
        <w:t>指定专人</w:t>
      </w:r>
      <w:r>
        <w:rPr>
          <w:rFonts w:ascii="宋体" w:hAnsi="宋体" w:hint="eastAsia"/>
          <w:sz w:val="24"/>
        </w:rPr>
        <w:t>、并使用专用传真号码或专用邮箱向基金托管人发送书面指令的传真件或扫描件，并确保与指令原件内容一致。指令原件与传真件或扫描件不一致的，以传真件或扫描件为准（指令原件由基金管理人保管）。书面指令应作为应急方式，在电子指令、授权指令无法正常送达或形成时，基金管理人应向基金托管人发送书面指令。</w:t>
      </w:r>
    </w:p>
    <w:p w14:paraId="407EF104" w14:textId="77777777" w:rsidR="005A043F" w:rsidRDefault="0029200C">
      <w:pPr>
        <w:adjustRightInd w:val="0"/>
        <w:snapToGrid w:val="0"/>
        <w:spacing w:line="360" w:lineRule="auto"/>
        <w:ind w:firstLine="480"/>
        <w:rPr>
          <w:rFonts w:ascii="宋体" w:hAnsi="宋体"/>
          <w:sz w:val="24"/>
        </w:rPr>
      </w:pPr>
      <w:r>
        <w:rPr>
          <w:rFonts w:ascii="宋体" w:hAnsi="宋体" w:hint="eastAsia"/>
          <w:sz w:val="24"/>
        </w:rPr>
        <w:t>基金管理人应事先向基金托管人出具书面指令授权通知，载明授权生效时间，并列明预留印鉴样本、指令发送被授权人名单及操作权限（含审批金额、审批事项范围等）、签章样本、指令指定发送邮箱等信息。</w:t>
      </w:r>
    </w:p>
    <w:p w14:paraId="60F104CA" w14:textId="444835BB" w:rsidR="005A043F" w:rsidRDefault="0029200C">
      <w:pPr>
        <w:adjustRightInd w:val="0"/>
        <w:snapToGrid w:val="0"/>
        <w:spacing w:line="360" w:lineRule="auto"/>
        <w:ind w:firstLine="480"/>
        <w:rPr>
          <w:rFonts w:ascii="宋体" w:hAnsi="宋体"/>
          <w:sz w:val="24"/>
        </w:rPr>
      </w:pPr>
      <w:r>
        <w:rPr>
          <w:rFonts w:ascii="宋体" w:hAnsi="宋体" w:hint="eastAsia"/>
          <w:sz w:val="24"/>
        </w:rPr>
        <w:t>基金管理人须通过指定邮箱向基金托管人发送前述授权文件，并完成电话确认，确保基金托管人有效收悉。授权文件自其载明的生效时间起正式生效，但授权文件载明的生效时间不得早于基金托管人实际收到授权文件并完成电话确认的时点。</w:t>
      </w:r>
    </w:p>
    <w:p w14:paraId="79622217"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基金管理人变更授权通知，参照上述流程办理。</w:t>
      </w:r>
    </w:p>
    <w:p w14:paraId="44C2B448"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基金管理人和基金托管人对授权通知负有保密义务，其内容不得向被授权人及相关操作人员以外的任何人泄露，但法律法规另有规定或有权机关另有要求的除外。</w:t>
      </w:r>
    </w:p>
    <w:p w14:paraId="7C8B0598" w14:textId="77777777" w:rsidR="005A043F" w:rsidRDefault="0029200C">
      <w:pPr>
        <w:spacing w:line="360" w:lineRule="auto"/>
        <w:ind w:firstLineChars="200" w:firstLine="480"/>
        <w:rPr>
          <w:rFonts w:ascii="宋体" w:hAnsi="宋体"/>
          <w:sz w:val="24"/>
        </w:rPr>
      </w:pPr>
      <w:r>
        <w:rPr>
          <w:rFonts w:ascii="宋体" w:hAnsi="宋体" w:hint="eastAsia"/>
          <w:sz w:val="24"/>
        </w:rPr>
        <w:t>（二）电子、书面指令的内容</w:t>
      </w:r>
    </w:p>
    <w:p w14:paraId="7C629772" w14:textId="5F5C9D38" w:rsidR="005A043F" w:rsidRDefault="0029200C">
      <w:pPr>
        <w:spacing w:line="360" w:lineRule="auto"/>
        <w:ind w:firstLineChars="200" w:firstLine="480"/>
        <w:rPr>
          <w:rFonts w:ascii="宋体" w:hAnsi="宋体"/>
          <w:sz w:val="24"/>
        </w:rPr>
      </w:pPr>
      <w:r>
        <w:rPr>
          <w:rFonts w:ascii="宋体" w:hAnsi="宋体" w:hint="eastAsia"/>
          <w:sz w:val="24"/>
        </w:rPr>
        <w:t>基金管理人发送给基金托管人的电子、书面指令须明确包含以下要素：付款方户名、付款方账号、付款方开户行、收款方户名、收款方账号、收款方开户行用款事由、支付时间、到账时间、金额等（以双方事先商定的为准）。纸质指令</w:t>
      </w:r>
      <w:r>
        <w:rPr>
          <w:rFonts w:ascii="宋体" w:hAnsi="宋体" w:hint="eastAsia"/>
          <w:sz w:val="24"/>
        </w:rPr>
        <w:lastRenderedPageBreak/>
        <w:t>还应加盖基金管理人预留印鉴及被授权人签章。基金管理人应同时向基金托管人提供投资标的相关信息、证明用款事项的相关证明材料（包括但不限于投资合同、发票等，以下简称“证明材料”），并确保其投资交易与结算行为真实，且符合监管要求及本协议约定。基金管理人未能随指令提供证明材料，或基金托管人认为证明材料不足，进入异议处理程序。</w:t>
      </w:r>
    </w:p>
    <w:p w14:paraId="04CC54EA" w14:textId="77777777" w:rsidR="005A043F" w:rsidRDefault="0029200C">
      <w:pPr>
        <w:spacing w:line="360" w:lineRule="auto"/>
        <w:ind w:firstLineChars="200" w:firstLine="480"/>
        <w:rPr>
          <w:rFonts w:ascii="宋体" w:hAnsi="宋体"/>
          <w:sz w:val="24"/>
        </w:rPr>
      </w:pPr>
      <w:r>
        <w:rPr>
          <w:rFonts w:ascii="宋体" w:hAnsi="宋体" w:hint="eastAsia"/>
          <w:sz w:val="24"/>
        </w:rPr>
        <w:t>（三）电子指令与书面指令的发送、确认和执行</w:t>
      </w:r>
    </w:p>
    <w:p w14:paraId="2DE236CD" w14:textId="77777777" w:rsidR="005A043F" w:rsidRDefault="0029200C">
      <w:pPr>
        <w:spacing w:line="360" w:lineRule="auto"/>
        <w:ind w:firstLineChars="200" w:firstLine="480"/>
        <w:rPr>
          <w:rFonts w:ascii="宋体" w:hAnsi="宋体"/>
          <w:sz w:val="24"/>
        </w:rPr>
      </w:pPr>
      <w:r>
        <w:rPr>
          <w:rFonts w:ascii="宋体" w:hAnsi="宋体" w:hint="eastAsia"/>
          <w:sz w:val="24"/>
        </w:rPr>
        <w:t>1、指令的发送</w:t>
      </w:r>
    </w:p>
    <w:p w14:paraId="5A5D2D3D" w14:textId="7F084994" w:rsidR="005A043F" w:rsidRDefault="0029200C">
      <w:pPr>
        <w:spacing w:line="360" w:lineRule="auto"/>
        <w:ind w:firstLineChars="200" w:firstLine="480"/>
        <w:rPr>
          <w:rFonts w:ascii="宋体" w:hAnsi="宋体"/>
          <w:sz w:val="24"/>
        </w:rPr>
      </w:pPr>
      <w:r>
        <w:rPr>
          <w:rFonts w:ascii="宋体" w:hAnsi="宋体" w:hint="eastAsia"/>
          <w:sz w:val="24"/>
        </w:rPr>
        <w:t>基金管理人应按照《基金法》等法律法规的规定和《基金合同》与本协议的约定，在其合法的经营权限和交易权限内发送指令。基金托管人支持基金管理人通过以下任</w:t>
      </w:r>
      <w:proofErr w:type="gramStart"/>
      <w:r>
        <w:rPr>
          <w:rFonts w:ascii="宋体" w:hAnsi="宋体" w:hint="eastAsia"/>
          <w:sz w:val="24"/>
        </w:rPr>
        <w:t>一</w:t>
      </w:r>
      <w:proofErr w:type="gramEnd"/>
      <w:r>
        <w:rPr>
          <w:rFonts w:ascii="宋体" w:hAnsi="宋体" w:hint="eastAsia"/>
          <w:sz w:val="24"/>
        </w:rPr>
        <w:t>方式发送指令</w:t>
      </w:r>
      <w:r>
        <w:rPr>
          <w:rFonts w:ascii="宋体" w:hAnsi="宋体"/>
          <w:sz w:val="24"/>
        </w:rPr>
        <w:t>：</w:t>
      </w:r>
    </w:p>
    <w:p w14:paraId="439D6409" w14:textId="624D69DB" w:rsidR="005A043F" w:rsidRDefault="0029200C">
      <w:pPr>
        <w:spacing w:line="360" w:lineRule="auto"/>
        <w:ind w:firstLineChars="200" w:firstLine="480"/>
        <w:rPr>
          <w:rFonts w:ascii="宋体" w:hAnsi="宋体"/>
          <w:sz w:val="24"/>
        </w:rPr>
      </w:pPr>
      <w:r>
        <w:rPr>
          <w:rFonts w:ascii="宋体" w:hAnsi="宋体" w:hint="eastAsia"/>
          <w:sz w:val="24"/>
        </w:rPr>
        <w:t>基金管理人通过深证通电子直连对接方式，向基金托管人发送电子划款指令。对于基金管理人通过上述电子方式发送指令的，在应急情况下，基金管理人可通过授权邮箱或指定传真发送划款指令。</w:t>
      </w:r>
    </w:p>
    <w:p w14:paraId="0813962C" w14:textId="4EE2EFA4" w:rsidR="005A043F" w:rsidRDefault="0029200C">
      <w:pPr>
        <w:spacing w:line="360" w:lineRule="auto"/>
        <w:ind w:firstLineChars="200" w:firstLine="480"/>
        <w:rPr>
          <w:rFonts w:ascii="宋体" w:hAnsi="宋体"/>
          <w:sz w:val="24"/>
        </w:rPr>
      </w:pPr>
      <w:r>
        <w:rPr>
          <w:rFonts w:ascii="宋体" w:hAnsi="宋体" w:hint="eastAsia"/>
          <w:sz w:val="24"/>
        </w:rPr>
        <w:t>基金管理人通过邮箱发送纸质指令的，纸质划款指令须经基金管理人指定的授权邮箱发出方为有效。通过指定传真发送划款指令，需使用指定传真发送。对于指令发送人员无权或超越权限发送的指令，基金托管人应当拒绝执行，并及时通知基金管理人改正。对于被授权人在其授权范围内发出的合法有效指令，基金管理人不得否认其效力。</w:t>
      </w:r>
    </w:p>
    <w:p w14:paraId="071671E3" w14:textId="77777777" w:rsidR="005A043F" w:rsidRDefault="0029200C">
      <w:pPr>
        <w:spacing w:line="360" w:lineRule="auto"/>
        <w:ind w:firstLineChars="200" w:firstLine="480"/>
        <w:rPr>
          <w:rFonts w:ascii="宋体" w:hAnsi="宋体"/>
          <w:sz w:val="24"/>
        </w:rPr>
      </w:pPr>
      <w:r>
        <w:rPr>
          <w:rFonts w:ascii="宋体" w:hAnsi="宋体" w:hint="eastAsia"/>
          <w:sz w:val="24"/>
        </w:rPr>
        <w:t>2、指令的审核确认</w:t>
      </w:r>
    </w:p>
    <w:p w14:paraId="031BB80F"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基金管理人在向托管人发送电子指令、书面指令后，</w:t>
      </w:r>
      <w:proofErr w:type="gramStart"/>
      <w:r>
        <w:rPr>
          <w:rFonts w:ascii="宋体" w:hAnsi="宋体" w:hint="eastAsia"/>
          <w:sz w:val="24"/>
        </w:rPr>
        <w:t>须电话</w:t>
      </w:r>
      <w:proofErr w:type="gramEnd"/>
      <w:r>
        <w:rPr>
          <w:rFonts w:ascii="宋体" w:hAnsi="宋体" w:hint="eastAsia"/>
          <w:sz w:val="24"/>
        </w:rPr>
        <w:t>联系基金托管人进行确认。因基金管理人未能及时与基金托管人进行指令确认，致使指令无法及时处理完成的，基金托管人不承担责任。</w:t>
      </w:r>
    </w:p>
    <w:p w14:paraId="5970B977" w14:textId="77777777" w:rsidR="005A043F" w:rsidRDefault="0029200C">
      <w:pPr>
        <w:spacing w:line="360" w:lineRule="auto"/>
        <w:ind w:firstLineChars="200" w:firstLine="480"/>
        <w:rPr>
          <w:rFonts w:ascii="宋体" w:hAnsi="宋体"/>
          <w:sz w:val="24"/>
        </w:rPr>
      </w:pPr>
      <w:r>
        <w:rPr>
          <w:rFonts w:ascii="宋体" w:hAnsi="宋体" w:hint="eastAsia"/>
          <w:sz w:val="24"/>
        </w:rPr>
        <w:t>电子指令自成功进入基金托管人系统并经双方确认时视为送达。一旦成功进入基金托管人系统，均</w:t>
      </w:r>
      <w:r>
        <w:rPr>
          <w:rFonts w:ascii="宋体" w:hAnsi="宋体"/>
          <w:sz w:val="24"/>
        </w:rPr>
        <w:t>视为</w:t>
      </w:r>
      <w:r>
        <w:rPr>
          <w:rFonts w:ascii="宋体" w:hAnsi="宋体" w:hint="eastAsia"/>
          <w:sz w:val="24"/>
        </w:rPr>
        <w:t>由基金管理人被授权人发送的指令，基金托管人对电子</w:t>
      </w:r>
      <w:proofErr w:type="gramStart"/>
      <w:r>
        <w:rPr>
          <w:rFonts w:ascii="宋体" w:hAnsi="宋体" w:hint="eastAsia"/>
          <w:sz w:val="24"/>
        </w:rPr>
        <w:t>指令仅开展</w:t>
      </w:r>
      <w:proofErr w:type="gramEnd"/>
      <w:r>
        <w:rPr>
          <w:rFonts w:ascii="宋体" w:hAnsi="宋体" w:hint="eastAsia"/>
          <w:sz w:val="24"/>
        </w:rPr>
        <w:t>要素审核。</w:t>
      </w:r>
    </w:p>
    <w:p w14:paraId="5487F5E7" w14:textId="77777777" w:rsidR="005A043F" w:rsidRDefault="0029200C">
      <w:pPr>
        <w:spacing w:line="360" w:lineRule="auto"/>
        <w:ind w:firstLineChars="200" w:firstLine="480"/>
        <w:rPr>
          <w:rFonts w:ascii="宋体" w:hAnsi="宋体"/>
          <w:sz w:val="24"/>
        </w:rPr>
      </w:pPr>
      <w:r>
        <w:rPr>
          <w:rFonts w:ascii="宋体" w:hAnsi="宋体" w:hint="eastAsia"/>
          <w:sz w:val="24"/>
        </w:rPr>
        <w:t>对书面指令，基金托管人应先根据授权通知，核验指令签发人信息及印鉴有</w:t>
      </w:r>
      <w:r>
        <w:rPr>
          <w:rFonts w:ascii="宋体" w:hAnsi="宋体" w:hint="eastAsia"/>
          <w:sz w:val="24"/>
        </w:rPr>
        <w:lastRenderedPageBreak/>
        <w:t>效性。基金托管人仅对印鉴的表面一致性进行核验，授权核验不通过，基金托管人有权拒绝执行，但应立即通知基金管理人；核验通过后，再进行要素审核。</w:t>
      </w:r>
    </w:p>
    <w:p w14:paraId="7EF1906E"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对电子指令、书面指令的要素审核，仅指对指令要素的完整性以及与“证明材料”的表面一致性进行验证。要素审核无误，方可确认指令有效；要素审核不通过，或基金托管人在履行监督职责时发现指令违反《基金法》等法规规定或《基金合同》、本协议约定的，进入异议处理程序。</w:t>
      </w:r>
    </w:p>
    <w:p w14:paraId="143ED349" w14:textId="77777777" w:rsidR="005A043F" w:rsidRDefault="0029200C">
      <w:pPr>
        <w:spacing w:line="360" w:lineRule="auto"/>
        <w:ind w:firstLineChars="200" w:firstLine="480"/>
        <w:rPr>
          <w:rFonts w:ascii="宋体" w:hAnsi="宋体"/>
          <w:sz w:val="24"/>
        </w:rPr>
      </w:pPr>
      <w:r>
        <w:rPr>
          <w:rFonts w:ascii="宋体" w:hAnsi="宋体" w:hint="eastAsia"/>
          <w:sz w:val="24"/>
        </w:rPr>
        <w:t>3.指令的执行</w:t>
      </w:r>
    </w:p>
    <w:p w14:paraId="493C4CCB"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基金托管人审核确认指令有效后，应依照本协议约定及时执行。</w:t>
      </w:r>
    </w:p>
    <w:p w14:paraId="295AE735"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基金管理人在发送指令时，应为基金托管人留出执行指令所必需的时间。发送</w:t>
      </w:r>
      <w:proofErr w:type="gramStart"/>
      <w:r>
        <w:rPr>
          <w:rFonts w:ascii="宋体" w:hAnsi="宋体" w:hint="eastAsia"/>
          <w:sz w:val="24"/>
        </w:rPr>
        <w:t>指令日</w:t>
      </w:r>
      <w:proofErr w:type="gramEnd"/>
      <w:r>
        <w:rPr>
          <w:rFonts w:ascii="宋体" w:hAnsi="宋体" w:hint="eastAsia"/>
          <w:sz w:val="24"/>
        </w:rPr>
        <w:t>完成划款的指令，基金管理人应给基金托管人</w:t>
      </w:r>
      <w:proofErr w:type="gramStart"/>
      <w:r>
        <w:rPr>
          <w:rFonts w:ascii="宋体" w:hAnsi="宋体" w:hint="eastAsia"/>
          <w:sz w:val="24"/>
        </w:rPr>
        <w:t>预留出距划款</w:t>
      </w:r>
      <w:proofErr w:type="gramEnd"/>
      <w:r>
        <w:rPr>
          <w:rFonts w:ascii="宋体" w:hAnsi="宋体" w:hint="eastAsia"/>
          <w:sz w:val="24"/>
        </w:rPr>
        <w:t>截止时点至少2个工作小时的指令执行时间，晚于2个工作小时的划款指令托管人应尽力配合处理。因基金管理</w:t>
      </w:r>
      <w:proofErr w:type="gramStart"/>
      <w:r>
        <w:rPr>
          <w:rFonts w:ascii="宋体" w:hAnsi="宋体" w:hint="eastAsia"/>
          <w:sz w:val="24"/>
        </w:rPr>
        <w:t>人原因</w:t>
      </w:r>
      <w:proofErr w:type="gramEnd"/>
      <w:r>
        <w:rPr>
          <w:rFonts w:ascii="宋体" w:hAnsi="宋体" w:hint="eastAsia"/>
          <w:sz w:val="24"/>
        </w:rPr>
        <w:t>造成的指令传输不及时、未能留出足够划款所需时间致使指令无法及时处理所造成的损失，基金托管人不承担责任。</w:t>
      </w:r>
    </w:p>
    <w:p w14:paraId="1F649F78"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确保基金托管人在执行基金管理人发送的划款指令时，托管资金专户内有足够的资金。否则，基金托管人有权拒绝基金管理人发送的划款指令，但应立即通知基金管理人。因前述原因不执行该指令而造成损失的，基金托管人不承担责任。</w:t>
      </w:r>
    </w:p>
    <w:p w14:paraId="72466F72" w14:textId="77777777" w:rsidR="005A043F" w:rsidRDefault="0029200C">
      <w:pPr>
        <w:spacing w:line="360" w:lineRule="auto"/>
        <w:ind w:firstLineChars="200" w:firstLine="480"/>
        <w:rPr>
          <w:rFonts w:ascii="宋体" w:hAnsi="宋体"/>
          <w:sz w:val="24"/>
        </w:rPr>
      </w:pPr>
      <w:r>
        <w:rPr>
          <w:rFonts w:ascii="宋体" w:hAnsi="宋体" w:hint="eastAsia"/>
          <w:sz w:val="24"/>
        </w:rPr>
        <w:t>4.指令的撤销与变更</w:t>
      </w:r>
    </w:p>
    <w:p w14:paraId="132E52BE" w14:textId="7ECBA24B" w:rsidR="005A043F" w:rsidRDefault="0029200C">
      <w:pPr>
        <w:spacing w:line="360" w:lineRule="auto"/>
        <w:ind w:firstLineChars="200" w:firstLine="480"/>
        <w:rPr>
          <w:rFonts w:ascii="宋体" w:hAnsi="宋体"/>
          <w:sz w:val="24"/>
        </w:rPr>
      </w:pPr>
      <w:r>
        <w:rPr>
          <w:rFonts w:ascii="宋体" w:hAnsi="宋体" w:hint="eastAsia"/>
          <w:sz w:val="24"/>
        </w:rPr>
        <w:t>对于基金托管人尚未执行的电子指令与书面指令，基金管理人可以撤销，但应提前与基金托管人进行电话确认。双方协商一致后基金管理人通过指定邮箱发送撤销指令的书面通知（下称“</w:t>
      </w:r>
      <w:bookmarkStart w:id="85" w:name="_Hlk135218038"/>
      <w:r>
        <w:rPr>
          <w:rFonts w:ascii="宋体" w:hAnsi="宋体" w:hint="eastAsia"/>
          <w:sz w:val="24"/>
        </w:rPr>
        <w:t>指令撤销通知</w:t>
      </w:r>
      <w:bookmarkEnd w:id="85"/>
      <w:r>
        <w:rPr>
          <w:rFonts w:ascii="宋体" w:hAnsi="宋体" w:hint="eastAsia"/>
          <w:sz w:val="24"/>
        </w:rPr>
        <w:t>”）。指令撤销通知须在双方协商确定的时限内发出，载明指令撤销内容，并加盖授权通知中的预留印鉴。基金管理人未及时与基金托管人协商并发送指令撤销通知的，由此造成的全部后果及责任由基金管理人承担。</w:t>
      </w:r>
    </w:p>
    <w:p w14:paraId="7328ECE8"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基金管理人应在发送指令撤销通知后电话联系基金托管人进行确认，该指令撤销通知经基金托管人确认后方可生效。如指令撤销通知载明的撤销内容与协商</w:t>
      </w:r>
      <w:r>
        <w:rPr>
          <w:rFonts w:ascii="宋体" w:hAnsi="宋体" w:hint="eastAsia"/>
          <w:sz w:val="24"/>
        </w:rPr>
        <w:lastRenderedPageBreak/>
        <w:t>结果不一致或印鉴不符合前述约定的，托管人不予确认，由此导致的相关责任及后果，基金托管人不予承担。</w:t>
      </w:r>
    </w:p>
    <w:p w14:paraId="04156EBB" w14:textId="77777777" w:rsidR="005A043F" w:rsidRDefault="0029200C">
      <w:pPr>
        <w:spacing w:line="360" w:lineRule="auto"/>
        <w:ind w:firstLineChars="200" w:firstLine="480"/>
        <w:rPr>
          <w:rFonts w:ascii="宋体" w:hAnsi="宋体"/>
          <w:sz w:val="24"/>
        </w:rPr>
      </w:pPr>
      <w:r>
        <w:rPr>
          <w:rFonts w:ascii="宋体" w:hAnsi="宋体" w:hint="eastAsia"/>
          <w:sz w:val="24"/>
        </w:rPr>
        <w:t>指令变更参照上述流程办理。</w:t>
      </w:r>
    </w:p>
    <w:p w14:paraId="4545A585" w14:textId="77777777" w:rsidR="005A043F" w:rsidRDefault="0029200C">
      <w:pPr>
        <w:spacing w:line="360" w:lineRule="auto"/>
        <w:ind w:firstLineChars="200" w:firstLine="480"/>
        <w:rPr>
          <w:rFonts w:ascii="宋体" w:hAnsi="宋体"/>
          <w:sz w:val="24"/>
        </w:rPr>
      </w:pPr>
      <w:r>
        <w:rPr>
          <w:rFonts w:ascii="宋体" w:hAnsi="宋体" w:hint="eastAsia"/>
          <w:sz w:val="24"/>
        </w:rPr>
        <w:t>（四）电子指令与书面指令的异议处理程序</w:t>
      </w:r>
    </w:p>
    <w:p w14:paraId="1BEBB1E4"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基金托管人对书面指令与电子指令存在疑义的，应</w:t>
      </w:r>
      <w:r>
        <w:rPr>
          <w:rFonts w:ascii="宋体" w:hAnsi="宋体"/>
          <w:sz w:val="24"/>
        </w:rPr>
        <w:t>立即</w:t>
      </w:r>
      <w:r>
        <w:rPr>
          <w:rFonts w:ascii="宋体" w:hAnsi="宋体" w:hint="eastAsia"/>
          <w:sz w:val="24"/>
        </w:rPr>
        <w:t>向基金管理人提出。基金管理人须在双方协商的有效时间内答复，如未在前述有效时间内答复，基金托管人有权拒绝执行该指令，但应立即通知基金管理人，所造成的损失不由基金托管人承担。对于因异议处理导致的指令执行延误，基金托管人亦不承担责任。</w:t>
      </w:r>
    </w:p>
    <w:p w14:paraId="3C1431C0" w14:textId="77777777" w:rsidR="005A043F" w:rsidRDefault="0029200C">
      <w:pPr>
        <w:spacing w:line="360" w:lineRule="auto"/>
        <w:ind w:firstLineChars="200" w:firstLine="480"/>
        <w:rPr>
          <w:rFonts w:ascii="宋体" w:hAnsi="宋体"/>
          <w:sz w:val="24"/>
        </w:rPr>
      </w:pPr>
      <w:r>
        <w:rPr>
          <w:rFonts w:ascii="宋体" w:hAnsi="宋体" w:hint="eastAsia"/>
          <w:sz w:val="24"/>
        </w:rPr>
        <w:t>（五）基金托管人未按照基金管理人指令执行的责任</w:t>
      </w:r>
    </w:p>
    <w:p w14:paraId="6DC555E2"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基金托管人由于自身原因未按照或者未及时、正确按照基金管理人发送的有效指令执行，给基金份额持有人及基金管理人造成损失的，应负赔偿责任。</w:t>
      </w:r>
    </w:p>
    <w:p w14:paraId="467CB5B7"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86" w:name="_交易及清算交收安排"/>
      <w:bookmarkEnd w:id="75"/>
      <w:r>
        <w:rPr>
          <w:rFonts w:ascii="宋体" w:hAnsi="宋体" w:cs="Arial" w:hint="eastAsia"/>
          <w:sz w:val="30"/>
        </w:rPr>
        <w:t>交易及清算交收安排</w:t>
      </w:r>
      <w:bookmarkEnd w:id="76"/>
      <w:bookmarkEnd w:id="77"/>
      <w:bookmarkEnd w:id="78"/>
      <w:bookmarkEnd w:id="79"/>
      <w:bookmarkEnd w:id="80"/>
      <w:bookmarkEnd w:id="81"/>
      <w:bookmarkEnd w:id="82"/>
      <w:bookmarkEnd w:id="83"/>
      <w:bookmarkEnd w:id="84"/>
    </w:p>
    <w:p w14:paraId="3953F5A3" w14:textId="77777777" w:rsidR="005A043F" w:rsidRDefault="0029200C">
      <w:pPr>
        <w:spacing w:line="360" w:lineRule="auto"/>
        <w:ind w:firstLineChars="200" w:firstLine="480"/>
        <w:rPr>
          <w:rFonts w:ascii="宋体" w:hAnsi="宋体"/>
          <w:sz w:val="24"/>
        </w:rPr>
      </w:pPr>
      <w:bookmarkStart w:id="87" w:name="_Toc48703904"/>
      <w:bookmarkStart w:id="88" w:name="_Toc22454452"/>
      <w:bookmarkEnd w:id="86"/>
      <w:r>
        <w:rPr>
          <w:rFonts w:ascii="宋体" w:hAnsi="宋体" w:hint="eastAsia"/>
          <w:sz w:val="24"/>
        </w:rPr>
        <w:t>（一）选择代理证券、期货买卖的证券、期货经营机构的标准和程序</w:t>
      </w:r>
      <w:bookmarkEnd w:id="87"/>
      <w:bookmarkEnd w:id="88"/>
    </w:p>
    <w:p w14:paraId="650344FB"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基金管理人负责选择代理本基金证券买卖的证券经营机构。选择的标准是：</w:t>
      </w:r>
    </w:p>
    <w:p w14:paraId="497A380F" w14:textId="77777777" w:rsidR="005A043F" w:rsidRDefault="0029200C">
      <w:pPr>
        <w:spacing w:line="360" w:lineRule="auto"/>
        <w:ind w:firstLineChars="200" w:firstLine="480"/>
        <w:rPr>
          <w:rFonts w:ascii="宋体" w:hAnsi="宋体"/>
          <w:sz w:val="24"/>
        </w:rPr>
      </w:pPr>
      <w:r>
        <w:rPr>
          <w:rFonts w:ascii="宋体" w:hAnsi="宋体" w:hint="eastAsia"/>
          <w:sz w:val="24"/>
        </w:rPr>
        <w:t>1、资历雄厚，信誉良好。</w:t>
      </w:r>
    </w:p>
    <w:p w14:paraId="70C58059" w14:textId="77777777" w:rsidR="005A043F" w:rsidRDefault="0029200C">
      <w:pPr>
        <w:spacing w:line="360" w:lineRule="auto"/>
        <w:ind w:firstLineChars="200" w:firstLine="480"/>
        <w:rPr>
          <w:rFonts w:ascii="宋体" w:hAnsi="宋体"/>
          <w:sz w:val="24"/>
        </w:rPr>
      </w:pPr>
      <w:r>
        <w:rPr>
          <w:rFonts w:ascii="宋体" w:hAnsi="宋体" w:hint="eastAsia"/>
          <w:sz w:val="24"/>
        </w:rPr>
        <w:t>2、财务状况良好，经营行为规范，最近一年未发生重大违规行为而受到有关管理机关的处罚。</w:t>
      </w:r>
    </w:p>
    <w:p w14:paraId="63D9BB8F" w14:textId="77777777" w:rsidR="005A043F" w:rsidRDefault="0029200C">
      <w:pPr>
        <w:spacing w:line="360" w:lineRule="auto"/>
        <w:ind w:firstLineChars="200" w:firstLine="480"/>
        <w:rPr>
          <w:rFonts w:ascii="宋体" w:hAnsi="宋体"/>
          <w:sz w:val="24"/>
        </w:rPr>
      </w:pPr>
      <w:r>
        <w:rPr>
          <w:rFonts w:ascii="宋体" w:hAnsi="宋体" w:hint="eastAsia"/>
          <w:sz w:val="24"/>
        </w:rPr>
        <w:t>3、内部管理规范、严格，具备健全的内控制度，并能满足基金运作高度保密的要求。</w:t>
      </w:r>
    </w:p>
    <w:p w14:paraId="32FD4613" w14:textId="77777777" w:rsidR="005A043F" w:rsidRDefault="0029200C">
      <w:pPr>
        <w:spacing w:line="360" w:lineRule="auto"/>
        <w:ind w:firstLineChars="200" w:firstLine="480"/>
        <w:rPr>
          <w:rFonts w:ascii="宋体" w:hAnsi="宋体"/>
          <w:sz w:val="24"/>
        </w:rPr>
      </w:pPr>
      <w:r>
        <w:rPr>
          <w:rFonts w:ascii="宋体" w:hAnsi="宋体" w:hint="eastAsia"/>
          <w:sz w:val="24"/>
        </w:rPr>
        <w:t>4、具备基金运作所需的高效、安全的通讯条件，交易设施符合代理本基金进行证券交易的需要，并能为本基金提供全面的信息服务。</w:t>
      </w:r>
    </w:p>
    <w:p w14:paraId="39761AAC" w14:textId="77777777" w:rsidR="005A043F" w:rsidRDefault="0029200C">
      <w:pPr>
        <w:spacing w:line="360" w:lineRule="auto"/>
        <w:ind w:firstLineChars="200" w:firstLine="480"/>
        <w:rPr>
          <w:rFonts w:ascii="宋体" w:hAnsi="宋体"/>
          <w:sz w:val="24"/>
        </w:rPr>
      </w:pPr>
      <w:r>
        <w:rPr>
          <w:rFonts w:ascii="宋体" w:hAnsi="宋体" w:hint="eastAsia"/>
          <w:sz w:val="24"/>
        </w:rPr>
        <w:t>5、研究实力较强，有固定的研究机构和专门研究人员，能及时、定期、全面地为本基金提供宏观经济、行业情况、市场走向、</w:t>
      </w:r>
      <w:proofErr w:type="gramStart"/>
      <w:r>
        <w:rPr>
          <w:rFonts w:ascii="宋体" w:hAnsi="宋体" w:hint="eastAsia"/>
          <w:sz w:val="24"/>
        </w:rPr>
        <w:t>个券</w:t>
      </w:r>
      <w:proofErr w:type="gramEnd"/>
      <w:r>
        <w:rPr>
          <w:rFonts w:ascii="宋体" w:hAnsi="宋体" w:hint="eastAsia"/>
          <w:sz w:val="24"/>
        </w:rPr>
        <w:t>分析的研究报告及周到</w:t>
      </w:r>
      <w:r>
        <w:rPr>
          <w:rFonts w:ascii="宋体" w:hAnsi="宋体" w:hint="eastAsia"/>
          <w:sz w:val="24"/>
        </w:rPr>
        <w:lastRenderedPageBreak/>
        <w:t>的信息服务，并能根据基金投资的特定要求，提供专题研究报告。</w:t>
      </w:r>
    </w:p>
    <w:p w14:paraId="02EA152D" w14:textId="7D461DF4" w:rsidR="005A043F" w:rsidRDefault="0029200C">
      <w:pPr>
        <w:spacing w:line="360" w:lineRule="auto"/>
        <w:ind w:firstLineChars="200" w:firstLine="480"/>
        <w:rPr>
          <w:rFonts w:ascii="宋体" w:hAnsi="宋体"/>
          <w:sz w:val="24"/>
        </w:rPr>
      </w:pPr>
      <w:r>
        <w:rPr>
          <w:rFonts w:ascii="宋体" w:hAnsi="宋体" w:hint="eastAsia"/>
          <w:sz w:val="24"/>
        </w:rPr>
        <w:t>基金管理人应设计选择代理证券买卖的证券经营机构的标准和程序。基金管理人负责选择代理本基金证券买卖的证券经营机构，由基金管理人与基金托管人及证券经营机构签订本基金的证券经纪服务协议，就基金参与场内证券交易、结算等具体事项另行签订协议。</w:t>
      </w:r>
    </w:p>
    <w:p w14:paraId="69FF19C7" w14:textId="069D1ABD" w:rsidR="005A043F" w:rsidRDefault="0029200C">
      <w:pPr>
        <w:spacing w:line="360" w:lineRule="auto"/>
        <w:ind w:firstLineChars="200" w:firstLine="480"/>
        <w:rPr>
          <w:rFonts w:ascii="宋体" w:hAnsi="宋体"/>
          <w:sz w:val="24"/>
        </w:rPr>
      </w:pPr>
      <w:r>
        <w:rPr>
          <w:rFonts w:ascii="宋体" w:hAnsi="宋体" w:hint="eastAsia"/>
          <w:sz w:val="24"/>
        </w:rPr>
        <w:t>基金管理人负责选择代理本基金期货交易的期货经营机构，并与其签订期货经纪合同。其他事宜根据法律法规、《基金合同》、本协议的相关规定执行，若无明确规定的，可参照有关证券买卖、证券经营机构选择的规则执行。</w:t>
      </w:r>
    </w:p>
    <w:p w14:paraId="7A8CCAB8" w14:textId="77777777" w:rsidR="005A043F" w:rsidRDefault="0029200C">
      <w:pPr>
        <w:spacing w:line="360" w:lineRule="auto"/>
        <w:ind w:firstLineChars="200" w:firstLine="480"/>
        <w:rPr>
          <w:rFonts w:ascii="宋体" w:hAnsi="宋体"/>
          <w:sz w:val="24"/>
        </w:rPr>
      </w:pPr>
      <w:bookmarkStart w:id="89" w:name="_Toc48703905"/>
      <w:r>
        <w:rPr>
          <w:rFonts w:ascii="宋体" w:hAnsi="宋体" w:hint="eastAsia"/>
          <w:sz w:val="24"/>
        </w:rPr>
        <w:t>（二）基金投资证券后的清算</w:t>
      </w:r>
      <w:bookmarkEnd w:id="89"/>
      <w:r>
        <w:rPr>
          <w:rFonts w:ascii="宋体" w:hAnsi="宋体" w:hint="eastAsia"/>
          <w:sz w:val="24"/>
        </w:rPr>
        <w:t>交收安排</w:t>
      </w:r>
    </w:p>
    <w:p w14:paraId="0649F679" w14:textId="77777777" w:rsidR="005A043F" w:rsidRDefault="0029200C">
      <w:pPr>
        <w:spacing w:line="360" w:lineRule="auto"/>
        <w:ind w:firstLineChars="200" w:firstLine="480"/>
        <w:rPr>
          <w:rFonts w:ascii="宋体" w:hAnsi="宋体"/>
          <w:sz w:val="24"/>
        </w:rPr>
      </w:pPr>
      <w:r>
        <w:rPr>
          <w:rFonts w:ascii="宋体" w:hAnsi="宋体" w:hint="eastAsia"/>
          <w:sz w:val="24"/>
        </w:rPr>
        <w:t>1、基金管理人和基金托管人在基金清算和交收中的责任</w:t>
      </w:r>
    </w:p>
    <w:p w14:paraId="5E813CB9" w14:textId="223FA831" w:rsidR="005A043F" w:rsidRDefault="0029200C">
      <w:pPr>
        <w:spacing w:line="360" w:lineRule="auto"/>
        <w:ind w:firstLineChars="200" w:firstLine="480"/>
        <w:rPr>
          <w:rFonts w:ascii="宋体" w:hAnsi="宋体"/>
          <w:sz w:val="24"/>
        </w:rPr>
      </w:pPr>
      <w:r>
        <w:rPr>
          <w:rFonts w:ascii="宋体" w:hAnsi="宋体" w:hint="eastAsia"/>
          <w:sz w:val="24"/>
        </w:rPr>
        <w:t>基金托管人负责基金投资于证券发生的所有场外交易的清算交收，场外资金汇划由基金托管人根据基金管理人的场外交易划款指令具体办理；基金投资于证券发生的所有场内交易的清算交收，由基金管理人负责委托代理证券买卖的证券经营机构根据相关登记结算公司的结算规则办理。</w:t>
      </w:r>
    </w:p>
    <w:p w14:paraId="612B2C77" w14:textId="27578D35" w:rsidR="005A043F" w:rsidRDefault="0029200C">
      <w:pPr>
        <w:spacing w:line="360" w:lineRule="auto"/>
        <w:ind w:firstLineChars="200" w:firstLine="480"/>
        <w:rPr>
          <w:rFonts w:ascii="宋体" w:hAnsi="宋体"/>
          <w:sz w:val="24"/>
        </w:rPr>
      </w:pPr>
      <w:r>
        <w:rPr>
          <w:rFonts w:ascii="宋体" w:hAnsi="宋体" w:hint="eastAsia"/>
          <w:sz w:val="24"/>
        </w:rPr>
        <w:t>如果因为基金托管人自身原因在清算上造成基金资产的损失，应由基金托管人负责赔偿基金的损失；如果因为基金管理人未事先通知需要单独结算的交易，造成基金财产损失的由基金管理人承担；如果由于基金管理人违反法律法规、交易规则的规定进行超买、超卖等原因造成基金投资清算困难和风险，基金托管人发现后应立即通知基金管理人，基金托管人不承担由此给基金造成的损失。</w:t>
      </w:r>
    </w:p>
    <w:p w14:paraId="5055CDE9" w14:textId="64D0E9B7" w:rsidR="005A043F" w:rsidRDefault="0029200C">
      <w:pPr>
        <w:spacing w:line="360" w:lineRule="auto"/>
        <w:ind w:firstLineChars="200" w:firstLine="480"/>
        <w:rPr>
          <w:rFonts w:ascii="宋体" w:hAnsi="宋体"/>
          <w:sz w:val="24"/>
        </w:rPr>
      </w:pPr>
      <w:r>
        <w:rPr>
          <w:rFonts w:ascii="宋体" w:hAnsi="宋体"/>
          <w:sz w:val="24"/>
        </w:rPr>
        <w:t>2</w:t>
      </w:r>
      <w:r>
        <w:rPr>
          <w:rFonts w:ascii="宋体" w:hAnsi="宋体" w:hint="eastAsia"/>
          <w:sz w:val="24"/>
        </w:rPr>
        <w:t>、基金无法按时支付证券清算款的责任认定及处理程序</w:t>
      </w:r>
    </w:p>
    <w:p w14:paraId="06C94714" w14:textId="3DA30BEA" w:rsidR="005A043F" w:rsidRDefault="0029200C">
      <w:pPr>
        <w:spacing w:line="360" w:lineRule="auto"/>
        <w:ind w:firstLineChars="200" w:firstLine="480"/>
        <w:rPr>
          <w:rFonts w:ascii="宋体" w:hAnsi="宋体"/>
          <w:sz w:val="24"/>
        </w:rPr>
      </w:pPr>
      <w:r>
        <w:rPr>
          <w:rFonts w:ascii="宋体" w:hAnsi="宋体" w:hint="eastAsia"/>
          <w:sz w:val="24"/>
        </w:rPr>
        <w:t>基金管理人应保证基金托管人在执行基金管理人发送的划款指令时，基金托管资金账户上有充足的资金。基金的资金头寸不足时，基金托管人有权拒绝基金管理人发送的划款指令并立即通知基金管理人。基金管理人在发送划款指令时应充分考虑基金托管人的划款处理所需的合理时间。如由于基金管理人的原因导致无法按时支付证券清算款，由此给本基金及基金托管人造成的损失由基金管理人承担。</w:t>
      </w:r>
    </w:p>
    <w:p w14:paraId="72B87F2A"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在基金资金头寸充足的情况下，基金托管人对基金管理人符合法律法规、《基金合同》、本协议的指令不得拖延或拒绝执行。如由于基金托管人的原因导致基金无法按时支付证券清算款，由此给本基金或基金管理人造成的损失由基金托管人承担。</w:t>
      </w:r>
    </w:p>
    <w:p w14:paraId="2AF3513D" w14:textId="77777777" w:rsidR="005A043F" w:rsidRDefault="0029200C">
      <w:pPr>
        <w:spacing w:line="360" w:lineRule="auto"/>
        <w:ind w:firstLineChars="200" w:firstLine="480"/>
        <w:rPr>
          <w:rFonts w:ascii="宋体" w:hAnsi="宋体"/>
          <w:sz w:val="24"/>
        </w:rPr>
      </w:pPr>
      <w:bookmarkStart w:id="90" w:name="_Toc48703906"/>
      <w:r>
        <w:rPr>
          <w:rFonts w:ascii="宋体" w:hAnsi="宋体" w:hint="eastAsia"/>
          <w:sz w:val="24"/>
        </w:rPr>
        <w:t>（三）资金、证券/期货账目及交易记录的核对</w:t>
      </w:r>
      <w:bookmarkEnd w:id="90"/>
    </w:p>
    <w:p w14:paraId="5380690D" w14:textId="77777777" w:rsidR="005A043F" w:rsidRDefault="0029200C">
      <w:pPr>
        <w:spacing w:line="360" w:lineRule="auto"/>
        <w:ind w:firstLineChars="200" w:firstLine="480"/>
        <w:rPr>
          <w:rFonts w:ascii="宋体" w:hAnsi="宋体"/>
          <w:sz w:val="24"/>
        </w:rPr>
      </w:pPr>
      <w:r>
        <w:rPr>
          <w:rFonts w:ascii="宋体" w:hAnsi="宋体" w:hint="eastAsia"/>
          <w:sz w:val="24"/>
        </w:rPr>
        <w:t>对基金的交易记录，由基金管理人按日进行核对。每日对外披露各类基金份额净值之前，必须保证当天所有实际交易记录与基金会计账簿上的交易记录完全一致。如果实际交易记录与会计账簿记录不一致，造成基金会计核算不完整或不真实，由此导致的损失由责任方承担。</w:t>
      </w:r>
    </w:p>
    <w:p w14:paraId="004AF40A" w14:textId="77777777" w:rsidR="005A043F" w:rsidRDefault="0029200C">
      <w:pPr>
        <w:spacing w:line="360" w:lineRule="auto"/>
        <w:ind w:firstLineChars="200" w:firstLine="480"/>
        <w:rPr>
          <w:rFonts w:ascii="宋体" w:hAnsi="宋体"/>
          <w:sz w:val="24"/>
        </w:rPr>
      </w:pPr>
      <w:r>
        <w:rPr>
          <w:rFonts w:ascii="宋体" w:hAnsi="宋体" w:hint="eastAsia"/>
          <w:sz w:val="24"/>
        </w:rPr>
        <w:t>对基金的资金账目，由相关各方每日对账一次，确保相关各方账</w:t>
      </w:r>
      <w:proofErr w:type="gramStart"/>
      <w:r>
        <w:rPr>
          <w:rFonts w:ascii="宋体" w:hAnsi="宋体" w:hint="eastAsia"/>
          <w:sz w:val="24"/>
        </w:rPr>
        <w:t>账</w:t>
      </w:r>
      <w:proofErr w:type="gramEnd"/>
      <w:r>
        <w:rPr>
          <w:rFonts w:ascii="宋体" w:hAnsi="宋体" w:hint="eastAsia"/>
          <w:sz w:val="24"/>
        </w:rPr>
        <w:t>相符。</w:t>
      </w:r>
    </w:p>
    <w:p w14:paraId="5680CEB7" w14:textId="77777777" w:rsidR="005A043F" w:rsidRDefault="0029200C">
      <w:pPr>
        <w:spacing w:line="360" w:lineRule="auto"/>
        <w:ind w:firstLineChars="200" w:firstLine="480"/>
        <w:rPr>
          <w:rFonts w:ascii="宋体" w:hAnsi="宋体"/>
          <w:sz w:val="24"/>
        </w:rPr>
      </w:pPr>
      <w:r>
        <w:rPr>
          <w:rFonts w:ascii="宋体" w:hAnsi="宋体" w:hint="eastAsia"/>
          <w:sz w:val="24"/>
        </w:rPr>
        <w:t>对基金证券/期货账目，由每</w:t>
      </w:r>
      <w:proofErr w:type="gramStart"/>
      <w:r>
        <w:rPr>
          <w:rFonts w:ascii="宋体" w:hAnsi="宋体" w:hint="eastAsia"/>
          <w:sz w:val="24"/>
        </w:rPr>
        <w:t>周最后</w:t>
      </w:r>
      <w:proofErr w:type="gramEnd"/>
      <w:r>
        <w:rPr>
          <w:rFonts w:ascii="宋体" w:hAnsi="宋体" w:hint="eastAsia"/>
          <w:sz w:val="24"/>
        </w:rPr>
        <w:t>一个交易日终了</w:t>
      </w:r>
      <w:proofErr w:type="gramStart"/>
      <w:r>
        <w:rPr>
          <w:rFonts w:ascii="宋体" w:hAnsi="宋体" w:hint="eastAsia"/>
          <w:sz w:val="24"/>
        </w:rPr>
        <w:t>时相关</w:t>
      </w:r>
      <w:proofErr w:type="gramEnd"/>
      <w:r>
        <w:rPr>
          <w:rFonts w:ascii="宋体" w:hAnsi="宋体" w:hint="eastAsia"/>
          <w:sz w:val="24"/>
        </w:rPr>
        <w:t>各方进行对账。</w:t>
      </w:r>
    </w:p>
    <w:p w14:paraId="26872D55" w14:textId="77777777" w:rsidR="005A043F" w:rsidRDefault="0029200C">
      <w:pPr>
        <w:spacing w:line="360" w:lineRule="auto"/>
        <w:ind w:firstLineChars="200" w:firstLine="480"/>
        <w:rPr>
          <w:rFonts w:ascii="宋体" w:hAnsi="宋体"/>
          <w:sz w:val="24"/>
        </w:rPr>
      </w:pPr>
      <w:r>
        <w:rPr>
          <w:rFonts w:ascii="宋体" w:hAnsi="宋体" w:hint="eastAsia"/>
          <w:sz w:val="24"/>
        </w:rPr>
        <w:t>对实物</w:t>
      </w:r>
      <w:proofErr w:type="gramStart"/>
      <w:r>
        <w:rPr>
          <w:rFonts w:ascii="宋体" w:hAnsi="宋体" w:hint="eastAsia"/>
          <w:sz w:val="24"/>
        </w:rPr>
        <w:t>券</w:t>
      </w:r>
      <w:proofErr w:type="gramEnd"/>
      <w:r>
        <w:rPr>
          <w:rFonts w:ascii="宋体" w:hAnsi="宋体" w:hint="eastAsia"/>
          <w:sz w:val="24"/>
        </w:rPr>
        <w:t>账目，每月月</w:t>
      </w:r>
      <w:proofErr w:type="gramStart"/>
      <w:r>
        <w:rPr>
          <w:rFonts w:ascii="宋体" w:hAnsi="宋体" w:hint="eastAsia"/>
          <w:sz w:val="24"/>
        </w:rPr>
        <w:t>末相关</w:t>
      </w:r>
      <w:proofErr w:type="gramEnd"/>
      <w:r>
        <w:rPr>
          <w:rFonts w:ascii="宋体" w:hAnsi="宋体" w:hint="eastAsia"/>
          <w:sz w:val="24"/>
        </w:rPr>
        <w:t>各方进行账实核对。</w:t>
      </w:r>
    </w:p>
    <w:p w14:paraId="2AE2D87E" w14:textId="77777777" w:rsidR="005A043F" w:rsidRDefault="0029200C">
      <w:pPr>
        <w:spacing w:line="360" w:lineRule="auto"/>
        <w:ind w:firstLineChars="200" w:firstLine="480"/>
        <w:rPr>
          <w:rFonts w:ascii="宋体" w:hAnsi="宋体"/>
          <w:sz w:val="24"/>
        </w:rPr>
      </w:pPr>
      <w:r>
        <w:rPr>
          <w:rFonts w:ascii="宋体" w:hAnsi="宋体" w:hint="eastAsia"/>
          <w:sz w:val="24"/>
        </w:rPr>
        <w:t>对交易记录，由相关各方每日对账一次。</w:t>
      </w:r>
    </w:p>
    <w:p w14:paraId="5B981F9B" w14:textId="77777777" w:rsidR="005A043F" w:rsidRDefault="0029200C">
      <w:pPr>
        <w:spacing w:line="360" w:lineRule="auto"/>
        <w:ind w:firstLineChars="200" w:firstLine="480"/>
        <w:rPr>
          <w:rFonts w:ascii="宋体" w:hAnsi="宋体"/>
          <w:sz w:val="24"/>
        </w:rPr>
      </w:pPr>
      <w:r>
        <w:rPr>
          <w:rFonts w:ascii="宋体" w:hAnsi="宋体" w:hint="eastAsia"/>
          <w:sz w:val="24"/>
        </w:rPr>
        <w:t>（四）申购、赎回、转换开放式基金的资金清算、数据传递及托管协议当事人的责任</w:t>
      </w:r>
    </w:p>
    <w:p w14:paraId="7601623C" w14:textId="77777777" w:rsidR="005A043F" w:rsidRDefault="0029200C">
      <w:pPr>
        <w:spacing w:line="360" w:lineRule="auto"/>
        <w:ind w:firstLineChars="200" w:firstLine="480"/>
        <w:rPr>
          <w:rFonts w:ascii="宋体" w:hAnsi="宋体"/>
          <w:sz w:val="24"/>
        </w:rPr>
      </w:pPr>
      <w:bookmarkStart w:id="91" w:name="_Toc124749232"/>
      <w:bookmarkStart w:id="92" w:name="_Toc124749943"/>
      <w:bookmarkStart w:id="93" w:name="_Toc123626174"/>
      <w:r>
        <w:rPr>
          <w:rFonts w:ascii="宋体" w:hAnsi="宋体" w:hint="eastAsia"/>
          <w:sz w:val="24"/>
        </w:rPr>
        <w:t>1、托管协议当事人在开放式基金的申购赎回、转换中的责任</w:t>
      </w:r>
    </w:p>
    <w:p w14:paraId="2E228B56" w14:textId="263B1494" w:rsidR="005A043F" w:rsidRDefault="0029200C">
      <w:pPr>
        <w:spacing w:line="360" w:lineRule="auto"/>
        <w:ind w:firstLineChars="200" w:firstLine="480"/>
        <w:rPr>
          <w:rFonts w:ascii="宋体" w:hAnsi="宋体"/>
          <w:sz w:val="24"/>
        </w:rPr>
      </w:pPr>
      <w:r>
        <w:rPr>
          <w:rFonts w:ascii="宋体" w:hAnsi="宋体" w:hint="eastAsia"/>
          <w:sz w:val="24"/>
        </w:rPr>
        <w:t>基金的投资者可通过基金管理人的直销中心和销售机构的销售网点进行申购和赎回申请，由基金管理人或基金管理人委托的其他符合条件的机构办理基金份额的过户和登记。基金托管人负责接收并确认资金的到账情况，以及依照基金管理人的划款指令来划付赎回款项。</w:t>
      </w:r>
    </w:p>
    <w:p w14:paraId="7E483FAD" w14:textId="77777777" w:rsidR="005A043F" w:rsidRDefault="0029200C">
      <w:pPr>
        <w:spacing w:line="360" w:lineRule="auto"/>
        <w:ind w:firstLineChars="200" w:firstLine="480"/>
        <w:rPr>
          <w:rFonts w:ascii="宋体" w:hAnsi="宋体"/>
          <w:sz w:val="24"/>
        </w:rPr>
      </w:pPr>
      <w:r>
        <w:rPr>
          <w:rFonts w:ascii="宋体" w:hAnsi="宋体" w:hint="eastAsia"/>
          <w:sz w:val="24"/>
        </w:rPr>
        <w:t>2、开放式基金的数据传递</w:t>
      </w:r>
    </w:p>
    <w:p w14:paraId="34BFBD18" w14:textId="3F3780E4" w:rsidR="005A043F" w:rsidRDefault="0029200C">
      <w:pPr>
        <w:spacing w:line="360" w:lineRule="auto"/>
        <w:ind w:firstLineChars="200" w:firstLine="480"/>
        <w:rPr>
          <w:rFonts w:ascii="宋体" w:hAnsi="宋体"/>
          <w:sz w:val="24"/>
        </w:rPr>
      </w:pPr>
      <w:r>
        <w:rPr>
          <w:rFonts w:ascii="宋体" w:hAnsi="宋体" w:hint="eastAsia"/>
          <w:sz w:val="24"/>
        </w:rPr>
        <w:t>基金管理人应于每个开放日1</w:t>
      </w:r>
      <w:r>
        <w:rPr>
          <w:rFonts w:ascii="宋体" w:hAnsi="宋体"/>
          <w:sz w:val="24"/>
        </w:rPr>
        <w:t>5</w:t>
      </w:r>
      <w:r>
        <w:rPr>
          <w:rFonts w:ascii="宋体" w:hAnsi="宋体" w:hint="eastAsia"/>
          <w:sz w:val="24"/>
        </w:rPr>
        <w:t>：00之前将前一个开放日经确认的基金申购金额和赎回份额</w:t>
      </w:r>
      <w:r w:rsidR="00BF61DC">
        <w:rPr>
          <w:rFonts w:ascii="宋体" w:hAnsi="宋体" w:hint="eastAsia"/>
          <w:sz w:val="24"/>
        </w:rPr>
        <w:t>数据发送给</w:t>
      </w:r>
      <w:r>
        <w:rPr>
          <w:rFonts w:ascii="宋体" w:hAnsi="宋体" w:hint="eastAsia"/>
          <w:sz w:val="24"/>
        </w:rPr>
        <w:t>基金托管人。基金管理人应对传递的申购、赎回数据的真实性、准确性和完整性负责。</w:t>
      </w:r>
    </w:p>
    <w:p w14:paraId="5C2A997C" w14:textId="77777777" w:rsidR="005A043F" w:rsidRDefault="0029200C">
      <w:pPr>
        <w:spacing w:line="360" w:lineRule="auto"/>
        <w:ind w:firstLineChars="200" w:firstLine="480"/>
        <w:rPr>
          <w:rFonts w:ascii="宋体" w:hAnsi="宋体"/>
          <w:sz w:val="24"/>
        </w:rPr>
      </w:pPr>
      <w:r>
        <w:rPr>
          <w:rFonts w:ascii="宋体" w:hAnsi="宋体" w:hint="eastAsia"/>
          <w:sz w:val="24"/>
        </w:rPr>
        <w:t>3、开放式基金的资金清算</w:t>
      </w:r>
    </w:p>
    <w:p w14:paraId="694F0455"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基金申购、赎回等款项采用</w:t>
      </w:r>
      <w:proofErr w:type="gramStart"/>
      <w:r>
        <w:rPr>
          <w:rFonts w:ascii="宋体" w:hAnsi="宋体" w:hint="eastAsia"/>
          <w:sz w:val="24"/>
        </w:rPr>
        <w:t>轧差交收</w:t>
      </w:r>
      <w:proofErr w:type="gramEnd"/>
      <w:r>
        <w:rPr>
          <w:rFonts w:ascii="宋体" w:hAnsi="宋体" w:hint="eastAsia"/>
          <w:sz w:val="24"/>
        </w:rPr>
        <w:t>的结算方式，净额在最晚不迟于</w:t>
      </w:r>
      <w:proofErr w:type="gramStart"/>
      <w:r>
        <w:rPr>
          <w:rFonts w:ascii="宋体" w:hAnsi="宋体" w:hint="eastAsia"/>
          <w:sz w:val="24"/>
        </w:rPr>
        <w:t>交收日</w:t>
      </w:r>
      <w:proofErr w:type="gramEnd"/>
      <w:r>
        <w:rPr>
          <w:rFonts w:ascii="宋体" w:hAnsi="宋体"/>
          <w:sz w:val="24"/>
        </w:rPr>
        <w:t>15:00</w:t>
      </w:r>
      <w:r>
        <w:rPr>
          <w:rFonts w:ascii="宋体" w:hAnsi="宋体" w:hint="eastAsia"/>
          <w:sz w:val="24"/>
        </w:rPr>
        <w:t>前在基金管理人总清算账户和资产托管专户之间交收，如遇异常情况由基金管理人与基金托管人协商处理。</w:t>
      </w:r>
    </w:p>
    <w:p w14:paraId="17662C5D" w14:textId="77777777" w:rsidR="005A043F" w:rsidRDefault="0029200C">
      <w:pPr>
        <w:spacing w:line="360" w:lineRule="auto"/>
        <w:ind w:firstLineChars="200" w:firstLine="480"/>
        <w:rPr>
          <w:rFonts w:ascii="宋体" w:hAnsi="宋体"/>
          <w:sz w:val="24"/>
        </w:rPr>
      </w:pPr>
      <w:r>
        <w:rPr>
          <w:rFonts w:ascii="宋体" w:hAnsi="宋体" w:hint="eastAsia"/>
          <w:sz w:val="24"/>
        </w:rPr>
        <w:t>如果当日基金为净应收款，基金托管人应及时查收资金是否到账，对于未准时到账的资金，应及时通知基金管理人划付。对于未准时划付的资金，基金托管人应及时通知基金管理人划付，由此产生的责任应由基金管理人承担。后果严重的，基金托管人应向中国证监会报告。</w:t>
      </w:r>
    </w:p>
    <w:p w14:paraId="45C0AC73" w14:textId="77777777" w:rsidR="005A043F" w:rsidRDefault="0029200C">
      <w:pPr>
        <w:spacing w:line="360" w:lineRule="auto"/>
        <w:ind w:firstLineChars="200" w:firstLine="480"/>
        <w:rPr>
          <w:rFonts w:ascii="宋体" w:hAnsi="宋体"/>
          <w:sz w:val="24"/>
        </w:rPr>
      </w:pPr>
      <w:r>
        <w:rPr>
          <w:rFonts w:ascii="宋体" w:hAnsi="宋体" w:hint="eastAsia"/>
          <w:sz w:val="24"/>
        </w:rPr>
        <w:t>如果当日基金为净应付款，基金托管人应根据基金管理人的指令及时进行划付。基金管理人应保证基金托管人在执行基金管理人发送的划款指令时，基金托管资金账户上有充足的资金。基金的资金头寸不足时，基金托管人有权拒绝基金管理人发送的划款指令并立即通知基金管理人。对于未准时划付的资金，基金管理人应及时通知基金托管人划付，由此产生的责任应由基金托管人承担。后果严重的，基金管理人应向中国证监会报告。</w:t>
      </w:r>
    </w:p>
    <w:p w14:paraId="0BA48841" w14:textId="77777777" w:rsidR="005A043F" w:rsidRDefault="0029200C">
      <w:pPr>
        <w:spacing w:line="360" w:lineRule="auto"/>
        <w:ind w:firstLineChars="200" w:firstLine="480"/>
        <w:rPr>
          <w:rFonts w:ascii="宋体" w:hAnsi="宋体"/>
          <w:sz w:val="24"/>
        </w:rPr>
      </w:pPr>
      <w:r>
        <w:rPr>
          <w:rFonts w:ascii="宋体" w:hAnsi="宋体" w:hint="eastAsia"/>
          <w:sz w:val="24"/>
        </w:rPr>
        <w:t>（五）通过公开募集证券投资基金销售机构投资于其他公开募集证券投资基金时各方当事人的责任</w:t>
      </w:r>
    </w:p>
    <w:p w14:paraId="420BDC3C"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通过公开募集证券投资基金销售机构（以下简称“基金销售机构”）投资于其他公开募集证券投资基金的，应确保基金销售机构已经中国证监会或者其派出机构注册，取得基金销售业务资格。该机构丧失基金销售业务资格时，基金管理人应及时通知基金托管人，并停止通过该机构投资公开募集证券投资基金。实际开展业务前，基金管理人须向基金托管人提供基金管理人与该基金销售机构签订的交易服务协议，并出具风险承诺函。基金管理人应在风险承诺函中列明基金管理人通过该基金销售机构开展公开募集证券投资基金投资可能出现的风险，并</w:t>
      </w:r>
      <w:proofErr w:type="gramStart"/>
      <w:r>
        <w:rPr>
          <w:rFonts w:ascii="宋体" w:hAnsi="宋体" w:hint="eastAsia"/>
          <w:sz w:val="24"/>
        </w:rPr>
        <w:t>明确因</w:t>
      </w:r>
      <w:proofErr w:type="gramEnd"/>
      <w:r>
        <w:rPr>
          <w:rFonts w:ascii="宋体" w:hAnsi="宋体" w:hint="eastAsia"/>
          <w:sz w:val="24"/>
        </w:rPr>
        <w:t>基金销售机构原因导致的交易处理失败，基金托管人不承担相应责任。风险承诺函的内容应经基金托管人认可。如该基金销售机构发生信息发送异常等情况，基金管理人和基金托管人通过双方约定的方式办理相关业务。</w:t>
      </w:r>
    </w:p>
    <w:p w14:paraId="5C0CD398" w14:textId="43912A1D" w:rsidR="005A043F" w:rsidRDefault="0029200C">
      <w:pPr>
        <w:spacing w:line="360" w:lineRule="auto"/>
        <w:ind w:firstLineChars="200" w:firstLine="480"/>
        <w:rPr>
          <w:rFonts w:ascii="宋体" w:hAnsi="宋体"/>
          <w:sz w:val="24"/>
        </w:rPr>
      </w:pPr>
      <w:r>
        <w:rPr>
          <w:rFonts w:ascii="宋体" w:hAnsi="宋体"/>
          <w:sz w:val="24"/>
        </w:rPr>
        <w:t>（</w:t>
      </w:r>
      <w:r>
        <w:rPr>
          <w:rFonts w:ascii="宋体" w:hAnsi="宋体" w:hint="eastAsia"/>
          <w:sz w:val="24"/>
        </w:rPr>
        <w:t>六</w:t>
      </w:r>
      <w:r>
        <w:rPr>
          <w:rFonts w:ascii="宋体" w:hAnsi="宋体"/>
          <w:sz w:val="24"/>
        </w:rPr>
        <w:t>）期货交易及清算交收</w:t>
      </w:r>
    </w:p>
    <w:p w14:paraId="731E5A56" w14:textId="7D95C2FD" w:rsidR="005A043F" w:rsidRDefault="0029200C">
      <w:pPr>
        <w:spacing w:line="360" w:lineRule="auto"/>
        <w:ind w:firstLineChars="200" w:firstLine="480"/>
        <w:rPr>
          <w:rFonts w:ascii="宋体" w:hAnsi="宋体"/>
          <w:sz w:val="24"/>
        </w:rPr>
      </w:pPr>
      <w:r>
        <w:rPr>
          <w:rFonts w:ascii="宋体" w:hAnsi="宋体"/>
          <w:sz w:val="24"/>
        </w:rPr>
        <w:t>基金管理人所选择的期货</w:t>
      </w:r>
      <w:r>
        <w:rPr>
          <w:rFonts w:ascii="宋体" w:hAnsi="宋体" w:hint="eastAsia"/>
          <w:sz w:val="24"/>
        </w:rPr>
        <w:t>经营</w:t>
      </w:r>
      <w:r>
        <w:rPr>
          <w:rFonts w:ascii="宋体" w:hAnsi="宋体"/>
          <w:sz w:val="24"/>
        </w:rPr>
        <w:t>机构负责办理基金资产的期货交易的清算交</w:t>
      </w:r>
      <w:r>
        <w:rPr>
          <w:rFonts w:ascii="宋体" w:hAnsi="宋体"/>
          <w:sz w:val="24"/>
        </w:rPr>
        <w:lastRenderedPageBreak/>
        <w:t>割；基金管理人应责成其选择的期货</w:t>
      </w:r>
      <w:r>
        <w:rPr>
          <w:rFonts w:ascii="宋体" w:hAnsi="宋体" w:hint="eastAsia"/>
          <w:sz w:val="24"/>
        </w:rPr>
        <w:t>经营</w:t>
      </w:r>
      <w:r>
        <w:rPr>
          <w:rFonts w:ascii="宋体" w:hAnsi="宋体"/>
          <w:sz w:val="24"/>
        </w:rPr>
        <w:t>机构对发送的数据的准确性、完整性、真实性负责。基金管理人、基金托管人以及期货</w:t>
      </w:r>
      <w:r>
        <w:rPr>
          <w:rFonts w:ascii="宋体" w:hAnsi="宋体" w:hint="eastAsia"/>
          <w:sz w:val="24"/>
        </w:rPr>
        <w:t>经营</w:t>
      </w:r>
      <w:r>
        <w:rPr>
          <w:rFonts w:ascii="宋体" w:hAnsi="宋体"/>
          <w:sz w:val="24"/>
        </w:rPr>
        <w:t>机构应另行签署《期货投资托管操作备忘录》，约定基金资产在期货投资运作中的职责及义务。</w:t>
      </w:r>
    </w:p>
    <w:p w14:paraId="6E7C9990"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94" w:name="_Toc125361080"/>
      <w:bookmarkStart w:id="95" w:name="_Toc140002343"/>
      <w:r>
        <w:rPr>
          <w:rFonts w:ascii="宋体" w:hAnsi="宋体" w:cs="Arial" w:hint="eastAsia"/>
          <w:sz w:val="30"/>
        </w:rPr>
        <w:t>基金资产净值计算和会计核算</w:t>
      </w:r>
      <w:bookmarkStart w:id="96" w:name="_Toc48703909"/>
      <w:bookmarkEnd w:id="7"/>
      <w:bookmarkEnd w:id="8"/>
      <w:bookmarkEnd w:id="9"/>
      <w:bookmarkEnd w:id="91"/>
      <w:bookmarkEnd w:id="92"/>
      <w:bookmarkEnd w:id="93"/>
      <w:bookmarkEnd w:id="94"/>
      <w:bookmarkEnd w:id="95"/>
    </w:p>
    <w:p w14:paraId="3D1C2120" w14:textId="77777777" w:rsidR="005A043F" w:rsidRDefault="0029200C">
      <w:pPr>
        <w:spacing w:line="360" w:lineRule="auto"/>
        <w:ind w:firstLineChars="200" w:firstLine="480"/>
        <w:rPr>
          <w:rFonts w:ascii="宋体" w:hAnsi="宋体"/>
          <w:sz w:val="24"/>
        </w:rPr>
      </w:pPr>
      <w:r>
        <w:rPr>
          <w:rFonts w:ascii="宋体" w:hAnsi="宋体" w:hint="eastAsia"/>
          <w:sz w:val="24"/>
        </w:rPr>
        <w:t>（一）基金资产净值的计算</w:t>
      </w:r>
    </w:p>
    <w:p w14:paraId="7B2F8D2E" w14:textId="77777777" w:rsidR="005A043F" w:rsidRDefault="0029200C">
      <w:pPr>
        <w:spacing w:line="360" w:lineRule="auto"/>
        <w:ind w:firstLineChars="200" w:firstLine="480"/>
        <w:rPr>
          <w:rFonts w:ascii="宋体" w:hAnsi="宋体"/>
          <w:sz w:val="24"/>
        </w:rPr>
      </w:pPr>
      <w:r>
        <w:rPr>
          <w:rFonts w:ascii="宋体" w:hAnsi="宋体" w:hint="eastAsia"/>
          <w:sz w:val="24"/>
        </w:rPr>
        <w:t>1、基金资产净值的计算、复核的时间和程序</w:t>
      </w:r>
    </w:p>
    <w:p w14:paraId="6A4825A1" w14:textId="77777777" w:rsidR="005A043F" w:rsidRDefault="0029200C">
      <w:pPr>
        <w:spacing w:line="360" w:lineRule="auto"/>
        <w:ind w:firstLineChars="200" w:firstLine="480"/>
        <w:rPr>
          <w:rFonts w:ascii="宋体" w:hAnsi="宋体"/>
          <w:sz w:val="24"/>
        </w:rPr>
      </w:pPr>
      <w:r>
        <w:rPr>
          <w:rFonts w:ascii="宋体" w:hAnsi="宋体" w:hint="eastAsia"/>
          <w:sz w:val="24"/>
        </w:rPr>
        <w:t>基金资产净值是指基金资产总值减去基金负债后的价值。各类基金份额净值是按照每个工作日闭市后，该类基金资产净值除以当日该类基金份额的余额数量计算，均精确到0.0001元，小数点后第5位四舍五入，由此产生的收益或损失归入基金财产。基金管理人可以设立大额赎回情形下的净值精度应急调整机制。国家另有规定的，从其规定。</w:t>
      </w:r>
    </w:p>
    <w:p w14:paraId="6CD87E82" w14:textId="722FF452" w:rsidR="005A043F" w:rsidRDefault="0029200C">
      <w:pPr>
        <w:spacing w:line="360" w:lineRule="auto"/>
        <w:ind w:firstLineChars="200" w:firstLine="480"/>
        <w:rPr>
          <w:rFonts w:ascii="宋体" w:hAnsi="宋体"/>
          <w:sz w:val="24"/>
        </w:rPr>
      </w:pPr>
      <w:r>
        <w:rPr>
          <w:rFonts w:ascii="宋体" w:hAnsi="宋体" w:hint="eastAsia"/>
          <w:sz w:val="24"/>
        </w:rPr>
        <w:t>基金管理人</w:t>
      </w:r>
      <w:proofErr w:type="gramStart"/>
      <w:r>
        <w:rPr>
          <w:rFonts w:ascii="宋体" w:hAnsi="宋体" w:hint="eastAsia"/>
          <w:sz w:val="24"/>
        </w:rPr>
        <w:t>应每个</w:t>
      </w:r>
      <w:proofErr w:type="gramEnd"/>
      <w:r>
        <w:rPr>
          <w:rFonts w:ascii="宋体" w:hAnsi="宋体" w:hint="eastAsia"/>
          <w:sz w:val="24"/>
        </w:rPr>
        <w:t>工作日对基金资产估值，</w:t>
      </w:r>
      <w:r>
        <w:rPr>
          <w:rFonts w:ascii="宋体" w:hAnsi="宋体"/>
          <w:sz w:val="24"/>
        </w:rPr>
        <w:t>但基金管理人根据法律法规或基金合同的规定暂停估值时除外</w:t>
      </w:r>
      <w:r>
        <w:rPr>
          <w:rFonts w:ascii="宋体" w:hAnsi="宋体" w:hint="eastAsia"/>
          <w:sz w:val="24"/>
        </w:rPr>
        <w:t>。估值原则应符合《基金合同》、《证券投资基金会计核算业务指引》及其他法律、法规的规定。基金资产净值和各类基金份额净值由基金管理人负责计算，基金托管人复核。基金管理人应于每个工作日交易结束后计算当日的基金资产净值与各类基金份额净值，并以双方认可的方式发送给基金托管人。基金托管人对净值计算结果复核后以双方认可的方式发送给基金管理人，由基金管理人对基金净值予以公布。基金托管人估值结果与基金管理人无法达成一致的，基金托管人应及时提示基金管理人按照法律法规进行信息披露。</w:t>
      </w:r>
    </w:p>
    <w:p w14:paraId="3CD2E7E4" w14:textId="77777777" w:rsidR="005A043F" w:rsidRDefault="0029200C">
      <w:pPr>
        <w:spacing w:line="360" w:lineRule="auto"/>
        <w:ind w:firstLineChars="200" w:firstLine="480"/>
        <w:rPr>
          <w:rFonts w:ascii="宋体" w:hAnsi="宋体"/>
          <w:sz w:val="24"/>
        </w:rPr>
      </w:pPr>
      <w:r>
        <w:rPr>
          <w:rFonts w:ascii="宋体" w:hAnsi="宋体" w:hint="eastAsia"/>
          <w:sz w:val="24"/>
        </w:rPr>
        <w:t>根据《基金法》，基金管理人计算并公告基金净值信息，基金托管人复核、审查基金管理人计算的基金净值信息。法律法规以及监管部门有强制规定的，从其规定。如有新增事项，按国家最新规定估值。</w:t>
      </w:r>
    </w:p>
    <w:p w14:paraId="0216EC86" w14:textId="77777777" w:rsidR="005A043F" w:rsidRDefault="0029200C">
      <w:pPr>
        <w:spacing w:line="360" w:lineRule="auto"/>
        <w:ind w:firstLineChars="200" w:firstLine="480"/>
        <w:rPr>
          <w:rFonts w:ascii="宋体" w:hAnsi="宋体"/>
          <w:sz w:val="24"/>
        </w:rPr>
      </w:pPr>
      <w:r>
        <w:rPr>
          <w:rFonts w:ascii="宋体" w:hAnsi="宋体" w:hint="eastAsia"/>
          <w:sz w:val="24"/>
        </w:rPr>
        <w:t>（二）基金资产估值方法</w:t>
      </w:r>
    </w:p>
    <w:p w14:paraId="447C8A3A" w14:textId="77777777" w:rsidR="005A043F" w:rsidRDefault="0029200C">
      <w:pPr>
        <w:spacing w:line="360" w:lineRule="auto"/>
        <w:ind w:firstLineChars="200" w:firstLine="480"/>
        <w:rPr>
          <w:rFonts w:ascii="宋体" w:hAnsi="宋体"/>
          <w:sz w:val="24"/>
        </w:rPr>
      </w:pPr>
      <w:bookmarkStart w:id="97" w:name="_Hlk146555329"/>
      <w:r>
        <w:rPr>
          <w:rFonts w:ascii="宋体" w:hAnsi="宋体" w:hint="eastAsia"/>
          <w:sz w:val="24"/>
        </w:rPr>
        <w:t>1、估值对象</w:t>
      </w:r>
    </w:p>
    <w:p w14:paraId="78CF99BA" w14:textId="77777777" w:rsidR="005A043F" w:rsidRDefault="0029200C">
      <w:pPr>
        <w:spacing w:line="360" w:lineRule="auto"/>
        <w:ind w:firstLineChars="200" w:firstLine="480"/>
        <w:rPr>
          <w:bCs/>
          <w:color w:val="000000"/>
          <w:sz w:val="24"/>
        </w:rPr>
      </w:pPr>
      <w:r>
        <w:rPr>
          <w:bCs/>
          <w:color w:val="000000"/>
          <w:sz w:val="24"/>
        </w:rPr>
        <w:lastRenderedPageBreak/>
        <w:t>基金所拥有的股票、债券和银行存款本息、应收款项、</w:t>
      </w:r>
      <w:r>
        <w:rPr>
          <w:rFonts w:hint="eastAsia"/>
          <w:bCs/>
          <w:color w:val="000000"/>
          <w:sz w:val="24"/>
        </w:rPr>
        <w:t>其他基金份额、资产支持证券、股指期货合约、国债期货合约、股票期权合约、信用衍生品、</w:t>
      </w:r>
      <w:r>
        <w:rPr>
          <w:bCs/>
          <w:color w:val="000000"/>
          <w:sz w:val="24"/>
        </w:rPr>
        <w:t>其它投资等资产及负债。</w:t>
      </w:r>
    </w:p>
    <w:p w14:paraId="4F49706D" w14:textId="77777777" w:rsidR="005A043F" w:rsidRDefault="0029200C">
      <w:pPr>
        <w:spacing w:line="360" w:lineRule="auto"/>
        <w:ind w:firstLineChars="200" w:firstLine="480"/>
        <w:rPr>
          <w:rFonts w:ascii="宋体" w:hAnsi="宋体"/>
          <w:sz w:val="24"/>
        </w:rPr>
      </w:pPr>
      <w:r>
        <w:rPr>
          <w:rFonts w:ascii="宋体" w:hAnsi="宋体" w:hint="eastAsia"/>
          <w:sz w:val="24"/>
        </w:rPr>
        <w:t>2、估值方法</w:t>
      </w:r>
    </w:p>
    <w:p w14:paraId="53804C8C" w14:textId="77777777" w:rsidR="005A043F" w:rsidRDefault="0029200C">
      <w:pPr>
        <w:spacing w:line="360" w:lineRule="auto"/>
        <w:ind w:firstLineChars="200" w:firstLine="480"/>
        <w:rPr>
          <w:rFonts w:ascii="宋体" w:hAnsi="宋体"/>
          <w:sz w:val="24"/>
        </w:rPr>
      </w:pPr>
      <w:r>
        <w:rPr>
          <w:rFonts w:ascii="宋体" w:hAnsi="宋体" w:hint="eastAsia"/>
          <w:sz w:val="24"/>
        </w:rPr>
        <w:t>本基金的估值方法为：</w:t>
      </w:r>
    </w:p>
    <w:p w14:paraId="7C057198" w14:textId="77777777" w:rsidR="005A043F" w:rsidRDefault="0029200C">
      <w:pPr>
        <w:spacing w:line="360" w:lineRule="auto"/>
        <w:ind w:firstLineChars="200" w:firstLine="480"/>
        <w:rPr>
          <w:rFonts w:ascii="宋体" w:hAnsi="宋体"/>
          <w:sz w:val="24"/>
        </w:rPr>
      </w:pPr>
      <w:bookmarkStart w:id="98" w:name="_Hlt88821719"/>
      <w:bookmarkStart w:id="99" w:name="_Hlt88900318"/>
      <w:bookmarkStart w:id="100" w:name="_Hlk138780875"/>
      <w:bookmarkEnd w:id="98"/>
      <w:bookmarkEnd w:id="99"/>
      <w:r>
        <w:rPr>
          <w:rFonts w:ascii="宋体" w:hAnsi="宋体" w:hint="eastAsia"/>
          <w:sz w:val="24"/>
        </w:rPr>
        <w:t>（1）</w:t>
      </w:r>
      <w:r>
        <w:rPr>
          <w:rFonts w:ascii="宋体" w:hAnsi="宋体"/>
          <w:sz w:val="24"/>
        </w:rPr>
        <w:t>证券交易所上市的有价证券</w:t>
      </w:r>
      <w:r>
        <w:rPr>
          <w:rFonts w:ascii="宋体" w:hAnsi="宋体" w:hint="eastAsia"/>
          <w:sz w:val="24"/>
        </w:rPr>
        <w:t>（不包含交易所上市基金）</w:t>
      </w:r>
      <w:r>
        <w:rPr>
          <w:rFonts w:ascii="宋体" w:hAnsi="宋体"/>
          <w:sz w:val="24"/>
        </w:rPr>
        <w:t>的估值</w:t>
      </w:r>
    </w:p>
    <w:p w14:paraId="77E3D325" w14:textId="77777777" w:rsidR="005A043F" w:rsidRDefault="0029200C">
      <w:pPr>
        <w:spacing w:line="360" w:lineRule="auto"/>
        <w:ind w:firstLineChars="200" w:firstLine="480"/>
        <w:rPr>
          <w:sz w:val="24"/>
        </w:rPr>
      </w:pPr>
      <w:r>
        <w:rPr>
          <w:sz w:val="24"/>
        </w:rPr>
        <w:t>1</w:t>
      </w:r>
      <w:r>
        <w:rPr>
          <w:rFonts w:hint="eastAsia"/>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bCs/>
          <w:sz w:val="24"/>
        </w:rPr>
        <w:t>；</w:t>
      </w:r>
    </w:p>
    <w:p w14:paraId="7A282740" w14:textId="77777777" w:rsidR="005A043F" w:rsidRDefault="0029200C">
      <w:pPr>
        <w:spacing w:line="360" w:lineRule="auto"/>
        <w:ind w:firstLineChars="200" w:firstLine="480"/>
        <w:rPr>
          <w:sz w:val="24"/>
        </w:rPr>
      </w:pPr>
      <w:r>
        <w:rPr>
          <w:sz w:val="24"/>
        </w:rPr>
        <w:t>2</w:t>
      </w:r>
      <w:r>
        <w:rPr>
          <w:rFonts w:hint="eastAsia"/>
          <w:sz w:val="24"/>
        </w:rPr>
        <w:t>）交易所上市交易或挂牌转让的不含</w:t>
      </w:r>
      <w:proofErr w:type="gramStart"/>
      <w:r>
        <w:rPr>
          <w:rFonts w:hint="eastAsia"/>
          <w:sz w:val="24"/>
        </w:rPr>
        <w:t>权固定</w:t>
      </w:r>
      <w:proofErr w:type="gramEnd"/>
      <w:r>
        <w:rPr>
          <w:rFonts w:hint="eastAsia"/>
          <w:sz w:val="24"/>
        </w:rPr>
        <w:t>收益品种，选取估值日第三方估值</w:t>
      </w:r>
      <w:r>
        <w:rPr>
          <w:rFonts w:hint="eastAsia"/>
          <w:bCs/>
          <w:sz w:val="24"/>
        </w:rPr>
        <w:t>基准服务</w:t>
      </w:r>
      <w:r>
        <w:rPr>
          <w:rFonts w:hint="eastAsia"/>
          <w:sz w:val="24"/>
        </w:rPr>
        <w:t>机构提供的相应品种当日的估值全价进行估值；</w:t>
      </w:r>
    </w:p>
    <w:p w14:paraId="7176C958" w14:textId="77777777" w:rsidR="005A043F" w:rsidRDefault="0029200C">
      <w:pPr>
        <w:spacing w:line="360" w:lineRule="auto"/>
        <w:ind w:firstLineChars="200" w:firstLine="480"/>
        <w:rPr>
          <w:sz w:val="24"/>
        </w:rPr>
      </w:pPr>
      <w:r>
        <w:rPr>
          <w:sz w:val="24"/>
        </w:rPr>
        <w:t>3</w:t>
      </w:r>
      <w:r>
        <w:rPr>
          <w:rFonts w:hint="eastAsia"/>
          <w:sz w:val="24"/>
        </w:rPr>
        <w:t>）</w:t>
      </w:r>
      <w:r>
        <w:rPr>
          <w:rFonts w:hint="eastAsia"/>
          <w:bCs/>
          <w:sz w:val="24"/>
        </w:rPr>
        <w:t>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w:t>
      </w:r>
    </w:p>
    <w:p w14:paraId="751721FD" w14:textId="77777777" w:rsidR="005A043F" w:rsidRDefault="0029200C">
      <w:pPr>
        <w:spacing w:line="360" w:lineRule="auto"/>
        <w:ind w:firstLineChars="200" w:firstLine="480"/>
      </w:pPr>
      <w:r>
        <w:rPr>
          <w:bCs/>
          <w:sz w:val="24"/>
        </w:rPr>
        <w:t>4</w:t>
      </w:r>
      <w:r>
        <w:rPr>
          <w:bCs/>
          <w:sz w:val="24"/>
        </w:rPr>
        <w:t>）</w:t>
      </w:r>
      <w:r>
        <w:rPr>
          <w:rFonts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37FCBD7" w14:textId="77777777" w:rsidR="005A043F" w:rsidRDefault="0029200C">
      <w:pPr>
        <w:spacing w:line="360" w:lineRule="auto"/>
        <w:ind w:firstLineChars="200" w:firstLine="480"/>
        <w:rPr>
          <w:rFonts w:ascii="宋体" w:hAnsi="宋体"/>
          <w:sz w:val="24"/>
        </w:rPr>
      </w:pPr>
      <w:r>
        <w:rPr>
          <w:rFonts w:ascii="宋体" w:hAnsi="宋体" w:hint="eastAsia"/>
          <w:sz w:val="24"/>
        </w:rPr>
        <w:t>（2）</w:t>
      </w:r>
      <w:r>
        <w:rPr>
          <w:rFonts w:ascii="宋体" w:hAnsi="宋体"/>
          <w:sz w:val="24"/>
        </w:rPr>
        <w:t>处于未上市期间的有价证券应区分如下情况处理：</w:t>
      </w:r>
    </w:p>
    <w:p w14:paraId="28BBC45C" w14:textId="77777777" w:rsidR="005A043F" w:rsidRDefault="0029200C">
      <w:pPr>
        <w:spacing w:line="360" w:lineRule="auto"/>
        <w:ind w:firstLineChars="200" w:firstLine="480"/>
        <w:rPr>
          <w:sz w:val="24"/>
        </w:rPr>
      </w:pPr>
      <w:r>
        <w:rPr>
          <w:sz w:val="24"/>
        </w:rPr>
        <w:t>1</w:t>
      </w:r>
      <w:r>
        <w:rPr>
          <w:rFonts w:hint="eastAsia"/>
          <w:sz w:val="24"/>
        </w:rPr>
        <w:t>）送股、转增股、配股和公开增发的新股，按估值日在证券交易所挂牌的同一股票的估值方法估值；该日无交易的，以最近一日的市价（收盘价）估值；</w:t>
      </w:r>
    </w:p>
    <w:p w14:paraId="4668BB50" w14:textId="77777777" w:rsidR="005A043F" w:rsidRDefault="0029200C">
      <w:pPr>
        <w:spacing w:line="360" w:lineRule="auto"/>
        <w:ind w:firstLineChars="200" w:firstLine="480"/>
        <w:rPr>
          <w:sz w:val="24"/>
        </w:rPr>
      </w:pPr>
      <w:r>
        <w:rPr>
          <w:sz w:val="24"/>
        </w:rPr>
        <w:t>2</w:t>
      </w:r>
      <w:r>
        <w:rPr>
          <w:rFonts w:hint="eastAsia"/>
          <w:sz w:val="24"/>
        </w:rPr>
        <w:t>）首次公开发行未上市的股票、债券，采用估值技术确定公允价值</w:t>
      </w:r>
      <w:r>
        <w:rPr>
          <w:rFonts w:hint="eastAsia"/>
          <w:bCs/>
          <w:sz w:val="24"/>
        </w:rPr>
        <w:t>；</w:t>
      </w:r>
    </w:p>
    <w:p w14:paraId="3AE6C740" w14:textId="77777777" w:rsidR="005A043F" w:rsidRDefault="0029200C">
      <w:pPr>
        <w:spacing w:line="360" w:lineRule="auto"/>
        <w:ind w:firstLineChars="200" w:firstLine="480"/>
        <w:rPr>
          <w:sz w:val="24"/>
        </w:rPr>
      </w:pPr>
      <w:r>
        <w:rPr>
          <w:sz w:val="24"/>
        </w:rPr>
        <w:t>3</w:t>
      </w:r>
      <w:r>
        <w:rPr>
          <w:rFonts w:hint="eastAsia"/>
          <w:sz w:val="24"/>
        </w:rPr>
        <w:t>）在发行时明确一定期限限售期的股票，包括但不限于非公开发行股票、首次公开发行股票时公司股东公开发售股份、通过大宗交易取得的带限售期的股</w:t>
      </w:r>
      <w:r>
        <w:rPr>
          <w:rFonts w:hint="eastAsia"/>
          <w:sz w:val="24"/>
        </w:rPr>
        <w:lastRenderedPageBreak/>
        <w:t>票等，不包括停牌、新发行未上市、回购交易中的质押</w:t>
      </w:r>
      <w:proofErr w:type="gramStart"/>
      <w:r>
        <w:rPr>
          <w:rFonts w:hint="eastAsia"/>
          <w:sz w:val="24"/>
        </w:rPr>
        <w:t>券</w:t>
      </w:r>
      <w:proofErr w:type="gramEnd"/>
      <w:r>
        <w:rPr>
          <w:rFonts w:hint="eastAsia"/>
          <w:sz w:val="24"/>
        </w:rPr>
        <w:t>等流通受限股票，按监管机构或行业协会有关规定确定公允价值。</w:t>
      </w:r>
    </w:p>
    <w:p w14:paraId="4276BE43" w14:textId="4B542570" w:rsidR="005A043F" w:rsidRDefault="0029200C">
      <w:pPr>
        <w:spacing w:line="360" w:lineRule="auto"/>
        <w:ind w:firstLineChars="200" w:firstLine="480"/>
        <w:rPr>
          <w:rFonts w:ascii="宋体" w:hAnsi="宋体"/>
          <w:sz w:val="24"/>
        </w:rPr>
      </w:pPr>
      <w:r>
        <w:rPr>
          <w:rFonts w:ascii="宋体" w:hAnsi="宋体" w:hint="eastAsia"/>
          <w:sz w:val="24"/>
        </w:rPr>
        <w:t>（3）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w:t>
      </w:r>
      <w:r>
        <w:rPr>
          <w:rFonts w:ascii="宋体" w:hAnsi="宋体"/>
          <w:sz w:val="24"/>
        </w:rPr>
        <w:t>。对银行间市场未上市，且第三方估值</w:t>
      </w:r>
      <w:r>
        <w:rPr>
          <w:rFonts w:ascii="宋体" w:hAnsi="宋体" w:hint="eastAsia"/>
          <w:sz w:val="24"/>
        </w:rPr>
        <w:t>基准服务</w:t>
      </w:r>
      <w:r>
        <w:rPr>
          <w:rFonts w:ascii="宋体" w:hAnsi="宋体"/>
          <w:sz w:val="24"/>
        </w:rPr>
        <w:t>机构未提供估值价格的债券</w:t>
      </w:r>
      <w:r>
        <w:rPr>
          <w:rFonts w:hint="eastAsia"/>
          <w:sz w:val="24"/>
        </w:rPr>
        <w:t>应采用估值技术确定公允价值</w:t>
      </w:r>
      <w:r>
        <w:rPr>
          <w:rFonts w:ascii="宋体" w:hAnsi="宋体"/>
          <w:sz w:val="24"/>
        </w:rPr>
        <w:t>。</w:t>
      </w:r>
    </w:p>
    <w:p w14:paraId="606DEC46" w14:textId="77777777" w:rsidR="005A043F" w:rsidRDefault="0029200C">
      <w:pPr>
        <w:spacing w:line="360" w:lineRule="auto"/>
        <w:ind w:firstLineChars="200" w:firstLine="480"/>
        <w:rPr>
          <w:sz w:val="24"/>
        </w:rPr>
      </w:pPr>
      <w:r>
        <w:rPr>
          <w:rFonts w:hint="eastAsia"/>
          <w:sz w:val="24"/>
        </w:rPr>
        <w:t>（</w:t>
      </w:r>
      <w:r>
        <w:rPr>
          <w:rFonts w:hint="eastAsia"/>
          <w:sz w:val="24"/>
        </w:rPr>
        <w:t>4</w:t>
      </w:r>
      <w:r>
        <w:rPr>
          <w:rFonts w:hint="eastAsia"/>
          <w:sz w:val="24"/>
        </w:rPr>
        <w:t>）对于含投资人回售权的固定收益品种，</w:t>
      </w:r>
      <w:r>
        <w:rPr>
          <w:bCs/>
          <w:sz w:val="24"/>
        </w:rPr>
        <w:t>行使回售权的，在回售登记日至实际收款日期间采用第三方估值基准服务机构提供的相应品种的唯一估值全价或推荐估值全价估值。</w:t>
      </w:r>
      <w:r>
        <w:rPr>
          <w:rFonts w:hint="eastAsia"/>
          <w:sz w:val="24"/>
        </w:rPr>
        <w:t>回售登记期截止日（含当日）后未行使回售权的按照长待偿期所对应的价格进行估值。</w:t>
      </w:r>
    </w:p>
    <w:p w14:paraId="740E34C2" w14:textId="77777777" w:rsidR="005A043F" w:rsidRDefault="0029200C">
      <w:pPr>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Pr>
          <w:bCs/>
          <w:sz w:val="24"/>
        </w:rPr>
        <w:t>对于未上市或未挂牌转让且不存在活跃市场的固定收益品种，应采用在当前情况下适用并且有足够可利用数据和其他信息支持的估值技术确定其公允价值。</w:t>
      </w:r>
    </w:p>
    <w:p w14:paraId="600AF5EE" w14:textId="762D2309" w:rsidR="005A043F" w:rsidRDefault="0029200C">
      <w:pPr>
        <w:spacing w:line="360" w:lineRule="auto"/>
        <w:ind w:firstLineChars="200" w:firstLine="480"/>
        <w:rPr>
          <w:rFonts w:ascii="宋体" w:hAnsi="宋体"/>
          <w:sz w:val="24"/>
        </w:rPr>
      </w:pPr>
      <w:r>
        <w:rPr>
          <w:rFonts w:ascii="宋体" w:hAnsi="宋体" w:hint="eastAsia"/>
          <w:sz w:val="24"/>
        </w:rPr>
        <w:t>（</w:t>
      </w:r>
      <w:r>
        <w:rPr>
          <w:rFonts w:ascii="宋体" w:hAnsi="宋体"/>
          <w:sz w:val="24"/>
        </w:rPr>
        <w:t>6</w:t>
      </w:r>
      <w:r>
        <w:rPr>
          <w:rFonts w:ascii="宋体" w:hAnsi="宋体" w:hint="eastAsia"/>
          <w:sz w:val="24"/>
        </w:rPr>
        <w:t>）基金估值方法</w:t>
      </w:r>
    </w:p>
    <w:p w14:paraId="1F898441" w14:textId="77777777" w:rsidR="005A043F" w:rsidRDefault="0029200C">
      <w:pPr>
        <w:spacing w:line="360" w:lineRule="auto"/>
        <w:ind w:firstLineChars="200" w:firstLine="480"/>
        <w:rPr>
          <w:rFonts w:ascii="宋体" w:hAnsi="宋体"/>
          <w:sz w:val="24"/>
        </w:rPr>
      </w:pPr>
      <w:r>
        <w:rPr>
          <w:rFonts w:ascii="宋体" w:hAnsi="宋体"/>
          <w:sz w:val="24"/>
        </w:rPr>
        <w:t>1</w:t>
      </w:r>
      <w:r>
        <w:rPr>
          <w:rFonts w:ascii="宋体" w:hAnsi="宋体" w:hint="eastAsia"/>
          <w:sz w:val="24"/>
        </w:rPr>
        <w:t>）非上市基金估值</w:t>
      </w:r>
    </w:p>
    <w:p w14:paraId="79A36E74" w14:textId="77777777" w:rsidR="005A043F" w:rsidRDefault="0029200C">
      <w:pPr>
        <w:spacing w:line="360" w:lineRule="auto"/>
        <w:ind w:firstLineChars="200" w:firstLine="480"/>
        <w:rPr>
          <w:rFonts w:ascii="宋体" w:hAnsi="宋体"/>
          <w:sz w:val="24"/>
        </w:rPr>
      </w:pPr>
      <w:r>
        <w:rPr>
          <w:rFonts w:ascii="宋体" w:hAnsi="宋体" w:hint="eastAsia"/>
          <w:sz w:val="24"/>
        </w:rPr>
        <w:t>投资于境内非上市基金（不含货币市场基金），按估值日所投资基金的基金份额净值进行估值。</w:t>
      </w:r>
    </w:p>
    <w:p w14:paraId="0DD144DD" w14:textId="77777777" w:rsidR="005A043F" w:rsidRDefault="0029200C">
      <w:pPr>
        <w:spacing w:line="360" w:lineRule="auto"/>
        <w:ind w:firstLineChars="200" w:firstLine="480"/>
        <w:rPr>
          <w:rFonts w:ascii="宋体" w:hAnsi="宋体"/>
          <w:sz w:val="24"/>
        </w:rPr>
      </w:pPr>
      <w:r>
        <w:rPr>
          <w:rFonts w:ascii="宋体" w:hAnsi="宋体" w:hint="eastAsia"/>
          <w:sz w:val="24"/>
        </w:rPr>
        <w:t>2）上市基金估值</w:t>
      </w:r>
    </w:p>
    <w:p w14:paraId="304B9B57" w14:textId="77777777" w:rsidR="005A043F" w:rsidRDefault="0029200C">
      <w:pPr>
        <w:spacing w:line="360" w:lineRule="auto"/>
        <w:ind w:firstLineChars="200" w:firstLine="480"/>
        <w:rPr>
          <w:rFonts w:ascii="宋体" w:hAnsi="宋体"/>
          <w:sz w:val="24"/>
        </w:rPr>
      </w:pPr>
      <w:r>
        <w:rPr>
          <w:rFonts w:ascii="宋体" w:hAnsi="宋体" w:hint="eastAsia"/>
          <w:sz w:val="24"/>
        </w:rPr>
        <w:t>①投资于交易所交易型开放式指数基金（ETF基金，不含ETF联接基金和货币ETF）</w:t>
      </w:r>
      <w:r>
        <w:rPr>
          <w:rFonts w:hint="eastAsia"/>
          <w:bCs/>
          <w:color w:val="000000"/>
          <w:sz w:val="24"/>
        </w:rPr>
        <w:t>、境内上市定期开放式基金、上市封闭式基金</w:t>
      </w:r>
      <w:r>
        <w:rPr>
          <w:rFonts w:ascii="宋体" w:hAnsi="宋体" w:hint="eastAsia"/>
          <w:sz w:val="24"/>
        </w:rPr>
        <w:t>，按估值日所投资基金的收盘价进行估值。</w:t>
      </w:r>
    </w:p>
    <w:p w14:paraId="5F933644" w14:textId="77777777" w:rsidR="005A043F" w:rsidRDefault="0029200C">
      <w:pPr>
        <w:spacing w:line="360" w:lineRule="auto"/>
        <w:ind w:firstLineChars="200" w:firstLine="480"/>
        <w:rPr>
          <w:rFonts w:ascii="宋体" w:hAnsi="宋体"/>
          <w:sz w:val="24"/>
        </w:rPr>
      </w:pPr>
      <w:r>
        <w:rPr>
          <w:rFonts w:ascii="宋体" w:hAnsi="宋体" w:hint="eastAsia"/>
          <w:sz w:val="24"/>
        </w:rPr>
        <w:t>②投资于境内上市开放式基金（LOF），按估值日所投资基金的基金份额净值进行估值。</w:t>
      </w:r>
    </w:p>
    <w:p w14:paraId="2D95AA7E" w14:textId="6BDC4FE7" w:rsidR="005A043F" w:rsidRDefault="0029200C">
      <w:pPr>
        <w:spacing w:line="360" w:lineRule="auto"/>
        <w:ind w:firstLineChars="200" w:firstLine="480"/>
        <w:rPr>
          <w:rFonts w:ascii="宋体" w:hAnsi="宋体"/>
          <w:sz w:val="24"/>
        </w:rPr>
      </w:pPr>
      <w:r>
        <w:rPr>
          <w:rFonts w:ascii="宋体" w:hAnsi="宋体"/>
          <w:sz w:val="24"/>
        </w:rPr>
        <w:t>3</w:t>
      </w:r>
      <w:r>
        <w:rPr>
          <w:rFonts w:ascii="宋体" w:hAnsi="宋体" w:hint="eastAsia"/>
          <w:sz w:val="24"/>
        </w:rPr>
        <w:t>）</w:t>
      </w:r>
      <w:r w:rsidR="0042596E">
        <w:rPr>
          <w:rFonts w:hint="eastAsia"/>
          <w:bCs/>
          <w:color w:val="000000"/>
          <w:sz w:val="24"/>
        </w:rPr>
        <w:t>本基金所投资基金</w:t>
      </w:r>
      <w:r w:rsidR="0042596E">
        <w:rPr>
          <w:rFonts w:hint="eastAsia"/>
          <w:bCs/>
          <w:color w:val="000000"/>
          <w:sz w:val="24"/>
        </w:rPr>
        <w:t>T</w:t>
      </w:r>
      <w:r w:rsidR="0042596E">
        <w:rPr>
          <w:rFonts w:hint="eastAsia"/>
          <w:bCs/>
          <w:color w:val="000000"/>
          <w:sz w:val="24"/>
        </w:rPr>
        <w:t>日的基金份额净值应不迟于</w:t>
      </w:r>
      <w:r w:rsidR="0042596E">
        <w:rPr>
          <w:rFonts w:hint="eastAsia"/>
          <w:bCs/>
          <w:color w:val="000000"/>
          <w:sz w:val="24"/>
        </w:rPr>
        <w:t>T</w:t>
      </w:r>
      <w:r w:rsidR="0042596E">
        <w:rPr>
          <w:bCs/>
          <w:color w:val="000000"/>
          <w:sz w:val="24"/>
        </w:rPr>
        <w:t>+2</w:t>
      </w:r>
      <w:r w:rsidR="0042596E">
        <w:rPr>
          <w:rFonts w:hint="eastAsia"/>
          <w:bCs/>
          <w:color w:val="000000"/>
          <w:sz w:val="24"/>
        </w:rPr>
        <w:t>日内公布，</w:t>
      </w:r>
      <w:proofErr w:type="gramStart"/>
      <w:r>
        <w:rPr>
          <w:rFonts w:ascii="宋体" w:hAnsi="宋体" w:hint="eastAsia"/>
          <w:sz w:val="24"/>
        </w:rPr>
        <w:t>如遇所</w:t>
      </w:r>
      <w:r>
        <w:rPr>
          <w:rFonts w:ascii="宋体" w:hAnsi="宋体" w:hint="eastAsia"/>
          <w:sz w:val="24"/>
        </w:rPr>
        <w:lastRenderedPageBreak/>
        <w:t>投资</w:t>
      </w:r>
      <w:proofErr w:type="gramEnd"/>
      <w:r>
        <w:rPr>
          <w:rFonts w:ascii="宋体" w:hAnsi="宋体" w:hint="eastAsia"/>
          <w:sz w:val="24"/>
        </w:rPr>
        <w:t>基金不公布基金份额净值、进行折算或拆分、估值日无交易等特殊情况，基金管理人根据以下原则进行估值：</w:t>
      </w:r>
    </w:p>
    <w:p w14:paraId="61BA6ACE" w14:textId="77777777" w:rsidR="005A043F" w:rsidRDefault="0029200C">
      <w:pPr>
        <w:spacing w:line="360" w:lineRule="auto"/>
        <w:ind w:firstLineChars="200" w:firstLine="480"/>
        <w:rPr>
          <w:rFonts w:ascii="宋体" w:hAnsi="宋体"/>
          <w:sz w:val="24"/>
        </w:rPr>
      </w:pPr>
      <w:r>
        <w:rPr>
          <w:rFonts w:ascii="宋体" w:hAnsi="宋体" w:hint="eastAsia"/>
          <w:sz w:val="24"/>
        </w:rPr>
        <w:t>①以所投资基金的基金份额净值估值的，若所投资基金与本基金估值频率一致但未公布估值日基金份额净值，按其最近公布的基金份额净值为基础估值。</w:t>
      </w:r>
    </w:p>
    <w:p w14:paraId="47A0422B" w14:textId="77777777" w:rsidR="005A043F" w:rsidRDefault="0029200C">
      <w:pPr>
        <w:spacing w:line="360" w:lineRule="auto"/>
        <w:ind w:firstLineChars="200" w:firstLine="480"/>
        <w:rPr>
          <w:rFonts w:ascii="宋体" w:hAnsi="宋体"/>
          <w:sz w:val="24"/>
        </w:rPr>
      </w:pPr>
      <w:r>
        <w:rPr>
          <w:rFonts w:ascii="宋体" w:hAnsi="宋体" w:hint="eastAsia"/>
          <w:sz w:val="24"/>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6A174396" w14:textId="77777777" w:rsidR="005A043F" w:rsidRDefault="0029200C">
      <w:pPr>
        <w:spacing w:line="360" w:lineRule="auto"/>
        <w:ind w:firstLineChars="200" w:firstLine="480"/>
        <w:rPr>
          <w:rFonts w:ascii="宋体" w:hAnsi="宋体"/>
          <w:sz w:val="24"/>
        </w:rPr>
      </w:pPr>
      <w:r>
        <w:rPr>
          <w:rFonts w:ascii="宋体" w:hAnsi="宋体" w:hint="eastAsia"/>
          <w:sz w:val="24"/>
        </w:rPr>
        <w:t>③如果所投资基金前一估值日至估值日期间发生分红除权、折算或拆分，基金管理人应根据基金份额净值或收盘价、单位基金份额分红金额、折算拆分比例、持仓份额等因素合理确定公允价值。</w:t>
      </w:r>
    </w:p>
    <w:p w14:paraId="1988B4C6" w14:textId="64B1202F" w:rsidR="005A043F" w:rsidRDefault="0029200C">
      <w:pPr>
        <w:spacing w:line="360" w:lineRule="auto"/>
        <w:ind w:firstLineChars="200" w:firstLine="480"/>
        <w:rPr>
          <w:bCs/>
          <w:sz w:val="24"/>
        </w:rPr>
      </w:pPr>
      <w:r>
        <w:rPr>
          <w:rFonts w:ascii="宋体" w:hAnsi="宋体" w:hint="eastAsia"/>
          <w:sz w:val="24"/>
        </w:rPr>
        <w:t>（</w:t>
      </w:r>
      <w:r>
        <w:rPr>
          <w:rFonts w:ascii="宋体" w:hAnsi="宋体"/>
          <w:sz w:val="24"/>
        </w:rPr>
        <w:t>7</w:t>
      </w:r>
      <w:r>
        <w:rPr>
          <w:rFonts w:ascii="宋体" w:hAnsi="宋体" w:hint="eastAsia"/>
          <w:sz w:val="24"/>
        </w:rPr>
        <w:t>）</w:t>
      </w:r>
      <w:r>
        <w:rPr>
          <w:rFonts w:hint="eastAsia"/>
          <w:bCs/>
          <w:sz w:val="24"/>
        </w:rPr>
        <w:t>本基金投资股指期货、国债</w:t>
      </w:r>
      <w:r>
        <w:rPr>
          <w:bCs/>
          <w:sz w:val="24"/>
        </w:rPr>
        <w:t>期货</w:t>
      </w:r>
      <w:r>
        <w:rPr>
          <w:rFonts w:hint="eastAsia"/>
          <w:bCs/>
          <w:sz w:val="24"/>
        </w:rPr>
        <w:t>，一般以估值日结算价进行估值，估值日无结算价的，且最近交易日后经济环境未发生重大变化的，采用最近交易日结算价估值。</w:t>
      </w:r>
    </w:p>
    <w:p w14:paraId="2C8BDD42" w14:textId="77777777" w:rsidR="005A043F" w:rsidRPr="00324CB0" w:rsidRDefault="0029200C">
      <w:pPr>
        <w:spacing w:line="360" w:lineRule="auto"/>
        <w:ind w:firstLineChars="200" w:firstLine="480"/>
        <w:rPr>
          <w:bCs/>
          <w:sz w:val="24"/>
        </w:rPr>
      </w:pPr>
      <w:r>
        <w:rPr>
          <w:rFonts w:hint="eastAsia"/>
          <w:bCs/>
          <w:sz w:val="24"/>
        </w:rPr>
        <w:t>本基金投资股票期权，根据相关法律法规以及监管部门的规定估值。</w:t>
      </w:r>
    </w:p>
    <w:p w14:paraId="0CB3F1D7" w14:textId="1BA5B7A5" w:rsidR="005A043F" w:rsidRDefault="0029200C">
      <w:pPr>
        <w:spacing w:line="360" w:lineRule="auto"/>
        <w:ind w:firstLineChars="200" w:firstLine="480"/>
        <w:rPr>
          <w:rFonts w:ascii="宋体" w:hAnsi="宋体"/>
          <w:sz w:val="24"/>
        </w:rPr>
      </w:pPr>
      <w:r>
        <w:rPr>
          <w:rFonts w:ascii="宋体" w:hAnsi="宋体" w:hint="eastAsia"/>
          <w:sz w:val="24"/>
        </w:rPr>
        <w:t>（</w:t>
      </w:r>
      <w:r>
        <w:rPr>
          <w:rFonts w:ascii="宋体" w:hAnsi="宋体"/>
          <w:sz w:val="24"/>
        </w:rPr>
        <w:t>8</w:t>
      </w:r>
      <w:r>
        <w:rPr>
          <w:rFonts w:ascii="宋体" w:hAnsi="宋体" w:hint="eastAsia"/>
          <w:sz w:val="24"/>
        </w:rPr>
        <w:t>）</w:t>
      </w:r>
      <w:r>
        <w:rPr>
          <w:rFonts w:hint="eastAsia"/>
          <w:bCs/>
          <w:sz w:val="24"/>
        </w:rPr>
        <w:t>信用衍生品按估值日第三方估值基准服务机构提供的估值价格进行估值，选定的第三方估值基准服务机构未提供估值价格的，依照有关法律法规及企业会计准则要求采用合理估值技术，确定公允价值。</w:t>
      </w:r>
    </w:p>
    <w:p w14:paraId="46216296" w14:textId="51B23397" w:rsidR="005A043F" w:rsidRDefault="0029200C">
      <w:pPr>
        <w:spacing w:line="360" w:lineRule="auto"/>
        <w:ind w:firstLineChars="200" w:firstLine="480"/>
        <w:rPr>
          <w:rFonts w:ascii="宋体" w:hAnsi="宋体"/>
          <w:sz w:val="24"/>
        </w:rPr>
      </w:pPr>
      <w:r>
        <w:rPr>
          <w:rFonts w:ascii="宋体" w:hAnsi="宋体" w:hint="eastAsia"/>
          <w:sz w:val="24"/>
        </w:rPr>
        <w:t>（</w:t>
      </w:r>
      <w:r>
        <w:rPr>
          <w:rFonts w:ascii="宋体" w:hAnsi="宋体"/>
          <w:sz w:val="24"/>
        </w:rPr>
        <w:t>9</w:t>
      </w:r>
      <w:r>
        <w:rPr>
          <w:rFonts w:ascii="宋体" w:hAnsi="宋体" w:hint="eastAsia"/>
          <w:sz w:val="24"/>
        </w:rPr>
        <w:t>）同一证券同时在两个或两个以上市场交易的，按证券所处的市场分别估值。</w:t>
      </w:r>
    </w:p>
    <w:p w14:paraId="09CFECFC" w14:textId="77777777" w:rsidR="005A043F" w:rsidRDefault="0029200C">
      <w:pPr>
        <w:spacing w:line="360" w:lineRule="auto"/>
        <w:ind w:firstLineChars="200" w:firstLine="480"/>
        <w:rPr>
          <w:sz w:val="24"/>
        </w:rPr>
      </w:pPr>
      <w:r>
        <w:rPr>
          <w:rFonts w:hint="eastAsia"/>
          <w:sz w:val="24"/>
        </w:rPr>
        <w:t>（</w:t>
      </w:r>
      <w:r>
        <w:rPr>
          <w:rFonts w:hint="eastAsia"/>
          <w:sz w:val="24"/>
        </w:rPr>
        <w:t>1</w:t>
      </w:r>
      <w:r>
        <w:rPr>
          <w:sz w:val="24"/>
        </w:rPr>
        <w:t>0</w:t>
      </w:r>
      <w:r>
        <w:rPr>
          <w:rFonts w:hint="eastAsia"/>
          <w:sz w:val="24"/>
        </w:rPr>
        <w:t>）本基金投资同业存单，按估值日第三方估值基准服务机构提供的估值全价估值；选定的第三方估值基准服务机构未提供估值价格的，应采用估值技术确定公允价值。</w:t>
      </w:r>
    </w:p>
    <w:p w14:paraId="08C346E2" w14:textId="77777777" w:rsidR="005A043F" w:rsidRDefault="0029200C">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）估值计算中涉及港币对人民币汇率的，将依据下列信息提供机构所提供的汇率为基准：当日中国人民银行公布的人民币与港币的中间价。</w:t>
      </w:r>
    </w:p>
    <w:p w14:paraId="4682FC95" w14:textId="77777777" w:rsidR="005A043F" w:rsidRDefault="0029200C">
      <w:pPr>
        <w:spacing w:line="360" w:lineRule="auto"/>
        <w:ind w:firstLineChars="200" w:firstLine="480"/>
        <w:rPr>
          <w:bCs/>
          <w:sz w:val="24"/>
        </w:rPr>
      </w:pPr>
      <w:r>
        <w:rPr>
          <w:rFonts w:ascii="宋体" w:hAnsi="宋体" w:hint="eastAsia"/>
          <w:sz w:val="24"/>
        </w:rPr>
        <w:lastRenderedPageBreak/>
        <w:t>（1</w:t>
      </w:r>
      <w:r>
        <w:rPr>
          <w:rFonts w:ascii="宋体" w:hAnsi="宋体"/>
          <w:sz w:val="24"/>
        </w:rPr>
        <w:t>2</w:t>
      </w:r>
      <w:r>
        <w:rPr>
          <w:rFonts w:ascii="宋体" w:hAnsi="宋体" w:hint="eastAsia"/>
          <w:sz w:val="24"/>
        </w:rPr>
        <w:t>）</w:t>
      </w:r>
      <w:r>
        <w:rPr>
          <w:rFonts w:hint="eastAsia"/>
          <w:bCs/>
          <w:sz w:val="24"/>
        </w:rPr>
        <w:t>本基金投资存托凭证的估值核算，依照国内依法发行上市的股票执行。</w:t>
      </w:r>
    </w:p>
    <w:p w14:paraId="2A20A79D" w14:textId="77777777" w:rsidR="005A043F" w:rsidRDefault="0029200C">
      <w:pPr>
        <w:spacing w:line="360" w:lineRule="auto"/>
        <w:ind w:firstLineChars="200" w:firstLine="480"/>
      </w:pPr>
      <w:r>
        <w:rPr>
          <w:rFonts w:hint="eastAsia"/>
          <w:sz w:val="24"/>
        </w:rPr>
        <w:t>（</w:t>
      </w:r>
      <w:r>
        <w:rPr>
          <w:rFonts w:hint="eastAsia"/>
          <w:sz w:val="24"/>
        </w:rPr>
        <w:t>1</w:t>
      </w:r>
      <w:r>
        <w:rPr>
          <w:sz w:val="24"/>
        </w:rPr>
        <w:t>3</w:t>
      </w:r>
      <w:r>
        <w:rPr>
          <w:rFonts w:hint="eastAsia"/>
          <w:sz w:val="24"/>
        </w:rPr>
        <w:t>）如有确凿证据表明按上述方法进行估值不能客观反映其公允价值的，基金管理人可根据具体情况与基金托管人商定后，按最能反映公允价值的价格估值。使用模型估值的，应当审慎确定模型参数，不得随意调整。</w:t>
      </w:r>
    </w:p>
    <w:p w14:paraId="21775162" w14:textId="77777777" w:rsidR="005A043F" w:rsidRDefault="0029200C">
      <w:pPr>
        <w:spacing w:line="360" w:lineRule="auto"/>
        <w:ind w:firstLineChars="200" w:firstLine="480"/>
        <w:rPr>
          <w:sz w:val="24"/>
        </w:rPr>
      </w:pPr>
      <w:r>
        <w:rPr>
          <w:rFonts w:ascii="宋体" w:hAnsi="宋体" w:hint="eastAsia"/>
          <w:sz w:val="24"/>
        </w:rPr>
        <w:t>（1</w:t>
      </w:r>
      <w:r>
        <w:rPr>
          <w:rFonts w:ascii="宋体" w:hAnsi="宋体"/>
          <w:sz w:val="24"/>
        </w:rPr>
        <w:t>4</w:t>
      </w:r>
      <w:r>
        <w:rPr>
          <w:rFonts w:ascii="宋体" w:hAnsi="宋体" w:hint="eastAsia"/>
          <w:sz w:val="24"/>
        </w:rPr>
        <w:t>）</w:t>
      </w:r>
      <w:r>
        <w:rPr>
          <w:rFonts w:hint="eastAsia"/>
          <w:sz w:val="24"/>
        </w:rPr>
        <w:t>当发生大额申购或赎回情形时，基金管理人可以采用摆动定价机制，以确保基金估值的公平性。</w:t>
      </w:r>
    </w:p>
    <w:p w14:paraId="7AEC37AB" w14:textId="150947A7" w:rsidR="005A043F" w:rsidRDefault="0029200C">
      <w:pPr>
        <w:spacing w:line="360" w:lineRule="auto"/>
        <w:ind w:firstLineChars="200" w:firstLine="480"/>
        <w:rPr>
          <w:rFonts w:ascii="宋体" w:hAnsi="宋体"/>
          <w:sz w:val="24"/>
        </w:rPr>
      </w:pPr>
      <w:r>
        <w:rPr>
          <w:rFonts w:hint="eastAsia"/>
          <w:sz w:val="24"/>
        </w:rPr>
        <w:t>（</w:t>
      </w:r>
      <w:r>
        <w:rPr>
          <w:rFonts w:hint="eastAsia"/>
          <w:sz w:val="24"/>
        </w:rPr>
        <w:t>1</w:t>
      </w:r>
      <w:r>
        <w:rPr>
          <w:sz w:val="24"/>
        </w:rPr>
        <w:t>5</w:t>
      </w:r>
      <w:r>
        <w:rPr>
          <w:rFonts w:hint="eastAsia"/>
          <w:sz w:val="24"/>
        </w:rPr>
        <w:t>）相关法律法规以及监管部门有强制规定的，从其规定。如有新增事项，按国家最新规定估值。</w:t>
      </w:r>
    </w:p>
    <w:bookmarkEnd w:id="100"/>
    <w:p w14:paraId="53208B5D" w14:textId="77777777" w:rsidR="005A043F" w:rsidRDefault="0029200C">
      <w:pPr>
        <w:spacing w:line="360" w:lineRule="auto"/>
        <w:ind w:firstLineChars="200" w:firstLine="480"/>
        <w:rPr>
          <w:rFonts w:ascii="宋体" w:hAnsi="宋体"/>
          <w:sz w:val="24"/>
        </w:rPr>
      </w:pPr>
      <w:r>
        <w:rPr>
          <w:rFonts w:ascii="宋体" w:hAnsi="宋体"/>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28F4C86" w14:textId="77777777" w:rsidR="005A043F" w:rsidRDefault="0029200C">
      <w:pPr>
        <w:spacing w:line="360" w:lineRule="auto"/>
        <w:ind w:firstLineChars="200" w:firstLine="480"/>
        <w:rPr>
          <w:rFonts w:ascii="宋体" w:hAnsi="宋体"/>
          <w:sz w:val="24"/>
        </w:rPr>
      </w:pPr>
      <w:r>
        <w:rPr>
          <w:rFonts w:hint="eastAsia"/>
          <w:sz w:val="24"/>
        </w:rPr>
        <w:t>基金管理人担任本基金的会计责任方，负责本基金净值信息计算和基金会计核算。就与本基金有关的会计问题，如经相关各方在平等基础上充分讨论后，仍无法达成一致的意见，按照基金管理人对基金净值</w:t>
      </w:r>
      <w:r>
        <w:rPr>
          <w:rFonts w:hint="eastAsia"/>
          <w:bCs/>
          <w:sz w:val="24"/>
        </w:rPr>
        <w:t>信息</w:t>
      </w:r>
      <w:r>
        <w:rPr>
          <w:rFonts w:hint="eastAsia"/>
          <w:sz w:val="24"/>
        </w:rPr>
        <w:t>的计算结果对外予以公布。</w:t>
      </w:r>
    </w:p>
    <w:p w14:paraId="6E776D12" w14:textId="77777777" w:rsidR="005A043F" w:rsidRDefault="0029200C">
      <w:pPr>
        <w:spacing w:line="360" w:lineRule="auto"/>
        <w:ind w:firstLineChars="200" w:firstLine="480"/>
      </w:pPr>
      <w:bookmarkStart w:id="101" w:name="_Toc22454458"/>
      <w:bookmarkEnd w:id="96"/>
      <w:bookmarkEnd w:id="97"/>
      <w:r>
        <w:rPr>
          <w:rFonts w:ascii="宋体" w:hAnsi="宋体" w:hint="eastAsia"/>
          <w:sz w:val="24"/>
        </w:rPr>
        <w:t>对仅依赖基金管理人所提供的数据且无法从其他渠道获取可靠数据进行会计核算的，基金托管人依照基金管理人提供的数据进行核算，基金托管人对因基金管理人提供的数据本身错误导致的核算估值差错给基金份额持有人造成的损失不承担责任。为免歧义，双方确认前述免责情形并不免除基金托管人对基金资产和基金资产份额净值等估值核算职责和相应责任。</w:t>
      </w:r>
    </w:p>
    <w:p w14:paraId="7B16F157" w14:textId="77777777" w:rsidR="005A043F" w:rsidRDefault="0029200C">
      <w:pPr>
        <w:spacing w:line="360" w:lineRule="auto"/>
        <w:ind w:firstLineChars="200" w:firstLine="480"/>
        <w:rPr>
          <w:rFonts w:ascii="宋体" w:hAnsi="宋体"/>
          <w:sz w:val="24"/>
        </w:rPr>
      </w:pPr>
      <w:r>
        <w:rPr>
          <w:rFonts w:ascii="宋体" w:hAnsi="宋体" w:hint="eastAsia"/>
          <w:sz w:val="24"/>
        </w:rPr>
        <w:t>（三）估值差错处理</w:t>
      </w:r>
      <w:bookmarkEnd w:id="101"/>
    </w:p>
    <w:p w14:paraId="3A359875" w14:textId="77777777" w:rsidR="005A043F" w:rsidRDefault="0029200C">
      <w:pPr>
        <w:spacing w:line="360" w:lineRule="auto"/>
        <w:ind w:firstLineChars="200" w:firstLine="480"/>
        <w:rPr>
          <w:rFonts w:ascii="宋体" w:hAnsi="宋体"/>
          <w:sz w:val="24"/>
        </w:rPr>
      </w:pPr>
      <w:r>
        <w:rPr>
          <w:rFonts w:ascii="宋体" w:hAnsi="宋体" w:hint="eastAsia"/>
          <w:sz w:val="24"/>
        </w:rPr>
        <w:t>当基金管理人计算的基金资产净值、各类基金份额净值已由基金托管人复核确认后公告的，由此造成的投资者或基金的损失，应根据法律法规的规定对投资者或基金支付赔偿金。就实际向投资者或基金支付的赔偿金额，由基金管理人与基金托管人按照管理费率和托管费率的比例各自承担相应的责任。</w:t>
      </w:r>
    </w:p>
    <w:p w14:paraId="3526921A" w14:textId="77777777" w:rsidR="005A043F" w:rsidRDefault="0029200C">
      <w:pPr>
        <w:spacing w:line="360" w:lineRule="auto"/>
        <w:ind w:firstLineChars="200" w:firstLine="480"/>
        <w:rPr>
          <w:rFonts w:ascii="宋体" w:hAnsi="宋体"/>
          <w:sz w:val="24"/>
        </w:rPr>
      </w:pPr>
      <w:r>
        <w:rPr>
          <w:rFonts w:ascii="宋体" w:hAnsi="宋体" w:hint="eastAsia"/>
          <w:sz w:val="24"/>
        </w:rPr>
        <w:t>由于一方当事人提供的信息错误，另一方当事人在采取了必要合理的措施后仍不能发现该错误，进而导致基金资产净值、各类基金份额净值计算错误造成投</w:t>
      </w:r>
      <w:r>
        <w:rPr>
          <w:rFonts w:ascii="宋体" w:hAnsi="宋体" w:hint="eastAsia"/>
          <w:sz w:val="24"/>
        </w:rPr>
        <w:lastRenderedPageBreak/>
        <w:t>资者或基金的损失，以及由此造成以后交易日基金资产净值、各类基金份额净值计算顺延错误而引起的投资者或基金的损失，由提供错误信息的当事人一方负责赔偿。</w:t>
      </w:r>
    </w:p>
    <w:p w14:paraId="23BFC1DE" w14:textId="6EAB0A95" w:rsidR="005A043F" w:rsidRDefault="0029200C">
      <w:pPr>
        <w:spacing w:line="360" w:lineRule="auto"/>
        <w:ind w:firstLineChars="200" w:firstLine="480"/>
        <w:rPr>
          <w:rFonts w:ascii="宋体" w:hAnsi="宋体"/>
          <w:sz w:val="24"/>
        </w:rPr>
      </w:pPr>
      <w:bookmarkStart w:id="102" w:name="_Hlk146555712"/>
      <w:r>
        <w:rPr>
          <w:rFonts w:ascii="宋体" w:hAnsi="宋体" w:hint="eastAsia"/>
          <w:sz w:val="24"/>
        </w:rPr>
        <w:t>由于不可抗力原因，或由于证券、期货交易所，</w:t>
      </w:r>
      <w:r>
        <w:rPr>
          <w:rFonts w:ascii="宋体" w:hAnsi="宋体"/>
          <w:sz w:val="24"/>
        </w:rPr>
        <w:t>或</w:t>
      </w:r>
      <w:r>
        <w:rPr>
          <w:rFonts w:ascii="宋体" w:hAnsi="宋体" w:hint="eastAsia"/>
          <w:sz w:val="24"/>
        </w:rPr>
        <w:t>第三方估值基准服务机构，证券经纪商或证券登记结算机构及存款银行等第三方机构发送的数据错误，或国家会计政策、市场规则变更等</w:t>
      </w:r>
      <w:proofErr w:type="gramStart"/>
      <w:r>
        <w:rPr>
          <w:rFonts w:ascii="宋体" w:hAnsi="宋体" w:hint="eastAsia"/>
          <w:sz w:val="24"/>
        </w:rPr>
        <w:t>非基金</w:t>
      </w:r>
      <w:proofErr w:type="gramEnd"/>
      <w:r>
        <w:rPr>
          <w:rFonts w:ascii="宋体" w:hAnsi="宋体" w:hint="eastAsia"/>
          <w:sz w:val="24"/>
        </w:rPr>
        <w:t>管理人或基金托管人原因，基金管理人和基金托管人虽然已经采取必要、适当、合理的措施进行检查，但是未能发现该错误</w:t>
      </w:r>
      <w:r>
        <w:rPr>
          <w:rFonts w:hint="eastAsia"/>
          <w:bCs/>
          <w:sz w:val="24"/>
        </w:rPr>
        <w:t>或未能避免错误发生或</w:t>
      </w:r>
      <w:proofErr w:type="gramStart"/>
      <w:r>
        <w:rPr>
          <w:rFonts w:hint="eastAsia"/>
          <w:bCs/>
          <w:sz w:val="24"/>
        </w:rPr>
        <w:t>虽发现</w:t>
      </w:r>
      <w:proofErr w:type="gramEnd"/>
      <w:r>
        <w:rPr>
          <w:rFonts w:hint="eastAsia"/>
          <w:bCs/>
          <w:sz w:val="24"/>
        </w:rPr>
        <w:t>错误但因前述原因无法及时更正</w:t>
      </w:r>
      <w:r>
        <w:rPr>
          <w:rFonts w:ascii="宋体" w:hAnsi="宋体" w:hint="eastAsia"/>
          <w:sz w:val="24"/>
        </w:rPr>
        <w:t>的，由此造成的基金资产估值错误，基金管理人和基金托管人免除赔偿责任。但基金管理人和基金托管人应当积极采取必要的措施消除或减轻由此造成的影响。</w:t>
      </w:r>
    </w:p>
    <w:bookmarkEnd w:id="102"/>
    <w:p w14:paraId="0E7D33FF" w14:textId="77777777" w:rsidR="005A043F" w:rsidRDefault="0029200C">
      <w:pPr>
        <w:spacing w:line="360" w:lineRule="auto"/>
        <w:ind w:firstLineChars="200" w:firstLine="480"/>
        <w:rPr>
          <w:rFonts w:ascii="宋体" w:hAnsi="宋体"/>
          <w:sz w:val="24"/>
        </w:rPr>
      </w:pPr>
      <w:r>
        <w:rPr>
          <w:rFonts w:ascii="宋体" w:hAnsi="宋体" w:hint="eastAsia"/>
          <w:sz w:val="24"/>
        </w:rPr>
        <w:t>当基金管理人计算的基金净值信息与基金托管人的计算结果不一致时，相关各方应本着勤勉尽责的态度重新计算核对。如果最后仍无法达成一致，应以基金管理人的计算结果为准对外公布。如事后证明基金托管人计算正确的，由此造成的损失以及因该交易日基金净值信息计算顺延错误而引起的损失，由基金管理人承担赔偿责任，基金托管人不负赔偿责任。否则，由基金管理人与基金托管人按照管理费率和托管费率的比例各自承担相应的责任。</w:t>
      </w:r>
    </w:p>
    <w:p w14:paraId="74408903" w14:textId="77777777" w:rsidR="005A043F" w:rsidRDefault="0029200C">
      <w:pPr>
        <w:spacing w:line="360" w:lineRule="auto"/>
        <w:ind w:firstLineChars="200" w:firstLine="480"/>
        <w:rPr>
          <w:rFonts w:ascii="宋体" w:hAnsi="宋体"/>
          <w:sz w:val="24"/>
        </w:rPr>
      </w:pPr>
      <w:bookmarkStart w:id="103" w:name="_Toc48703910"/>
      <w:bookmarkStart w:id="104" w:name="_Toc22454459"/>
      <w:r>
        <w:rPr>
          <w:rFonts w:ascii="宋体" w:hAnsi="宋体" w:hint="eastAsia"/>
          <w:sz w:val="24"/>
        </w:rPr>
        <w:t>（四）基金账册的建立</w:t>
      </w:r>
      <w:bookmarkEnd w:id="103"/>
      <w:bookmarkEnd w:id="104"/>
    </w:p>
    <w:p w14:paraId="6AD52DF3"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0F50B8D8" w14:textId="77777777" w:rsidR="005A043F" w:rsidRDefault="0029200C">
      <w:pPr>
        <w:spacing w:line="360" w:lineRule="auto"/>
        <w:ind w:firstLineChars="200" w:firstLine="480"/>
        <w:rPr>
          <w:rFonts w:ascii="宋体" w:hAnsi="宋体"/>
          <w:sz w:val="24"/>
        </w:rPr>
      </w:pPr>
      <w:r>
        <w:rPr>
          <w:rFonts w:ascii="宋体" w:hAnsi="宋体" w:hint="eastAsia"/>
          <w:sz w:val="24"/>
        </w:rPr>
        <w:t>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14:paraId="26CFE9CC" w14:textId="77777777" w:rsidR="005A043F" w:rsidRDefault="0029200C">
      <w:pPr>
        <w:spacing w:line="360" w:lineRule="auto"/>
        <w:ind w:firstLineChars="200" w:firstLine="480"/>
        <w:rPr>
          <w:rFonts w:ascii="宋体" w:hAnsi="宋体"/>
          <w:sz w:val="24"/>
        </w:rPr>
      </w:pPr>
      <w:bookmarkStart w:id="105" w:name="_Toc22454460"/>
      <w:bookmarkStart w:id="106" w:name="_Toc48703911"/>
      <w:r>
        <w:rPr>
          <w:rFonts w:ascii="宋体" w:hAnsi="宋体" w:hint="eastAsia"/>
          <w:sz w:val="24"/>
        </w:rPr>
        <w:t>（五）基金招募说明书、定期报告的编制和复核</w:t>
      </w:r>
      <w:bookmarkStart w:id="107" w:name="_Hlt89687912"/>
      <w:bookmarkEnd w:id="105"/>
      <w:bookmarkEnd w:id="106"/>
      <w:bookmarkEnd w:id="107"/>
    </w:p>
    <w:p w14:paraId="1148FAD9"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基金财务报表由基金管理人和基金托管人每</w:t>
      </w:r>
      <w:proofErr w:type="gramStart"/>
      <w:r>
        <w:rPr>
          <w:rFonts w:ascii="宋体" w:hAnsi="宋体" w:hint="eastAsia"/>
          <w:sz w:val="24"/>
        </w:rPr>
        <w:t>月分别独立</w:t>
      </w:r>
      <w:proofErr w:type="gramEnd"/>
      <w:r>
        <w:rPr>
          <w:rFonts w:ascii="宋体" w:hAnsi="宋体" w:hint="eastAsia"/>
          <w:sz w:val="24"/>
        </w:rPr>
        <w:t>编制。月度报表的编制，应于每月终了后</w:t>
      </w:r>
      <w:r>
        <w:rPr>
          <w:rFonts w:ascii="宋体" w:hAnsi="宋体"/>
          <w:sz w:val="24"/>
        </w:rPr>
        <w:t>5</w:t>
      </w:r>
      <w:r>
        <w:rPr>
          <w:rFonts w:ascii="宋体" w:hAnsi="宋体" w:hint="eastAsia"/>
          <w:sz w:val="24"/>
        </w:rPr>
        <w:t>个工作日内完成。</w:t>
      </w:r>
    </w:p>
    <w:p w14:paraId="37CC121A" w14:textId="77777777" w:rsidR="005A043F" w:rsidRDefault="0029200C">
      <w:pPr>
        <w:spacing w:line="360" w:lineRule="auto"/>
        <w:ind w:firstLineChars="200" w:firstLine="480"/>
        <w:rPr>
          <w:rFonts w:ascii="宋体" w:hAnsi="宋体"/>
          <w:sz w:val="24"/>
        </w:rPr>
      </w:pPr>
      <w:r>
        <w:rPr>
          <w:rFonts w:ascii="宋体" w:hAnsi="宋体" w:hint="eastAsia"/>
          <w:sz w:val="24"/>
        </w:rPr>
        <w:t>在《基金合同》生效后，基金招募说明书、基金产品资料概要的信息发生重大变更的，基金管理人应当在三个工作日内，更新基金招募说明书、基金产品资料概要并登载在规定网站上，基金产品资料概要还应同时登载在基金销售机构网站或营业网点；基金招募说明书、基金产品资料概要其他信息发生变更的，基金管理人至少每年更新一次。基金终止运作的，基金管理人不再更新招募说明书和基金产品资料概要。基金管理人在每季度结束之日起15个工作日内完成季度报告编制并公告；在上半年结束之日起两个月内完成中期报告编制并公告；在会计年度结束之日起三个月内完成年度报告编制并公告。《基金合同》生效不足2个月的，基金管理人可以不编制当期季度报告、中期报告或者年度报告。</w:t>
      </w:r>
    </w:p>
    <w:p w14:paraId="2ADF3CEC"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在5个工作日内完成月度报告，在月度报告完成当日，将有关报告提供基金托管人复核；基金托管人在3个工作日内进行复核，并将复核结果及时书面通知基金管理人。基金管理人在7个工作日内完成季度报告，在季度报告完成当日，将有关报告提供基金托管人复核，基金托管人在收到后7个工作日内进行复核，并将复核结果书面通知基金管理人或进行电子确认。基金管理人在一个月内完成中期报告，在中期报告完成当日，将有关报告提供基金托管人复核，基金托管人在收到后一个月内进行复核，并将复核结果书面通知基金管理人或进行电子确认。基金管理人在一个半月内完成年度报告，在年度报告完成当日，将有关报告提供基金托管人复核，基金托管人在收到后一个半月内复核，并将复核结果书面通知基金管理人或进行电子确认。</w:t>
      </w:r>
    </w:p>
    <w:p w14:paraId="5130FC88"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在复核过程中，发现相关各方的报表或定期报告存在不符时，基金管理人和基金托管人应共同查明原因，进行调整，调整以相关各方认可的账务处理方式为准。核对无误后，由基金托管人进行电子确认，或由基金托管人在基金管理人提供的报表（告）上加盖业务印鉴或者出具加盖托管业务部门公章的复核意见书，相关各方各自留存一份。如果基金管理人与基金托管人不能</w:t>
      </w:r>
      <w:proofErr w:type="gramStart"/>
      <w:r>
        <w:rPr>
          <w:rFonts w:ascii="宋体" w:hAnsi="宋体" w:hint="eastAsia"/>
          <w:sz w:val="24"/>
        </w:rPr>
        <w:t>于应当</w:t>
      </w:r>
      <w:proofErr w:type="gramEnd"/>
      <w:r>
        <w:rPr>
          <w:rFonts w:ascii="宋体" w:hAnsi="宋体" w:hint="eastAsia"/>
          <w:sz w:val="24"/>
        </w:rPr>
        <w:t>发布公告之日之前就相关报表（告）达成一致，基金管理人有权按照其编制的报表（告）对外发布公告，基金托管人有权就相关情况报中国证监会备案。基金托管</w:t>
      </w:r>
      <w:r>
        <w:rPr>
          <w:rFonts w:ascii="宋体" w:hAnsi="宋体" w:hint="eastAsia"/>
          <w:sz w:val="24"/>
        </w:rPr>
        <w:lastRenderedPageBreak/>
        <w:t>人不承担基金管理人未接受基金托管人的复核意见进行信息披露的责任。</w:t>
      </w:r>
    </w:p>
    <w:p w14:paraId="5F54BC3B"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基金托管人在对财务会计报告、季度报告、中期报告或年度报告复核完毕后，需盖章确认或出具相应的复核确认书或进行电子确认，以</w:t>
      </w:r>
      <w:proofErr w:type="gramStart"/>
      <w:r>
        <w:rPr>
          <w:rFonts w:ascii="宋体" w:hAnsi="宋体" w:hint="eastAsia"/>
          <w:sz w:val="24"/>
        </w:rPr>
        <w:t>备有权</w:t>
      </w:r>
      <w:proofErr w:type="gramEnd"/>
      <w:r>
        <w:rPr>
          <w:rFonts w:ascii="宋体" w:hAnsi="宋体" w:hint="eastAsia"/>
          <w:sz w:val="24"/>
        </w:rPr>
        <w:t>机构对相关文件审核时提示。</w:t>
      </w:r>
      <w:bookmarkStart w:id="108" w:name="_Hlt89689505"/>
      <w:bookmarkStart w:id="109" w:name="_Toc466788859"/>
      <w:bookmarkStart w:id="110" w:name="_Toc523830000"/>
      <w:bookmarkStart w:id="111" w:name="_Toc48703912"/>
      <w:bookmarkStart w:id="112" w:name="_Toc22454461"/>
      <w:bookmarkEnd w:id="108"/>
    </w:p>
    <w:p w14:paraId="50C60092" w14:textId="77777777" w:rsidR="005A043F" w:rsidRDefault="0029200C">
      <w:pPr>
        <w:spacing w:line="360" w:lineRule="auto"/>
        <w:ind w:firstLineChars="200" w:firstLine="480"/>
        <w:rPr>
          <w:rFonts w:ascii="宋体" w:hAnsi="宋体"/>
          <w:sz w:val="24"/>
        </w:rPr>
      </w:pPr>
      <w:bookmarkStart w:id="113" w:name="_Hlk146556251"/>
      <w:r>
        <w:rPr>
          <w:rFonts w:ascii="宋体" w:hAnsi="宋体" w:hint="eastAsia"/>
          <w:sz w:val="24"/>
        </w:rPr>
        <w:t>（六）实施</w:t>
      </w:r>
      <w:proofErr w:type="gramStart"/>
      <w:r>
        <w:rPr>
          <w:rFonts w:ascii="宋体" w:hAnsi="宋体" w:hint="eastAsia"/>
          <w:sz w:val="24"/>
        </w:rPr>
        <w:t>侧袋机制</w:t>
      </w:r>
      <w:proofErr w:type="gramEnd"/>
      <w:r>
        <w:rPr>
          <w:rFonts w:ascii="宋体" w:hAnsi="宋体" w:hint="eastAsia"/>
          <w:sz w:val="24"/>
        </w:rPr>
        <w:t>期间的基金资产估值</w:t>
      </w:r>
    </w:p>
    <w:p w14:paraId="5710B269" w14:textId="77777777" w:rsidR="005A043F" w:rsidRDefault="0029200C">
      <w:pPr>
        <w:spacing w:line="360" w:lineRule="auto"/>
        <w:ind w:firstLineChars="200" w:firstLine="480"/>
        <w:rPr>
          <w:rFonts w:ascii="宋体" w:hAnsi="宋体"/>
          <w:sz w:val="24"/>
        </w:rPr>
      </w:pPr>
      <w:r>
        <w:rPr>
          <w:rFonts w:ascii="宋体" w:hAnsi="宋体" w:hint="eastAsia"/>
          <w:sz w:val="24"/>
        </w:rPr>
        <w:t>本基金实施</w:t>
      </w:r>
      <w:proofErr w:type="gramStart"/>
      <w:r>
        <w:rPr>
          <w:rFonts w:ascii="宋体" w:hAnsi="宋体" w:hint="eastAsia"/>
          <w:sz w:val="24"/>
        </w:rPr>
        <w:t>侧袋机制</w:t>
      </w:r>
      <w:proofErr w:type="gramEnd"/>
      <w:r>
        <w:rPr>
          <w:rFonts w:ascii="宋体" w:hAnsi="宋体" w:hint="eastAsia"/>
          <w:sz w:val="24"/>
        </w:rPr>
        <w:t>的，应根据本部分的约定</w:t>
      </w:r>
      <w:proofErr w:type="gramStart"/>
      <w:r>
        <w:rPr>
          <w:rFonts w:ascii="宋体" w:hAnsi="宋体" w:hint="eastAsia"/>
          <w:sz w:val="24"/>
        </w:rPr>
        <w:t>对主袋账户</w:t>
      </w:r>
      <w:proofErr w:type="gramEnd"/>
      <w:r>
        <w:rPr>
          <w:rFonts w:ascii="宋体" w:hAnsi="宋体" w:hint="eastAsia"/>
          <w:sz w:val="24"/>
        </w:rPr>
        <w:t>资产进行估值并</w:t>
      </w:r>
      <w:proofErr w:type="gramStart"/>
      <w:r>
        <w:rPr>
          <w:rFonts w:ascii="宋体" w:hAnsi="宋体" w:hint="eastAsia"/>
          <w:sz w:val="24"/>
        </w:rPr>
        <w:t>披露主袋账户</w:t>
      </w:r>
      <w:proofErr w:type="gramEnd"/>
      <w:r>
        <w:rPr>
          <w:rFonts w:ascii="宋体" w:hAnsi="宋体" w:hint="eastAsia"/>
          <w:sz w:val="24"/>
        </w:rPr>
        <w:t>的基金净值信息，暂停</w:t>
      </w:r>
      <w:proofErr w:type="gramStart"/>
      <w:r>
        <w:rPr>
          <w:rFonts w:ascii="宋体" w:hAnsi="宋体" w:hint="eastAsia"/>
          <w:sz w:val="24"/>
        </w:rPr>
        <w:t>披露侧袋账户</w:t>
      </w:r>
      <w:proofErr w:type="gramEnd"/>
      <w:r>
        <w:rPr>
          <w:rFonts w:ascii="宋体" w:hAnsi="宋体" w:hint="eastAsia"/>
          <w:sz w:val="24"/>
        </w:rPr>
        <w:t>的基金净值信息。</w:t>
      </w:r>
    </w:p>
    <w:p w14:paraId="36994A06"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14" w:name="_Toc140002344"/>
      <w:bookmarkStart w:id="115" w:name="_Toc123626175"/>
      <w:bookmarkStart w:id="116" w:name="_Toc125361081"/>
      <w:bookmarkStart w:id="117" w:name="_Toc124749233"/>
      <w:bookmarkStart w:id="118" w:name="_Toc124749944"/>
      <w:bookmarkEnd w:id="109"/>
      <w:bookmarkEnd w:id="110"/>
      <w:bookmarkEnd w:id="111"/>
      <w:bookmarkEnd w:id="112"/>
      <w:bookmarkEnd w:id="113"/>
      <w:r>
        <w:rPr>
          <w:rFonts w:ascii="宋体" w:hAnsi="宋体" w:cs="Arial" w:hint="eastAsia"/>
          <w:sz w:val="30"/>
        </w:rPr>
        <w:t>基金收益分配</w:t>
      </w:r>
      <w:bookmarkEnd w:id="114"/>
      <w:bookmarkEnd w:id="115"/>
      <w:bookmarkEnd w:id="116"/>
      <w:bookmarkEnd w:id="117"/>
      <w:bookmarkEnd w:id="118"/>
    </w:p>
    <w:p w14:paraId="31B9A6E4" w14:textId="77777777" w:rsidR="005A043F" w:rsidRDefault="0029200C">
      <w:pPr>
        <w:spacing w:line="360" w:lineRule="auto"/>
        <w:ind w:firstLineChars="200" w:firstLine="480"/>
        <w:rPr>
          <w:rFonts w:ascii="宋体" w:hAnsi="宋体"/>
          <w:sz w:val="24"/>
        </w:rPr>
      </w:pPr>
      <w:bookmarkStart w:id="119" w:name="_Toc22454462"/>
      <w:bookmarkStart w:id="120" w:name="_Toc48703913"/>
      <w:r>
        <w:rPr>
          <w:rFonts w:ascii="宋体" w:hAnsi="宋体" w:hint="eastAsia"/>
          <w:sz w:val="24"/>
        </w:rPr>
        <w:t>（一）基金收益分配</w:t>
      </w:r>
      <w:bookmarkEnd w:id="119"/>
      <w:bookmarkEnd w:id="120"/>
      <w:r>
        <w:rPr>
          <w:rFonts w:ascii="宋体" w:hAnsi="宋体" w:hint="eastAsia"/>
          <w:sz w:val="24"/>
        </w:rPr>
        <w:t>的原则</w:t>
      </w:r>
    </w:p>
    <w:p w14:paraId="3A444315" w14:textId="77777777" w:rsidR="005A043F" w:rsidRDefault="0029200C">
      <w:pPr>
        <w:spacing w:line="360" w:lineRule="auto"/>
        <w:ind w:firstLineChars="225" w:firstLine="540"/>
        <w:rPr>
          <w:sz w:val="24"/>
        </w:rPr>
      </w:pPr>
      <w:r>
        <w:rPr>
          <w:sz w:val="24"/>
        </w:rPr>
        <w:t>1</w:t>
      </w:r>
      <w:r>
        <w:rPr>
          <w:rFonts w:hint="eastAsia"/>
          <w:sz w:val="24"/>
        </w:rPr>
        <w:t>、在符合有关基金分红条件的前提下，本基金管理人可以根据实际情况进行收益分配，具体分配方案以公告为准，若《基金合同》生效不满</w:t>
      </w:r>
      <w:r>
        <w:rPr>
          <w:rFonts w:hint="eastAsia"/>
          <w:sz w:val="24"/>
        </w:rPr>
        <w:t>3</w:t>
      </w:r>
      <w:r>
        <w:rPr>
          <w:rFonts w:hint="eastAsia"/>
          <w:sz w:val="24"/>
        </w:rPr>
        <w:t>个月可不进行收益分配；</w:t>
      </w:r>
    </w:p>
    <w:p w14:paraId="67CE56B1" w14:textId="77777777" w:rsidR="005A043F" w:rsidRDefault="0029200C">
      <w:pPr>
        <w:spacing w:line="360" w:lineRule="auto"/>
        <w:ind w:firstLineChars="225" w:firstLine="540"/>
        <w:rPr>
          <w:sz w:val="24"/>
        </w:rPr>
      </w:pPr>
      <w:r>
        <w:rPr>
          <w:sz w:val="24"/>
        </w:rPr>
        <w:t>2</w:t>
      </w:r>
      <w:r>
        <w:rPr>
          <w:rFonts w:hint="eastAsia"/>
          <w:sz w:val="24"/>
        </w:rPr>
        <w:t>、</w:t>
      </w:r>
      <w:r>
        <w:rPr>
          <w:rFonts w:hint="eastAsia"/>
          <w:color w:val="000000"/>
          <w:sz w:val="24"/>
        </w:rPr>
        <w:t>本基金收益分配</w:t>
      </w:r>
      <w:r>
        <w:rPr>
          <w:rFonts w:hint="eastAsia"/>
          <w:bCs/>
          <w:color w:val="000000"/>
          <w:sz w:val="24"/>
        </w:rPr>
        <w:t>方式分两种：</w:t>
      </w:r>
      <w:r>
        <w:rPr>
          <w:rFonts w:hint="eastAsia"/>
          <w:color w:val="000000"/>
          <w:sz w:val="24"/>
        </w:rPr>
        <w:t>现金分红</w:t>
      </w:r>
      <w:r>
        <w:rPr>
          <w:rFonts w:hint="eastAsia"/>
          <w:bCs/>
          <w:color w:val="000000"/>
          <w:sz w:val="24"/>
        </w:rPr>
        <w:t>与红利再投资，投资者可选择现金红利或将现金红利自动转为相应类别的基金份额进行再投资；若投资者不选择，本基金默认的收益分配方式是现金分红</w:t>
      </w:r>
      <w:r>
        <w:rPr>
          <w:rFonts w:hint="eastAsia"/>
          <w:color w:val="000000"/>
          <w:sz w:val="24"/>
        </w:rPr>
        <w:t>；</w:t>
      </w:r>
    </w:p>
    <w:p w14:paraId="71E0AAE0" w14:textId="77777777" w:rsidR="005A043F" w:rsidRDefault="0029200C">
      <w:pPr>
        <w:spacing w:line="360" w:lineRule="auto"/>
        <w:ind w:firstLineChars="225" w:firstLine="540"/>
        <w:rPr>
          <w:sz w:val="24"/>
        </w:rPr>
      </w:pPr>
      <w:r>
        <w:rPr>
          <w:sz w:val="24"/>
        </w:rPr>
        <w:t>3</w:t>
      </w:r>
      <w:r>
        <w:rPr>
          <w:rFonts w:hint="eastAsia"/>
          <w:sz w:val="24"/>
        </w:rPr>
        <w:t>、基金收益分配后各类基金份额净值不能低于面值；即基金收益分配基准日的各类基金份额净值减去每单位该类基金份额收益分配金额后不能低于面值</w:t>
      </w:r>
      <w:r>
        <w:rPr>
          <w:rFonts w:hint="eastAsia"/>
          <w:bCs/>
          <w:sz w:val="24"/>
        </w:rPr>
        <w:t>；</w:t>
      </w:r>
    </w:p>
    <w:p w14:paraId="530846C4" w14:textId="77777777" w:rsidR="005A043F" w:rsidRDefault="0029200C">
      <w:pPr>
        <w:spacing w:line="360" w:lineRule="auto"/>
        <w:ind w:firstLineChars="225" w:firstLine="540"/>
        <w:rPr>
          <w:sz w:val="24"/>
        </w:rPr>
      </w:pPr>
      <w:r>
        <w:rPr>
          <w:sz w:val="24"/>
        </w:rPr>
        <w:t>4</w:t>
      </w:r>
      <w:r>
        <w:rPr>
          <w:rFonts w:hint="eastAsia"/>
          <w:sz w:val="24"/>
        </w:rPr>
        <w:t>、由于基金费用的不同，不同类别的基金份额在收益分配数额方面可能有所不同，基金管理人可对各类别基金份额分别制定收益分配方案。同一类别的每份基金份额享有同等分配权；</w:t>
      </w:r>
    </w:p>
    <w:p w14:paraId="7F8F9C8C" w14:textId="77777777" w:rsidR="005A043F" w:rsidRDefault="0029200C">
      <w:pPr>
        <w:spacing w:line="360" w:lineRule="auto"/>
        <w:ind w:firstLineChars="225" w:firstLine="540"/>
        <w:rPr>
          <w:sz w:val="24"/>
        </w:rPr>
      </w:pPr>
      <w:r>
        <w:rPr>
          <w:sz w:val="24"/>
        </w:rPr>
        <w:t>5</w:t>
      </w:r>
      <w:r>
        <w:rPr>
          <w:rFonts w:hint="eastAsia"/>
          <w:sz w:val="24"/>
        </w:rPr>
        <w:t>、</w:t>
      </w:r>
      <w:r>
        <w:rPr>
          <w:rFonts w:hint="eastAsia"/>
          <w:bCs/>
          <w:color w:val="000000"/>
          <w:sz w:val="24"/>
        </w:rPr>
        <w:t>红利再投资获得的基金份额跟随原份额计算锁定持有期；</w:t>
      </w:r>
    </w:p>
    <w:p w14:paraId="4375B4C6" w14:textId="77777777" w:rsidR="005A043F" w:rsidRDefault="0029200C">
      <w:pPr>
        <w:spacing w:line="360" w:lineRule="auto"/>
        <w:ind w:firstLineChars="225" w:firstLine="540"/>
        <w:rPr>
          <w:sz w:val="24"/>
        </w:rPr>
      </w:pPr>
      <w:r>
        <w:rPr>
          <w:rFonts w:hint="eastAsia"/>
          <w:sz w:val="24"/>
        </w:rPr>
        <w:t>6</w:t>
      </w:r>
      <w:r>
        <w:rPr>
          <w:rFonts w:hint="eastAsia"/>
          <w:sz w:val="24"/>
        </w:rPr>
        <w:t>、法律法规或监管机关另有规定的，从其规定。</w:t>
      </w:r>
    </w:p>
    <w:p w14:paraId="562D2B66" w14:textId="77777777" w:rsidR="007D5636" w:rsidRDefault="007D5636" w:rsidP="007D5636">
      <w:pPr>
        <w:spacing w:line="360" w:lineRule="auto"/>
        <w:ind w:firstLineChars="200" w:firstLine="480"/>
        <w:rPr>
          <w:color w:val="000000"/>
          <w:sz w:val="24"/>
        </w:rPr>
      </w:pPr>
      <w:r>
        <w:rPr>
          <w:rFonts w:hint="eastAsia"/>
          <w:color w:val="000000"/>
          <w:sz w:val="24"/>
        </w:rPr>
        <w:t>在对基金份额持有人利益无实质性不利影响的前提下，基金管理人</w:t>
      </w:r>
      <w:r>
        <w:rPr>
          <w:rFonts w:hint="eastAsia"/>
          <w:bCs/>
          <w:color w:val="000000"/>
          <w:sz w:val="24"/>
        </w:rPr>
        <w:t>在与基金</w:t>
      </w:r>
      <w:r>
        <w:rPr>
          <w:rFonts w:hint="eastAsia"/>
          <w:bCs/>
          <w:color w:val="000000"/>
          <w:sz w:val="24"/>
        </w:rPr>
        <w:lastRenderedPageBreak/>
        <w:t>托管人协商一致并履行适当程序后</w:t>
      </w:r>
      <w:r>
        <w:rPr>
          <w:rFonts w:hint="eastAsia"/>
          <w:color w:val="000000"/>
          <w:sz w:val="24"/>
        </w:rPr>
        <w:t>可对基金收益分配原则</w:t>
      </w:r>
      <w:r>
        <w:rPr>
          <w:rFonts w:hint="eastAsia"/>
          <w:bCs/>
          <w:color w:val="000000"/>
          <w:sz w:val="24"/>
        </w:rPr>
        <w:t>和支付方式</w:t>
      </w:r>
      <w:r>
        <w:rPr>
          <w:rFonts w:hint="eastAsia"/>
          <w:color w:val="000000"/>
          <w:sz w:val="24"/>
        </w:rPr>
        <w:t>进行调整，并于变更实施日前按照《信息披露办法》的要求在规定媒介公告。</w:t>
      </w:r>
    </w:p>
    <w:p w14:paraId="72D6FA2B" w14:textId="77777777" w:rsidR="005A043F" w:rsidRDefault="0029200C">
      <w:pPr>
        <w:spacing w:line="360" w:lineRule="auto"/>
        <w:ind w:firstLineChars="200" w:firstLine="480"/>
        <w:rPr>
          <w:rFonts w:ascii="宋体" w:hAnsi="宋体"/>
          <w:sz w:val="24"/>
        </w:rPr>
      </w:pPr>
      <w:bookmarkStart w:id="121" w:name="_Hlt80958353"/>
      <w:bookmarkEnd w:id="121"/>
      <w:r>
        <w:rPr>
          <w:rFonts w:ascii="宋体" w:hAnsi="宋体" w:hint="eastAsia"/>
          <w:sz w:val="24"/>
        </w:rPr>
        <w:t>（二）基金收益分配方案的制定和实施程序</w:t>
      </w:r>
    </w:p>
    <w:p w14:paraId="3C4827CD" w14:textId="77777777" w:rsidR="005A043F" w:rsidRDefault="0029200C">
      <w:pPr>
        <w:spacing w:line="360" w:lineRule="auto"/>
        <w:ind w:firstLineChars="200" w:firstLine="480"/>
        <w:rPr>
          <w:rFonts w:ascii="宋体" w:hAnsi="宋体"/>
          <w:sz w:val="24"/>
        </w:rPr>
      </w:pPr>
      <w:r>
        <w:rPr>
          <w:rFonts w:ascii="宋体" w:hAnsi="宋体"/>
          <w:sz w:val="24"/>
        </w:rPr>
        <w:t>本基金收益分配方案由基金管理人拟定，并由基金托管人复核，</w:t>
      </w:r>
      <w:r>
        <w:rPr>
          <w:rFonts w:ascii="宋体" w:hAnsi="宋体" w:hint="eastAsia"/>
          <w:sz w:val="24"/>
        </w:rPr>
        <w:t>依照《信息披露办法》的有关规定</w:t>
      </w:r>
      <w:r>
        <w:rPr>
          <w:rFonts w:ascii="宋体" w:hAnsi="宋体"/>
          <w:sz w:val="24"/>
        </w:rPr>
        <w:t>在规定</w:t>
      </w:r>
      <w:r>
        <w:rPr>
          <w:rFonts w:ascii="宋体" w:hAnsi="宋体" w:hint="eastAsia"/>
          <w:sz w:val="24"/>
        </w:rPr>
        <w:t>媒介</w:t>
      </w:r>
      <w:r>
        <w:rPr>
          <w:rFonts w:ascii="宋体" w:hAnsi="宋体"/>
          <w:sz w:val="24"/>
        </w:rPr>
        <w:t>公告。</w:t>
      </w:r>
    </w:p>
    <w:p w14:paraId="372BB7C5" w14:textId="77777777" w:rsidR="005A043F" w:rsidRDefault="0029200C">
      <w:pPr>
        <w:spacing w:line="360" w:lineRule="auto"/>
        <w:ind w:firstLineChars="200" w:firstLine="480"/>
        <w:rPr>
          <w:rFonts w:ascii="宋体" w:hAnsi="宋体"/>
          <w:sz w:val="24"/>
        </w:rPr>
      </w:pPr>
      <w:r>
        <w:rPr>
          <w:rFonts w:ascii="宋体" w:hAnsi="宋体" w:hint="eastAsia"/>
          <w:sz w:val="24"/>
        </w:rPr>
        <w:t>（三）实施</w:t>
      </w:r>
      <w:proofErr w:type="gramStart"/>
      <w:r>
        <w:rPr>
          <w:rFonts w:ascii="宋体" w:hAnsi="宋体" w:hint="eastAsia"/>
          <w:sz w:val="24"/>
        </w:rPr>
        <w:t>侧袋机制</w:t>
      </w:r>
      <w:proofErr w:type="gramEnd"/>
      <w:r>
        <w:rPr>
          <w:rFonts w:ascii="宋体" w:hAnsi="宋体" w:hint="eastAsia"/>
          <w:sz w:val="24"/>
        </w:rPr>
        <w:t>期间的收益分配</w:t>
      </w:r>
    </w:p>
    <w:p w14:paraId="2335C14E" w14:textId="77777777" w:rsidR="005A043F" w:rsidRDefault="0029200C">
      <w:pPr>
        <w:spacing w:line="360" w:lineRule="auto"/>
        <w:ind w:firstLineChars="200" w:firstLine="480"/>
        <w:rPr>
          <w:rFonts w:ascii="宋体" w:hAnsi="宋体"/>
          <w:sz w:val="24"/>
        </w:rPr>
      </w:pPr>
      <w:r>
        <w:rPr>
          <w:rFonts w:ascii="宋体" w:hAnsi="宋体" w:hint="eastAsia"/>
          <w:sz w:val="24"/>
        </w:rPr>
        <w:t>本基金实施</w:t>
      </w:r>
      <w:proofErr w:type="gramStart"/>
      <w:r>
        <w:rPr>
          <w:rFonts w:ascii="宋体" w:hAnsi="宋体" w:hint="eastAsia"/>
          <w:sz w:val="24"/>
        </w:rPr>
        <w:t>侧袋机制</w:t>
      </w:r>
      <w:proofErr w:type="gramEnd"/>
      <w:r>
        <w:rPr>
          <w:rFonts w:ascii="宋体" w:hAnsi="宋体" w:hint="eastAsia"/>
          <w:sz w:val="24"/>
        </w:rPr>
        <w:t>的，</w:t>
      </w:r>
      <w:proofErr w:type="gramStart"/>
      <w:r>
        <w:rPr>
          <w:rFonts w:ascii="宋体" w:hAnsi="宋体" w:hint="eastAsia"/>
          <w:sz w:val="24"/>
        </w:rPr>
        <w:t>侧袋账户</w:t>
      </w:r>
      <w:proofErr w:type="gramEnd"/>
      <w:r>
        <w:rPr>
          <w:rFonts w:ascii="宋体" w:hAnsi="宋体" w:hint="eastAsia"/>
          <w:sz w:val="24"/>
        </w:rPr>
        <w:t>不进行收益分配，详见招募说明书的规定。</w:t>
      </w:r>
    </w:p>
    <w:p w14:paraId="6045A4C7"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22" w:name="_Toc523830002"/>
      <w:bookmarkStart w:id="123" w:name="_Toc22454465"/>
      <w:bookmarkStart w:id="124" w:name="_Toc123626176"/>
      <w:bookmarkStart w:id="125" w:name="_Toc466788861"/>
      <w:bookmarkStart w:id="126" w:name="_Toc48703916"/>
      <w:bookmarkStart w:id="127" w:name="_Toc124749234"/>
      <w:bookmarkStart w:id="128" w:name="_Toc125361082"/>
      <w:bookmarkStart w:id="129" w:name="_Toc140002345"/>
      <w:bookmarkStart w:id="130" w:name="_Toc124749945"/>
      <w:r>
        <w:rPr>
          <w:rFonts w:ascii="宋体" w:hAnsi="宋体" w:cs="Arial" w:hint="eastAsia"/>
          <w:sz w:val="30"/>
        </w:rPr>
        <w:t>信息披露</w:t>
      </w:r>
      <w:bookmarkStart w:id="131" w:name="_Hlt89687670"/>
      <w:bookmarkEnd w:id="122"/>
      <w:bookmarkEnd w:id="123"/>
      <w:bookmarkEnd w:id="124"/>
      <w:bookmarkEnd w:id="125"/>
      <w:bookmarkEnd w:id="126"/>
      <w:bookmarkEnd w:id="127"/>
      <w:bookmarkEnd w:id="128"/>
      <w:bookmarkEnd w:id="129"/>
      <w:bookmarkEnd w:id="130"/>
      <w:bookmarkEnd w:id="131"/>
    </w:p>
    <w:p w14:paraId="6ACF3F28" w14:textId="77777777" w:rsidR="005A043F" w:rsidRDefault="0029200C">
      <w:pPr>
        <w:spacing w:line="360" w:lineRule="auto"/>
        <w:ind w:firstLineChars="200" w:firstLine="480"/>
        <w:rPr>
          <w:rFonts w:ascii="宋体" w:hAnsi="宋体"/>
          <w:sz w:val="24"/>
        </w:rPr>
      </w:pPr>
      <w:bookmarkStart w:id="132" w:name="_Toc22454466"/>
      <w:bookmarkStart w:id="133" w:name="_Toc48703917"/>
      <w:r>
        <w:rPr>
          <w:rFonts w:ascii="宋体" w:hAnsi="宋体" w:hint="eastAsia"/>
          <w:sz w:val="24"/>
        </w:rPr>
        <w:t>（一）保密义务</w:t>
      </w:r>
      <w:bookmarkEnd w:id="132"/>
      <w:bookmarkEnd w:id="133"/>
    </w:p>
    <w:p w14:paraId="2BB6CBB5" w14:textId="77777777" w:rsidR="005A043F" w:rsidRDefault="0029200C">
      <w:pPr>
        <w:spacing w:line="360" w:lineRule="auto"/>
        <w:ind w:firstLineChars="200" w:firstLine="480"/>
        <w:rPr>
          <w:rFonts w:ascii="宋体" w:hAnsi="宋体"/>
          <w:sz w:val="24"/>
        </w:rPr>
      </w:pPr>
      <w:r>
        <w:rPr>
          <w:rFonts w:ascii="宋体" w:hAnsi="宋体" w:hint="eastAsia"/>
          <w:sz w:val="24"/>
        </w:rPr>
        <w:t>除按照《基金法》、《运作办法》、《信息披露办法》、《流动性风险管理规定》、《基金合同》及中国证监会关于基金信息披露的有关规定进行披露以外，基金管理人和基金托管人对基金运作中产生的信息以及从对方获得的业务信息应恪守保密的义务。基金管理人与基金托管人对基金的任何信息，除法律法规规定之外，不得在其公开披露之前，先行对任何第三方披露。但是，如下情况不应视为基金管理人或基金托管人违反保密义务：</w:t>
      </w:r>
    </w:p>
    <w:p w14:paraId="1EB1A111" w14:textId="77777777" w:rsidR="005A043F" w:rsidRDefault="0029200C">
      <w:pPr>
        <w:spacing w:line="360" w:lineRule="auto"/>
        <w:ind w:firstLineChars="200" w:firstLine="480"/>
        <w:rPr>
          <w:rFonts w:ascii="宋体" w:hAnsi="宋体"/>
          <w:sz w:val="24"/>
        </w:rPr>
      </w:pPr>
      <w:r>
        <w:rPr>
          <w:rFonts w:ascii="宋体" w:hAnsi="宋体" w:hint="eastAsia"/>
          <w:sz w:val="24"/>
        </w:rPr>
        <w:t>1、非因基金管理人和基金托管人的原因导致保密信息被披露、泄露或公开；</w:t>
      </w:r>
    </w:p>
    <w:p w14:paraId="1F7CD980" w14:textId="77777777" w:rsidR="005A043F" w:rsidRDefault="0029200C">
      <w:pPr>
        <w:spacing w:line="360" w:lineRule="auto"/>
        <w:ind w:firstLineChars="200" w:firstLine="480"/>
        <w:rPr>
          <w:rFonts w:ascii="宋体" w:hAnsi="宋体"/>
          <w:sz w:val="24"/>
        </w:rPr>
      </w:pPr>
      <w:r>
        <w:rPr>
          <w:rFonts w:ascii="宋体" w:hAnsi="宋体" w:hint="eastAsia"/>
          <w:sz w:val="24"/>
        </w:rPr>
        <w:t>2、基金管理人和基金托管人为遵守和服从法院判决和裁定、仲裁裁决或中国证监会等监管机构的命令、决定所做出的信息披露或公开；</w:t>
      </w:r>
    </w:p>
    <w:p w14:paraId="13B0D28D" w14:textId="77777777" w:rsidR="005A043F" w:rsidRDefault="0029200C">
      <w:pPr>
        <w:spacing w:line="360" w:lineRule="auto"/>
        <w:ind w:firstLineChars="200" w:firstLine="480"/>
        <w:rPr>
          <w:rFonts w:ascii="宋体" w:hAnsi="宋体"/>
          <w:sz w:val="24"/>
        </w:rPr>
      </w:pPr>
      <w:r>
        <w:rPr>
          <w:rFonts w:ascii="宋体" w:hAnsi="宋体" w:hint="eastAsia"/>
          <w:sz w:val="24"/>
        </w:rPr>
        <w:t>3、依法向监管机构、司法机关及审计、法律等外部专业顾问提供。</w:t>
      </w:r>
    </w:p>
    <w:p w14:paraId="018A36E8" w14:textId="77777777" w:rsidR="005A043F" w:rsidRDefault="0029200C">
      <w:pPr>
        <w:spacing w:line="360" w:lineRule="auto"/>
        <w:ind w:firstLineChars="200" w:firstLine="480"/>
        <w:rPr>
          <w:rFonts w:ascii="宋体" w:hAnsi="宋体"/>
          <w:sz w:val="24"/>
        </w:rPr>
      </w:pPr>
      <w:bookmarkStart w:id="134" w:name="_Toc22454467"/>
      <w:bookmarkStart w:id="135" w:name="_Toc48703918"/>
      <w:r>
        <w:rPr>
          <w:rFonts w:ascii="宋体" w:hAnsi="宋体" w:hint="eastAsia"/>
          <w:sz w:val="24"/>
        </w:rPr>
        <w:t>（二）基金管理人和基金托管人在信息披露中的职责和信息披露程序</w:t>
      </w:r>
      <w:bookmarkEnd w:id="134"/>
      <w:bookmarkEnd w:id="135"/>
    </w:p>
    <w:p w14:paraId="2E6900EE"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基金管理人和基金托管人应根据相关法律法规、《基金合同》的规定各自承担相应的信息披露职责。基金管理人和基金托管人负有积极配合、互相督促、彼此监督、保证其履行按照法定方式和时限披露的义务。</w:t>
      </w:r>
    </w:p>
    <w:p w14:paraId="0D55691B"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根据《信息披露办法》的要求，本基金信息披露的文件包括基金招募说明书、基金产品资料概要、《基金合同》、本协议、基金份额发售公告、《基金合同》生效公告、定期报告、临时报告、基金净值信息、基金份额申购、赎回价格、澄清公告、基金份额持有人大会决议、实施</w:t>
      </w:r>
      <w:proofErr w:type="gramStart"/>
      <w:r>
        <w:rPr>
          <w:rFonts w:ascii="宋体" w:hAnsi="宋体" w:hint="eastAsia"/>
          <w:sz w:val="24"/>
        </w:rPr>
        <w:t>侧袋机制</w:t>
      </w:r>
      <w:proofErr w:type="gramEnd"/>
      <w:r>
        <w:rPr>
          <w:rFonts w:ascii="宋体" w:hAnsi="宋体" w:hint="eastAsia"/>
          <w:sz w:val="24"/>
        </w:rPr>
        <w:t>期间的信息披露、清算报告、证券投资基金的投资情况以及中国证监会规定</w:t>
      </w:r>
      <w:r>
        <w:rPr>
          <w:rFonts w:ascii="宋体" w:hAnsi="宋体"/>
          <w:sz w:val="24"/>
        </w:rPr>
        <w:t>应予公开披露的其他信息</w:t>
      </w:r>
      <w:r>
        <w:rPr>
          <w:rFonts w:ascii="宋体" w:hAnsi="宋体" w:hint="eastAsia"/>
          <w:sz w:val="24"/>
        </w:rPr>
        <w:t>等必要的文件，由基金管理人拟定并负责公布。</w:t>
      </w:r>
    </w:p>
    <w:p w14:paraId="20ADEA18" w14:textId="77777777" w:rsidR="005A043F" w:rsidRDefault="0029200C">
      <w:pPr>
        <w:spacing w:line="360" w:lineRule="auto"/>
        <w:ind w:firstLineChars="200" w:firstLine="480"/>
        <w:rPr>
          <w:rFonts w:ascii="宋体" w:hAnsi="宋体"/>
          <w:sz w:val="24"/>
        </w:rPr>
      </w:pPr>
      <w:r>
        <w:rPr>
          <w:rFonts w:ascii="宋体" w:hAnsi="宋体" w:hint="eastAsia"/>
          <w:sz w:val="24"/>
        </w:rPr>
        <w:t>若本基金投资股指期货、国债期货、股票期权、信用衍生品、资产支持证券、港股通标的股票，基金管理人将按相关法律法规要求进行披露。</w:t>
      </w:r>
    </w:p>
    <w:p w14:paraId="4AFA5C2B" w14:textId="77777777" w:rsidR="005A043F" w:rsidRDefault="0029200C">
      <w:pPr>
        <w:spacing w:line="360" w:lineRule="auto"/>
        <w:ind w:firstLineChars="200" w:firstLine="480"/>
        <w:rPr>
          <w:rFonts w:ascii="宋体" w:hAnsi="宋体"/>
          <w:sz w:val="24"/>
        </w:rPr>
      </w:pPr>
      <w:proofErr w:type="gramStart"/>
      <w:r>
        <w:rPr>
          <w:rFonts w:ascii="宋体" w:hAnsi="宋体" w:hint="eastAsia"/>
          <w:sz w:val="24"/>
        </w:rPr>
        <w:t>当相关</w:t>
      </w:r>
      <w:proofErr w:type="gramEnd"/>
      <w:r>
        <w:rPr>
          <w:rFonts w:ascii="宋体" w:hAnsi="宋体" w:hint="eastAsia"/>
          <w:sz w:val="24"/>
        </w:rPr>
        <w:t>法律法规关于上述信息披露的规定发生变化时，基金管理人将按最新规定进行信息披露。</w:t>
      </w:r>
    </w:p>
    <w:p w14:paraId="01AEBDB9" w14:textId="77777777" w:rsidR="005A043F" w:rsidRDefault="0029200C">
      <w:pPr>
        <w:spacing w:line="360" w:lineRule="auto"/>
        <w:ind w:firstLineChars="200" w:firstLine="480"/>
        <w:rPr>
          <w:rFonts w:ascii="宋体" w:hAnsi="宋体"/>
          <w:sz w:val="24"/>
        </w:rPr>
      </w:pPr>
      <w:r>
        <w:rPr>
          <w:rFonts w:ascii="宋体" w:hAnsi="宋体" w:hint="eastAsia"/>
          <w:sz w:val="24"/>
        </w:rPr>
        <w:t>基金托管人应当按照相关法律、行政法规、中国证监会的规定和《基金合同》的约定，对基金管理人编制的基金资产净值、各类基金份额净值、基金份额申购赎回价格、基金定期报告、更新的招募说明书、基金产品资料概要、基金清算报告等相关基金信息进行复核、审查，并向基金管理人进行书面或者电子确认。</w:t>
      </w:r>
    </w:p>
    <w:p w14:paraId="27B100C8" w14:textId="77777777" w:rsidR="005A043F" w:rsidRDefault="0029200C">
      <w:pPr>
        <w:spacing w:line="360" w:lineRule="auto"/>
        <w:ind w:firstLineChars="200" w:firstLine="480"/>
        <w:rPr>
          <w:rFonts w:ascii="宋体" w:hAnsi="宋体"/>
          <w:sz w:val="24"/>
        </w:rPr>
      </w:pPr>
      <w:r>
        <w:rPr>
          <w:rFonts w:ascii="宋体" w:hAnsi="宋体" w:hint="eastAsia"/>
          <w:sz w:val="24"/>
        </w:rPr>
        <w:t>基金年度报告中的财务会计报告部分，</w:t>
      </w:r>
      <w:proofErr w:type="gramStart"/>
      <w:r>
        <w:rPr>
          <w:rFonts w:ascii="宋体" w:hAnsi="宋体" w:hint="eastAsia"/>
          <w:sz w:val="24"/>
        </w:rPr>
        <w:t>经符合</w:t>
      </w:r>
      <w:proofErr w:type="gramEnd"/>
      <w:r>
        <w:rPr>
          <w:rFonts w:ascii="宋体" w:hAnsi="宋体" w:hint="eastAsia"/>
          <w:sz w:val="24"/>
        </w:rPr>
        <w:t>《证券法》规定的会计师事务所审计后，方可披露。</w:t>
      </w:r>
    </w:p>
    <w:p w14:paraId="4C77B054"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应当在中国证监会规定的时间内，将应予披露的基金信息通过符合中国证监会规定条件的全国性报刊及《信息披露办法》规定的互联网网站等媒介披露。根据法律法规应由基金托管人公开披露的信息，基金托管人将通过规定媒介公开披露。</w:t>
      </w:r>
    </w:p>
    <w:p w14:paraId="26B475C9" w14:textId="77777777" w:rsidR="005A043F" w:rsidRDefault="0029200C">
      <w:pPr>
        <w:spacing w:line="360" w:lineRule="auto"/>
        <w:ind w:firstLineChars="200" w:firstLine="480"/>
        <w:rPr>
          <w:rFonts w:ascii="宋体" w:hAnsi="宋体"/>
          <w:sz w:val="24"/>
        </w:rPr>
      </w:pPr>
      <w:r>
        <w:rPr>
          <w:rFonts w:ascii="宋体" w:hAnsi="宋体" w:hint="eastAsia"/>
          <w:sz w:val="24"/>
        </w:rPr>
        <w:t>依法必须披露的信息发布后，基金管理人、基金托管人应当按照相关法律法规规定将信息置备于各自住所，供社会公众查阅、复制。投资者可以免费查阅，或者在支付工本费后可在合理时间获得上述文件的复制件或复印件。基金管理人和基金托管人应保证文本的内容与所公告的内容完全一致。</w:t>
      </w:r>
    </w:p>
    <w:p w14:paraId="74176FBE" w14:textId="77777777" w:rsidR="005A043F" w:rsidRDefault="0029200C">
      <w:pPr>
        <w:spacing w:line="360" w:lineRule="auto"/>
        <w:ind w:firstLineChars="200" w:firstLine="480"/>
        <w:rPr>
          <w:rFonts w:ascii="宋体" w:hAnsi="宋体"/>
          <w:sz w:val="24"/>
        </w:rPr>
      </w:pPr>
      <w:r>
        <w:rPr>
          <w:rFonts w:ascii="宋体" w:hAnsi="宋体" w:hint="eastAsia"/>
          <w:sz w:val="24"/>
        </w:rPr>
        <w:t>（三）暂停或延迟信息披露的情形</w:t>
      </w:r>
    </w:p>
    <w:p w14:paraId="4226B00E" w14:textId="77777777" w:rsidR="005A043F" w:rsidRDefault="0029200C">
      <w:pPr>
        <w:spacing w:line="360" w:lineRule="auto"/>
        <w:ind w:firstLineChars="200" w:firstLine="480"/>
        <w:rPr>
          <w:rFonts w:ascii="宋体" w:hAnsi="宋体"/>
          <w:sz w:val="24"/>
        </w:rPr>
      </w:pPr>
      <w:r>
        <w:rPr>
          <w:rFonts w:ascii="宋体" w:hAnsi="宋体" w:hint="eastAsia"/>
          <w:sz w:val="24"/>
        </w:rPr>
        <w:t>当出现下述情况时，基金管理人和基金托管人可暂停或延迟披露基金相关信</w:t>
      </w:r>
      <w:r>
        <w:rPr>
          <w:rFonts w:ascii="宋体" w:hAnsi="宋体" w:hint="eastAsia"/>
          <w:sz w:val="24"/>
        </w:rPr>
        <w:lastRenderedPageBreak/>
        <w:t>息：</w:t>
      </w:r>
    </w:p>
    <w:p w14:paraId="613CCF71" w14:textId="77777777" w:rsidR="005A043F" w:rsidRDefault="0029200C">
      <w:pPr>
        <w:spacing w:line="360" w:lineRule="auto"/>
        <w:ind w:firstLineChars="200" w:firstLine="480"/>
        <w:rPr>
          <w:rFonts w:ascii="宋体" w:hAnsi="宋体"/>
          <w:sz w:val="24"/>
        </w:rPr>
      </w:pPr>
      <w:r>
        <w:rPr>
          <w:rFonts w:ascii="宋体" w:hAnsi="宋体" w:hint="eastAsia"/>
          <w:sz w:val="24"/>
        </w:rPr>
        <w:t>1、基金投资所涉及的证券、期货交易所</w:t>
      </w:r>
      <w:bookmarkStart w:id="136" w:name="_Hlk99660841"/>
      <w:r>
        <w:rPr>
          <w:rFonts w:ascii="宋体" w:hAnsi="宋体" w:hint="eastAsia"/>
          <w:sz w:val="24"/>
        </w:rPr>
        <w:t>或外汇市场</w:t>
      </w:r>
      <w:bookmarkEnd w:id="136"/>
      <w:r>
        <w:rPr>
          <w:rFonts w:ascii="宋体" w:hAnsi="宋体" w:hint="eastAsia"/>
          <w:sz w:val="24"/>
        </w:rPr>
        <w:t>遇法定节假日或因其他原因暂停营业时；</w:t>
      </w:r>
    </w:p>
    <w:p w14:paraId="74EF1164" w14:textId="77777777" w:rsidR="005A043F" w:rsidRDefault="0029200C">
      <w:pPr>
        <w:spacing w:line="360" w:lineRule="auto"/>
        <w:ind w:firstLineChars="200" w:firstLine="480"/>
        <w:rPr>
          <w:rFonts w:ascii="宋体" w:hAnsi="宋体"/>
          <w:sz w:val="24"/>
        </w:rPr>
      </w:pPr>
      <w:r>
        <w:rPr>
          <w:rFonts w:ascii="宋体" w:hAnsi="宋体" w:hint="eastAsia"/>
          <w:sz w:val="24"/>
        </w:rPr>
        <w:t>2、因不可抗力或其他情形致使基金管理人、基金托管人无法准确评估基金资产价值时；</w:t>
      </w:r>
    </w:p>
    <w:p w14:paraId="127B2663" w14:textId="77777777" w:rsidR="005A043F" w:rsidRDefault="0029200C">
      <w:pPr>
        <w:spacing w:line="360" w:lineRule="auto"/>
        <w:ind w:firstLineChars="200" w:firstLine="480"/>
        <w:rPr>
          <w:rFonts w:ascii="宋体" w:hAnsi="宋体"/>
          <w:sz w:val="24"/>
        </w:rPr>
      </w:pPr>
      <w:r>
        <w:rPr>
          <w:rFonts w:ascii="宋体" w:hAnsi="宋体" w:hint="eastAsia"/>
          <w:sz w:val="24"/>
        </w:rPr>
        <w:t>3、法律法规规定、中国证监会或基金合同认定的其他情形。</w:t>
      </w:r>
    </w:p>
    <w:p w14:paraId="197C5D96"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37" w:name="_Toc125361083"/>
      <w:bookmarkStart w:id="138" w:name="_Toc140002346"/>
      <w:bookmarkStart w:id="139" w:name="_Toc123626177"/>
      <w:bookmarkStart w:id="140" w:name="_Toc124749235"/>
      <w:bookmarkStart w:id="141" w:name="_Toc124749946"/>
      <w:r>
        <w:rPr>
          <w:rFonts w:ascii="宋体" w:hAnsi="宋体" w:cs="Arial" w:hint="eastAsia"/>
          <w:sz w:val="30"/>
        </w:rPr>
        <w:t>基金费用</w:t>
      </w:r>
      <w:bookmarkEnd w:id="10"/>
      <w:bookmarkEnd w:id="137"/>
      <w:bookmarkEnd w:id="138"/>
      <w:bookmarkEnd w:id="139"/>
      <w:bookmarkEnd w:id="140"/>
      <w:bookmarkEnd w:id="141"/>
    </w:p>
    <w:p w14:paraId="531F111E" w14:textId="77777777" w:rsidR="005A043F" w:rsidRDefault="0029200C">
      <w:pPr>
        <w:spacing w:line="360" w:lineRule="auto"/>
        <w:ind w:firstLineChars="200" w:firstLine="480"/>
        <w:rPr>
          <w:rFonts w:ascii="宋体" w:hAnsi="宋体"/>
          <w:sz w:val="24"/>
        </w:rPr>
      </w:pPr>
      <w:bookmarkStart w:id="142" w:name="_Hlk146556749"/>
      <w:r>
        <w:rPr>
          <w:rFonts w:ascii="宋体" w:hAnsi="宋体" w:hint="eastAsia"/>
          <w:sz w:val="24"/>
        </w:rPr>
        <w:t>（一）基金管理费的计提比例和计提方法</w:t>
      </w:r>
    </w:p>
    <w:p w14:paraId="69E08CA1" w14:textId="35D559AF" w:rsidR="005A043F" w:rsidRDefault="0029200C">
      <w:pPr>
        <w:spacing w:line="360" w:lineRule="auto"/>
        <w:ind w:firstLineChars="200" w:firstLine="480"/>
        <w:rPr>
          <w:rFonts w:ascii="宋体" w:hAnsi="宋体"/>
          <w:sz w:val="24"/>
        </w:rPr>
      </w:pPr>
      <w:r>
        <w:rPr>
          <w:rFonts w:ascii="宋体" w:hAnsi="宋体"/>
          <w:sz w:val="24"/>
        </w:rPr>
        <w:t>本</w:t>
      </w:r>
      <w:proofErr w:type="gramStart"/>
      <w:r>
        <w:rPr>
          <w:rFonts w:ascii="宋体" w:hAnsi="宋体"/>
          <w:sz w:val="24"/>
        </w:rPr>
        <w:t>基金</w:t>
      </w:r>
      <w:r>
        <w:rPr>
          <w:rFonts w:ascii="宋体" w:hAnsi="宋体" w:hint="eastAsia"/>
          <w:sz w:val="24"/>
        </w:rPr>
        <w:t>基金</w:t>
      </w:r>
      <w:proofErr w:type="gramEnd"/>
      <w:r>
        <w:rPr>
          <w:rFonts w:ascii="宋体" w:hAnsi="宋体" w:hint="eastAsia"/>
          <w:sz w:val="24"/>
        </w:rPr>
        <w:t>财产中投资于本基金管理人管理的其他基金份额的部分不收取管理费。在通常情况下，</w:t>
      </w:r>
      <w:r>
        <w:rPr>
          <w:rFonts w:ascii="宋体" w:hAnsi="宋体"/>
          <w:sz w:val="24"/>
        </w:rPr>
        <w:t>本</w:t>
      </w:r>
      <w:r>
        <w:rPr>
          <w:rFonts w:ascii="宋体" w:hAnsi="宋体" w:hint="eastAsia"/>
          <w:sz w:val="24"/>
        </w:rPr>
        <w:t>基金</w:t>
      </w:r>
      <w:r>
        <w:rPr>
          <w:rFonts w:ascii="宋体" w:hAnsi="宋体"/>
          <w:sz w:val="24"/>
        </w:rPr>
        <w:t>的管理费按前一日基金资产净值</w:t>
      </w:r>
      <w:r>
        <w:rPr>
          <w:rFonts w:ascii="宋体" w:hAnsi="宋体" w:hint="eastAsia"/>
          <w:sz w:val="24"/>
        </w:rPr>
        <w:t>扣除基金资产中本基金管理人管理的其他基金份额所对应资产净值后剩余部分（若为负数，则取0）</w:t>
      </w:r>
      <w:r>
        <w:rPr>
          <w:rFonts w:ascii="宋体" w:hAnsi="宋体"/>
          <w:sz w:val="24"/>
        </w:rPr>
        <w:t>的</w:t>
      </w:r>
      <w:r>
        <w:rPr>
          <w:rFonts w:ascii="宋体" w:hAnsi="宋体" w:hint="eastAsia"/>
          <w:sz w:val="24"/>
        </w:rPr>
        <w:t>0</w:t>
      </w:r>
      <w:r>
        <w:rPr>
          <w:rFonts w:ascii="宋体" w:hAnsi="宋体"/>
          <w:sz w:val="24"/>
        </w:rPr>
        <w:t>.60%</w:t>
      </w:r>
      <w:r>
        <w:rPr>
          <w:rFonts w:ascii="宋体" w:hAnsi="宋体" w:hint="eastAsia"/>
          <w:sz w:val="24"/>
        </w:rPr>
        <w:t>年</w:t>
      </w:r>
      <w:r>
        <w:rPr>
          <w:rFonts w:ascii="宋体" w:hAnsi="宋体"/>
          <w:sz w:val="24"/>
        </w:rPr>
        <w:t>费率计提。管理费的计算方法如下：</w:t>
      </w:r>
    </w:p>
    <w:p w14:paraId="667FE96F" w14:textId="77777777" w:rsidR="005A043F" w:rsidRDefault="0029200C">
      <w:pPr>
        <w:spacing w:line="360" w:lineRule="auto"/>
        <w:ind w:firstLineChars="200" w:firstLine="480"/>
        <w:rPr>
          <w:rFonts w:ascii="宋体" w:hAnsi="宋体"/>
          <w:sz w:val="24"/>
        </w:rPr>
      </w:pPr>
      <w:r>
        <w:rPr>
          <w:rFonts w:ascii="宋体" w:hAnsi="宋体"/>
          <w:sz w:val="24"/>
        </w:rPr>
        <w:t>H＝E×</w:t>
      </w:r>
      <w:r>
        <w:rPr>
          <w:rFonts w:ascii="宋体" w:hAnsi="宋体" w:hint="eastAsia"/>
          <w:sz w:val="24"/>
        </w:rPr>
        <w:t>0</w:t>
      </w:r>
      <w:r>
        <w:rPr>
          <w:rFonts w:ascii="宋体" w:hAnsi="宋体"/>
          <w:sz w:val="24"/>
        </w:rPr>
        <w:t>.60</w:t>
      </w:r>
      <w:r>
        <w:rPr>
          <w:rFonts w:ascii="宋体" w:hAnsi="宋体" w:hint="eastAsia"/>
          <w:sz w:val="24"/>
        </w:rPr>
        <w:t>%</w:t>
      </w:r>
      <w:r>
        <w:rPr>
          <w:rFonts w:ascii="宋体" w:hAnsi="宋体"/>
          <w:sz w:val="24"/>
        </w:rPr>
        <w:t>÷当年天数</w:t>
      </w:r>
    </w:p>
    <w:p w14:paraId="542B2535" w14:textId="77777777" w:rsidR="005A043F" w:rsidRDefault="0029200C">
      <w:pPr>
        <w:spacing w:line="360" w:lineRule="auto"/>
        <w:ind w:firstLineChars="200" w:firstLine="480"/>
        <w:rPr>
          <w:rFonts w:ascii="宋体" w:hAnsi="宋体"/>
          <w:sz w:val="24"/>
        </w:rPr>
      </w:pPr>
      <w:r>
        <w:rPr>
          <w:rFonts w:ascii="宋体" w:hAnsi="宋体"/>
          <w:sz w:val="24"/>
        </w:rPr>
        <w:t>H为每日应计提的基金管理费</w:t>
      </w:r>
    </w:p>
    <w:p w14:paraId="163F52F3" w14:textId="77777777" w:rsidR="005A043F" w:rsidRDefault="0029200C">
      <w:pPr>
        <w:spacing w:line="360" w:lineRule="auto"/>
        <w:ind w:firstLineChars="200" w:firstLine="480"/>
        <w:rPr>
          <w:rFonts w:ascii="宋体" w:hAnsi="宋体"/>
          <w:sz w:val="24"/>
        </w:rPr>
      </w:pPr>
      <w:r>
        <w:rPr>
          <w:rFonts w:ascii="宋体" w:hAnsi="宋体"/>
          <w:sz w:val="24"/>
        </w:rPr>
        <w:t>E为前一日的基金资产净值</w:t>
      </w:r>
      <w:r>
        <w:rPr>
          <w:rFonts w:ascii="宋体" w:hAnsi="宋体" w:hint="eastAsia"/>
          <w:sz w:val="24"/>
        </w:rPr>
        <w:t>扣除基金财产中本</w:t>
      </w:r>
      <w:proofErr w:type="gramStart"/>
      <w:r>
        <w:rPr>
          <w:rFonts w:ascii="宋体" w:hAnsi="宋体" w:hint="eastAsia"/>
          <w:sz w:val="24"/>
        </w:rPr>
        <w:t>基金基金</w:t>
      </w:r>
      <w:proofErr w:type="gramEnd"/>
      <w:r>
        <w:rPr>
          <w:rFonts w:ascii="宋体" w:hAnsi="宋体" w:hint="eastAsia"/>
          <w:sz w:val="24"/>
        </w:rPr>
        <w:t>管理人管理的其他基金份额所对应资产净值的剩余部分；若为负数，则E取0。</w:t>
      </w:r>
    </w:p>
    <w:p w14:paraId="165DEEF3" w14:textId="77777777" w:rsidR="005A043F" w:rsidRDefault="0029200C">
      <w:pPr>
        <w:spacing w:line="360" w:lineRule="auto"/>
        <w:ind w:firstLineChars="200" w:firstLine="480"/>
        <w:rPr>
          <w:sz w:val="24"/>
        </w:rPr>
      </w:pPr>
      <w:r>
        <w:rPr>
          <w:rFonts w:hint="eastAsia"/>
          <w:sz w:val="24"/>
        </w:rPr>
        <w:t>基金管理费每日</w:t>
      </w:r>
      <w:r>
        <w:rPr>
          <w:rFonts w:hint="eastAsia"/>
          <w:bCs/>
          <w:sz w:val="24"/>
        </w:rPr>
        <w:t>计提</w:t>
      </w:r>
      <w:r>
        <w:rPr>
          <w:rFonts w:hint="eastAsia"/>
          <w:sz w:val="24"/>
        </w:rPr>
        <w:t>，按月支付</w:t>
      </w:r>
      <w:r>
        <w:rPr>
          <w:rFonts w:hint="eastAsia"/>
          <w:bCs/>
          <w:sz w:val="24"/>
        </w:rPr>
        <w:t>。由基金托管人根据与</w:t>
      </w:r>
      <w:r>
        <w:rPr>
          <w:rFonts w:hint="eastAsia"/>
          <w:sz w:val="24"/>
        </w:rPr>
        <w:t>基金管理人核对一致的</w:t>
      </w:r>
      <w:r>
        <w:rPr>
          <w:rFonts w:hint="eastAsia"/>
          <w:bCs/>
          <w:sz w:val="24"/>
        </w:rPr>
        <w:t>财务数据，自动在</w:t>
      </w:r>
      <w:r>
        <w:rPr>
          <w:rFonts w:hint="eastAsia"/>
          <w:sz w:val="24"/>
        </w:rPr>
        <w:t>次月月初</w:t>
      </w:r>
      <w:r>
        <w:rPr>
          <w:rFonts w:hint="eastAsia"/>
          <w:sz w:val="24"/>
        </w:rPr>
        <w:t>5</w:t>
      </w:r>
      <w:r>
        <w:rPr>
          <w:rFonts w:hint="eastAsia"/>
          <w:sz w:val="24"/>
        </w:rPr>
        <w:t>个工作日内、按照指定的账户路径进行资金支付</w:t>
      </w:r>
      <w:r>
        <w:rPr>
          <w:rFonts w:hint="eastAsia"/>
          <w:bCs/>
          <w:sz w:val="24"/>
        </w:rPr>
        <w:t>，基金管理人无需再出具资金划拨指令。</w:t>
      </w:r>
      <w:r>
        <w:rPr>
          <w:rFonts w:hint="eastAsia"/>
          <w:sz w:val="24"/>
        </w:rPr>
        <w:t>若遇法定节假日、休息日或不可抗力等，支付日期顺延。费用</w:t>
      </w:r>
      <w:r>
        <w:rPr>
          <w:rFonts w:hint="eastAsia"/>
          <w:bCs/>
          <w:sz w:val="24"/>
        </w:rPr>
        <w:t>自动</w:t>
      </w:r>
      <w:r>
        <w:rPr>
          <w:rFonts w:hint="eastAsia"/>
          <w:sz w:val="24"/>
        </w:rPr>
        <w:t>扣划后，基金管理人应进行核对，如发现数据不符，及时联系基金托管人协商解决。</w:t>
      </w:r>
    </w:p>
    <w:p w14:paraId="2CA49C5F" w14:textId="77777777" w:rsidR="005A043F" w:rsidRDefault="0029200C">
      <w:pPr>
        <w:spacing w:line="360" w:lineRule="auto"/>
        <w:ind w:firstLineChars="200" w:firstLine="480"/>
        <w:rPr>
          <w:rFonts w:ascii="宋体" w:hAnsi="宋体"/>
          <w:sz w:val="24"/>
        </w:rPr>
      </w:pPr>
      <w:r>
        <w:rPr>
          <w:rFonts w:ascii="宋体" w:hAnsi="宋体" w:hint="eastAsia"/>
          <w:sz w:val="24"/>
        </w:rPr>
        <w:t>（二）基金托管费的计提比例和计提方法</w:t>
      </w:r>
    </w:p>
    <w:p w14:paraId="420FB5EA" w14:textId="54DE5335" w:rsidR="005A043F" w:rsidRDefault="0029200C">
      <w:pPr>
        <w:spacing w:line="360" w:lineRule="auto"/>
        <w:ind w:firstLineChars="200" w:firstLine="480"/>
        <w:rPr>
          <w:rFonts w:ascii="宋体" w:hAnsi="宋体"/>
          <w:sz w:val="24"/>
        </w:rPr>
      </w:pPr>
      <w:r>
        <w:rPr>
          <w:rFonts w:ascii="宋体" w:hAnsi="宋体" w:hint="eastAsia"/>
          <w:sz w:val="24"/>
        </w:rPr>
        <w:t>本</w:t>
      </w:r>
      <w:proofErr w:type="gramStart"/>
      <w:r>
        <w:rPr>
          <w:rFonts w:ascii="宋体" w:hAnsi="宋体" w:hint="eastAsia"/>
          <w:sz w:val="24"/>
        </w:rPr>
        <w:t>基金基金</w:t>
      </w:r>
      <w:proofErr w:type="gramEnd"/>
      <w:r>
        <w:rPr>
          <w:rFonts w:ascii="宋体" w:hAnsi="宋体" w:hint="eastAsia"/>
          <w:sz w:val="24"/>
        </w:rPr>
        <w:t>财产中投资于本基金托管人托管的其他基金份额的部分不收取</w:t>
      </w:r>
      <w:r>
        <w:rPr>
          <w:rFonts w:ascii="宋体" w:hAnsi="宋体" w:hint="eastAsia"/>
          <w:sz w:val="24"/>
        </w:rPr>
        <w:lastRenderedPageBreak/>
        <w:t>托管费。在通常情况下，</w:t>
      </w:r>
      <w:r>
        <w:rPr>
          <w:rFonts w:ascii="宋体" w:hAnsi="宋体"/>
          <w:sz w:val="24"/>
        </w:rPr>
        <w:t>本基金的托管费按前一日基金资产净值</w:t>
      </w:r>
      <w:r>
        <w:rPr>
          <w:rFonts w:ascii="宋体" w:hAnsi="宋体" w:hint="eastAsia"/>
          <w:sz w:val="24"/>
        </w:rPr>
        <w:t>扣除基金资产中本基金托管人托管的其他基金份额所对应资产净值后剩余部分（若为负数，则取0）</w:t>
      </w:r>
      <w:r>
        <w:rPr>
          <w:rFonts w:ascii="宋体" w:hAnsi="宋体"/>
          <w:sz w:val="24"/>
        </w:rPr>
        <w:t>的</w:t>
      </w:r>
      <w:r>
        <w:rPr>
          <w:rFonts w:ascii="宋体" w:hAnsi="宋体" w:hint="eastAsia"/>
          <w:sz w:val="24"/>
        </w:rPr>
        <w:t>0</w:t>
      </w:r>
      <w:r>
        <w:rPr>
          <w:rFonts w:ascii="宋体" w:hAnsi="宋体"/>
          <w:sz w:val="24"/>
        </w:rPr>
        <w:t>.10%年费率计提。托管费的计算方法如下：</w:t>
      </w:r>
    </w:p>
    <w:p w14:paraId="6FC29DD5" w14:textId="77777777" w:rsidR="005A043F" w:rsidRDefault="0029200C">
      <w:pPr>
        <w:spacing w:line="360" w:lineRule="auto"/>
        <w:ind w:firstLineChars="200" w:firstLine="480"/>
        <w:rPr>
          <w:rFonts w:ascii="宋体" w:hAnsi="宋体"/>
          <w:sz w:val="24"/>
        </w:rPr>
      </w:pPr>
      <w:r>
        <w:rPr>
          <w:rFonts w:ascii="宋体" w:hAnsi="宋体"/>
          <w:sz w:val="24"/>
        </w:rPr>
        <w:t>H＝E×</w:t>
      </w:r>
      <w:r>
        <w:rPr>
          <w:rFonts w:ascii="宋体" w:hAnsi="宋体" w:hint="eastAsia"/>
          <w:sz w:val="24"/>
        </w:rPr>
        <w:t>0</w:t>
      </w:r>
      <w:r>
        <w:rPr>
          <w:rFonts w:ascii="宋体" w:hAnsi="宋体"/>
          <w:sz w:val="24"/>
        </w:rPr>
        <w:t>.10%÷当年天数</w:t>
      </w:r>
    </w:p>
    <w:p w14:paraId="182DEDB1" w14:textId="77777777" w:rsidR="005A043F" w:rsidRDefault="0029200C">
      <w:pPr>
        <w:spacing w:line="360" w:lineRule="auto"/>
        <w:ind w:firstLineChars="200" w:firstLine="480"/>
        <w:rPr>
          <w:rFonts w:ascii="宋体" w:hAnsi="宋体"/>
          <w:sz w:val="24"/>
        </w:rPr>
      </w:pPr>
      <w:r>
        <w:rPr>
          <w:rFonts w:ascii="宋体" w:hAnsi="宋体"/>
          <w:sz w:val="24"/>
        </w:rPr>
        <w:t>H为每日应计提的基金托管费</w:t>
      </w:r>
    </w:p>
    <w:p w14:paraId="350455C6" w14:textId="77777777" w:rsidR="005A043F" w:rsidRDefault="0029200C">
      <w:pPr>
        <w:spacing w:line="360" w:lineRule="auto"/>
        <w:ind w:firstLineChars="200" w:firstLine="480"/>
        <w:rPr>
          <w:rFonts w:ascii="宋体" w:hAnsi="宋体"/>
          <w:sz w:val="24"/>
        </w:rPr>
      </w:pPr>
      <w:r>
        <w:rPr>
          <w:rFonts w:ascii="宋体" w:hAnsi="宋体"/>
          <w:sz w:val="24"/>
        </w:rPr>
        <w:t>E为前一日的基金资产净值</w:t>
      </w:r>
      <w:r>
        <w:rPr>
          <w:rFonts w:ascii="宋体" w:hAnsi="宋体" w:hint="eastAsia"/>
          <w:sz w:val="24"/>
        </w:rPr>
        <w:t>扣除基金财产中本</w:t>
      </w:r>
      <w:proofErr w:type="gramStart"/>
      <w:r>
        <w:rPr>
          <w:rFonts w:ascii="宋体" w:hAnsi="宋体" w:hint="eastAsia"/>
          <w:sz w:val="24"/>
        </w:rPr>
        <w:t>基金基金</w:t>
      </w:r>
      <w:proofErr w:type="gramEnd"/>
      <w:r>
        <w:rPr>
          <w:rFonts w:ascii="宋体" w:hAnsi="宋体" w:hint="eastAsia"/>
          <w:sz w:val="24"/>
        </w:rPr>
        <w:t>托管人托管的其他基金份额所对应资产净值的剩余部分；若为负数，则E取0。</w:t>
      </w:r>
    </w:p>
    <w:p w14:paraId="025B68CC" w14:textId="77777777" w:rsidR="005A043F" w:rsidRDefault="0029200C">
      <w:pPr>
        <w:spacing w:line="360" w:lineRule="auto"/>
        <w:ind w:firstLineChars="200" w:firstLine="480"/>
        <w:rPr>
          <w:sz w:val="24"/>
        </w:rPr>
      </w:pPr>
      <w:r>
        <w:rPr>
          <w:rFonts w:hint="eastAsia"/>
          <w:sz w:val="24"/>
        </w:rPr>
        <w:t>基金托管费每日</w:t>
      </w:r>
      <w:r>
        <w:rPr>
          <w:rFonts w:hint="eastAsia"/>
          <w:bCs/>
          <w:sz w:val="24"/>
        </w:rPr>
        <w:t>计提</w:t>
      </w:r>
      <w:r>
        <w:rPr>
          <w:rFonts w:hint="eastAsia"/>
          <w:sz w:val="24"/>
        </w:rPr>
        <w:t>，按月支付</w:t>
      </w:r>
      <w:r>
        <w:rPr>
          <w:rFonts w:hint="eastAsia"/>
          <w:bCs/>
          <w:sz w:val="24"/>
        </w:rPr>
        <w:t>。由基金托管人根据与</w:t>
      </w:r>
      <w:r>
        <w:rPr>
          <w:rFonts w:hint="eastAsia"/>
          <w:sz w:val="24"/>
        </w:rPr>
        <w:t>基金管理人核对一致的</w:t>
      </w:r>
      <w:r>
        <w:rPr>
          <w:rFonts w:hint="eastAsia"/>
          <w:bCs/>
          <w:sz w:val="24"/>
        </w:rPr>
        <w:t>财务数据，自动在</w:t>
      </w:r>
      <w:r>
        <w:rPr>
          <w:rFonts w:hint="eastAsia"/>
          <w:sz w:val="24"/>
        </w:rPr>
        <w:t>次月月初</w:t>
      </w:r>
      <w:r>
        <w:rPr>
          <w:rFonts w:hint="eastAsia"/>
          <w:sz w:val="24"/>
        </w:rPr>
        <w:t>5</w:t>
      </w:r>
      <w:r>
        <w:rPr>
          <w:rFonts w:hint="eastAsia"/>
          <w:sz w:val="24"/>
        </w:rPr>
        <w:t>个工作日内、按照指定的账户路径进行资金支付</w:t>
      </w:r>
      <w:r>
        <w:rPr>
          <w:rFonts w:hint="eastAsia"/>
          <w:bCs/>
          <w:sz w:val="24"/>
        </w:rPr>
        <w:t>，基金管理人无需再出具资金划拨指令。</w:t>
      </w:r>
      <w:r>
        <w:rPr>
          <w:rFonts w:hint="eastAsia"/>
          <w:sz w:val="24"/>
        </w:rPr>
        <w:t>若遇法定节假日、休息日或不可抗力等，支付日期顺延。费用</w:t>
      </w:r>
      <w:r>
        <w:rPr>
          <w:rFonts w:hint="eastAsia"/>
          <w:bCs/>
          <w:sz w:val="24"/>
        </w:rPr>
        <w:t>自动</w:t>
      </w:r>
      <w:r>
        <w:rPr>
          <w:rFonts w:hint="eastAsia"/>
          <w:sz w:val="24"/>
        </w:rPr>
        <w:t>扣划后，基金管理人应进行核对，如发现数据不符，及时联系基金托管人协商解决。</w:t>
      </w:r>
    </w:p>
    <w:p w14:paraId="07D001C0" w14:textId="77777777" w:rsidR="005A043F" w:rsidRDefault="0029200C">
      <w:pPr>
        <w:spacing w:line="360" w:lineRule="auto"/>
        <w:ind w:firstLineChars="200" w:firstLine="480"/>
        <w:rPr>
          <w:rFonts w:ascii="宋体" w:hAnsi="宋体"/>
          <w:sz w:val="24"/>
        </w:rPr>
      </w:pPr>
      <w:r>
        <w:rPr>
          <w:rFonts w:ascii="宋体" w:hAnsi="宋体" w:hint="eastAsia"/>
          <w:sz w:val="24"/>
        </w:rPr>
        <w:t>（三）销售服务费的计提比例和计提方法</w:t>
      </w:r>
    </w:p>
    <w:p w14:paraId="51DFD999" w14:textId="77777777" w:rsidR="005A043F" w:rsidRDefault="0029200C">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Pr>
          <w:bCs/>
          <w:sz w:val="24"/>
        </w:rPr>
        <w:t>2</w:t>
      </w:r>
      <w:r>
        <w:rPr>
          <w:rFonts w:hint="eastAsia"/>
          <w:bCs/>
          <w:sz w:val="24"/>
        </w:rPr>
        <w:t>0%</w:t>
      </w:r>
      <w:r>
        <w:rPr>
          <w:rFonts w:hint="eastAsia"/>
          <w:bCs/>
          <w:sz w:val="24"/>
        </w:rPr>
        <w:t>，按前一日</w:t>
      </w:r>
      <w:r>
        <w:rPr>
          <w:rFonts w:hint="eastAsia"/>
          <w:bCs/>
          <w:sz w:val="24"/>
        </w:rPr>
        <w:t>C</w:t>
      </w:r>
      <w:r>
        <w:rPr>
          <w:rFonts w:hint="eastAsia"/>
          <w:bCs/>
          <w:sz w:val="24"/>
        </w:rPr>
        <w:t>类基金份额的基金资产净值的</w:t>
      </w:r>
      <w:r>
        <w:rPr>
          <w:rFonts w:hint="eastAsia"/>
          <w:bCs/>
          <w:sz w:val="24"/>
        </w:rPr>
        <w:t>0.</w:t>
      </w:r>
      <w:r>
        <w:rPr>
          <w:bCs/>
          <w:sz w:val="24"/>
        </w:rPr>
        <w:t>2</w:t>
      </w:r>
      <w:r>
        <w:rPr>
          <w:rFonts w:hint="eastAsia"/>
          <w:bCs/>
          <w:sz w:val="24"/>
        </w:rPr>
        <w:t>0%</w:t>
      </w:r>
      <w:r>
        <w:rPr>
          <w:rFonts w:hint="eastAsia"/>
          <w:bCs/>
          <w:sz w:val="24"/>
        </w:rPr>
        <w:t>年费率计提。</w:t>
      </w:r>
    </w:p>
    <w:p w14:paraId="13ABB1EB" w14:textId="77777777" w:rsidR="005A043F" w:rsidRDefault="0029200C">
      <w:pPr>
        <w:spacing w:line="360" w:lineRule="auto"/>
        <w:ind w:firstLineChars="200" w:firstLine="480"/>
        <w:rPr>
          <w:bCs/>
          <w:sz w:val="24"/>
        </w:rPr>
      </w:pPr>
      <w:r>
        <w:rPr>
          <w:rFonts w:hint="eastAsia"/>
          <w:bCs/>
          <w:sz w:val="24"/>
        </w:rPr>
        <w:t>销售服务费的计算方法如下：</w:t>
      </w:r>
    </w:p>
    <w:p w14:paraId="3CD54BC7" w14:textId="77777777" w:rsidR="005A043F" w:rsidRDefault="0029200C">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Pr>
          <w:bCs/>
          <w:sz w:val="24"/>
        </w:rPr>
        <w:t>2</w:t>
      </w:r>
      <w:r>
        <w:rPr>
          <w:rFonts w:hint="eastAsia"/>
          <w:bCs/>
          <w:sz w:val="24"/>
        </w:rPr>
        <w:t>0%</w:t>
      </w:r>
      <w:r>
        <w:rPr>
          <w:rFonts w:hint="eastAsia"/>
          <w:bCs/>
          <w:sz w:val="24"/>
        </w:rPr>
        <w:t>÷当年天数</w:t>
      </w:r>
    </w:p>
    <w:p w14:paraId="5DC8EF1A" w14:textId="77777777" w:rsidR="005A043F" w:rsidRDefault="0029200C">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0089A22C" w14:textId="77777777" w:rsidR="005A043F" w:rsidRDefault="0029200C">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3B1F30C6" w14:textId="77777777" w:rsidR="005A043F" w:rsidRDefault="0029200C">
      <w:pPr>
        <w:spacing w:line="360" w:lineRule="auto"/>
        <w:ind w:firstLineChars="200" w:firstLine="480"/>
        <w:rPr>
          <w:bCs/>
          <w:sz w:val="24"/>
        </w:rPr>
      </w:pPr>
      <w:r>
        <w:rPr>
          <w:rFonts w:hint="eastAsia"/>
          <w:bCs/>
          <w:sz w:val="24"/>
        </w:rPr>
        <w:t>销售服务费每日计提。</w:t>
      </w:r>
    </w:p>
    <w:p w14:paraId="369EFE03" w14:textId="77777777" w:rsidR="005A043F" w:rsidRDefault="0029200C">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）基金管理人处保有的</w:t>
      </w:r>
      <w:r>
        <w:rPr>
          <w:rFonts w:hint="eastAsia"/>
          <w:bCs/>
          <w:sz w:val="24"/>
        </w:rPr>
        <w:t>C</w:t>
      </w:r>
      <w:r>
        <w:rPr>
          <w:rFonts w:hint="eastAsia"/>
          <w:bCs/>
          <w:sz w:val="24"/>
        </w:rPr>
        <w:t>类基金份额</w:t>
      </w:r>
    </w:p>
    <w:p w14:paraId="0C83957B" w14:textId="77777777" w:rsidR="005A043F" w:rsidRDefault="0029200C">
      <w:pPr>
        <w:spacing w:line="360" w:lineRule="auto"/>
        <w:ind w:firstLineChars="200" w:firstLine="480"/>
        <w:rPr>
          <w:bCs/>
          <w:sz w:val="24"/>
        </w:rPr>
      </w:pPr>
      <w:r>
        <w:rPr>
          <w:rFonts w:hint="eastAsia"/>
          <w:bCs/>
          <w:sz w:val="24"/>
        </w:rPr>
        <w:t>投资者在基金管理人处保有的</w:t>
      </w:r>
      <w:r>
        <w:rPr>
          <w:rFonts w:hint="eastAsia"/>
          <w:bCs/>
          <w:sz w:val="24"/>
        </w:rPr>
        <w:t>C</w:t>
      </w:r>
      <w:r>
        <w:rPr>
          <w:rFonts w:hint="eastAsia"/>
          <w:bCs/>
          <w:sz w:val="24"/>
        </w:rPr>
        <w:t>类基金份额，将先行收取相应的销售服务费，但并不实际支付给相关机构。当投资者赎回或基金合同终止的情形发生时，该部分费用随</w:t>
      </w:r>
      <w:proofErr w:type="gramStart"/>
      <w:r>
        <w:rPr>
          <w:rFonts w:hint="eastAsia"/>
          <w:bCs/>
          <w:sz w:val="24"/>
        </w:rPr>
        <w:t>赎回款或清算款</w:t>
      </w:r>
      <w:proofErr w:type="gramEnd"/>
      <w:r>
        <w:rPr>
          <w:rFonts w:hint="eastAsia"/>
          <w:bCs/>
          <w:sz w:val="24"/>
        </w:rPr>
        <w:t>一并返还给投资者。</w:t>
      </w:r>
    </w:p>
    <w:p w14:paraId="2F0A41BD" w14:textId="77777777" w:rsidR="005A043F" w:rsidRDefault="0029200C">
      <w:pPr>
        <w:spacing w:line="360" w:lineRule="auto"/>
        <w:ind w:firstLineChars="200" w:firstLine="480"/>
        <w:rPr>
          <w:bCs/>
          <w:sz w:val="24"/>
        </w:rPr>
      </w:pPr>
      <w:r>
        <w:rPr>
          <w:rFonts w:hint="eastAsia"/>
          <w:bCs/>
          <w:sz w:val="24"/>
        </w:rPr>
        <w:lastRenderedPageBreak/>
        <w:t>基金销售子公司销售母公司所管理基金的，按照前述要求执行。</w:t>
      </w:r>
    </w:p>
    <w:p w14:paraId="3788B006" w14:textId="77777777" w:rsidR="005A043F" w:rsidRDefault="0029200C">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）其他销售机构处保有的</w:t>
      </w:r>
      <w:r>
        <w:rPr>
          <w:rFonts w:hint="eastAsia"/>
          <w:bCs/>
          <w:sz w:val="24"/>
        </w:rPr>
        <w:t>C</w:t>
      </w:r>
      <w:r>
        <w:rPr>
          <w:rFonts w:hint="eastAsia"/>
          <w:bCs/>
          <w:sz w:val="24"/>
        </w:rPr>
        <w:t>类基金份额</w:t>
      </w:r>
    </w:p>
    <w:p w14:paraId="11D5B125" w14:textId="702B00C7" w:rsidR="005A043F" w:rsidRDefault="0029200C">
      <w:pPr>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天）的</w:t>
      </w:r>
      <w:r>
        <w:rPr>
          <w:rFonts w:hint="eastAsia"/>
          <w:bCs/>
          <w:sz w:val="24"/>
        </w:rPr>
        <w:t>C</w:t>
      </w:r>
      <w:r>
        <w:rPr>
          <w:rFonts w:hint="eastAsia"/>
          <w:bCs/>
          <w:sz w:val="24"/>
        </w:rPr>
        <w:t>类基金份额收取的销售服务费，逐日累计至每个月月末，按月支付，由基金托管人于次月月初</w:t>
      </w:r>
      <w:r>
        <w:rPr>
          <w:rFonts w:hint="eastAsia"/>
          <w:bCs/>
          <w:sz w:val="24"/>
        </w:rPr>
        <w:t>5</w:t>
      </w:r>
      <w:r>
        <w:rPr>
          <w:rFonts w:hint="eastAsia"/>
          <w:bCs/>
          <w:sz w:val="24"/>
        </w:rPr>
        <w:t>个工作日内按照与基金管理人协商一致的方式从基金财产中一次性支付。若遇法定节假日、休息日或不可抗力等，支付日期顺延。费用扣划后，基金管理人应进行核对，如发现数据不符，及时联系基金托管人协商解决。</w:t>
      </w:r>
    </w:p>
    <w:p w14:paraId="7C6AA628" w14:textId="77777777" w:rsidR="005A043F" w:rsidRDefault="0029200C">
      <w:pPr>
        <w:spacing w:line="360" w:lineRule="auto"/>
        <w:ind w:firstLineChars="200" w:firstLine="480"/>
        <w:rPr>
          <w:bCs/>
          <w:sz w:val="24"/>
        </w:rPr>
      </w:pPr>
      <w:r>
        <w:rPr>
          <w:rFonts w:hint="eastAsia"/>
          <w:bCs/>
          <w:sz w:val="24"/>
        </w:rPr>
        <w:t>对于投资者持续持有期限超过一年（即</w:t>
      </w:r>
      <w:r>
        <w:rPr>
          <w:rFonts w:hint="eastAsia"/>
          <w:bCs/>
          <w:sz w:val="24"/>
        </w:rPr>
        <w:t>365</w:t>
      </w:r>
      <w:r>
        <w:rPr>
          <w:rFonts w:hint="eastAsia"/>
          <w:bCs/>
          <w:sz w:val="24"/>
        </w:rPr>
        <w:t>天）的</w:t>
      </w:r>
      <w:r>
        <w:rPr>
          <w:rFonts w:hint="eastAsia"/>
          <w:bCs/>
          <w:sz w:val="24"/>
        </w:rPr>
        <w:t>C</w:t>
      </w:r>
      <w:r>
        <w:rPr>
          <w:rFonts w:hint="eastAsia"/>
          <w:bCs/>
          <w:sz w:val="24"/>
        </w:rPr>
        <w:t>类基金份额，超过一年后将继续先行收取销售服务费，该部分销售服务费不实际支付给相关机构，当投资者赎回或基金合同终止的情形发生时，该部分费用随</w:t>
      </w:r>
      <w:proofErr w:type="gramStart"/>
      <w:r>
        <w:rPr>
          <w:rFonts w:hint="eastAsia"/>
          <w:bCs/>
          <w:sz w:val="24"/>
        </w:rPr>
        <w:t>赎回款或清算款</w:t>
      </w:r>
      <w:proofErr w:type="gramEnd"/>
      <w:r>
        <w:rPr>
          <w:rFonts w:hint="eastAsia"/>
          <w:bCs/>
          <w:sz w:val="24"/>
        </w:rPr>
        <w:t>一并返还给投资者。</w:t>
      </w:r>
    </w:p>
    <w:p w14:paraId="227546BE" w14:textId="77777777" w:rsidR="005A043F" w:rsidRDefault="0029200C">
      <w:pPr>
        <w:spacing w:line="360" w:lineRule="auto"/>
        <w:ind w:firstLineChars="200" w:firstLine="480"/>
        <w:rPr>
          <w:rFonts w:ascii="宋体" w:hAnsi="宋体"/>
          <w:sz w:val="24"/>
        </w:rPr>
      </w:pPr>
      <w:r>
        <w:rPr>
          <w:rFonts w:ascii="宋体" w:hAnsi="宋体" w:hint="eastAsia"/>
          <w:sz w:val="24"/>
        </w:rPr>
        <w:t>销售服务费计提后按规定收取或返还投资者的金额以登记机构的计算结果为准，基金托管人无需复核。</w:t>
      </w:r>
    </w:p>
    <w:p w14:paraId="73DA6119" w14:textId="3CC9BB0B" w:rsidR="005A043F" w:rsidRDefault="0029200C">
      <w:pPr>
        <w:spacing w:line="360" w:lineRule="auto"/>
        <w:ind w:firstLineChars="200" w:firstLine="480"/>
        <w:rPr>
          <w:bCs/>
          <w:color w:val="000000"/>
          <w:sz w:val="24"/>
        </w:rPr>
      </w:pPr>
      <w:r>
        <w:rPr>
          <w:rFonts w:hint="eastAsia"/>
          <w:bCs/>
          <w:sz w:val="24"/>
        </w:rPr>
        <w:t>在不违反法律法规、基金合同的约定的情况下，基金管理人可根据基金实际运作情况和市场环境变化，经履行适当程序后，对本基金的销售服务费的计提或收取方式进行调整，无需召开基金份额持有人大会。</w:t>
      </w:r>
    </w:p>
    <w:p w14:paraId="1BCBF4F2" w14:textId="77777777" w:rsidR="005A043F" w:rsidRDefault="0029200C">
      <w:pPr>
        <w:spacing w:line="360" w:lineRule="auto"/>
        <w:ind w:firstLineChars="200" w:firstLine="480"/>
      </w:pPr>
      <w:r>
        <w:rPr>
          <w:rFonts w:ascii="宋体" w:hAnsi="宋体" w:hint="eastAsia"/>
          <w:sz w:val="24"/>
        </w:rPr>
        <w:t>（四）</w:t>
      </w:r>
      <w:r w:rsidRPr="00324CB0">
        <w:rPr>
          <w:rFonts w:ascii="宋体" w:hAnsi="宋体" w:hint="eastAsia"/>
          <w:sz w:val="24"/>
        </w:rPr>
        <w:t>列入基金费用的项目</w:t>
      </w:r>
    </w:p>
    <w:p w14:paraId="32C4DDC7" w14:textId="5FEBC269" w:rsidR="005A043F" w:rsidRDefault="0029200C">
      <w:pPr>
        <w:spacing w:line="360" w:lineRule="auto"/>
        <w:ind w:firstLineChars="200" w:firstLine="480"/>
        <w:rPr>
          <w:rFonts w:ascii="宋体" w:hAnsi="宋体"/>
          <w:sz w:val="24"/>
        </w:rPr>
      </w:pPr>
      <w:r>
        <w:rPr>
          <w:rFonts w:ascii="宋体" w:hAnsi="宋体" w:hint="eastAsia"/>
          <w:sz w:val="24"/>
        </w:rPr>
        <w:t>证券、期货等交易费用</w:t>
      </w:r>
      <w:bookmarkEnd w:id="142"/>
      <w:r>
        <w:rPr>
          <w:rFonts w:ascii="宋体" w:hAnsi="宋体" w:hint="eastAsia"/>
          <w:sz w:val="24"/>
        </w:rPr>
        <w:t>、《基金合同》生效后与基金相关的信息披露费用、基金份额持有人大会费用、《基金合同》生效后与基金相关的会计师费、律师费和诉讼费或仲裁费、基金的银行汇划费用、基金的开户费用、账户维护费用、因投资港股通标的股票而产生的各项费用、被投资基金的申购、赎回费用等销售费用（但法律法规禁止从基金财产中列支或基金合同另有约定的除外）、按照国家有关规定和基金合同约定可以在基金财产中列支的其他费用等根据有关法规、</w:t>
      </w:r>
      <w:r>
        <w:rPr>
          <w:rFonts w:hint="eastAsia"/>
        </w:rPr>
        <w:t>《</w:t>
      </w:r>
      <w:r>
        <w:rPr>
          <w:rFonts w:ascii="宋体" w:hAnsi="宋体" w:hint="eastAsia"/>
          <w:sz w:val="24"/>
        </w:rPr>
        <w:t>基金合同》及相应协议的规定，由基金托管人按基金管理人的划款指令并根据费用实际支出金额支付，列入当期基金费用。</w:t>
      </w:r>
    </w:p>
    <w:p w14:paraId="63B88356" w14:textId="77777777" w:rsidR="005A043F" w:rsidRDefault="0029200C">
      <w:pPr>
        <w:spacing w:line="360" w:lineRule="auto"/>
        <w:ind w:firstLineChars="200" w:firstLine="480"/>
      </w:pPr>
      <w:r>
        <w:rPr>
          <w:rFonts w:ascii="宋体" w:hAnsi="宋体" w:hint="eastAsia"/>
          <w:sz w:val="24"/>
        </w:rPr>
        <w:t>基金管理人运用本基金财产申购其自身管理的其他基金的（ETF</w:t>
      </w:r>
      <w:r>
        <w:rPr>
          <w:rFonts w:ascii="宋体" w:hAnsi="宋体"/>
          <w:sz w:val="24"/>
        </w:rPr>
        <w:t xml:space="preserve"> </w:t>
      </w:r>
      <w:r>
        <w:rPr>
          <w:rFonts w:ascii="宋体" w:hAnsi="宋体" w:hint="eastAsia"/>
          <w:sz w:val="24"/>
        </w:rPr>
        <w:t>除外），应</w:t>
      </w:r>
      <w:r>
        <w:rPr>
          <w:rFonts w:ascii="宋体" w:hAnsi="宋体" w:hint="eastAsia"/>
          <w:sz w:val="24"/>
        </w:rPr>
        <w:lastRenderedPageBreak/>
        <w:t>当通过直销渠道申购且不得收取申购费、赎回费（按照相关法规、基金招募说明书约定应当收取，并记入基金财产的赎回费用除外）、销售服务费等销售费用。</w:t>
      </w:r>
    </w:p>
    <w:p w14:paraId="081BAF26" w14:textId="77777777" w:rsidR="005A043F" w:rsidRDefault="0029200C">
      <w:pPr>
        <w:spacing w:line="360" w:lineRule="auto"/>
        <w:ind w:firstLineChars="200" w:firstLine="480"/>
        <w:rPr>
          <w:rFonts w:ascii="宋体" w:hAnsi="宋体"/>
          <w:sz w:val="24"/>
        </w:rPr>
      </w:pPr>
      <w:r>
        <w:rPr>
          <w:rFonts w:ascii="宋体" w:hAnsi="宋体" w:hint="eastAsia"/>
          <w:sz w:val="24"/>
        </w:rPr>
        <w:t>（五）不列入基金费用的项目</w:t>
      </w:r>
    </w:p>
    <w:p w14:paraId="291AF416"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与基金托管人因未履行或未完全履行义务导致的费用支出或基金财产的损失、《基金合同》生效前的相关费用、处理与基金运作无关的事项发生的费用、其他根据相关法律法规，以及中国证监会的有关规定不得列入基金费用的项目不列入基金费用。</w:t>
      </w:r>
    </w:p>
    <w:p w14:paraId="0052C9A8" w14:textId="3C7602B8" w:rsidR="005A043F" w:rsidRDefault="0029200C">
      <w:pPr>
        <w:spacing w:line="360" w:lineRule="auto"/>
        <w:ind w:firstLineChars="200" w:firstLine="480"/>
        <w:rPr>
          <w:rFonts w:ascii="宋体" w:hAnsi="宋体"/>
          <w:sz w:val="24"/>
        </w:rPr>
      </w:pPr>
      <w:r>
        <w:rPr>
          <w:rFonts w:ascii="宋体" w:hAnsi="宋体" w:hint="eastAsia"/>
          <w:sz w:val="24"/>
        </w:rPr>
        <w:t>（六）基金管理费、基金托管费的复核程序基金托管人对基金管理人计提的基金管理费、基金托管费等，根据本协议和《基金合同》的有关约定进行复核。</w:t>
      </w:r>
    </w:p>
    <w:p w14:paraId="030EDCD2" w14:textId="77777777" w:rsidR="005A043F" w:rsidRDefault="0029200C">
      <w:pPr>
        <w:spacing w:line="360" w:lineRule="auto"/>
        <w:ind w:firstLineChars="200" w:firstLine="480"/>
        <w:rPr>
          <w:rFonts w:ascii="宋体" w:hAnsi="宋体"/>
          <w:sz w:val="24"/>
        </w:rPr>
      </w:pPr>
      <w:r>
        <w:rPr>
          <w:rFonts w:ascii="宋体" w:hAnsi="宋体" w:hint="eastAsia"/>
          <w:sz w:val="24"/>
        </w:rPr>
        <w:t>（七）实施</w:t>
      </w:r>
      <w:proofErr w:type="gramStart"/>
      <w:r>
        <w:rPr>
          <w:rFonts w:ascii="宋体" w:hAnsi="宋体" w:hint="eastAsia"/>
          <w:sz w:val="24"/>
        </w:rPr>
        <w:t>侧袋机制</w:t>
      </w:r>
      <w:proofErr w:type="gramEnd"/>
      <w:r>
        <w:rPr>
          <w:rFonts w:ascii="宋体" w:hAnsi="宋体" w:hint="eastAsia"/>
          <w:sz w:val="24"/>
        </w:rPr>
        <w:t>期间的基金费用</w:t>
      </w:r>
    </w:p>
    <w:p w14:paraId="6C3A0CE6" w14:textId="77777777" w:rsidR="005A043F" w:rsidRDefault="0029200C">
      <w:pPr>
        <w:spacing w:line="360" w:lineRule="auto"/>
        <w:ind w:firstLineChars="200" w:firstLine="480"/>
        <w:rPr>
          <w:rFonts w:ascii="宋体" w:hAnsi="宋体"/>
          <w:sz w:val="24"/>
        </w:rPr>
      </w:pPr>
      <w:r>
        <w:rPr>
          <w:rFonts w:ascii="宋体" w:hAnsi="宋体" w:hint="eastAsia"/>
          <w:sz w:val="24"/>
        </w:rPr>
        <w:t>本基金实施</w:t>
      </w:r>
      <w:proofErr w:type="gramStart"/>
      <w:r>
        <w:rPr>
          <w:rFonts w:ascii="宋体" w:hAnsi="宋体" w:hint="eastAsia"/>
          <w:sz w:val="24"/>
        </w:rPr>
        <w:t>侧袋机制</w:t>
      </w:r>
      <w:proofErr w:type="gramEnd"/>
      <w:r>
        <w:rPr>
          <w:rFonts w:ascii="宋体" w:hAnsi="宋体" w:hint="eastAsia"/>
          <w:sz w:val="24"/>
        </w:rPr>
        <w:t>的，</w:t>
      </w:r>
      <w:proofErr w:type="gramStart"/>
      <w:r>
        <w:rPr>
          <w:rFonts w:ascii="宋体" w:hAnsi="宋体" w:hint="eastAsia"/>
          <w:sz w:val="24"/>
        </w:rPr>
        <w:t>与侧袋账户</w:t>
      </w:r>
      <w:proofErr w:type="gramEnd"/>
      <w:r>
        <w:rPr>
          <w:rFonts w:ascii="宋体" w:hAnsi="宋体" w:hint="eastAsia"/>
          <w:sz w:val="24"/>
        </w:rPr>
        <w:t>有关的费用可以</w:t>
      </w:r>
      <w:proofErr w:type="gramStart"/>
      <w:r>
        <w:rPr>
          <w:rFonts w:ascii="宋体" w:hAnsi="宋体" w:hint="eastAsia"/>
          <w:sz w:val="24"/>
        </w:rPr>
        <w:t>从侧袋账户</w:t>
      </w:r>
      <w:proofErr w:type="gramEnd"/>
      <w:r>
        <w:rPr>
          <w:rFonts w:ascii="宋体" w:hAnsi="宋体" w:hint="eastAsia"/>
          <w:sz w:val="24"/>
        </w:rPr>
        <w:t>中列支，但应</w:t>
      </w:r>
      <w:proofErr w:type="gramStart"/>
      <w:r>
        <w:rPr>
          <w:rFonts w:ascii="宋体" w:hAnsi="宋体" w:hint="eastAsia"/>
          <w:sz w:val="24"/>
        </w:rPr>
        <w:t>待侧袋</w:t>
      </w:r>
      <w:proofErr w:type="gramEnd"/>
      <w:r>
        <w:rPr>
          <w:rFonts w:ascii="宋体" w:hAnsi="宋体" w:hint="eastAsia"/>
          <w:sz w:val="24"/>
        </w:rPr>
        <w:t>账户资产变现后方可列支，有关费用可酌情收取或减免，但不得收取管理费，详见招募说明书的规定。</w:t>
      </w:r>
    </w:p>
    <w:p w14:paraId="0A0DCD01" w14:textId="77777777" w:rsidR="005A043F" w:rsidRDefault="0029200C">
      <w:pPr>
        <w:spacing w:line="360" w:lineRule="auto"/>
        <w:ind w:firstLineChars="200" w:firstLine="480"/>
        <w:rPr>
          <w:rFonts w:ascii="宋体" w:hAnsi="宋体"/>
          <w:sz w:val="24"/>
        </w:rPr>
      </w:pPr>
      <w:r>
        <w:rPr>
          <w:rFonts w:ascii="宋体" w:hAnsi="宋体" w:hint="eastAsia"/>
          <w:sz w:val="24"/>
        </w:rPr>
        <w:t>（八）如果基金托管人发现基金管理人从基金财产中列支的费用，不符合有关法律法规的有关规定和《基金合同》、本协议的约定，有权要求基金管理人做出书面解释。如果基金托管人认为基金管理人无正当或合理的理由，可以拒绝支付，但应及时告知基金管理人。</w:t>
      </w:r>
    </w:p>
    <w:p w14:paraId="4E7E63EC"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43" w:name="_Toc124749947"/>
      <w:bookmarkStart w:id="144" w:name="_Toc125361084"/>
      <w:bookmarkStart w:id="145" w:name="_Toc140002347"/>
      <w:r>
        <w:rPr>
          <w:rFonts w:ascii="宋体" w:hAnsi="宋体" w:cs="Arial" w:hint="eastAsia"/>
          <w:sz w:val="30"/>
        </w:rPr>
        <w:t>基金份额持有人名册的保管</w:t>
      </w:r>
      <w:bookmarkEnd w:id="143"/>
      <w:bookmarkEnd w:id="144"/>
      <w:bookmarkEnd w:id="145"/>
    </w:p>
    <w:p w14:paraId="61CC364A" w14:textId="2AF6AACD" w:rsidR="005A043F" w:rsidRDefault="0029200C">
      <w:pPr>
        <w:spacing w:line="360" w:lineRule="auto"/>
        <w:ind w:firstLineChars="200" w:firstLine="480"/>
        <w:rPr>
          <w:rFonts w:ascii="宋体" w:hAnsi="宋体"/>
          <w:sz w:val="24"/>
        </w:rPr>
      </w:pPr>
      <w:r>
        <w:rPr>
          <w:rFonts w:ascii="宋体" w:hAnsi="宋体"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不低于法律法规规定的最低期限。如不能妥善保管，则分别按相关法律法规承担责任。</w:t>
      </w:r>
    </w:p>
    <w:p w14:paraId="7A535482" w14:textId="5067C991" w:rsidR="005A043F" w:rsidRDefault="0029200C">
      <w:pPr>
        <w:spacing w:line="360" w:lineRule="auto"/>
        <w:ind w:firstLineChars="200" w:firstLine="480"/>
        <w:rPr>
          <w:rFonts w:ascii="宋体" w:hAnsi="宋体"/>
          <w:sz w:val="24"/>
        </w:rPr>
      </w:pPr>
      <w:r>
        <w:rPr>
          <w:rFonts w:ascii="宋体" w:hAnsi="宋体" w:hint="eastAsia"/>
          <w:sz w:val="24"/>
        </w:rPr>
        <w:t>在基金托管人要求或编制中期报告和年度报告前，基金管理人应将有关资料送交基金托管人，不得无故拒绝或延误提供，并保证其的真实性、准确性和完整</w:t>
      </w:r>
      <w:r>
        <w:rPr>
          <w:rFonts w:ascii="宋体" w:hAnsi="宋体" w:hint="eastAsia"/>
          <w:sz w:val="24"/>
        </w:rPr>
        <w:lastRenderedPageBreak/>
        <w:t>性。基金托管人以电子版形式妥善保管基金份额持有人名册，不得将所保管的基金份额持有人名册用于基金托管业务以外的其他用途，并应遵守保密义务，法律法规另有规定或有权机关另有要求的除外。</w:t>
      </w:r>
      <w:bookmarkStart w:id="146" w:name="_Hlt112616834"/>
      <w:bookmarkEnd w:id="146"/>
    </w:p>
    <w:p w14:paraId="023B8C21"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47" w:name="_Toc124749948"/>
      <w:bookmarkStart w:id="148" w:name="_Toc140002348"/>
      <w:bookmarkStart w:id="149" w:name="_Toc125361085"/>
      <w:r>
        <w:rPr>
          <w:rFonts w:ascii="宋体" w:hAnsi="宋体" w:cs="Arial" w:hint="eastAsia"/>
          <w:sz w:val="30"/>
        </w:rPr>
        <w:t>基金有关文件和档案的保存</w:t>
      </w:r>
      <w:bookmarkEnd w:id="147"/>
      <w:bookmarkEnd w:id="148"/>
      <w:bookmarkEnd w:id="149"/>
    </w:p>
    <w:p w14:paraId="417B7F4B"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基金托管人按各自职责完整保存原始凭证、记账凭证、基金账册、交易记录和重要合同等，保存期限不少于法律法规规定的最低年限，对相关信息负有保密义务，但司法强制检查情形及法律法规规定的其它情形除外。其中，基金管理人应保存基金财产管理业务活动的记录、账册、报表和其他相关资料，基金托管人应保存基金托管业务活动的记录、账册、报表和其他相关资料。</w:t>
      </w:r>
    </w:p>
    <w:p w14:paraId="39CF27A8" w14:textId="2AF11C51" w:rsidR="005A043F" w:rsidRDefault="0029200C">
      <w:pPr>
        <w:spacing w:line="360" w:lineRule="auto"/>
        <w:ind w:firstLineChars="200" w:firstLine="480"/>
        <w:rPr>
          <w:rFonts w:ascii="宋体" w:hAnsi="宋体"/>
          <w:sz w:val="24"/>
        </w:rPr>
      </w:pPr>
      <w:r>
        <w:rPr>
          <w:rFonts w:ascii="宋体" w:hAnsi="宋体" w:hint="eastAsia"/>
          <w:sz w:val="24"/>
        </w:rPr>
        <w:t>基金管理人签署重大合同文本后，应及时将合同文本送达基金托管人处，但本协议另有约定的除外。基金管理人应及时将与本基金账务处理、资金划拨等有关的合同、协议发送给基金托管人。</w:t>
      </w:r>
    </w:p>
    <w:p w14:paraId="5B31267B" w14:textId="77777777" w:rsidR="005A043F" w:rsidRDefault="0029200C">
      <w:pPr>
        <w:spacing w:line="360" w:lineRule="auto"/>
        <w:ind w:firstLineChars="200" w:firstLine="480"/>
        <w:rPr>
          <w:rFonts w:ascii="宋体" w:hAnsi="宋体"/>
          <w:sz w:val="24"/>
        </w:rPr>
      </w:pPr>
      <w:r>
        <w:rPr>
          <w:rFonts w:ascii="宋体" w:hAnsi="宋体" w:hint="eastAsia"/>
          <w:sz w:val="24"/>
        </w:rPr>
        <w:t>基金管理人或基金托管人变更后，未变更的一方有义务协助接任人</w:t>
      </w:r>
      <w:r>
        <w:rPr>
          <w:rFonts w:ascii="宋体" w:hAnsi="宋体"/>
          <w:sz w:val="24"/>
        </w:rPr>
        <w:t>接收</w:t>
      </w:r>
      <w:r>
        <w:rPr>
          <w:rFonts w:ascii="宋体" w:hAnsi="宋体" w:hint="eastAsia"/>
          <w:sz w:val="24"/>
        </w:rPr>
        <w:t>基金的有关文件。</w:t>
      </w:r>
    </w:p>
    <w:p w14:paraId="079E1D58"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50" w:name="_Toc123626180"/>
      <w:bookmarkStart w:id="151" w:name="_Toc124749236"/>
      <w:bookmarkStart w:id="152" w:name="_Toc140002349"/>
      <w:bookmarkStart w:id="153" w:name="_Toc125361086"/>
      <w:bookmarkStart w:id="154" w:name="_Toc124749949"/>
      <w:r>
        <w:rPr>
          <w:rFonts w:ascii="宋体" w:hAnsi="宋体" w:cs="Arial" w:hint="eastAsia"/>
          <w:sz w:val="30"/>
        </w:rPr>
        <w:t>基金管理人和基金托管</w:t>
      </w:r>
      <w:bookmarkEnd w:id="150"/>
      <w:r>
        <w:rPr>
          <w:rFonts w:ascii="宋体" w:hAnsi="宋体" w:cs="Arial" w:hint="eastAsia"/>
          <w:sz w:val="30"/>
        </w:rPr>
        <w:t>人的更换</w:t>
      </w:r>
      <w:bookmarkEnd w:id="151"/>
      <w:bookmarkEnd w:id="152"/>
      <w:bookmarkEnd w:id="153"/>
      <w:bookmarkEnd w:id="154"/>
    </w:p>
    <w:p w14:paraId="57D87895" w14:textId="77777777" w:rsidR="005A043F" w:rsidRDefault="0029200C">
      <w:pPr>
        <w:spacing w:line="360" w:lineRule="auto"/>
        <w:ind w:firstLineChars="200" w:firstLine="480"/>
        <w:rPr>
          <w:rFonts w:ascii="宋体" w:hAnsi="宋体"/>
          <w:sz w:val="24"/>
        </w:rPr>
      </w:pPr>
      <w:bookmarkStart w:id="155" w:name="_Toc22454474"/>
      <w:bookmarkStart w:id="156" w:name="_Toc48703925"/>
      <w:bookmarkStart w:id="157" w:name="_Toc123705485"/>
      <w:bookmarkStart w:id="158" w:name="_Toc15118246"/>
      <w:bookmarkStart w:id="159" w:name="_Toc57530253"/>
      <w:bookmarkStart w:id="160" w:name="_Toc79392594"/>
      <w:r>
        <w:rPr>
          <w:rFonts w:ascii="宋体" w:hAnsi="宋体" w:hint="eastAsia"/>
          <w:sz w:val="24"/>
        </w:rPr>
        <w:t>（一）基金管理人的更换</w:t>
      </w:r>
      <w:bookmarkEnd w:id="155"/>
      <w:bookmarkEnd w:id="156"/>
      <w:bookmarkEnd w:id="157"/>
    </w:p>
    <w:p w14:paraId="2696CE23" w14:textId="77777777" w:rsidR="005A043F" w:rsidRDefault="0029200C">
      <w:pPr>
        <w:spacing w:line="360" w:lineRule="auto"/>
        <w:ind w:firstLineChars="200" w:firstLine="480"/>
        <w:rPr>
          <w:rFonts w:ascii="宋体" w:hAnsi="宋体"/>
          <w:sz w:val="24"/>
        </w:rPr>
      </w:pPr>
      <w:bookmarkStart w:id="161" w:name="_Toc22454475"/>
      <w:bookmarkStart w:id="162" w:name="_Toc48703926"/>
      <w:bookmarkStart w:id="163" w:name="_Hlk146557125"/>
      <w:r>
        <w:rPr>
          <w:rFonts w:ascii="宋体" w:hAnsi="宋体" w:hint="eastAsia"/>
          <w:sz w:val="24"/>
        </w:rPr>
        <w:t>1、基金管理人的更换条件</w:t>
      </w:r>
      <w:bookmarkEnd w:id="161"/>
      <w:bookmarkEnd w:id="162"/>
    </w:p>
    <w:p w14:paraId="026EDEAC" w14:textId="77777777" w:rsidR="005A043F" w:rsidRDefault="0029200C">
      <w:pPr>
        <w:spacing w:line="360" w:lineRule="auto"/>
        <w:ind w:firstLineChars="200" w:firstLine="480"/>
        <w:rPr>
          <w:rFonts w:ascii="宋体" w:hAnsi="宋体"/>
          <w:sz w:val="24"/>
        </w:rPr>
      </w:pPr>
      <w:r>
        <w:rPr>
          <w:rFonts w:ascii="宋体" w:hAnsi="宋体" w:hint="eastAsia"/>
          <w:sz w:val="24"/>
        </w:rPr>
        <w:t>有下列情形之一的，基金管理人职责终止：</w:t>
      </w:r>
    </w:p>
    <w:p w14:paraId="72612AAC" w14:textId="77777777" w:rsidR="005A043F" w:rsidRDefault="0029200C">
      <w:pPr>
        <w:spacing w:line="360" w:lineRule="auto"/>
        <w:ind w:firstLineChars="200" w:firstLine="480"/>
        <w:rPr>
          <w:rFonts w:ascii="宋体" w:hAnsi="宋体"/>
          <w:sz w:val="24"/>
        </w:rPr>
      </w:pPr>
      <w:r>
        <w:rPr>
          <w:rFonts w:ascii="宋体" w:hAnsi="宋体" w:hint="eastAsia"/>
          <w:sz w:val="24"/>
        </w:rPr>
        <w:t>(1) 被依法取消基金管理资格；</w:t>
      </w:r>
      <w:bookmarkStart w:id="164" w:name="_Hlt80887029"/>
      <w:bookmarkEnd w:id="164"/>
    </w:p>
    <w:p w14:paraId="14AEFF8D" w14:textId="77777777" w:rsidR="005A043F" w:rsidRDefault="0029200C">
      <w:pPr>
        <w:spacing w:line="360" w:lineRule="auto"/>
        <w:ind w:firstLineChars="200" w:firstLine="480"/>
        <w:rPr>
          <w:rFonts w:ascii="宋体" w:hAnsi="宋体"/>
          <w:sz w:val="24"/>
        </w:rPr>
      </w:pPr>
      <w:r>
        <w:rPr>
          <w:rFonts w:ascii="宋体" w:hAnsi="宋体" w:hint="eastAsia"/>
          <w:sz w:val="24"/>
        </w:rPr>
        <w:t>(2) 被基金份额持有人大会解任</w:t>
      </w:r>
      <w:r>
        <w:rPr>
          <w:rFonts w:ascii="宋体" w:hAnsi="宋体"/>
          <w:sz w:val="24"/>
        </w:rPr>
        <w:t>；</w:t>
      </w:r>
    </w:p>
    <w:p w14:paraId="188E8065" w14:textId="77777777" w:rsidR="005A043F" w:rsidRDefault="0029200C">
      <w:pPr>
        <w:spacing w:line="360" w:lineRule="auto"/>
        <w:ind w:firstLineChars="200" w:firstLine="480"/>
        <w:rPr>
          <w:rFonts w:ascii="宋体" w:hAnsi="宋体"/>
          <w:sz w:val="24"/>
        </w:rPr>
      </w:pPr>
      <w:r>
        <w:rPr>
          <w:rFonts w:ascii="宋体" w:hAnsi="宋体" w:hint="eastAsia"/>
          <w:sz w:val="24"/>
        </w:rPr>
        <w:t>(3) 依法解散、被依法撤销或被依法宣告破产</w:t>
      </w:r>
      <w:r>
        <w:rPr>
          <w:rFonts w:ascii="宋体" w:hAnsi="宋体"/>
          <w:sz w:val="24"/>
        </w:rPr>
        <w:t>；</w:t>
      </w:r>
    </w:p>
    <w:p w14:paraId="2DE050B3" w14:textId="77777777" w:rsidR="005A043F" w:rsidRDefault="0029200C">
      <w:pPr>
        <w:spacing w:line="360" w:lineRule="auto"/>
        <w:ind w:firstLineChars="200" w:firstLine="480"/>
        <w:rPr>
          <w:rFonts w:ascii="宋体" w:hAnsi="宋体"/>
          <w:sz w:val="24"/>
        </w:rPr>
      </w:pPr>
      <w:r>
        <w:rPr>
          <w:rFonts w:ascii="宋体" w:hAnsi="宋体" w:hint="eastAsia"/>
          <w:sz w:val="24"/>
        </w:rPr>
        <w:t>(4) 法律法规及中国证监会规定的和《基金合同》</w:t>
      </w:r>
      <w:r>
        <w:rPr>
          <w:rFonts w:ascii="宋体" w:hAnsi="宋体"/>
          <w:sz w:val="24"/>
        </w:rPr>
        <w:t>规</w:t>
      </w:r>
      <w:r>
        <w:rPr>
          <w:rFonts w:ascii="宋体" w:hAnsi="宋体" w:hint="eastAsia"/>
          <w:sz w:val="24"/>
        </w:rPr>
        <w:t>定的其他情形。</w:t>
      </w:r>
    </w:p>
    <w:p w14:paraId="1184AABD" w14:textId="77777777" w:rsidR="005A043F" w:rsidRDefault="0029200C">
      <w:pPr>
        <w:spacing w:line="360" w:lineRule="auto"/>
        <w:ind w:firstLineChars="200" w:firstLine="480"/>
        <w:rPr>
          <w:rFonts w:ascii="宋体" w:hAnsi="宋体"/>
          <w:sz w:val="24"/>
        </w:rPr>
      </w:pPr>
      <w:bookmarkStart w:id="165" w:name="_Toc48703927"/>
      <w:bookmarkStart w:id="166" w:name="_Toc22454476"/>
      <w:r>
        <w:rPr>
          <w:rFonts w:ascii="宋体" w:hAnsi="宋体" w:hint="eastAsia"/>
          <w:sz w:val="24"/>
        </w:rPr>
        <w:lastRenderedPageBreak/>
        <w:t>2、更换基金管理人的程序</w:t>
      </w:r>
      <w:bookmarkEnd w:id="165"/>
      <w:bookmarkEnd w:id="166"/>
    </w:p>
    <w:p w14:paraId="2996C19E" w14:textId="77777777" w:rsidR="005A043F" w:rsidRDefault="0029200C">
      <w:pPr>
        <w:spacing w:line="360" w:lineRule="auto"/>
        <w:ind w:firstLineChars="200" w:firstLine="480"/>
        <w:rPr>
          <w:rFonts w:ascii="宋体" w:hAnsi="宋体"/>
          <w:sz w:val="24"/>
        </w:rPr>
      </w:pPr>
      <w:r>
        <w:rPr>
          <w:rFonts w:ascii="宋体" w:hAnsi="宋体" w:hint="eastAsia"/>
          <w:sz w:val="24"/>
        </w:rPr>
        <w:t>（1）提名：</w:t>
      </w:r>
      <w:proofErr w:type="gramStart"/>
      <w:r>
        <w:rPr>
          <w:rFonts w:ascii="宋体" w:hAnsi="宋体" w:hint="eastAsia"/>
          <w:sz w:val="24"/>
        </w:rPr>
        <w:t>新任基金</w:t>
      </w:r>
      <w:proofErr w:type="gramEnd"/>
      <w:r>
        <w:rPr>
          <w:rFonts w:ascii="宋体" w:hAnsi="宋体" w:hint="eastAsia"/>
          <w:sz w:val="24"/>
        </w:rPr>
        <w:t>管理人由基金托管人或由单独或合计持有10%以上（含10%）基金份额的基金份额持有人提名；</w:t>
      </w:r>
    </w:p>
    <w:p w14:paraId="178EA3A4" w14:textId="77777777" w:rsidR="005A043F" w:rsidRDefault="0029200C">
      <w:pPr>
        <w:spacing w:line="360" w:lineRule="auto"/>
        <w:ind w:firstLineChars="200" w:firstLine="480"/>
        <w:rPr>
          <w:rFonts w:ascii="宋体" w:hAnsi="宋体"/>
          <w:sz w:val="24"/>
        </w:rPr>
      </w:pPr>
      <w:r>
        <w:rPr>
          <w:rFonts w:ascii="宋体" w:hAnsi="宋体" w:hint="eastAsia"/>
          <w:sz w:val="24"/>
        </w:rPr>
        <w:t>（2）决议：基金份额持有人大会在基金管理人职责终止后6个月内对被提名的基金管理人形成决议，该决议需经参加大会的基金份额持有人所持表决权的2/3以上（含2/3）表决通过，决议自表决通过之日起生效；</w:t>
      </w:r>
    </w:p>
    <w:p w14:paraId="56288ADE" w14:textId="77777777" w:rsidR="005A043F" w:rsidRDefault="0029200C">
      <w:pPr>
        <w:spacing w:line="360" w:lineRule="auto"/>
        <w:ind w:firstLineChars="200" w:firstLine="480"/>
        <w:rPr>
          <w:rFonts w:ascii="宋体" w:hAnsi="宋体"/>
          <w:sz w:val="24"/>
        </w:rPr>
      </w:pPr>
      <w:r>
        <w:rPr>
          <w:rFonts w:ascii="宋体" w:hAnsi="宋体" w:hint="eastAsia"/>
          <w:sz w:val="24"/>
        </w:rPr>
        <w:t>（3）临时基金管理人：</w:t>
      </w:r>
      <w:proofErr w:type="gramStart"/>
      <w:r>
        <w:rPr>
          <w:rFonts w:ascii="宋体" w:hAnsi="宋体" w:hint="eastAsia"/>
          <w:sz w:val="24"/>
        </w:rPr>
        <w:t>新任基金</w:t>
      </w:r>
      <w:proofErr w:type="gramEnd"/>
      <w:r>
        <w:rPr>
          <w:rFonts w:ascii="宋体" w:hAnsi="宋体" w:hint="eastAsia"/>
          <w:sz w:val="24"/>
        </w:rPr>
        <w:t>管理人产生之前，由中国证监会指定临时基金管理人；</w:t>
      </w:r>
    </w:p>
    <w:p w14:paraId="6C643AA4" w14:textId="77777777" w:rsidR="005A043F" w:rsidRDefault="0029200C">
      <w:pPr>
        <w:spacing w:line="360" w:lineRule="auto"/>
        <w:ind w:firstLineChars="200" w:firstLine="480"/>
        <w:rPr>
          <w:rFonts w:ascii="宋体" w:hAnsi="宋体"/>
          <w:sz w:val="24"/>
        </w:rPr>
      </w:pPr>
      <w:r>
        <w:rPr>
          <w:rFonts w:ascii="宋体" w:hAnsi="宋体" w:hint="eastAsia"/>
          <w:sz w:val="24"/>
        </w:rPr>
        <w:t>（4）备案：基金份额持有人大会更换基金管理人的决议须报中国证监会备案；</w:t>
      </w:r>
    </w:p>
    <w:p w14:paraId="5C2A972B" w14:textId="77777777" w:rsidR="005A043F" w:rsidRDefault="0029200C">
      <w:pPr>
        <w:spacing w:line="360" w:lineRule="auto"/>
        <w:ind w:firstLineChars="200" w:firstLine="480"/>
        <w:rPr>
          <w:rFonts w:ascii="宋体" w:hAnsi="宋体"/>
          <w:sz w:val="24"/>
        </w:rPr>
      </w:pPr>
      <w:r>
        <w:rPr>
          <w:rFonts w:ascii="宋体" w:hAnsi="宋体" w:hint="eastAsia"/>
          <w:sz w:val="24"/>
        </w:rPr>
        <w:t>（5）公告：基金管理人更换后，由基金托管人在更换基金管理人的基金份额持有人大会决议生效后依照《信息披露办法》的有关规定在规定媒介公告；</w:t>
      </w:r>
    </w:p>
    <w:p w14:paraId="68F6348B" w14:textId="77777777" w:rsidR="005A043F" w:rsidRDefault="0029200C">
      <w:pPr>
        <w:spacing w:line="360" w:lineRule="auto"/>
        <w:ind w:firstLineChars="200" w:firstLine="480"/>
        <w:rPr>
          <w:rFonts w:ascii="宋体" w:hAnsi="宋体"/>
          <w:sz w:val="24"/>
        </w:rPr>
      </w:pPr>
      <w:r>
        <w:rPr>
          <w:rFonts w:ascii="宋体" w:hAnsi="宋体" w:hint="eastAsia"/>
          <w:sz w:val="24"/>
        </w:rPr>
        <w:t>（6）交接：基金管理人职责终止的，基金管理人应妥善保管基金管理业务资料</w:t>
      </w:r>
      <w:r>
        <w:rPr>
          <w:rFonts w:ascii="宋体" w:hAnsi="宋体"/>
          <w:sz w:val="24"/>
        </w:rPr>
        <w:t>，</w:t>
      </w:r>
      <w:r>
        <w:rPr>
          <w:rFonts w:ascii="宋体" w:hAnsi="宋体" w:hint="eastAsia"/>
          <w:sz w:val="24"/>
        </w:rPr>
        <w:t>及时向临时基金管理人或</w:t>
      </w:r>
      <w:proofErr w:type="gramStart"/>
      <w:r>
        <w:rPr>
          <w:rFonts w:ascii="宋体" w:hAnsi="宋体" w:hint="eastAsia"/>
          <w:sz w:val="24"/>
        </w:rPr>
        <w:t>新任基金</w:t>
      </w:r>
      <w:proofErr w:type="gramEnd"/>
      <w:r>
        <w:rPr>
          <w:rFonts w:ascii="宋体" w:hAnsi="宋体" w:hint="eastAsia"/>
          <w:sz w:val="24"/>
        </w:rPr>
        <w:t>管理人办理基金管理业务的移交手续，临时基金管理人或</w:t>
      </w:r>
      <w:proofErr w:type="gramStart"/>
      <w:r>
        <w:rPr>
          <w:rFonts w:ascii="宋体" w:hAnsi="宋体" w:hint="eastAsia"/>
          <w:sz w:val="24"/>
        </w:rPr>
        <w:t>新任基金</w:t>
      </w:r>
      <w:proofErr w:type="gramEnd"/>
      <w:r>
        <w:rPr>
          <w:rFonts w:ascii="宋体" w:hAnsi="宋体" w:hint="eastAsia"/>
          <w:sz w:val="24"/>
        </w:rPr>
        <w:t>管理人应及时接收。</w:t>
      </w:r>
      <w:proofErr w:type="gramStart"/>
      <w:r>
        <w:rPr>
          <w:rFonts w:ascii="宋体" w:hAnsi="宋体" w:hint="eastAsia"/>
          <w:sz w:val="24"/>
        </w:rPr>
        <w:t>新任基金</w:t>
      </w:r>
      <w:proofErr w:type="gramEnd"/>
      <w:r>
        <w:rPr>
          <w:rFonts w:ascii="宋体" w:hAnsi="宋体" w:hint="eastAsia"/>
          <w:sz w:val="24"/>
        </w:rPr>
        <w:t>管理人或临时基金管理人应与基金托管人核对基金资产总值和净值；</w:t>
      </w:r>
    </w:p>
    <w:p w14:paraId="484AB63A" w14:textId="77777777" w:rsidR="005A043F" w:rsidRDefault="0029200C">
      <w:pPr>
        <w:spacing w:line="360" w:lineRule="auto"/>
        <w:ind w:firstLineChars="200" w:firstLine="480"/>
        <w:rPr>
          <w:rFonts w:ascii="宋体" w:hAnsi="宋体"/>
          <w:sz w:val="24"/>
        </w:rPr>
      </w:pPr>
      <w:r>
        <w:rPr>
          <w:rFonts w:ascii="宋体" w:hAnsi="宋体" w:hint="eastAsia"/>
          <w:sz w:val="24"/>
        </w:rPr>
        <w:t>（7）审计：基金管理人职责终止的，应当聘请符合《证券法》规定的会计师事务所对基金财产进行审计，并将审计结果予以公告同时报中国证监会备案，审计费用从基金财产中列支；</w:t>
      </w:r>
    </w:p>
    <w:p w14:paraId="753DA0F7" w14:textId="77777777" w:rsidR="005A043F" w:rsidRDefault="0029200C">
      <w:pPr>
        <w:spacing w:line="360" w:lineRule="auto"/>
        <w:ind w:firstLineChars="200" w:firstLine="480"/>
        <w:rPr>
          <w:rFonts w:ascii="宋体" w:hAnsi="宋体"/>
          <w:sz w:val="24"/>
        </w:rPr>
      </w:pPr>
      <w:r>
        <w:rPr>
          <w:rFonts w:ascii="宋体" w:hAnsi="宋体" w:hint="eastAsia"/>
          <w:sz w:val="24"/>
        </w:rPr>
        <w:t>（8）基金名称变更：基金管理人更换后，如果原任或</w:t>
      </w:r>
      <w:proofErr w:type="gramStart"/>
      <w:r>
        <w:rPr>
          <w:rFonts w:ascii="宋体" w:hAnsi="宋体" w:hint="eastAsia"/>
          <w:sz w:val="24"/>
        </w:rPr>
        <w:t>新任基金</w:t>
      </w:r>
      <w:proofErr w:type="gramEnd"/>
      <w:r>
        <w:rPr>
          <w:rFonts w:ascii="宋体" w:hAnsi="宋体" w:hint="eastAsia"/>
          <w:sz w:val="24"/>
        </w:rPr>
        <w:t>管理人要求，应按其要求替换或删除基金名称中与原任基金管理人有关的名称字样。</w:t>
      </w:r>
    </w:p>
    <w:p w14:paraId="58551206" w14:textId="77777777" w:rsidR="005A043F" w:rsidRDefault="0029200C">
      <w:pPr>
        <w:spacing w:line="360" w:lineRule="auto"/>
        <w:ind w:firstLineChars="200" w:firstLine="480"/>
        <w:rPr>
          <w:rFonts w:ascii="宋体" w:hAnsi="宋体"/>
          <w:sz w:val="24"/>
        </w:rPr>
      </w:pPr>
      <w:bookmarkStart w:id="167" w:name="_Toc123705486"/>
      <w:bookmarkStart w:id="168" w:name="_Toc22454471"/>
      <w:bookmarkStart w:id="169" w:name="_Toc48703922"/>
      <w:r>
        <w:rPr>
          <w:rFonts w:ascii="宋体" w:hAnsi="宋体" w:hint="eastAsia"/>
          <w:sz w:val="24"/>
        </w:rPr>
        <w:t>（二）基金托管人的更换</w:t>
      </w:r>
      <w:bookmarkEnd w:id="167"/>
      <w:bookmarkEnd w:id="168"/>
      <w:bookmarkEnd w:id="169"/>
    </w:p>
    <w:p w14:paraId="52A15867" w14:textId="77777777" w:rsidR="005A043F" w:rsidRDefault="0029200C">
      <w:pPr>
        <w:spacing w:line="360" w:lineRule="auto"/>
        <w:ind w:firstLineChars="200" w:firstLine="480"/>
        <w:rPr>
          <w:rFonts w:ascii="宋体" w:hAnsi="宋体"/>
          <w:sz w:val="24"/>
        </w:rPr>
      </w:pPr>
      <w:bookmarkStart w:id="170" w:name="_Toc22454472"/>
      <w:bookmarkStart w:id="171" w:name="_Toc48703923"/>
      <w:r>
        <w:rPr>
          <w:rFonts w:ascii="宋体" w:hAnsi="宋体" w:hint="eastAsia"/>
          <w:sz w:val="24"/>
        </w:rPr>
        <w:t>1、基金托管人的更换条件</w:t>
      </w:r>
      <w:bookmarkEnd w:id="170"/>
      <w:bookmarkEnd w:id="171"/>
    </w:p>
    <w:p w14:paraId="12C95AA9" w14:textId="77777777" w:rsidR="005A043F" w:rsidRDefault="0029200C">
      <w:pPr>
        <w:spacing w:line="360" w:lineRule="auto"/>
        <w:ind w:firstLineChars="200" w:firstLine="480"/>
        <w:rPr>
          <w:rFonts w:ascii="宋体" w:hAnsi="宋体"/>
          <w:sz w:val="24"/>
        </w:rPr>
      </w:pPr>
      <w:r>
        <w:rPr>
          <w:rFonts w:ascii="宋体" w:hAnsi="宋体" w:hint="eastAsia"/>
          <w:sz w:val="24"/>
        </w:rPr>
        <w:t>有下列情形之一的，基金托管人职责终止：</w:t>
      </w:r>
    </w:p>
    <w:p w14:paraId="51A7C6CE" w14:textId="77777777" w:rsidR="005A043F" w:rsidRDefault="0029200C">
      <w:pPr>
        <w:spacing w:line="360" w:lineRule="auto"/>
        <w:ind w:firstLineChars="200" w:firstLine="480"/>
        <w:rPr>
          <w:rFonts w:ascii="宋体" w:hAnsi="宋体"/>
          <w:sz w:val="24"/>
        </w:rPr>
      </w:pPr>
      <w:r>
        <w:rPr>
          <w:rFonts w:ascii="宋体" w:hAnsi="宋体" w:hint="eastAsia"/>
          <w:sz w:val="24"/>
        </w:rPr>
        <w:t>(1) 被依法取消基金托管资格；</w:t>
      </w:r>
    </w:p>
    <w:p w14:paraId="2C82BCA1"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(2) 被基金份额持有人大会解任</w:t>
      </w:r>
      <w:r>
        <w:rPr>
          <w:rFonts w:ascii="宋体" w:hAnsi="宋体"/>
          <w:sz w:val="24"/>
        </w:rPr>
        <w:t>；</w:t>
      </w:r>
    </w:p>
    <w:p w14:paraId="2E8B46A1" w14:textId="77777777" w:rsidR="005A043F" w:rsidRDefault="0029200C">
      <w:pPr>
        <w:spacing w:line="360" w:lineRule="auto"/>
        <w:ind w:firstLineChars="200" w:firstLine="480"/>
        <w:rPr>
          <w:rFonts w:ascii="宋体" w:hAnsi="宋体"/>
          <w:sz w:val="24"/>
        </w:rPr>
      </w:pPr>
      <w:r>
        <w:rPr>
          <w:rFonts w:ascii="宋体" w:hAnsi="宋体" w:hint="eastAsia"/>
          <w:sz w:val="24"/>
        </w:rPr>
        <w:t>(3) 依法解散、被依法撤销或被依法宣告破产</w:t>
      </w:r>
      <w:r>
        <w:rPr>
          <w:rFonts w:ascii="宋体" w:hAnsi="宋体"/>
          <w:sz w:val="24"/>
        </w:rPr>
        <w:t>；</w:t>
      </w:r>
    </w:p>
    <w:p w14:paraId="302155AC" w14:textId="77777777" w:rsidR="005A043F" w:rsidRDefault="0029200C">
      <w:pPr>
        <w:spacing w:line="360" w:lineRule="auto"/>
        <w:ind w:firstLineChars="200" w:firstLine="480"/>
        <w:rPr>
          <w:rFonts w:ascii="宋体" w:hAnsi="宋体"/>
          <w:sz w:val="24"/>
        </w:rPr>
      </w:pPr>
      <w:r>
        <w:rPr>
          <w:rFonts w:ascii="宋体" w:hAnsi="宋体" w:hint="eastAsia"/>
          <w:sz w:val="24"/>
        </w:rPr>
        <w:t>(4) 法律法规及中国证监会规定的和《基金合同》规定的其他情形。</w:t>
      </w:r>
    </w:p>
    <w:p w14:paraId="09E07065" w14:textId="77777777" w:rsidR="005A043F" w:rsidRDefault="0029200C">
      <w:pPr>
        <w:spacing w:line="360" w:lineRule="auto"/>
        <w:ind w:firstLineChars="200" w:firstLine="480"/>
        <w:rPr>
          <w:rFonts w:ascii="宋体" w:hAnsi="宋体"/>
          <w:sz w:val="24"/>
        </w:rPr>
      </w:pPr>
      <w:bookmarkStart w:id="172" w:name="_Toc48703924"/>
      <w:bookmarkStart w:id="173" w:name="_Toc22454473"/>
      <w:r>
        <w:rPr>
          <w:rFonts w:ascii="宋体" w:hAnsi="宋体" w:hint="eastAsia"/>
          <w:sz w:val="24"/>
        </w:rPr>
        <w:t>2、更换基金托管人的程序</w:t>
      </w:r>
      <w:bookmarkEnd w:id="172"/>
      <w:bookmarkEnd w:id="173"/>
    </w:p>
    <w:p w14:paraId="02447C0E" w14:textId="77777777" w:rsidR="005A043F" w:rsidRDefault="0029200C">
      <w:pPr>
        <w:spacing w:line="360" w:lineRule="auto"/>
        <w:ind w:firstLineChars="200" w:firstLine="480"/>
        <w:rPr>
          <w:rFonts w:ascii="宋体" w:hAnsi="宋体"/>
          <w:sz w:val="24"/>
        </w:rPr>
      </w:pPr>
      <w:r>
        <w:rPr>
          <w:rFonts w:ascii="宋体" w:hAnsi="宋体" w:hint="eastAsia"/>
          <w:sz w:val="24"/>
        </w:rPr>
        <w:t>（1）提名：</w:t>
      </w:r>
      <w:proofErr w:type="gramStart"/>
      <w:r>
        <w:rPr>
          <w:rFonts w:ascii="宋体" w:hAnsi="宋体" w:hint="eastAsia"/>
          <w:sz w:val="24"/>
        </w:rPr>
        <w:t>新任基金</w:t>
      </w:r>
      <w:proofErr w:type="gramEnd"/>
      <w:r>
        <w:rPr>
          <w:rFonts w:ascii="宋体" w:hAnsi="宋体" w:hint="eastAsia"/>
          <w:sz w:val="24"/>
        </w:rPr>
        <w:t>托管人由基金管理人或由单独或合计持有10%以上（含10%）基金份额的基金份额持有人提名；</w:t>
      </w:r>
    </w:p>
    <w:p w14:paraId="1857E2C1" w14:textId="77777777" w:rsidR="005A043F" w:rsidRDefault="0029200C">
      <w:pPr>
        <w:spacing w:line="360" w:lineRule="auto"/>
        <w:ind w:firstLineChars="200" w:firstLine="480"/>
        <w:rPr>
          <w:rFonts w:ascii="宋体" w:hAnsi="宋体"/>
          <w:sz w:val="24"/>
        </w:rPr>
      </w:pPr>
      <w:r>
        <w:rPr>
          <w:rFonts w:ascii="宋体" w:hAnsi="宋体" w:hint="eastAsia"/>
          <w:sz w:val="24"/>
        </w:rPr>
        <w:t>（2）决议：基金份额持有人大会在基金托管人职责终止后6个月内对被提名的基金托管人形成决议，该决议需经参加大会的基金份额持有人所持表决权的2/3以上（含2/3）表决通过，决议自表决通过之日起生效；</w:t>
      </w:r>
    </w:p>
    <w:p w14:paraId="7EA2CC65" w14:textId="77777777" w:rsidR="005A043F" w:rsidRDefault="0029200C">
      <w:pPr>
        <w:spacing w:line="360" w:lineRule="auto"/>
        <w:ind w:firstLineChars="200" w:firstLine="480"/>
        <w:rPr>
          <w:rFonts w:ascii="宋体" w:hAnsi="宋体"/>
          <w:sz w:val="24"/>
        </w:rPr>
      </w:pPr>
      <w:r>
        <w:rPr>
          <w:rFonts w:ascii="宋体" w:hAnsi="宋体" w:hint="eastAsia"/>
          <w:sz w:val="24"/>
        </w:rPr>
        <w:t>（3）临时基金托管人：</w:t>
      </w:r>
      <w:proofErr w:type="gramStart"/>
      <w:r>
        <w:rPr>
          <w:rFonts w:ascii="宋体" w:hAnsi="宋体" w:hint="eastAsia"/>
          <w:sz w:val="24"/>
        </w:rPr>
        <w:t>新任基金</w:t>
      </w:r>
      <w:proofErr w:type="gramEnd"/>
      <w:r>
        <w:rPr>
          <w:rFonts w:ascii="宋体" w:hAnsi="宋体" w:hint="eastAsia"/>
          <w:sz w:val="24"/>
        </w:rPr>
        <w:t>托管人产生之前，由中国证监会指定临时基金托管人；</w:t>
      </w:r>
    </w:p>
    <w:p w14:paraId="46883E12" w14:textId="77777777" w:rsidR="005A043F" w:rsidRDefault="0029200C">
      <w:pPr>
        <w:spacing w:line="360" w:lineRule="auto"/>
        <w:ind w:firstLineChars="200" w:firstLine="480"/>
        <w:rPr>
          <w:rFonts w:ascii="宋体" w:hAnsi="宋体"/>
          <w:sz w:val="24"/>
        </w:rPr>
      </w:pPr>
      <w:r>
        <w:rPr>
          <w:rFonts w:ascii="宋体" w:hAnsi="宋体" w:hint="eastAsia"/>
          <w:sz w:val="24"/>
        </w:rPr>
        <w:t>（4）备案：基金份额持有人大会更换基金托管人的决议须报中国证监会备案；</w:t>
      </w:r>
    </w:p>
    <w:p w14:paraId="73C20A48" w14:textId="77777777" w:rsidR="005A043F" w:rsidRDefault="0029200C">
      <w:pPr>
        <w:spacing w:line="360" w:lineRule="auto"/>
        <w:ind w:firstLineChars="200" w:firstLine="480"/>
        <w:rPr>
          <w:rFonts w:ascii="宋体" w:hAnsi="宋体"/>
          <w:sz w:val="24"/>
        </w:rPr>
      </w:pPr>
      <w:r>
        <w:rPr>
          <w:rFonts w:ascii="宋体" w:hAnsi="宋体" w:hint="eastAsia"/>
          <w:sz w:val="24"/>
        </w:rPr>
        <w:t>（5）公告：基金托管人更换后，由基金管理人在更换基金托管人的基金份额持有人大会决议生效后依照《信息披露办法》的有关规定在规定媒介公告；</w:t>
      </w:r>
    </w:p>
    <w:p w14:paraId="761172E0" w14:textId="77777777" w:rsidR="005A043F" w:rsidRDefault="0029200C">
      <w:pPr>
        <w:spacing w:line="360" w:lineRule="auto"/>
        <w:ind w:firstLineChars="200" w:firstLine="480"/>
        <w:rPr>
          <w:rFonts w:ascii="宋体" w:hAnsi="宋体"/>
          <w:sz w:val="24"/>
        </w:rPr>
      </w:pPr>
      <w:r>
        <w:rPr>
          <w:rFonts w:ascii="宋体" w:hAnsi="宋体" w:hint="eastAsia"/>
          <w:sz w:val="24"/>
        </w:rPr>
        <w:t>（6）交接：基金托管人职责终止的，应当妥善保管基金财产和基金托管业务资料，及时办理基金财产和基金托管业务的移交手续，</w:t>
      </w:r>
      <w:proofErr w:type="gramStart"/>
      <w:r>
        <w:rPr>
          <w:rFonts w:ascii="宋体" w:hAnsi="宋体" w:hint="eastAsia"/>
          <w:sz w:val="24"/>
        </w:rPr>
        <w:t>新任基金</w:t>
      </w:r>
      <w:proofErr w:type="gramEnd"/>
      <w:r>
        <w:rPr>
          <w:rFonts w:ascii="宋体" w:hAnsi="宋体" w:hint="eastAsia"/>
          <w:sz w:val="24"/>
        </w:rPr>
        <w:t>托管人或者临时基金托管人应当及时接收。</w:t>
      </w:r>
      <w:proofErr w:type="gramStart"/>
      <w:r>
        <w:rPr>
          <w:rFonts w:ascii="宋体" w:hAnsi="宋体" w:hint="eastAsia"/>
          <w:sz w:val="24"/>
        </w:rPr>
        <w:t>新任基金</w:t>
      </w:r>
      <w:proofErr w:type="gramEnd"/>
      <w:r>
        <w:rPr>
          <w:rFonts w:ascii="宋体" w:hAnsi="宋体" w:hint="eastAsia"/>
          <w:sz w:val="24"/>
        </w:rPr>
        <w:t>托管人或临时基金托管人应与基金管理人核对基金资产总值和净值；</w:t>
      </w:r>
    </w:p>
    <w:p w14:paraId="1670EBFF" w14:textId="77777777" w:rsidR="005A043F" w:rsidRDefault="0029200C">
      <w:pPr>
        <w:spacing w:line="360" w:lineRule="auto"/>
        <w:ind w:firstLineChars="200" w:firstLine="480"/>
        <w:rPr>
          <w:rFonts w:ascii="宋体" w:hAnsi="宋体"/>
          <w:sz w:val="24"/>
        </w:rPr>
      </w:pPr>
      <w:r>
        <w:rPr>
          <w:rFonts w:ascii="宋体" w:hAnsi="宋体" w:hint="eastAsia"/>
          <w:sz w:val="24"/>
        </w:rPr>
        <w:t>（7）审计：基金托管人职责终止的，应当聘请符合《证券法》规定的会计师事务所对基金财产进行审计，并将审计结果予以公告，同时报中国证监会备案，审计费用</w:t>
      </w:r>
      <w:r>
        <w:rPr>
          <w:rFonts w:ascii="宋体" w:hAnsi="宋体"/>
          <w:sz w:val="24"/>
        </w:rPr>
        <w:t>从</w:t>
      </w:r>
      <w:r>
        <w:rPr>
          <w:rFonts w:ascii="宋体" w:hAnsi="宋体" w:hint="eastAsia"/>
          <w:sz w:val="24"/>
        </w:rPr>
        <w:t>基金财产中列支。</w:t>
      </w:r>
    </w:p>
    <w:bookmarkEnd w:id="163"/>
    <w:p w14:paraId="051A496B" w14:textId="77777777" w:rsidR="005A043F" w:rsidRDefault="0029200C">
      <w:pPr>
        <w:spacing w:line="360" w:lineRule="auto"/>
        <w:ind w:firstLineChars="200" w:firstLine="480"/>
        <w:rPr>
          <w:rFonts w:ascii="宋体" w:hAnsi="宋体"/>
          <w:sz w:val="24"/>
        </w:rPr>
      </w:pPr>
      <w:r>
        <w:rPr>
          <w:rFonts w:ascii="宋体" w:hAnsi="宋体" w:hint="eastAsia"/>
          <w:sz w:val="24"/>
        </w:rPr>
        <w:t>（三）基金管理人和基金托管人的同时更换程序</w:t>
      </w:r>
    </w:p>
    <w:p w14:paraId="5C7F2EB0" w14:textId="77777777" w:rsidR="005A043F" w:rsidRDefault="0029200C">
      <w:pPr>
        <w:spacing w:line="360" w:lineRule="auto"/>
        <w:ind w:firstLineChars="200" w:firstLine="480"/>
        <w:rPr>
          <w:rFonts w:ascii="宋体" w:hAnsi="宋体"/>
          <w:sz w:val="24"/>
        </w:rPr>
      </w:pPr>
      <w:r>
        <w:rPr>
          <w:rFonts w:ascii="宋体" w:hAnsi="宋体" w:hint="eastAsia"/>
          <w:sz w:val="24"/>
        </w:rPr>
        <w:t>同时更换基金管理人和基金托管人，分别按照上述基金管理人和基金托管人更换程序进行。</w:t>
      </w:r>
    </w:p>
    <w:p w14:paraId="162F0535"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1、提名：如果基金管理人和基金托管人同时更换，由单独或合计持有10%以上（含10%）基金份额的基金份额持有人提名新的基金管理人和基金托管人；</w:t>
      </w:r>
    </w:p>
    <w:p w14:paraId="24E791FB" w14:textId="77777777" w:rsidR="005A043F" w:rsidRDefault="0029200C">
      <w:pPr>
        <w:spacing w:line="360" w:lineRule="auto"/>
        <w:ind w:firstLineChars="200" w:firstLine="480"/>
        <w:rPr>
          <w:rFonts w:ascii="宋体" w:hAnsi="宋体"/>
          <w:sz w:val="24"/>
        </w:rPr>
      </w:pPr>
      <w:r>
        <w:rPr>
          <w:rFonts w:ascii="宋体" w:hAnsi="宋体" w:hint="eastAsia"/>
          <w:sz w:val="24"/>
        </w:rPr>
        <w:t>2、基金管理人和基金托管人的更换分别按上述程序进行；</w:t>
      </w:r>
    </w:p>
    <w:p w14:paraId="62D807D9" w14:textId="77777777" w:rsidR="005A043F" w:rsidRDefault="0029200C">
      <w:pPr>
        <w:spacing w:line="360" w:lineRule="auto"/>
        <w:ind w:firstLineChars="200" w:firstLine="480"/>
        <w:rPr>
          <w:rFonts w:ascii="宋体" w:hAnsi="宋体"/>
          <w:sz w:val="24"/>
        </w:rPr>
      </w:pPr>
      <w:r>
        <w:rPr>
          <w:rFonts w:ascii="宋体" w:hAnsi="宋体" w:hint="eastAsia"/>
          <w:sz w:val="24"/>
        </w:rPr>
        <w:t>3、公告：</w:t>
      </w:r>
      <w:proofErr w:type="gramStart"/>
      <w:r>
        <w:rPr>
          <w:rFonts w:ascii="宋体" w:hAnsi="宋体" w:hint="eastAsia"/>
          <w:sz w:val="24"/>
        </w:rPr>
        <w:t>新任基金</w:t>
      </w:r>
      <w:proofErr w:type="gramEnd"/>
      <w:r>
        <w:rPr>
          <w:rFonts w:ascii="宋体" w:hAnsi="宋体" w:hint="eastAsia"/>
          <w:sz w:val="24"/>
        </w:rPr>
        <w:t>管理人和</w:t>
      </w:r>
      <w:proofErr w:type="gramStart"/>
      <w:r>
        <w:rPr>
          <w:rFonts w:ascii="宋体" w:hAnsi="宋体" w:hint="eastAsia"/>
          <w:sz w:val="24"/>
        </w:rPr>
        <w:t>新任基金</w:t>
      </w:r>
      <w:proofErr w:type="gramEnd"/>
      <w:r>
        <w:rPr>
          <w:rFonts w:ascii="宋体" w:hAnsi="宋体" w:hint="eastAsia"/>
          <w:sz w:val="24"/>
        </w:rPr>
        <w:t>托管人应在更换基金管理人和基金托管人的基金份额持有人大会决议生效后依照《信息披露办法》的有关规定在规定媒介上联合公告。</w:t>
      </w:r>
    </w:p>
    <w:p w14:paraId="14B1FC7B" w14:textId="77777777" w:rsidR="005A043F" w:rsidRDefault="0029200C">
      <w:pPr>
        <w:spacing w:line="360" w:lineRule="auto"/>
        <w:ind w:firstLineChars="200" w:firstLine="480"/>
        <w:rPr>
          <w:rFonts w:ascii="宋体" w:hAnsi="宋体"/>
          <w:sz w:val="24"/>
        </w:rPr>
      </w:pPr>
      <w:r>
        <w:rPr>
          <w:rFonts w:ascii="宋体" w:hAnsi="宋体" w:hint="eastAsia"/>
          <w:sz w:val="24"/>
        </w:rPr>
        <w:t>（四）</w:t>
      </w:r>
      <w:proofErr w:type="gramStart"/>
      <w:r>
        <w:rPr>
          <w:rFonts w:ascii="宋体" w:hAnsi="宋体" w:hint="eastAsia"/>
          <w:sz w:val="24"/>
        </w:rPr>
        <w:t>新任基金</w:t>
      </w:r>
      <w:proofErr w:type="gramEnd"/>
      <w:r>
        <w:rPr>
          <w:rFonts w:ascii="宋体" w:hAnsi="宋体" w:hint="eastAsia"/>
          <w:sz w:val="24"/>
        </w:rPr>
        <w:t>管理人或临时基金管理人接收基金管理业务，或</w:t>
      </w:r>
      <w:proofErr w:type="gramStart"/>
      <w:r>
        <w:rPr>
          <w:rFonts w:ascii="宋体" w:hAnsi="宋体" w:hint="eastAsia"/>
          <w:sz w:val="24"/>
        </w:rPr>
        <w:t>新任基金</w:t>
      </w:r>
      <w:proofErr w:type="gramEnd"/>
      <w:r>
        <w:rPr>
          <w:rFonts w:ascii="宋体" w:hAnsi="宋体" w:hint="eastAsia"/>
          <w:sz w:val="24"/>
        </w:rPr>
        <w:t>托管人或临时基金托管人接收基金财产和基金托管业务前，</w:t>
      </w:r>
      <w:proofErr w:type="gramStart"/>
      <w:r>
        <w:rPr>
          <w:rFonts w:ascii="宋体" w:hAnsi="宋体" w:hint="eastAsia"/>
          <w:sz w:val="24"/>
        </w:rPr>
        <w:t>原基金</w:t>
      </w:r>
      <w:proofErr w:type="gramEnd"/>
      <w:r>
        <w:rPr>
          <w:rFonts w:ascii="宋体" w:hAnsi="宋体" w:hint="eastAsia"/>
          <w:sz w:val="24"/>
        </w:rPr>
        <w:t>管理人或</w:t>
      </w:r>
      <w:proofErr w:type="gramStart"/>
      <w:r>
        <w:rPr>
          <w:rFonts w:ascii="宋体" w:hAnsi="宋体" w:hint="eastAsia"/>
          <w:sz w:val="24"/>
        </w:rPr>
        <w:t>原基金</w:t>
      </w:r>
      <w:proofErr w:type="gramEnd"/>
      <w:r>
        <w:rPr>
          <w:rFonts w:ascii="宋体" w:hAnsi="宋体" w:hint="eastAsia"/>
          <w:sz w:val="24"/>
        </w:rPr>
        <w:t>托管人应继续履行相关职责，并保证不做出对基金份额持有人的利益造成损害的行为。</w:t>
      </w:r>
      <w:proofErr w:type="gramStart"/>
      <w:r>
        <w:rPr>
          <w:rFonts w:ascii="宋体" w:hAnsi="宋体" w:hint="eastAsia"/>
          <w:sz w:val="24"/>
        </w:rPr>
        <w:t>原基金</w:t>
      </w:r>
      <w:proofErr w:type="gramEnd"/>
      <w:r>
        <w:rPr>
          <w:rFonts w:ascii="宋体" w:hAnsi="宋体" w:hint="eastAsia"/>
          <w:sz w:val="24"/>
        </w:rPr>
        <w:t>管理人或</w:t>
      </w:r>
      <w:proofErr w:type="gramStart"/>
      <w:r>
        <w:rPr>
          <w:rFonts w:ascii="宋体" w:hAnsi="宋体" w:hint="eastAsia"/>
          <w:sz w:val="24"/>
        </w:rPr>
        <w:t>原基金</w:t>
      </w:r>
      <w:proofErr w:type="gramEnd"/>
      <w:r>
        <w:rPr>
          <w:rFonts w:ascii="宋体" w:hAnsi="宋体" w:hint="eastAsia"/>
          <w:sz w:val="24"/>
        </w:rPr>
        <w:t>托管人在继续履行相关职责期间，仍有权按照基金合同的规定收取基金管理费或基金托管费。</w:t>
      </w:r>
    </w:p>
    <w:p w14:paraId="0B2FBCB3" w14:textId="77777777" w:rsidR="005A043F" w:rsidRDefault="0029200C">
      <w:pPr>
        <w:spacing w:line="360" w:lineRule="auto"/>
        <w:ind w:firstLineChars="200" w:firstLine="480"/>
        <w:rPr>
          <w:rFonts w:ascii="宋体" w:hAnsi="宋体"/>
          <w:sz w:val="24"/>
        </w:rPr>
      </w:pPr>
      <w:r>
        <w:rPr>
          <w:rFonts w:ascii="宋体" w:hAnsi="宋体" w:hint="eastAsia"/>
          <w:sz w:val="24"/>
        </w:rPr>
        <w:t>（五）在基金管理人、基金托管人更换事宜中，凡是直接引用法律法规或监管规则的部分，如将来法律法规或监管规则修改导致相关内容被取消或变更的，基金管理人与基金托管人协商一致，履行适当程序并提前公告后，可直接对相应内容进行修改和调整，无需召开基金份额持有人大会审议。</w:t>
      </w:r>
    </w:p>
    <w:p w14:paraId="4166D37A"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74" w:name="_Toc124749950"/>
      <w:bookmarkStart w:id="175" w:name="_Toc125361087"/>
      <w:bookmarkStart w:id="176" w:name="_Toc140002350"/>
      <w:bookmarkStart w:id="177" w:name="_Toc124749237"/>
      <w:bookmarkStart w:id="178" w:name="_Toc123626181"/>
      <w:bookmarkEnd w:id="158"/>
      <w:bookmarkEnd w:id="159"/>
      <w:bookmarkEnd w:id="160"/>
      <w:r>
        <w:rPr>
          <w:rFonts w:ascii="宋体" w:hAnsi="宋体" w:cs="Arial" w:hint="eastAsia"/>
          <w:sz w:val="30"/>
        </w:rPr>
        <w:t>禁止行为</w:t>
      </w:r>
      <w:bookmarkEnd w:id="174"/>
      <w:bookmarkEnd w:id="175"/>
      <w:bookmarkEnd w:id="176"/>
      <w:bookmarkEnd w:id="177"/>
      <w:bookmarkEnd w:id="178"/>
    </w:p>
    <w:p w14:paraId="20CBCEDB" w14:textId="77777777" w:rsidR="005A043F" w:rsidRDefault="0029200C">
      <w:pPr>
        <w:spacing w:line="360" w:lineRule="auto"/>
        <w:ind w:firstLineChars="200" w:firstLine="480"/>
        <w:rPr>
          <w:rFonts w:ascii="宋体" w:hAnsi="宋体"/>
          <w:sz w:val="24"/>
        </w:rPr>
      </w:pPr>
      <w:r>
        <w:rPr>
          <w:rFonts w:ascii="宋体" w:hAnsi="宋体" w:hint="eastAsia"/>
          <w:sz w:val="24"/>
        </w:rPr>
        <w:t>托管协议当事人禁止从事的行为，包括但不限于：</w:t>
      </w:r>
    </w:p>
    <w:p w14:paraId="45CB71BD" w14:textId="77777777" w:rsidR="005A043F" w:rsidRDefault="0029200C">
      <w:pPr>
        <w:spacing w:line="360" w:lineRule="auto"/>
        <w:ind w:firstLineChars="200" w:firstLine="480"/>
        <w:rPr>
          <w:rFonts w:ascii="宋体" w:hAnsi="宋体"/>
          <w:sz w:val="24"/>
        </w:rPr>
      </w:pPr>
      <w:r>
        <w:rPr>
          <w:rFonts w:ascii="宋体" w:hAnsi="宋体" w:hint="eastAsia"/>
          <w:sz w:val="24"/>
        </w:rPr>
        <w:t>（一）基金管理人、基金托管人将其固有财产或者他人财产混同于基金财产从事证券投资。</w:t>
      </w:r>
    </w:p>
    <w:p w14:paraId="28D732C2" w14:textId="77777777" w:rsidR="005A043F" w:rsidRDefault="0029200C">
      <w:pPr>
        <w:spacing w:line="360" w:lineRule="auto"/>
        <w:ind w:firstLineChars="200" w:firstLine="480"/>
        <w:rPr>
          <w:rFonts w:ascii="宋体" w:hAnsi="宋体"/>
          <w:sz w:val="24"/>
        </w:rPr>
      </w:pPr>
      <w:r>
        <w:rPr>
          <w:rFonts w:ascii="宋体" w:hAnsi="宋体" w:hint="eastAsia"/>
          <w:sz w:val="24"/>
        </w:rPr>
        <w:t>（二）基金管理人、基金托管人不公平地对待其管理或托管的不同基金财产。</w:t>
      </w:r>
    </w:p>
    <w:p w14:paraId="62C300CF" w14:textId="77777777" w:rsidR="005A043F" w:rsidRDefault="0029200C">
      <w:pPr>
        <w:spacing w:line="360" w:lineRule="auto"/>
        <w:ind w:firstLineChars="200" w:firstLine="480"/>
        <w:rPr>
          <w:rFonts w:ascii="宋体" w:hAnsi="宋体"/>
          <w:sz w:val="24"/>
        </w:rPr>
      </w:pPr>
      <w:r>
        <w:rPr>
          <w:rFonts w:ascii="宋体" w:hAnsi="宋体" w:hint="eastAsia"/>
          <w:sz w:val="24"/>
        </w:rPr>
        <w:t>（三）基金管理人、基金托管人利用基金财产或职务之便为基金份额持有人以外的第三人牟取利益。</w:t>
      </w:r>
    </w:p>
    <w:p w14:paraId="6E02F836" w14:textId="77777777" w:rsidR="005A043F" w:rsidRDefault="0029200C">
      <w:pPr>
        <w:spacing w:line="360" w:lineRule="auto"/>
        <w:ind w:firstLineChars="200" w:firstLine="480"/>
        <w:rPr>
          <w:rFonts w:ascii="宋体" w:hAnsi="宋体"/>
          <w:sz w:val="24"/>
        </w:rPr>
      </w:pPr>
      <w:r>
        <w:rPr>
          <w:rFonts w:ascii="宋体" w:hAnsi="宋体" w:hint="eastAsia"/>
          <w:sz w:val="24"/>
        </w:rPr>
        <w:t>（四）基金管理人、基金托管人向基金份额持有人违规承诺收益或者承担损失。</w:t>
      </w:r>
    </w:p>
    <w:p w14:paraId="02F928DB"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（五）基金管理人、基金托管人对他人泄露基金经营过程中任何尚未按法律法规规定的方式公开披露的信息。</w:t>
      </w:r>
    </w:p>
    <w:p w14:paraId="2BA10924" w14:textId="77777777" w:rsidR="005A043F" w:rsidRDefault="0029200C">
      <w:pPr>
        <w:spacing w:line="360" w:lineRule="auto"/>
        <w:ind w:firstLineChars="200" w:firstLine="480"/>
        <w:rPr>
          <w:rFonts w:ascii="宋体" w:hAnsi="宋体"/>
          <w:sz w:val="24"/>
        </w:rPr>
      </w:pPr>
      <w:r>
        <w:rPr>
          <w:rFonts w:ascii="宋体" w:hAnsi="宋体" w:hint="eastAsia"/>
          <w:sz w:val="24"/>
        </w:rPr>
        <w:t>（六）基金管理人在没有充足资金的情况下向基金托管人发出投资指令和赎回、分红资金的划拨指令，或违规向基金托管人发出指令。</w:t>
      </w:r>
    </w:p>
    <w:p w14:paraId="5BE86AAB" w14:textId="77777777" w:rsidR="005A043F" w:rsidRDefault="0029200C">
      <w:pPr>
        <w:spacing w:line="360" w:lineRule="auto"/>
        <w:ind w:firstLineChars="200" w:firstLine="480"/>
        <w:rPr>
          <w:rFonts w:ascii="宋体" w:hAnsi="宋体"/>
          <w:sz w:val="24"/>
        </w:rPr>
      </w:pPr>
      <w:r>
        <w:rPr>
          <w:rFonts w:ascii="宋体" w:hAnsi="宋体" w:hint="eastAsia"/>
          <w:sz w:val="24"/>
        </w:rPr>
        <w:t>（七）基金托管人对基金管理人的正常有效指令拖延或拒绝执行。</w:t>
      </w:r>
    </w:p>
    <w:p w14:paraId="7E5102A0" w14:textId="2CF70430" w:rsidR="005A043F" w:rsidRDefault="0029200C">
      <w:pPr>
        <w:spacing w:line="360" w:lineRule="auto"/>
        <w:ind w:firstLineChars="200" w:firstLine="480"/>
        <w:rPr>
          <w:rFonts w:ascii="宋体" w:hAnsi="宋体"/>
          <w:sz w:val="24"/>
        </w:rPr>
      </w:pPr>
      <w:r>
        <w:rPr>
          <w:rFonts w:ascii="宋体" w:hAnsi="宋体" w:hint="eastAsia"/>
          <w:sz w:val="24"/>
        </w:rPr>
        <w:t xml:space="preserve">（八）基金管理人、基金托管人在行政上、财务上不独立，其董事、监事、高级管理人员和其他从业人员相互兼职。 </w:t>
      </w:r>
    </w:p>
    <w:p w14:paraId="04DEB288" w14:textId="77777777" w:rsidR="005A043F" w:rsidRDefault="0029200C">
      <w:pPr>
        <w:spacing w:line="360" w:lineRule="auto"/>
        <w:ind w:firstLineChars="200" w:firstLine="480"/>
        <w:rPr>
          <w:rFonts w:ascii="宋体" w:hAnsi="宋体"/>
          <w:sz w:val="24"/>
        </w:rPr>
      </w:pPr>
      <w:r>
        <w:rPr>
          <w:rFonts w:ascii="宋体" w:hAnsi="宋体" w:hint="eastAsia"/>
          <w:sz w:val="24"/>
        </w:rPr>
        <w:t xml:space="preserve">（九）基金托管人私自动用或处分基金资产，根据基金管理人的合法指令、《基金合同》或本协议的约定进行处分的除外。 </w:t>
      </w:r>
    </w:p>
    <w:p w14:paraId="6E73CF5D" w14:textId="77777777" w:rsidR="005A043F" w:rsidRDefault="0029200C">
      <w:pPr>
        <w:spacing w:line="360" w:lineRule="auto"/>
        <w:ind w:firstLineChars="200" w:firstLine="480"/>
        <w:rPr>
          <w:rFonts w:ascii="宋体" w:hAnsi="宋体"/>
          <w:sz w:val="24"/>
        </w:rPr>
      </w:pPr>
      <w:r>
        <w:rPr>
          <w:rFonts w:ascii="宋体" w:hAnsi="宋体" w:hint="eastAsia"/>
          <w:sz w:val="24"/>
        </w:rPr>
        <w:t>（十）基金管理人、基金托管人不得利用基金财产用于下列投资或者活动：（</w:t>
      </w:r>
      <w:r>
        <w:rPr>
          <w:rFonts w:ascii="宋体" w:hAnsi="宋体"/>
          <w:sz w:val="24"/>
        </w:rPr>
        <w:t>1</w:t>
      </w:r>
      <w:r>
        <w:rPr>
          <w:rFonts w:ascii="宋体" w:hAnsi="宋体" w:hint="eastAsia"/>
          <w:sz w:val="24"/>
        </w:rPr>
        <w:t>）承销证券；（</w:t>
      </w:r>
      <w:r>
        <w:rPr>
          <w:rFonts w:ascii="宋体" w:hAnsi="宋体"/>
          <w:sz w:val="24"/>
        </w:rPr>
        <w:t>2</w:t>
      </w:r>
      <w:r>
        <w:rPr>
          <w:rFonts w:ascii="宋体" w:hAnsi="宋体" w:hint="eastAsia"/>
          <w:sz w:val="24"/>
        </w:rPr>
        <w:t>）违反规定向他人贷款或者提供担保；（</w:t>
      </w:r>
      <w:r>
        <w:rPr>
          <w:rFonts w:ascii="宋体" w:hAnsi="宋体"/>
          <w:sz w:val="24"/>
        </w:rPr>
        <w:t>3</w:t>
      </w:r>
      <w:r>
        <w:rPr>
          <w:rFonts w:ascii="宋体" w:hAnsi="宋体" w:hint="eastAsia"/>
          <w:sz w:val="24"/>
        </w:rPr>
        <w:t>）从事承担无限责任的投资；（</w:t>
      </w:r>
      <w:r>
        <w:rPr>
          <w:rFonts w:ascii="宋体" w:hAnsi="宋体"/>
          <w:sz w:val="24"/>
        </w:rPr>
        <w:t>4</w:t>
      </w:r>
      <w:r>
        <w:rPr>
          <w:rFonts w:ascii="宋体" w:hAnsi="宋体" w:hint="eastAsia"/>
          <w:sz w:val="24"/>
        </w:rPr>
        <w:t>）投资</w:t>
      </w:r>
      <w:r>
        <w:rPr>
          <w:rFonts w:hint="eastAsia"/>
          <w:sz w:val="24"/>
        </w:rPr>
        <w:t>QDII</w:t>
      </w:r>
      <w:r>
        <w:rPr>
          <w:rFonts w:hint="eastAsia"/>
          <w:sz w:val="24"/>
        </w:rPr>
        <w:t>基金、货币市场基金、香港互认基金、</w:t>
      </w:r>
      <w:r>
        <w:rPr>
          <w:rFonts w:ascii="宋体" w:hAnsi="宋体" w:hint="eastAsia"/>
          <w:sz w:val="24"/>
        </w:rPr>
        <w:t>基金中基金、可投资其他基金的</w:t>
      </w:r>
      <w:proofErr w:type="gramStart"/>
      <w:r>
        <w:rPr>
          <w:rFonts w:ascii="宋体" w:hAnsi="宋体" w:hint="eastAsia"/>
          <w:sz w:val="24"/>
        </w:rPr>
        <w:t>非基金</w:t>
      </w:r>
      <w:proofErr w:type="gramEnd"/>
      <w:r>
        <w:rPr>
          <w:rFonts w:ascii="宋体" w:hAnsi="宋体" w:hint="eastAsia"/>
          <w:sz w:val="24"/>
        </w:rPr>
        <w:t>中基金和本</w:t>
      </w:r>
      <w:proofErr w:type="gramStart"/>
      <w:r>
        <w:rPr>
          <w:rFonts w:ascii="宋体" w:hAnsi="宋体" w:hint="eastAsia"/>
          <w:sz w:val="24"/>
        </w:rPr>
        <w:t>基金基金</w:t>
      </w:r>
      <w:proofErr w:type="gramEnd"/>
      <w:r>
        <w:rPr>
          <w:rFonts w:ascii="宋体" w:hAnsi="宋体" w:hint="eastAsia"/>
          <w:sz w:val="24"/>
        </w:rPr>
        <w:t>经理管理的其他基金，但是中国证监会另有规定的除外；（5）持有具有复杂、衍生品性质的基金份额，包括分级基金和中国证监会认定的其他基金份额；（6）向其基金管理人、基金托管人出资；（</w:t>
      </w:r>
      <w:r>
        <w:rPr>
          <w:rFonts w:ascii="宋体" w:hAnsi="宋体"/>
          <w:sz w:val="24"/>
        </w:rPr>
        <w:t>7</w:t>
      </w:r>
      <w:r>
        <w:rPr>
          <w:rFonts w:ascii="宋体" w:hAnsi="宋体" w:hint="eastAsia"/>
          <w:sz w:val="24"/>
        </w:rPr>
        <w:t>）从事内幕交易、操纵证券交易价格及其他不正当的证券交易活动；（</w:t>
      </w:r>
      <w:r>
        <w:rPr>
          <w:rFonts w:ascii="宋体" w:hAnsi="宋体"/>
          <w:sz w:val="24"/>
        </w:rPr>
        <w:t>8</w:t>
      </w:r>
      <w:r>
        <w:rPr>
          <w:rFonts w:ascii="宋体" w:hAnsi="宋体" w:hint="eastAsia"/>
          <w:sz w:val="24"/>
        </w:rPr>
        <w:t>）法律、行政法规和中国证监会规定禁止的其他活动。</w:t>
      </w:r>
    </w:p>
    <w:p w14:paraId="1BC3466B" w14:textId="77777777" w:rsidR="005A043F" w:rsidRDefault="0029200C">
      <w:pPr>
        <w:spacing w:line="360" w:lineRule="auto"/>
        <w:ind w:firstLineChars="200" w:firstLine="480"/>
        <w:rPr>
          <w:rFonts w:ascii="宋体" w:hAnsi="宋体"/>
          <w:sz w:val="24"/>
        </w:rPr>
      </w:pPr>
      <w:r>
        <w:rPr>
          <w:rFonts w:ascii="宋体" w:hAnsi="宋体" w:hint="eastAsia"/>
          <w:sz w:val="24"/>
        </w:rPr>
        <w:t>（十一）法律法规和《基金合同》禁止的其他行为，以及依照法律法规有关规定，由中国证监会规定禁止基金管理人、基金托管人从事的其他行为。</w:t>
      </w:r>
    </w:p>
    <w:p w14:paraId="2D713271" w14:textId="77777777" w:rsidR="005A043F" w:rsidRDefault="0029200C">
      <w:pPr>
        <w:spacing w:line="360" w:lineRule="auto"/>
        <w:ind w:firstLineChars="200" w:firstLine="480"/>
        <w:rPr>
          <w:rFonts w:ascii="宋体" w:hAnsi="宋体"/>
          <w:sz w:val="24"/>
        </w:rPr>
      </w:pPr>
      <w:r>
        <w:rPr>
          <w:rFonts w:ascii="宋体" w:hAnsi="宋体" w:hint="eastAsia"/>
          <w:sz w:val="24"/>
        </w:rPr>
        <w:t>如法律法规或监管部门对上述限制进行变更的，以变更后的规定为准。如法律、行政法规或监管部门取消上述限制，如适用于本基金，基金管理人在履行适当程序后，则本基金投资不再受相关限制。</w:t>
      </w:r>
    </w:p>
    <w:p w14:paraId="6AA8DC09"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79" w:name="_Toc125361088"/>
      <w:bookmarkStart w:id="180" w:name="_Toc140002351"/>
      <w:bookmarkStart w:id="181" w:name="_Toc124749238"/>
      <w:bookmarkStart w:id="182" w:name="_Toc124749951"/>
      <w:bookmarkStart w:id="183" w:name="_Toc123626182"/>
      <w:r>
        <w:rPr>
          <w:rFonts w:ascii="宋体" w:hAnsi="宋体" w:cs="Arial" w:hint="eastAsia"/>
          <w:sz w:val="30"/>
        </w:rPr>
        <w:t>基金托管协议的变更、终止与基金财产的清算</w:t>
      </w:r>
      <w:bookmarkEnd w:id="179"/>
      <w:bookmarkEnd w:id="180"/>
      <w:bookmarkEnd w:id="181"/>
      <w:bookmarkEnd w:id="182"/>
      <w:bookmarkEnd w:id="183"/>
    </w:p>
    <w:p w14:paraId="6B0E2DF1" w14:textId="77777777" w:rsidR="005A043F" w:rsidRDefault="0029200C">
      <w:pPr>
        <w:spacing w:line="360" w:lineRule="auto"/>
        <w:ind w:firstLineChars="200" w:firstLine="480"/>
        <w:rPr>
          <w:rFonts w:ascii="宋体" w:hAnsi="宋体"/>
          <w:sz w:val="24"/>
        </w:rPr>
      </w:pPr>
      <w:r>
        <w:rPr>
          <w:rFonts w:ascii="宋体" w:hAnsi="宋体" w:hint="eastAsia"/>
          <w:sz w:val="24"/>
        </w:rPr>
        <w:t>（一）托管协议的变更与终止</w:t>
      </w:r>
    </w:p>
    <w:p w14:paraId="1A056D3D" w14:textId="77777777" w:rsidR="005A043F" w:rsidRDefault="0029200C">
      <w:pPr>
        <w:spacing w:line="360" w:lineRule="auto"/>
        <w:ind w:firstLineChars="200" w:firstLine="480"/>
        <w:rPr>
          <w:rFonts w:ascii="宋体" w:hAnsi="宋体"/>
          <w:sz w:val="24"/>
        </w:rPr>
      </w:pPr>
      <w:r>
        <w:rPr>
          <w:rFonts w:ascii="宋体" w:hAnsi="宋体" w:hint="eastAsia"/>
          <w:sz w:val="24"/>
        </w:rPr>
        <w:lastRenderedPageBreak/>
        <w:t>1、托管协议的变更程序</w:t>
      </w:r>
    </w:p>
    <w:p w14:paraId="5D3C8C35" w14:textId="77777777" w:rsidR="005A043F" w:rsidRDefault="0029200C">
      <w:pPr>
        <w:spacing w:line="360" w:lineRule="auto"/>
        <w:ind w:firstLineChars="200" w:firstLine="480"/>
        <w:rPr>
          <w:rFonts w:ascii="宋体" w:hAnsi="宋体"/>
          <w:sz w:val="24"/>
        </w:rPr>
      </w:pPr>
      <w:r>
        <w:rPr>
          <w:rFonts w:ascii="宋体" w:hAnsi="宋体" w:hint="eastAsia"/>
          <w:sz w:val="24"/>
        </w:rPr>
        <w:t>本协议双方当事人经协商一致，履行适当程序后可以对协议的内容进行变更。变更后的托管协议，其内容不得与《基金合同》的约定有任何冲突。</w:t>
      </w:r>
    </w:p>
    <w:p w14:paraId="76DBBF4B" w14:textId="77777777" w:rsidR="005A043F" w:rsidRDefault="0029200C">
      <w:pPr>
        <w:spacing w:line="360" w:lineRule="auto"/>
        <w:ind w:firstLineChars="200" w:firstLine="480"/>
        <w:rPr>
          <w:rFonts w:ascii="宋体" w:hAnsi="宋体"/>
          <w:sz w:val="24"/>
        </w:rPr>
      </w:pPr>
      <w:r>
        <w:rPr>
          <w:rFonts w:ascii="宋体" w:hAnsi="宋体" w:hint="eastAsia"/>
          <w:sz w:val="24"/>
        </w:rPr>
        <w:t>2、基金托管协议终止的情形</w:t>
      </w:r>
    </w:p>
    <w:p w14:paraId="67468B9E" w14:textId="77777777" w:rsidR="005A043F" w:rsidRDefault="0029200C">
      <w:pPr>
        <w:spacing w:line="360" w:lineRule="auto"/>
        <w:ind w:firstLineChars="200" w:firstLine="480"/>
        <w:rPr>
          <w:rFonts w:ascii="宋体" w:hAnsi="宋体"/>
          <w:sz w:val="24"/>
        </w:rPr>
      </w:pPr>
      <w:r>
        <w:rPr>
          <w:rFonts w:ascii="宋体" w:hAnsi="宋体" w:hint="eastAsia"/>
          <w:sz w:val="24"/>
        </w:rPr>
        <w:t>发生以下情况，本协议终止：</w:t>
      </w:r>
    </w:p>
    <w:p w14:paraId="1867117B" w14:textId="77777777" w:rsidR="005A043F" w:rsidRDefault="0029200C">
      <w:pPr>
        <w:spacing w:line="360" w:lineRule="auto"/>
        <w:ind w:firstLineChars="200" w:firstLine="480"/>
        <w:rPr>
          <w:rFonts w:ascii="宋体" w:hAnsi="宋体"/>
          <w:sz w:val="24"/>
        </w:rPr>
      </w:pPr>
      <w:r>
        <w:rPr>
          <w:rFonts w:ascii="宋体" w:hAnsi="宋体" w:hint="eastAsia"/>
          <w:sz w:val="24"/>
        </w:rPr>
        <w:t>（1）《基金合同》终止；</w:t>
      </w:r>
    </w:p>
    <w:p w14:paraId="4516506F" w14:textId="77777777" w:rsidR="005A043F" w:rsidRDefault="0029200C">
      <w:pPr>
        <w:spacing w:line="360" w:lineRule="auto"/>
        <w:ind w:firstLineChars="200" w:firstLine="480"/>
        <w:rPr>
          <w:rFonts w:ascii="宋体" w:hAnsi="宋体"/>
          <w:sz w:val="24"/>
        </w:rPr>
      </w:pPr>
      <w:r>
        <w:rPr>
          <w:rFonts w:ascii="宋体" w:hAnsi="宋体" w:hint="eastAsia"/>
          <w:sz w:val="24"/>
        </w:rPr>
        <w:t>（2）基金托管人解散、依法被撤销、破产或有其他基金托管人接管基金资产；</w:t>
      </w:r>
    </w:p>
    <w:p w14:paraId="0418875F" w14:textId="77777777" w:rsidR="005A043F" w:rsidRDefault="0029200C">
      <w:pPr>
        <w:spacing w:line="360" w:lineRule="auto"/>
        <w:ind w:firstLineChars="200" w:firstLine="480"/>
        <w:rPr>
          <w:rFonts w:ascii="宋体" w:hAnsi="宋体"/>
          <w:sz w:val="24"/>
        </w:rPr>
      </w:pPr>
      <w:r>
        <w:rPr>
          <w:rFonts w:ascii="宋体" w:hAnsi="宋体" w:hint="eastAsia"/>
          <w:sz w:val="24"/>
        </w:rPr>
        <w:t>（3）基金管理人解散、依法被撤销、破产或有其他基金管理人接管基金管理权；</w:t>
      </w:r>
    </w:p>
    <w:p w14:paraId="3C0E0135" w14:textId="77777777" w:rsidR="005A043F" w:rsidRDefault="0029200C">
      <w:pPr>
        <w:spacing w:line="360" w:lineRule="auto"/>
        <w:ind w:firstLineChars="200" w:firstLine="480"/>
        <w:rPr>
          <w:rFonts w:ascii="宋体" w:hAnsi="宋体"/>
          <w:sz w:val="24"/>
        </w:rPr>
      </w:pPr>
      <w:r>
        <w:rPr>
          <w:rFonts w:ascii="宋体" w:hAnsi="宋体" w:hint="eastAsia"/>
          <w:sz w:val="24"/>
        </w:rPr>
        <w:t>（4）发生法律法规或《基金合同》规定的终止事项。</w:t>
      </w:r>
    </w:p>
    <w:p w14:paraId="005122DA" w14:textId="77777777" w:rsidR="005A043F" w:rsidRDefault="0029200C">
      <w:pPr>
        <w:spacing w:line="360" w:lineRule="auto"/>
        <w:ind w:firstLineChars="200" w:firstLine="480"/>
        <w:rPr>
          <w:rFonts w:ascii="宋体" w:hAnsi="宋体"/>
          <w:sz w:val="24"/>
        </w:rPr>
      </w:pPr>
      <w:r>
        <w:rPr>
          <w:rFonts w:ascii="宋体" w:hAnsi="宋体" w:hint="eastAsia"/>
          <w:sz w:val="24"/>
        </w:rPr>
        <w:t>（二）基金财产的清算</w:t>
      </w:r>
    </w:p>
    <w:p w14:paraId="43B2BB72" w14:textId="77777777" w:rsidR="005A043F" w:rsidRDefault="0029200C">
      <w:pPr>
        <w:spacing w:line="360" w:lineRule="auto"/>
        <w:ind w:firstLineChars="200" w:firstLine="480"/>
        <w:rPr>
          <w:rFonts w:ascii="宋体" w:hAnsi="宋体"/>
          <w:sz w:val="24"/>
        </w:rPr>
      </w:pPr>
      <w:bookmarkStart w:id="184" w:name="_Hlk146557816"/>
      <w:r>
        <w:rPr>
          <w:rFonts w:ascii="宋体" w:hAnsi="宋体"/>
          <w:sz w:val="24"/>
        </w:rPr>
        <w:t>1、基金财产清算小组：自出现</w:t>
      </w:r>
      <w:r>
        <w:rPr>
          <w:rFonts w:ascii="宋体" w:hAnsi="宋体" w:hint="eastAsia"/>
          <w:sz w:val="24"/>
        </w:rPr>
        <w:t>《基金合同》</w:t>
      </w:r>
      <w:r>
        <w:rPr>
          <w:rFonts w:ascii="宋体" w:hAnsi="宋体"/>
          <w:sz w:val="24"/>
        </w:rPr>
        <w:t>终止事由之日起30个工作日内成立</w:t>
      </w:r>
      <w:r>
        <w:rPr>
          <w:rFonts w:ascii="宋体" w:hAnsi="宋体" w:hint="eastAsia"/>
          <w:sz w:val="24"/>
        </w:rPr>
        <w:t>基金财产</w:t>
      </w:r>
      <w:r>
        <w:rPr>
          <w:rFonts w:ascii="宋体" w:hAnsi="宋体"/>
          <w:sz w:val="24"/>
        </w:rPr>
        <w:t>清算小组，基金管理人组织基金财产清算小组并在中国证监会的监督下进行基金清算。</w:t>
      </w:r>
    </w:p>
    <w:p w14:paraId="3ACDCB60" w14:textId="77777777" w:rsidR="005A043F" w:rsidRDefault="0029200C">
      <w:pPr>
        <w:spacing w:line="360" w:lineRule="auto"/>
        <w:ind w:firstLineChars="200" w:firstLine="480"/>
        <w:rPr>
          <w:rFonts w:ascii="宋体" w:hAnsi="宋体"/>
          <w:sz w:val="24"/>
        </w:rPr>
      </w:pPr>
      <w:r>
        <w:rPr>
          <w:rFonts w:ascii="宋体" w:hAnsi="宋体"/>
          <w:sz w:val="24"/>
        </w:rPr>
        <w:t>2、在基金财产清算小组接管基金财产之前，基金管理人和基金托管人应按照</w:t>
      </w:r>
      <w:r>
        <w:rPr>
          <w:rFonts w:ascii="宋体" w:hAnsi="宋体" w:hint="eastAsia"/>
          <w:sz w:val="24"/>
        </w:rPr>
        <w:t>《基金合同》</w:t>
      </w:r>
      <w:r>
        <w:rPr>
          <w:rFonts w:ascii="宋体" w:hAnsi="宋体"/>
          <w:sz w:val="24"/>
        </w:rPr>
        <w:t>和托管协议的规定继续履行保护基金财产安全的职责。</w:t>
      </w:r>
    </w:p>
    <w:p w14:paraId="03FFE444" w14:textId="77777777" w:rsidR="005A043F" w:rsidRDefault="0029200C">
      <w:pPr>
        <w:spacing w:line="360" w:lineRule="auto"/>
        <w:ind w:firstLineChars="200" w:firstLine="480"/>
        <w:rPr>
          <w:rFonts w:ascii="宋体" w:hAnsi="宋体"/>
          <w:sz w:val="24"/>
        </w:rPr>
      </w:pPr>
      <w:r>
        <w:rPr>
          <w:rFonts w:ascii="宋体" w:hAnsi="宋体" w:hint="eastAsia"/>
          <w:sz w:val="24"/>
        </w:rPr>
        <w:t>3</w:t>
      </w:r>
      <w:r>
        <w:rPr>
          <w:rFonts w:ascii="宋体" w:hAnsi="宋体"/>
          <w:sz w:val="24"/>
        </w:rPr>
        <w:t>、基金财产清算小组组成：基金财产清算小组成员由基金管理人、基金托管人、</w:t>
      </w:r>
      <w:r>
        <w:rPr>
          <w:rFonts w:ascii="宋体" w:hAnsi="宋体" w:hint="eastAsia"/>
          <w:sz w:val="24"/>
        </w:rPr>
        <w:t>符合《证券法》规定</w:t>
      </w:r>
      <w:r>
        <w:rPr>
          <w:rFonts w:ascii="宋体" w:hAnsi="宋体"/>
          <w:sz w:val="24"/>
        </w:rPr>
        <w:t>的注册会计师、律师组成。基金财产清算小组可以聘用必要的工作人员。</w:t>
      </w:r>
    </w:p>
    <w:p w14:paraId="0AE4B5A3" w14:textId="77777777" w:rsidR="005A043F" w:rsidRDefault="0029200C">
      <w:pPr>
        <w:spacing w:line="360" w:lineRule="auto"/>
        <w:ind w:firstLineChars="200" w:firstLine="480"/>
        <w:rPr>
          <w:rFonts w:ascii="宋体" w:hAnsi="宋体"/>
          <w:sz w:val="24"/>
        </w:rPr>
      </w:pPr>
      <w:r>
        <w:rPr>
          <w:rFonts w:ascii="宋体" w:hAnsi="宋体" w:hint="eastAsia"/>
          <w:sz w:val="24"/>
        </w:rPr>
        <w:t>4</w:t>
      </w:r>
      <w:r>
        <w:rPr>
          <w:rFonts w:ascii="宋体" w:hAnsi="宋体"/>
          <w:sz w:val="24"/>
        </w:rPr>
        <w:t>、基金财产清算小组职责：基金财产清算小组负责基金财产的保管、清理、估价、变现和分配。基金财产清算小组可以依法进行必要的民事活动。</w:t>
      </w:r>
    </w:p>
    <w:p w14:paraId="0318D2C9" w14:textId="77777777" w:rsidR="005A043F" w:rsidRDefault="0029200C">
      <w:pPr>
        <w:spacing w:line="360" w:lineRule="auto"/>
        <w:ind w:firstLineChars="200" w:firstLine="480"/>
        <w:rPr>
          <w:rFonts w:ascii="宋体" w:hAnsi="宋体"/>
          <w:sz w:val="24"/>
        </w:rPr>
      </w:pPr>
      <w:r>
        <w:rPr>
          <w:rFonts w:ascii="宋体" w:hAnsi="宋体" w:hint="eastAsia"/>
          <w:sz w:val="24"/>
        </w:rPr>
        <w:t>5</w:t>
      </w:r>
      <w:r>
        <w:rPr>
          <w:rFonts w:ascii="宋体" w:hAnsi="宋体"/>
          <w:sz w:val="24"/>
        </w:rPr>
        <w:t>、基金财产清算程序：</w:t>
      </w:r>
      <w:r>
        <w:rPr>
          <w:rFonts w:ascii="宋体" w:hAnsi="宋体"/>
          <w:sz w:val="24"/>
        </w:rPr>
        <w:tab/>
      </w:r>
    </w:p>
    <w:p w14:paraId="6A5B0EB5" w14:textId="77777777" w:rsidR="005A043F" w:rsidRDefault="0029200C">
      <w:pPr>
        <w:spacing w:line="360" w:lineRule="auto"/>
        <w:ind w:firstLineChars="200" w:firstLine="480"/>
        <w:rPr>
          <w:rFonts w:ascii="宋体" w:hAnsi="宋体"/>
          <w:sz w:val="24"/>
        </w:rPr>
      </w:pPr>
      <w:r>
        <w:rPr>
          <w:rFonts w:ascii="宋体" w:hAnsi="宋体"/>
          <w:sz w:val="24"/>
        </w:rPr>
        <w:t>（1）基金财产清算小组成立后，由基金财产清算小组统一接管基金</w:t>
      </w:r>
      <w:r>
        <w:rPr>
          <w:rFonts w:ascii="宋体" w:hAnsi="宋体" w:hint="eastAsia"/>
          <w:sz w:val="24"/>
        </w:rPr>
        <w:t>财产</w:t>
      </w:r>
      <w:r>
        <w:rPr>
          <w:rFonts w:ascii="宋体" w:hAnsi="宋体"/>
          <w:sz w:val="24"/>
        </w:rPr>
        <w:t>；</w:t>
      </w:r>
    </w:p>
    <w:p w14:paraId="42501D9B" w14:textId="77777777" w:rsidR="005A043F" w:rsidRDefault="0029200C">
      <w:pPr>
        <w:spacing w:line="360" w:lineRule="auto"/>
        <w:ind w:firstLineChars="200" w:firstLine="480"/>
        <w:rPr>
          <w:rFonts w:ascii="宋体" w:hAnsi="宋体"/>
          <w:sz w:val="24"/>
        </w:rPr>
      </w:pPr>
      <w:r>
        <w:rPr>
          <w:rFonts w:ascii="宋体" w:hAnsi="宋体"/>
          <w:sz w:val="24"/>
        </w:rPr>
        <w:lastRenderedPageBreak/>
        <w:t>（2）对基金财产和债权债务进行清理和确认；</w:t>
      </w:r>
    </w:p>
    <w:p w14:paraId="168CAAB6" w14:textId="77777777" w:rsidR="005A043F" w:rsidRDefault="0029200C">
      <w:pPr>
        <w:spacing w:line="360" w:lineRule="auto"/>
        <w:ind w:firstLineChars="200" w:firstLine="480"/>
        <w:rPr>
          <w:rFonts w:ascii="宋体" w:hAnsi="宋体"/>
          <w:sz w:val="24"/>
        </w:rPr>
      </w:pPr>
      <w:r>
        <w:rPr>
          <w:rFonts w:ascii="宋体" w:hAnsi="宋体"/>
          <w:sz w:val="24"/>
        </w:rPr>
        <w:t>（3）对基金财产进行估值和变现；</w:t>
      </w:r>
    </w:p>
    <w:p w14:paraId="2D7DD512" w14:textId="77777777" w:rsidR="005A043F" w:rsidRDefault="0029200C">
      <w:pPr>
        <w:spacing w:line="360" w:lineRule="auto"/>
        <w:ind w:firstLineChars="200" w:firstLine="480"/>
        <w:rPr>
          <w:rFonts w:ascii="宋体" w:hAnsi="宋体"/>
          <w:sz w:val="24"/>
        </w:rPr>
      </w:pPr>
      <w:r>
        <w:rPr>
          <w:rFonts w:ascii="宋体" w:hAnsi="宋体"/>
          <w:sz w:val="24"/>
        </w:rPr>
        <w:t>（4）制作清算报告；</w:t>
      </w:r>
    </w:p>
    <w:p w14:paraId="4F63DBEB" w14:textId="77777777" w:rsidR="005A043F" w:rsidRDefault="0029200C">
      <w:pPr>
        <w:spacing w:line="360" w:lineRule="auto"/>
        <w:ind w:firstLineChars="200" w:firstLine="480"/>
        <w:rPr>
          <w:rFonts w:ascii="宋体" w:hAnsi="宋体"/>
          <w:sz w:val="24"/>
        </w:rPr>
      </w:pPr>
      <w:r>
        <w:rPr>
          <w:rFonts w:ascii="宋体" w:hAnsi="宋体"/>
          <w:sz w:val="24"/>
        </w:rPr>
        <w:t>（5）聘请会计师事务所对清算报告进行外部审计，聘请律师事务所对清算报告出具法律意见书；</w:t>
      </w:r>
    </w:p>
    <w:p w14:paraId="44F8B20B" w14:textId="77777777" w:rsidR="005A043F" w:rsidRDefault="0029200C">
      <w:pPr>
        <w:spacing w:line="360" w:lineRule="auto"/>
        <w:ind w:firstLineChars="200" w:firstLine="480"/>
        <w:rPr>
          <w:rFonts w:ascii="宋体" w:hAnsi="宋体"/>
          <w:sz w:val="24"/>
        </w:rPr>
      </w:pPr>
      <w:r>
        <w:rPr>
          <w:rFonts w:ascii="宋体" w:hAnsi="宋体"/>
          <w:sz w:val="24"/>
        </w:rPr>
        <w:t>（6）将清算报告报中国证监会备案并公告</w:t>
      </w:r>
      <w:r>
        <w:rPr>
          <w:rFonts w:ascii="宋体" w:hAnsi="宋体" w:hint="eastAsia"/>
          <w:sz w:val="24"/>
        </w:rPr>
        <w:t>；</w:t>
      </w:r>
    </w:p>
    <w:p w14:paraId="13D32A83" w14:textId="77777777" w:rsidR="005A043F" w:rsidRDefault="0029200C">
      <w:pPr>
        <w:spacing w:line="360" w:lineRule="auto"/>
        <w:ind w:firstLineChars="200" w:firstLine="480"/>
        <w:rPr>
          <w:rFonts w:ascii="宋体" w:hAnsi="宋体"/>
          <w:sz w:val="24"/>
        </w:rPr>
      </w:pPr>
      <w:r>
        <w:rPr>
          <w:rFonts w:ascii="宋体" w:hAnsi="宋体"/>
          <w:sz w:val="24"/>
        </w:rPr>
        <w:t>（7）对基金</w:t>
      </w:r>
      <w:r>
        <w:rPr>
          <w:rFonts w:ascii="宋体" w:hAnsi="宋体" w:hint="eastAsia"/>
          <w:sz w:val="24"/>
        </w:rPr>
        <w:t>剩余</w:t>
      </w:r>
      <w:r>
        <w:rPr>
          <w:rFonts w:ascii="宋体" w:hAnsi="宋体"/>
          <w:sz w:val="24"/>
        </w:rPr>
        <w:t>财产进行分配</w:t>
      </w:r>
      <w:r>
        <w:rPr>
          <w:rFonts w:ascii="宋体" w:hAnsi="宋体" w:hint="eastAsia"/>
          <w:sz w:val="24"/>
        </w:rPr>
        <w:t>。</w:t>
      </w:r>
    </w:p>
    <w:p w14:paraId="2712A740" w14:textId="77777777" w:rsidR="005A043F" w:rsidRDefault="0029200C">
      <w:pPr>
        <w:spacing w:line="360" w:lineRule="auto"/>
        <w:ind w:firstLineChars="200" w:firstLine="480"/>
        <w:rPr>
          <w:rFonts w:ascii="宋体" w:hAnsi="宋体"/>
          <w:sz w:val="24"/>
        </w:rPr>
      </w:pPr>
      <w:r>
        <w:rPr>
          <w:rFonts w:ascii="宋体" w:hAnsi="宋体"/>
          <w:sz w:val="24"/>
        </w:rPr>
        <w:t>基金财产清算的期限为</w:t>
      </w:r>
      <w:r>
        <w:rPr>
          <w:rFonts w:ascii="宋体" w:hAnsi="宋体" w:hint="eastAsia"/>
          <w:sz w:val="24"/>
        </w:rPr>
        <w:t>6</w:t>
      </w:r>
      <w:r>
        <w:rPr>
          <w:rFonts w:ascii="宋体" w:hAnsi="宋体"/>
          <w:sz w:val="24"/>
        </w:rPr>
        <w:t>个月，但因本基金所持证券</w:t>
      </w:r>
      <w:r>
        <w:rPr>
          <w:rFonts w:ascii="宋体" w:hAnsi="宋体" w:hint="eastAsia"/>
          <w:sz w:val="24"/>
        </w:rPr>
        <w:t>、基金</w:t>
      </w:r>
      <w:r>
        <w:rPr>
          <w:rFonts w:ascii="宋体" w:hAnsi="宋体"/>
          <w:sz w:val="24"/>
        </w:rPr>
        <w:t>的流动性受到限制而不能及时变现</w:t>
      </w:r>
      <w:r>
        <w:rPr>
          <w:rFonts w:ascii="宋体" w:hAnsi="宋体" w:hint="eastAsia"/>
          <w:sz w:val="24"/>
        </w:rPr>
        <w:t>、结算保证金相关规定等客观因素</w:t>
      </w:r>
      <w:r>
        <w:rPr>
          <w:rFonts w:ascii="宋体" w:hAnsi="宋体"/>
          <w:sz w:val="24"/>
        </w:rPr>
        <w:t>，清算期限相应顺延。</w:t>
      </w:r>
    </w:p>
    <w:p w14:paraId="11A71CEB" w14:textId="77777777" w:rsidR="005A043F" w:rsidRDefault="0029200C">
      <w:pPr>
        <w:spacing w:line="360" w:lineRule="auto"/>
        <w:ind w:firstLineChars="200" w:firstLine="480"/>
        <w:rPr>
          <w:rFonts w:ascii="宋体" w:hAnsi="宋体"/>
          <w:sz w:val="24"/>
        </w:rPr>
      </w:pPr>
      <w:r>
        <w:rPr>
          <w:rFonts w:ascii="宋体" w:hAnsi="宋体" w:hint="eastAsia"/>
          <w:sz w:val="24"/>
        </w:rPr>
        <w:t>6、清算费用</w:t>
      </w:r>
    </w:p>
    <w:p w14:paraId="530D0E9B" w14:textId="77777777" w:rsidR="005A043F" w:rsidRDefault="0029200C">
      <w:pPr>
        <w:spacing w:line="360" w:lineRule="auto"/>
        <w:ind w:firstLineChars="200" w:firstLine="480"/>
        <w:rPr>
          <w:rFonts w:ascii="宋体" w:hAnsi="宋体"/>
          <w:sz w:val="24"/>
        </w:rPr>
      </w:pPr>
      <w:r>
        <w:rPr>
          <w:rFonts w:ascii="宋体" w:hAnsi="宋体"/>
          <w:sz w:val="24"/>
        </w:rPr>
        <w:t>清算费用是指基金财产清算小组在进行基金</w:t>
      </w:r>
      <w:r>
        <w:rPr>
          <w:rFonts w:ascii="宋体" w:hAnsi="宋体" w:hint="eastAsia"/>
          <w:sz w:val="24"/>
        </w:rPr>
        <w:t>财产</w:t>
      </w:r>
      <w:r>
        <w:rPr>
          <w:rFonts w:ascii="宋体" w:hAnsi="宋体"/>
          <w:sz w:val="24"/>
        </w:rPr>
        <w:t>清算过程中发生的所有合理费用，清算费用由基金财产清算小组优先从基金</w:t>
      </w:r>
      <w:r>
        <w:rPr>
          <w:rFonts w:ascii="宋体" w:hAnsi="宋体" w:hint="eastAsia"/>
          <w:sz w:val="24"/>
        </w:rPr>
        <w:t>剩余</w:t>
      </w:r>
      <w:r>
        <w:rPr>
          <w:rFonts w:ascii="宋体" w:hAnsi="宋体"/>
          <w:sz w:val="24"/>
        </w:rPr>
        <w:t>财产中支付。</w:t>
      </w:r>
    </w:p>
    <w:p w14:paraId="36F622BB" w14:textId="77777777" w:rsidR="005A043F" w:rsidRDefault="0029200C">
      <w:pPr>
        <w:spacing w:line="360" w:lineRule="auto"/>
        <w:ind w:firstLineChars="200" w:firstLine="480"/>
        <w:rPr>
          <w:rFonts w:ascii="宋体" w:hAnsi="宋体"/>
          <w:sz w:val="24"/>
        </w:rPr>
      </w:pPr>
      <w:r>
        <w:rPr>
          <w:rFonts w:ascii="宋体" w:hAnsi="宋体" w:hint="eastAsia"/>
          <w:sz w:val="24"/>
        </w:rPr>
        <w:t>7、基金财产按下列顺序清偿：</w:t>
      </w:r>
    </w:p>
    <w:p w14:paraId="1B9F3248" w14:textId="77777777" w:rsidR="005A043F" w:rsidRDefault="0029200C">
      <w:pPr>
        <w:spacing w:line="360" w:lineRule="auto"/>
        <w:ind w:firstLineChars="200" w:firstLine="480"/>
        <w:rPr>
          <w:rFonts w:ascii="宋体" w:hAnsi="宋体"/>
          <w:sz w:val="24"/>
        </w:rPr>
      </w:pPr>
      <w:r>
        <w:rPr>
          <w:rFonts w:ascii="宋体" w:hAnsi="宋体" w:hint="eastAsia"/>
          <w:sz w:val="24"/>
        </w:rPr>
        <w:t>(1)支付清算费用；</w:t>
      </w:r>
    </w:p>
    <w:p w14:paraId="4558BF89" w14:textId="77777777" w:rsidR="005A043F" w:rsidRDefault="0029200C">
      <w:pPr>
        <w:spacing w:line="360" w:lineRule="auto"/>
        <w:ind w:firstLineChars="200" w:firstLine="480"/>
        <w:rPr>
          <w:rFonts w:ascii="宋体" w:hAnsi="宋体"/>
          <w:sz w:val="24"/>
        </w:rPr>
      </w:pPr>
      <w:r>
        <w:rPr>
          <w:rFonts w:ascii="宋体" w:hAnsi="宋体" w:hint="eastAsia"/>
          <w:sz w:val="24"/>
        </w:rPr>
        <w:t>(2)交纳所欠税款；</w:t>
      </w:r>
    </w:p>
    <w:p w14:paraId="78B8BA44" w14:textId="77777777" w:rsidR="005A043F" w:rsidRDefault="0029200C">
      <w:pPr>
        <w:spacing w:line="360" w:lineRule="auto"/>
        <w:ind w:firstLineChars="200" w:firstLine="480"/>
        <w:rPr>
          <w:rFonts w:ascii="宋体" w:hAnsi="宋体"/>
          <w:sz w:val="24"/>
        </w:rPr>
      </w:pPr>
      <w:r>
        <w:rPr>
          <w:rFonts w:ascii="宋体" w:hAnsi="宋体" w:hint="eastAsia"/>
          <w:sz w:val="24"/>
        </w:rPr>
        <w:t>(3)清偿基金债务；</w:t>
      </w:r>
    </w:p>
    <w:p w14:paraId="61CEB830" w14:textId="77777777" w:rsidR="005A043F" w:rsidRDefault="0029200C">
      <w:pPr>
        <w:spacing w:line="360" w:lineRule="auto"/>
        <w:ind w:firstLineChars="200" w:firstLine="480"/>
        <w:rPr>
          <w:rFonts w:ascii="宋体" w:hAnsi="宋体"/>
          <w:sz w:val="24"/>
        </w:rPr>
      </w:pPr>
      <w:r>
        <w:rPr>
          <w:rFonts w:ascii="宋体" w:hAnsi="宋体" w:hint="eastAsia"/>
          <w:sz w:val="24"/>
        </w:rPr>
        <w:t>(4)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对基金财产清算后本类别基金份额的剩余资产具有同等的分配权。</w:t>
      </w:r>
    </w:p>
    <w:p w14:paraId="527D0272" w14:textId="77777777" w:rsidR="005A043F" w:rsidRDefault="0029200C">
      <w:pPr>
        <w:spacing w:line="360" w:lineRule="auto"/>
        <w:ind w:firstLineChars="200" w:firstLine="480"/>
        <w:rPr>
          <w:rFonts w:ascii="宋体" w:hAnsi="宋体"/>
          <w:sz w:val="24"/>
        </w:rPr>
      </w:pPr>
      <w:r>
        <w:rPr>
          <w:rFonts w:ascii="宋体" w:hAnsi="宋体" w:hint="eastAsia"/>
          <w:sz w:val="24"/>
        </w:rPr>
        <w:t>基金财产未按前款(1)－(</w:t>
      </w:r>
      <w:r>
        <w:rPr>
          <w:rFonts w:ascii="宋体" w:hAnsi="宋体"/>
          <w:sz w:val="24"/>
        </w:rPr>
        <w:t>3</w:t>
      </w:r>
      <w:r>
        <w:rPr>
          <w:rFonts w:ascii="宋体" w:hAnsi="宋体" w:hint="eastAsia"/>
          <w:sz w:val="24"/>
        </w:rPr>
        <w:t>)项规定清偿前，不分配给基金份额持有人。</w:t>
      </w:r>
    </w:p>
    <w:p w14:paraId="20D3B6AB" w14:textId="77777777" w:rsidR="005A043F" w:rsidRDefault="0029200C">
      <w:pPr>
        <w:spacing w:line="360" w:lineRule="auto"/>
        <w:ind w:firstLineChars="200" w:firstLine="480"/>
        <w:rPr>
          <w:rFonts w:ascii="宋体" w:hAnsi="宋体"/>
          <w:sz w:val="24"/>
        </w:rPr>
      </w:pPr>
      <w:r>
        <w:rPr>
          <w:rFonts w:ascii="宋体" w:hAnsi="宋体" w:hint="eastAsia"/>
          <w:sz w:val="24"/>
        </w:rPr>
        <w:t>（三）基金财产清算的公告</w:t>
      </w:r>
    </w:p>
    <w:p w14:paraId="75137D22" w14:textId="77777777" w:rsidR="005A043F" w:rsidRDefault="0029200C">
      <w:pPr>
        <w:spacing w:line="360" w:lineRule="auto"/>
        <w:ind w:firstLineChars="200" w:firstLine="480"/>
        <w:rPr>
          <w:rFonts w:ascii="宋体" w:hAnsi="宋体"/>
          <w:sz w:val="24"/>
        </w:rPr>
      </w:pPr>
      <w:r>
        <w:rPr>
          <w:rFonts w:ascii="宋体" w:hAnsi="宋体"/>
          <w:sz w:val="24"/>
        </w:rPr>
        <w:t>清算过程中的有关重大事项</w:t>
      </w:r>
      <w:r>
        <w:rPr>
          <w:rFonts w:ascii="宋体" w:hAnsi="宋体" w:hint="eastAsia"/>
          <w:sz w:val="24"/>
        </w:rPr>
        <w:t>应</w:t>
      </w:r>
      <w:r>
        <w:rPr>
          <w:rFonts w:ascii="宋体" w:hAnsi="宋体"/>
          <w:sz w:val="24"/>
        </w:rPr>
        <w:t>及时公告；基金财产清算报告</w:t>
      </w:r>
      <w:proofErr w:type="gramStart"/>
      <w:r>
        <w:rPr>
          <w:rFonts w:ascii="宋体" w:hAnsi="宋体"/>
          <w:sz w:val="24"/>
        </w:rPr>
        <w:t>经</w:t>
      </w:r>
      <w:r>
        <w:rPr>
          <w:rFonts w:ascii="宋体" w:hAnsi="宋体" w:hint="eastAsia"/>
          <w:sz w:val="24"/>
        </w:rPr>
        <w:t>符合</w:t>
      </w:r>
      <w:proofErr w:type="gramEnd"/>
      <w:r>
        <w:rPr>
          <w:rFonts w:ascii="宋体" w:hAnsi="宋体" w:hint="eastAsia"/>
          <w:sz w:val="24"/>
        </w:rPr>
        <w:t>《证券法》</w:t>
      </w:r>
      <w:r>
        <w:rPr>
          <w:rFonts w:ascii="宋体" w:hAnsi="宋体" w:hint="eastAsia"/>
          <w:sz w:val="24"/>
        </w:rPr>
        <w:lastRenderedPageBreak/>
        <w:t>规定</w:t>
      </w:r>
      <w:r>
        <w:rPr>
          <w:rFonts w:ascii="宋体" w:hAnsi="宋体"/>
          <w:sz w:val="24"/>
        </w:rPr>
        <w:t>的会计师事务所审计并由律师事务所出具法律意见书后报中国证监会备案并公告。基金财产清算报告报中国证监会备案后</w:t>
      </w:r>
      <w:r>
        <w:rPr>
          <w:rFonts w:ascii="宋体" w:hAnsi="宋体" w:hint="eastAsia"/>
          <w:sz w:val="24"/>
        </w:rPr>
        <w:t>5</w:t>
      </w:r>
      <w:r>
        <w:rPr>
          <w:rFonts w:ascii="宋体" w:hAnsi="宋体"/>
          <w:sz w:val="24"/>
        </w:rPr>
        <w:t>个工作日内由基金财产清算小组进行公告。</w:t>
      </w:r>
    </w:p>
    <w:p w14:paraId="07B47857" w14:textId="77777777" w:rsidR="005A043F" w:rsidRDefault="0029200C">
      <w:pPr>
        <w:spacing w:line="360" w:lineRule="auto"/>
        <w:ind w:firstLineChars="200" w:firstLine="480"/>
        <w:rPr>
          <w:rFonts w:ascii="宋体" w:hAnsi="宋体"/>
          <w:sz w:val="24"/>
        </w:rPr>
      </w:pPr>
      <w:r>
        <w:rPr>
          <w:rFonts w:ascii="宋体" w:hAnsi="宋体" w:hint="eastAsia"/>
          <w:sz w:val="24"/>
        </w:rPr>
        <w:t>（四）基金财产清算账册及文件的保存</w:t>
      </w:r>
    </w:p>
    <w:p w14:paraId="3179662B" w14:textId="77777777" w:rsidR="005A043F" w:rsidRDefault="0029200C">
      <w:pPr>
        <w:spacing w:line="360" w:lineRule="auto"/>
        <w:ind w:firstLineChars="200" w:firstLine="480"/>
        <w:rPr>
          <w:rFonts w:ascii="宋体" w:hAnsi="宋体"/>
          <w:sz w:val="24"/>
        </w:rPr>
      </w:pPr>
      <w:r>
        <w:rPr>
          <w:rFonts w:ascii="宋体" w:hAnsi="宋体"/>
          <w:sz w:val="24"/>
        </w:rPr>
        <w:t>基金财产清算账册及有关文件由基金托管人保存</w:t>
      </w:r>
      <w:r>
        <w:rPr>
          <w:rFonts w:ascii="宋体" w:hAnsi="宋体" w:hint="eastAsia"/>
          <w:sz w:val="24"/>
        </w:rPr>
        <w:t>，保存期限不低于法律法规规定的最低年限</w:t>
      </w:r>
      <w:r>
        <w:rPr>
          <w:rFonts w:ascii="宋体" w:hAnsi="宋体"/>
          <w:sz w:val="24"/>
        </w:rPr>
        <w:t>。</w:t>
      </w:r>
    </w:p>
    <w:p w14:paraId="19513AD1"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85" w:name="_Toc140002352"/>
      <w:bookmarkStart w:id="186" w:name="_Toc125361089"/>
      <w:bookmarkStart w:id="187" w:name="_Toc124749952"/>
      <w:bookmarkStart w:id="188" w:name="_Toc123626183"/>
      <w:bookmarkStart w:id="189" w:name="_Toc124749239"/>
      <w:bookmarkEnd w:id="184"/>
      <w:r>
        <w:rPr>
          <w:rFonts w:ascii="宋体" w:hAnsi="宋体" w:cs="Arial" w:hint="eastAsia"/>
          <w:sz w:val="30"/>
        </w:rPr>
        <w:t>违约责任</w:t>
      </w:r>
      <w:bookmarkEnd w:id="185"/>
      <w:bookmarkEnd w:id="186"/>
      <w:bookmarkEnd w:id="187"/>
      <w:bookmarkEnd w:id="188"/>
      <w:bookmarkEnd w:id="189"/>
    </w:p>
    <w:p w14:paraId="5C4A2A6F" w14:textId="77777777" w:rsidR="005A043F" w:rsidRDefault="0029200C">
      <w:pPr>
        <w:spacing w:line="360" w:lineRule="auto"/>
        <w:ind w:firstLineChars="200" w:firstLine="480"/>
        <w:rPr>
          <w:rFonts w:ascii="宋体" w:hAnsi="宋体"/>
          <w:sz w:val="24"/>
        </w:rPr>
      </w:pPr>
      <w:r>
        <w:rPr>
          <w:rFonts w:ascii="宋体" w:hAnsi="宋体" w:hint="eastAsia"/>
          <w:sz w:val="24"/>
        </w:rPr>
        <w:t>（一）如果基金管理人或基金托管人不履行本协议或者履行本协议不符合约定的，应当承担违约责任。但是发生下列情况之一的，相应的当事人免责：</w:t>
      </w:r>
    </w:p>
    <w:p w14:paraId="244ABB3E" w14:textId="77777777" w:rsidR="005A043F" w:rsidRDefault="0029200C">
      <w:pPr>
        <w:spacing w:line="360" w:lineRule="auto"/>
        <w:ind w:firstLineChars="200" w:firstLine="480"/>
        <w:rPr>
          <w:rFonts w:ascii="宋体" w:hAnsi="宋体"/>
          <w:sz w:val="24"/>
        </w:rPr>
      </w:pPr>
      <w:r>
        <w:rPr>
          <w:rFonts w:ascii="宋体" w:hAnsi="宋体" w:hint="eastAsia"/>
          <w:sz w:val="24"/>
        </w:rPr>
        <w:t>1、基金管理人和/或基金托管人按照当时有效的法律法规或中国证监会的规定作为或不作为而造成的损失等；</w:t>
      </w:r>
    </w:p>
    <w:p w14:paraId="61FE07F9" w14:textId="77777777" w:rsidR="005A043F" w:rsidRDefault="0029200C">
      <w:pPr>
        <w:spacing w:line="360" w:lineRule="auto"/>
        <w:ind w:firstLineChars="200" w:firstLine="480"/>
        <w:rPr>
          <w:rFonts w:ascii="宋体" w:hAnsi="宋体"/>
          <w:sz w:val="24"/>
        </w:rPr>
      </w:pPr>
      <w:r>
        <w:rPr>
          <w:rFonts w:ascii="宋体" w:hAnsi="宋体" w:hint="eastAsia"/>
          <w:sz w:val="24"/>
        </w:rPr>
        <w:t>2、基金管理人按照基金合同约定的投资原则行使或不行使其投资权造成的损失等；</w:t>
      </w:r>
    </w:p>
    <w:p w14:paraId="6984BC1D" w14:textId="77777777" w:rsidR="005A043F" w:rsidRDefault="0029200C">
      <w:pPr>
        <w:spacing w:line="360" w:lineRule="auto"/>
        <w:ind w:firstLineChars="200" w:firstLine="480"/>
        <w:rPr>
          <w:rFonts w:ascii="宋体" w:hAnsi="宋体"/>
          <w:sz w:val="24"/>
        </w:rPr>
      </w:pPr>
      <w:r>
        <w:rPr>
          <w:rFonts w:ascii="宋体" w:hAnsi="宋体" w:hint="eastAsia"/>
          <w:sz w:val="24"/>
        </w:rPr>
        <w:t>3、不可抗力。</w:t>
      </w:r>
    </w:p>
    <w:p w14:paraId="24318A84" w14:textId="77777777" w:rsidR="005A043F" w:rsidRDefault="0029200C">
      <w:pPr>
        <w:spacing w:line="360" w:lineRule="auto"/>
        <w:ind w:firstLineChars="200" w:firstLine="480"/>
        <w:rPr>
          <w:rFonts w:ascii="宋体" w:hAnsi="宋体"/>
          <w:sz w:val="24"/>
        </w:rPr>
      </w:pPr>
      <w:r>
        <w:rPr>
          <w:rFonts w:ascii="宋体" w:hAnsi="宋体" w:hint="eastAsia"/>
          <w:sz w:val="24"/>
        </w:rPr>
        <w:t>（二）因本协议当事人违反《基金法》等法律法规的规定或者基金合同、本协议</w:t>
      </w:r>
      <w:r>
        <w:rPr>
          <w:rFonts w:ascii="宋体" w:hAnsi="宋体"/>
          <w:sz w:val="24"/>
        </w:rPr>
        <w:t>约定</w:t>
      </w:r>
      <w:r>
        <w:rPr>
          <w:rFonts w:ascii="宋体" w:hAnsi="宋体" w:hint="eastAsia"/>
          <w:sz w:val="24"/>
        </w:rPr>
        <w:t>给基金财产或者基金份额持有人造成损失的，应当分别对各自的行为依法承担赔偿责任，因共同行为给基金财产或者基金份额持有人造成损失的，应当承担连带赔偿责任。</w:t>
      </w:r>
      <w:r>
        <w:rPr>
          <w:rFonts w:ascii="宋体" w:hAnsi="宋体"/>
          <w:sz w:val="24"/>
        </w:rPr>
        <w:tab/>
      </w:r>
    </w:p>
    <w:p w14:paraId="1B9BA599" w14:textId="77777777" w:rsidR="005A043F" w:rsidRDefault="0029200C">
      <w:pPr>
        <w:spacing w:line="360" w:lineRule="auto"/>
        <w:ind w:firstLineChars="200" w:firstLine="480"/>
        <w:rPr>
          <w:rFonts w:ascii="宋体" w:hAnsi="宋体"/>
          <w:sz w:val="24"/>
        </w:rPr>
      </w:pPr>
      <w:r>
        <w:rPr>
          <w:rFonts w:ascii="宋体" w:hAnsi="宋体" w:hint="eastAsia"/>
          <w:sz w:val="24"/>
        </w:rPr>
        <w:t>（三）当事人违反本协议约定，给另一方当事人造成损失的，应承担赔偿责任。</w:t>
      </w:r>
    </w:p>
    <w:p w14:paraId="3D2CA889" w14:textId="77777777" w:rsidR="005A043F" w:rsidRDefault="0029200C">
      <w:pPr>
        <w:spacing w:line="360" w:lineRule="auto"/>
        <w:ind w:firstLineChars="200" w:firstLine="480"/>
        <w:rPr>
          <w:rFonts w:ascii="宋体" w:hAnsi="宋体"/>
          <w:sz w:val="24"/>
        </w:rPr>
      </w:pPr>
      <w:r>
        <w:rPr>
          <w:rFonts w:ascii="宋体" w:hAnsi="宋体" w:hint="eastAsia"/>
          <w:sz w:val="24"/>
        </w:rPr>
        <w:t>（四）当事人一方违约，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754A7452" w14:textId="77777777" w:rsidR="005A043F" w:rsidRDefault="0029200C">
      <w:pPr>
        <w:spacing w:line="360" w:lineRule="auto"/>
        <w:ind w:firstLineChars="200" w:firstLine="480"/>
        <w:rPr>
          <w:rFonts w:ascii="宋体" w:hAnsi="宋体"/>
          <w:sz w:val="24"/>
        </w:rPr>
      </w:pPr>
      <w:r>
        <w:rPr>
          <w:rFonts w:ascii="宋体" w:hAnsi="宋体" w:hint="eastAsia"/>
          <w:sz w:val="24"/>
        </w:rPr>
        <w:t>（五）违约行为虽已发生，但本协议能够继续履行的，在最大限度地保护基</w:t>
      </w:r>
      <w:r>
        <w:rPr>
          <w:rFonts w:ascii="宋体" w:hAnsi="宋体" w:hint="eastAsia"/>
          <w:sz w:val="24"/>
        </w:rPr>
        <w:lastRenderedPageBreak/>
        <w:t>金份额持有人利益的前提下，基金管理人和基金托管人应当继续履行本协议。</w:t>
      </w:r>
    </w:p>
    <w:p w14:paraId="445D64DA" w14:textId="77777777" w:rsidR="005A043F" w:rsidRDefault="0029200C">
      <w:pPr>
        <w:spacing w:line="360" w:lineRule="auto"/>
        <w:ind w:firstLineChars="200" w:firstLine="480"/>
        <w:rPr>
          <w:rFonts w:ascii="宋体" w:hAnsi="宋体"/>
          <w:sz w:val="24"/>
        </w:rPr>
      </w:pPr>
      <w:r>
        <w:rPr>
          <w:rFonts w:ascii="宋体" w:hAnsi="宋体" w:hint="eastAsia"/>
          <w:sz w:val="24"/>
        </w:rPr>
        <w:t>（六）由于基金管理人、基金托管人不可控制的因素导致业务出现差错，基金管理人和基金托管人虽然已经采取必要、适当、合理的措施进行检查，但是未能发现错误</w:t>
      </w:r>
      <w:r>
        <w:rPr>
          <w:rFonts w:hint="eastAsia"/>
          <w:sz w:val="24"/>
        </w:rPr>
        <w:t>或未能避免错误发生或</w:t>
      </w:r>
      <w:proofErr w:type="gramStart"/>
      <w:r>
        <w:rPr>
          <w:rFonts w:hint="eastAsia"/>
          <w:sz w:val="24"/>
        </w:rPr>
        <w:t>虽发现</w:t>
      </w:r>
      <w:proofErr w:type="gramEnd"/>
      <w:r>
        <w:rPr>
          <w:rFonts w:hint="eastAsia"/>
          <w:sz w:val="24"/>
        </w:rPr>
        <w:t>错误但因前述原因无法及时更正</w:t>
      </w:r>
      <w:r>
        <w:rPr>
          <w:rFonts w:ascii="宋体" w:hAnsi="宋体" w:hint="eastAsia"/>
          <w:sz w:val="24"/>
        </w:rPr>
        <w:t>的，由此造成基金财产或投资人损失，基金管理人和基金托管人免除赔偿责任。但是基金管理人和基金托管人应积极采取必要的措施消除或减轻由此造成的影响。</w:t>
      </w:r>
    </w:p>
    <w:p w14:paraId="765AD883" w14:textId="77777777" w:rsidR="005A043F" w:rsidRDefault="0029200C">
      <w:pPr>
        <w:spacing w:line="360" w:lineRule="auto"/>
        <w:ind w:firstLineChars="200" w:firstLine="480"/>
        <w:rPr>
          <w:rFonts w:ascii="宋体" w:hAnsi="宋体"/>
          <w:sz w:val="24"/>
        </w:rPr>
      </w:pPr>
      <w:r>
        <w:rPr>
          <w:rFonts w:ascii="宋体" w:hAnsi="宋体" w:hint="eastAsia"/>
          <w:sz w:val="24"/>
        </w:rPr>
        <w:t>（七）本协议所指损失均为直接损失。</w:t>
      </w:r>
    </w:p>
    <w:p w14:paraId="163102B8"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90" w:name="_Toc124749240"/>
      <w:bookmarkStart w:id="191" w:name="_Toc140002353"/>
      <w:bookmarkStart w:id="192" w:name="_Toc123626184"/>
      <w:bookmarkStart w:id="193" w:name="_Toc125361090"/>
      <w:bookmarkStart w:id="194" w:name="_Toc124749953"/>
      <w:r>
        <w:rPr>
          <w:rFonts w:ascii="宋体" w:hAnsi="宋体" w:cs="Arial" w:hint="eastAsia"/>
          <w:sz w:val="30"/>
        </w:rPr>
        <w:t>争议解决方式</w:t>
      </w:r>
      <w:bookmarkEnd w:id="190"/>
      <w:bookmarkEnd w:id="191"/>
      <w:bookmarkEnd w:id="192"/>
      <w:bookmarkEnd w:id="193"/>
      <w:bookmarkEnd w:id="194"/>
    </w:p>
    <w:p w14:paraId="7141FA53" w14:textId="12023FBE" w:rsidR="005A043F" w:rsidRDefault="0029200C">
      <w:pPr>
        <w:spacing w:line="360" w:lineRule="auto"/>
        <w:ind w:firstLineChars="200" w:firstLine="480"/>
        <w:rPr>
          <w:rFonts w:ascii="宋体" w:hAnsi="宋体"/>
          <w:sz w:val="24"/>
        </w:rPr>
      </w:pPr>
      <w:r>
        <w:rPr>
          <w:rFonts w:ascii="宋体" w:hAnsi="宋体" w:hint="eastAsia"/>
          <w:sz w:val="24"/>
        </w:rPr>
        <w:t>双方当事人同意，因本协议而产生的或与本协议有关的一切争议，除经友好协商、调解可以解决的，应提交</w:t>
      </w:r>
      <w:r>
        <w:rPr>
          <w:rFonts w:hint="eastAsia"/>
          <w:bCs/>
          <w:sz w:val="24"/>
        </w:rPr>
        <w:t>中国国际经济贸易仲裁委员会，</w:t>
      </w:r>
      <w:r>
        <w:rPr>
          <w:rFonts w:ascii="宋体" w:hAnsi="宋体" w:hint="eastAsia"/>
          <w:sz w:val="24"/>
        </w:rPr>
        <w:t>根据该</w:t>
      </w:r>
      <w:r>
        <w:rPr>
          <w:rFonts w:ascii="宋体" w:hAnsi="宋体"/>
          <w:sz w:val="24"/>
        </w:rPr>
        <w:t>会届时</w:t>
      </w:r>
      <w:r>
        <w:rPr>
          <w:rFonts w:ascii="宋体" w:hAnsi="宋体" w:hint="eastAsia"/>
          <w:sz w:val="24"/>
        </w:rPr>
        <w:t>有效的仲裁规则进行仲裁。仲裁的地点在北京。仲裁裁决是终局性的，并对相关各方均有约束力</w:t>
      </w:r>
      <w:r>
        <w:rPr>
          <w:rFonts w:ascii="宋体" w:hAnsi="宋体"/>
          <w:sz w:val="24"/>
        </w:rPr>
        <w:t>。</w:t>
      </w:r>
      <w:r>
        <w:rPr>
          <w:rFonts w:ascii="宋体" w:hAnsi="宋体" w:hint="eastAsia"/>
          <w:sz w:val="24"/>
        </w:rPr>
        <w:t>仲裁费用由败诉方承担，除非仲裁裁决另有决定。</w:t>
      </w:r>
    </w:p>
    <w:p w14:paraId="0B2D25CF" w14:textId="77777777" w:rsidR="005A043F" w:rsidRDefault="0029200C">
      <w:pPr>
        <w:spacing w:line="360" w:lineRule="auto"/>
        <w:ind w:firstLineChars="200" w:firstLine="480"/>
        <w:rPr>
          <w:rFonts w:ascii="宋体" w:hAnsi="宋体"/>
          <w:sz w:val="24"/>
        </w:rPr>
      </w:pPr>
      <w:r>
        <w:rPr>
          <w:rFonts w:ascii="宋体" w:hAnsi="宋体" w:hint="eastAsia"/>
          <w:sz w:val="24"/>
        </w:rPr>
        <w:t>争议处理期间，双方当事人应恪守基金管理人和基金托管人职责，继续忠实、勤勉、尽责地履行《基金合同》和本协议约定的义务，维护基金份额持有人的合法权益。</w:t>
      </w:r>
    </w:p>
    <w:p w14:paraId="5E104027" w14:textId="77777777" w:rsidR="005A043F" w:rsidRDefault="0029200C">
      <w:pPr>
        <w:spacing w:line="360" w:lineRule="auto"/>
        <w:ind w:firstLineChars="200" w:firstLine="480"/>
        <w:rPr>
          <w:rFonts w:ascii="宋体" w:hAnsi="宋体"/>
          <w:sz w:val="24"/>
        </w:rPr>
      </w:pPr>
      <w:r>
        <w:rPr>
          <w:rFonts w:ascii="宋体" w:hAnsi="宋体" w:hint="eastAsia"/>
          <w:sz w:val="24"/>
        </w:rPr>
        <w:t>本协议受中国法律（为本协议之目的，在此不包括中国香港、中国澳门特别行政区和中国台湾地区法律）管辖并从其解释。</w:t>
      </w:r>
    </w:p>
    <w:p w14:paraId="3079FCB9"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195" w:name="_Toc125361091"/>
      <w:bookmarkStart w:id="196" w:name="_Toc124749954"/>
      <w:bookmarkStart w:id="197" w:name="_Toc123626185"/>
      <w:bookmarkStart w:id="198" w:name="_Toc124749241"/>
      <w:bookmarkStart w:id="199" w:name="_Toc140002354"/>
      <w:r>
        <w:rPr>
          <w:rFonts w:ascii="宋体" w:hAnsi="宋体" w:cs="Arial" w:hint="eastAsia"/>
          <w:sz w:val="30"/>
        </w:rPr>
        <w:t>基金托管协议的效力</w:t>
      </w:r>
      <w:bookmarkEnd w:id="195"/>
      <w:bookmarkEnd w:id="196"/>
      <w:bookmarkEnd w:id="197"/>
      <w:bookmarkEnd w:id="198"/>
      <w:bookmarkEnd w:id="199"/>
    </w:p>
    <w:p w14:paraId="52E115E7" w14:textId="77777777" w:rsidR="005A043F" w:rsidRDefault="0029200C">
      <w:pPr>
        <w:spacing w:line="360" w:lineRule="auto"/>
        <w:ind w:firstLineChars="200" w:firstLine="480"/>
        <w:rPr>
          <w:rFonts w:ascii="宋体" w:hAnsi="宋体"/>
          <w:sz w:val="24"/>
        </w:rPr>
      </w:pPr>
      <w:r>
        <w:rPr>
          <w:rFonts w:ascii="宋体" w:hAnsi="宋体" w:hint="eastAsia"/>
          <w:sz w:val="24"/>
        </w:rPr>
        <w:t>（一）基金管理人在向中国证监会申请本基金募集注册时提交的本基金托管协议草案，该等草案系经托管协议当事人双方盖章以及双方法定代表人或授权代表签字或盖章。协议当事人双方可能不时根据中国证监会的意见修改托管协议草案。托管协议以中国证监会备案的文本为正式文本。</w:t>
      </w:r>
    </w:p>
    <w:p w14:paraId="201230D0" w14:textId="77777777" w:rsidR="005A043F" w:rsidRDefault="0029200C">
      <w:pPr>
        <w:spacing w:line="360" w:lineRule="auto"/>
        <w:ind w:firstLineChars="200" w:firstLine="480"/>
        <w:rPr>
          <w:rFonts w:ascii="宋体" w:hAnsi="宋体"/>
          <w:sz w:val="24"/>
        </w:rPr>
      </w:pPr>
      <w:r>
        <w:rPr>
          <w:rFonts w:ascii="宋体" w:hAnsi="宋体" w:hint="eastAsia"/>
          <w:sz w:val="24"/>
        </w:rPr>
        <w:t>（二）基金托管协议自《基金合同》成立之日起成立，自《基金合同》生效</w:t>
      </w:r>
      <w:r>
        <w:rPr>
          <w:rFonts w:ascii="宋体" w:hAnsi="宋体" w:hint="eastAsia"/>
          <w:sz w:val="24"/>
        </w:rPr>
        <w:lastRenderedPageBreak/>
        <w:t>之日起生效。基金托管协议的有效期自其生效之日起至该基金财产清算结果报中国证监会备案并公告之日止。</w:t>
      </w:r>
    </w:p>
    <w:p w14:paraId="74E752A2" w14:textId="77777777" w:rsidR="005A043F" w:rsidRDefault="0029200C">
      <w:pPr>
        <w:spacing w:line="360" w:lineRule="auto"/>
        <w:ind w:firstLineChars="200" w:firstLine="480"/>
        <w:rPr>
          <w:rFonts w:ascii="宋体" w:hAnsi="宋体"/>
          <w:sz w:val="24"/>
        </w:rPr>
      </w:pPr>
      <w:r>
        <w:rPr>
          <w:rFonts w:ascii="宋体" w:hAnsi="宋体" w:hint="eastAsia"/>
          <w:sz w:val="24"/>
        </w:rPr>
        <w:t>（三）基金托管协议自生效之日对托管协议当事人具有同等的法律约束力。</w:t>
      </w:r>
    </w:p>
    <w:p w14:paraId="6959FE18" w14:textId="77777777" w:rsidR="005A043F" w:rsidRDefault="0029200C">
      <w:pPr>
        <w:spacing w:line="360" w:lineRule="auto"/>
        <w:ind w:firstLineChars="200" w:firstLine="480"/>
        <w:rPr>
          <w:rFonts w:ascii="宋体" w:hAnsi="宋体"/>
          <w:sz w:val="24"/>
        </w:rPr>
      </w:pPr>
      <w:r>
        <w:rPr>
          <w:rFonts w:ascii="宋体" w:hAnsi="宋体" w:hint="eastAsia"/>
          <w:sz w:val="24"/>
        </w:rPr>
        <w:t>（四）基金托管协议正本一式3份，除上报有关监管机构一份外，基金管理人和基金托管人分别持有1份，每份具有同等的法律效力。</w:t>
      </w:r>
    </w:p>
    <w:p w14:paraId="3C75D8A1" w14:textId="77777777" w:rsidR="005A043F" w:rsidRDefault="0029200C">
      <w:pPr>
        <w:pStyle w:val="1"/>
        <w:keepNext w:val="0"/>
        <w:keepLines w:val="0"/>
        <w:numPr>
          <w:ilvl w:val="0"/>
          <w:numId w:val="2"/>
        </w:numPr>
        <w:autoSpaceDE w:val="0"/>
        <w:autoSpaceDN w:val="0"/>
        <w:adjustRightInd w:val="0"/>
        <w:spacing w:before="360" w:after="360" w:line="360" w:lineRule="auto"/>
        <w:jc w:val="center"/>
        <w:textAlignment w:val="baseline"/>
        <w:rPr>
          <w:rFonts w:ascii="宋体" w:hAnsi="宋体" w:cs="Arial"/>
          <w:sz w:val="30"/>
        </w:rPr>
      </w:pPr>
      <w:bookmarkStart w:id="200" w:name="_Toc125361092"/>
      <w:bookmarkStart w:id="201" w:name="_Toc124749242"/>
      <w:bookmarkStart w:id="202" w:name="_Toc140002355"/>
      <w:bookmarkStart w:id="203" w:name="_Toc124749955"/>
      <w:bookmarkStart w:id="204" w:name="_Toc123626186"/>
      <w:r>
        <w:rPr>
          <w:rFonts w:ascii="宋体" w:hAnsi="宋体" w:cs="Arial" w:hint="eastAsia"/>
          <w:sz w:val="30"/>
        </w:rPr>
        <w:t>基金托管协议的签订</w:t>
      </w:r>
      <w:bookmarkEnd w:id="200"/>
      <w:bookmarkEnd w:id="201"/>
      <w:bookmarkEnd w:id="202"/>
      <w:bookmarkEnd w:id="203"/>
      <w:bookmarkEnd w:id="204"/>
    </w:p>
    <w:p w14:paraId="10046046" w14:textId="77777777" w:rsidR="005A043F" w:rsidRDefault="0029200C">
      <w:pPr>
        <w:spacing w:line="360" w:lineRule="auto"/>
        <w:ind w:firstLineChars="200" w:firstLine="480"/>
        <w:rPr>
          <w:rFonts w:ascii="宋体" w:hAnsi="宋体"/>
          <w:sz w:val="24"/>
        </w:rPr>
      </w:pPr>
      <w:r>
        <w:rPr>
          <w:rFonts w:ascii="宋体" w:hAnsi="宋体" w:hint="eastAsia"/>
          <w:sz w:val="24"/>
        </w:rPr>
        <w:t>本托管协议经基金管理人和基金托管人认可后，双方应在</w:t>
      </w:r>
      <w:r>
        <w:rPr>
          <w:rFonts w:ascii="宋体" w:hAnsi="宋体"/>
          <w:sz w:val="24"/>
        </w:rPr>
        <w:t>基金托管</w:t>
      </w:r>
      <w:r>
        <w:rPr>
          <w:rFonts w:ascii="宋体" w:hAnsi="宋体" w:hint="eastAsia"/>
          <w:sz w:val="24"/>
        </w:rPr>
        <w:t>协议上盖章，并由各自的法定代表人或授权代表签字或盖章，并注明</w:t>
      </w:r>
      <w:r>
        <w:rPr>
          <w:rFonts w:ascii="宋体" w:hAnsi="宋体"/>
          <w:sz w:val="24"/>
        </w:rPr>
        <w:t>基金托管</w:t>
      </w:r>
      <w:r>
        <w:rPr>
          <w:rFonts w:ascii="宋体" w:hAnsi="宋体" w:hint="eastAsia"/>
          <w:sz w:val="24"/>
        </w:rPr>
        <w:t>协议的签订地点和签订日期。</w:t>
      </w:r>
    </w:p>
    <w:p w14:paraId="12EE115C" w14:textId="77777777" w:rsidR="005A043F" w:rsidRDefault="0029200C">
      <w:pPr>
        <w:spacing w:line="360" w:lineRule="auto"/>
        <w:rPr>
          <w:rFonts w:ascii="宋体" w:hAnsi="宋体"/>
          <w:sz w:val="24"/>
        </w:rPr>
      </w:pPr>
      <w:r>
        <w:rPr>
          <w:rFonts w:ascii="宋体" w:hAnsi="宋体" w:hint="eastAsia"/>
          <w:sz w:val="24"/>
        </w:rPr>
        <w:t>（以下无正文）</w:t>
      </w:r>
    </w:p>
    <w:sectPr w:rsidR="005A043F">
      <w:headerReference w:type="default" r:id="rId12"/>
      <w:footerReference w:type="default" r:id="rId13"/>
      <w:pgSz w:w="11906" w:h="16838"/>
      <w:pgMar w:top="1440" w:right="1797" w:bottom="1440" w:left="1797" w:header="851" w:footer="992" w:gutter="0"/>
      <w:pgNumType w:start="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1FCB4" w14:textId="77777777" w:rsidR="00A2059C" w:rsidRDefault="00A2059C">
      <w:pPr>
        <w:spacing w:after="0" w:line="240" w:lineRule="auto"/>
      </w:pPr>
      <w:r>
        <w:separator/>
      </w:r>
    </w:p>
  </w:endnote>
  <w:endnote w:type="continuationSeparator" w:id="0">
    <w:p w14:paraId="3AC8F749" w14:textId="77777777" w:rsidR="00A2059C" w:rsidRDefault="00A2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E293D" w14:textId="77777777" w:rsidR="00920C7F" w:rsidRDefault="00920C7F">
    <w:pPr>
      <w:pStyle w:val="a8"/>
      <w:framePr w:wrap="around" w:vAnchor="text" w:hAnchor="margin" w:xAlign="right" w:y="1"/>
      <w:rPr>
        <w:rStyle w:val="ac"/>
      </w:rPr>
    </w:pPr>
    <w:r>
      <w:fldChar w:fldCharType="begin"/>
    </w:r>
    <w:r>
      <w:rPr>
        <w:rStyle w:val="ac"/>
      </w:rPr>
      <w:instrText xml:space="preserve">PAGE  </w:instrText>
    </w:r>
    <w:r>
      <w:fldChar w:fldCharType="end"/>
    </w:r>
  </w:p>
  <w:p w14:paraId="31E0E2B3" w14:textId="77777777" w:rsidR="00920C7F" w:rsidRDefault="00920C7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14B3" w14:textId="0931F7A8" w:rsidR="00920C7F" w:rsidRDefault="00920C7F">
    <w:pPr>
      <w:pStyle w:val="a8"/>
      <w:ind w:right="360"/>
      <w:jc w:val="center"/>
    </w:pPr>
    <w:r>
      <w:fldChar w:fldCharType="begin"/>
    </w:r>
    <w:r>
      <w:instrText>PAGE   \* MERGEFORMAT</w:instrText>
    </w:r>
    <w:r>
      <w:fldChar w:fldCharType="separate"/>
    </w:r>
    <w:r w:rsidR="00CA514F" w:rsidRPr="00CA514F">
      <w:rPr>
        <w:noProof/>
        <w:lang w:val="zh-CN"/>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417506"/>
      <w:docPartObj>
        <w:docPartGallery w:val="Page Numbers (Bottom of Page)"/>
        <w:docPartUnique/>
      </w:docPartObj>
    </w:sdtPr>
    <w:sdtContent>
      <w:p w14:paraId="3720A3D0" w14:textId="3E0DB5CE" w:rsidR="00CA514F" w:rsidRDefault="00CA514F">
        <w:pPr>
          <w:pStyle w:val="a8"/>
          <w:jc w:val="center"/>
        </w:pPr>
        <w:r>
          <w:fldChar w:fldCharType="begin"/>
        </w:r>
        <w:r>
          <w:instrText>PAGE   \* MERGEFORMAT</w:instrText>
        </w:r>
        <w:r>
          <w:fldChar w:fldCharType="separate"/>
        </w:r>
        <w:r w:rsidRPr="00CA514F">
          <w:rPr>
            <w:noProof/>
            <w:lang w:val="zh-CN"/>
          </w:rPr>
          <w:t>16</w:t>
        </w:r>
        <w:r>
          <w:fldChar w:fldCharType="end"/>
        </w:r>
      </w:p>
    </w:sdtContent>
  </w:sdt>
  <w:p w14:paraId="7920ED66" w14:textId="77777777" w:rsidR="00920C7F" w:rsidRDefault="00920C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EDD0E" w14:textId="77777777" w:rsidR="00A2059C" w:rsidRDefault="00A2059C">
      <w:pPr>
        <w:spacing w:after="0" w:line="240" w:lineRule="auto"/>
      </w:pPr>
      <w:r>
        <w:separator/>
      </w:r>
    </w:p>
  </w:footnote>
  <w:footnote w:type="continuationSeparator" w:id="0">
    <w:p w14:paraId="677BE926" w14:textId="77777777" w:rsidR="00A2059C" w:rsidRDefault="00A2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E9D27" w14:textId="0F23EAA3" w:rsidR="00920C7F" w:rsidRDefault="00920C7F">
    <w:pPr>
      <w:pStyle w:val="aa"/>
    </w:pPr>
    <w:r>
      <w:rPr>
        <w:rFonts w:hint="eastAsia"/>
        <w:sz w:val="21"/>
        <w:szCs w:val="21"/>
      </w:rPr>
      <w:t>嘉实</w:t>
    </w:r>
    <w:proofErr w:type="gramStart"/>
    <w:r>
      <w:rPr>
        <w:rFonts w:hint="eastAsia"/>
        <w:sz w:val="21"/>
        <w:szCs w:val="21"/>
      </w:rPr>
      <w:t>稳健瑞</w:t>
    </w:r>
    <w:proofErr w:type="gramEnd"/>
    <w:r>
      <w:rPr>
        <w:rFonts w:hint="eastAsia"/>
        <w:sz w:val="21"/>
        <w:szCs w:val="21"/>
      </w:rPr>
      <w:t>庆</w:t>
    </w:r>
    <w:r>
      <w:rPr>
        <w:rFonts w:hint="eastAsia"/>
        <w:sz w:val="21"/>
        <w:szCs w:val="21"/>
      </w:rPr>
      <w:t>6</w:t>
    </w:r>
    <w:r>
      <w:rPr>
        <w:rFonts w:hint="eastAsia"/>
        <w:sz w:val="21"/>
        <w:szCs w:val="21"/>
      </w:rPr>
      <w:t>个月持有期混合型证券投资基金</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r>
      <w:rPr>
        <w:rFonts w:hint="eastAsia"/>
        <w:sz w:val="21"/>
        <w:szCs w:val="21"/>
      </w:rPr>
      <w:t>托管协议</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F2617" w14:textId="77777777" w:rsidR="00920C7F" w:rsidRDefault="00920C7F">
    <w:pPr>
      <w:pStyle w:val="a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C60FF"/>
    <w:multiLevelType w:val="multilevel"/>
    <w:tmpl w:val="4ABC60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F952C2D"/>
    <w:multiLevelType w:val="multilevel"/>
    <w:tmpl w:val="5F952C2D"/>
    <w:lvl w:ilvl="0">
      <w:start w:val="1"/>
      <w:numFmt w:val="chineseCountingThousand"/>
      <w:suff w:val="nothing"/>
      <w:lvlText w:val="%1、"/>
      <w:lvlJc w:val="center"/>
      <w:pPr>
        <w:ind w:left="0" w:firstLine="288"/>
      </w:pPr>
      <w:rPr>
        <w:rFonts w:hint="eastAsia"/>
        <w:sz w:val="30"/>
        <w:szCs w:val="30"/>
      </w:rPr>
    </w:lvl>
    <w:lvl w:ilvl="1">
      <w:start w:val="1"/>
      <w:numFmt w:val="japaneseCounting"/>
      <w:lvlText w:val="（%2）"/>
      <w:lvlJc w:val="left"/>
      <w:pPr>
        <w:tabs>
          <w:tab w:val="left" w:pos="720"/>
        </w:tabs>
        <w:ind w:left="720" w:hanging="720"/>
      </w:pPr>
      <w:rPr>
        <w:rFonts w:hint="default"/>
      </w:rPr>
    </w:lvl>
    <w:lvl w:ilvl="2">
      <w:start w:val="1"/>
      <w:numFmt w:val="decimal"/>
      <w:lvlText w:val="%3."/>
      <w:lvlJc w:val="left"/>
      <w:pPr>
        <w:tabs>
          <w:tab w:val="left" w:pos="360"/>
        </w:tabs>
        <w:ind w:left="0" w:firstLine="0"/>
      </w:pPr>
      <w:rPr>
        <w:rFonts w:hint="eastAsia"/>
      </w:rPr>
    </w:lvl>
    <w:lvl w:ilvl="3">
      <w:start w:val="1"/>
      <w:numFmt w:val="decimal"/>
      <w:lvlText w:val="（%4）"/>
      <w:lvlJc w:val="left"/>
      <w:pPr>
        <w:tabs>
          <w:tab w:val="left" w:pos="720"/>
        </w:tabs>
        <w:ind w:left="0" w:firstLine="0"/>
      </w:pPr>
      <w:rPr>
        <w:rFonts w:ascii="Times New Roman" w:eastAsia="宋体" w:hAnsi="Times New Roman" w:hint="default"/>
        <w:sz w:val="21"/>
      </w:rPr>
    </w:lvl>
    <w:lvl w:ilvl="4">
      <w:start w:val="1"/>
      <w:numFmt w:val="none"/>
      <w:lvlText w:val=""/>
      <w:lvlJc w:val="left"/>
      <w:pPr>
        <w:tabs>
          <w:tab w:val="left" w:pos="360"/>
        </w:tabs>
        <w:ind w:left="0" w:firstLine="0"/>
      </w:pPr>
      <w:rPr>
        <w:rFonts w:hint="eastAsia"/>
        <w:sz w:val="24"/>
      </w:rPr>
    </w:lvl>
    <w:lvl w:ilvl="5">
      <w:start w:val="1"/>
      <w:numFmt w:val="upperLetter"/>
      <w:lvlText w:val="%6."/>
      <w:lvlJc w:val="left"/>
      <w:pPr>
        <w:tabs>
          <w:tab w:val="left" w:pos="927"/>
        </w:tabs>
        <w:ind w:left="0" w:firstLine="567"/>
      </w:pPr>
      <w:rPr>
        <w:rFonts w:hint="eastAsia"/>
        <w:sz w:val="24"/>
      </w:rPr>
    </w:lvl>
    <w:lvl w:ilvl="6">
      <w:start w:val="1"/>
      <w:numFmt w:val="none"/>
      <w:lvlText w:val=""/>
      <w:lvlJc w:val="left"/>
      <w:pPr>
        <w:tabs>
          <w:tab w:val="left" w:pos="3827"/>
        </w:tabs>
        <w:ind w:left="3827" w:hanging="1276"/>
      </w:pPr>
      <w:rPr>
        <w:rFonts w:hint="eastAsia"/>
      </w:rPr>
    </w:lvl>
    <w:lvl w:ilvl="7">
      <w:start w:val="1"/>
      <w:numFmt w:val="none"/>
      <w:lvlText w:val=""/>
      <w:lvlJc w:val="left"/>
      <w:pPr>
        <w:tabs>
          <w:tab w:val="left" w:pos="4394"/>
        </w:tabs>
        <w:ind w:left="4394" w:hanging="1418"/>
      </w:pPr>
      <w:rPr>
        <w:rFonts w:hint="eastAsia"/>
      </w:rPr>
    </w:lvl>
    <w:lvl w:ilvl="8">
      <w:start w:val="1"/>
      <w:numFmt w:val="none"/>
      <w:lvlText w:val=""/>
      <w:lvlJc w:val="left"/>
      <w:pPr>
        <w:tabs>
          <w:tab w:val="left" w:pos="5102"/>
        </w:tabs>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xZmM0NGFjMzRmYzk2MDIyZjcyMDllY2ZlOGQ0YzIifQ=="/>
  </w:docVars>
  <w:rsids>
    <w:rsidRoot w:val="00172A27"/>
    <w:rsid w:val="82DAF88D"/>
    <w:rsid w:val="8F6DDBF5"/>
    <w:rsid w:val="97A7AEAD"/>
    <w:rsid w:val="9F6BDFC7"/>
    <w:rsid w:val="AD33B2E5"/>
    <w:rsid w:val="ADBFADD4"/>
    <w:rsid w:val="AEFF3212"/>
    <w:rsid w:val="AF69C024"/>
    <w:rsid w:val="B1909BFB"/>
    <w:rsid w:val="B3BF13D8"/>
    <w:rsid w:val="B77A9C60"/>
    <w:rsid w:val="B9FD24B8"/>
    <w:rsid w:val="B9FF9CA9"/>
    <w:rsid w:val="BDD77CDD"/>
    <w:rsid w:val="BEEE32FD"/>
    <w:rsid w:val="BF33C130"/>
    <w:rsid w:val="BFBD1E9F"/>
    <w:rsid w:val="BFBDFA33"/>
    <w:rsid w:val="BFEED055"/>
    <w:rsid w:val="CBB7EF08"/>
    <w:rsid w:val="D67DC61B"/>
    <w:rsid w:val="D7DFDA28"/>
    <w:rsid w:val="D7F699DC"/>
    <w:rsid w:val="DBBFBAFD"/>
    <w:rsid w:val="DDDEDF96"/>
    <w:rsid w:val="DEDD4223"/>
    <w:rsid w:val="DF7F42CC"/>
    <w:rsid w:val="DFFFA2B6"/>
    <w:rsid w:val="E7AE0B31"/>
    <w:rsid w:val="E9BDDA84"/>
    <w:rsid w:val="E9DCFA36"/>
    <w:rsid w:val="EAFF7E61"/>
    <w:rsid w:val="EFF5F6B0"/>
    <w:rsid w:val="F27FA97E"/>
    <w:rsid w:val="F7915551"/>
    <w:rsid w:val="F7F6C3B5"/>
    <w:rsid w:val="F7FE4FA2"/>
    <w:rsid w:val="FB7B72FB"/>
    <w:rsid w:val="FBCF8376"/>
    <w:rsid w:val="FBFF2C4C"/>
    <w:rsid w:val="FD5C8962"/>
    <w:rsid w:val="FD757439"/>
    <w:rsid w:val="FD7D056F"/>
    <w:rsid w:val="FE9D2ACF"/>
    <w:rsid w:val="FE9F2C0B"/>
    <w:rsid w:val="FF5F9B0B"/>
    <w:rsid w:val="FFBE2F0A"/>
    <w:rsid w:val="FFBE9E78"/>
    <w:rsid w:val="FFCF20F6"/>
    <w:rsid w:val="FFF711EF"/>
    <w:rsid w:val="FFF778D1"/>
    <w:rsid w:val="FFFCB429"/>
    <w:rsid w:val="FFFE5CE2"/>
    <w:rsid w:val="FFFF9C1E"/>
    <w:rsid w:val="0000373A"/>
    <w:rsid w:val="000173D6"/>
    <w:rsid w:val="00022295"/>
    <w:rsid w:val="0003043A"/>
    <w:rsid w:val="000314F6"/>
    <w:rsid w:val="00031BE4"/>
    <w:rsid w:val="00047EC0"/>
    <w:rsid w:val="00050C7A"/>
    <w:rsid w:val="0006744C"/>
    <w:rsid w:val="00073D26"/>
    <w:rsid w:val="00076405"/>
    <w:rsid w:val="00081A34"/>
    <w:rsid w:val="00084B25"/>
    <w:rsid w:val="00085F27"/>
    <w:rsid w:val="00087305"/>
    <w:rsid w:val="00093DBE"/>
    <w:rsid w:val="000963FC"/>
    <w:rsid w:val="000A2F33"/>
    <w:rsid w:val="000A60C3"/>
    <w:rsid w:val="000B05D2"/>
    <w:rsid w:val="000B2145"/>
    <w:rsid w:val="000C2DE9"/>
    <w:rsid w:val="000D062C"/>
    <w:rsid w:val="000E022F"/>
    <w:rsid w:val="000E0FA2"/>
    <w:rsid w:val="000E1C66"/>
    <w:rsid w:val="000F3803"/>
    <w:rsid w:val="000F692A"/>
    <w:rsid w:val="000F7742"/>
    <w:rsid w:val="00101E50"/>
    <w:rsid w:val="001035A5"/>
    <w:rsid w:val="001036D6"/>
    <w:rsid w:val="00106D74"/>
    <w:rsid w:val="00110B38"/>
    <w:rsid w:val="0011679E"/>
    <w:rsid w:val="00117D0A"/>
    <w:rsid w:val="00125395"/>
    <w:rsid w:val="0013123A"/>
    <w:rsid w:val="00132AA4"/>
    <w:rsid w:val="001539BA"/>
    <w:rsid w:val="001552ED"/>
    <w:rsid w:val="00156733"/>
    <w:rsid w:val="00156B77"/>
    <w:rsid w:val="0015717E"/>
    <w:rsid w:val="00157E18"/>
    <w:rsid w:val="001720EC"/>
    <w:rsid w:val="00172A27"/>
    <w:rsid w:val="001805F9"/>
    <w:rsid w:val="00184636"/>
    <w:rsid w:val="00184B20"/>
    <w:rsid w:val="00186852"/>
    <w:rsid w:val="00193158"/>
    <w:rsid w:val="00193DDA"/>
    <w:rsid w:val="001B55D7"/>
    <w:rsid w:val="001C1DBB"/>
    <w:rsid w:val="001C4B1B"/>
    <w:rsid w:val="001C7E8A"/>
    <w:rsid w:val="001D2A7C"/>
    <w:rsid w:val="001D4D42"/>
    <w:rsid w:val="001E3E7B"/>
    <w:rsid w:val="001E4203"/>
    <w:rsid w:val="001E429F"/>
    <w:rsid w:val="001E66E1"/>
    <w:rsid w:val="001F53E6"/>
    <w:rsid w:val="002054CD"/>
    <w:rsid w:val="00213189"/>
    <w:rsid w:val="00213310"/>
    <w:rsid w:val="002203DF"/>
    <w:rsid w:val="00224F5D"/>
    <w:rsid w:val="0024086B"/>
    <w:rsid w:val="00246682"/>
    <w:rsid w:val="0024774A"/>
    <w:rsid w:val="002528A8"/>
    <w:rsid w:val="00254A7B"/>
    <w:rsid w:val="00254F81"/>
    <w:rsid w:val="0025549A"/>
    <w:rsid w:val="00262690"/>
    <w:rsid w:val="00262820"/>
    <w:rsid w:val="00262BAF"/>
    <w:rsid w:val="00264CB9"/>
    <w:rsid w:val="00267586"/>
    <w:rsid w:val="002747ED"/>
    <w:rsid w:val="00287B89"/>
    <w:rsid w:val="0029200C"/>
    <w:rsid w:val="00294EDB"/>
    <w:rsid w:val="002974FB"/>
    <w:rsid w:val="002A48C5"/>
    <w:rsid w:val="002A5DDD"/>
    <w:rsid w:val="002B01D4"/>
    <w:rsid w:val="002B1E7F"/>
    <w:rsid w:val="002B22FF"/>
    <w:rsid w:val="002B4E3D"/>
    <w:rsid w:val="002B6EF3"/>
    <w:rsid w:val="002D1144"/>
    <w:rsid w:val="002F2620"/>
    <w:rsid w:val="002F4615"/>
    <w:rsid w:val="002F46EB"/>
    <w:rsid w:val="002F7B77"/>
    <w:rsid w:val="002F7DF9"/>
    <w:rsid w:val="00302C8A"/>
    <w:rsid w:val="00310CED"/>
    <w:rsid w:val="00312B47"/>
    <w:rsid w:val="003202F6"/>
    <w:rsid w:val="00321E49"/>
    <w:rsid w:val="00324CB0"/>
    <w:rsid w:val="003253A6"/>
    <w:rsid w:val="003323CA"/>
    <w:rsid w:val="003324D3"/>
    <w:rsid w:val="00334CAC"/>
    <w:rsid w:val="00341154"/>
    <w:rsid w:val="00341BA7"/>
    <w:rsid w:val="003462F9"/>
    <w:rsid w:val="00347716"/>
    <w:rsid w:val="00355BE5"/>
    <w:rsid w:val="00364144"/>
    <w:rsid w:val="00365337"/>
    <w:rsid w:val="003919F5"/>
    <w:rsid w:val="00391FEC"/>
    <w:rsid w:val="003952D8"/>
    <w:rsid w:val="003A1C23"/>
    <w:rsid w:val="003A21A3"/>
    <w:rsid w:val="003B1322"/>
    <w:rsid w:val="003B31CA"/>
    <w:rsid w:val="003B48D5"/>
    <w:rsid w:val="003C0338"/>
    <w:rsid w:val="003C0D88"/>
    <w:rsid w:val="003D10F1"/>
    <w:rsid w:val="003D51CA"/>
    <w:rsid w:val="003D60F9"/>
    <w:rsid w:val="003D7AC0"/>
    <w:rsid w:val="003E1725"/>
    <w:rsid w:val="003E2494"/>
    <w:rsid w:val="003E56BB"/>
    <w:rsid w:val="003E58B8"/>
    <w:rsid w:val="003E5B7D"/>
    <w:rsid w:val="003F00E9"/>
    <w:rsid w:val="003F1316"/>
    <w:rsid w:val="003F1CC9"/>
    <w:rsid w:val="003F641C"/>
    <w:rsid w:val="00402D1E"/>
    <w:rsid w:val="00407CB5"/>
    <w:rsid w:val="00417C84"/>
    <w:rsid w:val="00420475"/>
    <w:rsid w:val="00423CDE"/>
    <w:rsid w:val="00424D8E"/>
    <w:rsid w:val="0042596E"/>
    <w:rsid w:val="00430EBD"/>
    <w:rsid w:val="00437A7F"/>
    <w:rsid w:val="00453BA7"/>
    <w:rsid w:val="0045425E"/>
    <w:rsid w:val="004576A3"/>
    <w:rsid w:val="00460426"/>
    <w:rsid w:val="0046366F"/>
    <w:rsid w:val="00470500"/>
    <w:rsid w:val="00471190"/>
    <w:rsid w:val="004958FB"/>
    <w:rsid w:val="004C0975"/>
    <w:rsid w:val="004D3F05"/>
    <w:rsid w:val="004D746A"/>
    <w:rsid w:val="004E3056"/>
    <w:rsid w:val="004E3761"/>
    <w:rsid w:val="004E447B"/>
    <w:rsid w:val="004E4EDA"/>
    <w:rsid w:val="004F2E8A"/>
    <w:rsid w:val="004F47F5"/>
    <w:rsid w:val="004F76CA"/>
    <w:rsid w:val="005024B5"/>
    <w:rsid w:val="00505587"/>
    <w:rsid w:val="00510B20"/>
    <w:rsid w:val="00510EBC"/>
    <w:rsid w:val="00511877"/>
    <w:rsid w:val="00522CFD"/>
    <w:rsid w:val="00534A59"/>
    <w:rsid w:val="00546C54"/>
    <w:rsid w:val="005475E8"/>
    <w:rsid w:val="00552479"/>
    <w:rsid w:val="00554D5C"/>
    <w:rsid w:val="00566FAB"/>
    <w:rsid w:val="00571887"/>
    <w:rsid w:val="00576A31"/>
    <w:rsid w:val="00576C0B"/>
    <w:rsid w:val="00576F95"/>
    <w:rsid w:val="005816C8"/>
    <w:rsid w:val="005836F5"/>
    <w:rsid w:val="00586317"/>
    <w:rsid w:val="00594A71"/>
    <w:rsid w:val="005973E5"/>
    <w:rsid w:val="005A043F"/>
    <w:rsid w:val="005B2076"/>
    <w:rsid w:val="005B7C22"/>
    <w:rsid w:val="005C4706"/>
    <w:rsid w:val="005C55DD"/>
    <w:rsid w:val="005C7B49"/>
    <w:rsid w:val="005D57CB"/>
    <w:rsid w:val="005D5F33"/>
    <w:rsid w:val="005D67CB"/>
    <w:rsid w:val="005D7062"/>
    <w:rsid w:val="005F0484"/>
    <w:rsid w:val="005F0927"/>
    <w:rsid w:val="005F2288"/>
    <w:rsid w:val="005F3785"/>
    <w:rsid w:val="006007EC"/>
    <w:rsid w:val="00605349"/>
    <w:rsid w:val="00612517"/>
    <w:rsid w:val="00613AB6"/>
    <w:rsid w:val="006211C0"/>
    <w:rsid w:val="00625681"/>
    <w:rsid w:val="00627D08"/>
    <w:rsid w:val="0063005F"/>
    <w:rsid w:val="00634121"/>
    <w:rsid w:val="006364D2"/>
    <w:rsid w:val="006413C7"/>
    <w:rsid w:val="00652B6E"/>
    <w:rsid w:val="00656934"/>
    <w:rsid w:val="0066106A"/>
    <w:rsid w:val="00663D13"/>
    <w:rsid w:val="00690B3F"/>
    <w:rsid w:val="006935F9"/>
    <w:rsid w:val="00696836"/>
    <w:rsid w:val="006A17F9"/>
    <w:rsid w:val="006A20AE"/>
    <w:rsid w:val="006A3A21"/>
    <w:rsid w:val="006A744F"/>
    <w:rsid w:val="006B2D4A"/>
    <w:rsid w:val="006C0434"/>
    <w:rsid w:val="006C0BA6"/>
    <w:rsid w:val="006C7E7A"/>
    <w:rsid w:val="006D76EF"/>
    <w:rsid w:val="006E1C2A"/>
    <w:rsid w:val="006E20C1"/>
    <w:rsid w:val="006E6CCD"/>
    <w:rsid w:val="007002CD"/>
    <w:rsid w:val="00701098"/>
    <w:rsid w:val="00713A2B"/>
    <w:rsid w:val="007328D9"/>
    <w:rsid w:val="00740CF7"/>
    <w:rsid w:val="00744BAE"/>
    <w:rsid w:val="00755A9B"/>
    <w:rsid w:val="00760CE1"/>
    <w:rsid w:val="00765F2A"/>
    <w:rsid w:val="00782733"/>
    <w:rsid w:val="0078575D"/>
    <w:rsid w:val="007877D7"/>
    <w:rsid w:val="00790667"/>
    <w:rsid w:val="007A7C2E"/>
    <w:rsid w:val="007B3310"/>
    <w:rsid w:val="007B5249"/>
    <w:rsid w:val="007C37BF"/>
    <w:rsid w:val="007D5636"/>
    <w:rsid w:val="007D6AB9"/>
    <w:rsid w:val="007D6FE3"/>
    <w:rsid w:val="007E0299"/>
    <w:rsid w:val="007F6AB2"/>
    <w:rsid w:val="0080075D"/>
    <w:rsid w:val="00801A10"/>
    <w:rsid w:val="00811997"/>
    <w:rsid w:val="00812478"/>
    <w:rsid w:val="008146E1"/>
    <w:rsid w:val="00822A70"/>
    <w:rsid w:val="008270EE"/>
    <w:rsid w:val="00827DCD"/>
    <w:rsid w:val="00841CC2"/>
    <w:rsid w:val="00844B97"/>
    <w:rsid w:val="0084601B"/>
    <w:rsid w:val="0084770C"/>
    <w:rsid w:val="008943A0"/>
    <w:rsid w:val="0089761E"/>
    <w:rsid w:val="008A43F6"/>
    <w:rsid w:val="008B5809"/>
    <w:rsid w:val="008B7B31"/>
    <w:rsid w:val="008B7DAA"/>
    <w:rsid w:val="008C0EB6"/>
    <w:rsid w:val="008C3121"/>
    <w:rsid w:val="008D03F3"/>
    <w:rsid w:val="008D07FD"/>
    <w:rsid w:val="008D3AFA"/>
    <w:rsid w:val="008D6927"/>
    <w:rsid w:val="008E46FB"/>
    <w:rsid w:val="008E6626"/>
    <w:rsid w:val="008E7C14"/>
    <w:rsid w:val="008F35E0"/>
    <w:rsid w:val="008F5C5B"/>
    <w:rsid w:val="008F640F"/>
    <w:rsid w:val="009000FA"/>
    <w:rsid w:val="009011DE"/>
    <w:rsid w:val="009015BE"/>
    <w:rsid w:val="00904562"/>
    <w:rsid w:val="00905704"/>
    <w:rsid w:val="00907E8C"/>
    <w:rsid w:val="009128E6"/>
    <w:rsid w:val="0091350F"/>
    <w:rsid w:val="00913EC2"/>
    <w:rsid w:val="00916029"/>
    <w:rsid w:val="0092055A"/>
    <w:rsid w:val="00920C7F"/>
    <w:rsid w:val="009306B8"/>
    <w:rsid w:val="009324FD"/>
    <w:rsid w:val="00955DB2"/>
    <w:rsid w:val="009715CD"/>
    <w:rsid w:val="00971742"/>
    <w:rsid w:val="00977CF5"/>
    <w:rsid w:val="00981D41"/>
    <w:rsid w:val="00990A91"/>
    <w:rsid w:val="00991446"/>
    <w:rsid w:val="0099244F"/>
    <w:rsid w:val="00992C6A"/>
    <w:rsid w:val="009948B6"/>
    <w:rsid w:val="009977BD"/>
    <w:rsid w:val="009A6C6B"/>
    <w:rsid w:val="009A71D7"/>
    <w:rsid w:val="009B3A73"/>
    <w:rsid w:val="009B7B99"/>
    <w:rsid w:val="009B7E32"/>
    <w:rsid w:val="009C5C03"/>
    <w:rsid w:val="009C7114"/>
    <w:rsid w:val="009D395B"/>
    <w:rsid w:val="009D6309"/>
    <w:rsid w:val="009F4708"/>
    <w:rsid w:val="00A017CE"/>
    <w:rsid w:val="00A0463F"/>
    <w:rsid w:val="00A2059C"/>
    <w:rsid w:val="00A220B9"/>
    <w:rsid w:val="00A30A5E"/>
    <w:rsid w:val="00A34E4D"/>
    <w:rsid w:val="00A47229"/>
    <w:rsid w:val="00A53D2F"/>
    <w:rsid w:val="00A57AF8"/>
    <w:rsid w:val="00A61CFD"/>
    <w:rsid w:val="00A650B5"/>
    <w:rsid w:val="00A825B6"/>
    <w:rsid w:val="00A91004"/>
    <w:rsid w:val="00A91FFD"/>
    <w:rsid w:val="00AA3D76"/>
    <w:rsid w:val="00AB6D29"/>
    <w:rsid w:val="00AB7C80"/>
    <w:rsid w:val="00AC22B0"/>
    <w:rsid w:val="00AD1699"/>
    <w:rsid w:val="00AD31D6"/>
    <w:rsid w:val="00AD35ED"/>
    <w:rsid w:val="00AE42A2"/>
    <w:rsid w:val="00B021D7"/>
    <w:rsid w:val="00B03034"/>
    <w:rsid w:val="00B17818"/>
    <w:rsid w:val="00B33454"/>
    <w:rsid w:val="00B66091"/>
    <w:rsid w:val="00B739BA"/>
    <w:rsid w:val="00B74AFC"/>
    <w:rsid w:val="00B83A1E"/>
    <w:rsid w:val="00B920EF"/>
    <w:rsid w:val="00BA2E18"/>
    <w:rsid w:val="00BA50D1"/>
    <w:rsid w:val="00BA5E45"/>
    <w:rsid w:val="00BB759E"/>
    <w:rsid w:val="00BC1478"/>
    <w:rsid w:val="00BD04A2"/>
    <w:rsid w:val="00BD2C7F"/>
    <w:rsid w:val="00BE5814"/>
    <w:rsid w:val="00BE70C6"/>
    <w:rsid w:val="00BF2795"/>
    <w:rsid w:val="00BF61DC"/>
    <w:rsid w:val="00C10A5B"/>
    <w:rsid w:val="00C10A61"/>
    <w:rsid w:val="00C1791E"/>
    <w:rsid w:val="00C22F54"/>
    <w:rsid w:val="00C26F36"/>
    <w:rsid w:val="00C3295E"/>
    <w:rsid w:val="00C348A2"/>
    <w:rsid w:val="00C34CC7"/>
    <w:rsid w:val="00C65BA7"/>
    <w:rsid w:val="00C75EC8"/>
    <w:rsid w:val="00C81B4E"/>
    <w:rsid w:val="00C957A5"/>
    <w:rsid w:val="00CA514F"/>
    <w:rsid w:val="00CA6CE6"/>
    <w:rsid w:val="00CC4F30"/>
    <w:rsid w:val="00CC5038"/>
    <w:rsid w:val="00CD202B"/>
    <w:rsid w:val="00CD527D"/>
    <w:rsid w:val="00CE19BA"/>
    <w:rsid w:val="00CE7BAD"/>
    <w:rsid w:val="00CF01AE"/>
    <w:rsid w:val="00CF0CDD"/>
    <w:rsid w:val="00CF3B0F"/>
    <w:rsid w:val="00CF45EC"/>
    <w:rsid w:val="00D020CC"/>
    <w:rsid w:val="00D0568A"/>
    <w:rsid w:val="00D06D32"/>
    <w:rsid w:val="00D07748"/>
    <w:rsid w:val="00D10D70"/>
    <w:rsid w:val="00D148C6"/>
    <w:rsid w:val="00D33A39"/>
    <w:rsid w:val="00D41300"/>
    <w:rsid w:val="00D6216C"/>
    <w:rsid w:val="00D666E0"/>
    <w:rsid w:val="00D72C07"/>
    <w:rsid w:val="00D7477A"/>
    <w:rsid w:val="00D76C87"/>
    <w:rsid w:val="00D849A0"/>
    <w:rsid w:val="00D92850"/>
    <w:rsid w:val="00DB5EAF"/>
    <w:rsid w:val="00DC52EE"/>
    <w:rsid w:val="00DC6903"/>
    <w:rsid w:val="00DF0097"/>
    <w:rsid w:val="00DF1E15"/>
    <w:rsid w:val="00DF6BFF"/>
    <w:rsid w:val="00E01262"/>
    <w:rsid w:val="00E1599A"/>
    <w:rsid w:val="00E21351"/>
    <w:rsid w:val="00E2658C"/>
    <w:rsid w:val="00E3711A"/>
    <w:rsid w:val="00E44B9A"/>
    <w:rsid w:val="00E5210F"/>
    <w:rsid w:val="00E5472A"/>
    <w:rsid w:val="00E62D73"/>
    <w:rsid w:val="00E74CB9"/>
    <w:rsid w:val="00E7716B"/>
    <w:rsid w:val="00E85E57"/>
    <w:rsid w:val="00E95892"/>
    <w:rsid w:val="00EA1198"/>
    <w:rsid w:val="00EA2F01"/>
    <w:rsid w:val="00EA556C"/>
    <w:rsid w:val="00EB12F9"/>
    <w:rsid w:val="00EB6050"/>
    <w:rsid w:val="00EB7FF3"/>
    <w:rsid w:val="00EC658B"/>
    <w:rsid w:val="00EC6CC8"/>
    <w:rsid w:val="00ED1C5C"/>
    <w:rsid w:val="00ED3119"/>
    <w:rsid w:val="00EE2214"/>
    <w:rsid w:val="00F00F82"/>
    <w:rsid w:val="00F07E5A"/>
    <w:rsid w:val="00F223A3"/>
    <w:rsid w:val="00F26313"/>
    <w:rsid w:val="00F32A8E"/>
    <w:rsid w:val="00F3358F"/>
    <w:rsid w:val="00F34A81"/>
    <w:rsid w:val="00F407C6"/>
    <w:rsid w:val="00F428D8"/>
    <w:rsid w:val="00F44F4E"/>
    <w:rsid w:val="00F572B7"/>
    <w:rsid w:val="00F632A6"/>
    <w:rsid w:val="00F64E8A"/>
    <w:rsid w:val="00F703DF"/>
    <w:rsid w:val="00F725B7"/>
    <w:rsid w:val="00F76816"/>
    <w:rsid w:val="00F8285D"/>
    <w:rsid w:val="00F84629"/>
    <w:rsid w:val="00F86145"/>
    <w:rsid w:val="00FA1C3D"/>
    <w:rsid w:val="00FA443C"/>
    <w:rsid w:val="00FC0356"/>
    <w:rsid w:val="00FC2A23"/>
    <w:rsid w:val="00FC4CB9"/>
    <w:rsid w:val="00FD25B0"/>
    <w:rsid w:val="00FD74C2"/>
    <w:rsid w:val="00FE4CA9"/>
    <w:rsid w:val="00FF1FE6"/>
    <w:rsid w:val="00FF217D"/>
    <w:rsid w:val="00FF476E"/>
    <w:rsid w:val="01CD1DEA"/>
    <w:rsid w:val="01F839E0"/>
    <w:rsid w:val="034A5E71"/>
    <w:rsid w:val="049F67BB"/>
    <w:rsid w:val="05082710"/>
    <w:rsid w:val="074A3A25"/>
    <w:rsid w:val="07E1188D"/>
    <w:rsid w:val="087B518D"/>
    <w:rsid w:val="0B2355CB"/>
    <w:rsid w:val="0B520B0D"/>
    <w:rsid w:val="0C0C6606"/>
    <w:rsid w:val="0C3E1291"/>
    <w:rsid w:val="0CFF5A42"/>
    <w:rsid w:val="0EB4451D"/>
    <w:rsid w:val="0F3835AC"/>
    <w:rsid w:val="0FFE3167"/>
    <w:rsid w:val="100534D8"/>
    <w:rsid w:val="103235D1"/>
    <w:rsid w:val="10441B4B"/>
    <w:rsid w:val="107A4E88"/>
    <w:rsid w:val="109E0159"/>
    <w:rsid w:val="10AC636D"/>
    <w:rsid w:val="10D66AE4"/>
    <w:rsid w:val="12044AB3"/>
    <w:rsid w:val="12640FF8"/>
    <w:rsid w:val="127733B2"/>
    <w:rsid w:val="1334601B"/>
    <w:rsid w:val="155958FB"/>
    <w:rsid w:val="158D465F"/>
    <w:rsid w:val="15A207EE"/>
    <w:rsid w:val="162A5C2D"/>
    <w:rsid w:val="162B0BED"/>
    <w:rsid w:val="16A0771D"/>
    <w:rsid w:val="19105BBF"/>
    <w:rsid w:val="19816036"/>
    <w:rsid w:val="1A0571D7"/>
    <w:rsid w:val="1B020EE3"/>
    <w:rsid w:val="1B3A52EC"/>
    <w:rsid w:val="1B7F5E4F"/>
    <w:rsid w:val="1BFA3A5E"/>
    <w:rsid w:val="1CFF717E"/>
    <w:rsid w:val="1D050A67"/>
    <w:rsid w:val="1D6D1EB0"/>
    <w:rsid w:val="1DA7B1DC"/>
    <w:rsid w:val="1F77DB00"/>
    <w:rsid w:val="21884D4B"/>
    <w:rsid w:val="21C7425C"/>
    <w:rsid w:val="22165AC0"/>
    <w:rsid w:val="231E027A"/>
    <w:rsid w:val="23F65BB4"/>
    <w:rsid w:val="247B5D5A"/>
    <w:rsid w:val="249FB7E4"/>
    <w:rsid w:val="29BA1194"/>
    <w:rsid w:val="2A3C65D1"/>
    <w:rsid w:val="2A460F62"/>
    <w:rsid w:val="2ABF35D4"/>
    <w:rsid w:val="2AED5449"/>
    <w:rsid w:val="2BBF1D8F"/>
    <w:rsid w:val="2BDB67F7"/>
    <w:rsid w:val="2E2D47AA"/>
    <w:rsid w:val="2EE128F4"/>
    <w:rsid w:val="2F8F57F4"/>
    <w:rsid w:val="30AA58E3"/>
    <w:rsid w:val="30AF04CF"/>
    <w:rsid w:val="310A3C9D"/>
    <w:rsid w:val="31F76826"/>
    <w:rsid w:val="330B19CA"/>
    <w:rsid w:val="335B3556"/>
    <w:rsid w:val="33CF79A4"/>
    <w:rsid w:val="344921F8"/>
    <w:rsid w:val="34501F6B"/>
    <w:rsid w:val="345A7984"/>
    <w:rsid w:val="34C62164"/>
    <w:rsid w:val="357A65E2"/>
    <w:rsid w:val="373C22EE"/>
    <w:rsid w:val="37685C7B"/>
    <w:rsid w:val="37F7F37E"/>
    <w:rsid w:val="39C719D2"/>
    <w:rsid w:val="39EA3408"/>
    <w:rsid w:val="39F7616F"/>
    <w:rsid w:val="3AFD1423"/>
    <w:rsid w:val="3DB5B986"/>
    <w:rsid w:val="3DFC2D4F"/>
    <w:rsid w:val="3E0E5B29"/>
    <w:rsid w:val="3E1FA1BC"/>
    <w:rsid w:val="3E93778F"/>
    <w:rsid w:val="3E9B57C2"/>
    <w:rsid w:val="3F3F3DB7"/>
    <w:rsid w:val="3F6F3F0A"/>
    <w:rsid w:val="40F16A18"/>
    <w:rsid w:val="4101181F"/>
    <w:rsid w:val="413B491B"/>
    <w:rsid w:val="425461A8"/>
    <w:rsid w:val="42755BF5"/>
    <w:rsid w:val="434E0C03"/>
    <w:rsid w:val="43B11EBE"/>
    <w:rsid w:val="44786A9A"/>
    <w:rsid w:val="45347175"/>
    <w:rsid w:val="45482E23"/>
    <w:rsid w:val="456A28FF"/>
    <w:rsid w:val="46464784"/>
    <w:rsid w:val="46804CE7"/>
    <w:rsid w:val="47103F3F"/>
    <w:rsid w:val="477F47AD"/>
    <w:rsid w:val="495B6A5C"/>
    <w:rsid w:val="495F61B5"/>
    <w:rsid w:val="4A4C330C"/>
    <w:rsid w:val="4B0866BA"/>
    <w:rsid w:val="4BA70412"/>
    <w:rsid w:val="4BFDF69E"/>
    <w:rsid w:val="4DDD2473"/>
    <w:rsid w:val="4EA40E15"/>
    <w:rsid w:val="4FFC6B71"/>
    <w:rsid w:val="4FFF7806"/>
    <w:rsid w:val="500A1786"/>
    <w:rsid w:val="501B501E"/>
    <w:rsid w:val="512B7010"/>
    <w:rsid w:val="512D3F7B"/>
    <w:rsid w:val="5142406A"/>
    <w:rsid w:val="51BA781F"/>
    <w:rsid w:val="5229032E"/>
    <w:rsid w:val="52DE065F"/>
    <w:rsid w:val="54CA3BF1"/>
    <w:rsid w:val="554D7F05"/>
    <w:rsid w:val="557F4080"/>
    <w:rsid w:val="557FF421"/>
    <w:rsid w:val="55A6920B"/>
    <w:rsid w:val="56932045"/>
    <w:rsid w:val="56F26FAF"/>
    <w:rsid w:val="57FF95B5"/>
    <w:rsid w:val="57FFD990"/>
    <w:rsid w:val="58B76218"/>
    <w:rsid w:val="59A05363"/>
    <w:rsid w:val="5B77F61C"/>
    <w:rsid w:val="5BF5E217"/>
    <w:rsid w:val="5C820FC9"/>
    <w:rsid w:val="5CB34236"/>
    <w:rsid w:val="5DB8F685"/>
    <w:rsid w:val="5DDF0A7D"/>
    <w:rsid w:val="5DE5312C"/>
    <w:rsid w:val="5E1C27A6"/>
    <w:rsid w:val="5E7C4084"/>
    <w:rsid w:val="5EE73105"/>
    <w:rsid w:val="5F1F3118"/>
    <w:rsid w:val="5F3E5B72"/>
    <w:rsid w:val="5F7D54F5"/>
    <w:rsid w:val="5FD64DBF"/>
    <w:rsid w:val="60D94408"/>
    <w:rsid w:val="61B00CB9"/>
    <w:rsid w:val="61DF6044"/>
    <w:rsid w:val="62130FB7"/>
    <w:rsid w:val="630E4F1B"/>
    <w:rsid w:val="63444FA6"/>
    <w:rsid w:val="638E1C86"/>
    <w:rsid w:val="6591192E"/>
    <w:rsid w:val="65F76DAF"/>
    <w:rsid w:val="664A7C90"/>
    <w:rsid w:val="66B9532A"/>
    <w:rsid w:val="676A17F5"/>
    <w:rsid w:val="679C73E0"/>
    <w:rsid w:val="67D86142"/>
    <w:rsid w:val="690947AA"/>
    <w:rsid w:val="69203BB2"/>
    <w:rsid w:val="69EDF347"/>
    <w:rsid w:val="6B79226C"/>
    <w:rsid w:val="6D8B1D10"/>
    <w:rsid w:val="6EC31162"/>
    <w:rsid w:val="6FE307C3"/>
    <w:rsid w:val="71310FFF"/>
    <w:rsid w:val="71724883"/>
    <w:rsid w:val="717DC150"/>
    <w:rsid w:val="72DFB1DE"/>
    <w:rsid w:val="755A695D"/>
    <w:rsid w:val="75A31269"/>
    <w:rsid w:val="75F66788"/>
    <w:rsid w:val="76723548"/>
    <w:rsid w:val="77915E87"/>
    <w:rsid w:val="77F529E6"/>
    <w:rsid w:val="7903518B"/>
    <w:rsid w:val="79D023F1"/>
    <w:rsid w:val="7A9735F6"/>
    <w:rsid w:val="7B7917EF"/>
    <w:rsid w:val="7BDBE14B"/>
    <w:rsid w:val="7BFF78B5"/>
    <w:rsid w:val="7C4441D1"/>
    <w:rsid w:val="7CDF8EB1"/>
    <w:rsid w:val="7CF7A8FC"/>
    <w:rsid w:val="7D0535D1"/>
    <w:rsid w:val="7D7A188A"/>
    <w:rsid w:val="7DC65F20"/>
    <w:rsid w:val="7DDB9652"/>
    <w:rsid w:val="7DF50C14"/>
    <w:rsid w:val="7E697214"/>
    <w:rsid w:val="7EA686CB"/>
    <w:rsid w:val="7EFF8C0A"/>
    <w:rsid w:val="7F3EAB20"/>
    <w:rsid w:val="7F7920A7"/>
    <w:rsid w:val="7FD7DE4E"/>
    <w:rsid w:val="7FF03CFF"/>
    <w:rsid w:val="7FFF1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EF990F"/>
  <w15:docId w15:val="{2D7F045A-5D6E-4F83-BA5D-A01366EF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after="160" w:line="278" w:lineRule="auto"/>
      <w:jc w:val="both"/>
    </w:pPr>
    <w:rPr>
      <w:kern w:val="2"/>
      <w:sz w:val="21"/>
      <w:szCs w:val="24"/>
    </w:rPr>
  </w:style>
  <w:style w:type="paragraph" w:styleId="1">
    <w:name w:val="heading 1"/>
    <w:basedOn w:val="a"/>
    <w:next w:val="a"/>
    <w:qFormat/>
    <w:pPr>
      <w:keepNext/>
      <w:keepLines/>
      <w:spacing w:before="120" w:after="120" w:line="578" w:lineRule="auto"/>
      <w:outlineLvl w:val="0"/>
    </w:pPr>
    <w:rPr>
      <w:b/>
      <w:bCs/>
      <w:kern w:val="44"/>
      <w:sz w:val="28"/>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semiHidden/>
    <w:qFormat/>
    <w:rPr>
      <w:sz w:val="18"/>
      <w:szCs w:val="18"/>
    </w:rPr>
  </w:style>
  <w:style w:type="paragraph" w:styleId="a4">
    <w:name w:val="annotation text"/>
    <w:basedOn w:val="a"/>
    <w:link w:val="a5"/>
    <w:uiPriority w:val="99"/>
    <w:qFormat/>
    <w:pPr>
      <w:jc w:val="left"/>
    </w:pPr>
  </w:style>
  <w:style w:type="paragraph" w:styleId="a6">
    <w:name w:val="Body Text Indent"/>
    <w:basedOn w:val="a"/>
    <w:qFormat/>
    <w:pPr>
      <w:spacing w:after="120"/>
      <w:ind w:leftChars="200" w:left="420"/>
    </w:pPr>
    <w:rPr>
      <w:szCs w:val="20"/>
    </w:rPr>
  </w:style>
  <w:style w:type="paragraph" w:styleId="a7">
    <w:name w:val="Plain Text"/>
    <w:basedOn w:val="a"/>
    <w:qFormat/>
    <w:pPr>
      <w:adjustRightInd w:val="0"/>
      <w:spacing w:line="360" w:lineRule="atLeast"/>
      <w:textAlignment w:val="baseline"/>
    </w:pPr>
    <w:rPr>
      <w:rFonts w:ascii="宋体" w:hAnsi="Courier New"/>
      <w:szCs w:val="20"/>
    </w:rPr>
  </w:style>
  <w:style w:type="paragraph" w:styleId="21">
    <w:name w:val="Body Text Indent 2"/>
    <w:basedOn w:val="a"/>
    <w:qFormat/>
    <w:pPr>
      <w:spacing w:after="120" w:line="360" w:lineRule="auto"/>
      <w:ind w:firstLineChars="200" w:firstLine="480"/>
    </w:pPr>
    <w:rPr>
      <w:rFonts w:ascii="宋体" w:hAnsi="宋体"/>
      <w:color w:val="FF0000"/>
      <w:sz w:val="24"/>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360"/>
      <w:jc w:val="left"/>
    </w:pPr>
    <w:rPr>
      <w:rFonts w:ascii="Arial" w:hAnsi="Arial" w:cs="Arial"/>
      <w:b/>
      <w:bCs/>
      <w:caps/>
      <w:sz w:val="24"/>
    </w:rPr>
  </w:style>
  <w:style w:type="paragraph" w:styleId="ab">
    <w:name w:val="annotation subject"/>
    <w:basedOn w:val="a4"/>
    <w:next w:val="a4"/>
    <w:semiHidden/>
    <w:qFormat/>
    <w:rPr>
      <w:b/>
      <w:bCs/>
    </w:rPr>
  </w:style>
  <w:style w:type="character" w:styleId="ac">
    <w:name w:val="page number"/>
    <w:qFormat/>
    <w:rPr>
      <w:rFonts w:ascii="Times New Roman" w:eastAsia="仿宋_GB2312" w:hAnsi="Times New Roman" w:cs="Times New Roman"/>
      <w:sz w:val="18"/>
      <w:szCs w:val="20"/>
    </w:rPr>
  </w:style>
  <w:style w:type="character" w:styleId="ad">
    <w:name w:val="FollowedHyperlink"/>
    <w:qFormat/>
    <w:rPr>
      <w:color w:val="800080"/>
      <w:szCs w:val="20"/>
      <w:u w:val="single"/>
    </w:rPr>
  </w:style>
  <w:style w:type="character" w:styleId="ae">
    <w:name w:val="Hyperlink"/>
    <w:uiPriority w:val="99"/>
    <w:qFormat/>
    <w:rPr>
      <w:color w:val="0000FF"/>
      <w:szCs w:val="20"/>
      <w:u w:val="single"/>
    </w:rPr>
  </w:style>
  <w:style w:type="character" w:styleId="af">
    <w:name w:val="annotation reference"/>
    <w:uiPriority w:val="99"/>
    <w:qFormat/>
    <w:rPr>
      <w:sz w:val="21"/>
      <w:szCs w:val="21"/>
    </w:rPr>
  </w:style>
  <w:style w:type="character" w:customStyle="1" w:styleId="a5">
    <w:name w:val="批注文字 字符"/>
    <w:link w:val="a4"/>
    <w:uiPriority w:val="99"/>
    <w:qFormat/>
    <w:rPr>
      <w:kern w:val="2"/>
      <w:sz w:val="21"/>
      <w:szCs w:val="24"/>
    </w:rPr>
  </w:style>
  <w:style w:type="character" w:customStyle="1" w:styleId="a9">
    <w:name w:val="页脚 字符"/>
    <w:link w:val="a8"/>
    <w:uiPriority w:val="99"/>
    <w:qFormat/>
    <w:rPr>
      <w:kern w:val="2"/>
      <w:sz w:val="18"/>
      <w:szCs w:val="18"/>
    </w:rPr>
  </w:style>
  <w:style w:type="paragraph" w:customStyle="1" w:styleId="CharChar5">
    <w:name w:val="Char Char5"/>
    <w:basedOn w:val="a"/>
    <w:qFormat/>
    <w:rPr>
      <w:szCs w:val="20"/>
    </w:rPr>
  </w:style>
  <w:style w:type="paragraph" w:customStyle="1" w:styleId="CharCharCharChar1">
    <w:name w:val="Char Char Char Char1"/>
    <w:basedOn w:val="a"/>
    <w:qFormat/>
    <w:rPr>
      <w:szCs w:val="20"/>
    </w:rPr>
  </w:style>
  <w:style w:type="paragraph" w:customStyle="1" w:styleId="CharCharCharChar">
    <w:name w:val="Char Char Char Char"/>
    <w:basedOn w:val="a"/>
    <w:qFormat/>
    <w:pPr>
      <w:tabs>
        <w:tab w:val="left" w:pos="360"/>
      </w:tabs>
    </w:pPr>
    <w:rPr>
      <w:sz w:val="24"/>
    </w:rPr>
  </w:style>
  <w:style w:type="paragraph" w:customStyle="1" w:styleId="11">
    <w:name w:val="修订1"/>
    <w:uiPriority w:val="99"/>
    <w:unhideWhenUsed/>
    <w:qFormat/>
    <w:pPr>
      <w:spacing w:after="160" w:line="278" w:lineRule="auto"/>
    </w:pPr>
    <w:rPr>
      <w:kern w:val="2"/>
      <w:sz w:val="21"/>
      <w:szCs w:val="24"/>
    </w:rPr>
  </w:style>
  <w:style w:type="character" w:customStyle="1" w:styleId="read">
    <w:name w:val="read"/>
    <w:qFormat/>
  </w:style>
  <w:style w:type="character" w:customStyle="1" w:styleId="20">
    <w:name w:val="标题 2 字符"/>
    <w:link w:val="2"/>
    <w:qFormat/>
    <w:rPr>
      <w:rFonts w:ascii="Arial" w:eastAsia="黑体" w:hAnsi="Arial"/>
      <w:b/>
      <w:bCs/>
      <w:kern w:val="2"/>
      <w:sz w:val="32"/>
      <w:szCs w:val="32"/>
    </w:rPr>
  </w:style>
  <w:style w:type="paragraph" w:customStyle="1" w:styleId="Style26">
    <w:name w:val="_Style 26"/>
    <w:basedOn w:val="a"/>
    <w:next w:val="a"/>
    <w:qFormat/>
  </w:style>
  <w:style w:type="paragraph" w:customStyle="1" w:styleId="22">
    <w:name w:val="修订2"/>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291D46-95F3-4620-8EA8-AE79E962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5276</Words>
  <Characters>30074</Characters>
  <Application>Microsoft Office Word</Application>
  <DocSecurity>0</DocSecurity>
  <Lines>250</Lines>
  <Paragraphs>70</Paragraphs>
  <ScaleCrop>false</ScaleCrop>
  <Company>ICBCOA</Company>
  <LinksUpToDate>false</LinksUpToDate>
  <CharactersWithSpaces>35280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XX基金管理有限公司</dc:title>
  <dc:creator>习倩</dc:creator>
  <cp:lastModifiedBy>项新月</cp:lastModifiedBy>
  <cp:revision>28</cp:revision>
  <cp:lastPrinted>2026-07-06T06:39:00Z</cp:lastPrinted>
  <dcterms:created xsi:type="dcterms:W3CDTF">2026-05-20T09:50:00Z</dcterms:created>
  <dcterms:modified xsi:type="dcterms:W3CDTF">2026-08-31T00:31:00Z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0FA6DB520A16338F1F27D669358B789B_43</vt:lpwstr>
  </property>
  <property fmtid="{D5CDD505-2E9C-101B-9397-08002B2CF9AE}" pid="4" name="KSOTemplateDocerSaveRecord">
    <vt:lpwstr>eyJoZGlkIjoiMWI0OThmMWU4NzZlOGE3ZDkxNzljN2Q1MWRjMmIzODEiLCJ1c2VySWQiOiIyNTY3NTgxMjEifQ==</vt:lpwstr>
  </property>
</Properties>
</file>