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9E570F" w14:paraId="01520BF3" w14:textId="77777777">
      <w:pPr>
        <w:spacing w:line="360" w:lineRule="auto"/>
        <w:rPr>
          <w:rFonts w:ascii="宋体" w:eastAsia="宋体" w:hAnsi="Calibri"/>
          <w:i/>
          <w:sz w:val="32"/>
        </w:rPr>
      </w:pPr>
    </w:p>
    <w:p w:rsidR="009E570F" w14:paraId="43A10E71" w14:textId="77777777">
      <w:pPr>
        <w:spacing w:line="360" w:lineRule="auto"/>
        <w:jc w:val="center"/>
        <w:rPr>
          <w:rFonts w:ascii="宋体" w:eastAsia="宋体" w:hAnsi="Calibri"/>
          <w:sz w:val="44"/>
        </w:rPr>
      </w:pPr>
    </w:p>
    <w:p w:rsidR="009E570F" w14:paraId="14B3E27E" w14:textId="77777777">
      <w:pPr>
        <w:spacing w:line="360" w:lineRule="auto"/>
        <w:jc w:val="center"/>
        <w:rPr>
          <w:rFonts w:ascii="宋体" w:eastAsia="宋体" w:hAnsi="Calibri"/>
          <w:sz w:val="44"/>
        </w:rPr>
      </w:pPr>
    </w:p>
    <w:p w:rsidR="009E570F" w14:paraId="5404A7C1" w14:textId="77777777">
      <w:pPr>
        <w:spacing w:line="360" w:lineRule="auto"/>
        <w:jc w:val="center"/>
        <w:rPr>
          <w:rFonts w:ascii="宋体" w:eastAsia="宋体" w:hAnsi="Calibri"/>
          <w:sz w:val="44"/>
        </w:rPr>
      </w:pPr>
    </w:p>
    <w:p w:rsidR="009E570F" w14:paraId="51A488DB" w14:textId="77777777">
      <w:pPr>
        <w:spacing w:line="360" w:lineRule="auto"/>
        <w:jc w:val="center"/>
        <w:rPr>
          <w:rFonts w:ascii="宋体" w:eastAsia="宋体" w:hAnsi="Calibri"/>
          <w:sz w:val="44"/>
        </w:rPr>
      </w:pPr>
    </w:p>
    <w:p w:rsidR="009E570F" w14:paraId="3023090F" w14:textId="77777777">
      <w:pPr>
        <w:spacing w:line="360" w:lineRule="auto"/>
        <w:jc w:val="center"/>
        <w:rPr>
          <w:rFonts w:ascii="宋体" w:eastAsia="宋体" w:hAnsi="Calibri"/>
          <w:sz w:val="44"/>
        </w:rPr>
      </w:pPr>
    </w:p>
    <w:p w:rsidR="009E570F" w14:paraId="4B1F5393" w14:textId="77777777">
      <w:pPr>
        <w:spacing w:line="360" w:lineRule="auto"/>
        <w:jc w:val="center"/>
        <w:rPr>
          <w:rFonts w:ascii="宋体" w:eastAsia="宋体" w:hAnsi="Calibri"/>
          <w:sz w:val="44"/>
        </w:rPr>
      </w:pPr>
    </w:p>
    <w:p w:rsidR="009E570F" w14:paraId="0BD6010D" w14:textId="77777777">
      <w:pPr>
        <w:jc w:val="center"/>
        <w:rPr>
          <w:rFonts w:ascii="宋体" w:eastAsia="宋体" w:hAnsi="Calibri" w:cs="宋体"/>
          <w:b/>
          <w:sz w:val="36"/>
          <w:szCs w:val="36"/>
          <w:lang w:eastAsia="zh-CN"/>
        </w:rPr>
      </w:pPr>
      <w:r>
        <w:rPr>
          <w:rFonts w:ascii="宋体" w:eastAsia="宋体" w:hAnsi="Calibri" w:cs="宋体"/>
          <w:b/>
          <w:sz w:val="36"/>
          <w:szCs w:val="36"/>
          <w:lang w:eastAsia="zh-CN"/>
        </w:rPr>
        <w:t>易方达中证科创创业人工智能交易型开放式指数证券投资基金发起式联接基金</w:t>
      </w:r>
      <w:r>
        <w:rPr>
          <w:rFonts w:ascii="宋体" w:eastAsia="宋体" w:hAnsi="Calibri" w:cs="宋体" w:hint="eastAsia"/>
          <w:b/>
          <w:sz w:val="36"/>
          <w:szCs w:val="36"/>
          <w:lang w:eastAsia="zh-CN"/>
        </w:rPr>
        <w:t>基金份额发售公告</w:t>
      </w:r>
    </w:p>
    <w:p w:rsidR="009E570F" w14:paraId="2BF3109D" w14:textId="77777777">
      <w:pPr>
        <w:spacing w:line="360" w:lineRule="auto"/>
        <w:rPr>
          <w:rFonts w:ascii="宋体" w:eastAsia="宋体" w:hAnsi="Calibri"/>
          <w:i/>
          <w:sz w:val="32"/>
          <w:lang w:eastAsia="zh-CN"/>
        </w:rPr>
      </w:pPr>
    </w:p>
    <w:p w:rsidR="009E570F" w14:paraId="26D1160D" w14:textId="77777777">
      <w:pPr>
        <w:spacing w:line="360" w:lineRule="auto"/>
        <w:rPr>
          <w:rFonts w:ascii="宋体" w:eastAsia="宋体" w:hAnsi="Calibri"/>
          <w:i/>
          <w:sz w:val="32"/>
          <w:lang w:eastAsia="zh-CN"/>
        </w:rPr>
      </w:pPr>
    </w:p>
    <w:p w:rsidR="009E570F" w14:paraId="3E47C159" w14:textId="77777777">
      <w:pPr>
        <w:spacing w:line="360" w:lineRule="auto"/>
        <w:rPr>
          <w:rFonts w:ascii="宋体" w:eastAsia="宋体" w:hAnsi="Calibri"/>
          <w:i/>
          <w:sz w:val="32"/>
          <w:lang w:eastAsia="zh-CN"/>
        </w:rPr>
      </w:pPr>
    </w:p>
    <w:p w:rsidR="009E570F" w14:paraId="61D137E4" w14:textId="77777777">
      <w:pPr>
        <w:spacing w:line="360" w:lineRule="auto"/>
        <w:rPr>
          <w:rFonts w:ascii="宋体" w:eastAsia="宋体" w:hAnsi="Calibri"/>
          <w:i/>
          <w:sz w:val="32"/>
          <w:lang w:eastAsia="zh-CN"/>
        </w:rPr>
      </w:pPr>
    </w:p>
    <w:p w:rsidR="009E570F" w14:paraId="325A0763" w14:textId="77777777">
      <w:pPr>
        <w:spacing w:line="360" w:lineRule="auto"/>
        <w:rPr>
          <w:rFonts w:ascii="宋体" w:eastAsia="宋体" w:hAnsi="Calibri"/>
          <w:i/>
          <w:sz w:val="32"/>
          <w:lang w:eastAsia="zh-CN"/>
        </w:rPr>
      </w:pPr>
    </w:p>
    <w:p w:rsidR="009E570F" w14:paraId="42DA2779" w14:textId="77777777">
      <w:pPr>
        <w:rPr>
          <w:rFonts w:ascii="宋体" w:eastAsia="宋体" w:hAnsi="Calibri"/>
          <w:sz w:val="30"/>
          <w:szCs w:val="30"/>
          <w:lang w:eastAsia="zh-CN"/>
        </w:rPr>
      </w:pPr>
    </w:p>
    <w:p w:rsidR="009E570F" w14:paraId="462923E0" w14:textId="77777777">
      <w:pPr>
        <w:ind w:left="1680"/>
        <w:rPr>
          <w:rFonts w:ascii="宋体" w:eastAsia="宋体" w:hAnsi="Calibri"/>
          <w:sz w:val="30"/>
          <w:szCs w:val="30"/>
          <w:lang w:eastAsia="zh-CN"/>
        </w:rPr>
      </w:pPr>
      <w:r>
        <w:rPr>
          <w:rFonts w:ascii="宋体" w:eastAsia="宋体" w:hAnsi="Calibri" w:hint="eastAsia"/>
          <w:sz w:val="30"/>
          <w:szCs w:val="30"/>
          <w:lang w:eastAsia="zh-CN"/>
        </w:rPr>
        <w:t>基金管理人：易方达基金管理有限公司</w:t>
      </w:r>
    </w:p>
    <w:p w:rsidR="009E570F" w14:paraId="335216D3" w14:textId="77777777">
      <w:pPr>
        <w:ind w:left="1680"/>
        <w:rPr>
          <w:rFonts w:ascii="宋体" w:eastAsia="宋体" w:hAnsi="Calibri"/>
          <w:sz w:val="30"/>
          <w:szCs w:val="30"/>
          <w:lang w:eastAsia="zh-CN"/>
        </w:rPr>
      </w:pPr>
      <w:r>
        <w:rPr>
          <w:rFonts w:ascii="宋体" w:eastAsia="宋体" w:hAnsi="Calibri" w:hint="eastAsia"/>
          <w:sz w:val="30"/>
          <w:szCs w:val="30"/>
          <w:lang w:eastAsia="zh-CN"/>
        </w:rPr>
        <w:t>基金托管人：</w:t>
      </w:r>
      <w:r>
        <w:rPr>
          <w:rFonts w:ascii="宋体" w:eastAsia="宋体" w:hAnsi="Calibri"/>
          <w:sz w:val="30"/>
          <w:szCs w:val="30"/>
          <w:lang w:eastAsia="zh-CN"/>
        </w:rPr>
        <w:t>招商银行股份有限公司</w:t>
      </w:r>
      <w:r>
        <w:rPr>
          <w:rFonts w:ascii="宋体" w:eastAsia="宋体" w:hAnsi="Calibri" w:hint="eastAsia"/>
          <w:sz w:val="30"/>
          <w:szCs w:val="30"/>
          <w:lang w:eastAsia="zh-CN"/>
        </w:rPr>
        <w:t xml:space="preserve"> </w:t>
      </w:r>
    </w:p>
    <w:p w:rsidR="009E570F" w14:paraId="6F427D4F" w14:textId="77777777">
      <w:pPr>
        <w:ind w:left="1680"/>
        <w:rPr>
          <w:rFonts w:ascii="宋体" w:eastAsia="宋体" w:hAnsi="Calibri"/>
          <w:sz w:val="30"/>
          <w:szCs w:val="30"/>
          <w:lang w:eastAsia="zh-CN"/>
        </w:rPr>
      </w:pPr>
    </w:p>
    <w:p w:rsidR="009E570F" w14:paraId="64CE25AD" w14:textId="5340556F">
      <w:pPr>
        <w:spacing w:line="360" w:lineRule="auto"/>
        <w:jc w:val="center"/>
        <w:rPr>
          <w:rFonts w:ascii="宋体" w:eastAsia="宋体" w:hAnsi="Calibri"/>
          <w:sz w:val="28"/>
          <w:szCs w:val="30"/>
          <w:lang w:eastAsia="zh-CN"/>
        </w:rPr>
        <w:sectPr>
          <w:headerReference w:type="default" r:id="rId5"/>
          <w:footerReference w:type="even" r:id="rId6"/>
          <w:footerReference w:type="default" r:id="rId7"/>
          <w:headerReference w:type="first" r:id="rId8"/>
          <w:pgSz w:w="11907" w:h="16840"/>
          <w:pgMar w:top="1440" w:right="1797" w:bottom="1440" w:left="1797" w:header="851" w:footer="992" w:gutter="0"/>
          <w:pgNumType w:start="0"/>
          <w:cols w:space="425"/>
          <w:titlePg/>
          <w:docGrid w:type="lines" w:linePitch="312"/>
        </w:sectPr>
      </w:pPr>
      <w:r>
        <w:rPr>
          <w:rFonts w:ascii="宋体" w:eastAsia="宋体" w:hAnsi="Calibri" w:hint="eastAsia"/>
          <w:bCs/>
          <w:sz w:val="28"/>
          <w:lang w:eastAsia="zh-CN"/>
        </w:rPr>
        <w:t>二零二</w:t>
      </w:r>
      <w:r w:rsidR="004923C5">
        <w:rPr>
          <w:rFonts w:ascii="宋体" w:eastAsia="宋体" w:hAnsi="Calibri" w:hint="eastAsia"/>
          <w:bCs/>
          <w:sz w:val="28"/>
          <w:lang w:eastAsia="zh-CN"/>
        </w:rPr>
        <w:t>六</w:t>
      </w:r>
      <w:r>
        <w:rPr>
          <w:rFonts w:ascii="宋体" w:eastAsia="宋体" w:hAnsi="Calibri" w:hint="eastAsia"/>
          <w:bCs/>
          <w:sz w:val="28"/>
          <w:lang w:eastAsia="zh-CN"/>
        </w:rPr>
        <w:t>年</w:t>
      </w:r>
      <w:r w:rsidR="00AF1F4E">
        <w:rPr>
          <w:rFonts w:ascii="宋体" w:eastAsia="宋体" w:hAnsi="Calibri" w:hint="eastAsia"/>
          <w:bCs/>
          <w:sz w:val="28"/>
          <w:lang w:eastAsia="zh-CN"/>
        </w:rPr>
        <w:t>九</w:t>
      </w:r>
      <w:r>
        <w:rPr>
          <w:rFonts w:ascii="宋体" w:eastAsia="宋体" w:hAnsi="Calibri" w:hint="eastAsia"/>
          <w:bCs/>
          <w:sz w:val="28"/>
          <w:lang w:eastAsia="zh-CN"/>
        </w:rPr>
        <w:t>月</w:t>
      </w:r>
    </w:p>
    <w:p w:rsidR="009E570F" w14:paraId="53883FEE" w14:textId="77777777">
      <w:pPr>
        <w:spacing w:line="360" w:lineRule="auto"/>
        <w:jc w:val="center"/>
        <w:rPr>
          <w:rFonts w:ascii="宋体" w:eastAsia="宋体" w:hAnsi="Calibri"/>
          <w:sz w:val="32"/>
          <w:lang w:eastAsia="zh-CN"/>
        </w:rPr>
      </w:pPr>
      <w:r>
        <w:rPr>
          <w:rFonts w:ascii="宋体" w:eastAsia="宋体" w:hAnsi="Calibri"/>
          <w:sz w:val="32"/>
          <w:lang w:eastAsia="zh-CN"/>
        </w:rPr>
        <w:t>易方达中证科创创业人工智能交易型开放式指数证券投资基金发起式联接基金</w:t>
      </w:r>
      <w:r>
        <w:rPr>
          <w:rFonts w:ascii="宋体" w:eastAsia="宋体" w:hAnsi="Calibri" w:hint="eastAsia"/>
          <w:sz w:val="32"/>
          <w:lang w:eastAsia="zh-CN"/>
        </w:rPr>
        <w:t>基金份额发售公告</w:t>
      </w:r>
    </w:p>
    <w:p w:rsidR="009E570F" w14:paraId="2D095E63" w14:textId="77777777">
      <w:pPr>
        <w:spacing w:line="360" w:lineRule="auto"/>
        <w:jc w:val="center"/>
        <w:rPr>
          <w:rFonts w:ascii="宋体" w:eastAsia="宋体" w:hAnsi="Calibri"/>
          <w:sz w:val="32"/>
          <w:lang w:eastAsia="zh-CN"/>
        </w:rPr>
      </w:pPr>
    </w:p>
    <w:p w:rsidR="009E570F" w14:paraId="5B76B608" w14:textId="77777777">
      <w:pPr>
        <w:spacing w:line="360" w:lineRule="auto"/>
        <w:jc w:val="center"/>
        <w:rPr>
          <w:rFonts w:ascii="宋体" w:eastAsia="宋体" w:hAnsi="Calibri"/>
          <w:bCs/>
          <w:sz w:val="24"/>
        </w:rPr>
      </w:pPr>
      <w:r>
        <w:rPr>
          <w:rFonts w:ascii="宋体" w:eastAsia="宋体" w:hAnsi="Calibri" w:hint="eastAsia"/>
          <w:bCs/>
          <w:sz w:val="24"/>
        </w:rPr>
        <w:t>重要提示</w:t>
      </w:r>
    </w:p>
    <w:p w:rsidR="009E570F" w14:paraId="74324857" w14:textId="0F48284F">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szCs w:val="21"/>
          <w:lang w:eastAsia="zh-CN"/>
        </w:rPr>
        <w:t>易方达中证科创创业人工智能交易型开放式指数证券投资基金发起式联接基金（以下简称</w:t>
      </w:r>
      <w:r>
        <w:rPr>
          <w:rFonts w:ascii="宋体" w:eastAsia="宋体" w:hAnsi="Calibri" w:hint="eastAsia"/>
          <w:szCs w:val="21"/>
          <w:lang w:eastAsia="zh-CN"/>
        </w:rPr>
        <w:t>“</w:t>
      </w:r>
      <w:r>
        <w:rPr>
          <w:rFonts w:ascii="宋体" w:eastAsia="宋体" w:hAnsi="Calibri"/>
          <w:szCs w:val="21"/>
          <w:lang w:eastAsia="zh-CN"/>
        </w:rPr>
        <w:t>本基金</w:t>
      </w:r>
      <w:r>
        <w:rPr>
          <w:rFonts w:ascii="宋体" w:eastAsia="宋体" w:hAnsi="Calibri" w:hint="eastAsia"/>
          <w:szCs w:val="21"/>
          <w:lang w:eastAsia="zh-CN"/>
        </w:rPr>
        <w:t>”</w:t>
      </w:r>
      <w:r>
        <w:rPr>
          <w:rFonts w:ascii="宋体" w:eastAsia="宋体" w:hAnsi="Calibri"/>
          <w:szCs w:val="21"/>
          <w:lang w:eastAsia="zh-CN"/>
        </w:rPr>
        <w:t>）</w:t>
      </w:r>
      <w:r>
        <w:rPr>
          <w:rFonts w:ascii="宋体" w:eastAsia="宋体" w:hAnsi="Calibri" w:hint="eastAsia"/>
          <w:szCs w:val="21"/>
          <w:lang w:eastAsia="zh-CN"/>
        </w:rPr>
        <w:t>根据中国证券监督管理委员会《关于准予</w:t>
      </w:r>
      <w:r>
        <w:rPr>
          <w:rFonts w:ascii="宋体" w:eastAsia="宋体" w:hAnsi="Calibri"/>
          <w:szCs w:val="21"/>
          <w:lang w:eastAsia="zh-CN"/>
        </w:rPr>
        <w:t>易方达中证科创创业人工智能交易型开放式指数证券投资基金发起式联接基金注册的批复》（证监许可[202</w:t>
      </w:r>
      <w:r w:rsidR="00325F33">
        <w:rPr>
          <w:rFonts w:ascii="宋体" w:eastAsia="宋体" w:hAnsi="Calibri"/>
          <w:szCs w:val="21"/>
          <w:lang w:eastAsia="zh-CN"/>
        </w:rPr>
        <w:t>6</w:t>
      </w:r>
      <w:r>
        <w:rPr>
          <w:rFonts w:ascii="宋体" w:eastAsia="宋体" w:hAnsi="Calibri"/>
          <w:szCs w:val="21"/>
          <w:lang w:eastAsia="zh-CN"/>
        </w:rPr>
        <w:t>]</w:t>
      </w:r>
      <w:r w:rsidR="00325F33">
        <w:rPr>
          <w:rFonts w:ascii="宋体" w:eastAsia="宋体" w:hAnsi="Calibri"/>
          <w:szCs w:val="21"/>
          <w:lang w:eastAsia="zh-CN"/>
        </w:rPr>
        <w:t>2221</w:t>
      </w:r>
      <w:r>
        <w:rPr>
          <w:rFonts w:ascii="宋体" w:eastAsia="宋体" w:hAnsi="Calibri"/>
          <w:szCs w:val="21"/>
          <w:lang w:eastAsia="zh-CN"/>
        </w:rPr>
        <w:t>号）</w:t>
      </w:r>
      <w:r>
        <w:rPr>
          <w:rFonts w:ascii="宋体" w:eastAsia="宋体" w:hAnsi="Calibri" w:hint="eastAsia"/>
          <w:szCs w:val="21"/>
          <w:lang w:eastAsia="zh-CN"/>
        </w:rPr>
        <w:t>进行募集。</w:t>
      </w:r>
    </w:p>
    <w:p w:rsidR="009E570F" w14:paraId="480E1FFA" w14:textId="77777777">
      <w:pPr>
        <w:numPr>
          <w:ilvl w:val="0"/>
          <w:numId w:val="2"/>
        </w:numPr>
        <w:tabs>
          <w:tab w:val="num" w:pos="709"/>
          <w:tab w:val="clear" w:pos="900"/>
        </w:tabs>
        <w:spacing w:line="360" w:lineRule="auto"/>
        <w:ind w:left="-28" w:firstLine="454"/>
        <w:rPr>
          <w:rStyle w:val="da"/>
          <w:rFonts w:ascii="宋体" w:eastAsia="宋体" w:hAnsi="Calibri"/>
          <w:lang w:eastAsia="zh-CN"/>
        </w:rPr>
      </w:pPr>
      <w:r>
        <w:rPr>
          <w:rFonts w:ascii="宋体" w:eastAsia="宋体" w:hAnsi="Calibri" w:hint="eastAsia"/>
          <w:szCs w:val="21"/>
          <w:lang w:eastAsia="zh-CN"/>
        </w:rPr>
        <w:t>本基金为</w:t>
      </w:r>
      <w:r>
        <w:rPr>
          <w:rFonts w:ascii="宋体" w:eastAsia="宋体" w:hAnsi="Calibri"/>
          <w:szCs w:val="21"/>
          <w:lang w:eastAsia="zh-CN"/>
        </w:rPr>
        <w:t>契约型开放式、指数基金、联接基金。</w:t>
      </w:r>
    </w:p>
    <w:p w:rsidR="009E570F" w14:paraId="60ED82B9"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hint="eastAsia"/>
          <w:szCs w:val="21"/>
          <w:lang w:eastAsia="zh-CN"/>
        </w:rPr>
        <w:t>本基金的管理人和登记机构均为易方达基金管理有限公司</w:t>
      </w:r>
      <w:r>
        <w:rPr>
          <w:rFonts w:ascii="宋体" w:eastAsia="宋体" w:hAnsi="Calibri"/>
          <w:szCs w:val="21"/>
          <w:lang w:eastAsia="zh-CN"/>
        </w:rPr>
        <w:t>（以下简称</w:t>
      </w:r>
      <w:r>
        <w:rPr>
          <w:rFonts w:ascii="宋体" w:eastAsia="宋体" w:hAnsi="Calibri" w:hint="eastAsia"/>
          <w:szCs w:val="21"/>
          <w:lang w:eastAsia="zh-CN"/>
        </w:rPr>
        <w:t>“</w:t>
      </w:r>
      <w:r>
        <w:rPr>
          <w:rFonts w:ascii="宋体" w:eastAsia="宋体" w:hAnsi="Calibri"/>
          <w:szCs w:val="21"/>
          <w:lang w:eastAsia="zh-CN"/>
        </w:rPr>
        <w:t>本公司</w:t>
      </w:r>
      <w:r>
        <w:rPr>
          <w:rFonts w:ascii="宋体" w:eastAsia="宋体" w:hAnsi="Calibri" w:hint="eastAsia"/>
          <w:szCs w:val="21"/>
          <w:lang w:eastAsia="zh-CN"/>
        </w:rPr>
        <w:t>”</w:t>
      </w:r>
      <w:r>
        <w:rPr>
          <w:rFonts w:ascii="宋体" w:eastAsia="宋体" w:hAnsi="Calibri"/>
          <w:szCs w:val="21"/>
          <w:lang w:eastAsia="zh-CN"/>
        </w:rPr>
        <w:t>）</w:t>
      </w:r>
      <w:r>
        <w:rPr>
          <w:rFonts w:ascii="宋体" w:eastAsia="宋体" w:hAnsi="Calibri" w:hint="eastAsia"/>
          <w:szCs w:val="21"/>
          <w:lang w:eastAsia="zh-CN"/>
        </w:rPr>
        <w:t>，托管人为</w:t>
      </w:r>
      <w:r>
        <w:rPr>
          <w:rFonts w:ascii="宋体" w:eastAsia="宋体" w:hAnsi="Calibri"/>
          <w:szCs w:val="21"/>
          <w:lang w:eastAsia="zh-CN"/>
        </w:rPr>
        <w:t>招商银行股份有限公司</w:t>
      </w:r>
      <w:r>
        <w:rPr>
          <w:rFonts w:ascii="宋体" w:eastAsia="宋体" w:hAnsi="Calibri" w:hint="eastAsia"/>
          <w:szCs w:val="21"/>
          <w:lang w:eastAsia="zh-CN"/>
        </w:rPr>
        <w:t>。</w:t>
      </w:r>
    </w:p>
    <w:p w:rsidR="009E570F" w14:paraId="12BCE94C" w14:textId="2D3A51AF">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szCs w:val="21"/>
          <w:lang w:eastAsia="zh-CN"/>
        </w:rPr>
        <w:t>本基金将</w:t>
      </w:r>
      <w:r>
        <w:rPr>
          <w:rFonts w:ascii="宋体" w:eastAsia="宋体" w:hAnsi="Calibri"/>
          <w:szCs w:val="21"/>
          <w:lang w:eastAsia="zh-CN"/>
        </w:rPr>
        <w:t>自</w:t>
      </w:r>
      <w:r w:rsidR="00653069">
        <w:rPr>
          <w:rFonts w:ascii="宋体" w:eastAsia="宋体" w:hAnsi="Calibri"/>
          <w:szCs w:val="21"/>
          <w:lang w:eastAsia="zh-CN"/>
        </w:rPr>
        <w:t>2026</w:t>
      </w:r>
      <w:r>
        <w:rPr>
          <w:rFonts w:ascii="宋体" w:eastAsia="宋体" w:hAnsi="Calibri" w:hint="eastAsia"/>
          <w:szCs w:val="21"/>
          <w:lang w:eastAsia="zh-CN"/>
        </w:rPr>
        <w:t>年</w:t>
      </w:r>
      <w:r w:rsidR="00653069">
        <w:rPr>
          <w:rFonts w:ascii="宋体" w:eastAsia="宋体" w:hAnsi="Calibri"/>
          <w:szCs w:val="21"/>
          <w:lang w:eastAsia="zh-CN"/>
        </w:rPr>
        <w:t>9</w:t>
      </w:r>
      <w:r>
        <w:rPr>
          <w:rFonts w:ascii="宋体" w:eastAsia="宋体" w:hAnsi="Calibri" w:hint="eastAsia"/>
          <w:szCs w:val="21"/>
          <w:lang w:eastAsia="zh-CN"/>
        </w:rPr>
        <w:t>月</w:t>
      </w:r>
      <w:r w:rsidR="00653069">
        <w:rPr>
          <w:rFonts w:ascii="宋体" w:eastAsia="宋体" w:hAnsi="Calibri"/>
          <w:szCs w:val="21"/>
          <w:lang w:eastAsia="zh-CN"/>
        </w:rPr>
        <w:t>21</w:t>
      </w:r>
      <w:r>
        <w:rPr>
          <w:rFonts w:ascii="宋体" w:eastAsia="宋体" w:hAnsi="Calibri" w:hint="eastAsia"/>
          <w:szCs w:val="21"/>
          <w:lang w:eastAsia="zh-CN"/>
        </w:rPr>
        <w:t>日至</w:t>
      </w:r>
      <w:r w:rsidR="00653069">
        <w:rPr>
          <w:rFonts w:ascii="宋体" w:eastAsia="宋体" w:hAnsi="Calibri"/>
          <w:szCs w:val="21"/>
          <w:lang w:eastAsia="zh-CN"/>
        </w:rPr>
        <w:t>2026</w:t>
      </w:r>
      <w:r>
        <w:rPr>
          <w:rFonts w:ascii="宋体" w:eastAsia="宋体" w:hAnsi="Calibri" w:hint="eastAsia"/>
          <w:szCs w:val="21"/>
          <w:lang w:eastAsia="zh-CN"/>
        </w:rPr>
        <w:t>年</w:t>
      </w:r>
      <w:r w:rsidR="00653069">
        <w:rPr>
          <w:rFonts w:ascii="宋体" w:eastAsia="宋体" w:hAnsi="Calibri"/>
          <w:szCs w:val="21"/>
          <w:lang w:eastAsia="zh-CN"/>
        </w:rPr>
        <w:t>10</w:t>
      </w:r>
      <w:r>
        <w:rPr>
          <w:rFonts w:ascii="宋体" w:eastAsia="宋体" w:hAnsi="Calibri" w:hint="eastAsia"/>
          <w:szCs w:val="21"/>
          <w:lang w:eastAsia="zh-CN"/>
        </w:rPr>
        <w:t>月</w:t>
      </w:r>
      <w:r w:rsidR="00653069">
        <w:rPr>
          <w:rFonts w:ascii="宋体" w:eastAsia="宋体" w:hAnsi="Calibri"/>
          <w:szCs w:val="21"/>
          <w:lang w:eastAsia="zh-CN"/>
        </w:rPr>
        <w:t>22</w:t>
      </w:r>
      <w:r>
        <w:rPr>
          <w:rFonts w:ascii="宋体" w:eastAsia="宋体" w:hAnsi="Calibri" w:hint="eastAsia"/>
          <w:szCs w:val="21"/>
          <w:lang w:eastAsia="zh-CN"/>
        </w:rPr>
        <w:t>日</w:t>
      </w:r>
      <w:r>
        <w:rPr>
          <w:rFonts w:ascii="宋体" w:eastAsia="宋体" w:hAnsi="Calibri"/>
          <w:szCs w:val="21"/>
          <w:lang w:eastAsia="zh-CN"/>
        </w:rPr>
        <w:t>通过基金管理人指定的销售机构公开发售。</w:t>
      </w:r>
      <w:r>
        <w:rPr>
          <w:rFonts w:ascii="宋体" w:eastAsia="宋体" w:hAnsi="Calibri" w:hint="eastAsia"/>
          <w:szCs w:val="21"/>
          <w:lang w:eastAsia="zh-CN"/>
        </w:rPr>
        <w:t>基金管理人根据认购的情况可适当调整募集时间，并及时公告，但最长不超过法定募集期限。</w:t>
      </w:r>
    </w:p>
    <w:p w:rsidR="009E570F" w14:paraId="744EC646"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基金份额类别</w:t>
      </w:r>
    </w:p>
    <w:p w:rsidR="009E570F" w14:paraId="0D195814" w14:textId="0374F48C">
      <w:pPr>
        <w:spacing w:line="360" w:lineRule="auto"/>
        <w:ind w:firstLine="480"/>
        <w:rPr>
          <w:rFonts w:ascii="宋体" w:eastAsia="宋体" w:hAnsi="Calibri"/>
          <w:lang w:eastAsia="zh-CN"/>
        </w:rPr>
      </w:pPr>
      <w:r w:rsidRPr="00325F33" w:rsidR="00325F33">
        <w:rPr>
          <w:rFonts w:ascii="宋体" w:eastAsia="宋体" w:hAnsi="Calibri" w:hint="eastAsia"/>
          <w:szCs w:val="21"/>
          <w:lang w:eastAsia="zh-CN"/>
        </w:rPr>
        <w:t>本基金将基金份额分为不同的类别。在投资人认购/申购基金时按规定收取认购/申购费用，并不再从本类别基金资产中计提销售服务费的基金份额，称为A类基金份额；从本类基金资产中计提销售服务费并按规定收取或返还，不收取认购/申购费用的基金份额，称为C类基金份额。</w:t>
      </w:r>
    </w:p>
    <w:p w:rsidR="009E570F" w14:paraId="2054B96E" w14:textId="77777777">
      <w:pPr>
        <w:spacing w:line="360" w:lineRule="auto"/>
        <w:ind w:firstLine="480"/>
        <w:rPr>
          <w:rFonts w:ascii="宋体" w:eastAsia="宋体" w:hAnsi="Calibri"/>
          <w:lang w:eastAsia="zh-CN"/>
        </w:rPr>
      </w:pPr>
      <w:r>
        <w:rPr>
          <w:rFonts w:ascii="宋体" w:eastAsia="宋体" w:hAnsi="Calibri"/>
          <w:szCs w:val="21"/>
          <w:highlight w:val="white"/>
          <w:lang w:eastAsia="zh-CN"/>
        </w:rPr>
        <w:t>本基金各类基金份额分别设置代码，分别计算并公布基金份额净值和基金份额累计净值。投资人在认购/申购基金份额时可自行选择基金份额类别。本基金暂不开通各份额类别之间的转换业务，今后若开通本基金各份额类别之间的转换业务，业务规则详见届时发布的有关公告或更新的招募说明书。</w:t>
      </w:r>
    </w:p>
    <w:p w:rsidR="009E570F" w14:paraId="6D5A7358"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募集规模上限</w:t>
      </w:r>
    </w:p>
    <w:p w:rsidR="009E570F" w14:paraId="4207F4A0" w14:textId="77777777">
      <w:pPr>
        <w:pBdr>
          <w:top w:val="nil"/>
          <w:left w:val="nil"/>
          <w:bottom w:val="nil"/>
          <w:right w:val="nil"/>
        </w:pBdr>
        <w:spacing w:line="360" w:lineRule="auto"/>
        <w:ind w:firstLine="420"/>
        <w:rPr>
          <w:rFonts w:ascii="宋体" w:eastAsia="宋体" w:hAnsi="Calibri"/>
          <w:szCs w:val="21"/>
          <w:lang w:eastAsia="zh-CN"/>
        </w:rPr>
      </w:pPr>
      <w:r>
        <w:rPr>
          <w:rFonts w:ascii="宋体" w:eastAsia="宋体" w:hAnsi="Calibri" w:hint="eastAsia"/>
          <w:szCs w:val="21"/>
          <w:lang w:eastAsia="zh-CN"/>
        </w:rPr>
        <w:t>本基金为发起式基金，发起资金来源范围为基金管理人固有资金。</w:t>
      </w:r>
    </w:p>
    <w:p w:rsidR="009E570F" w14:paraId="46406921" w14:textId="77777777">
      <w:pPr>
        <w:pBdr>
          <w:top w:val="nil"/>
          <w:left w:val="nil"/>
          <w:bottom w:val="nil"/>
          <w:right w:val="nil"/>
        </w:pBdr>
        <w:spacing w:line="360" w:lineRule="auto"/>
        <w:ind w:firstLine="420"/>
        <w:rPr>
          <w:rFonts w:ascii="宋体" w:eastAsia="宋体" w:hAnsi="Calibri"/>
          <w:lang w:eastAsia="zh-CN"/>
        </w:rPr>
      </w:pPr>
      <w:r>
        <w:rPr>
          <w:rFonts w:ascii="宋体" w:eastAsia="宋体" w:hAnsi="Calibri" w:hint="eastAsia"/>
          <w:lang w:eastAsia="zh-CN"/>
        </w:rPr>
        <w:t>本基金首次募集规模上限为</w:t>
      </w:r>
      <w:r>
        <w:rPr>
          <w:rFonts w:ascii="宋体" w:eastAsia="宋体" w:hAnsi="Calibri"/>
          <w:szCs w:val="21"/>
          <w:lang w:eastAsia="zh-CN"/>
        </w:rPr>
        <w:t>50</w:t>
      </w:r>
      <w:r>
        <w:rPr>
          <w:rFonts w:ascii="宋体" w:eastAsia="宋体" w:hAnsi="Calibri" w:hint="eastAsia"/>
          <w:lang w:eastAsia="zh-CN"/>
        </w:rPr>
        <w:t>亿元人民币（不包括募集期利息，下同）。</w:t>
      </w:r>
    </w:p>
    <w:p w:rsidR="009E570F" w14:paraId="300DEA03" w14:textId="77777777">
      <w:pPr>
        <w:pBdr>
          <w:top w:val="nil"/>
          <w:left w:val="nil"/>
          <w:bottom w:val="nil"/>
          <w:right w:val="nil"/>
        </w:pBdr>
        <w:spacing w:line="360" w:lineRule="auto"/>
        <w:ind w:firstLine="420"/>
        <w:rPr>
          <w:rFonts w:ascii="宋体" w:eastAsia="宋体" w:hAnsi="Calibri"/>
          <w:lang w:eastAsia="zh-CN"/>
        </w:rPr>
      </w:pPr>
      <w:r>
        <w:rPr>
          <w:rFonts w:ascii="宋体" w:eastAsia="宋体" w:hAnsi="Calibri" w:hint="eastAsia"/>
          <w:lang w:eastAsia="zh-CN"/>
        </w:rPr>
        <w:t>在募集期内任何一天（含第一天）当日募集截止时间后</w:t>
      </w:r>
      <w:r>
        <w:rPr>
          <w:rFonts w:ascii="宋体" w:eastAsia="宋体" w:hAnsi="Calibri"/>
          <w:lang w:eastAsia="zh-CN"/>
        </w:rPr>
        <w:t>各类基金份额</w:t>
      </w:r>
      <w:r>
        <w:rPr>
          <w:rFonts w:ascii="宋体" w:eastAsia="宋体" w:hAnsi="Calibri" w:hint="eastAsia"/>
          <w:lang w:eastAsia="zh-CN"/>
        </w:rPr>
        <w:t>累计有效认购申请金额（不包括募集期利息）合计超过</w:t>
      </w:r>
      <w:r>
        <w:rPr>
          <w:rFonts w:ascii="宋体" w:eastAsia="宋体" w:hAnsi="Calibri"/>
          <w:szCs w:val="21"/>
          <w:lang w:eastAsia="zh-CN"/>
        </w:rPr>
        <w:t>50</w:t>
      </w:r>
      <w:r>
        <w:rPr>
          <w:rFonts w:ascii="宋体" w:eastAsia="宋体" w:hAnsi="Calibri" w:hint="eastAsia"/>
          <w:lang w:eastAsia="zh-CN"/>
        </w:rPr>
        <w:t>亿元，基金管理人将采取末日比例确认的方式实现规模的有效控制。当发生末日比例确认时，基金管理人将及时公告比例确认情况与结果。未确认部分的认购款项将在募集期结束后退还给投资者，由此产生的损失由投资者自行承担。</w:t>
      </w:r>
    </w:p>
    <w:p w:rsidR="009E570F" w14:paraId="20D73275" w14:textId="77777777">
      <w:pPr>
        <w:pBdr>
          <w:top w:val="nil"/>
          <w:left w:val="nil"/>
          <w:bottom w:val="nil"/>
          <w:right w:val="nil"/>
        </w:pBdr>
        <w:spacing w:line="360" w:lineRule="auto"/>
        <w:ind w:firstLine="420"/>
        <w:rPr>
          <w:rFonts w:ascii="宋体" w:eastAsia="宋体" w:hAnsi="Calibri"/>
          <w:lang w:eastAsia="zh-CN"/>
        </w:rPr>
      </w:pPr>
      <w:r>
        <w:rPr>
          <w:rFonts w:ascii="宋体" w:eastAsia="宋体" w:hAnsi="Calibri" w:hint="eastAsia"/>
          <w:lang w:eastAsia="zh-CN"/>
        </w:rPr>
        <w:t>末日认购申请确认比例的计算方法如下</w:t>
      </w:r>
      <w:r>
        <w:rPr>
          <w:rFonts w:hint="eastAsia"/>
          <w:lang w:eastAsia="zh-CN"/>
        </w:rPr>
        <w:t>（公式中金额均不含募集期间利息）</w:t>
      </w:r>
      <w:r>
        <w:rPr>
          <w:rFonts w:ascii="宋体" w:eastAsia="宋体" w:hAnsi="Calibri" w:hint="eastAsia"/>
          <w:lang w:eastAsia="zh-CN"/>
        </w:rPr>
        <w:t>：</w:t>
      </w:r>
    </w:p>
    <w:p w:rsidR="009E570F" w14:paraId="7AB78346" w14:textId="77777777">
      <w:pPr>
        <w:pBdr>
          <w:top w:val="nil"/>
          <w:left w:val="nil"/>
          <w:bottom w:val="nil"/>
          <w:right w:val="nil"/>
        </w:pBdr>
        <w:spacing w:line="360" w:lineRule="auto"/>
        <w:ind w:firstLine="420"/>
        <w:rPr>
          <w:rFonts w:ascii="宋体" w:eastAsia="宋体" w:hAnsi="Calibri"/>
          <w:lang w:eastAsia="zh-CN"/>
        </w:rPr>
      </w:pPr>
      <w:r>
        <w:rPr>
          <w:rFonts w:ascii="宋体" w:eastAsia="宋体" w:hAnsi="Calibri" w:hint="eastAsia"/>
          <w:lang w:eastAsia="zh-CN"/>
        </w:rPr>
        <w:t>末日认购申请确认比例＝（50亿元－末日之前</w:t>
      </w:r>
      <w:r>
        <w:rPr>
          <w:rFonts w:ascii="宋体" w:eastAsia="宋体" w:hAnsi="Calibri"/>
          <w:lang w:eastAsia="zh-CN"/>
        </w:rPr>
        <w:t>各类基金份额</w:t>
      </w:r>
      <w:r>
        <w:rPr>
          <w:rFonts w:ascii="宋体" w:eastAsia="宋体" w:hAnsi="Calibri" w:hint="eastAsia"/>
          <w:lang w:eastAsia="zh-CN"/>
        </w:rPr>
        <w:t>有效认购申请金额总额</w:t>
      </w:r>
      <w:r>
        <w:rPr>
          <w:rFonts w:ascii="宋体" w:eastAsia="宋体" w:hAnsi="Calibri" w:hint="eastAsia"/>
          <w:szCs w:val="21"/>
          <w:lang w:eastAsia="zh-CN"/>
        </w:rPr>
        <w:t>（不含发起资金）－募集期内有效认购的发起资金</w:t>
      </w:r>
      <w:r>
        <w:rPr>
          <w:rFonts w:ascii="宋体" w:eastAsia="宋体" w:hAnsi="Calibri" w:hint="eastAsia"/>
          <w:lang w:eastAsia="zh-CN"/>
        </w:rPr>
        <w:t>）</w:t>
      </w:r>
      <w:r>
        <w:rPr>
          <w:rFonts w:ascii="宋体" w:eastAsia="宋体" w:hAnsi="Calibri"/>
          <w:lang w:eastAsia="zh-CN"/>
        </w:rPr>
        <w:t>/</w:t>
      </w:r>
      <w:r>
        <w:rPr>
          <w:rFonts w:ascii="宋体" w:eastAsia="宋体" w:hAnsi="Calibri" w:hint="eastAsia"/>
          <w:lang w:eastAsia="zh-CN"/>
        </w:rPr>
        <w:t>末日</w:t>
      </w:r>
      <w:r>
        <w:rPr>
          <w:rFonts w:ascii="宋体" w:eastAsia="宋体" w:hAnsi="Calibri"/>
          <w:lang w:eastAsia="zh-CN"/>
        </w:rPr>
        <w:t>各类基金份额</w:t>
      </w:r>
      <w:r>
        <w:rPr>
          <w:rFonts w:ascii="宋体" w:eastAsia="宋体" w:hAnsi="Calibri" w:hint="eastAsia"/>
          <w:lang w:eastAsia="zh-CN"/>
        </w:rPr>
        <w:t>有效认购申请金额总额</w:t>
      </w:r>
      <w:r>
        <w:rPr>
          <w:rFonts w:ascii="宋体" w:eastAsia="宋体" w:hAnsi="Calibri" w:hint="eastAsia"/>
          <w:szCs w:val="21"/>
          <w:lang w:eastAsia="zh-CN"/>
        </w:rPr>
        <w:t>（不含发起资金）</w:t>
      </w:r>
    </w:p>
    <w:p w:rsidR="009E570F" w14:paraId="6D340D49" w14:textId="77777777">
      <w:pPr>
        <w:pBdr>
          <w:top w:val="nil"/>
          <w:left w:val="nil"/>
          <w:bottom w:val="nil"/>
          <w:right w:val="nil"/>
        </w:pBdr>
        <w:spacing w:line="360" w:lineRule="auto"/>
        <w:ind w:firstLine="420"/>
        <w:rPr>
          <w:rFonts w:ascii="宋体" w:eastAsia="宋体" w:hAnsi="Calibri"/>
          <w:lang w:eastAsia="zh-CN"/>
        </w:rPr>
      </w:pPr>
      <w:r>
        <w:rPr>
          <w:rFonts w:ascii="宋体" w:eastAsia="宋体" w:hAnsi="Calibri" w:hint="eastAsia"/>
          <w:lang w:eastAsia="zh-CN"/>
        </w:rPr>
        <w:t>末日投资者认购申请确认金额</w:t>
      </w:r>
      <w:r>
        <w:rPr>
          <w:rFonts w:ascii="宋体" w:eastAsia="宋体" w:hAnsi="Calibri"/>
          <w:lang w:eastAsia="zh-CN"/>
        </w:rPr>
        <w:t>=</w:t>
      </w:r>
      <w:r>
        <w:rPr>
          <w:rFonts w:ascii="宋体" w:eastAsia="宋体" w:hAnsi="Calibri" w:hint="eastAsia"/>
          <w:lang w:eastAsia="zh-CN"/>
        </w:rPr>
        <w:t>末日提交的有效认购申请金额</w:t>
      </w:r>
      <w:r>
        <w:rPr>
          <w:rFonts w:ascii="宋体" w:eastAsia="宋体" w:hAnsi="Calibri"/>
          <w:lang w:eastAsia="zh-CN"/>
        </w:rPr>
        <w:t>×</w:t>
      </w:r>
      <w:r>
        <w:rPr>
          <w:rFonts w:ascii="宋体" w:eastAsia="宋体" w:hAnsi="Calibri" w:hint="eastAsia"/>
          <w:lang w:eastAsia="zh-CN"/>
        </w:rPr>
        <w:t>末日认购申请确认比例</w:t>
      </w:r>
    </w:p>
    <w:p w:rsidR="009E570F" w14:paraId="00EEA947" w14:textId="77777777">
      <w:pPr>
        <w:pBdr>
          <w:top w:val="nil"/>
          <w:left w:val="nil"/>
          <w:bottom w:val="nil"/>
          <w:right w:val="nil"/>
        </w:pBdr>
        <w:spacing w:line="360" w:lineRule="auto"/>
        <w:ind w:firstLine="420"/>
        <w:rPr>
          <w:rFonts w:ascii="宋体" w:eastAsia="宋体" w:hAnsi="Calibri"/>
          <w:lang w:eastAsia="zh-CN"/>
        </w:rPr>
      </w:pPr>
      <w:r>
        <w:rPr>
          <w:rFonts w:ascii="宋体" w:eastAsia="宋体" w:hAnsi="Calibri" w:hint="eastAsia"/>
          <w:lang w:eastAsia="zh-CN"/>
        </w:rPr>
        <w:t>当发生部分确认时，</w:t>
      </w:r>
      <w:r>
        <w:rPr>
          <w:rFonts w:hint="eastAsia"/>
          <w:lang w:eastAsia="zh-CN"/>
        </w:rPr>
        <w:t>对于末日</w:t>
      </w:r>
      <w:r>
        <w:rPr>
          <w:rFonts w:ascii="宋体" w:hAnsi="宋体" w:cs="宋体" w:hint="eastAsia"/>
          <w:szCs w:val="21"/>
          <w:lang w:eastAsia="zh-CN"/>
        </w:rPr>
        <w:t>通过除</w:t>
      </w:r>
      <w:r>
        <w:rPr>
          <w:rFonts w:hint="eastAsia"/>
          <w:lang w:eastAsia="zh-CN"/>
        </w:rPr>
        <w:t>基金</w:t>
      </w:r>
      <w:r>
        <w:rPr>
          <w:lang w:eastAsia="zh-CN"/>
        </w:rPr>
        <w:t>管理人及</w:t>
      </w:r>
      <w:r>
        <w:rPr>
          <w:rFonts w:hint="eastAsia"/>
          <w:lang w:eastAsia="zh-CN"/>
        </w:rPr>
        <w:t>其</w:t>
      </w:r>
      <w:r>
        <w:rPr>
          <w:lang w:eastAsia="zh-CN"/>
        </w:rPr>
        <w:t>基金销售子公司以外的销售机构认购的</w:t>
      </w:r>
      <w:r>
        <w:rPr>
          <w:rFonts w:ascii="宋体" w:eastAsia="宋体" w:hAnsi="Calibri" w:hint="eastAsia"/>
          <w:lang w:eastAsia="zh-CN"/>
        </w:rPr>
        <w:t>A类基金份额，认购费率按照单笔认购申请金额所对应的费率计算；末日认购申请确认金额不受认购最低限额的限制。最终认购申请确认结果以本基金登记机构的计算并确认的结果为准。</w:t>
      </w:r>
    </w:p>
    <w:p w:rsidR="009E570F" w14:paraId="5EE0B0BA" w14:textId="77777777">
      <w:pPr>
        <w:pBdr>
          <w:top w:val="nil"/>
          <w:left w:val="nil"/>
          <w:bottom w:val="nil"/>
          <w:right w:val="nil"/>
        </w:pBdr>
        <w:spacing w:line="360" w:lineRule="auto"/>
        <w:ind w:firstLine="420"/>
        <w:rPr>
          <w:rFonts w:ascii="宋体" w:eastAsia="宋体" w:hAnsi="Calibri"/>
          <w:szCs w:val="21"/>
          <w:lang w:eastAsia="zh-CN"/>
        </w:rPr>
      </w:pPr>
      <w:r>
        <w:rPr>
          <w:rFonts w:ascii="宋体" w:eastAsia="宋体" w:hAnsi="Calibri" w:hint="eastAsia"/>
          <w:szCs w:val="21"/>
          <w:lang w:eastAsia="zh-CN"/>
        </w:rPr>
        <w:t>本基金对发起资金认购申请全额确认。</w:t>
      </w:r>
    </w:p>
    <w:p w:rsidR="009E570F" w14:paraId="6CE8C8A7"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szCs w:val="21"/>
          <w:lang w:eastAsia="zh-CN"/>
        </w:rPr>
        <w:t>本基金募集对象为</w:t>
      </w:r>
      <w:r>
        <w:rPr>
          <w:rFonts w:ascii="宋体" w:eastAsia="宋体" w:hAnsi="Calibri"/>
          <w:szCs w:val="21"/>
          <w:highlight w:val="white"/>
          <w:lang w:eastAsia="zh-CN"/>
        </w:rPr>
        <w:t>符合法律法规规定的可投资于证券投资基金的个人投资者、机构投资者、合格境外投资者以及法律法规或中国证监会允许购买证券投资基金的其他投资人。</w:t>
      </w:r>
    </w:p>
    <w:p w:rsidR="009E570F" w14:paraId="3966A85A"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认购最低限额</w:t>
      </w:r>
    </w:p>
    <w:p w:rsidR="009E570F" w14:paraId="32555DF0" w14:textId="75FBFAA6">
      <w:pPr>
        <w:spacing w:line="360" w:lineRule="auto"/>
        <w:ind w:firstLine="420"/>
        <w:rPr>
          <w:rFonts w:ascii="宋体" w:eastAsia="宋体" w:hAnsi="Calibri"/>
          <w:szCs w:val="21"/>
          <w:lang w:eastAsia="zh-CN"/>
        </w:rPr>
      </w:pPr>
      <w:r>
        <w:rPr>
          <w:rFonts w:ascii="宋体" w:eastAsia="宋体" w:hAnsi="Calibri"/>
          <w:szCs w:val="21"/>
          <w:highlight w:val="white"/>
          <w:lang w:eastAsia="zh-CN"/>
        </w:rPr>
        <w:t>在基金募集期内，</w:t>
      </w:r>
      <w:r>
        <w:rPr>
          <w:rFonts w:ascii="宋体" w:eastAsia="宋体" w:hAnsi="Calibri"/>
          <w:szCs w:val="21"/>
          <w:highlight w:val="white"/>
          <w:lang w:eastAsia="zh-CN"/>
        </w:rPr>
        <w:t>投资人通过非直销销售机构或本公司网上直销系统首次认购的单笔最低限额为人民币1元，追加认购单笔最低限额为人民币1元；投资人通过本公司直销中心首次认购的单笔最低限额为人民币50,000元，追加认购单笔最低限额是人民币1,000元。在符合法律法规规定的前提下，各销售机构对最低认购限额及交易级差有其他规定的，需要同时遵循该销售机构的相关规定。（以上金额均含认购费）。</w:t>
      </w:r>
    </w:p>
    <w:p w:rsidR="009E570F" w14:paraId="1001807B" w14:textId="77777777">
      <w:pPr>
        <w:spacing w:line="360" w:lineRule="auto"/>
        <w:ind w:firstLine="420"/>
        <w:rPr>
          <w:rFonts w:ascii="宋体" w:eastAsia="宋体" w:hAnsi="Calibri"/>
          <w:szCs w:val="21"/>
          <w:lang w:eastAsia="zh-CN"/>
        </w:rPr>
      </w:pPr>
      <w:r>
        <w:rPr>
          <w:rFonts w:ascii="宋体" w:eastAsia="宋体" w:hAnsi="Calibri" w:hint="eastAsia"/>
          <w:szCs w:val="21"/>
          <w:lang w:eastAsia="zh-CN"/>
        </w:rPr>
        <w:t>投资人在募集期内可多次认购基金份额，在本基金首次募集规模上限内，对单个投资人的累计认购金额不设上限。</w:t>
      </w:r>
    </w:p>
    <w:p w:rsidR="009E570F" w14:paraId="24AA9C51"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szCs w:val="21"/>
          <w:lang w:eastAsia="zh-CN"/>
        </w:rPr>
        <w:t>投资者在认购期内可多次认购本基金</w:t>
      </w:r>
      <w:r>
        <w:rPr>
          <w:rFonts w:ascii="宋体" w:eastAsia="宋体" w:hAnsi="Calibri" w:hint="eastAsia"/>
          <w:szCs w:val="21"/>
          <w:lang w:eastAsia="zh-CN"/>
        </w:rPr>
        <w:t>，</w:t>
      </w:r>
      <w:r>
        <w:rPr>
          <w:rFonts w:ascii="宋体" w:eastAsia="宋体" w:hAnsi="Calibri"/>
          <w:szCs w:val="21"/>
          <w:lang w:eastAsia="zh-CN"/>
        </w:rPr>
        <w:t>登记机构一旦确认认购份额，将不再办理撤销。</w:t>
      </w:r>
    </w:p>
    <w:p w:rsidR="009E570F" w14:paraId="403B9AA7"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hint="eastAsia"/>
          <w:szCs w:val="21"/>
          <w:lang w:eastAsia="zh-CN"/>
        </w:rPr>
        <w:t>投资者欲购买本基金，须开立本公司基金账户，</w:t>
      </w:r>
      <w:r>
        <w:rPr>
          <w:rFonts w:ascii="宋体" w:eastAsia="宋体" w:hAnsi="Calibri"/>
          <w:szCs w:val="21"/>
          <w:lang w:eastAsia="zh-CN"/>
        </w:rPr>
        <w:t>不得非法利用他人账户或资金进行认购，也不得违规融资或帮助他人违规进行认购。</w:t>
      </w:r>
    </w:p>
    <w:p w:rsidR="009E570F" w14:paraId="49A8E098"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hint="eastAsia"/>
          <w:szCs w:val="21"/>
          <w:lang w:eastAsia="zh-CN"/>
        </w:rPr>
        <w:t>投资者应保证用于认购的资金来源合法，投资者应有权自行支配，不存在任何法律上、合约上或其他障碍。</w:t>
      </w:r>
    </w:p>
    <w:p w:rsidR="009E570F" w14:paraId="6EBCFE95"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szCs w:val="21"/>
          <w:lang w:eastAsia="zh-CN"/>
        </w:rPr>
        <w:t>销售</w:t>
      </w:r>
      <w:r>
        <w:rPr>
          <w:rFonts w:ascii="宋体" w:eastAsia="宋体" w:hAnsi="Calibri" w:hint="eastAsia"/>
          <w:szCs w:val="21"/>
          <w:lang w:eastAsia="zh-CN"/>
        </w:rPr>
        <w:t>机构</w:t>
      </w:r>
      <w:r>
        <w:rPr>
          <w:rFonts w:ascii="宋体" w:eastAsia="宋体" w:hAnsi="Calibri"/>
          <w:szCs w:val="21"/>
          <w:lang w:eastAsia="zh-CN"/>
        </w:rPr>
        <w:t>受理</w:t>
      </w:r>
      <w:r>
        <w:rPr>
          <w:rFonts w:ascii="宋体" w:eastAsia="宋体" w:hAnsi="Calibri" w:hint="eastAsia"/>
          <w:szCs w:val="21"/>
          <w:lang w:eastAsia="zh-CN"/>
        </w:rPr>
        <w:t>投资者的认购</w:t>
      </w:r>
      <w:r>
        <w:rPr>
          <w:rFonts w:ascii="宋体" w:eastAsia="宋体" w:hAnsi="Calibri"/>
          <w:szCs w:val="21"/>
          <w:lang w:eastAsia="zh-CN"/>
        </w:rPr>
        <w:t>申请并不表示对该申请</w:t>
      </w:r>
      <w:r>
        <w:rPr>
          <w:rFonts w:ascii="宋体" w:eastAsia="宋体" w:hAnsi="Calibri" w:hint="eastAsia"/>
          <w:szCs w:val="21"/>
          <w:lang w:eastAsia="zh-CN"/>
        </w:rPr>
        <w:t>的成功确认</w:t>
      </w:r>
      <w:r>
        <w:rPr>
          <w:rFonts w:ascii="宋体" w:eastAsia="宋体" w:hAnsi="Calibri"/>
          <w:szCs w:val="21"/>
          <w:lang w:eastAsia="zh-CN"/>
        </w:rPr>
        <w:t>，而仅</w:t>
      </w:r>
      <w:r>
        <w:rPr>
          <w:rFonts w:ascii="宋体" w:eastAsia="宋体" w:hAnsi="Calibri" w:hint="eastAsia"/>
          <w:szCs w:val="21"/>
          <w:lang w:eastAsia="zh-CN"/>
        </w:rPr>
        <w:t>代表销售机构</w:t>
      </w:r>
      <w:r>
        <w:rPr>
          <w:rFonts w:ascii="宋体" w:eastAsia="宋体" w:hAnsi="Calibri"/>
          <w:szCs w:val="21"/>
          <w:lang w:eastAsia="zh-CN"/>
        </w:rPr>
        <w:t>确实收到</w:t>
      </w:r>
      <w:r>
        <w:rPr>
          <w:rFonts w:ascii="宋体" w:eastAsia="宋体" w:hAnsi="Calibri" w:hint="eastAsia"/>
          <w:szCs w:val="21"/>
          <w:lang w:eastAsia="zh-CN"/>
        </w:rPr>
        <w:t>了</w:t>
      </w:r>
      <w:r>
        <w:rPr>
          <w:rFonts w:ascii="宋体" w:eastAsia="宋体" w:hAnsi="Calibri"/>
          <w:szCs w:val="21"/>
          <w:lang w:eastAsia="zh-CN"/>
        </w:rPr>
        <w:t>认购申请</w:t>
      </w:r>
      <w:r>
        <w:rPr>
          <w:rFonts w:ascii="宋体" w:eastAsia="宋体" w:hAnsi="Calibri" w:hint="eastAsia"/>
          <w:szCs w:val="21"/>
          <w:lang w:eastAsia="zh-CN"/>
        </w:rPr>
        <w:t>。</w:t>
      </w:r>
      <w:r>
        <w:rPr>
          <w:rFonts w:ascii="宋体" w:eastAsia="宋体" w:hAnsi="Calibri"/>
          <w:szCs w:val="21"/>
          <w:lang w:eastAsia="zh-CN"/>
        </w:rPr>
        <w:t>申请</w:t>
      </w:r>
      <w:r>
        <w:rPr>
          <w:rFonts w:ascii="宋体" w:eastAsia="宋体" w:hAnsi="Calibri" w:hint="eastAsia"/>
          <w:szCs w:val="21"/>
          <w:lang w:eastAsia="zh-CN"/>
        </w:rPr>
        <w:t>是否有效</w:t>
      </w:r>
      <w:r>
        <w:rPr>
          <w:rFonts w:ascii="宋体" w:eastAsia="宋体" w:hAnsi="Calibri"/>
          <w:szCs w:val="21"/>
          <w:lang w:eastAsia="zh-CN"/>
        </w:rPr>
        <w:t>应以登记</w:t>
      </w:r>
      <w:r>
        <w:rPr>
          <w:rFonts w:ascii="宋体" w:eastAsia="宋体" w:hAnsi="Calibri" w:hint="eastAsia"/>
          <w:szCs w:val="21"/>
          <w:lang w:eastAsia="zh-CN"/>
        </w:rPr>
        <w:t>机构</w:t>
      </w:r>
      <w:r>
        <w:rPr>
          <w:rFonts w:ascii="宋体" w:eastAsia="宋体" w:hAnsi="Calibri"/>
          <w:szCs w:val="21"/>
          <w:lang w:eastAsia="zh-CN"/>
        </w:rPr>
        <w:t>（即</w:t>
      </w:r>
      <w:r>
        <w:rPr>
          <w:rFonts w:ascii="宋体" w:eastAsia="宋体" w:hAnsi="Calibri" w:hint="eastAsia"/>
          <w:szCs w:val="21"/>
          <w:lang w:eastAsia="zh-CN"/>
        </w:rPr>
        <w:t>易方达</w:t>
      </w:r>
      <w:r>
        <w:rPr>
          <w:rFonts w:ascii="宋体" w:eastAsia="宋体" w:hAnsi="Calibri"/>
          <w:szCs w:val="21"/>
          <w:lang w:eastAsia="zh-CN"/>
        </w:rPr>
        <w:t>基金管理有限公司）的确认</w:t>
      </w:r>
      <w:r>
        <w:rPr>
          <w:rFonts w:ascii="宋体" w:eastAsia="宋体" w:hAnsi="Calibri" w:hint="eastAsia"/>
          <w:szCs w:val="21"/>
          <w:lang w:eastAsia="zh-CN"/>
        </w:rPr>
        <w:t>结果</w:t>
      </w:r>
      <w:r>
        <w:rPr>
          <w:rFonts w:ascii="宋体" w:eastAsia="宋体" w:hAnsi="Calibri"/>
          <w:szCs w:val="21"/>
          <w:lang w:eastAsia="zh-CN"/>
        </w:rPr>
        <w:t>为准</w:t>
      </w:r>
      <w:r>
        <w:rPr>
          <w:rFonts w:ascii="宋体" w:eastAsia="宋体" w:hAnsi="Calibri" w:hint="eastAsia"/>
          <w:szCs w:val="21"/>
          <w:lang w:eastAsia="zh-CN"/>
        </w:rPr>
        <w:t>。</w:t>
      </w:r>
      <w:r>
        <w:rPr>
          <w:rFonts w:ascii="宋体" w:eastAsia="宋体" w:hAnsi="Calibri"/>
          <w:szCs w:val="21"/>
          <w:lang w:eastAsia="zh-CN"/>
        </w:rPr>
        <w:t>投资者</w:t>
      </w:r>
      <w:r>
        <w:rPr>
          <w:rFonts w:ascii="宋体" w:eastAsia="宋体" w:hAnsi="Calibri" w:hint="eastAsia"/>
          <w:szCs w:val="21"/>
          <w:lang w:eastAsia="zh-CN"/>
        </w:rPr>
        <w:t>可在</w:t>
      </w:r>
      <w:r>
        <w:rPr>
          <w:rFonts w:ascii="宋体" w:eastAsia="宋体" w:hAnsi="Calibri"/>
          <w:szCs w:val="21"/>
          <w:lang w:eastAsia="zh-CN"/>
        </w:rPr>
        <w:t>基金</w:t>
      </w:r>
      <w:r>
        <w:rPr>
          <w:rFonts w:ascii="宋体" w:eastAsia="宋体" w:hAnsi="Calibri" w:hint="eastAsia"/>
          <w:szCs w:val="21"/>
          <w:lang w:eastAsia="zh-CN"/>
        </w:rPr>
        <w:t>合同生效</w:t>
      </w:r>
      <w:r>
        <w:rPr>
          <w:rFonts w:ascii="宋体" w:eastAsia="宋体" w:hAnsi="Calibri"/>
          <w:szCs w:val="21"/>
          <w:lang w:eastAsia="zh-CN"/>
        </w:rPr>
        <w:t>后到各销售</w:t>
      </w:r>
      <w:r>
        <w:rPr>
          <w:rFonts w:ascii="宋体" w:eastAsia="宋体" w:hAnsi="Calibri" w:hint="eastAsia"/>
          <w:szCs w:val="21"/>
          <w:lang w:eastAsia="zh-CN"/>
        </w:rPr>
        <w:t>机构</w:t>
      </w:r>
      <w:r>
        <w:rPr>
          <w:rFonts w:ascii="宋体" w:eastAsia="宋体" w:hAnsi="Calibri"/>
          <w:szCs w:val="21"/>
          <w:lang w:eastAsia="zh-CN"/>
        </w:rPr>
        <w:t>查询</w:t>
      </w:r>
      <w:r>
        <w:rPr>
          <w:rFonts w:ascii="宋体" w:eastAsia="宋体" w:hAnsi="Calibri" w:hint="eastAsia"/>
          <w:szCs w:val="21"/>
          <w:lang w:eastAsia="zh-CN"/>
        </w:rPr>
        <w:t>最终成交确认情况和认购的份额。</w:t>
      </w:r>
    </w:p>
    <w:p w:rsidR="009E570F" w14:paraId="637F9263"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szCs w:val="21"/>
        </w:rPr>
        <w:t>本公告仅对易方达中证科创创业人工智能交易型开放式指数证券投资基金发起式联接基金发售的有关事项和规定予以说明</w:t>
      </w:r>
      <w:r>
        <w:rPr>
          <w:rFonts w:ascii="宋体" w:eastAsia="宋体" w:hAnsi="Calibri" w:hint="eastAsia"/>
          <w:szCs w:val="21"/>
        </w:rPr>
        <w:t>，</w:t>
      </w:r>
      <w:r>
        <w:rPr>
          <w:rFonts w:ascii="宋体" w:eastAsia="宋体" w:hAnsi="Calibri"/>
          <w:szCs w:val="21"/>
        </w:rPr>
        <w:t>投资者欲了解</w:t>
      </w:r>
      <w:r>
        <w:rPr>
          <w:rFonts w:ascii="宋体" w:eastAsia="宋体" w:hAnsi="Calibri" w:hint="eastAsia"/>
          <w:szCs w:val="21"/>
        </w:rPr>
        <w:t>本基金</w:t>
      </w:r>
      <w:r>
        <w:rPr>
          <w:rFonts w:ascii="宋体" w:eastAsia="宋体" w:hAnsi="Calibri"/>
          <w:szCs w:val="21"/>
        </w:rPr>
        <w:t>的详细情况，请详细阅读刊登</w:t>
      </w:r>
      <w:r>
        <w:rPr>
          <w:rFonts w:ascii="宋体" w:eastAsia="宋体" w:hAnsi="Calibri" w:hint="eastAsia"/>
          <w:szCs w:val="21"/>
        </w:rPr>
        <w:t>在本公司</w:t>
      </w:r>
      <w:r>
        <w:rPr>
          <w:rFonts w:hint="eastAsia"/>
          <w:szCs w:val="21"/>
        </w:rPr>
        <w:t>网站</w:t>
      </w:r>
      <w:r>
        <w:rPr>
          <w:rFonts w:ascii="宋体" w:eastAsia="宋体" w:hAnsi="Calibri" w:hint="eastAsia"/>
          <w:szCs w:val="21"/>
        </w:rPr>
        <w:t>（</w:t>
      </w:r>
      <w:r>
        <w:rPr>
          <w:rFonts w:ascii="宋体" w:eastAsia="宋体" w:hAnsi="Calibri"/>
          <w:szCs w:val="21"/>
        </w:rPr>
        <w:t>www.efunds.com.cn</w:t>
      </w:r>
      <w:r>
        <w:rPr>
          <w:rFonts w:ascii="宋体" w:eastAsia="宋体" w:hAnsi="Calibri" w:hint="eastAsia"/>
          <w:szCs w:val="21"/>
        </w:rPr>
        <w:t>）和中国证监会基金电子披露网站（</w:t>
      </w:r>
      <w:r>
        <w:rPr>
          <w:rFonts w:ascii="宋体" w:eastAsia="宋体" w:hAnsi="Calibri"/>
          <w:szCs w:val="21"/>
        </w:rPr>
        <w:t>http://eid.csrc.gov.cn/fund</w:t>
      </w:r>
      <w:r>
        <w:rPr>
          <w:rFonts w:ascii="宋体" w:eastAsia="宋体" w:hAnsi="Calibri" w:hint="eastAsia"/>
          <w:szCs w:val="21"/>
        </w:rPr>
        <w:t>）上</w:t>
      </w:r>
      <w:r>
        <w:rPr>
          <w:rFonts w:ascii="宋体" w:eastAsia="宋体" w:hAnsi="Calibri"/>
          <w:szCs w:val="21"/>
        </w:rPr>
        <w:t>的《</w:t>
      </w:r>
      <w:r>
        <w:rPr>
          <w:rFonts w:ascii="宋体" w:eastAsia="宋体" w:hAnsi="Calibri" w:hint="eastAsia"/>
          <w:szCs w:val="21"/>
        </w:rPr>
        <w:t>易方达中证科创创业人工智能交易型开放式指数证券投资基金发起式联接基金</w:t>
      </w:r>
      <w:r>
        <w:rPr>
          <w:rFonts w:ascii="宋体" w:eastAsia="宋体" w:hAnsi="Calibri"/>
          <w:szCs w:val="21"/>
        </w:rPr>
        <w:t>招募说明书》</w:t>
      </w:r>
      <w:r>
        <w:rPr>
          <w:rFonts w:ascii="宋体" w:eastAsia="宋体" w:hAnsi="Calibri" w:hint="eastAsia"/>
          <w:szCs w:val="21"/>
        </w:rPr>
        <w:t>。</w:t>
      </w:r>
    </w:p>
    <w:p w:rsidR="009E570F" w14:paraId="301FCE56"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hint="eastAsia"/>
          <w:szCs w:val="21"/>
        </w:rPr>
        <w:t>本基金的招募说明书及本公告将同时发布在本公司网站（</w:t>
      </w:r>
      <w:r>
        <w:rPr>
          <w:rFonts w:ascii="宋体" w:eastAsia="宋体" w:hAnsi="Calibri"/>
          <w:szCs w:val="21"/>
        </w:rPr>
        <w:t>www.efund</w:t>
      </w:r>
      <w:r>
        <w:rPr>
          <w:rFonts w:ascii="宋体" w:eastAsia="宋体" w:hAnsi="Calibri" w:hint="eastAsia"/>
          <w:szCs w:val="21"/>
        </w:rPr>
        <w:t>s</w:t>
      </w:r>
      <w:r>
        <w:rPr>
          <w:rFonts w:ascii="宋体" w:eastAsia="宋体" w:hAnsi="Calibri"/>
          <w:szCs w:val="21"/>
        </w:rPr>
        <w:t>.co</w:t>
      </w:r>
      <w:r>
        <w:rPr>
          <w:rFonts w:ascii="宋体" w:eastAsia="宋体" w:hAnsi="Calibri" w:hint="eastAsia"/>
          <w:szCs w:val="21"/>
        </w:rPr>
        <w:t>m.cn</w:t>
      </w:r>
      <w:r>
        <w:rPr>
          <w:rFonts w:ascii="宋体" w:eastAsia="宋体" w:hAnsi="Calibri"/>
          <w:szCs w:val="21"/>
        </w:rPr>
        <w:t>）</w:t>
      </w:r>
      <w:r>
        <w:rPr>
          <w:rFonts w:ascii="宋体" w:eastAsia="宋体" w:hAnsi="Calibri" w:hint="eastAsia"/>
          <w:szCs w:val="21"/>
        </w:rPr>
        <w:t>。</w:t>
      </w:r>
      <w:r>
        <w:rPr>
          <w:rFonts w:ascii="宋体" w:eastAsia="宋体" w:hAnsi="Calibri" w:hint="eastAsia"/>
          <w:szCs w:val="21"/>
          <w:lang w:eastAsia="zh-CN"/>
        </w:rPr>
        <w:t>投资者亦可通过本公司网站下载基金申请表格和了解基金募集相关事宜。</w:t>
      </w:r>
    </w:p>
    <w:p w:rsidR="009E570F" w14:paraId="4F3B8212"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szCs w:val="21"/>
          <w:lang w:eastAsia="zh-CN"/>
        </w:rPr>
        <w:t>各</w:t>
      </w:r>
      <w:r>
        <w:rPr>
          <w:rFonts w:ascii="宋体" w:eastAsia="宋体" w:hAnsi="Calibri" w:hint="eastAsia"/>
          <w:szCs w:val="21"/>
          <w:lang w:eastAsia="zh-CN"/>
        </w:rPr>
        <w:t>销售机构的销售网点以及开户、认购等事项的详细情况请向各销售机构咨询。</w:t>
      </w:r>
    </w:p>
    <w:p w:rsidR="009E570F" w14:paraId="38F9DBA9"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hint="eastAsia"/>
          <w:szCs w:val="21"/>
          <w:lang w:eastAsia="zh-CN"/>
        </w:rPr>
        <w:t>对未开设销售网点的地方的投资者，请拨打本公司的客户服务电话（4008818088）及直销中心专线电话（020-85102506）咨询购买事宜。</w:t>
      </w:r>
    </w:p>
    <w:p w:rsidR="009E570F" w14:paraId="646CA42E" w14:textId="77777777">
      <w:pPr>
        <w:numPr>
          <w:ilvl w:val="0"/>
          <w:numId w:val="2"/>
        </w:numPr>
        <w:tabs>
          <w:tab w:val="num" w:pos="709"/>
          <w:tab w:val="clear" w:pos="900"/>
        </w:tabs>
        <w:spacing w:line="360" w:lineRule="auto"/>
        <w:ind w:left="-28" w:firstLine="454"/>
        <w:rPr>
          <w:rFonts w:ascii="宋体" w:eastAsia="宋体" w:hAnsi="Calibri"/>
          <w:szCs w:val="21"/>
          <w:lang w:eastAsia="zh-CN"/>
        </w:rPr>
      </w:pPr>
      <w:r>
        <w:rPr>
          <w:rFonts w:ascii="宋体" w:eastAsia="宋体" w:hAnsi="Calibri" w:hint="eastAsia"/>
          <w:szCs w:val="21"/>
          <w:lang w:eastAsia="zh-CN"/>
        </w:rPr>
        <w:t>基金管理人可综合各种情况对募集安排做适当调整。</w:t>
      </w:r>
    </w:p>
    <w:p w:rsidR="009E570F" w14:paraId="36E364FC"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指数编制方案</w:t>
      </w:r>
    </w:p>
    <w:p w:rsidR="009E570F" w14:paraId="4CA5DD14"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本基金标的指数为中证科创创业人工智能指数。</w:t>
      </w:r>
    </w:p>
    <w:p w:rsidR="009E570F" w14:paraId="121F37B0"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（1）样本空间</w:t>
      </w:r>
    </w:p>
    <w:p w:rsidR="009E570F" w14:paraId="52A8123C"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指数样本空间由满足以下条件的科创板和创业板上市的股票和红筹企业发行的存托凭证组成：</w:t>
      </w:r>
    </w:p>
    <w:p w:rsidR="009E570F" w14:paraId="14D06396"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1）上市时间超过6个月，除非该证券自上市以来的日均总市值在沪深市场中排名前30位。</w:t>
      </w:r>
    </w:p>
    <w:p w:rsidR="009E570F" w14:paraId="19893887"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2）非ST、*ST证券。</w:t>
      </w:r>
    </w:p>
    <w:p w:rsidR="009E570F" w14:paraId="404A4E03"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（2）可投资性筛选</w:t>
      </w:r>
    </w:p>
    <w:p w:rsidR="009E570F" w14:paraId="7D9FA10D"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过去一年日均成交金额排名位于样本空间前90%。</w:t>
      </w:r>
    </w:p>
    <w:p w:rsidR="009E570F" w14:paraId="6FF2795D"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（3）选样方法</w:t>
      </w:r>
    </w:p>
    <w:p w:rsidR="009E570F" w14:paraId="4426D88D"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1）对于样本空间内符合可投资性筛选条件的证券，选取涉及以下人工智能业务的上市公司证券作为待选样本：</w:t>
      </w:r>
    </w:p>
    <w:p w:rsidR="009E570F" w14:paraId="214E6521"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A.人工智能基础资源：专用计算芯片、高性能计算机等设备；</w:t>
      </w:r>
    </w:p>
    <w:p w:rsidR="009E570F" w14:paraId="578A568A"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B.人工智能技术：云计算、大数据、机器视觉、语音语义识别等技术或服务；</w:t>
      </w:r>
    </w:p>
    <w:p w:rsidR="009E570F" w14:paraId="7126C4C5"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C.人工智能应用领域：智能安防、智能交通、智能家居、智能医疗、智能穿戴等领域。</w:t>
      </w:r>
    </w:p>
    <w:p w:rsidR="009E570F" w14:paraId="7757B532"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2）在待选样本中，按照过去一年日均总市值由高到低排序，选取排名靠前50只证券作为指数样本。</w:t>
      </w:r>
    </w:p>
    <w:p w:rsidR="009E570F" w14:paraId="7ACF3446" w14:textId="5CB60724">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w:t>
      </w:r>
      <w:bookmarkStart w:id="0" w:name="_GoBack"/>
      <w:bookmarkEnd w:id="0"/>
      <w:r w:rsidR="00062402">
        <w:rPr>
          <w:rFonts w:ascii="宋体" w:eastAsia="宋体" w:hAnsi="Calibri"/>
          <w:szCs w:val="21"/>
          <w:highlight w:val="white"/>
          <w:lang w:eastAsia="zh-CN"/>
        </w:rPr>
        <w:t>4</w:t>
      </w:r>
      <w:r>
        <w:rPr>
          <w:rFonts w:ascii="宋体" w:eastAsia="宋体" w:hAnsi="Calibri" w:hint="eastAsia"/>
          <w:szCs w:val="21"/>
          <w:highlight w:val="white"/>
          <w:lang w:eastAsia="zh-CN"/>
        </w:rPr>
        <w:t>）指数计算</w:t>
      </w:r>
    </w:p>
    <w:p w:rsidR="009E570F" w14:paraId="7A155E08" w14:textId="77777777">
      <w:pPr>
        <w:spacing w:line="360" w:lineRule="auto"/>
        <w:ind w:left="426"/>
        <w:rPr>
          <w:rFonts w:ascii="宋体" w:eastAsia="宋体" w:hAnsi="Calibri"/>
          <w:szCs w:val="21"/>
          <w:lang w:eastAsia="zh-CN"/>
        </w:rPr>
      </w:pPr>
      <w:r>
        <w:rPr>
          <w:rFonts w:ascii="宋体" w:eastAsia="宋体" w:hAnsi="Calibri" w:hint="eastAsia"/>
          <w:szCs w:val="21"/>
          <w:highlight w:val="white"/>
          <w:lang w:eastAsia="zh-CN"/>
        </w:rPr>
        <w:t>指数计算公式为：报告期指数=报告期样本的调整市值/除数×1000。其中，调整市值＝∑(证券价格×调整股本数×权重因子)。调整股本数的计算方法、除数修正方法参见中证指数有限公司网站发布的计算与维护细则。权重因子介于0和1之间，以使单个样本权重不超过10%，单个板块权重占比不超过80%。</w:t>
      </w:r>
    </w:p>
    <w:p w:rsidR="009E570F" w14:paraId="20C55BCF" w14:textId="77777777">
      <w:pPr>
        <w:spacing w:line="360" w:lineRule="auto"/>
        <w:ind w:left="426"/>
        <w:rPr>
          <w:rFonts w:ascii="宋体" w:eastAsia="宋体" w:hAnsi="Calibri"/>
          <w:szCs w:val="21"/>
        </w:rPr>
      </w:pPr>
      <w:r>
        <w:rPr>
          <w:rFonts w:ascii="宋体" w:eastAsia="宋体" w:hAnsi="Calibri" w:hint="eastAsia"/>
          <w:szCs w:val="21"/>
          <w:highlight w:val="white"/>
        </w:rPr>
        <w:t>有关标的指数具体编制方案等指数信息详见中证指数有限公司网站，网址：www.csindex.com.cn。</w:t>
      </w:r>
    </w:p>
    <w:p w:rsidR="009E570F" w14:paraId="4E5FD443" w14:textId="77777777">
      <w:pPr>
        <w:numPr>
          <w:ilvl w:val="0"/>
          <w:numId w:val="2"/>
        </w:numPr>
        <w:tabs>
          <w:tab w:val="num" w:pos="709"/>
          <w:tab w:val="clear" w:pos="900"/>
        </w:tabs>
        <w:spacing w:line="360" w:lineRule="auto"/>
        <w:ind w:left="-28" w:firstLine="454"/>
        <w:rPr>
          <w:rFonts w:ascii="宋体" w:eastAsia="宋体" w:hAnsi="Calibri"/>
          <w:szCs w:val="21"/>
        </w:rPr>
      </w:pPr>
      <w:r>
        <w:rPr>
          <w:rFonts w:ascii="宋体" w:eastAsia="宋体" w:hAnsi="Calibri" w:hint="eastAsia"/>
          <w:szCs w:val="21"/>
        </w:rPr>
        <w:t>风险提示</w:t>
      </w:r>
    </w:p>
    <w:p w:rsidR="009E570F" w14:paraId="4D5EF3CB" w14:textId="56390BC2">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本基金为易方达中证科创创业人工智能交易型开放式指数证券投资基金（以下简称</w:t>
      </w:r>
      <w:r>
        <w:rPr>
          <w:rFonts w:ascii="宋体" w:eastAsia="宋体" w:hAnsi="Calibri"/>
          <w:szCs w:val="21"/>
          <w:highlight w:val="white"/>
          <w:lang w:eastAsia="zh-CN"/>
        </w:rPr>
        <w:t>“</w:t>
      </w:r>
      <w:r>
        <w:rPr>
          <w:rFonts w:ascii="宋体" w:eastAsia="宋体" w:hAnsi="Calibri"/>
          <w:szCs w:val="21"/>
          <w:highlight w:val="white"/>
          <w:lang w:eastAsia="zh-CN"/>
        </w:rPr>
        <w:t>目标ETF</w:t>
      </w:r>
      <w:r>
        <w:rPr>
          <w:rFonts w:ascii="宋体" w:eastAsia="宋体" w:hAnsi="Calibri"/>
          <w:szCs w:val="21"/>
          <w:highlight w:val="white"/>
          <w:lang w:eastAsia="zh-CN"/>
        </w:rPr>
        <w:t>”</w:t>
      </w:r>
      <w:r>
        <w:rPr>
          <w:rFonts w:ascii="宋体" w:eastAsia="宋体" w:hAnsi="Calibri"/>
          <w:szCs w:val="21"/>
          <w:highlight w:val="white"/>
          <w:lang w:eastAsia="zh-CN"/>
        </w:rPr>
        <w:t>）的联接基金，投资于目标ETF的资产不低于基金资产净值的90%，其投资目标是紧密跟踪业绩比较基准，追求跟踪偏离度和跟踪误差的最小化。本基金投资于证券市场，基金净值会因为证券市场波动等因素产生波动。投资有风险，投资者在投资本基金前，请认真阅读本基金的招募说明书、基金合同、基金产品资料概要等信息披露文件，全面认识本基金产品的风险收益特征和产品特性，充分考虑自身的风险承受能力，理性判断市场，自主判断基金的投资价值，对投资基金的意愿、时机、数量等投资行为作出独立决策，承担基金投资中出现的各类风险。</w:t>
      </w:r>
    </w:p>
    <w:p w:rsidR="009E570F" w14:paraId="4EBB8A56" w14:textId="77777777">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投资本基金可能遇到的主要风险包括：本基金特有风险、市场风险、流动性风险、管理风险、税收风险、本基金法律文件中涉及基金风险特征的表述与销售机构对基金的风险评级可能不一致的风险及其他风险等。本基金特有风险包括：（1）投资科创板股票的风险，包括科创板企业退市风险、市场风险、流动性风险、监管规则变化的风险等；（2）投资创业板股票的风险。包括无法盈利甚至出现较大亏损的风险、股价大幅波动的风险、创业板企业退市风险、红筹企业的投资风险、监管规则变化的风险等；（3）指数化投资的风险，包括标的指数回报与股票市场平均回报偏离的风险、标的指数波动的风险、指数成份股主要集中于人工智能主题公司的集中度风险、部分成份股权重较大的风险、标的指数发布时间较短的风险、成份股停牌的风险、基金分红特殊安排的风险、基金收益率与业绩比较基准收益率偏离的风险、跟踪误差控制未达约定目标的风险、标的指数值计算出错的风险、标的指数编制方案带来的风险、指数编制机构停止服务的风险；（4）联接基金的特殊风险，包括可能具有与目标ETF不同的风险收益特征及净值增长率的风险、目标ETF面临的风险可能直接或间接成为本基金的风险、由目标ETF的联接基金变更为直接投资目标ETF标的指数成份股及备选成份股的指数基金的风险；（5）投资特定品种（包括股指期货、国债期货、股票期权等金融衍生品、北交所股票、资产支持证券、存托凭证等）的特有风险；（6）参与转融通证券出借业务的风险；（7）基金合同终止的风险等。</w:t>
      </w:r>
    </w:p>
    <w:p w:rsidR="009E570F" w14:paraId="0BB6EC0C" w14:textId="77777777">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本基金的具体运作特点详见基金合同和招募说明书的约定。投资本基金可能面临的风险详见招募说明书的</w:t>
      </w:r>
      <w:r>
        <w:rPr>
          <w:rFonts w:ascii="宋体" w:eastAsia="宋体" w:hAnsi="Calibri"/>
          <w:szCs w:val="21"/>
          <w:highlight w:val="white"/>
          <w:lang w:eastAsia="zh-CN"/>
        </w:rPr>
        <w:t>“</w:t>
      </w:r>
      <w:r>
        <w:rPr>
          <w:rFonts w:ascii="宋体" w:eastAsia="宋体" w:hAnsi="Calibri"/>
          <w:szCs w:val="21"/>
          <w:highlight w:val="white"/>
          <w:lang w:eastAsia="zh-CN"/>
        </w:rPr>
        <w:t>风险揭示</w:t>
      </w:r>
      <w:r>
        <w:rPr>
          <w:rFonts w:ascii="宋体" w:eastAsia="宋体" w:hAnsi="Calibri"/>
          <w:szCs w:val="21"/>
          <w:highlight w:val="white"/>
          <w:lang w:eastAsia="zh-CN"/>
        </w:rPr>
        <w:t>”</w:t>
      </w:r>
      <w:r>
        <w:rPr>
          <w:rFonts w:ascii="宋体" w:eastAsia="宋体" w:hAnsi="Calibri"/>
          <w:szCs w:val="21"/>
          <w:highlight w:val="white"/>
          <w:lang w:eastAsia="zh-CN"/>
        </w:rPr>
        <w:t>部分。</w:t>
      </w:r>
    </w:p>
    <w:p w:rsidR="009E570F" w14:paraId="038A43EE" w14:textId="22D6E52F">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为ETF联接基金，预期风险与预期收益水平高于混合型基金、债券型基金与货币市场基金。本基金主要通过投资于目标ETF实现对业绩比较基准的紧密跟踪。因此，本基金的业绩表现与标的指数的表现密切相关。</w:t>
      </w:r>
    </w:p>
    <w:p w:rsidR="009E570F" w14:paraId="6A5CC472" w14:textId="3DA90963">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为发起式基金，本基金发起资金来源范围为基金管理人固有资金，本基金发起资金的认购情况详见管理人届时发布的基金合同生效公告。发起资金提供方认购基金的金额不少于1000万元人民币，且持有认购份额的期限不少于3年。本基金发起资金提供方对本基金的发起认购，并不代表对本基金的风险或收益的任何判断、预测、推荐和保证，发起资金也并不用于对投资人投资亏损的补偿，投资人及发起资金认购人均自行承担投资风险。本基金发起资金认购的本基金份额持有期限自基金合同生效日起满3年后，发起资金提供方将根据自身情况决定是否继续持有，届时发起资金提供方有可能赎回认购的本基金份额。</w:t>
      </w:r>
    </w:p>
    <w:p w:rsidR="009E570F" w14:paraId="24336CAE" w14:textId="737BF777">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基金管理人提醒投资者基金投资的</w:t>
      </w:r>
      <w:r>
        <w:rPr>
          <w:rFonts w:ascii="宋体" w:eastAsia="宋体" w:hAnsi="Calibri"/>
          <w:szCs w:val="21"/>
          <w:highlight w:val="white"/>
          <w:lang w:eastAsia="zh-CN"/>
        </w:rPr>
        <w:t>“</w:t>
      </w:r>
      <w:r>
        <w:rPr>
          <w:rFonts w:ascii="宋体" w:eastAsia="宋体" w:hAnsi="Calibri"/>
          <w:szCs w:val="21"/>
          <w:highlight w:val="white"/>
          <w:lang w:eastAsia="zh-CN"/>
        </w:rPr>
        <w:t>买者自负</w:t>
      </w:r>
      <w:r>
        <w:rPr>
          <w:rFonts w:ascii="宋体" w:eastAsia="宋体" w:hAnsi="Calibri"/>
          <w:szCs w:val="21"/>
          <w:highlight w:val="white"/>
          <w:lang w:eastAsia="zh-CN"/>
        </w:rPr>
        <w:t>”</w:t>
      </w:r>
      <w:r>
        <w:rPr>
          <w:rFonts w:ascii="宋体" w:eastAsia="宋体" w:hAnsi="Calibri"/>
          <w:szCs w:val="21"/>
          <w:highlight w:val="white"/>
          <w:lang w:eastAsia="zh-CN"/>
        </w:rPr>
        <w:t>原则，在投资者作出投资决策后，基金运营状况与基金净值变化引致的投资风险，由投资者自行负责。此外，本基金以1元初始面值进行募集，在市场波动等因素的影响下，存在单位份额净值跌破1元初始面值的风险。</w:t>
      </w:r>
    </w:p>
    <w:p w:rsidR="009E570F" w14:paraId="63DD1E42" w14:textId="03DE2B05">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基金不同于银行储蓄，基金投资人投资于基金有可能获得较高的收益，也有可能损失本金。投资有风险，投资人在进行投资决策前，请仔细阅读本基金的《招募说明书》及《基金合同》。</w:t>
      </w:r>
    </w:p>
    <w:p w:rsidR="009E570F" w14:paraId="34DEBC05" w14:textId="574AED0C">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基金的过往业绩并不预示其未来表现，基金管理人管理的其他基金的业绩并不构成对本基金表现的保证。</w:t>
      </w:r>
    </w:p>
    <w:p w:rsidR="009E570F" w14:paraId="5FDFD0D3" w14:textId="21B4A129">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本基金与目标ETF的联系与区别</w:t>
      </w:r>
      <w:r w:rsidR="00DB7A13">
        <w:rPr>
          <w:rFonts w:ascii="宋体" w:eastAsia="宋体" w:hAnsi="Calibri" w:hint="eastAsia"/>
          <w:szCs w:val="21"/>
          <w:highlight w:val="white"/>
          <w:lang w:eastAsia="zh-CN"/>
        </w:rPr>
        <w:t>：</w:t>
      </w:r>
    </w:p>
    <w:p w:rsidR="009E570F" w14:paraId="285B13A8" w14:textId="77777777">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本基金与目标ETF之间的联系：（1）两只基金的投资目标均为紧密跟踪业绩比较基准；（2）两只基金具有相似的风险收益特征；（3）目标ETF是本基金的主要投资对象。</w:t>
      </w:r>
    </w:p>
    <w:p w:rsidR="009E570F" w14:paraId="490DE82D" w14:textId="77777777">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与目标ETF之间的区别：（1）在基金的投资方法方面，目标ETF主要采取完全复制法，直接投资于标的指数的成份股、备选成份股；而本基金则采取间接的方法，通过将绝大部分基金财产投资于目标ETF，实现对业绩比较基准的紧密跟踪。（2）在交易方式方面，投资者既可以像买卖股票一样在交易所买卖目标ETF的基金份额，也可以按照最小申购、赎回单位和申购、赎回清单的要求申赎目标ETF；而本基金则像普通的开放式基金一样，投资者可以通过基金管理人及非直销销售机构按未知价法进行基金的申购与赎回。</w:t>
      </w:r>
    </w:p>
    <w:p w:rsidR="009E570F" w14:paraId="3590DF83" w14:textId="77777777">
      <w:pPr>
        <w:snapToGrid w:val="0"/>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与目标ETF业绩表现仍可能出现差异。可能引发差异的因素主要包括：（1）法规对投资比例的要求。目标ETF作为一种特殊的基金品种，可将全部或接近全部的基金资产，用于跟踪标的指数的表现；而本基金作为普通的开放式基金，仍需将不低于基金资产净值5%的资产投资于现金或者到期日在一年以内的政府债券。（2）申购赎回的影响。目标ETF采取按照最小申购、赎回单位和申购、赎回清单要求进行申赎的方式，申购赎回对基金净值影响较小；而本基金采取按照未知价法进行申赎的方式，大额申赎可能会对基金资产净值产生一定影响。</w:t>
      </w:r>
    </w:p>
    <w:p w:rsidR="009E570F" w14:paraId="11DB8447" w14:textId="77777777">
      <w:pPr>
        <w:snapToGrid w:val="0"/>
        <w:spacing w:line="360" w:lineRule="auto"/>
        <w:ind w:firstLine="420"/>
        <w:rPr>
          <w:rFonts w:ascii="宋体" w:eastAsia="宋体" w:hAnsi="Calibri"/>
          <w:szCs w:val="21"/>
          <w:lang w:eastAsia="zh-CN"/>
        </w:rPr>
      </w:pPr>
    </w:p>
    <w:p w:rsidR="009E570F" w14:paraId="2D6E498C" w14:textId="77777777">
      <w:pPr>
        <w:snapToGrid w:val="0"/>
        <w:spacing w:line="360" w:lineRule="auto"/>
        <w:ind w:firstLine="420"/>
        <w:rPr>
          <w:rFonts w:ascii="宋体" w:eastAsia="宋体" w:hAnsi="Calibri"/>
          <w:lang w:eastAsia="zh-CN"/>
        </w:rPr>
      </w:pPr>
    </w:p>
    <w:p w:rsidR="009E570F" w14:paraId="7B084AB6" w14:textId="77777777">
      <w:pPr>
        <w:snapToGrid w:val="0"/>
        <w:spacing w:line="360" w:lineRule="auto"/>
        <w:outlineLvl w:val="0"/>
        <w:rPr>
          <w:rStyle w:val="big1"/>
          <w:rFonts w:ascii="宋体" w:eastAsia="宋体" w:hAnsi="Calibri"/>
          <w:b/>
          <w:bCs/>
          <w:spacing w:val="0"/>
          <w:sz w:val="21"/>
          <w:szCs w:val="21"/>
          <w:lang w:eastAsia="zh-CN"/>
        </w:rPr>
      </w:pPr>
      <w:r>
        <w:rPr>
          <w:rStyle w:val="big1"/>
          <w:rFonts w:ascii="宋体" w:eastAsia="宋体" w:hAnsi="Calibri"/>
          <w:b/>
          <w:bCs/>
          <w:spacing w:val="0"/>
          <w:sz w:val="21"/>
          <w:szCs w:val="21"/>
          <w:lang w:eastAsia="zh-CN"/>
        </w:rPr>
        <w:t>一、</w:t>
      </w:r>
      <w:r>
        <w:rPr>
          <w:rStyle w:val="big1"/>
          <w:rFonts w:ascii="宋体" w:eastAsia="宋体" w:hAnsi="Calibri" w:hint="eastAsia"/>
          <w:b/>
          <w:bCs/>
          <w:spacing w:val="0"/>
          <w:sz w:val="21"/>
          <w:szCs w:val="21"/>
          <w:lang w:eastAsia="zh-CN"/>
        </w:rPr>
        <w:t>本次</w:t>
      </w:r>
      <w:r>
        <w:rPr>
          <w:rStyle w:val="big1"/>
          <w:rFonts w:ascii="宋体" w:eastAsia="宋体" w:hAnsi="Calibri"/>
          <w:b/>
          <w:bCs/>
          <w:spacing w:val="0"/>
          <w:sz w:val="21"/>
          <w:szCs w:val="21"/>
          <w:lang w:eastAsia="zh-CN"/>
        </w:rPr>
        <w:t>募集基本情况</w:t>
      </w:r>
    </w:p>
    <w:p w:rsidR="009E570F" w14:paraId="08271391" w14:textId="77777777">
      <w:pPr>
        <w:spacing w:line="360" w:lineRule="auto"/>
        <w:ind w:firstLine="420"/>
        <w:rPr>
          <w:rFonts w:ascii="宋体" w:eastAsia="宋体" w:hAnsi="Calibri"/>
          <w:szCs w:val="21"/>
          <w:lang w:eastAsia="zh-CN"/>
        </w:rPr>
      </w:pPr>
      <w:r>
        <w:rPr>
          <w:rFonts w:ascii="宋体" w:eastAsia="宋体" w:hAnsi="Calibri" w:hint="eastAsia"/>
          <w:lang w:eastAsia="zh-CN"/>
        </w:rPr>
        <w:t>1.</w:t>
      </w:r>
      <w:r>
        <w:rPr>
          <w:rFonts w:ascii="宋体" w:eastAsia="宋体" w:hAnsi="Calibri"/>
          <w:szCs w:val="21"/>
          <w:lang w:eastAsia="zh-CN"/>
        </w:rPr>
        <w:t>基金名称</w:t>
      </w:r>
    </w:p>
    <w:p w:rsidR="009E570F" w14:paraId="5E26676F" w14:textId="73EA7A77">
      <w:pPr>
        <w:spacing w:line="360" w:lineRule="auto"/>
        <w:ind w:firstLine="420"/>
        <w:rPr>
          <w:rFonts w:ascii="宋体" w:eastAsia="宋体" w:hAnsi="Calibri"/>
          <w:lang w:eastAsia="zh-CN"/>
        </w:rPr>
      </w:pPr>
      <w:r>
        <w:rPr>
          <w:rFonts w:ascii="宋体" w:eastAsia="宋体" w:hAnsi="Calibri" w:hint="eastAsia"/>
          <w:szCs w:val="21"/>
          <w:lang w:eastAsia="zh-CN"/>
        </w:rPr>
        <w:t>易方达中证科创创业人工智能交易型开放式指数证券投资基金发起式联接基金</w:t>
      </w:r>
      <w:r>
        <w:rPr>
          <w:rFonts w:ascii="宋体" w:eastAsia="宋体" w:hAnsi="Calibri" w:hint="eastAsia"/>
          <w:lang w:eastAsia="zh-CN"/>
        </w:rPr>
        <w:t>（</w:t>
      </w:r>
      <w:r>
        <w:rPr>
          <w:rFonts w:ascii="宋体" w:eastAsia="宋体" w:hAnsi="Calibri"/>
          <w:lang w:eastAsia="zh-CN"/>
        </w:rPr>
        <w:t>A类基金份额代</w:t>
      </w:r>
      <w:r>
        <w:rPr>
          <w:rFonts w:ascii="宋体" w:eastAsia="宋体" w:hAnsi="Calibri"/>
          <w:lang w:eastAsia="zh-CN"/>
        </w:rPr>
        <w:t>码：</w:t>
      </w:r>
      <w:r w:rsidR="00092926">
        <w:rPr>
          <w:rFonts w:ascii="宋体" w:eastAsia="宋体" w:hAnsi="Calibri"/>
          <w:lang w:eastAsia="zh-CN"/>
        </w:rPr>
        <w:t>028985</w:t>
      </w:r>
      <w:r>
        <w:rPr>
          <w:rFonts w:ascii="宋体" w:eastAsia="宋体" w:hAnsi="Calibri" w:hint="eastAsia"/>
          <w:lang w:eastAsia="zh-CN"/>
        </w:rPr>
        <w:t>；</w:t>
      </w:r>
      <w:r>
        <w:rPr>
          <w:rFonts w:ascii="宋体" w:eastAsia="宋体" w:hAnsi="Calibri"/>
          <w:lang w:eastAsia="zh-CN"/>
        </w:rPr>
        <w:t>C</w:t>
      </w:r>
      <w:r>
        <w:rPr>
          <w:rFonts w:ascii="宋体" w:eastAsia="宋体" w:hAnsi="Calibri" w:hint="eastAsia"/>
          <w:lang w:eastAsia="zh-CN"/>
        </w:rPr>
        <w:t>类基金份额代码：</w:t>
      </w:r>
      <w:r w:rsidR="00092926">
        <w:rPr>
          <w:rFonts w:ascii="宋体" w:eastAsia="宋体" w:hAnsi="Calibri"/>
          <w:lang w:eastAsia="zh-CN"/>
        </w:rPr>
        <w:t>028986</w:t>
      </w:r>
      <w:r>
        <w:rPr>
          <w:rFonts w:ascii="宋体" w:eastAsia="宋体" w:hAnsi="Calibri" w:hint="eastAsia"/>
          <w:lang w:eastAsia="zh-CN"/>
        </w:rPr>
        <w:t>）</w:t>
      </w:r>
    </w:p>
    <w:p w:rsidR="009E570F" w14:paraId="025AEB4A" w14:textId="77777777">
      <w:pPr>
        <w:spacing w:line="360" w:lineRule="auto"/>
        <w:ind w:firstLine="420"/>
        <w:rPr>
          <w:rFonts w:ascii="宋体" w:eastAsia="宋体" w:hAnsi="Calibri"/>
          <w:lang w:eastAsia="zh-CN"/>
        </w:rPr>
      </w:pPr>
      <w:r>
        <w:rPr>
          <w:rFonts w:ascii="宋体" w:eastAsia="宋体" w:hAnsi="Calibri" w:hint="eastAsia"/>
          <w:lang w:eastAsia="zh-CN"/>
        </w:rPr>
        <w:t>2.</w:t>
      </w:r>
      <w:r>
        <w:rPr>
          <w:rFonts w:ascii="宋体" w:eastAsia="宋体" w:hAnsi="Calibri"/>
          <w:lang w:eastAsia="zh-CN"/>
        </w:rPr>
        <w:t>基金</w:t>
      </w:r>
      <w:r>
        <w:rPr>
          <w:rFonts w:ascii="宋体" w:eastAsia="宋体" w:hAnsi="Calibri" w:hint="eastAsia"/>
          <w:lang w:eastAsia="zh-CN"/>
        </w:rPr>
        <w:t>运作方式和</w:t>
      </w:r>
      <w:r>
        <w:rPr>
          <w:rFonts w:ascii="宋体" w:eastAsia="宋体" w:hAnsi="Calibri"/>
          <w:lang w:eastAsia="zh-CN"/>
        </w:rPr>
        <w:t>类型</w:t>
      </w:r>
    </w:p>
    <w:p w:rsidR="009E570F" w14:paraId="750120D0" w14:textId="77777777">
      <w:pPr>
        <w:spacing w:line="360" w:lineRule="auto"/>
        <w:ind w:firstLine="420"/>
        <w:rPr>
          <w:rFonts w:ascii="宋体" w:eastAsia="宋体" w:hAnsi="Calibri"/>
          <w:szCs w:val="21"/>
          <w:lang w:eastAsia="zh-CN"/>
        </w:rPr>
      </w:pPr>
      <w:r>
        <w:rPr>
          <w:rFonts w:ascii="宋体" w:eastAsia="宋体" w:hAnsi="Calibri"/>
          <w:szCs w:val="21"/>
          <w:lang w:eastAsia="zh-CN"/>
        </w:rPr>
        <w:t>契约型开放式</w:t>
      </w:r>
      <w:r>
        <w:rPr>
          <w:rFonts w:ascii="宋体" w:eastAsia="宋体" w:hAnsi="Calibri" w:hint="eastAsia"/>
          <w:szCs w:val="21"/>
          <w:lang w:eastAsia="zh-CN"/>
        </w:rPr>
        <w:t>、</w:t>
      </w:r>
      <w:r>
        <w:rPr>
          <w:rFonts w:ascii="宋体" w:eastAsia="宋体" w:hAnsi="Calibri"/>
          <w:szCs w:val="21"/>
          <w:lang w:eastAsia="zh-CN"/>
        </w:rPr>
        <w:t xml:space="preserve">指数基金、联接基金 </w:t>
      </w:r>
    </w:p>
    <w:p w:rsidR="009E570F" w14:paraId="4754CED7" w14:textId="77777777">
      <w:pPr>
        <w:spacing w:line="360" w:lineRule="auto"/>
        <w:ind w:firstLine="420"/>
        <w:rPr>
          <w:rFonts w:ascii="宋体" w:eastAsia="宋体" w:hAnsi="Calibri"/>
          <w:lang w:eastAsia="zh-CN"/>
        </w:rPr>
      </w:pPr>
      <w:r>
        <w:rPr>
          <w:rFonts w:ascii="宋体" w:eastAsia="宋体" w:hAnsi="Calibri" w:hint="eastAsia"/>
          <w:lang w:eastAsia="zh-CN"/>
        </w:rPr>
        <w:t>3.</w:t>
      </w:r>
      <w:r>
        <w:rPr>
          <w:rFonts w:ascii="宋体" w:eastAsia="宋体" w:hAnsi="Calibri"/>
          <w:lang w:eastAsia="zh-CN"/>
        </w:rPr>
        <w:t>基金存续期限</w:t>
      </w:r>
    </w:p>
    <w:p w:rsidR="009E570F" w14:paraId="1B8FE1A7" w14:textId="77777777">
      <w:pPr>
        <w:spacing w:line="360" w:lineRule="auto"/>
        <w:ind w:firstLine="420"/>
        <w:rPr>
          <w:rFonts w:ascii="宋体" w:eastAsia="宋体" w:hAnsi="Calibri"/>
          <w:szCs w:val="21"/>
          <w:lang w:eastAsia="zh-CN"/>
        </w:rPr>
      </w:pPr>
      <w:r>
        <w:rPr>
          <w:rFonts w:ascii="宋体" w:eastAsia="宋体" w:hAnsi="Calibri" w:hint="eastAsia"/>
          <w:szCs w:val="21"/>
          <w:lang w:eastAsia="zh-CN"/>
        </w:rPr>
        <w:t>不定期</w:t>
      </w:r>
    </w:p>
    <w:p w:rsidR="009E570F" w14:paraId="79D08B72" w14:textId="77777777">
      <w:pPr>
        <w:spacing w:line="360" w:lineRule="auto"/>
        <w:ind w:firstLine="420"/>
        <w:rPr>
          <w:rFonts w:ascii="宋体" w:eastAsia="宋体" w:hAnsi="Calibri"/>
          <w:lang w:eastAsia="zh-CN"/>
        </w:rPr>
      </w:pPr>
      <w:r>
        <w:rPr>
          <w:rFonts w:ascii="宋体" w:eastAsia="宋体" w:hAnsi="Calibri" w:hint="eastAsia"/>
          <w:lang w:eastAsia="zh-CN"/>
        </w:rPr>
        <w:t>4.基金份额面值</w:t>
      </w:r>
    </w:p>
    <w:p w:rsidR="009E570F" w14:paraId="50829511" w14:textId="77777777">
      <w:pPr>
        <w:snapToGrid w:val="0"/>
        <w:spacing w:line="360" w:lineRule="auto"/>
        <w:ind w:firstLine="420"/>
        <w:rPr>
          <w:rFonts w:ascii="宋体" w:eastAsia="宋体" w:hAnsi="Calibri"/>
          <w:lang w:eastAsia="zh-CN"/>
        </w:rPr>
      </w:pPr>
      <w:r>
        <w:rPr>
          <w:rFonts w:ascii="宋体" w:eastAsia="宋体" w:hAnsi="Calibri" w:hint="eastAsia"/>
          <w:highlight w:val="white"/>
          <w:lang w:eastAsia="zh-CN"/>
        </w:rPr>
        <w:t>本基金基金份额发售面值为人民币1.00元。</w:t>
      </w:r>
    </w:p>
    <w:p w:rsidR="009E570F" w14:paraId="3C9D825F" w14:textId="77777777">
      <w:pPr>
        <w:tabs>
          <w:tab w:val="left" w:pos="567"/>
          <w:tab w:val="left" w:pos="709"/>
        </w:tabs>
        <w:spacing w:line="360" w:lineRule="auto"/>
        <w:ind w:firstLine="420"/>
        <w:rPr>
          <w:rStyle w:val="da"/>
          <w:rFonts w:ascii="宋体" w:eastAsia="宋体" w:hAnsi="Calibri"/>
          <w:lang w:eastAsia="zh-CN"/>
        </w:rPr>
      </w:pPr>
      <w:r>
        <w:rPr>
          <w:rStyle w:val="da"/>
          <w:rFonts w:ascii="宋体" w:eastAsia="宋体" w:hAnsi="Calibri"/>
          <w:lang w:eastAsia="zh-CN"/>
        </w:rPr>
        <w:t>5.</w:t>
      </w:r>
      <w:r>
        <w:rPr>
          <w:rFonts w:ascii="宋体" w:eastAsia="宋体" w:hAnsi="Calibri"/>
          <w:lang w:eastAsia="zh-CN"/>
        </w:rPr>
        <w:t>基金投资目标</w:t>
      </w:r>
    </w:p>
    <w:p w:rsidR="009E570F" w14:paraId="019F3E26" w14:textId="77777777">
      <w:pPr>
        <w:spacing w:line="360" w:lineRule="auto"/>
        <w:ind w:firstLine="420"/>
        <w:rPr>
          <w:rFonts w:ascii="宋体" w:eastAsia="宋体" w:hAnsi="Calibri"/>
          <w:lang w:eastAsia="zh-CN"/>
        </w:rPr>
      </w:pPr>
      <w:r>
        <w:rPr>
          <w:rFonts w:ascii="宋体" w:eastAsia="宋体" w:hAnsi="Calibri"/>
          <w:lang w:eastAsia="zh-CN"/>
        </w:rPr>
        <w:t>紧密跟踪业绩比较基准，追求跟踪偏离度和跟踪误差的最小化。</w:t>
      </w:r>
    </w:p>
    <w:p w:rsidR="009E570F" w14:paraId="551FDDCB" w14:textId="77777777">
      <w:pPr>
        <w:spacing w:line="360" w:lineRule="auto"/>
        <w:ind w:firstLine="420"/>
        <w:rPr>
          <w:rFonts w:ascii="宋体" w:eastAsia="宋体" w:hAnsi="Calibri"/>
          <w:lang w:eastAsia="zh-CN"/>
        </w:rPr>
      </w:pPr>
      <w:r>
        <w:rPr>
          <w:rFonts w:ascii="宋体" w:eastAsia="宋体" w:hAnsi="Calibri" w:hint="eastAsia"/>
          <w:lang w:eastAsia="zh-CN"/>
        </w:rPr>
        <w:t>6.募集</w:t>
      </w:r>
      <w:r>
        <w:rPr>
          <w:rFonts w:ascii="宋体" w:eastAsia="宋体" w:hAnsi="Calibri"/>
          <w:lang w:eastAsia="zh-CN"/>
        </w:rPr>
        <w:t>对象</w:t>
      </w:r>
    </w:p>
    <w:p w:rsidR="009E570F" w14:paraId="428C921C" w14:textId="77777777">
      <w:pPr>
        <w:tabs>
          <w:tab w:val="left" w:pos="709"/>
        </w:tabs>
        <w:spacing w:line="360" w:lineRule="auto"/>
        <w:ind w:firstLine="420"/>
        <w:rPr>
          <w:rStyle w:val="da"/>
          <w:rFonts w:ascii="宋体" w:eastAsia="宋体" w:hAnsi="Calibri"/>
          <w:lang w:eastAsia="zh-CN"/>
        </w:rPr>
      </w:pPr>
      <w:r>
        <w:rPr>
          <w:rFonts w:ascii="宋体" w:eastAsia="宋体" w:hAnsi="Calibri"/>
          <w:highlight w:val="white"/>
          <w:lang w:eastAsia="zh-CN"/>
        </w:rPr>
        <w:t>符合法律法规规定的可投资于证券投资基金的个人投资者、机构投资者、合格境外投资者以及法律法规或中国证监会允许购买证券投资基金的其他投资人。</w:t>
      </w:r>
    </w:p>
    <w:p w:rsidR="009E570F" w14:paraId="25CE078D" w14:textId="77777777">
      <w:pPr>
        <w:spacing w:line="360" w:lineRule="auto"/>
        <w:ind w:firstLine="420"/>
        <w:rPr>
          <w:rFonts w:ascii="宋体" w:eastAsia="宋体" w:hAnsi="Calibri"/>
          <w:lang w:eastAsia="zh-CN"/>
        </w:rPr>
      </w:pPr>
      <w:r>
        <w:rPr>
          <w:rFonts w:ascii="宋体" w:eastAsia="宋体" w:hAnsi="Calibri" w:hint="eastAsia"/>
          <w:lang w:eastAsia="zh-CN"/>
        </w:rPr>
        <w:t>7.募集时间安排与基金合同生效</w:t>
      </w:r>
    </w:p>
    <w:p w:rsidR="009E570F" w14:paraId="6C047BB8" w14:textId="77777777">
      <w:pPr>
        <w:spacing w:line="360" w:lineRule="auto"/>
        <w:ind w:firstLine="420"/>
        <w:rPr>
          <w:rFonts w:ascii="宋体" w:eastAsia="宋体" w:hAnsi="Calibri"/>
          <w:lang w:eastAsia="zh-CN"/>
        </w:rPr>
      </w:pPr>
      <w:r>
        <w:rPr>
          <w:rFonts w:ascii="宋体" w:eastAsia="宋体" w:hAnsi="Calibri" w:hint="eastAsia"/>
          <w:lang w:eastAsia="zh-CN"/>
        </w:rPr>
        <w:t>（1）本基金的募集期限为自基金份额发售之日起不超过三个月。</w:t>
      </w:r>
    </w:p>
    <w:p w:rsidR="009E570F" w14:paraId="030B3756" w14:textId="17004A70">
      <w:pPr>
        <w:spacing w:line="360" w:lineRule="auto"/>
        <w:ind w:firstLine="420"/>
        <w:rPr>
          <w:rFonts w:ascii="宋体" w:eastAsia="宋体" w:hAnsi="Calibri"/>
          <w:lang w:eastAsia="zh-CN"/>
        </w:rPr>
      </w:pPr>
      <w:r>
        <w:rPr>
          <w:rFonts w:ascii="宋体" w:eastAsia="宋体" w:hAnsi="Calibri" w:hint="eastAsia"/>
          <w:lang w:eastAsia="zh-CN"/>
        </w:rPr>
        <w:t>（2）本基金</w:t>
      </w:r>
      <w:r>
        <w:rPr>
          <w:rFonts w:ascii="宋体" w:eastAsia="宋体" w:hAnsi="Calibri" w:hint="eastAsia"/>
          <w:lang w:eastAsia="zh-CN"/>
        </w:rPr>
        <w:t>自</w:t>
      </w:r>
      <w:r w:rsidR="00653069">
        <w:rPr>
          <w:rFonts w:ascii="宋体" w:eastAsia="宋体" w:hAnsi="Calibri"/>
          <w:szCs w:val="21"/>
          <w:lang w:eastAsia="zh-CN"/>
        </w:rPr>
        <w:t>2026</w:t>
      </w:r>
      <w:r w:rsidR="00653069">
        <w:rPr>
          <w:rFonts w:ascii="宋体" w:eastAsia="宋体" w:hAnsi="Calibri" w:hint="eastAsia"/>
          <w:szCs w:val="21"/>
          <w:lang w:eastAsia="zh-CN"/>
        </w:rPr>
        <w:t>年</w:t>
      </w:r>
      <w:r w:rsidR="00653069">
        <w:rPr>
          <w:rFonts w:ascii="宋体" w:eastAsia="宋体" w:hAnsi="Calibri"/>
          <w:szCs w:val="21"/>
          <w:lang w:eastAsia="zh-CN"/>
        </w:rPr>
        <w:t>9</w:t>
      </w:r>
      <w:r w:rsidR="00653069">
        <w:rPr>
          <w:rFonts w:ascii="宋体" w:eastAsia="宋体" w:hAnsi="Calibri" w:hint="eastAsia"/>
          <w:szCs w:val="21"/>
          <w:lang w:eastAsia="zh-CN"/>
        </w:rPr>
        <w:t>月</w:t>
      </w:r>
      <w:r w:rsidR="00653069">
        <w:rPr>
          <w:rFonts w:ascii="宋体" w:eastAsia="宋体" w:hAnsi="Calibri"/>
          <w:szCs w:val="21"/>
          <w:lang w:eastAsia="zh-CN"/>
        </w:rPr>
        <w:t>21</w:t>
      </w:r>
      <w:r w:rsidR="00653069">
        <w:rPr>
          <w:rFonts w:ascii="宋体" w:eastAsia="宋体" w:hAnsi="Calibri" w:hint="eastAsia"/>
          <w:szCs w:val="21"/>
          <w:lang w:eastAsia="zh-CN"/>
        </w:rPr>
        <w:t>日至</w:t>
      </w:r>
      <w:r w:rsidR="00653069">
        <w:rPr>
          <w:rFonts w:ascii="宋体" w:eastAsia="宋体" w:hAnsi="Calibri"/>
          <w:szCs w:val="21"/>
          <w:lang w:eastAsia="zh-CN"/>
        </w:rPr>
        <w:t>2026</w:t>
      </w:r>
      <w:r w:rsidR="00653069">
        <w:rPr>
          <w:rFonts w:ascii="宋体" w:eastAsia="宋体" w:hAnsi="Calibri" w:hint="eastAsia"/>
          <w:szCs w:val="21"/>
          <w:lang w:eastAsia="zh-CN"/>
        </w:rPr>
        <w:t>年</w:t>
      </w:r>
      <w:r w:rsidR="00653069">
        <w:rPr>
          <w:rFonts w:ascii="宋体" w:eastAsia="宋体" w:hAnsi="Calibri"/>
          <w:szCs w:val="21"/>
          <w:lang w:eastAsia="zh-CN"/>
        </w:rPr>
        <w:t>10</w:t>
      </w:r>
      <w:r w:rsidR="00653069">
        <w:rPr>
          <w:rFonts w:ascii="宋体" w:eastAsia="宋体" w:hAnsi="Calibri" w:hint="eastAsia"/>
          <w:szCs w:val="21"/>
          <w:lang w:eastAsia="zh-CN"/>
        </w:rPr>
        <w:t>月</w:t>
      </w:r>
      <w:r w:rsidR="00653069">
        <w:rPr>
          <w:rFonts w:ascii="宋体" w:eastAsia="宋体" w:hAnsi="Calibri"/>
          <w:szCs w:val="21"/>
          <w:lang w:eastAsia="zh-CN"/>
        </w:rPr>
        <w:t>22</w:t>
      </w:r>
      <w:r w:rsidR="00653069">
        <w:rPr>
          <w:rFonts w:ascii="宋体" w:eastAsia="宋体" w:hAnsi="Calibri" w:hint="eastAsia"/>
          <w:szCs w:val="21"/>
          <w:lang w:eastAsia="zh-CN"/>
        </w:rPr>
        <w:t>日</w:t>
      </w:r>
      <w:r>
        <w:rPr>
          <w:rFonts w:ascii="宋体" w:eastAsia="宋体" w:hAnsi="Calibri" w:hint="eastAsia"/>
          <w:lang w:eastAsia="zh-CN"/>
        </w:rPr>
        <w:t>公开发售。在认购期内，本基金向个人投资者和机构投资者同时发售。</w:t>
      </w:r>
      <w:r>
        <w:rPr>
          <w:rFonts w:ascii="宋体" w:eastAsia="宋体" w:hAnsi="Calibri"/>
          <w:lang w:eastAsia="zh-CN"/>
        </w:rPr>
        <w:t>基金</w:t>
      </w:r>
      <w:r>
        <w:rPr>
          <w:rFonts w:ascii="宋体" w:eastAsia="宋体" w:hAnsi="Calibri" w:hint="eastAsia"/>
          <w:lang w:eastAsia="zh-CN"/>
        </w:rPr>
        <w:t>管理人</w:t>
      </w:r>
      <w:r>
        <w:rPr>
          <w:rFonts w:ascii="宋体" w:eastAsia="宋体" w:hAnsi="Calibri"/>
          <w:lang w:eastAsia="zh-CN"/>
        </w:rPr>
        <w:t>根据认购的情况可</w:t>
      </w:r>
      <w:r>
        <w:rPr>
          <w:rFonts w:ascii="宋体" w:eastAsia="宋体" w:hAnsi="Calibri" w:hint="eastAsia"/>
          <w:lang w:eastAsia="zh-CN"/>
        </w:rPr>
        <w:t>适当调整</w:t>
      </w:r>
      <w:r>
        <w:rPr>
          <w:rFonts w:ascii="宋体" w:eastAsia="宋体" w:hAnsi="Calibri"/>
          <w:lang w:eastAsia="zh-CN"/>
        </w:rPr>
        <w:t>募集时间</w:t>
      </w:r>
      <w:r>
        <w:rPr>
          <w:rFonts w:ascii="宋体" w:eastAsia="宋体" w:hAnsi="Calibri" w:hint="eastAsia"/>
          <w:lang w:eastAsia="zh-CN"/>
        </w:rPr>
        <w:t>，并及时公告，但</w:t>
      </w:r>
      <w:r>
        <w:rPr>
          <w:rFonts w:ascii="宋体" w:eastAsia="宋体" w:hAnsi="Calibri"/>
          <w:lang w:eastAsia="zh-CN"/>
        </w:rPr>
        <w:t>最长不超过法定募集期</w:t>
      </w:r>
      <w:r>
        <w:rPr>
          <w:rFonts w:ascii="宋体" w:eastAsia="宋体" w:hAnsi="Calibri" w:hint="eastAsia"/>
          <w:lang w:eastAsia="zh-CN"/>
        </w:rPr>
        <w:t>限。</w:t>
      </w:r>
    </w:p>
    <w:p w:rsidR="009E570F" w14:paraId="60568A86" w14:textId="77777777">
      <w:pPr>
        <w:spacing w:line="360" w:lineRule="auto"/>
        <w:ind w:firstLine="420"/>
        <w:rPr>
          <w:rFonts w:ascii="宋体" w:eastAsia="宋体" w:hAnsi="Calibri"/>
          <w:lang w:eastAsia="zh-CN"/>
        </w:rPr>
      </w:pPr>
      <w:r>
        <w:rPr>
          <w:rFonts w:ascii="宋体" w:eastAsia="宋体" w:hAnsi="Calibri" w:hint="eastAsia"/>
          <w:lang w:eastAsia="zh-CN"/>
        </w:rPr>
        <w:t>（3）自基金份额发售之日起三个月内，</w:t>
      </w:r>
      <w:r>
        <w:rPr>
          <w:rFonts w:ascii="宋体" w:eastAsia="宋体" w:hAnsi="Calibri" w:hint="eastAsia"/>
          <w:highlight w:val="white"/>
          <w:lang w:eastAsia="zh-CN"/>
        </w:rPr>
        <w:t>在基金募集份额总额不少于1000万份，基金募集金额不少于1000万元人民币的条件下，</w:t>
      </w:r>
      <w:r>
        <w:rPr>
          <w:rFonts w:ascii="宋体" w:eastAsia="宋体" w:hAnsi="Calibri" w:hint="eastAsia"/>
          <w:lang w:eastAsia="zh-CN"/>
        </w:rPr>
        <w:t>基金募集达到基金备案条件，自基金管理人办理完毕基金备案手续并取得中国证监会书面确认之日起，基金合同生效；否则基金合同不生效。</w:t>
      </w:r>
    </w:p>
    <w:p w:rsidR="009E570F" w14:paraId="730D1DEE" w14:textId="77777777">
      <w:pPr>
        <w:spacing w:line="360" w:lineRule="auto"/>
        <w:ind w:firstLine="420"/>
        <w:rPr>
          <w:rFonts w:ascii="宋体" w:eastAsia="宋体" w:hAnsi="Calibri"/>
          <w:lang w:eastAsia="zh-CN"/>
        </w:rPr>
      </w:pPr>
      <w:r>
        <w:rPr>
          <w:rFonts w:ascii="宋体" w:eastAsia="宋体" w:hAnsi="Calibri" w:hint="eastAsia"/>
          <w:lang w:eastAsia="zh-CN"/>
        </w:rPr>
        <w:t xml:space="preserve">（4）基金募集期间募集的资金应当存入专门账户，在基金募集行为结束前，任何人不得动用。有效认购资金在募集期内产生的利息将折成投资者认购的基金份额，归投资者所有。 </w:t>
      </w:r>
    </w:p>
    <w:p w:rsidR="009E570F" w14:paraId="59422FD7" w14:textId="77777777">
      <w:pPr>
        <w:spacing w:line="360" w:lineRule="auto"/>
        <w:ind w:firstLine="420"/>
        <w:rPr>
          <w:rFonts w:ascii="宋体" w:eastAsia="宋体" w:hAnsi="Calibri"/>
          <w:lang w:eastAsia="zh-CN"/>
        </w:rPr>
      </w:pPr>
      <w:r>
        <w:rPr>
          <w:rFonts w:ascii="宋体" w:eastAsia="宋体" w:hAnsi="Calibri" w:hint="eastAsia"/>
          <w:lang w:eastAsia="zh-CN"/>
        </w:rPr>
        <w:t>（5）自基金份额发售之日起三个月内，基金合同未达到法定生效条件，则基金合同不能生效，本基金管理人将承担全部募集费用，并将所募集的资金加计银行同期活期存款利息在募集期结束后30天内退还给基金认购人。</w:t>
      </w:r>
    </w:p>
    <w:p w:rsidR="009E570F" w14:paraId="5B323906" w14:textId="77777777">
      <w:pPr>
        <w:snapToGrid w:val="0"/>
        <w:spacing w:line="360" w:lineRule="auto"/>
        <w:rPr>
          <w:rFonts w:ascii="宋体" w:eastAsia="宋体" w:hAnsi="Calibri"/>
          <w:szCs w:val="21"/>
          <w:lang w:eastAsia="zh-CN"/>
        </w:rPr>
      </w:pPr>
    </w:p>
    <w:p w:rsidR="009E570F" w14:paraId="30C286EE" w14:textId="77777777">
      <w:pPr>
        <w:snapToGrid w:val="0"/>
        <w:spacing w:line="360" w:lineRule="auto"/>
        <w:outlineLvl w:val="0"/>
        <w:rPr>
          <w:rStyle w:val="big1"/>
          <w:rFonts w:ascii="宋体" w:eastAsia="宋体" w:hAnsi="Calibri"/>
          <w:b/>
          <w:bCs/>
          <w:spacing w:val="0"/>
          <w:sz w:val="21"/>
          <w:szCs w:val="21"/>
          <w:lang w:eastAsia="zh-CN"/>
        </w:rPr>
      </w:pPr>
      <w:r>
        <w:rPr>
          <w:rStyle w:val="big1"/>
          <w:rFonts w:ascii="宋体" w:eastAsia="宋体" w:hAnsi="Calibri" w:hint="eastAsia"/>
          <w:b/>
          <w:bCs/>
          <w:spacing w:val="0"/>
          <w:sz w:val="21"/>
          <w:szCs w:val="21"/>
          <w:lang w:eastAsia="zh-CN"/>
        </w:rPr>
        <w:t>二</w:t>
      </w:r>
      <w:r>
        <w:rPr>
          <w:rStyle w:val="big1"/>
          <w:rFonts w:ascii="宋体" w:eastAsia="宋体" w:hAnsi="Calibri"/>
          <w:b/>
          <w:bCs/>
          <w:spacing w:val="0"/>
          <w:sz w:val="21"/>
          <w:szCs w:val="21"/>
          <w:lang w:eastAsia="zh-CN"/>
        </w:rPr>
        <w:t>、认购</w:t>
      </w:r>
      <w:r>
        <w:rPr>
          <w:rStyle w:val="big1"/>
          <w:rFonts w:ascii="宋体" w:eastAsia="宋体" w:hAnsi="Calibri" w:hint="eastAsia"/>
          <w:b/>
          <w:bCs/>
          <w:spacing w:val="0"/>
          <w:sz w:val="21"/>
          <w:szCs w:val="21"/>
          <w:lang w:eastAsia="zh-CN"/>
        </w:rPr>
        <w:t>方式与相关规定</w:t>
      </w:r>
    </w:p>
    <w:p w:rsidR="009E570F" w14:paraId="31BF1395" w14:textId="77777777">
      <w:pPr>
        <w:spacing w:line="360" w:lineRule="auto"/>
        <w:ind w:firstLine="420"/>
        <w:rPr>
          <w:rFonts w:ascii="宋体" w:eastAsia="宋体" w:hAnsi="Calibri"/>
          <w:lang w:eastAsia="zh-CN"/>
        </w:rPr>
      </w:pPr>
      <w:r>
        <w:rPr>
          <w:rFonts w:ascii="宋体" w:eastAsia="宋体" w:hAnsi="Calibri" w:hint="eastAsia"/>
          <w:lang w:eastAsia="zh-CN"/>
        </w:rPr>
        <w:t>1.认购方式</w:t>
      </w:r>
    </w:p>
    <w:p w:rsidR="009E570F" w14:paraId="0A5EFAAC" w14:textId="77777777">
      <w:pPr>
        <w:spacing w:line="360" w:lineRule="auto"/>
        <w:ind w:firstLine="420"/>
        <w:rPr>
          <w:rFonts w:ascii="宋体" w:eastAsia="宋体" w:hAnsi="Calibri"/>
          <w:lang w:eastAsia="zh-CN"/>
        </w:rPr>
      </w:pPr>
      <w:r>
        <w:rPr>
          <w:rFonts w:ascii="宋体" w:eastAsia="宋体" w:hAnsi="Calibri" w:hint="eastAsia"/>
          <w:lang w:eastAsia="zh-CN"/>
        </w:rPr>
        <w:t>本基金认购采取金额认购的方式。</w:t>
      </w:r>
    </w:p>
    <w:p w:rsidR="009E570F" w14:paraId="78C34D28"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2.</w:t>
      </w:r>
      <w:r>
        <w:rPr>
          <w:rFonts w:ascii="宋体" w:eastAsia="宋体" w:hAnsi="Calibri"/>
          <w:lang w:eastAsia="zh-CN"/>
        </w:rPr>
        <w:t>认购费率</w:t>
      </w:r>
      <w:r>
        <w:rPr>
          <w:rStyle w:val="da"/>
          <w:rFonts w:ascii="宋体" w:eastAsia="宋体" w:hAnsi="Calibri"/>
          <w:highlight w:val="white"/>
          <w:lang w:eastAsia="zh-CN"/>
        </w:rPr>
        <w:t xml:space="preserve"> </w:t>
      </w:r>
    </w:p>
    <w:p w:rsidR="009E570F" w14:paraId="7773EBF7" w14:textId="77777777">
      <w:pPr>
        <w:spacing w:line="360" w:lineRule="auto"/>
        <w:ind w:firstLine="420"/>
        <w:rPr>
          <w:rFonts w:ascii="宋体" w:eastAsia="宋体" w:hAnsi="Calibri" w:cs="宋体"/>
          <w:lang w:eastAsia="zh-CN"/>
        </w:rPr>
      </w:pPr>
      <w:r>
        <w:rPr>
          <w:rStyle w:val="da"/>
          <w:rFonts w:ascii="宋体" w:eastAsia="宋体" w:hAnsi="Calibri" w:cs="宋体" w:hint="eastAsia"/>
          <w:lang w:eastAsia="zh-CN"/>
        </w:rPr>
        <w:t>本基金A类基金份额在认购时</w:t>
      </w:r>
      <w:r>
        <w:rPr>
          <w:rStyle w:val="da"/>
          <w:rFonts w:ascii="宋体" w:hAnsi="宋体" w:cs="宋体" w:hint="eastAsia"/>
          <w:highlight w:val="white"/>
          <w:lang w:eastAsia="zh-CN"/>
        </w:rPr>
        <w:t>按规定</w:t>
      </w:r>
      <w:r>
        <w:rPr>
          <w:rStyle w:val="da"/>
          <w:rFonts w:ascii="宋体" w:hAnsi="Calibri" w:cs="宋体" w:hint="eastAsia"/>
          <w:lang w:eastAsia="zh-CN"/>
        </w:rPr>
        <w:t>收取基金认购费用</w:t>
      </w:r>
      <w:r>
        <w:rPr>
          <w:rFonts w:ascii="宋体" w:hAnsi="Calibri" w:cs="宋体" w:hint="eastAsia"/>
          <w:color w:val="000000"/>
          <w:lang w:eastAsia="zh-CN"/>
        </w:rPr>
        <w:t>。本基金C类基金份额不收取认购费用，在投资者持有期间</w:t>
      </w:r>
      <w:r>
        <w:rPr>
          <w:rFonts w:ascii="宋体" w:hAnsi="宋体" w:cs="宋体" w:hint="eastAsia"/>
          <w:color w:val="000000"/>
          <w:highlight w:val="white"/>
          <w:lang w:eastAsia="zh-CN"/>
        </w:rPr>
        <w:t>计提销售服务费并按规定收取或返还</w:t>
      </w:r>
      <w:r>
        <w:rPr>
          <w:rStyle w:val="da"/>
          <w:rFonts w:ascii="宋体" w:eastAsia="宋体" w:hAnsi="Calibri" w:cs="宋体" w:hint="eastAsia"/>
          <w:lang w:eastAsia="zh-CN"/>
        </w:rPr>
        <w:t>。</w:t>
      </w:r>
    </w:p>
    <w:tbl>
      <w:tblPr>
        <w:tblOverlap w:val="never"/>
        <w:tblW w:w="3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97"/>
        <w:gridCol w:w="2714"/>
      </w:tblGrid>
      <w:tr w14:paraId="1BB27618" w14:textId="77777777">
        <w:tblPrEx>
          <w:tblW w:w="3700" w:type="pct"/>
          <w:jc w:val="center"/>
          <w:tblLook w:val="04A0"/>
        </w:tblPrEx>
        <w:trPr>
          <w:trHeight w:val="299"/>
          <w:jc w:val="center"/>
        </w:trPr>
        <w:tc>
          <w:tcPr>
            <w:tcW w:w="2850" w:type="pct"/>
            <w:tcBorders>
              <w:top w:val="single" w:sz="4" w:space="0" w:color="auto"/>
              <w:left w:val="single" w:sz="4" w:space="0" w:color="auto"/>
              <w:bottom w:val="single" w:sz="4" w:space="0" w:color="auto"/>
              <w:right w:val="single" w:sz="4" w:space="0" w:color="auto"/>
            </w:tcBorders>
          </w:tcPr>
          <w:p w:rsidR="009E570F" w14:paraId="35306D6C" w14:textId="77777777">
            <w:pPr>
              <w:spacing w:line="360" w:lineRule="auto"/>
              <w:jc w:val="center"/>
              <w:rPr>
                <w:rFonts w:ascii="宋体" w:eastAsia="宋体" w:hAnsi="Calibri" w:cs="宋体"/>
                <w:lang w:eastAsia="zh-CN"/>
              </w:rPr>
            </w:pPr>
            <w:r>
              <w:rPr>
                <w:rFonts w:ascii="宋体" w:eastAsia="宋体" w:hAnsi="Calibri" w:cs="宋体" w:hint="eastAsia"/>
                <w:lang w:eastAsia="zh-CN"/>
              </w:rPr>
              <w:t>认购申请金额M（元）（含认购费）</w:t>
            </w:r>
          </w:p>
        </w:tc>
        <w:tc>
          <w:tcPr>
            <w:tcW w:w="2150" w:type="pct"/>
            <w:tcBorders>
              <w:top w:val="single" w:sz="4" w:space="0" w:color="auto"/>
              <w:left w:val="single" w:sz="4" w:space="0" w:color="auto"/>
              <w:bottom w:val="single" w:sz="4" w:space="0" w:color="auto"/>
              <w:right w:val="single" w:sz="4" w:space="0" w:color="auto"/>
            </w:tcBorders>
          </w:tcPr>
          <w:p w:rsidR="009E570F" w14:paraId="1DE2AA78" w14:textId="77777777">
            <w:pPr>
              <w:spacing w:line="360" w:lineRule="auto"/>
              <w:jc w:val="center"/>
              <w:rPr>
                <w:rFonts w:ascii="宋体" w:eastAsia="宋体" w:hAnsi="Calibri" w:cs="宋体"/>
                <w:lang w:eastAsia="zh-CN"/>
              </w:rPr>
            </w:pPr>
            <w:r>
              <w:rPr>
                <w:rStyle w:val="da"/>
                <w:rFonts w:ascii="宋体" w:eastAsia="宋体" w:hAnsi="Calibri" w:cs="宋体" w:hint="eastAsia"/>
                <w:lang w:eastAsia="zh-CN"/>
              </w:rPr>
              <w:t>A类基金份额</w:t>
            </w:r>
            <w:r>
              <w:rPr>
                <w:rFonts w:ascii="宋体" w:eastAsia="宋体" w:hAnsi="Calibri" w:cs="宋体" w:hint="eastAsia"/>
                <w:lang w:eastAsia="zh-CN"/>
              </w:rPr>
              <w:t>认购费率</w:t>
            </w:r>
          </w:p>
        </w:tc>
      </w:tr>
      <w:tr w14:paraId="2FCE7E8A" w14:textId="77777777">
        <w:tblPrEx>
          <w:tblW w:w="3700" w:type="pct"/>
          <w:jc w:val="center"/>
          <w:tblLook w:val="04A0"/>
        </w:tblPrEx>
        <w:trPr>
          <w:trHeight w:val="360"/>
          <w:jc w:val="center"/>
        </w:trPr>
        <w:tc>
          <w:tcPr>
            <w:tcW w:w="2850" w:type="pct"/>
            <w:tcBorders>
              <w:top w:val="single" w:sz="4" w:space="0" w:color="auto"/>
              <w:left w:val="single" w:sz="4" w:space="0" w:color="auto"/>
              <w:bottom w:val="single" w:sz="4" w:space="0" w:color="auto"/>
              <w:right w:val="single" w:sz="4" w:space="0" w:color="auto"/>
            </w:tcBorders>
          </w:tcPr>
          <w:p w:rsidR="009E570F" w14:paraId="2869288C" w14:textId="77777777">
            <w:pPr>
              <w:spacing w:line="360" w:lineRule="auto"/>
              <w:jc w:val="center"/>
              <w:rPr>
                <w:rFonts w:ascii="宋体" w:eastAsia="宋体" w:hAnsi="Calibri" w:cs="宋体"/>
              </w:rPr>
            </w:pPr>
            <w:r>
              <w:rPr>
                <w:rFonts w:ascii="宋体" w:eastAsia="宋体" w:hAnsi="Calibri" w:cs="宋体" w:hint="eastAsia"/>
                <w:bCs/>
                <w:iCs/>
              </w:rPr>
              <w:t>M＜1000万</w:t>
            </w:r>
          </w:p>
        </w:tc>
        <w:tc>
          <w:tcPr>
            <w:tcW w:w="2150" w:type="pct"/>
            <w:tcBorders>
              <w:top w:val="single" w:sz="4" w:space="0" w:color="auto"/>
              <w:left w:val="single" w:sz="4" w:space="0" w:color="auto"/>
              <w:bottom w:val="single" w:sz="4" w:space="0" w:color="auto"/>
              <w:right w:val="single" w:sz="4" w:space="0" w:color="auto"/>
            </w:tcBorders>
          </w:tcPr>
          <w:p w:rsidR="009E570F" w14:paraId="654554AE" w14:textId="77777777">
            <w:pPr>
              <w:spacing w:line="360" w:lineRule="auto"/>
              <w:jc w:val="center"/>
              <w:rPr>
                <w:rFonts w:ascii="宋体" w:eastAsia="宋体" w:hAnsi="Calibri" w:cs="宋体"/>
              </w:rPr>
            </w:pPr>
            <w:r>
              <w:rPr>
                <w:rFonts w:ascii="宋体" w:eastAsia="宋体" w:hAnsi="Calibri" w:cs="宋体" w:hint="eastAsia"/>
                <w:bCs/>
                <w:iCs/>
              </w:rPr>
              <w:t>0.30%</w:t>
            </w:r>
          </w:p>
        </w:tc>
      </w:tr>
      <w:tr w14:paraId="28E6FD5B" w14:textId="77777777">
        <w:tblPrEx>
          <w:tblW w:w="3700" w:type="pct"/>
          <w:jc w:val="center"/>
          <w:tblLook w:val="04A0"/>
        </w:tblPrEx>
        <w:trPr>
          <w:trHeight w:val="360"/>
          <w:jc w:val="center"/>
        </w:trPr>
        <w:tc>
          <w:tcPr>
            <w:tcW w:w="2850" w:type="pct"/>
            <w:tcBorders>
              <w:top w:val="single" w:sz="4" w:space="0" w:color="auto"/>
              <w:left w:val="single" w:sz="4" w:space="0" w:color="auto"/>
              <w:bottom w:val="single" w:sz="4" w:space="0" w:color="auto"/>
              <w:right w:val="single" w:sz="4" w:space="0" w:color="auto"/>
            </w:tcBorders>
          </w:tcPr>
          <w:p w:rsidR="009E570F" w14:paraId="1FD93A1E" w14:textId="77777777">
            <w:pPr>
              <w:spacing w:line="360" w:lineRule="auto"/>
              <w:jc w:val="center"/>
              <w:rPr>
                <w:rFonts w:ascii="宋体" w:eastAsia="宋体" w:hAnsi="Calibri" w:cs="宋体"/>
              </w:rPr>
            </w:pPr>
            <w:r>
              <w:rPr>
                <w:rFonts w:ascii="宋体" w:eastAsia="宋体" w:hAnsi="Calibri" w:cs="宋体" w:hint="eastAsia"/>
                <w:bCs/>
                <w:iCs/>
              </w:rPr>
              <w:t>M≥1000万</w:t>
            </w:r>
          </w:p>
        </w:tc>
        <w:tc>
          <w:tcPr>
            <w:tcW w:w="2150" w:type="pct"/>
            <w:tcBorders>
              <w:top w:val="single" w:sz="4" w:space="0" w:color="auto"/>
              <w:left w:val="single" w:sz="4" w:space="0" w:color="auto"/>
              <w:bottom w:val="single" w:sz="4" w:space="0" w:color="auto"/>
              <w:right w:val="single" w:sz="4" w:space="0" w:color="auto"/>
            </w:tcBorders>
          </w:tcPr>
          <w:p w:rsidR="009E570F" w14:paraId="6B975D66" w14:textId="77777777">
            <w:pPr>
              <w:spacing w:line="360" w:lineRule="auto"/>
              <w:jc w:val="center"/>
              <w:rPr>
                <w:rFonts w:ascii="宋体" w:eastAsia="宋体" w:hAnsi="Calibri" w:cs="宋体"/>
              </w:rPr>
            </w:pPr>
            <w:r>
              <w:rPr>
                <w:rFonts w:ascii="宋体" w:eastAsia="宋体" w:hAnsi="Calibri" w:cs="宋体" w:hint="eastAsia"/>
                <w:bCs/>
                <w:iCs/>
              </w:rPr>
              <w:t>1000元/笔</w:t>
            </w:r>
          </w:p>
        </w:tc>
      </w:tr>
    </w:tbl>
    <w:p w:rsidR="009E570F" w14:paraId="409243BB" w14:textId="77777777">
      <w:pPr>
        <w:spacing w:line="360" w:lineRule="auto"/>
        <w:ind w:firstLine="420" w:firstLineChars="200"/>
        <w:rPr>
          <w:lang w:eastAsia="zh-CN"/>
        </w:rPr>
      </w:pPr>
      <w:r>
        <w:rPr>
          <w:rStyle w:val="da"/>
          <w:rFonts w:ascii="宋体" w:hAnsi="Calibri" w:cs="宋体" w:hint="eastAsia"/>
          <w:lang w:eastAsia="zh-CN"/>
        </w:rPr>
        <w:t>（1）</w:t>
      </w:r>
      <w:r>
        <w:rPr>
          <w:rFonts w:hint="eastAsia"/>
          <w:lang w:eastAsia="zh-CN"/>
        </w:rPr>
        <w:t>投资者通过基金管理人或其基金销售子公司认</w:t>
      </w:r>
      <w:r>
        <w:rPr>
          <w:rFonts w:ascii="宋体" w:hAnsi="宋体" w:hint="eastAsia"/>
          <w:lang w:eastAsia="zh-CN"/>
        </w:rPr>
        <w:t>购本基金A类基金份</w:t>
      </w:r>
      <w:r>
        <w:rPr>
          <w:rFonts w:hint="eastAsia"/>
          <w:lang w:eastAsia="zh-CN"/>
        </w:rPr>
        <w:t>额，不收取认购费用。</w:t>
      </w:r>
    </w:p>
    <w:p w:rsidR="009E570F" w14:paraId="463D3533" w14:textId="77777777">
      <w:pPr>
        <w:spacing w:line="360" w:lineRule="auto"/>
        <w:ind w:firstLine="420"/>
        <w:rPr>
          <w:rFonts w:ascii="宋体" w:eastAsia="宋体" w:hAnsi="Calibri" w:cs="宋体"/>
          <w:lang w:eastAsia="zh-CN"/>
        </w:rPr>
      </w:pPr>
      <w:r>
        <w:rPr>
          <w:rStyle w:val="da"/>
          <w:rFonts w:ascii="宋体" w:hAnsi="Calibri" w:cs="宋体" w:hint="eastAsia"/>
          <w:lang w:eastAsia="zh-CN"/>
        </w:rPr>
        <w:t>（</w:t>
      </w:r>
      <w:r>
        <w:rPr>
          <w:rFonts w:ascii="宋体" w:hAnsi="宋体" w:hint="eastAsia"/>
          <w:highlight w:val="white"/>
          <w:lang w:eastAsia="zh-CN"/>
        </w:rPr>
        <w:t>2</w:t>
      </w:r>
      <w:r>
        <w:rPr>
          <w:rFonts w:ascii="宋体" w:hAnsi="宋体" w:cs="宋体" w:hint="eastAsia"/>
          <w:highlight w:val="white"/>
          <w:lang w:eastAsia="zh-CN"/>
        </w:rPr>
        <w:t>）</w:t>
      </w:r>
      <w:r>
        <w:rPr>
          <w:rFonts w:hint="eastAsia"/>
          <w:lang w:eastAsia="zh-CN"/>
        </w:rPr>
        <w:t>投资者通过其他销售机构</w:t>
      </w:r>
      <w:r>
        <w:rPr>
          <w:rFonts w:ascii="宋体" w:hAnsi="宋体" w:cs="宋体" w:hint="eastAsia"/>
          <w:highlight w:val="white"/>
          <w:lang w:eastAsia="zh-CN"/>
        </w:rPr>
        <w:t>认购本基金</w:t>
      </w:r>
      <w:r>
        <w:rPr>
          <w:rStyle w:val="da"/>
          <w:rFonts w:ascii="宋体" w:hAnsi="宋体" w:hint="eastAsia"/>
          <w:highlight w:val="white"/>
          <w:lang w:eastAsia="zh-CN"/>
        </w:rPr>
        <w:t>A</w:t>
      </w:r>
      <w:r>
        <w:rPr>
          <w:rStyle w:val="da"/>
          <w:rFonts w:ascii="宋体" w:hAnsi="宋体" w:cs="宋体" w:hint="eastAsia"/>
          <w:highlight w:val="white"/>
          <w:lang w:eastAsia="zh-CN"/>
        </w:rPr>
        <w:t>类基金份额的</w:t>
      </w:r>
      <w:r>
        <w:rPr>
          <w:rFonts w:ascii="宋体" w:hAnsi="宋体" w:cs="宋体" w:hint="eastAsia"/>
          <w:highlight w:val="white"/>
          <w:lang w:eastAsia="zh-CN"/>
        </w:rPr>
        <w:t>认购费率见上表。</w:t>
      </w:r>
    </w:p>
    <w:p w:rsidR="009E570F" w14:paraId="352EBE51" w14:textId="77777777">
      <w:pPr>
        <w:shd w:val="clear" w:color="FFFFFF" w:fill="FFFFFF"/>
        <w:spacing w:line="360" w:lineRule="auto"/>
        <w:ind w:firstLine="420"/>
        <w:rPr>
          <w:color w:val="000000"/>
          <w:szCs w:val="21"/>
          <w:lang w:eastAsia="zh-CN"/>
        </w:rPr>
      </w:pPr>
      <w:r>
        <w:rPr>
          <w:rStyle w:val="da"/>
          <w:rFonts w:ascii="宋体" w:eastAsia="宋体" w:hAnsi="Calibri" w:cs="宋体" w:hint="eastAsia"/>
          <w:lang w:eastAsia="zh-CN"/>
        </w:rPr>
        <w:t>募集期投资者可以多次认购本基金，A类基金份额认购费用按每笔A类基金份额认购申请单独计算。</w:t>
      </w:r>
    </w:p>
    <w:p w:rsidR="009E570F" w14:paraId="5D480CA1" w14:textId="77777777">
      <w:pPr>
        <w:shd w:val="clear" w:color="FFFFFF" w:fill="FFFFFF"/>
        <w:spacing w:line="360" w:lineRule="auto"/>
        <w:ind w:firstLine="420"/>
        <w:rPr>
          <w:rFonts w:ascii="宋体" w:eastAsia="宋体" w:hAnsi="Calibri"/>
          <w:sz w:val="24"/>
          <w:lang w:eastAsia="zh-CN"/>
        </w:rPr>
      </w:pPr>
      <w:r>
        <w:rPr>
          <w:rFonts w:ascii="宋体" w:eastAsia="宋体" w:hAnsi="Calibri"/>
          <w:szCs w:val="21"/>
          <w:highlight w:val="white"/>
          <w:lang w:eastAsia="zh-CN"/>
        </w:rPr>
        <w:t xml:space="preserve">本基金A类基金份额按规定收取的认购费用由认购该类基金份额的投资人承担，主要用于本基金的市场推广、销售等募集期间发生的各项费用。 </w:t>
      </w:r>
    </w:p>
    <w:p w:rsidR="009E570F" w14:paraId="30196936" w14:textId="6820B3A9">
      <w:pPr>
        <w:shd w:val="clear" w:color="FFFFFF" w:fill="FFFFFF"/>
        <w:spacing w:line="360" w:lineRule="auto"/>
        <w:ind w:firstLine="420"/>
        <w:rPr>
          <w:rFonts w:ascii="宋体" w:eastAsia="宋体" w:hAnsi="Calibri"/>
          <w:szCs w:val="21"/>
          <w:lang w:eastAsia="zh-CN"/>
        </w:rPr>
      </w:pPr>
      <w:r>
        <w:rPr>
          <w:rFonts w:ascii="宋体" w:eastAsia="宋体" w:hAnsi="Calibri"/>
          <w:szCs w:val="21"/>
          <w:highlight w:val="white"/>
          <w:lang w:eastAsia="zh-CN"/>
        </w:rPr>
        <w:t>本基金C类基金份额不收取认购费用，在投资者持有期间计提销售服务费并按规定收取或返还。</w:t>
      </w:r>
    </w:p>
    <w:p w:rsidR="00DB7A13" w:rsidRPr="00DB7A13" w14:paraId="49995281" w14:textId="7902F1DD">
      <w:pPr>
        <w:shd w:val="clear" w:color="FFFFFF" w:fill="FFFFFF"/>
        <w:spacing w:line="360" w:lineRule="auto"/>
        <w:ind w:firstLine="420"/>
        <w:rPr>
          <w:rFonts w:ascii="宋体" w:eastAsia="宋体" w:hAnsi="Calibri"/>
          <w:sz w:val="21"/>
          <w:szCs w:val="21"/>
          <w:highlight w:val="white"/>
          <w:lang w:eastAsia="zh-CN"/>
        </w:rPr>
      </w:pPr>
      <w:r w:rsidRPr="00DB7A13">
        <w:rPr>
          <w:rFonts w:ascii="宋体" w:eastAsia="宋体" w:hAnsi="Calibri" w:hint="eastAsia"/>
          <w:sz w:val="21"/>
          <w:szCs w:val="21"/>
          <w:highlight w:val="white"/>
          <w:lang w:eastAsia="zh-CN"/>
        </w:rPr>
        <w:t>本基金暂不开通基金管理人及其基金销售子公司销售本基金C类基金份额，若日后开通，将另行公告。</w:t>
      </w:r>
    </w:p>
    <w:p w:rsidR="009E570F" w14:paraId="59E60599" w14:textId="77777777">
      <w:pPr>
        <w:spacing w:line="360" w:lineRule="auto"/>
        <w:ind w:firstLine="420"/>
        <w:rPr>
          <w:rFonts w:ascii="宋体" w:eastAsia="宋体" w:hAnsi="Calibri"/>
          <w:szCs w:val="21"/>
          <w:lang w:eastAsia="zh-CN"/>
        </w:rPr>
      </w:pPr>
      <w:r>
        <w:rPr>
          <w:rFonts w:ascii="宋体" w:eastAsia="宋体" w:hAnsi="Calibri" w:hint="eastAsia"/>
          <w:szCs w:val="21"/>
          <w:highlight w:val="white"/>
          <w:lang w:eastAsia="zh-CN"/>
        </w:rPr>
        <w:t>3</w:t>
      </w:r>
      <w:r>
        <w:rPr>
          <w:rFonts w:ascii="宋体" w:eastAsia="宋体" w:hAnsi="Calibri"/>
          <w:szCs w:val="21"/>
          <w:highlight w:val="white"/>
          <w:lang w:eastAsia="zh-CN"/>
        </w:rPr>
        <w:t>.认购份额的计算</w:t>
      </w:r>
    </w:p>
    <w:p w:rsidR="009E570F" w14:paraId="68719546"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本基金认购采用金额认购方式。计算公式如下： </w:t>
      </w:r>
    </w:p>
    <w:p w:rsidR="009E570F" w14:paraId="68787E56"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a.若投资人通过除基金管理人及其基金销售子公司以外的销售机构认购本基金A类基金份额，则认购份额的计算公式为：</w:t>
      </w:r>
    </w:p>
    <w:p w:rsidR="009E570F" w14:paraId="71939643"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净认购金额=认购金额/（1+认购费率） </w:t>
      </w:r>
    </w:p>
    <w:p w:rsidR="009E570F" w14:paraId="45F86D31" w14:textId="1AC3570D">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（注：对于认购金额在</w:t>
      </w:r>
      <w:r w:rsidR="00DB7A13">
        <w:rPr>
          <w:rFonts w:ascii="宋体" w:eastAsia="宋体" w:hAnsi="Calibri"/>
          <w:color w:val="000000"/>
          <w:szCs w:val="21"/>
          <w:highlight w:val="white"/>
          <w:lang w:eastAsia="zh-CN"/>
        </w:rPr>
        <w:t>1000</w:t>
      </w:r>
      <w:r>
        <w:rPr>
          <w:rFonts w:ascii="宋体" w:eastAsia="宋体" w:hAnsi="Calibri"/>
          <w:color w:val="000000"/>
          <w:szCs w:val="21"/>
          <w:highlight w:val="white"/>
          <w:lang w:eastAsia="zh-CN"/>
        </w:rPr>
        <w:t>万元（含）以上适用固定金额认购费的认购，净认购金额=认购金额－固定认购费金额）</w:t>
      </w:r>
    </w:p>
    <w:p w:rsidR="009E570F" w14:paraId="6681DD85"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认购费用=认购金额-净认购金额 </w:t>
      </w:r>
    </w:p>
    <w:p w:rsidR="009E570F" w14:paraId="1F1C26AA"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认购份额=（净认购金额+认购利息）/基金份额面值 </w:t>
      </w:r>
    </w:p>
    <w:p w:rsidR="009E570F" w14:paraId="1603F817" w14:textId="24003B40">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例一：某投资人通过除基金管理人及其基金销售子公司以外的销售机构</w:t>
      </w:r>
      <w:r w:rsidR="00DB7A13">
        <w:rPr>
          <w:rFonts w:ascii="宋体" w:eastAsia="宋体" w:hAnsi="Calibri" w:hint="eastAsia"/>
          <w:color w:val="000000"/>
          <w:szCs w:val="21"/>
          <w:highlight w:val="white"/>
          <w:lang w:eastAsia="zh-CN"/>
        </w:rPr>
        <w:t>认购</w:t>
      </w:r>
      <w:r>
        <w:rPr>
          <w:rFonts w:ascii="宋体" w:eastAsia="宋体" w:hAnsi="Calibri"/>
          <w:color w:val="000000"/>
          <w:szCs w:val="21"/>
          <w:highlight w:val="white"/>
          <w:lang w:eastAsia="zh-CN"/>
        </w:rPr>
        <w:t xml:space="preserve">本基金A类基金份额100,000元，认购费率为0.30%，假定该笔有效认购申请金额募集期产生的利息为50元，则可认购A类基金份额为： </w:t>
      </w:r>
    </w:p>
    <w:p w:rsidR="009E570F" w14:paraId="315143E7"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净认购金额＝100,000/（1＋0.30%）＝99,700.90元 </w:t>
      </w:r>
    </w:p>
    <w:p w:rsidR="009E570F" w14:paraId="15A6BB94"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认购费用＝100,000-99,700.90＝299.10元 </w:t>
      </w:r>
    </w:p>
    <w:p w:rsidR="009E570F" w14:paraId="3876DB42"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认购份额＝（99,700.90＋50）/1.00＝99,750.90份</w:t>
      </w:r>
    </w:p>
    <w:p w:rsidR="009E570F" w14:paraId="42C6392F" w14:textId="147D5591">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即：</w:t>
      </w:r>
      <w:r w:rsidRPr="00DB7A13" w:rsidR="00DB7A13">
        <w:rPr>
          <w:rFonts w:ascii="宋体" w:eastAsia="宋体" w:hAnsi="Calibri" w:hint="eastAsia"/>
          <w:color w:val="000000"/>
          <w:szCs w:val="21"/>
          <w:lang w:eastAsia="zh-CN"/>
        </w:rPr>
        <w:t>该投资人通过除基金管理人及其基金销售子公司以外的销售机构认购本基金A类基金份额100,000元</w:t>
      </w:r>
      <w:r>
        <w:rPr>
          <w:rFonts w:ascii="宋体" w:eastAsia="宋体" w:hAnsi="Calibri"/>
          <w:color w:val="000000"/>
          <w:szCs w:val="21"/>
          <w:highlight w:val="white"/>
          <w:lang w:eastAsia="zh-CN"/>
        </w:rPr>
        <w:t xml:space="preserve">，假定该笔有效认购申请金额募集期产生的利息为50元，可得到99,750.90份A类基金份额。 </w:t>
      </w:r>
    </w:p>
    <w:p w:rsidR="009E570F" w14:paraId="498CA17B"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b.若投资人选择认购本基金C类基金份额，或者通过基金管理人或其基金销售子公司认购本基金A类基金份额，则认购份额的计算公式为：</w:t>
      </w:r>
    </w:p>
    <w:p w:rsidR="009E570F" w14:paraId="331BCA9E"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认购份额=(认购金额+认购利息)/基金份额面值 </w:t>
      </w:r>
    </w:p>
    <w:p w:rsidR="009E570F" w14:paraId="4C38EE8F" w14:textId="38687A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例二：某投资人</w:t>
      </w:r>
      <w:r w:rsidR="00DB7A13">
        <w:rPr>
          <w:rFonts w:ascii="宋体" w:eastAsia="宋体" w:hAnsi="Calibri" w:hint="eastAsia"/>
          <w:color w:val="000000"/>
          <w:szCs w:val="21"/>
          <w:highlight w:val="white"/>
          <w:lang w:eastAsia="zh-CN"/>
        </w:rPr>
        <w:t>认购</w:t>
      </w:r>
      <w:r>
        <w:rPr>
          <w:rFonts w:ascii="宋体" w:eastAsia="宋体" w:hAnsi="Calibri"/>
          <w:color w:val="000000"/>
          <w:szCs w:val="21"/>
          <w:highlight w:val="white"/>
          <w:lang w:eastAsia="zh-CN"/>
        </w:rPr>
        <w:t xml:space="preserve">本基金C类基金份额100,000元，假定该笔有效认购申请金额募集期产生的利息为50元，则可认购C类基金份额为： </w:t>
      </w:r>
    </w:p>
    <w:p w:rsidR="009E570F" w14:paraId="3F24B1A6"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 xml:space="preserve">认购份额＝(100,000＋50)/1.00＝100,050.00份 </w:t>
      </w:r>
    </w:p>
    <w:p w:rsidR="009E570F" w14:paraId="7DC01501" w14:textId="77777777">
      <w:pPr>
        <w:shd w:val="clear" w:color="FFFFFF" w:fill="FFFFFF"/>
        <w:spacing w:line="360" w:lineRule="auto"/>
        <w:ind w:firstLine="420"/>
        <w:rPr>
          <w:rFonts w:ascii="宋体" w:eastAsia="宋体" w:hAnsi="Calibri"/>
          <w:sz w:val="24"/>
          <w:lang w:eastAsia="zh-CN"/>
        </w:rPr>
      </w:pPr>
      <w:r>
        <w:rPr>
          <w:rFonts w:ascii="宋体" w:eastAsia="宋体" w:hAnsi="Calibri"/>
          <w:color w:val="000000"/>
          <w:szCs w:val="21"/>
          <w:highlight w:val="white"/>
          <w:lang w:eastAsia="zh-CN"/>
        </w:rPr>
        <w:t>即：该投资人投资100,000元认购本基金C类基金份额，假定该笔有效认购申请金额募集期产生的利息为50元，可得到100,050.00份C类基金份额。</w:t>
      </w:r>
    </w:p>
    <w:p w:rsidR="009E570F" w14:paraId="4CF2B030" w14:textId="77777777">
      <w:pPr>
        <w:pStyle w:val="NormalWeb"/>
        <w:widowControl w:val="0"/>
        <w:shd w:val="clear" w:color="FFFFFF" w:fill="FFFFFF"/>
        <w:spacing w:before="0" w:beforeAutospacing="0" w:after="0" w:afterAutospacing="0" w:line="360" w:lineRule="auto"/>
        <w:ind w:firstLine="420"/>
        <w:jc w:val="both"/>
        <w:rPr>
          <w:rFonts w:eastAsia="宋体" w:hAnsi="Calibri"/>
          <w:lang w:eastAsia="zh-CN"/>
        </w:rPr>
      </w:pPr>
      <w:r>
        <w:rPr>
          <w:rFonts w:eastAsia="宋体" w:hAnsi="Calibri" w:hint="eastAsia"/>
          <w:sz w:val="21"/>
          <w:szCs w:val="21"/>
          <w:highlight w:val="white"/>
          <w:lang w:eastAsia="zh-CN"/>
        </w:rPr>
        <w:t>认购份额的计算中涉及金额的计算结果均以人民币元为单位，四舍五入，保留小数点后2位；认购份数采取四舍五入的方法保留小数点后2位，由此产生的误差计入基金财产。认购费用不属于基金资产。</w:t>
      </w:r>
    </w:p>
    <w:p w:rsidR="009E570F" w14:paraId="155DFFC6" w14:textId="77777777">
      <w:pPr>
        <w:spacing w:line="360" w:lineRule="auto"/>
        <w:ind w:firstLine="420"/>
        <w:rPr>
          <w:rFonts w:ascii="宋体" w:eastAsia="宋体" w:hAnsi="Calibri"/>
          <w:highlight w:val="white"/>
          <w:lang w:eastAsia="zh-CN"/>
        </w:rPr>
      </w:pPr>
      <w:r>
        <w:rPr>
          <w:rFonts w:ascii="宋体" w:eastAsia="宋体" w:hAnsi="Calibri"/>
          <w:highlight w:val="white"/>
          <w:lang w:eastAsia="zh-CN"/>
        </w:rPr>
        <w:t>4.</w:t>
      </w:r>
      <w:r>
        <w:rPr>
          <w:rFonts w:ascii="宋体" w:eastAsia="宋体" w:hAnsi="Calibri" w:hint="eastAsia"/>
          <w:highlight w:val="white"/>
          <w:lang w:eastAsia="zh-CN"/>
        </w:rPr>
        <w:t>募集期利息的处理方式</w:t>
      </w:r>
    </w:p>
    <w:p w:rsidR="009E570F" w14:paraId="522A1CB4" w14:textId="77777777">
      <w:pPr>
        <w:spacing w:line="360" w:lineRule="auto"/>
        <w:ind w:firstLine="420"/>
        <w:rPr>
          <w:rFonts w:ascii="宋体" w:eastAsia="宋体" w:hAnsi="Calibri"/>
          <w:highlight w:val="white"/>
          <w:lang w:eastAsia="zh-CN"/>
        </w:rPr>
      </w:pPr>
      <w:r>
        <w:rPr>
          <w:rFonts w:ascii="宋体" w:eastAsia="宋体" w:hAnsi="Calibri" w:hint="eastAsia"/>
          <w:highlight w:val="white"/>
          <w:lang w:eastAsia="zh-CN"/>
        </w:rPr>
        <w:t>有效认购款项在募集期间产生的利息将折算为基金份额归基金份额持有人所有，其中利息转份额的数额以登记机构的记录为准。</w:t>
      </w:r>
    </w:p>
    <w:p w:rsidR="009E570F" w14:paraId="349C1410" w14:textId="77777777">
      <w:pPr>
        <w:spacing w:line="360" w:lineRule="auto"/>
        <w:ind w:firstLine="420"/>
        <w:rPr>
          <w:rFonts w:ascii="宋体" w:eastAsia="宋体" w:hAnsi="Calibri"/>
          <w:highlight w:val="white"/>
          <w:lang w:eastAsia="zh-CN"/>
        </w:rPr>
      </w:pPr>
      <w:r>
        <w:rPr>
          <w:rFonts w:ascii="宋体" w:eastAsia="宋体" w:hAnsi="Calibri"/>
          <w:szCs w:val="21"/>
          <w:highlight w:val="white"/>
          <w:lang w:eastAsia="zh-CN"/>
        </w:rPr>
        <w:t>5.</w:t>
      </w:r>
      <w:r>
        <w:rPr>
          <w:rFonts w:ascii="宋体" w:eastAsia="宋体" w:hAnsi="Calibri" w:hint="eastAsia"/>
          <w:highlight w:val="white"/>
          <w:lang w:eastAsia="zh-CN"/>
        </w:rPr>
        <w:t>认购的确认</w:t>
      </w:r>
      <w:r>
        <w:rPr>
          <w:rFonts w:ascii="宋体" w:eastAsia="宋体" w:hAnsi="Calibri"/>
          <w:highlight w:val="white"/>
          <w:lang w:eastAsia="zh-CN"/>
        </w:rPr>
        <w:t xml:space="preserve"> </w:t>
      </w:r>
    </w:p>
    <w:p w:rsidR="009E570F" w14:paraId="62BA6827" w14:textId="77777777">
      <w:pPr>
        <w:spacing w:line="360" w:lineRule="auto"/>
        <w:ind w:firstLine="420"/>
        <w:rPr>
          <w:rFonts w:ascii="宋体" w:eastAsia="宋体" w:hAnsi="Calibri"/>
          <w:highlight w:val="white"/>
          <w:lang w:eastAsia="zh-CN"/>
        </w:rPr>
      </w:pPr>
      <w:r>
        <w:rPr>
          <w:rFonts w:ascii="宋体" w:eastAsia="宋体" w:hAnsi="Calibri" w:hint="eastAsia"/>
          <w:highlight w:val="white"/>
          <w:lang w:eastAsia="zh-CN"/>
        </w:rPr>
        <w:t>当日（T日）在规定时间内提交的申请，投资人通常可在T+2日后（包括该日）到基金销售网点查询交易情况。销售机构对投资人认购申请的受理并不表示对该申请的成功确认，而仅代表销售机构确实收到了认购申请。申请是否有效应以基金登记机构的确认登记为准。</w:t>
      </w:r>
    </w:p>
    <w:p w:rsidR="009E570F" w14:paraId="243A7ECE" w14:textId="77777777">
      <w:pPr>
        <w:spacing w:line="360" w:lineRule="auto"/>
        <w:ind w:firstLine="420"/>
        <w:rPr>
          <w:rFonts w:ascii="宋体" w:eastAsia="宋体" w:hAnsi="Calibri"/>
          <w:highlight w:val="white"/>
          <w:lang w:eastAsia="zh-CN"/>
        </w:rPr>
      </w:pPr>
      <w:r>
        <w:rPr>
          <w:rFonts w:ascii="宋体" w:eastAsia="宋体" w:hAnsi="Calibri"/>
          <w:highlight w:val="white"/>
          <w:lang w:eastAsia="zh-CN"/>
        </w:rPr>
        <w:t>6.</w:t>
      </w:r>
      <w:r>
        <w:rPr>
          <w:rFonts w:ascii="宋体" w:eastAsia="宋体" w:hAnsi="Calibri" w:hint="eastAsia"/>
          <w:highlight w:val="white"/>
          <w:lang w:eastAsia="zh-CN"/>
        </w:rPr>
        <w:t>按有关规定，基金合同生效前的信息披露费用、会计师费、律师费以及其他费用，不从基金财产中列支。</w:t>
      </w:r>
    </w:p>
    <w:p w:rsidR="009E570F" w14:paraId="731F681E" w14:textId="77777777">
      <w:pPr>
        <w:spacing w:line="360" w:lineRule="auto"/>
        <w:ind w:firstLine="420"/>
        <w:rPr>
          <w:rFonts w:ascii="宋体" w:eastAsia="宋体" w:hAnsi="Calibri"/>
          <w:highlight w:val="white"/>
          <w:lang w:eastAsia="zh-CN"/>
        </w:rPr>
      </w:pPr>
      <w:r>
        <w:rPr>
          <w:rFonts w:ascii="宋体" w:eastAsia="宋体" w:hAnsi="Calibri"/>
          <w:highlight w:val="white"/>
          <w:lang w:eastAsia="zh-CN"/>
        </w:rPr>
        <w:t>7.</w:t>
      </w:r>
      <w:r>
        <w:rPr>
          <w:rFonts w:ascii="宋体" w:eastAsia="宋体" w:hAnsi="Calibri" w:hint="eastAsia"/>
          <w:highlight w:val="white"/>
          <w:lang w:eastAsia="zh-CN"/>
        </w:rPr>
        <w:t>投资人认购基金份额采用全额缴款的认购方式。投资人认购时，需按销售机构规定的方式全额缴款。投资人在募集期内可以多次认购基金份额</w:t>
      </w:r>
      <w:r>
        <w:rPr>
          <w:rFonts w:hint="eastAsia"/>
          <w:highlight w:val="white"/>
          <w:lang w:eastAsia="zh-CN"/>
        </w:rPr>
        <w:t>。对于</w:t>
      </w:r>
      <w:r>
        <w:rPr>
          <w:rFonts w:ascii="宋体" w:hAnsi="宋体" w:cs="宋体" w:hint="eastAsia"/>
          <w:szCs w:val="21"/>
          <w:lang w:eastAsia="zh-CN"/>
        </w:rPr>
        <w:t>通过除</w:t>
      </w:r>
      <w:r>
        <w:rPr>
          <w:rFonts w:hint="eastAsia"/>
          <w:lang w:eastAsia="zh-CN"/>
        </w:rPr>
        <w:t>基金</w:t>
      </w:r>
      <w:r>
        <w:rPr>
          <w:lang w:eastAsia="zh-CN"/>
        </w:rPr>
        <w:t>管理人及</w:t>
      </w:r>
      <w:r>
        <w:rPr>
          <w:rFonts w:hint="eastAsia"/>
          <w:lang w:eastAsia="zh-CN"/>
        </w:rPr>
        <w:t>其</w:t>
      </w:r>
      <w:r>
        <w:rPr>
          <w:lang w:eastAsia="zh-CN"/>
        </w:rPr>
        <w:t>基金销售子公司以外的销售机构认购的</w:t>
      </w:r>
      <w:r>
        <w:rPr>
          <w:rFonts w:ascii="宋体" w:eastAsia="宋体" w:hAnsi="Calibri"/>
          <w:highlight w:val="white"/>
          <w:lang w:eastAsia="zh-CN"/>
        </w:rPr>
        <w:t>A</w:t>
      </w:r>
      <w:r>
        <w:rPr>
          <w:rFonts w:ascii="宋体" w:eastAsia="宋体" w:hAnsi="Calibri" w:hint="eastAsia"/>
          <w:highlight w:val="white"/>
          <w:lang w:eastAsia="zh-CN"/>
        </w:rPr>
        <w:t>类基金份额，认购费按每笔</w:t>
      </w:r>
      <w:r>
        <w:rPr>
          <w:rFonts w:ascii="宋体" w:eastAsia="宋体" w:hAnsi="Calibri"/>
          <w:highlight w:val="white"/>
          <w:lang w:eastAsia="zh-CN"/>
        </w:rPr>
        <w:t>A</w:t>
      </w:r>
      <w:r>
        <w:rPr>
          <w:rFonts w:ascii="宋体" w:eastAsia="宋体" w:hAnsi="Calibri" w:hint="eastAsia"/>
          <w:highlight w:val="white"/>
          <w:lang w:eastAsia="zh-CN"/>
        </w:rPr>
        <w:t>类基金份额认购申请单独计算。</w:t>
      </w:r>
      <w:r>
        <w:rPr>
          <w:rFonts w:ascii="宋体" w:eastAsia="宋体" w:hAnsi="Calibri"/>
          <w:highlight w:val="white"/>
          <w:lang w:eastAsia="zh-CN"/>
        </w:rPr>
        <w:t>登记机构一旦确认认购份额，将不再办理撤销</w:t>
      </w:r>
      <w:r>
        <w:rPr>
          <w:rFonts w:ascii="宋体" w:eastAsia="宋体" w:hAnsi="Calibri" w:hint="eastAsia"/>
          <w:highlight w:val="white"/>
          <w:lang w:eastAsia="zh-CN"/>
        </w:rPr>
        <w:t>。</w:t>
      </w:r>
    </w:p>
    <w:p w:rsidR="009E570F" w14:paraId="16EA4B73" w14:textId="77777777">
      <w:pPr>
        <w:snapToGrid w:val="0"/>
        <w:spacing w:line="360" w:lineRule="auto"/>
        <w:rPr>
          <w:rStyle w:val="big1"/>
          <w:rFonts w:ascii="宋体" w:eastAsia="宋体" w:hAnsi="Calibri"/>
          <w:b/>
          <w:bCs/>
          <w:sz w:val="21"/>
          <w:szCs w:val="21"/>
          <w:lang w:eastAsia="zh-CN"/>
        </w:rPr>
      </w:pPr>
    </w:p>
    <w:p w:rsidR="009E570F" w14:paraId="355D3AB1" w14:textId="77777777">
      <w:pPr>
        <w:snapToGrid w:val="0"/>
        <w:spacing w:line="360" w:lineRule="auto"/>
        <w:outlineLvl w:val="0"/>
        <w:rPr>
          <w:rStyle w:val="big1"/>
          <w:rFonts w:ascii="宋体" w:eastAsia="宋体" w:hAnsi="Calibri"/>
          <w:b/>
          <w:bCs/>
          <w:spacing w:val="0"/>
          <w:sz w:val="21"/>
          <w:szCs w:val="21"/>
          <w:lang w:eastAsia="zh-CN"/>
        </w:rPr>
      </w:pPr>
      <w:r>
        <w:rPr>
          <w:rStyle w:val="big1"/>
          <w:rFonts w:ascii="宋体" w:eastAsia="宋体" w:hAnsi="Calibri" w:hint="eastAsia"/>
          <w:b/>
          <w:bCs/>
          <w:spacing w:val="0"/>
          <w:sz w:val="21"/>
          <w:szCs w:val="21"/>
          <w:lang w:eastAsia="zh-CN"/>
        </w:rPr>
        <w:t>三</w:t>
      </w:r>
      <w:r>
        <w:rPr>
          <w:rStyle w:val="big1"/>
          <w:rFonts w:ascii="宋体" w:eastAsia="宋体" w:hAnsi="Calibri"/>
          <w:b/>
          <w:bCs/>
          <w:spacing w:val="0"/>
          <w:sz w:val="21"/>
          <w:szCs w:val="21"/>
          <w:lang w:eastAsia="zh-CN"/>
        </w:rPr>
        <w:t>、</w:t>
      </w:r>
      <w:r>
        <w:rPr>
          <w:rStyle w:val="big1"/>
          <w:rFonts w:ascii="宋体" w:eastAsia="宋体" w:hAnsi="Calibri" w:hint="eastAsia"/>
          <w:b/>
          <w:bCs/>
          <w:spacing w:val="0"/>
          <w:sz w:val="21"/>
          <w:szCs w:val="21"/>
          <w:lang w:eastAsia="zh-CN"/>
        </w:rPr>
        <w:t>机构投资者的开户与认购程序</w:t>
      </w:r>
    </w:p>
    <w:p w:rsidR="009E570F" w14:paraId="54A16FD1" w14:textId="77777777">
      <w:pPr>
        <w:numPr>
          <w:ilvl w:val="5"/>
          <w:numId w:val="3"/>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spacing w:val="0"/>
          <w:sz w:val="21"/>
          <w:szCs w:val="21"/>
        </w:rPr>
        <w:t>注意事项</w:t>
      </w:r>
    </w:p>
    <w:p w:rsidR="009E570F" w14:paraId="504B84C2" w14:textId="77777777">
      <w:pPr>
        <w:numPr>
          <w:ilvl w:val="0"/>
          <w:numId w:val="6"/>
        </w:numPr>
        <w:tabs>
          <w:tab w:val="num" w:pos="709"/>
          <w:tab w:val="clear" w:pos="927"/>
        </w:tabs>
        <w:snapToGrid w:val="0"/>
        <w:spacing w:line="360" w:lineRule="auto"/>
        <w:ind w:firstLine="426"/>
        <w:rPr>
          <w:rFonts w:ascii="宋体" w:eastAsia="宋体" w:hAnsi="Calibri"/>
          <w:szCs w:val="21"/>
          <w:lang w:eastAsia="zh-CN"/>
        </w:rPr>
      </w:pPr>
      <w:r>
        <w:rPr>
          <w:rFonts w:ascii="宋体" w:eastAsia="宋体" w:hAnsi="Calibri" w:hint="eastAsia"/>
          <w:szCs w:val="21"/>
          <w:lang w:eastAsia="zh-CN"/>
        </w:rPr>
        <w:t>机构投资者</w:t>
      </w:r>
      <w:r>
        <w:rPr>
          <w:rFonts w:ascii="宋体" w:eastAsia="宋体" w:hAnsi="Calibri"/>
          <w:szCs w:val="21"/>
          <w:lang w:eastAsia="zh-CN"/>
        </w:rPr>
        <w:t>不得非法利用他人账户或资金进行认购，也不得违规融资或帮助他人违规进行认购</w:t>
      </w:r>
      <w:r>
        <w:rPr>
          <w:rStyle w:val="big1"/>
          <w:rFonts w:ascii="宋体" w:eastAsia="宋体" w:hAnsi="Calibri" w:hint="eastAsia"/>
          <w:sz w:val="21"/>
          <w:szCs w:val="21"/>
          <w:lang w:eastAsia="zh-CN"/>
        </w:rPr>
        <w:t>。</w:t>
      </w:r>
    </w:p>
    <w:p w:rsidR="009E570F" w14:paraId="7C30EC87" w14:textId="77777777">
      <w:pPr>
        <w:numPr>
          <w:ilvl w:val="0"/>
          <w:numId w:val="6"/>
        </w:numPr>
        <w:tabs>
          <w:tab w:val="num" w:pos="709"/>
          <w:tab w:val="clear" w:pos="927"/>
        </w:tabs>
        <w:snapToGrid w:val="0"/>
        <w:spacing w:line="360" w:lineRule="auto"/>
        <w:ind w:firstLine="426"/>
        <w:rPr>
          <w:rFonts w:ascii="宋体" w:eastAsia="宋体" w:hAnsi="Calibri"/>
          <w:szCs w:val="21"/>
          <w:lang w:eastAsia="zh-CN"/>
        </w:rPr>
      </w:pPr>
      <w:r>
        <w:rPr>
          <w:rFonts w:ascii="宋体" w:eastAsia="宋体" w:hAnsi="Calibri" w:hint="eastAsia"/>
          <w:szCs w:val="21"/>
          <w:lang w:eastAsia="zh-CN"/>
        </w:rPr>
        <w:t>机构投资者认购基金可以在非直销销售机构指定的基金销售网点认购，还可以选择到本公司直销中心或通过本公司网上直销系统办理。</w:t>
      </w:r>
    </w:p>
    <w:p w:rsidR="009E570F" w14:paraId="7BEEE004" w14:textId="77777777">
      <w:pPr>
        <w:numPr>
          <w:ilvl w:val="0"/>
          <w:numId w:val="6"/>
        </w:numPr>
        <w:tabs>
          <w:tab w:val="num" w:pos="709"/>
          <w:tab w:val="clear" w:pos="927"/>
        </w:tabs>
        <w:snapToGrid w:val="0"/>
        <w:spacing w:line="360" w:lineRule="auto"/>
        <w:ind w:firstLine="426"/>
        <w:rPr>
          <w:rFonts w:ascii="宋体" w:eastAsia="宋体" w:hAnsi="Calibri"/>
          <w:lang w:eastAsia="zh-CN"/>
        </w:rPr>
      </w:pPr>
      <w:r>
        <w:rPr>
          <w:rFonts w:ascii="宋体" w:eastAsia="宋体" w:hAnsi="Calibri" w:hint="eastAsia"/>
          <w:lang w:eastAsia="zh-CN"/>
        </w:rPr>
        <w:t>投资者不能直接以现金方式认购。</w:t>
      </w:r>
    </w:p>
    <w:p w:rsidR="009E570F" w14:paraId="1614E5BA" w14:textId="77777777">
      <w:pPr>
        <w:numPr>
          <w:ilvl w:val="0"/>
          <w:numId w:val="6"/>
        </w:numPr>
        <w:tabs>
          <w:tab w:val="num" w:pos="709"/>
          <w:tab w:val="clear" w:pos="927"/>
        </w:tabs>
        <w:snapToGrid w:val="0"/>
        <w:spacing w:line="360" w:lineRule="auto"/>
        <w:ind w:firstLine="426"/>
        <w:rPr>
          <w:rFonts w:ascii="宋体" w:eastAsia="宋体" w:hAnsi="Calibri"/>
          <w:lang w:eastAsia="zh-CN"/>
        </w:rPr>
      </w:pPr>
      <w:r>
        <w:rPr>
          <w:rFonts w:ascii="宋体" w:eastAsia="宋体" w:hAnsi="Calibri"/>
          <w:lang w:eastAsia="zh-CN"/>
        </w:rPr>
        <w:t>在</w:t>
      </w:r>
      <w:r>
        <w:rPr>
          <w:rFonts w:ascii="宋体" w:eastAsia="宋体" w:hAnsi="Calibri" w:hint="eastAsia"/>
          <w:lang w:eastAsia="zh-CN"/>
        </w:rPr>
        <w:t>本公司</w:t>
      </w:r>
      <w:r>
        <w:rPr>
          <w:rFonts w:ascii="宋体" w:eastAsia="宋体" w:hAnsi="Calibri"/>
          <w:lang w:eastAsia="zh-CN"/>
        </w:rPr>
        <w:t>直销</w:t>
      </w:r>
      <w:r>
        <w:rPr>
          <w:rFonts w:ascii="宋体" w:eastAsia="宋体" w:hAnsi="Calibri" w:hint="eastAsia"/>
          <w:lang w:eastAsia="zh-CN"/>
        </w:rPr>
        <w:t>中心</w:t>
      </w:r>
      <w:r>
        <w:rPr>
          <w:rFonts w:ascii="宋体" w:eastAsia="宋体" w:hAnsi="Calibri"/>
          <w:lang w:eastAsia="zh-CN"/>
        </w:rPr>
        <w:t>开户的</w:t>
      </w:r>
      <w:r>
        <w:rPr>
          <w:rFonts w:ascii="宋体" w:eastAsia="宋体" w:hAnsi="Calibri" w:hint="eastAsia"/>
          <w:lang w:eastAsia="zh-CN"/>
        </w:rPr>
        <w:t>机构</w:t>
      </w:r>
      <w:r>
        <w:rPr>
          <w:rFonts w:ascii="宋体" w:eastAsia="宋体" w:hAnsi="Calibri"/>
          <w:lang w:eastAsia="zh-CN"/>
        </w:rPr>
        <w:t>投资者必须指定</w:t>
      </w:r>
      <w:r>
        <w:rPr>
          <w:rFonts w:ascii="宋体" w:eastAsia="宋体" w:hAnsi="Calibri" w:hint="eastAsia"/>
          <w:lang w:eastAsia="zh-CN"/>
        </w:rPr>
        <w:t>一个</w:t>
      </w:r>
      <w:r>
        <w:rPr>
          <w:rFonts w:ascii="宋体" w:eastAsia="宋体" w:hAnsi="Calibri"/>
          <w:lang w:eastAsia="zh-CN"/>
        </w:rPr>
        <w:t>银行账户作为投资基金的结算账户，今后投资者赎回、分红及无效认（申）购的资金退款等资金结算均通过此账户进行。</w:t>
      </w:r>
      <w:r>
        <w:rPr>
          <w:rFonts w:ascii="宋体" w:eastAsia="宋体" w:hAnsi="Calibri" w:hint="eastAsia"/>
          <w:lang w:eastAsia="zh-CN"/>
        </w:rPr>
        <w:t>在非直销销售机构的销售网点认购的机构</w:t>
      </w:r>
      <w:r>
        <w:rPr>
          <w:rFonts w:ascii="宋体" w:eastAsia="宋体" w:hAnsi="Calibri"/>
          <w:lang w:eastAsia="zh-CN"/>
        </w:rPr>
        <w:t>投资者</w:t>
      </w:r>
      <w:r>
        <w:rPr>
          <w:rFonts w:ascii="宋体" w:eastAsia="宋体" w:hAnsi="Calibri" w:hint="eastAsia"/>
          <w:lang w:eastAsia="zh-CN"/>
        </w:rPr>
        <w:t>应指定相应的银行活期存款账户或在券商处开立的资金账户</w:t>
      </w:r>
      <w:r>
        <w:rPr>
          <w:rFonts w:ascii="宋体" w:eastAsia="宋体" w:hAnsi="Calibri"/>
          <w:lang w:eastAsia="zh-CN"/>
        </w:rPr>
        <w:t>作为投资基金的唯一结算账户。</w:t>
      </w:r>
    </w:p>
    <w:p w:rsidR="009E570F" w14:paraId="3ABDD62E" w14:textId="77777777">
      <w:pPr>
        <w:numPr>
          <w:ilvl w:val="5"/>
          <w:numId w:val="3"/>
        </w:numPr>
        <w:snapToGrid w:val="0"/>
        <w:spacing w:line="360" w:lineRule="auto"/>
        <w:ind w:left="0" w:firstLine="425"/>
        <w:rPr>
          <w:rStyle w:val="big1"/>
          <w:rFonts w:ascii="宋体" w:eastAsia="宋体" w:hAnsi="Calibri"/>
          <w:spacing w:val="0"/>
          <w:sz w:val="21"/>
          <w:szCs w:val="21"/>
          <w:lang w:eastAsia="zh-CN"/>
        </w:rPr>
      </w:pPr>
      <w:r>
        <w:rPr>
          <w:rStyle w:val="big1"/>
          <w:rFonts w:ascii="宋体" w:eastAsia="宋体" w:hAnsi="Calibri" w:hint="eastAsia"/>
          <w:spacing w:val="0"/>
          <w:sz w:val="21"/>
          <w:szCs w:val="21"/>
          <w:lang w:eastAsia="zh-CN"/>
        </w:rPr>
        <w:t>通过本公司直销中心办理开户和认购的程序：</w:t>
      </w:r>
    </w:p>
    <w:p w:rsidR="009E570F" w14:paraId="1FCE72BD"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业务办理时间：</w:t>
      </w:r>
    </w:p>
    <w:p w:rsidR="009E570F" w14:paraId="4E146FD6" w14:textId="77777777">
      <w:pPr>
        <w:snapToGrid w:val="0"/>
        <w:spacing w:line="360" w:lineRule="auto"/>
        <w:ind w:firstLine="480"/>
        <w:rPr>
          <w:rFonts w:ascii="宋体" w:eastAsia="宋体" w:hAnsi="Calibri"/>
          <w:lang w:eastAsia="zh-CN"/>
        </w:rPr>
      </w:pPr>
      <w:r>
        <w:rPr>
          <w:rFonts w:ascii="宋体" w:eastAsia="宋体" w:hAnsi="Calibri" w:hint="eastAsia"/>
          <w:szCs w:val="21"/>
          <w:lang w:eastAsia="zh-CN"/>
        </w:rPr>
        <w:t>基金发售日的</w:t>
      </w:r>
      <w:r>
        <w:rPr>
          <w:rFonts w:ascii="宋体" w:eastAsia="宋体" w:hAnsi="Calibri" w:hint="eastAsia"/>
          <w:lang w:eastAsia="zh-CN"/>
        </w:rPr>
        <w:t>9:00至16:00（周六、周日</w:t>
      </w:r>
      <w:r>
        <w:rPr>
          <w:rFonts w:ascii="宋体" w:eastAsia="宋体" w:hAnsi="Calibri" w:hint="eastAsia"/>
          <w:szCs w:val="21"/>
          <w:lang w:eastAsia="zh-CN"/>
        </w:rPr>
        <w:t>及法定节假日</w:t>
      </w:r>
      <w:r>
        <w:rPr>
          <w:rFonts w:ascii="宋体" w:eastAsia="宋体" w:hAnsi="Calibri" w:hint="eastAsia"/>
          <w:lang w:eastAsia="zh-CN"/>
        </w:rPr>
        <w:t>除外）</w:t>
      </w:r>
      <w:r>
        <w:rPr>
          <w:rFonts w:ascii="宋体" w:eastAsia="宋体" w:hAnsi="Calibri"/>
          <w:lang w:eastAsia="zh-CN"/>
        </w:rPr>
        <w:t>。</w:t>
      </w:r>
    </w:p>
    <w:p w:rsidR="009E570F" w14:paraId="011340E8"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开立基金账户</w:t>
      </w:r>
    </w:p>
    <w:p w:rsidR="009E570F" w14:paraId="5AADC7CA" w14:textId="77777777">
      <w:pPr>
        <w:snapToGrid w:val="0"/>
        <w:spacing w:line="360" w:lineRule="auto"/>
        <w:ind w:firstLine="480"/>
        <w:rPr>
          <w:rFonts w:ascii="宋体" w:eastAsia="宋体" w:hAnsi="Calibri"/>
          <w:lang w:eastAsia="zh-CN"/>
        </w:rPr>
      </w:pPr>
      <w:r>
        <w:rPr>
          <w:rFonts w:ascii="宋体" w:eastAsia="宋体" w:hAnsi="Calibri" w:hint="eastAsia"/>
          <w:lang w:eastAsia="zh-CN"/>
        </w:rPr>
        <w:t>机构普通投资者申请开立基金账户时应提交下列材料：</w:t>
      </w:r>
    </w:p>
    <w:p w:rsidR="009E570F" w14:paraId="57D68379" w14:textId="77777777">
      <w:pPr>
        <w:snapToGrid w:val="0"/>
        <w:spacing w:line="360" w:lineRule="auto"/>
        <w:ind w:firstLine="480"/>
        <w:rPr>
          <w:rFonts w:ascii="宋体" w:eastAsia="宋体" w:hAnsi="Calibri"/>
          <w:lang w:eastAsia="zh-CN"/>
        </w:rPr>
      </w:pPr>
      <w:r>
        <w:rPr>
          <w:rFonts w:ascii="宋体" w:eastAsia="宋体" w:hAnsi="Calibri" w:hint="eastAsia"/>
          <w:lang w:eastAsia="zh-CN"/>
        </w:rPr>
        <w:t>（</w:t>
      </w:r>
      <w:r>
        <w:rPr>
          <w:rFonts w:ascii="宋体" w:eastAsia="宋体" w:hAnsi="Calibri"/>
          <w:lang w:eastAsia="zh-CN"/>
        </w:rPr>
        <w:t>1</w:t>
      </w:r>
      <w:r>
        <w:rPr>
          <w:rFonts w:ascii="宋体" w:eastAsia="宋体" w:hAnsi="Calibri" w:hint="eastAsia"/>
          <w:lang w:eastAsia="zh-CN"/>
        </w:rPr>
        <w:t>）提供填妥并加盖单位公章和法定代表人（或授权经办人）签章的《开放式基金账户业务申请表》（机构版）；</w:t>
      </w:r>
    </w:p>
    <w:p w:rsidR="009E570F" w14:paraId="5B7E9E42" w14:textId="77777777">
      <w:pPr>
        <w:snapToGrid w:val="0"/>
        <w:spacing w:line="360" w:lineRule="auto"/>
        <w:ind w:firstLine="480"/>
        <w:rPr>
          <w:rFonts w:ascii="宋体" w:eastAsia="宋体" w:hAnsi="Calibri"/>
          <w:lang w:eastAsia="zh-CN"/>
        </w:rPr>
      </w:pPr>
      <w:r>
        <w:rPr>
          <w:rFonts w:ascii="宋体" w:eastAsia="宋体" w:hAnsi="Calibri" w:hint="eastAsia"/>
          <w:lang w:eastAsia="zh-CN"/>
        </w:rPr>
        <w:t>（</w:t>
      </w:r>
      <w:r>
        <w:rPr>
          <w:rFonts w:ascii="宋体" w:eastAsia="宋体" w:hAnsi="Calibri"/>
          <w:lang w:eastAsia="zh-CN"/>
        </w:rPr>
        <w:t>2</w:t>
      </w:r>
      <w:r>
        <w:rPr>
          <w:rFonts w:ascii="宋体" w:eastAsia="宋体" w:hAnsi="Calibri" w:hint="eastAsia"/>
          <w:lang w:eastAsia="zh-CN"/>
        </w:rPr>
        <w:t>）出示营业执照副本或民政部门等颁发的注册登记书原件，提供加盖单位公章的复印件；</w:t>
      </w:r>
    </w:p>
    <w:p w:rsidR="009E570F" w14:paraId="238A39FF" w14:textId="77777777">
      <w:pPr>
        <w:snapToGrid w:val="0"/>
        <w:spacing w:line="360" w:lineRule="auto"/>
        <w:ind w:firstLine="480"/>
        <w:rPr>
          <w:rFonts w:ascii="宋体" w:eastAsia="宋体" w:hAnsi="Calibri"/>
          <w:lang w:eastAsia="zh-CN"/>
        </w:rPr>
      </w:pPr>
      <w:r>
        <w:rPr>
          <w:rFonts w:ascii="宋体" w:eastAsia="宋体" w:hAnsi="Calibri" w:hint="eastAsia"/>
          <w:lang w:eastAsia="zh-CN"/>
        </w:rPr>
        <w:t>（3）提供加盖单位公章或财务章的由银行出具的银行账户证明复印件；</w:t>
      </w:r>
    </w:p>
    <w:p w:rsidR="009E570F" w14:paraId="08DFB452" w14:textId="77777777">
      <w:pPr>
        <w:snapToGrid w:val="0"/>
        <w:spacing w:line="360" w:lineRule="auto"/>
        <w:ind w:firstLine="480"/>
        <w:rPr>
          <w:rFonts w:ascii="宋体" w:eastAsia="宋体" w:hAnsi="Calibri"/>
          <w:lang w:eastAsia="zh-CN"/>
        </w:rPr>
      </w:pPr>
      <w:r>
        <w:rPr>
          <w:rFonts w:ascii="宋体" w:eastAsia="宋体" w:hAnsi="Calibri" w:hint="eastAsia"/>
          <w:lang w:eastAsia="zh-CN"/>
        </w:rPr>
        <w:t>（4）提供填妥并加盖单位公章和法定代表人签章或负责人签章的《基金业务授权委托书（含印鉴卡）》；</w:t>
      </w:r>
    </w:p>
    <w:p w:rsidR="009E570F" w14:paraId="0915689D" w14:textId="77777777">
      <w:pPr>
        <w:snapToGrid w:val="0"/>
        <w:spacing w:line="360" w:lineRule="auto"/>
        <w:ind w:firstLine="480"/>
        <w:rPr>
          <w:rFonts w:ascii="宋体" w:eastAsia="宋体" w:hAnsi="Calibri"/>
          <w:lang w:eastAsia="zh-CN"/>
        </w:rPr>
      </w:pPr>
      <w:r>
        <w:rPr>
          <w:rFonts w:ascii="宋体" w:eastAsia="宋体" w:hAnsi="Calibri" w:hint="eastAsia"/>
          <w:lang w:eastAsia="zh-CN"/>
        </w:rPr>
        <w:t>（5）提供填妥并加盖单位公章的《电子交易协议书》；</w:t>
      </w:r>
    </w:p>
    <w:p w:rsidR="009E570F" w14:paraId="155AF2B4" w14:textId="77777777">
      <w:pPr>
        <w:snapToGrid w:val="0"/>
        <w:spacing w:line="360" w:lineRule="auto"/>
        <w:ind w:firstLine="480"/>
        <w:rPr>
          <w:rFonts w:ascii="宋体" w:eastAsia="宋体" w:hAnsi="Calibri"/>
          <w:lang w:eastAsia="zh-CN"/>
        </w:rPr>
      </w:pPr>
      <w:r>
        <w:rPr>
          <w:rFonts w:ascii="宋体" w:eastAsia="宋体" w:hAnsi="Calibri" w:hint="eastAsia"/>
          <w:lang w:eastAsia="zh-CN"/>
        </w:rPr>
        <w:t>（6）出示经办人的有效身份证原件，提供加盖单位公章的正反面复印件；</w:t>
      </w:r>
    </w:p>
    <w:p w:rsidR="009E570F" w14:paraId="5D1DA88C" w14:textId="77777777">
      <w:pPr>
        <w:snapToGrid w:val="0"/>
        <w:spacing w:line="360" w:lineRule="auto"/>
        <w:ind w:firstLine="480"/>
        <w:rPr>
          <w:rFonts w:ascii="宋体" w:eastAsia="宋体" w:hAnsi="Calibri"/>
          <w:lang w:eastAsia="zh-CN"/>
        </w:rPr>
      </w:pPr>
      <w:r>
        <w:rPr>
          <w:rFonts w:ascii="宋体" w:eastAsia="宋体" w:hAnsi="Calibri" w:hint="eastAsia"/>
          <w:lang w:eastAsia="zh-CN"/>
        </w:rPr>
        <w:t>（7）提供加盖单位公章的法定代表人有效身份证正反面复印件、非自然人客户受益所有人身份证明文件；</w:t>
      </w:r>
    </w:p>
    <w:p w:rsidR="009E570F" w14:paraId="55D7F5CC" w14:textId="77777777">
      <w:pPr>
        <w:snapToGrid w:val="0"/>
        <w:spacing w:line="360" w:lineRule="auto"/>
        <w:ind w:firstLine="480"/>
        <w:rPr>
          <w:rFonts w:ascii="宋体" w:eastAsia="宋体" w:hAnsi="Calibri"/>
          <w:lang w:eastAsia="zh-CN"/>
        </w:rPr>
      </w:pPr>
      <w:r>
        <w:rPr>
          <w:rFonts w:ascii="宋体" w:hAnsi="Calibri" w:hint="eastAsia"/>
          <w:lang w:eastAsia="zh-CN"/>
        </w:rPr>
        <w:t>（8）提供填妥并加盖单位公章和法定代表人签章或经办人签章的《机构投资者风险等级评估问卷》、《投资者风险告知函》；</w:t>
      </w:r>
    </w:p>
    <w:p w:rsidR="009E570F" w14:paraId="58FD8560" w14:textId="77777777">
      <w:pPr>
        <w:snapToGrid w:val="0"/>
        <w:spacing w:line="360" w:lineRule="auto"/>
        <w:ind w:firstLine="480"/>
        <w:rPr>
          <w:rFonts w:ascii="宋体" w:eastAsia="宋体" w:hAnsi="Calibri"/>
          <w:lang w:eastAsia="zh-CN"/>
        </w:rPr>
      </w:pPr>
      <w:r>
        <w:rPr>
          <w:rFonts w:ascii="宋体" w:eastAsia="宋体" w:hAnsi="Calibri" w:hint="eastAsia"/>
          <w:lang w:eastAsia="zh-CN"/>
        </w:rPr>
        <w:t>（9）提供填妥并加盖单位公章和法定代表人签章的《机构税收居民身份声明文件》；若机构类型是消极非金融机构，还需提供填妥并加盖单位公章和控制人签章的《控制人税收居民身份声明文件》。</w:t>
      </w:r>
    </w:p>
    <w:p w:rsidR="009E570F" w14:paraId="10F28DCB" w14:textId="77777777">
      <w:pPr>
        <w:snapToGrid w:val="0"/>
        <w:spacing w:line="360" w:lineRule="auto"/>
        <w:ind w:firstLine="420"/>
        <w:rPr>
          <w:rFonts w:ascii="宋体" w:eastAsia="宋体" w:hAnsi="Calibri"/>
          <w:lang w:eastAsia="zh-CN"/>
        </w:rPr>
      </w:pPr>
      <w:r>
        <w:rPr>
          <w:rFonts w:ascii="宋体" w:eastAsia="宋体" w:hAnsi="Calibri" w:hint="eastAsia"/>
        </w:rPr>
        <w:t>机构专业投资者开户需提供的材料，请参见易方达基金管理有限公司网站</w:t>
      </w:r>
      <w:r>
        <w:rPr>
          <w:rFonts w:ascii="宋体" w:eastAsia="宋体" w:hAnsi="Calibri"/>
        </w:rPr>
        <w:t>(www.efunds.com.cn)</w:t>
      </w:r>
      <w:r>
        <w:rPr>
          <w:rFonts w:ascii="宋体" w:eastAsia="宋体" w:hAnsi="Calibri" w:hint="eastAsia"/>
        </w:rPr>
        <w:t>的《机构客户业务操作指南》。</w:t>
      </w:r>
      <w:r>
        <w:rPr>
          <w:rFonts w:ascii="宋体" w:eastAsia="宋体" w:hAnsi="Calibri" w:hint="eastAsia"/>
          <w:lang w:eastAsia="zh-CN"/>
        </w:rPr>
        <w:t>具体业务办理规则以本公司直销中心的规定为准，</w:t>
      </w:r>
      <w:r>
        <w:rPr>
          <w:rFonts w:ascii="宋体" w:eastAsia="宋体" w:hAnsi="Calibri"/>
          <w:lang w:eastAsia="zh-CN"/>
        </w:rPr>
        <w:t>机构投资者开户资料的填写必须真实、准确，否则由此引起的错误</w:t>
      </w:r>
      <w:r>
        <w:rPr>
          <w:rFonts w:ascii="宋体" w:eastAsia="宋体" w:hAnsi="Calibri" w:hint="eastAsia"/>
          <w:lang w:eastAsia="zh-CN"/>
        </w:rPr>
        <w:t>和损失</w:t>
      </w:r>
      <w:r>
        <w:rPr>
          <w:rFonts w:ascii="宋体" w:eastAsia="宋体" w:hAnsi="Calibri"/>
          <w:lang w:eastAsia="zh-CN"/>
        </w:rPr>
        <w:t>，由投资者自己承担。</w:t>
      </w:r>
    </w:p>
    <w:p w:rsidR="009E570F" w14:paraId="44365706"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提出认购申请</w:t>
      </w:r>
    </w:p>
    <w:p w:rsidR="009E570F" w14:paraId="73B55672" w14:textId="77777777">
      <w:pPr>
        <w:snapToGrid w:val="0"/>
        <w:spacing w:line="360" w:lineRule="auto"/>
        <w:ind w:firstLine="420"/>
        <w:rPr>
          <w:rFonts w:ascii="宋体" w:eastAsia="宋体" w:hAnsi="Calibri"/>
          <w:szCs w:val="21"/>
          <w:lang w:eastAsia="zh-CN"/>
        </w:rPr>
      </w:pPr>
      <w:r>
        <w:rPr>
          <w:rFonts w:ascii="宋体" w:eastAsia="宋体" w:hAnsi="Calibri"/>
          <w:lang w:eastAsia="zh-CN"/>
        </w:rPr>
        <w:t>机构投资者</w:t>
      </w:r>
      <w:r>
        <w:rPr>
          <w:rFonts w:ascii="宋体" w:eastAsia="宋体" w:hAnsi="Calibri" w:hint="eastAsia"/>
          <w:lang w:eastAsia="zh-CN"/>
        </w:rPr>
        <w:t>在直销中心认购应</w:t>
      </w:r>
      <w:r>
        <w:rPr>
          <w:rFonts w:ascii="宋体" w:eastAsia="宋体" w:hAnsi="Calibri"/>
          <w:lang w:eastAsia="zh-CN"/>
        </w:rPr>
        <w:t>提交以下</w:t>
      </w:r>
      <w:r>
        <w:rPr>
          <w:rFonts w:ascii="宋体" w:eastAsia="宋体" w:hAnsi="Calibri" w:hint="eastAsia"/>
          <w:lang w:eastAsia="zh-CN"/>
        </w:rPr>
        <w:t>资</w:t>
      </w:r>
      <w:r>
        <w:rPr>
          <w:rFonts w:ascii="宋体" w:eastAsia="宋体" w:hAnsi="Calibri"/>
          <w:lang w:eastAsia="zh-CN"/>
        </w:rPr>
        <w:t>料：</w:t>
      </w:r>
    </w:p>
    <w:p w:rsidR="009E570F" w14:paraId="0EC24861" w14:textId="77777777">
      <w:pPr>
        <w:snapToGrid w:val="0"/>
        <w:spacing w:line="360" w:lineRule="auto"/>
        <w:ind w:firstLine="420"/>
        <w:rPr>
          <w:rFonts w:ascii="宋体" w:eastAsia="宋体" w:hAnsi="Calibri"/>
          <w:szCs w:val="21"/>
          <w:lang w:eastAsia="zh-CN"/>
        </w:rPr>
      </w:pPr>
      <w:r>
        <w:rPr>
          <w:rFonts w:ascii="宋体" w:hAnsi="Calibri" w:hint="eastAsia"/>
          <w:szCs w:val="21"/>
          <w:lang w:eastAsia="zh-CN"/>
        </w:rPr>
        <w:t>加盖预留印鉴和授权经办人签字的《开放式基金认/申购、赎回、转换等交易业务申请表》一式两份。</w:t>
      </w:r>
    </w:p>
    <w:p w:rsidR="009E570F" w14:paraId="4E5F798B" w14:textId="77777777">
      <w:pPr>
        <w:snapToGrid w:val="0"/>
        <w:spacing w:line="360" w:lineRule="auto"/>
        <w:ind w:firstLine="420"/>
        <w:rPr>
          <w:rFonts w:ascii="宋体" w:eastAsia="宋体" w:hAnsi="Calibri"/>
          <w:lang w:eastAsia="zh-CN"/>
        </w:rPr>
      </w:pPr>
      <w:r>
        <w:rPr>
          <w:rFonts w:ascii="宋体" w:eastAsia="宋体" w:hAnsi="Calibri" w:hint="eastAsia"/>
          <w:lang w:eastAsia="zh-CN"/>
        </w:rPr>
        <w:t>尚未办理开户手续的投资者可提供规定的资料将开户与认购一起办理。</w:t>
      </w:r>
    </w:p>
    <w:p w:rsidR="009E570F" w14:paraId="3FC6AE33"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hint="eastAsia"/>
          <w:szCs w:val="21"/>
        </w:rPr>
        <w:t>投资者提示</w:t>
      </w:r>
    </w:p>
    <w:p w:rsidR="009E570F" w14:paraId="4415B929" w14:textId="77777777">
      <w:pPr>
        <w:snapToGrid w:val="0"/>
        <w:spacing w:line="360" w:lineRule="auto"/>
        <w:ind w:firstLine="420"/>
        <w:rPr>
          <w:rFonts w:ascii="宋体" w:eastAsia="宋体" w:hAnsi="Calibri"/>
          <w:lang w:eastAsia="zh-CN"/>
        </w:rPr>
      </w:pPr>
      <w:r>
        <w:rPr>
          <w:rFonts w:ascii="宋体" w:eastAsia="宋体" w:hAnsi="Calibri"/>
          <w:lang w:eastAsia="zh-CN"/>
        </w:rPr>
        <w:t>请机构投资者尽早向直销</w:t>
      </w:r>
      <w:r>
        <w:rPr>
          <w:rFonts w:ascii="宋体" w:eastAsia="宋体" w:hAnsi="Calibri" w:hint="eastAsia"/>
          <w:lang w:eastAsia="zh-CN"/>
        </w:rPr>
        <w:t>中心</w:t>
      </w:r>
      <w:r>
        <w:rPr>
          <w:rFonts w:ascii="宋体" w:eastAsia="宋体" w:hAnsi="Calibri"/>
          <w:lang w:eastAsia="zh-CN"/>
        </w:rPr>
        <w:t>索取</w:t>
      </w:r>
      <w:r>
        <w:rPr>
          <w:rFonts w:ascii="宋体" w:eastAsia="宋体" w:hAnsi="Calibri" w:hint="eastAsia"/>
          <w:lang w:eastAsia="zh-CN"/>
        </w:rPr>
        <w:t>账户和交易</w:t>
      </w:r>
      <w:r>
        <w:rPr>
          <w:rFonts w:ascii="宋体" w:eastAsia="宋体" w:hAnsi="Calibri"/>
          <w:lang w:eastAsia="zh-CN"/>
        </w:rPr>
        <w:t>申请表。投资者也可从易方达基金管理有限公司的网站(www.</w:t>
      </w:r>
      <w:r>
        <w:rPr>
          <w:rFonts w:ascii="宋体" w:eastAsia="宋体" w:hAnsi="Calibri" w:hint="eastAsia"/>
          <w:lang w:eastAsia="zh-CN"/>
        </w:rPr>
        <w:t>e</w:t>
      </w:r>
      <w:r>
        <w:rPr>
          <w:rFonts w:ascii="宋体" w:eastAsia="宋体" w:hAnsi="Calibri"/>
          <w:lang w:eastAsia="zh-CN"/>
        </w:rPr>
        <w:t>fund</w:t>
      </w:r>
      <w:r>
        <w:rPr>
          <w:rFonts w:ascii="宋体" w:eastAsia="宋体" w:hAnsi="Calibri" w:hint="eastAsia"/>
          <w:lang w:eastAsia="zh-CN"/>
        </w:rPr>
        <w:t>s</w:t>
      </w:r>
      <w:r>
        <w:rPr>
          <w:rFonts w:ascii="宋体" w:eastAsia="宋体" w:hAnsi="Calibri"/>
          <w:lang w:eastAsia="zh-CN"/>
        </w:rPr>
        <w:t>.com</w:t>
      </w:r>
      <w:r>
        <w:rPr>
          <w:rFonts w:ascii="宋体" w:eastAsia="宋体" w:hAnsi="Calibri" w:hint="eastAsia"/>
          <w:lang w:eastAsia="zh-CN"/>
        </w:rPr>
        <w:t>.cn</w:t>
      </w:r>
      <w:r>
        <w:rPr>
          <w:rFonts w:ascii="宋体" w:eastAsia="宋体" w:hAnsi="Calibri"/>
          <w:lang w:eastAsia="zh-CN"/>
        </w:rPr>
        <w:t>)上下载</w:t>
      </w:r>
      <w:r>
        <w:rPr>
          <w:rFonts w:ascii="宋体" w:eastAsia="宋体" w:hAnsi="Calibri" w:hint="eastAsia"/>
          <w:lang w:eastAsia="zh-CN"/>
        </w:rPr>
        <w:t>直销业务申请</w:t>
      </w:r>
      <w:r>
        <w:rPr>
          <w:rFonts w:ascii="宋体" w:eastAsia="宋体" w:hAnsi="Calibri"/>
          <w:lang w:eastAsia="zh-CN"/>
        </w:rPr>
        <w:t>表格，但必须在办理业务时保证提交的材料与下载文件中所要求的格式一致。</w:t>
      </w:r>
    </w:p>
    <w:p w:rsidR="009E570F" w14:paraId="106D438C" w14:textId="77777777">
      <w:pPr>
        <w:numPr>
          <w:ilvl w:val="0"/>
          <w:numId w:val="10"/>
        </w:numPr>
        <w:tabs>
          <w:tab w:val="num" w:pos="709"/>
          <w:tab w:val="clear" w:pos="927"/>
        </w:tabs>
        <w:snapToGrid w:val="0"/>
        <w:spacing w:line="360" w:lineRule="auto"/>
        <w:ind w:firstLine="426"/>
        <w:rPr>
          <w:rFonts w:ascii="宋体" w:eastAsia="宋体" w:hAnsi="Calibri"/>
          <w:szCs w:val="21"/>
          <w:lang w:eastAsia="zh-CN"/>
        </w:rPr>
      </w:pPr>
      <w:r>
        <w:rPr>
          <w:rFonts w:ascii="宋体" w:eastAsia="宋体" w:hAnsi="Calibri"/>
          <w:szCs w:val="21"/>
          <w:lang w:eastAsia="zh-CN"/>
        </w:rPr>
        <w:t>直销</w:t>
      </w:r>
      <w:r>
        <w:rPr>
          <w:rFonts w:ascii="宋体" w:eastAsia="宋体" w:hAnsi="Calibri" w:hint="eastAsia"/>
          <w:szCs w:val="21"/>
          <w:lang w:eastAsia="zh-CN"/>
        </w:rPr>
        <w:t>中心</w:t>
      </w:r>
      <w:r>
        <w:rPr>
          <w:rFonts w:ascii="宋体" w:eastAsia="宋体" w:hAnsi="Calibri"/>
          <w:szCs w:val="21"/>
          <w:lang w:eastAsia="zh-CN"/>
        </w:rPr>
        <w:t>与</w:t>
      </w:r>
      <w:r>
        <w:rPr>
          <w:rFonts w:ascii="宋体" w:eastAsia="宋体" w:hAnsi="Calibri" w:hint="eastAsia"/>
          <w:szCs w:val="21"/>
          <w:lang w:eastAsia="zh-CN"/>
        </w:rPr>
        <w:t>非直销销售机构的销售网点</w:t>
      </w:r>
      <w:r>
        <w:rPr>
          <w:rFonts w:ascii="宋体" w:eastAsia="宋体" w:hAnsi="Calibri"/>
          <w:szCs w:val="21"/>
          <w:lang w:eastAsia="zh-CN"/>
        </w:rPr>
        <w:t>的</w:t>
      </w:r>
      <w:r>
        <w:rPr>
          <w:rFonts w:ascii="宋体" w:eastAsia="宋体" w:hAnsi="Calibri" w:hint="eastAsia"/>
          <w:szCs w:val="21"/>
          <w:lang w:eastAsia="zh-CN"/>
        </w:rPr>
        <w:t>业务</w:t>
      </w:r>
      <w:r>
        <w:rPr>
          <w:rFonts w:ascii="宋体" w:eastAsia="宋体" w:hAnsi="Calibri"/>
          <w:szCs w:val="21"/>
          <w:lang w:eastAsia="zh-CN"/>
        </w:rPr>
        <w:t>申请表不同，投资者请勿混用。</w:t>
      </w:r>
    </w:p>
    <w:p w:rsidR="009E570F" w14:paraId="4AC509AE" w14:textId="77777777">
      <w:pPr>
        <w:numPr>
          <w:ilvl w:val="0"/>
          <w:numId w:val="10"/>
        </w:numPr>
        <w:tabs>
          <w:tab w:val="num" w:pos="709"/>
          <w:tab w:val="clear" w:pos="927"/>
        </w:tabs>
        <w:snapToGrid w:val="0"/>
        <w:spacing w:line="360" w:lineRule="auto"/>
        <w:ind w:firstLine="426"/>
        <w:rPr>
          <w:rFonts w:ascii="宋体" w:eastAsia="宋体" w:hAnsi="Calibri"/>
          <w:szCs w:val="21"/>
        </w:rPr>
      </w:pPr>
      <w:r>
        <w:rPr>
          <w:rFonts w:ascii="宋体" w:eastAsia="宋体" w:hAnsi="Calibri"/>
          <w:szCs w:val="21"/>
        </w:rPr>
        <w:t>直销</w:t>
      </w:r>
      <w:r>
        <w:rPr>
          <w:rFonts w:ascii="宋体" w:eastAsia="宋体" w:hAnsi="Calibri" w:hint="eastAsia"/>
          <w:szCs w:val="21"/>
        </w:rPr>
        <w:t>中心</w:t>
      </w:r>
      <w:r>
        <w:rPr>
          <w:rFonts w:ascii="宋体" w:eastAsia="宋体" w:hAnsi="Calibri"/>
          <w:szCs w:val="21"/>
        </w:rPr>
        <w:t>咨询电话：020</w:t>
      </w:r>
      <w:r>
        <w:rPr>
          <w:rFonts w:ascii="宋体" w:eastAsia="宋体" w:hAnsi="Calibri" w:hint="eastAsia"/>
          <w:szCs w:val="21"/>
        </w:rPr>
        <w:t>-85102506</w:t>
      </w:r>
    </w:p>
    <w:p w:rsidR="009E570F" w14:paraId="04113E6B" w14:textId="77777777">
      <w:pPr>
        <w:numPr>
          <w:ilvl w:val="5"/>
          <w:numId w:val="3"/>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非直销销售机构</w:t>
      </w:r>
    </w:p>
    <w:p w:rsidR="009E570F" w14:paraId="2494390F" w14:textId="77777777">
      <w:pPr>
        <w:snapToGrid w:val="0"/>
        <w:spacing w:line="360" w:lineRule="auto"/>
        <w:ind w:left="568"/>
        <w:rPr>
          <w:rStyle w:val="big1"/>
          <w:rFonts w:ascii="宋体" w:eastAsia="宋体" w:hAnsi="Calibri"/>
          <w:spacing w:val="0"/>
          <w:sz w:val="21"/>
          <w:szCs w:val="21"/>
          <w:lang w:eastAsia="zh-CN"/>
        </w:rPr>
      </w:pPr>
      <w:r>
        <w:rPr>
          <w:rStyle w:val="big1"/>
          <w:rFonts w:ascii="宋体" w:eastAsia="宋体" w:hAnsi="Calibri" w:hint="eastAsia"/>
          <w:spacing w:val="0"/>
          <w:sz w:val="21"/>
          <w:szCs w:val="21"/>
          <w:lang w:eastAsia="zh-CN"/>
        </w:rPr>
        <w:t>机构投资者在非直销销售机构的开户及认购手续以各非直销销售机构的规定为准。</w:t>
      </w:r>
    </w:p>
    <w:p w:rsidR="009E570F" w14:paraId="655DB20A" w14:textId="77777777">
      <w:pPr>
        <w:numPr>
          <w:ilvl w:val="5"/>
          <w:numId w:val="3"/>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缴款方式</w:t>
      </w:r>
    </w:p>
    <w:p w:rsidR="009E570F" w14:paraId="56840F4F" w14:textId="77777777">
      <w:pPr>
        <w:numPr>
          <w:ilvl w:val="0"/>
          <w:numId w:val="9"/>
        </w:numPr>
        <w:tabs>
          <w:tab w:val="num" w:pos="709"/>
          <w:tab w:val="clear" w:pos="927"/>
        </w:tabs>
        <w:snapToGrid w:val="0"/>
        <w:spacing w:line="360" w:lineRule="auto"/>
        <w:ind w:firstLine="426"/>
        <w:rPr>
          <w:rFonts w:ascii="宋体" w:eastAsia="宋体" w:hAnsi="Calibri"/>
          <w:szCs w:val="21"/>
          <w:lang w:eastAsia="zh-CN"/>
        </w:rPr>
      </w:pPr>
      <w:r>
        <w:rPr>
          <w:rFonts w:ascii="宋体" w:eastAsia="宋体" w:hAnsi="Calibri" w:hint="eastAsia"/>
          <w:lang w:eastAsia="zh-CN"/>
        </w:rPr>
        <w:t>通过本公司直销</w:t>
      </w:r>
      <w:r>
        <w:rPr>
          <w:rFonts w:ascii="宋体" w:eastAsia="宋体" w:hAnsi="Calibri" w:hint="eastAsia"/>
          <w:szCs w:val="21"/>
          <w:lang w:eastAsia="zh-CN"/>
        </w:rPr>
        <w:t>中心或网上直销系统认购的机构投资者，则需通过全额缴款的方式缴款，具体方式如下：</w:t>
      </w:r>
    </w:p>
    <w:p w:rsidR="009E570F" w14:paraId="234C3633"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（1）机构投资者应在提出认购申请当日17:00之前，将</w:t>
      </w:r>
      <w:r>
        <w:rPr>
          <w:rFonts w:ascii="宋体" w:eastAsia="宋体" w:hAnsi="Calibri"/>
          <w:szCs w:val="21"/>
          <w:lang w:eastAsia="zh-CN"/>
        </w:rPr>
        <w:t>足额</w:t>
      </w:r>
      <w:r>
        <w:rPr>
          <w:rFonts w:ascii="宋体" w:eastAsia="宋体" w:hAnsi="Calibri" w:hint="eastAsia"/>
          <w:szCs w:val="21"/>
          <w:lang w:eastAsia="zh-CN"/>
        </w:rPr>
        <w:t>认购资金划至本公司</w:t>
      </w:r>
      <w:r>
        <w:rPr>
          <w:rFonts w:ascii="宋体" w:eastAsia="宋体" w:hAnsi="Calibri"/>
          <w:szCs w:val="21"/>
          <w:lang w:eastAsia="zh-CN"/>
        </w:rPr>
        <w:t>在</w:t>
      </w:r>
      <w:r>
        <w:rPr>
          <w:rFonts w:ascii="宋体" w:eastAsia="宋体" w:hAnsi="Calibri" w:hint="eastAsia"/>
          <w:szCs w:val="21"/>
          <w:lang w:eastAsia="zh-CN"/>
        </w:rPr>
        <w:t>中国工商银行、中国银行等开立的直</w:t>
      </w:r>
      <w:r>
        <w:rPr>
          <w:rFonts w:ascii="宋体" w:eastAsia="宋体" w:hAnsi="Calibri"/>
          <w:szCs w:val="21"/>
          <w:lang w:eastAsia="zh-CN"/>
        </w:rPr>
        <w:t>销专户。</w:t>
      </w:r>
    </w:p>
    <w:p w:rsidR="009E570F" w14:paraId="3DC7F69A" w14:textId="77777777">
      <w:pPr>
        <w:snapToGrid w:val="0"/>
        <w:spacing w:line="360" w:lineRule="auto"/>
        <w:ind w:firstLine="420"/>
        <w:rPr>
          <w:rFonts w:ascii="宋体" w:eastAsia="宋体" w:hAnsi="Calibri"/>
          <w:szCs w:val="21"/>
          <w:lang w:eastAsia="zh-CN"/>
        </w:rPr>
      </w:pPr>
      <w:r>
        <w:rPr>
          <w:rFonts w:ascii="宋体" w:eastAsia="宋体" w:hAnsi="Calibri"/>
          <w:szCs w:val="21"/>
          <w:lang w:eastAsia="zh-CN"/>
        </w:rPr>
        <w:t>a.</w:t>
      </w:r>
      <w:r>
        <w:rPr>
          <w:rFonts w:ascii="宋体" w:eastAsia="宋体" w:hAnsi="Calibri" w:hint="eastAsia"/>
          <w:szCs w:val="21"/>
          <w:lang w:eastAsia="zh-CN"/>
        </w:rPr>
        <w:t>户名：易方达基金管理有限公司直销专户</w:t>
      </w:r>
    </w:p>
    <w:p w:rsidR="009E570F" w14:paraId="3B4C5500"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开户银行：中国工商银行股份有限公司广州国际金融城支行</w:t>
      </w:r>
    </w:p>
    <w:p w:rsidR="009E570F" w14:paraId="7A65BFC8"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账号：</w:t>
      </w:r>
      <w:r>
        <w:rPr>
          <w:rFonts w:ascii="宋体" w:eastAsia="宋体" w:hAnsi="Calibri"/>
          <w:szCs w:val="21"/>
          <w:lang w:eastAsia="zh-CN"/>
        </w:rPr>
        <w:t>3602031419200088891</w:t>
      </w:r>
    </w:p>
    <w:p w:rsidR="009E570F" w14:paraId="2C7B533E" w14:textId="77777777">
      <w:pPr>
        <w:snapToGrid w:val="0"/>
        <w:spacing w:line="360" w:lineRule="auto"/>
        <w:ind w:firstLine="420"/>
        <w:rPr>
          <w:rFonts w:ascii="宋体" w:eastAsia="宋体" w:hAnsi="Calibri"/>
          <w:szCs w:val="21"/>
          <w:lang w:eastAsia="zh-CN"/>
        </w:rPr>
      </w:pPr>
      <w:r>
        <w:rPr>
          <w:rFonts w:ascii="宋体" w:eastAsia="宋体" w:hAnsi="Calibri"/>
          <w:szCs w:val="21"/>
          <w:lang w:eastAsia="zh-CN"/>
        </w:rPr>
        <w:t>b.</w:t>
      </w:r>
      <w:r>
        <w:rPr>
          <w:rFonts w:ascii="宋体" w:eastAsia="宋体" w:hAnsi="Calibri" w:hint="eastAsia"/>
          <w:szCs w:val="21"/>
          <w:lang w:eastAsia="zh-CN"/>
        </w:rPr>
        <w:t>户名：易方达基金管理有限公司直销专户</w:t>
      </w:r>
    </w:p>
    <w:p w:rsidR="009E570F" w14:paraId="12354778"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开户银行：中国银行广东省分行</w:t>
      </w:r>
    </w:p>
    <w:p w:rsidR="009E570F" w14:paraId="2103872F"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账号：</w:t>
      </w:r>
      <w:r>
        <w:rPr>
          <w:rFonts w:ascii="宋体" w:eastAsia="宋体" w:hAnsi="Calibri"/>
          <w:szCs w:val="21"/>
          <w:lang w:eastAsia="zh-CN"/>
        </w:rPr>
        <w:t>665257735480</w:t>
      </w:r>
    </w:p>
    <w:p w:rsidR="009E570F" w14:paraId="1F65DF95" w14:textId="77777777">
      <w:pPr>
        <w:snapToGrid w:val="0"/>
        <w:spacing w:line="360" w:lineRule="auto"/>
        <w:ind w:firstLine="422"/>
        <w:rPr>
          <w:rFonts w:ascii="宋体" w:eastAsia="宋体" w:hAnsi="Calibri"/>
          <w:szCs w:val="21"/>
          <w:lang w:eastAsia="zh-CN"/>
        </w:rPr>
      </w:pPr>
      <w:r>
        <w:rPr>
          <w:rFonts w:ascii="宋体" w:eastAsia="宋体" w:hAnsi="Calibri"/>
          <w:szCs w:val="21"/>
          <w:lang w:eastAsia="zh-CN"/>
        </w:rPr>
        <w:t>c.</w:t>
      </w:r>
      <w:r>
        <w:rPr>
          <w:rFonts w:ascii="宋体" w:eastAsia="宋体" w:hAnsi="Calibri" w:hint="eastAsia"/>
          <w:szCs w:val="21"/>
          <w:lang w:eastAsia="zh-CN"/>
        </w:rPr>
        <w:t>其他直销专户信息，请见本公司网站。</w:t>
      </w:r>
    </w:p>
    <w:p w:rsidR="009E570F" w14:paraId="223F11E0" w14:textId="77777777">
      <w:pPr>
        <w:snapToGrid w:val="0"/>
        <w:spacing w:line="360" w:lineRule="auto"/>
        <w:ind w:firstLine="420"/>
        <w:rPr>
          <w:rFonts w:ascii="宋体" w:eastAsia="宋体" w:hAnsi="Calibri"/>
          <w:szCs w:val="21"/>
          <w:lang w:eastAsia="zh-CN"/>
        </w:rPr>
      </w:pPr>
      <w:r>
        <w:rPr>
          <w:rFonts w:ascii="宋体" w:eastAsia="宋体" w:hAnsi="Calibri"/>
          <w:szCs w:val="21"/>
          <w:lang w:eastAsia="zh-CN"/>
        </w:rPr>
        <w:t>投资者若未按上述</w:t>
      </w:r>
      <w:r>
        <w:rPr>
          <w:rFonts w:ascii="宋体" w:eastAsia="宋体" w:hAnsi="Calibri" w:hint="eastAsia"/>
          <w:szCs w:val="21"/>
          <w:lang w:eastAsia="zh-CN"/>
        </w:rPr>
        <w:t>办法</w:t>
      </w:r>
      <w:r>
        <w:rPr>
          <w:rFonts w:ascii="宋体" w:eastAsia="宋体" w:hAnsi="Calibri"/>
          <w:szCs w:val="21"/>
          <w:lang w:eastAsia="zh-CN"/>
        </w:rPr>
        <w:t>划付</w:t>
      </w:r>
      <w:r>
        <w:rPr>
          <w:rFonts w:ascii="宋体" w:eastAsia="宋体" w:hAnsi="Calibri" w:hint="eastAsia"/>
          <w:szCs w:val="21"/>
          <w:lang w:eastAsia="zh-CN"/>
        </w:rPr>
        <w:t>认购款项</w:t>
      </w:r>
      <w:r>
        <w:rPr>
          <w:rFonts w:ascii="宋体" w:eastAsia="宋体" w:hAnsi="Calibri"/>
          <w:szCs w:val="21"/>
          <w:lang w:eastAsia="zh-CN"/>
        </w:rPr>
        <w:t>，造成认购无效的，</w:t>
      </w:r>
      <w:r>
        <w:rPr>
          <w:rFonts w:ascii="宋体" w:eastAsia="宋体" w:hAnsi="Calibri" w:hint="eastAsia"/>
          <w:szCs w:val="21"/>
          <w:lang w:eastAsia="zh-CN"/>
        </w:rPr>
        <w:t>易方达</w:t>
      </w:r>
      <w:r>
        <w:rPr>
          <w:rFonts w:ascii="宋体" w:eastAsia="宋体" w:hAnsi="Calibri"/>
          <w:szCs w:val="21"/>
          <w:lang w:eastAsia="zh-CN"/>
        </w:rPr>
        <w:t>基金管理有限公司及</w:t>
      </w:r>
      <w:r>
        <w:rPr>
          <w:rFonts w:ascii="宋体" w:eastAsia="宋体" w:hAnsi="Calibri" w:hint="eastAsia"/>
          <w:szCs w:val="21"/>
          <w:lang w:eastAsia="zh-CN"/>
        </w:rPr>
        <w:t>直销专户的开户</w:t>
      </w:r>
      <w:r>
        <w:rPr>
          <w:rFonts w:ascii="宋体" w:eastAsia="宋体" w:hAnsi="Calibri"/>
          <w:szCs w:val="21"/>
          <w:lang w:eastAsia="zh-CN"/>
        </w:rPr>
        <w:t>银行不承担任何责任。</w:t>
      </w:r>
    </w:p>
    <w:p w:rsidR="009E570F" w14:paraId="689D816F"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w:t>
      </w:r>
      <w:r>
        <w:rPr>
          <w:rFonts w:ascii="宋体" w:eastAsia="宋体" w:hAnsi="Calibri"/>
          <w:szCs w:val="21"/>
          <w:lang w:eastAsia="zh-CN"/>
        </w:rPr>
        <w:t>2</w:t>
      </w:r>
      <w:r>
        <w:rPr>
          <w:rFonts w:ascii="宋体" w:eastAsia="宋体" w:hAnsi="Calibri" w:hint="eastAsia"/>
          <w:szCs w:val="21"/>
          <w:lang w:eastAsia="zh-CN"/>
        </w:rPr>
        <w:t>）机构投资者在银行填写划款凭证时，请写明用途。</w:t>
      </w:r>
    </w:p>
    <w:p w:rsidR="009E570F" w14:paraId="7D7B6EF7"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3）机构投资者通过本公司直销中心提交认购申请时，可选择当日有效或3天内有效（如果不选则默认为当日有效），对于选择当日有效的申请，资金晚于截止时间到账的，则视为无效申请；对于选择3天内有效的申请，以资金实际到账之日作为有效申请受理日，资金晚于当日截止时间到账的，则次日为有效申请受理日。</w:t>
      </w:r>
    </w:p>
    <w:p w:rsidR="009E570F" w14:paraId="035CEC4D" w14:textId="77777777">
      <w:pPr>
        <w:numPr>
          <w:ilvl w:val="0"/>
          <w:numId w:val="9"/>
        </w:numPr>
        <w:tabs>
          <w:tab w:val="num" w:pos="709"/>
          <w:tab w:val="clear" w:pos="927"/>
        </w:tabs>
        <w:snapToGrid w:val="0"/>
        <w:spacing w:line="360" w:lineRule="auto"/>
        <w:ind w:firstLine="426"/>
        <w:rPr>
          <w:rFonts w:ascii="宋体" w:eastAsia="宋体" w:hAnsi="Calibri"/>
          <w:lang w:eastAsia="zh-CN"/>
        </w:rPr>
      </w:pPr>
      <w:r>
        <w:rPr>
          <w:rFonts w:ascii="宋体" w:eastAsia="宋体" w:hAnsi="Calibri" w:hint="eastAsia"/>
          <w:lang w:eastAsia="zh-CN"/>
        </w:rPr>
        <w:t>通过非直销销售机构认购的机构投资者，需准备足额的认购资金存入指定的资金结算账户，由非直销销售机构扣款。</w:t>
      </w:r>
    </w:p>
    <w:p w:rsidR="009E570F" w14:paraId="1EE1EF1C" w14:textId="77777777">
      <w:pPr>
        <w:numPr>
          <w:ilvl w:val="0"/>
          <w:numId w:val="9"/>
        </w:numPr>
        <w:tabs>
          <w:tab w:val="num" w:pos="709"/>
          <w:tab w:val="clear" w:pos="927"/>
        </w:tabs>
        <w:snapToGrid w:val="0"/>
        <w:spacing w:line="360" w:lineRule="auto"/>
        <w:ind w:firstLine="426"/>
        <w:rPr>
          <w:rFonts w:ascii="宋体" w:eastAsia="宋体" w:hAnsi="Calibri"/>
          <w:lang w:eastAsia="zh-CN"/>
        </w:rPr>
      </w:pPr>
      <w:r>
        <w:rPr>
          <w:rFonts w:ascii="宋体" w:eastAsia="宋体" w:hAnsi="Calibri" w:hint="eastAsia"/>
          <w:lang w:eastAsia="zh-CN"/>
        </w:rPr>
        <w:t>以下情况将被视为无效认购</w:t>
      </w:r>
      <w:r>
        <w:rPr>
          <w:rFonts w:ascii="宋体" w:eastAsia="宋体" w:hAnsi="Calibri"/>
          <w:lang w:eastAsia="zh-CN"/>
        </w:rPr>
        <w:t>，款项</w:t>
      </w:r>
      <w:r>
        <w:rPr>
          <w:rFonts w:ascii="宋体" w:eastAsia="宋体" w:hAnsi="Calibri" w:hint="eastAsia"/>
          <w:lang w:eastAsia="zh-CN"/>
        </w:rPr>
        <w:t>将</w:t>
      </w:r>
      <w:r>
        <w:rPr>
          <w:rFonts w:ascii="宋体" w:eastAsia="宋体" w:hAnsi="Calibri"/>
          <w:lang w:eastAsia="zh-CN"/>
        </w:rPr>
        <w:t>退往投资者</w:t>
      </w:r>
      <w:r>
        <w:rPr>
          <w:rFonts w:ascii="宋体" w:eastAsia="宋体" w:hAnsi="Calibri" w:hint="eastAsia"/>
          <w:lang w:eastAsia="zh-CN"/>
        </w:rPr>
        <w:t>的</w:t>
      </w:r>
      <w:r>
        <w:rPr>
          <w:rFonts w:ascii="宋体" w:eastAsia="宋体" w:hAnsi="Calibri"/>
          <w:lang w:eastAsia="zh-CN"/>
        </w:rPr>
        <w:t>指定</w:t>
      </w:r>
      <w:r>
        <w:rPr>
          <w:rFonts w:ascii="宋体" w:eastAsia="宋体" w:hAnsi="Calibri" w:hint="eastAsia"/>
          <w:lang w:eastAsia="zh-CN"/>
        </w:rPr>
        <w:t>资金结算</w:t>
      </w:r>
      <w:r>
        <w:rPr>
          <w:rFonts w:ascii="宋体" w:eastAsia="宋体" w:hAnsi="Calibri"/>
          <w:lang w:eastAsia="zh-CN"/>
        </w:rPr>
        <w:t>账户：</w:t>
      </w:r>
    </w:p>
    <w:p w:rsidR="009E570F" w14:paraId="5C9ED44B"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（1）</w:t>
      </w:r>
      <w:r>
        <w:rPr>
          <w:rFonts w:ascii="宋体" w:eastAsia="宋体" w:hAnsi="Calibri"/>
          <w:szCs w:val="21"/>
          <w:lang w:eastAsia="zh-CN"/>
        </w:rPr>
        <w:t>投资者</w:t>
      </w:r>
      <w:r>
        <w:rPr>
          <w:rFonts w:ascii="宋体" w:eastAsia="宋体" w:hAnsi="Calibri" w:hint="eastAsia"/>
          <w:szCs w:val="21"/>
          <w:lang w:eastAsia="zh-CN"/>
        </w:rPr>
        <w:t>已缴款</w:t>
      </w:r>
      <w:r>
        <w:rPr>
          <w:rFonts w:ascii="宋体" w:eastAsia="宋体" w:hAnsi="Calibri"/>
          <w:szCs w:val="21"/>
          <w:lang w:eastAsia="zh-CN"/>
        </w:rPr>
        <w:t>，但未办理开户手续或开户不成功的；</w:t>
      </w:r>
    </w:p>
    <w:p w:rsidR="009E570F" w14:paraId="54433A41"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（2）</w:t>
      </w:r>
      <w:r>
        <w:rPr>
          <w:rFonts w:ascii="宋体" w:eastAsia="宋体" w:hAnsi="Calibri"/>
          <w:szCs w:val="21"/>
          <w:lang w:eastAsia="zh-CN"/>
        </w:rPr>
        <w:t>投资者</w:t>
      </w:r>
      <w:r>
        <w:rPr>
          <w:rFonts w:ascii="宋体" w:eastAsia="宋体" w:hAnsi="Calibri" w:hint="eastAsia"/>
          <w:szCs w:val="21"/>
          <w:lang w:eastAsia="zh-CN"/>
        </w:rPr>
        <w:t>已缴款</w:t>
      </w:r>
      <w:r>
        <w:rPr>
          <w:rFonts w:ascii="宋体" w:eastAsia="宋体" w:hAnsi="Calibri"/>
          <w:szCs w:val="21"/>
          <w:lang w:eastAsia="zh-CN"/>
        </w:rPr>
        <w:t>，但未办理认购</w:t>
      </w:r>
      <w:r>
        <w:rPr>
          <w:rFonts w:ascii="宋体" w:eastAsia="宋体" w:hAnsi="Calibri" w:hint="eastAsia"/>
          <w:szCs w:val="21"/>
          <w:lang w:eastAsia="zh-CN"/>
        </w:rPr>
        <w:t>申请或认购申请未被确认</w:t>
      </w:r>
      <w:r>
        <w:rPr>
          <w:rFonts w:ascii="宋体" w:eastAsia="宋体" w:hAnsi="Calibri"/>
          <w:szCs w:val="21"/>
          <w:lang w:eastAsia="zh-CN"/>
        </w:rPr>
        <w:t>的；</w:t>
      </w:r>
    </w:p>
    <w:p w:rsidR="009E570F" w14:paraId="321EB6DE"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（3）</w:t>
      </w:r>
      <w:r>
        <w:rPr>
          <w:rFonts w:ascii="宋体" w:eastAsia="宋体" w:hAnsi="Calibri"/>
          <w:szCs w:val="21"/>
          <w:lang w:eastAsia="zh-CN"/>
        </w:rPr>
        <w:t>投资者</w:t>
      </w:r>
      <w:r>
        <w:rPr>
          <w:rFonts w:ascii="宋体" w:eastAsia="宋体" w:hAnsi="Calibri" w:hint="eastAsia"/>
          <w:szCs w:val="21"/>
          <w:lang w:eastAsia="zh-CN"/>
        </w:rPr>
        <w:t>缴款金额</w:t>
      </w:r>
      <w:r>
        <w:rPr>
          <w:rFonts w:ascii="宋体" w:eastAsia="宋体" w:hAnsi="Calibri"/>
          <w:szCs w:val="21"/>
          <w:lang w:eastAsia="zh-CN"/>
        </w:rPr>
        <w:t>少于其申请的认购金额的；</w:t>
      </w:r>
    </w:p>
    <w:p w:rsidR="009E570F" w14:paraId="5F5A21A9"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（4）投资者缴款时间晚于基金认购结束日本公司截止时间的；</w:t>
      </w:r>
    </w:p>
    <w:p w:rsidR="009E570F" w14:paraId="1FCA4762" w14:textId="77777777">
      <w:pPr>
        <w:snapToGrid w:val="0"/>
        <w:spacing w:line="360" w:lineRule="auto"/>
        <w:ind w:firstLine="420"/>
        <w:rPr>
          <w:rStyle w:val="big1"/>
          <w:rFonts w:ascii="宋体" w:eastAsia="宋体" w:hAnsi="Calibri"/>
          <w:sz w:val="21"/>
          <w:szCs w:val="21"/>
          <w:lang w:eastAsia="zh-CN"/>
        </w:rPr>
      </w:pPr>
      <w:r>
        <w:rPr>
          <w:rFonts w:ascii="宋体" w:eastAsia="宋体" w:hAnsi="Calibri" w:hint="eastAsia"/>
          <w:szCs w:val="21"/>
          <w:lang w:eastAsia="zh-CN"/>
        </w:rPr>
        <w:t>（5）其它导致认购无效的情况。</w:t>
      </w:r>
    </w:p>
    <w:p w:rsidR="009E570F" w14:paraId="2E213F2A" w14:textId="77777777">
      <w:pPr>
        <w:snapToGrid w:val="0"/>
        <w:spacing w:line="360" w:lineRule="auto"/>
        <w:rPr>
          <w:rStyle w:val="big1"/>
          <w:rFonts w:ascii="宋体" w:eastAsia="宋体" w:hAnsi="Calibri"/>
          <w:b/>
          <w:bCs/>
          <w:sz w:val="21"/>
          <w:szCs w:val="21"/>
          <w:lang w:eastAsia="zh-CN"/>
        </w:rPr>
      </w:pPr>
    </w:p>
    <w:p w:rsidR="009E570F" w14:paraId="4C80E973" w14:textId="77777777">
      <w:pPr>
        <w:snapToGrid w:val="0"/>
        <w:spacing w:line="360" w:lineRule="auto"/>
        <w:outlineLvl w:val="0"/>
        <w:rPr>
          <w:rStyle w:val="big1"/>
          <w:rFonts w:ascii="宋体" w:eastAsia="宋体" w:hAnsi="Calibri"/>
          <w:b/>
          <w:bCs/>
          <w:spacing w:val="0"/>
          <w:sz w:val="21"/>
          <w:szCs w:val="21"/>
          <w:lang w:eastAsia="zh-CN"/>
        </w:rPr>
      </w:pPr>
      <w:r>
        <w:rPr>
          <w:rStyle w:val="big1"/>
          <w:rFonts w:ascii="宋体" w:eastAsia="宋体" w:hAnsi="Calibri" w:hint="eastAsia"/>
          <w:b/>
          <w:bCs/>
          <w:spacing w:val="0"/>
          <w:sz w:val="21"/>
          <w:szCs w:val="21"/>
          <w:lang w:eastAsia="zh-CN"/>
        </w:rPr>
        <w:t>四</w:t>
      </w:r>
      <w:r>
        <w:rPr>
          <w:rStyle w:val="big1"/>
          <w:rFonts w:ascii="宋体" w:eastAsia="宋体" w:hAnsi="Calibri"/>
          <w:b/>
          <w:bCs/>
          <w:spacing w:val="0"/>
          <w:sz w:val="21"/>
          <w:szCs w:val="21"/>
          <w:lang w:eastAsia="zh-CN"/>
        </w:rPr>
        <w:t>、</w:t>
      </w:r>
      <w:r>
        <w:rPr>
          <w:rStyle w:val="big1"/>
          <w:rFonts w:ascii="宋体" w:eastAsia="宋体" w:hAnsi="Calibri" w:hint="eastAsia"/>
          <w:b/>
          <w:bCs/>
          <w:spacing w:val="0"/>
          <w:sz w:val="21"/>
          <w:szCs w:val="21"/>
          <w:lang w:eastAsia="zh-CN"/>
        </w:rPr>
        <w:t>个人投资者的开户与</w:t>
      </w:r>
      <w:r>
        <w:rPr>
          <w:rStyle w:val="big1"/>
          <w:rFonts w:ascii="宋体" w:eastAsia="宋体" w:hAnsi="Calibri"/>
          <w:b/>
          <w:bCs/>
          <w:spacing w:val="0"/>
          <w:sz w:val="21"/>
          <w:szCs w:val="21"/>
          <w:lang w:eastAsia="zh-CN"/>
        </w:rPr>
        <w:t>认</w:t>
      </w:r>
      <w:r>
        <w:rPr>
          <w:rStyle w:val="big1"/>
          <w:rFonts w:ascii="宋体" w:eastAsia="宋体" w:hAnsi="Calibri" w:hint="eastAsia"/>
          <w:b/>
          <w:bCs/>
          <w:spacing w:val="0"/>
          <w:sz w:val="21"/>
          <w:szCs w:val="21"/>
          <w:lang w:eastAsia="zh-CN"/>
        </w:rPr>
        <w:t>购程序</w:t>
      </w:r>
    </w:p>
    <w:p w:rsidR="009E570F" w14:paraId="0888CDA7" w14:textId="77777777">
      <w:pPr>
        <w:numPr>
          <w:ilvl w:val="0"/>
          <w:numId w:val="11"/>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spacing w:val="0"/>
          <w:sz w:val="21"/>
          <w:szCs w:val="21"/>
        </w:rPr>
        <w:t>注意事项</w:t>
      </w:r>
    </w:p>
    <w:p w:rsidR="009E570F" w14:paraId="0346303A" w14:textId="77777777">
      <w:pPr>
        <w:numPr>
          <w:ilvl w:val="0"/>
          <w:numId w:val="12"/>
        </w:numPr>
        <w:tabs>
          <w:tab w:val="num" w:pos="709"/>
          <w:tab w:val="clear" w:pos="927"/>
        </w:tabs>
        <w:snapToGrid w:val="0"/>
        <w:spacing w:line="360" w:lineRule="auto"/>
        <w:ind w:firstLine="426"/>
        <w:rPr>
          <w:rFonts w:ascii="宋体" w:eastAsia="宋体" w:hAnsi="Calibri"/>
          <w:lang w:eastAsia="zh-CN"/>
        </w:rPr>
      </w:pPr>
      <w:r>
        <w:rPr>
          <w:rFonts w:ascii="宋体" w:eastAsia="宋体" w:hAnsi="Calibri" w:hint="eastAsia"/>
          <w:lang w:eastAsia="zh-CN"/>
        </w:rPr>
        <w:t>个人投资者不得委托他人代为开户。</w:t>
      </w:r>
    </w:p>
    <w:p w:rsidR="009E570F" w14:paraId="36B4C928" w14:textId="77777777">
      <w:pPr>
        <w:numPr>
          <w:ilvl w:val="0"/>
          <w:numId w:val="12"/>
        </w:numPr>
        <w:tabs>
          <w:tab w:val="num" w:pos="709"/>
          <w:tab w:val="clear" w:pos="927"/>
        </w:tabs>
        <w:snapToGrid w:val="0"/>
        <w:spacing w:line="360" w:lineRule="auto"/>
        <w:ind w:firstLine="426"/>
        <w:rPr>
          <w:rFonts w:ascii="宋体" w:eastAsia="宋体" w:hAnsi="Calibri"/>
          <w:lang w:eastAsia="zh-CN"/>
        </w:rPr>
      </w:pPr>
      <w:r>
        <w:rPr>
          <w:rFonts w:ascii="宋体" w:eastAsia="宋体" w:hAnsi="Calibri"/>
          <w:lang w:eastAsia="zh-CN"/>
        </w:rPr>
        <w:t>个人投资者</w:t>
      </w:r>
      <w:r>
        <w:rPr>
          <w:rFonts w:ascii="宋体" w:eastAsia="宋体" w:hAnsi="Calibri" w:hint="eastAsia"/>
          <w:lang w:eastAsia="zh-CN"/>
        </w:rPr>
        <w:t>不能直接以现金方式</w:t>
      </w:r>
      <w:r>
        <w:rPr>
          <w:rFonts w:ascii="宋体" w:eastAsia="宋体" w:hAnsi="Calibri"/>
          <w:lang w:eastAsia="zh-CN"/>
        </w:rPr>
        <w:t>申请</w:t>
      </w:r>
      <w:r>
        <w:rPr>
          <w:rFonts w:ascii="宋体" w:eastAsia="宋体" w:hAnsi="Calibri" w:hint="eastAsia"/>
          <w:lang w:eastAsia="zh-CN"/>
        </w:rPr>
        <w:t>认购</w:t>
      </w:r>
      <w:r>
        <w:rPr>
          <w:rFonts w:ascii="宋体" w:eastAsia="宋体" w:hAnsi="Calibri"/>
          <w:lang w:eastAsia="zh-CN"/>
        </w:rPr>
        <w:t>。</w:t>
      </w:r>
    </w:p>
    <w:p w:rsidR="009E570F" w14:paraId="5095E431" w14:textId="77777777">
      <w:pPr>
        <w:numPr>
          <w:ilvl w:val="0"/>
          <w:numId w:val="12"/>
        </w:numPr>
        <w:tabs>
          <w:tab w:val="num" w:pos="709"/>
          <w:tab w:val="clear" w:pos="927"/>
        </w:tabs>
        <w:snapToGrid w:val="0"/>
        <w:spacing w:line="360" w:lineRule="auto"/>
        <w:ind w:firstLine="426"/>
        <w:rPr>
          <w:rFonts w:ascii="宋体" w:eastAsia="宋体" w:hAnsi="Calibri"/>
          <w:lang w:eastAsia="zh-CN"/>
        </w:rPr>
      </w:pPr>
      <w:r>
        <w:rPr>
          <w:rFonts w:ascii="宋体" w:eastAsia="宋体" w:hAnsi="Calibri" w:hint="eastAsia"/>
          <w:lang w:eastAsia="zh-CN"/>
        </w:rPr>
        <w:t>个人投资者通过非直销销售机构办理基金业务，必须事先开立非直销销售机构指定的资金账户卡；个人投资者通过本公司直销中心办理基金业务，必须事先开立银行活期存款账户，</w:t>
      </w:r>
      <w:r>
        <w:rPr>
          <w:rFonts w:ascii="宋体" w:eastAsia="宋体" w:hAnsi="Calibri"/>
          <w:lang w:eastAsia="zh-CN"/>
        </w:rPr>
        <w:t>今后投资者</w:t>
      </w:r>
      <w:r>
        <w:rPr>
          <w:rFonts w:ascii="宋体" w:eastAsia="宋体" w:hAnsi="Calibri" w:hint="eastAsia"/>
          <w:lang w:eastAsia="zh-CN"/>
        </w:rPr>
        <w:t>认（申）购、</w:t>
      </w:r>
      <w:r>
        <w:rPr>
          <w:rFonts w:ascii="宋体" w:eastAsia="宋体" w:hAnsi="Calibri"/>
          <w:lang w:eastAsia="zh-CN"/>
        </w:rPr>
        <w:t>赎回、分红及无效认（申）购的资金退款等资金结算均只能通过此账户进行。</w:t>
      </w:r>
    </w:p>
    <w:p w:rsidR="009E570F" w14:paraId="2160026C" w14:textId="77777777">
      <w:pPr>
        <w:numPr>
          <w:ilvl w:val="0"/>
          <w:numId w:val="12"/>
        </w:numPr>
        <w:tabs>
          <w:tab w:val="num" w:pos="709"/>
          <w:tab w:val="clear" w:pos="927"/>
        </w:tabs>
        <w:snapToGrid w:val="0"/>
        <w:spacing w:line="360" w:lineRule="auto"/>
        <w:ind w:firstLine="426"/>
        <w:rPr>
          <w:rFonts w:ascii="宋体" w:eastAsia="宋体" w:hAnsi="Calibri"/>
          <w:szCs w:val="21"/>
          <w:lang w:eastAsia="zh-CN"/>
        </w:rPr>
      </w:pPr>
      <w:r>
        <w:rPr>
          <w:rFonts w:ascii="宋体" w:eastAsia="宋体" w:hAnsi="Calibri" w:hint="eastAsia"/>
          <w:szCs w:val="21"/>
          <w:lang w:eastAsia="zh-CN"/>
        </w:rPr>
        <w:t>个人投资者可在非直销销售机构指定的网点认购基金，还可以选择到本公司直销中心办理或通过本公司网上直销系统办理。</w:t>
      </w:r>
    </w:p>
    <w:p w:rsidR="009E570F" w14:paraId="7B499BCF" w14:textId="77777777">
      <w:pPr>
        <w:numPr>
          <w:ilvl w:val="0"/>
          <w:numId w:val="11"/>
        </w:numPr>
        <w:snapToGrid w:val="0"/>
        <w:spacing w:line="360" w:lineRule="auto"/>
        <w:ind w:left="0" w:firstLine="425"/>
        <w:rPr>
          <w:rStyle w:val="big1"/>
          <w:rFonts w:ascii="宋体" w:eastAsia="宋体" w:hAnsi="Calibri"/>
          <w:spacing w:val="0"/>
          <w:sz w:val="21"/>
          <w:szCs w:val="21"/>
          <w:lang w:eastAsia="zh-CN"/>
        </w:rPr>
      </w:pPr>
      <w:r>
        <w:rPr>
          <w:rStyle w:val="big1"/>
          <w:rFonts w:ascii="宋体" w:eastAsia="宋体" w:hAnsi="Calibri" w:hint="eastAsia"/>
          <w:spacing w:val="0"/>
          <w:sz w:val="21"/>
          <w:szCs w:val="21"/>
          <w:lang w:eastAsia="zh-CN"/>
        </w:rPr>
        <w:t>通过本公司直销中心办理开户和认购的程序</w:t>
      </w:r>
    </w:p>
    <w:p w:rsidR="009E570F" w14:paraId="51EB4557"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业务办理</w:t>
      </w:r>
      <w:r>
        <w:rPr>
          <w:rFonts w:ascii="宋体" w:eastAsia="宋体" w:hAnsi="Calibri"/>
        </w:rPr>
        <w:t>时间</w:t>
      </w:r>
    </w:p>
    <w:p w:rsidR="009E570F" w14:paraId="49CFFF3C" w14:textId="77777777">
      <w:pPr>
        <w:snapToGrid w:val="0"/>
        <w:spacing w:line="360" w:lineRule="auto"/>
        <w:ind w:left="567"/>
        <w:rPr>
          <w:rFonts w:ascii="宋体" w:eastAsia="宋体" w:hAnsi="Calibri"/>
          <w:lang w:eastAsia="zh-CN"/>
        </w:rPr>
      </w:pPr>
      <w:r>
        <w:rPr>
          <w:rFonts w:ascii="宋体" w:eastAsia="宋体" w:hAnsi="Calibri" w:hint="eastAsia"/>
          <w:lang w:eastAsia="zh-CN"/>
        </w:rPr>
        <w:t>基金发售日的9:00</w:t>
      </w:r>
      <w:r>
        <w:rPr>
          <w:rFonts w:ascii="宋体" w:eastAsia="宋体" w:hAnsi="Calibri"/>
          <w:lang w:eastAsia="zh-CN"/>
        </w:rPr>
        <w:t>至</w:t>
      </w:r>
      <w:r>
        <w:rPr>
          <w:rFonts w:ascii="宋体" w:eastAsia="宋体" w:hAnsi="Calibri" w:hint="eastAsia"/>
          <w:lang w:eastAsia="zh-CN"/>
        </w:rPr>
        <w:t>16:00（周六、周日及法定节假日除外）。</w:t>
      </w:r>
    </w:p>
    <w:p w:rsidR="009E570F" w14:paraId="4B7F7876"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开立基金账户</w:t>
      </w:r>
    </w:p>
    <w:p w:rsidR="009E570F" w14:paraId="743D34A2" w14:textId="77777777">
      <w:pPr>
        <w:snapToGrid w:val="0"/>
        <w:spacing w:line="360" w:lineRule="auto"/>
        <w:ind w:left="567"/>
        <w:rPr>
          <w:rFonts w:ascii="宋体" w:eastAsia="宋体" w:hAnsi="Calibri"/>
          <w:lang w:eastAsia="zh-CN"/>
        </w:rPr>
      </w:pPr>
      <w:r>
        <w:rPr>
          <w:rFonts w:ascii="宋体" w:eastAsia="宋体" w:hAnsi="Calibri" w:hint="eastAsia"/>
          <w:lang w:eastAsia="zh-CN"/>
        </w:rPr>
        <w:t>个人</w:t>
      </w:r>
      <w:r>
        <w:rPr>
          <w:rFonts w:ascii="宋体" w:eastAsia="宋体" w:hAnsi="Calibri"/>
          <w:lang w:eastAsia="zh-CN"/>
        </w:rPr>
        <w:t>投资者申请开立</w:t>
      </w:r>
      <w:r>
        <w:rPr>
          <w:rFonts w:ascii="宋体" w:eastAsia="宋体" w:hAnsi="Calibri" w:hint="eastAsia"/>
          <w:lang w:eastAsia="zh-CN"/>
        </w:rPr>
        <w:t>基金账户</w:t>
      </w:r>
      <w:r>
        <w:rPr>
          <w:rFonts w:ascii="宋体" w:eastAsia="宋体" w:hAnsi="Calibri"/>
          <w:lang w:eastAsia="zh-CN"/>
        </w:rPr>
        <w:t>时应提交下列材料：</w:t>
      </w:r>
    </w:p>
    <w:p w:rsidR="009E570F" w14:paraId="6B192F06" w14:textId="77777777">
      <w:pPr>
        <w:snapToGrid w:val="0"/>
        <w:spacing w:line="360" w:lineRule="auto"/>
        <w:ind w:firstLine="420"/>
        <w:rPr>
          <w:rFonts w:ascii="宋体" w:eastAsia="宋体" w:hAnsi="Calibri"/>
          <w:lang w:eastAsia="zh-CN"/>
        </w:rPr>
      </w:pPr>
      <w:r>
        <w:rPr>
          <w:rFonts w:ascii="宋体" w:eastAsia="宋体" w:hAnsi="Calibri" w:hint="eastAsia"/>
          <w:lang w:eastAsia="zh-CN"/>
        </w:rPr>
        <w:t>（</w:t>
      </w:r>
      <w:r>
        <w:rPr>
          <w:rFonts w:ascii="宋体" w:eastAsia="宋体" w:hAnsi="Calibri"/>
          <w:lang w:eastAsia="zh-CN"/>
        </w:rPr>
        <w:t>1</w:t>
      </w:r>
      <w:r>
        <w:rPr>
          <w:rFonts w:ascii="宋体" w:eastAsia="宋体" w:hAnsi="Calibri" w:hint="eastAsia"/>
          <w:lang w:eastAsia="zh-CN"/>
        </w:rPr>
        <w:t>）提供填妥并由本人签字的《开放式基金账户业务申请表》一式两份；</w:t>
      </w:r>
    </w:p>
    <w:p w:rsidR="009E570F" w14:paraId="402DE2E7" w14:textId="77777777">
      <w:pPr>
        <w:snapToGrid w:val="0"/>
        <w:spacing w:line="360" w:lineRule="auto"/>
        <w:ind w:firstLine="420"/>
        <w:rPr>
          <w:rFonts w:ascii="宋体" w:eastAsia="宋体" w:hAnsi="Calibri"/>
          <w:lang w:eastAsia="zh-CN"/>
        </w:rPr>
      </w:pPr>
      <w:r>
        <w:rPr>
          <w:rFonts w:ascii="宋体" w:eastAsia="宋体" w:hAnsi="Calibri" w:hint="eastAsia"/>
          <w:lang w:eastAsia="zh-CN"/>
        </w:rPr>
        <w:t>（</w:t>
      </w:r>
      <w:r>
        <w:rPr>
          <w:rFonts w:ascii="宋体" w:eastAsia="宋体" w:hAnsi="Calibri"/>
          <w:lang w:eastAsia="zh-CN"/>
        </w:rPr>
        <w:t>2</w:t>
      </w:r>
      <w:r>
        <w:rPr>
          <w:rFonts w:ascii="宋体" w:eastAsia="宋体" w:hAnsi="Calibri" w:hint="eastAsia"/>
          <w:lang w:eastAsia="zh-CN"/>
        </w:rPr>
        <w:t>）出示本人有效居民身份证原件并提供正反面复印件；</w:t>
      </w:r>
    </w:p>
    <w:p w:rsidR="009E570F" w14:paraId="3B669D26" w14:textId="77777777">
      <w:pPr>
        <w:snapToGrid w:val="0"/>
        <w:spacing w:line="360" w:lineRule="auto"/>
        <w:ind w:firstLine="420"/>
        <w:rPr>
          <w:rFonts w:ascii="宋体" w:eastAsia="宋体" w:hAnsi="Calibri"/>
          <w:lang w:eastAsia="zh-CN"/>
        </w:rPr>
      </w:pPr>
      <w:r>
        <w:rPr>
          <w:rFonts w:ascii="宋体" w:eastAsia="宋体" w:hAnsi="Calibri" w:hint="eastAsia"/>
          <w:lang w:eastAsia="zh-CN"/>
        </w:rPr>
        <w:t>（</w:t>
      </w:r>
      <w:r>
        <w:rPr>
          <w:rFonts w:ascii="宋体" w:eastAsia="宋体" w:hAnsi="Calibri"/>
          <w:lang w:eastAsia="zh-CN"/>
        </w:rPr>
        <w:t>3</w:t>
      </w:r>
      <w:r>
        <w:rPr>
          <w:rFonts w:ascii="宋体" w:eastAsia="宋体" w:hAnsi="Calibri" w:hint="eastAsia"/>
          <w:lang w:eastAsia="zh-CN"/>
        </w:rPr>
        <w:t>）出示投资者本人的指定银行储蓄存折（卡）原件，提供复印件；</w:t>
      </w:r>
    </w:p>
    <w:p w:rsidR="009E570F" w14:paraId="6AA77D7D" w14:textId="77777777">
      <w:pPr>
        <w:snapToGrid w:val="0"/>
        <w:spacing w:line="360" w:lineRule="auto"/>
        <w:ind w:firstLine="420"/>
        <w:rPr>
          <w:rFonts w:ascii="宋体" w:eastAsia="宋体" w:hAnsi="Calibri"/>
          <w:lang w:eastAsia="zh-CN"/>
        </w:rPr>
      </w:pPr>
      <w:r>
        <w:rPr>
          <w:rFonts w:ascii="宋体" w:hAnsi="Calibri" w:hint="eastAsia"/>
          <w:lang w:eastAsia="zh-CN"/>
        </w:rPr>
        <w:t>（</w:t>
      </w:r>
      <w:r>
        <w:rPr>
          <w:rFonts w:ascii="宋体" w:hAnsi="Calibri"/>
          <w:lang w:eastAsia="zh-CN"/>
        </w:rPr>
        <w:t>4</w:t>
      </w:r>
      <w:r>
        <w:rPr>
          <w:rFonts w:ascii="宋体" w:hAnsi="Calibri" w:hint="eastAsia"/>
          <w:lang w:eastAsia="zh-CN"/>
        </w:rPr>
        <w:t>）提供由本人签字的《个人投资者风险等级评估问卷》一份；</w:t>
      </w:r>
    </w:p>
    <w:p w:rsidR="009E570F" w14:paraId="36861793" w14:textId="77777777">
      <w:pPr>
        <w:snapToGrid w:val="0"/>
        <w:spacing w:line="360" w:lineRule="auto"/>
        <w:ind w:firstLine="420"/>
        <w:rPr>
          <w:rFonts w:ascii="宋体" w:eastAsia="宋体" w:hAnsi="Calibri"/>
          <w:lang w:eastAsia="zh-CN"/>
        </w:rPr>
      </w:pPr>
      <w:r>
        <w:rPr>
          <w:rFonts w:ascii="宋体" w:eastAsia="宋体" w:hAnsi="Calibri" w:hint="eastAsia"/>
          <w:lang w:eastAsia="zh-CN"/>
        </w:rPr>
        <w:t>（</w:t>
      </w:r>
      <w:r>
        <w:rPr>
          <w:rFonts w:ascii="宋体" w:eastAsia="宋体" w:hAnsi="Calibri"/>
          <w:lang w:eastAsia="zh-CN"/>
        </w:rPr>
        <w:t>5</w:t>
      </w:r>
      <w:r>
        <w:rPr>
          <w:rFonts w:ascii="宋体" w:eastAsia="宋体" w:hAnsi="Calibri" w:hint="eastAsia"/>
          <w:lang w:eastAsia="zh-CN"/>
        </w:rPr>
        <w:t>）提供由本人签字的《个人税收居民身份声明文件》一份；</w:t>
      </w:r>
    </w:p>
    <w:p w:rsidR="009E570F" w14:paraId="51434335" w14:textId="77777777">
      <w:pPr>
        <w:snapToGrid w:val="0"/>
        <w:spacing w:line="360" w:lineRule="auto"/>
        <w:ind w:firstLine="420"/>
        <w:rPr>
          <w:rFonts w:ascii="宋体" w:eastAsia="宋体" w:hAnsi="Calibri"/>
          <w:lang w:eastAsia="zh-CN"/>
        </w:rPr>
      </w:pPr>
      <w:r>
        <w:rPr>
          <w:rFonts w:ascii="宋体" w:eastAsia="宋体" w:hAnsi="Calibri" w:hint="eastAsia"/>
          <w:lang w:eastAsia="zh-CN"/>
        </w:rPr>
        <w:t>（</w:t>
      </w:r>
      <w:r>
        <w:rPr>
          <w:rFonts w:ascii="宋体" w:eastAsia="宋体" w:hAnsi="Calibri"/>
          <w:lang w:eastAsia="zh-CN"/>
        </w:rPr>
        <w:t>6</w:t>
      </w:r>
      <w:r>
        <w:rPr>
          <w:rFonts w:ascii="宋体" w:eastAsia="宋体" w:hAnsi="Calibri" w:hint="eastAsia"/>
          <w:lang w:eastAsia="zh-CN"/>
        </w:rPr>
        <w:t>）</w:t>
      </w:r>
      <w:r>
        <w:rPr>
          <w:rFonts w:ascii="宋体" w:eastAsia="宋体" w:hAnsi="Calibri" w:hint="eastAsia"/>
          <w:szCs w:val="21"/>
          <w:lang w:eastAsia="zh-CN"/>
        </w:rPr>
        <w:t>本公司直销中心要求提供的其他有关材料。</w:t>
      </w:r>
    </w:p>
    <w:p w:rsidR="009E570F" w14:paraId="1C763C2C"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提出</w:t>
      </w:r>
      <w:r>
        <w:rPr>
          <w:rFonts w:ascii="宋体" w:eastAsia="宋体" w:hAnsi="Calibri"/>
        </w:rPr>
        <w:t>认购</w:t>
      </w:r>
      <w:r>
        <w:rPr>
          <w:rFonts w:ascii="宋体" w:eastAsia="宋体" w:hAnsi="Calibri" w:hint="eastAsia"/>
        </w:rPr>
        <w:t>申请</w:t>
      </w:r>
    </w:p>
    <w:p w:rsidR="009E570F" w14:paraId="7EEF1762" w14:textId="77777777">
      <w:pPr>
        <w:snapToGrid w:val="0"/>
        <w:spacing w:line="360" w:lineRule="auto"/>
        <w:ind w:left="567"/>
        <w:rPr>
          <w:rFonts w:ascii="宋体" w:eastAsia="宋体" w:hAnsi="Calibri"/>
          <w:lang w:eastAsia="zh-CN"/>
        </w:rPr>
      </w:pPr>
      <w:r>
        <w:rPr>
          <w:rFonts w:ascii="宋体" w:eastAsia="宋体" w:hAnsi="Calibri"/>
          <w:lang w:eastAsia="zh-CN"/>
        </w:rPr>
        <w:t>个人投资者</w:t>
      </w:r>
      <w:r>
        <w:rPr>
          <w:rFonts w:ascii="宋体" w:eastAsia="宋体" w:hAnsi="Calibri" w:hint="eastAsia"/>
          <w:lang w:eastAsia="zh-CN"/>
        </w:rPr>
        <w:t>办理认购申请需准备以下资料</w:t>
      </w:r>
      <w:r>
        <w:rPr>
          <w:rFonts w:ascii="宋体" w:eastAsia="宋体" w:hAnsi="Calibri"/>
          <w:lang w:eastAsia="zh-CN"/>
        </w:rPr>
        <w:t>：</w:t>
      </w:r>
    </w:p>
    <w:p w:rsidR="009E570F" w14:paraId="3560FBAB" w14:textId="77777777">
      <w:pPr>
        <w:snapToGrid w:val="0"/>
        <w:spacing w:line="360" w:lineRule="auto"/>
        <w:ind w:firstLine="420"/>
        <w:rPr>
          <w:rFonts w:ascii="宋体" w:eastAsia="宋体" w:hAnsi="Calibri"/>
          <w:lang w:eastAsia="zh-CN"/>
        </w:rPr>
      </w:pPr>
      <w:r>
        <w:rPr>
          <w:rFonts w:ascii="宋体" w:eastAsia="宋体" w:hAnsi="Calibri" w:hint="eastAsia"/>
          <w:lang w:eastAsia="zh-CN"/>
        </w:rPr>
        <w:t>（1）</w:t>
      </w:r>
      <w:r>
        <w:rPr>
          <w:rFonts w:ascii="宋体" w:eastAsia="宋体" w:hAnsi="Calibri"/>
          <w:lang w:eastAsia="zh-CN"/>
        </w:rPr>
        <w:t>填妥的《</w:t>
      </w:r>
      <w:r>
        <w:rPr>
          <w:rFonts w:ascii="宋体" w:eastAsia="宋体" w:hAnsi="Calibri" w:hint="eastAsia"/>
          <w:lang w:eastAsia="zh-CN"/>
        </w:rPr>
        <w:t>开放式基金认/申购、赎回、转换等交易业务</w:t>
      </w:r>
      <w:r>
        <w:rPr>
          <w:rFonts w:ascii="宋体" w:eastAsia="宋体" w:hAnsi="Calibri"/>
          <w:lang w:eastAsia="zh-CN"/>
        </w:rPr>
        <w:t>申请表》</w:t>
      </w:r>
      <w:r>
        <w:rPr>
          <w:rFonts w:ascii="宋体" w:eastAsia="宋体" w:hAnsi="Calibri" w:hint="eastAsia"/>
          <w:lang w:eastAsia="zh-CN"/>
        </w:rPr>
        <w:t>一式两份；</w:t>
      </w:r>
    </w:p>
    <w:p w:rsidR="009E570F" w14:paraId="64A3ACB4" w14:textId="77777777">
      <w:pPr>
        <w:snapToGrid w:val="0"/>
        <w:spacing w:line="360" w:lineRule="auto"/>
        <w:ind w:firstLine="420"/>
        <w:rPr>
          <w:rFonts w:ascii="宋体" w:eastAsia="宋体" w:hAnsi="Calibri"/>
          <w:lang w:eastAsia="zh-CN"/>
        </w:rPr>
      </w:pPr>
      <w:r>
        <w:rPr>
          <w:rFonts w:ascii="宋体" w:eastAsia="宋体" w:hAnsi="Calibri" w:hint="eastAsia"/>
          <w:lang w:eastAsia="zh-CN"/>
        </w:rPr>
        <w:t>（2）出示身份证原件并提供正反面复印件。</w:t>
      </w:r>
    </w:p>
    <w:p w:rsidR="009E570F" w14:paraId="76257092" w14:textId="77777777">
      <w:pPr>
        <w:snapToGrid w:val="0"/>
        <w:spacing w:line="360" w:lineRule="auto"/>
        <w:ind w:firstLine="420"/>
        <w:rPr>
          <w:rFonts w:ascii="宋体" w:eastAsia="宋体" w:hAnsi="Calibri"/>
          <w:lang w:eastAsia="zh-CN"/>
        </w:rPr>
      </w:pPr>
      <w:r>
        <w:rPr>
          <w:rFonts w:ascii="宋体" w:eastAsia="宋体" w:hAnsi="Calibri" w:hint="eastAsia"/>
          <w:lang w:eastAsia="zh-CN"/>
        </w:rPr>
        <w:t>尚未开户者可同时办理开户和认购手续。</w:t>
      </w:r>
    </w:p>
    <w:p w:rsidR="009E570F" w14:paraId="155C828F" w14:textId="77777777">
      <w:pPr>
        <w:numPr>
          <w:ilvl w:val="0"/>
          <w:numId w:val="13"/>
        </w:numPr>
        <w:tabs>
          <w:tab w:val="num" w:pos="709"/>
          <w:tab w:val="clear" w:pos="927"/>
        </w:tabs>
        <w:snapToGrid w:val="0"/>
        <w:spacing w:line="360" w:lineRule="auto"/>
        <w:ind w:firstLine="426"/>
        <w:rPr>
          <w:rFonts w:ascii="宋体" w:eastAsia="宋体" w:hAnsi="Calibri"/>
        </w:rPr>
      </w:pPr>
      <w:r>
        <w:rPr>
          <w:rFonts w:ascii="宋体" w:eastAsia="宋体" w:hAnsi="Calibri" w:hint="eastAsia"/>
        </w:rPr>
        <w:t>投资者提示</w:t>
      </w:r>
    </w:p>
    <w:p w:rsidR="009E570F" w14:paraId="1909629F" w14:textId="77777777">
      <w:pPr>
        <w:snapToGrid w:val="0"/>
        <w:spacing w:line="360" w:lineRule="auto"/>
        <w:ind w:firstLine="420"/>
        <w:rPr>
          <w:rFonts w:ascii="宋体" w:eastAsia="宋体" w:hAnsi="Calibri"/>
          <w:lang w:eastAsia="zh-CN"/>
        </w:rPr>
      </w:pPr>
      <w:r>
        <w:rPr>
          <w:rFonts w:ascii="宋体" w:eastAsia="宋体" w:hAnsi="Calibri" w:hint="eastAsia"/>
          <w:lang w:eastAsia="zh-CN"/>
        </w:rPr>
        <w:t>（1）</w:t>
      </w:r>
      <w:r>
        <w:rPr>
          <w:rFonts w:ascii="宋体" w:eastAsia="宋体" w:hAnsi="Calibri"/>
          <w:lang w:eastAsia="zh-CN"/>
        </w:rPr>
        <w:t>请有意认购基金的</w:t>
      </w:r>
      <w:r>
        <w:rPr>
          <w:rFonts w:ascii="宋体" w:eastAsia="宋体" w:hAnsi="Calibri" w:hint="eastAsia"/>
          <w:lang w:eastAsia="zh-CN"/>
        </w:rPr>
        <w:t>个人</w:t>
      </w:r>
      <w:r>
        <w:rPr>
          <w:rFonts w:ascii="宋体" w:eastAsia="宋体" w:hAnsi="Calibri"/>
          <w:lang w:eastAsia="zh-CN"/>
        </w:rPr>
        <w:t>投资者尽早向直销</w:t>
      </w:r>
      <w:r>
        <w:rPr>
          <w:rFonts w:ascii="宋体" w:eastAsia="宋体" w:hAnsi="Calibri" w:hint="eastAsia"/>
          <w:lang w:eastAsia="zh-CN"/>
        </w:rPr>
        <w:t>中心</w:t>
      </w:r>
      <w:r>
        <w:rPr>
          <w:rFonts w:ascii="宋体" w:eastAsia="宋体" w:hAnsi="Calibri"/>
          <w:lang w:eastAsia="zh-CN"/>
        </w:rPr>
        <w:t>索取</w:t>
      </w:r>
      <w:r>
        <w:rPr>
          <w:rFonts w:ascii="宋体" w:eastAsia="宋体" w:hAnsi="Calibri" w:hint="eastAsia"/>
          <w:lang w:eastAsia="zh-CN"/>
        </w:rPr>
        <w:t>账户和交易</w:t>
      </w:r>
      <w:r>
        <w:rPr>
          <w:rFonts w:ascii="宋体" w:eastAsia="宋体" w:hAnsi="Calibri"/>
          <w:lang w:eastAsia="zh-CN"/>
        </w:rPr>
        <w:t>申请表。</w:t>
      </w:r>
      <w:r>
        <w:rPr>
          <w:rFonts w:ascii="宋体" w:eastAsia="宋体" w:hAnsi="Calibri" w:hint="eastAsia"/>
          <w:lang w:eastAsia="zh-CN"/>
        </w:rPr>
        <w:t>个人</w:t>
      </w:r>
      <w:r>
        <w:rPr>
          <w:rFonts w:ascii="宋体" w:eastAsia="宋体" w:hAnsi="Calibri"/>
          <w:lang w:eastAsia="zh-CN"/>
        </w:rPr>
        <w:t>投资者也可从易方达基金管理有限公司的网站(www.</w:t>
      </w:r>
      <w:r>
        <w:rPr>
          <w:rFonts w:ascii="宋体" w:eastAsia="宋体" w:hAnsi="Calibri" w:hint="eastAsia"/>
          <w:lang w:eastAsia="zh-CN"/>
        </w:rPr>
        <w:t>e</w:t>
      </w:r>
      <w:r>
        <w:rPr>
          <w:rFonts w:ascii="宋体" w:eastAsia="宋体" w:hAnsi="Calibri"/>
          <w:lang w:eastAsia="zh-CN"/>
        </w:rPr>
        <w:t>fund</w:t>
      </w:r>
      <w:r>
        <w:rPr>
          <w:rFonts w:ascii="宋体" w:eastAsia="宋体" w:hAnsi="Calibri" w:hint="eastAsia"/>
          <w:lang w:eastAsia="zh-CN"/>
        </w:rPr>
        <w:t>s</w:t>
      </w:r>
      <w:r>
        <w:rPr>
          <w:rFonts w:ascii="宋体" w:eastAsia="宋体" w:hAnsi="Calibri"/>
          <w:lang w:eastAsia="zh-CN"/>
        </w:rPr>
        <w:t>.com</w:t>
      </w:r>
      <w:r>
        <w:rPr>
          <w:rFonts w:ascii="宋体" w:eastAsia="宋体" w:hAnsi="Calibri" w:hint="eastAsia"/>
          <w:lang w:eastAsia="zh-CN"/>
        </w:rPr>
        <w:t>.cn</w:t>
      </w:r>
      <w:r>
        <w:rPr>
          <w:rFonts w:ascii="宋体" w:eastAsia="宋体" w:hAnsi="Calibri"/>
          <w:lang w:eastAsia="zh-CN"/>
        </w:rPr>
        <w:t>)上下载有关</w:t>
      </w:r>
      <w:r>
        <w:rPr>
          <w:rFonts w:ascii="宋体" w:eastAsia="宋体" w:hAnsi="Calibri" w:hint="eastAsia"/>
          <w:lang w:eastAsia="zh-CN"/>
        </w:rPr>
        <w:t>直销业务</w:t>
      </w:r>
      <w:r>
        <w:rPr>
          <w:rFonts w:ascii="宋体" w:eastAsia="宋体" w:hAnsi="Calibri"/>
          <w:lang w:eastAsia="zh-CN"/>
        </w:rPr>
        <w:t>表格，但必须在办理业务时保证提交的材料与下载文件中所要求的格式一致。</w:t>
      </w:r>
    </w:p>
    <w:p w:rsidR="009E570F" w14:paraId="181929DB" w14:textId="77777777">
      <w:pPr>
        <w:snapToGrid w:val="0"/>
        <w:spacing w:line="360" w:lineRule="auto"/>
        <w:ind w:firstLine="420"/>
        <w:rPr>
          <w:rFonts w:ascii="宋体" w:eastAsia="宋体" w:hAnsi="Calibri"/>
          <w:lang w:eastAsia="zh-CN"/>
        </w:rPr>
      </w:pPr>
      <w:r>
        <w:rPr>
          <w:rFonts w:ascii="宋体" w:eastAsia="宋体" w:hAnsi="Calibri" w:hint="eastAsia"/>
          <w:lang w:eastAsia="zh-CN"/>
        </w:rPr>
        <w:t>（2）</w:t>
      </w:r>
      <w:r>
        <w:rPr>
          <w:rFonts w:ascii="宋体" w:eastAsia="宋体" w:hAnsi="Calibri"/>
          <w:lang w:eastAsia="zh-CN"/>
        </w:rPr>
        <w:t>直销</w:t>
      </w:r>
      <w:r>
        <w:rPr>
          <w:rFonts w:ascii="宋体" w:eastAsia="宋体" w:hAnsi="Calibri" w:hint="eastAsia"/>
          <w:lang w:eastAsia="zh-CN"/>
        </w:rPr>
        <w:t>中心</w:t>
      </w:r>
      <w:r>
        <w:rPr>
          <w:rFonts w:ascii="宋体" w:eastAsia="宋体" w:hAnsi="Calibri"/>
          <w:lang w:eastAsia="zh-CN"/>
        </w:rPr>
        <w:t>与</w:t>
      </w:r>
      <w:r>
        <w:rPr>
          <w:rFonts w:ascii="宋体" w:eastAsia="宋体" w:hAnsi="Calibri" w:hint="eastAsia"/>
          <w:lang w:eastAsia="zh-CN"/>
        </w:rPr>
        <w:t>非直销销售机构的销售网点</w:t>
      </w:r>
      <w:r>
        <w:rPr>
          <w:rFonts w:ascii="宋体" w:eastAsia="宋体" w:hAnsi="Calibri"/>
          <w:lang w:eastAsia="zh-CN"/>
        </w:rPr>
        <w:t>的</w:t>
      </w:r>
      <w:r>
        <w:rPr>
          <w:rFonts w:ascii="宋体" w:eastAsia="宋体" w:hAnsi="Calibri" w:hint="eastAsia"/>
          <w:lang w:eastAsia="zh-CN"/>
        </w:rPr>
        <w:t>业务</w:t>
      </w:r>
      <w:r>
        <w:rPr>
          <w:rFonts w:ascii="宋体" w:eastAsia="宋体" w:hAnsi="Calibri"/>
          <w:lang w:eastAsia="zh-CN"/>
        </w:rPr>
        <w:t>申请表不同，</w:t>
      </w:r>
      <w:r>
        <w:rPr>
          <w:rFonts w:ascii="宋体" w:eastAsia="宋体" w:hAnsi="Calibri" w:hint="eastAsia"/>
          <w:lang w:eastAsia="zh-CN"/>
        </w:rPr>
        <w:t>个人</w:t>
      </w:r>
      <w:r>
        <w:rPr>
          <w:rFonts w:ascii="宋体" w:eastAsia="宋体" w:hAnsi="Calibri"/>
          <w:lang w:eastAsia="zh-CN"/>
        </w:rPr>
        <w:t>投资者请勿混用。</w:t>
      </w:r>
    </w:p>
    <w:p w:rsidR="009E570F" w14:paraId="186783F6" w14:textId="77777777">
      <w:pPr>
        <w:snapToGrid w:val="0"/>
        <w:spacing w:line="360" w:lineRule="auto"/>
        <w:ind w:firstLine="420"/>
        <w:rPr>
          <w:rFonts w:ascii="宋体" w:eastAsia="宋体" w:hAnsi="Calibri"/>
          <w:lang w:eastAsia="zh-CN"/>
        </w:rPr>
      </w:pPr>
      <w:r>
        <w:rPr>
          <w:rFonts w:ascii="宋体" w:eastAsia="宋体" w:hAnsi="Calibri" w:hint="eastAsia"/>
          <w:lang w:eastAsia="zh-CN"/>
        </w:rPr>
        <w:t>（3）</w:t>
      </w:r>
      <w:r>
        <w:rPr>
          <w:rFonts w:ascii="宋体" w:eastAsia="宋体" w:hAnsi="Calibri"/>
          <w:lang w:eastAsia="zh-CN"/>
        </w:rPr>
        <w:t>直销</w:t>
      </w:r>
      <w:r>
        <w:rPr>
          <w:rFonts w:ascii="宋体" w:eastAsia="宋体" w:hAnsi="Calibri" w:hint="eastAsia"/>
          <w:lang w:eastAsia="zh-CN"/>
        </w:rPr>
        <w:t>中心</w:t>
      </w:r>
      <w:r>
        <w:rPr>
          <w:rFonts w:ascii="宋体" w:eastAsia="宋体" w:hAnsi="Calibri"/>
          <w:lang w:eastAsia="zh-CN"/>
        </w:rPr>
        <w:t>咨询电话：020</w:t>
      </w:r>
      <w:r>
        <w:rPr>
          <w:rFonts w:ascii="宋体" w:eastAsia="宋体" w:hAnsi="Calibri" w:hint="eastAsia"/>
          <w:lang w:eastAsia="zh-CN"/>
        </w:rPr>
        <w:t>-85102506</w:t>
      </w:r>
    </w:p>
    <w:p w:rsidR="009E570F" w14:paraId="563E4032" w14:textId="77777777">
      <w:pPr>
        <w:numPr>
          <w:ilvl w:val="0"/>
          <w:numId w:val="11"/>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非直销销售机构</w:t>
      </w:r>
    </w:p>
    <w:p w:rsidR="009E570F" w14:paraId="2D31911C" w14:textId="77777777">
      <w:pPr>
        <w:snapToGrid w:val="0"/>
        <w:spacing w:line="360" w:lineRule="auto"/>
        <w:ind w:left="568"/>
        <w:rPr>
          <w:rStyle w:val="big1"/>
          <w:rFonts w:ascii="宋体" w:eastAsia="宋体" w:hAnsi="Calibri"/>
          <w:spacing w:val="0"/>
          <w:sz w:val="21"/>
          <w:szCs w:val="21"/>
          <w:lang w:eastAsia="zh-CN"/>
        </w:rPr>
      </w:pPr>
      <w:r>
        <w:rPr>
          <w:rStyle w:val="big1"/>
          <w:rFonts w:ascii="宋体" w:eastAsia="宋体" w:hAnsi="Calibri" w:hint="eastAsia"/>
          <w:spacing w:val="0"/>
          <w:sz w:val="21"/>
          <w:szCs w:val="21"/>
          <w:lang w:eastAsia="zh-CN"/>
        </w:rPr>
        <w:t>个人投资者在非直销销售机构的开户及认购手续以各非直销销售机构的规定为准。</w:t>
      </w:r>
    </w:p>
    <w:p w:rsidR="009E570F" w14:paraId="6198BBEE" w14:textId="77777777">
      <w:pPr>
        <w:numPr>
          <w:ilvl w:val="0"/>
          <w:numId w:val="11"/>
        </w:numPr>
        <w:snapToGrid w:val="0"/>
        <w:spacing w:line="360" w:lineRule="auto"/>
        <w:ind w:left="0" w:firstLine="425"/>
        <w:rPr>
          <w:rStyle w:val="big1"/>
          <w:rFonts w:ascii="宋体" w:eastAsia="宋体" w:hAnsi="Calibri"/>
          <w:spacing w:val="0"/>
          <w:sz w:val="21"/>
          <w:szCs w:val="21"/>
        </w:rPr>
      </w:pPr>
      <w:r>
        <w:rPr>
          <w:rStyle w:val="big1"/>
          <w:rFonts w:ascii="宋体" w:eastAsia="宋体" w:hAnsi="Calibri" w:hint="eastAsia"/>
          <w:spacing w:val="0"/>
          <w:sz w:val="21"/>
          <w:szCs w:val="21"/>
        </w:rPr>
        <w:t>缴款方式</w:t>
      </w:r>
    </w:p>
    <w:p w:rsidR="009E570F" w14:paraId="3B6E94B8" w14:textId="77777777">
      <w:pPr>
        <w:snapToGrid w:val="0"/>
        <w:spacing w:line="360" w:lineRule="auto"/>
        <w:ind w:firstLine="420"/>
        <w:rPr>
          <w:rFonts w:ascii="宋体" w:eastAsia="宋体" w:hAnsi="Calibri"/>
          <w:lang w:eastAsia="zh-CN"/>
        </w:rPr>
      </w:pPr>
      <w:r>
        <w:rPr>
          <w:rFonts w:ascii="宋体" w:eastAsia="宋体" w:hAnsi="Calibri" w:hint="eastAsia"/>
          <w:lang w:eastAsia="zh-CN"/>
        </w:rPr>
        <w:t>1.通过本公司网上直销系统认购的个人投资者需准备足额的认购资金存入其在本公司网上直销系统指定的资金结算账户，在提交认购申请时通过实时支付的方式缴款。</w:t>
      </w:r>
    </w:p>
    <w:p w:rsidR="009E570F" w14:paraId="1C4C28F8" w14:textId="77777777">
      <w:pPr>
        <w:snapToGrid w:val="0"/>
        <w:spacing w:line="360" w:lineRule="auto"/>
        <w:ind w:firstLine="420"/>
        <w:rPr>
          <w:rFonts w:ascii="宋体" w:eastAsia="宋体" w:hAnsi="Calibri"/>
          <w:lang w:eastAsia="zh-CN"/>
        </w:rPr>
      </w:pPr>
      <w:r>
        <w:rPr>
          <w:rFonts w:ascii="宋体" w:eastAsia="宋体" w:hAnsi="Calibri" w:hint="eastAsia"/>
          <w:lang w:eastAsia="zh-CN"/>
        </w:rPr>
        <w:t>2.通过本公司直销中心认购的个人投资者，则需通过全额缴款的方式缴款，具体方式如下：</w:t>
      </w:r>
    </w:p>
    <w:p w:rsidR="009E570F" w14:paraId="30CC6891"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（1）个人投资者应在提出认购申请当日17:00之前，将足额认购资金划至本公司在中国工商银行、中国银行等开立的直销专户</w:t>
      </w:r>
      <w:r>
        <w:rPr>
          <w:rFonts w:ascii="宋体" w:eastAsia="宋体" w:hAnsi="Calibri"/>
          <w:sz w:val="21"/>
          <w:szCs w:val="21"/>
          <w:lang w:eastAsia="zh-CN"/>
        </w:rPr>
        <w:t>。</w:t>
      </w:r>
    </w:p>
    <w:p w:rsidR="009E570F" w14:paraId="2CD45E8A" w14:textId="77777777">
      <w:pPr>
        <w:numPr>
          <w:ilvl w:val="1"/>
          <w:numId w:val="7"/>
        </w:numPr>
        <w:snapToGrid w:val="0"/>
        <w:spacing w:line="360" w:lineRule="auto"/>
        <w:ind w:left="0" w:firstLine="420"/>
        <w:rPr>
          <w:rFonts w:ascii="宋体" w:eastAsia="宋体" w:hAnsi="Calibri"/>
          <w:szCs w:val="21"/>
          <w:lang w:eastAsia="zh-CN"/>
        </w:rPr>
      </w:pPr>
      <w:r>
        <w:rPr>
          <w:rFonts w:ascii="宋体" w:eastAsia="宋体" w:hAnsi="Calibri"/>
          <w:szCs w:val="21"/>
          <w:lang w:eastAsia="zh-CN"/>
        </w:rPr>
        <w:t>户名：</w:t>
      </w:r>
      <w:r>
        <w:rPr>
          <w:rFonts w:ascii="宋体" w:eastAsia="宋体" w:hAnsi="Calibri" w:hint="eastAsia"/>
          <w:szCs w:val="21"/>
          <w:lang w:eastAsia="zh-CN"/>
        </w:rPr>
        <w:t>易方达</w:t>
      </w:r>
      <w:r>
        <w:rPr>
          <w:rFonts w:ascii="宋体" w:eastAsia="宋体" w:hAnsi="Calibri"/>
          <w:szCs w:val="21"/>
          <w:lang w:eastAsia="zh-CN"/>
        </w:rPr>
        <w:t>基金管理有限公司</w:t>
      </w:r>
      <w:r>
        <w:rPr>
          <w:rFonts w:ascii="宋体" w:eastAsia="宋体" w:hAnsi="Calibri" w:hint="eastAsia"/>
          <w:szCs w:val="21"/>
          <w:lang w:eastAsia="zh-CN"/>
        </w:rPr>
        <w:t>直销</w:t>
      </w:r>
      <w:r>
        <w:rPr>
          <w:rFonts w:ascii="宋体" w:eastAsia="宋体" w:hAnsi="Calibri"/>
          <w:szCs w:val="21"/>
          <w:lang w:eastAsia="zh-CN"/>
        </w:rPr>
        <w:t>专户</w:t>
      </w:r>
    </w:p>
    <w:p w:rsidR="009E570F" w14:paraId="6A3BA222" w14:textId="77777777">
      <w:pPr>
        <w:snapToGrid w:val="0"/>
        <w:spacing w:line="360" w:lineRule="auto"/>
        <w:ind w:firstLine="420"/>
        <w:rPr>
          <w:rFonts w:ascii="宋体" w:eastAsia="宋体" w:hAnsi="Calibri"/>
          <w:szCs w:val="21"/>
          <w:lang w:eastAsia="zh-CN"/>
        </w:rPr>
      </w:pPr>
      <w:r>
        <w:rPr>
          <w:rFonts w:ascii="宋体" w:eastAsia="宋体" w:hAnsi="Calibri"/>
          <w:szCs w:val="21"/>
          <w:lang w:eastAsia="zh-CN"/>
        </w:rPr>
        <w:t>开户银行</w:t>
      </w:r>
      <w:r>
        <w:rPr>
          <w:rFonts w:ascii="宋体" w:eastAsia="宋体" w:hAnsi="Calibri" w:hint="eastAsia"/>
          <w:szCs w:val="21"/>
          <w:lang w:eastAsia="zh-CN"/>
        </w:rPr>
        <w:t>：中国工商银行股份有限公司广州国际金融城支行</w:t>
      </w:r>
    </w:p>
    <w:p w:rsidR="009E570F" w14:paraId="0CC7CF91" w14:textId="77777777">
      <w:pPr>
        <w:snapToGrid w:val="0"/>
        <w:spacing w:line="360" w:lineRule="auto"/>
        <w:ind w:left="210" w:firstLine="105"/>
        <w:rPr>
          <w:rFonts w:ascii="宋体" w:eastAsia="宋体" w:hAnsi="Calibri"/>
          <w:szCs w:val="21"/>
        </w:rPr>
      </w:pPr>
      <w:r>
        <w:rPr>
          <w:rFonts w:ascii="宋体" w:eastAsia="宋体" w:hAnsi="Calibri"/>
          <w:szCs w:val="21"/>
        </w:rPr>
        <w:t>账号：3602031419200088891</w:t>
      </w:r>
    </w:p>
    <w:p w:rsidR="009E570F" w14:paraId="68729FA7" w14:textId="77777777">
      <w:pPr>
        <w:numPr>
          <w:ilvl w:val="1"/>
          <w:numId w:val="7"/>
        </w:numPr>
        <w:snapToGrid w:val="0"/>
        <w:spacing w:line="360" w:lineRule="auto"/>
        <w:ind w:left="0" w:firstLine="420"/>
        <w:rPr>
          <w:rFonts w:ascii="宋体" w:eastAsia="宋体" w:hAnsi="Calibri"/>
          <w:szCs w:val="21"/>
          <w:lang w:eastAsia="zh-CN"/>
        </w:rPr>
      </w:pPr>
      <w:r>
        <w:rPr>
          <w:rFonts w:ascii="宋体" w:eastAsia="宋体" w:hAnsi="Calibri"/>
          <w:szCs w:val="21"/>
          <w:lang w:eastAsia="zh-CN"/>
        </w:rPr>
        <w:t>户名：</w:t>
      </w:r>
      <w:r>
        <w:rPr>
          <w:rFonts w:ascii="宋体" w:eastAsia="宋体" w:hAnsi="Calibri" w:hint="eastAsia"/>
          <w:szCs w:val="21"/>
          <w:lang w:eastAsia="zh-CN"/>
        </w:rPr>
        <w:t>易方达</w:t>
      </w:r>
      <w:r>
        <w:rPr>
          <w:rFonts w:ascii="宋体" w:eastAsia="宋体" w:hAnsi="Calibri"/>
          <w:szCs w:val="21"/>
          <w:lang w:eastAsia="zh-CN"/>
        </w:rPr>
        <w:t>基金管理有限公司</w:t>
      </w:r>
      <w:r>
        <w:rPr>
          <w:rFonts w:ascii="宋体" w:eastAsia="宋体" w:hAnsi="Calibri" w:hint="eastAsia"/>
          <w:szCs w:val="21"/>
          <w:lang w:eastAsia="zh-CN"/>
        </w:rPr>
        <w:t>直销</w:t>
      </w:r>
      <w:r>
        <w:rPr>
          <w:rFonts w:ascii="宋体" w:eastAsia="宋体" w:hAnsi="Calibri"/>
          <w:szCs w:val="21"/>
          <w:lang w:eastAsia="zh-CN"/>
        </w:rPr>
        <w:t>专户</w:t>
      </w:r>
    </w:p>
    <w:p w:rsidR="009E570F" w14:paraId="1063A96E" w14:textId="77777777">
      <w:pPr>
        <w:snapToGrid w:val="0"/>
        <w:spacing w:line="360" w:lineRule="auto"/>
        <w:ind w:firstLine="420"/>
        <w:rPr>
          <w:rFonts w:ascii="宋体" w:eastAsia="宋体" w:hAnsi="Calibri"/>
          <w:szCs w:val="21"/>
          <w:lang w:eastAsia="zh-CN"/>
        </w:rPr>
      </w:pPr>
      <w:r>
        <w:rPr>
          <w:rFonts w:ascii="宋体" w:eastAsia="宋体" w:hAnsi="Calibri"/>
          <w:szCs w:val="21"/>
          <w:lang w:eastAsia="zh-CN"/>
        </w:rPr>
        <w:t>开户银行</w:t>
      </w:r>
      <w:r>
        <w:rPr>
          <w:rFonts w:ascii="宋体" w:eastAsia="宋体" w:hAnsi="Calibri" w:hint="eastAsia"/>
          <w:szCs w:val="21"/>
          <w:lang w:eastAsia="zh-CN"/>
        </w:rPr>
        <w:t>：</w:t>
      </w:r>
      <w:r>
        <w:rPr>
          <w:rFonts w:ascii="宋体" w:eastAsia="宋体" w:hAnsi="Calibri"/>
          <w:szCs w:val="21"/>
          <w:lang w:eastAsia="zh-CN"/>
        </w:rPr>
        <w:t>中国银行</w:t>
      </w:r>
      <w:r>
        <w:rPr>
          <w:rFonts w:ascii="宋体" w:eastAsia="宋体" w:hAnsi="Calibri" w:hint="eastAsia"/>
          <w:szCs w:val="21"/>
          <w:lang w:eastAsia="zh-CN"/>
        </w:rPr>
        <w:t>广东省分行</w:t>
      </w:r>
    </w:p>
    <w:p w:rsidR="009E570F" w14:paraId="5A6799AE" w14:textId="77777777">
      <w:pPr>
        <w:snapToGrid w:val="0"/>
        <w:spacing w:line="360" w:lineRule="auto"/>
        <w:ind w:firstLine="420"/>
        <w:rPr>
          <w:rFonts w:ascii="宋体" w:eastAsia="宋体" w:hAnsi="Calibri"/>
          <w:szCs w:val="21"/>
          <w:lang w:eastAsia="zh-CN"/>
        </w:rPr>
      </w:pPr>
      <w:r>
        <w:rPr>
          <w:rFonts w:ascii="宋体" w:eastAsia="宋体" w:hAnsi="Calibri"/>
          <w:szCs w:val="21"/>
          <w:lang w:eastAsia="zh-CN"/>
        </w:rPr>
        <w:t>账号：665257735480</w:t>
      </w:r>
    </w:p>
    <w:p w:rsidR="009E570F" w14:paraId="537F954E" w14:textId="77777777">
      <w:pPr>
        <w:snapToGrid w:val="0"/>
        <w:spacing w:line="360" w:lineRule="auto"/>
        <w:ind w:firstLine="422"/>
        <w:rPr>
          <w:rFonts w:ascii="宋体" w:eastAsia="宋体" w:hAnsi="Calibri"/>
          <w:szCs w:val="21"/>
          <w:lang w:eastAsia="zh-CN"/>
        </w:rPr>
      </w:pPr>
      <w:r>
        <w:rPr>
          <w:rFonts w:ascii="宋体" w:eastAsia="宋体" w:hAnsi="Calibri"/>
          <w:szCs w:val="21"/>
          <w:lang w:eastAsia="zh-CN"/>
        </w:rPr>
        <w:t>c.</w:t>
      </w:r>
      <w:r>
        <w:rPr>
          <w:rFonts w:ascii="宋体" w:eastAsia="宋体" w:hAnsi="Calibri" w:hint="eastAsia"/>
          <w:szCs w:val="21"/>
          <w:lang w:eastAsia="zh-CN"/>
        </w:rPr>
        <w:t>其他直销专户信息，请见本公司网站。</w:t>
      </w:r>
    </w:p>
    <w:p w:rsidR="009E570F" w14:paraId="608FBD28" w14:textId="77777777">
      <w:pPr>
        <w:snapToGrid w:val="0"/>
        <w:spacing w:line="360" w:lineRule="auto"/>
        <w:ind w:firstLine="420"/>
        <w:rPr>
          <w:rFonts w:ascii="宋体" w:eastAsia="宋体" w:hAnsi="Calibri"/>
          <w:szCs w:val="21"/>
          <w:lang w:eastAsia="zh-CN"/>
        </w:rPr>
      </w:pPr>
      <w:r>
        <w:rPr>
          <w:rFonts w:ascii="宋体" w:eastAsia="宋体" w:hAnsi="Calibri"/>
          <w:szCs w:val="21"/>
          <w:lang w:eastAsia="zh-CN"/>
        </w:rPr>
        <w:t>投资者若未按上述</w:t>
      </w:r>
      <w:r>
        <w:rPr>
          <w:rFonts w:ascii="宋体" w:eastAsia="宋体" w:hAnsi="Calibri" w:hint="eastAsia"/>
          <w:szCs w:val="21"/>
          <w:lang w:eastAsia="zh-CN"/>
        </w:rPr>
        <w:t>办法</w:t>
      </w:r>
      <w:r>
        <w:rPr>
          <w:rFonts w:ascii="宋体" w:eastAsia="宋体" w:hAnsi="Calibri"/>
          <w:szCs w:val="21"/>
          <w:lang w:eastAsia="zh-CN"/>
        </w:rPr>
        <w:t>划付</w:t>
      </w:r>
      <w:r>
        <w:rPr>
          <w:rFonts w:ascii="宋体" w:eastAsia="宋体" w:hAnsi="Calibri" w:hint="eastAsia"/>
          <w:szCs w:val="21"/>
          <w:lang w:eastAsia="zh-CN"/>
        </w:rPr>
        <w:t>认购款项</w:t>
      </w:r>
      <w:r>
        <w:rPr>
          <w:rFonts w:ascii="宋体" w:eastAsia="宋体" w:hAnsi="Calibri"/>
          <w:szCs w:val="21"/>
          <w:lang w:eastAsia="zh-CN"/>
        </w:rPr>
        <w:t>，造成认购无效的，</w:t>
      </w:r>
      <w:r>
        <w:rPr>
          <w:rFonts w:ascii="宋体" w:eastAsia="宋体" w:hAnsi="Calibri" w:hint="eastAsia"/>
          <w:szCs w:val="21"/>
          <w:lang w:eastAsia="zh-CN"/>
        </w:rPr>
        <w:t>易方达</w:t>
      </w:r>
      <w:r>
        <w:rPr>
          <w:rFonts w:ascii="宋体" w:eastAsia="宋体" w:hAnsi="Calibri"/>
          <w:szCs w:val="21"/>
          <w:lang w:eastAsia="zh-CN"/>
        </w:rPr>
        <w:t>基金管理有限公司及</w:t>
      </w:r>
      <w:r>
        <w:rPr>
          <w:rFonts w:ascii="宋体" w:eastAsia="宋体" w:hAnsi="Calibri" w:hint="eastAsia"/>
          <w:szCs w:val="21"/>
          <w:lang w:eastAsia="zh-CN"/>
        </w:rPr>
        <w:t>直销专户的开户</w:t>
      </w:r>
      <w:r>
        <w:rPr>
          <w:rFonts w:ascii="宋体" w:eastAsia="宋体" w:hAnsi="Calibri"/>
          <w:szCs w:val="21"/>
          <w:lang w:eastAsia="zh-CN"/>
        </w:rPr>
        <w:t>银行不承担任何责任。</w:t>
      </w:r>
    </w:p>
    <w:p w:rsidR="009E570F" w14:paraId="05588FFC"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w:t>
      </w:r>
      <w:r>
        <w:rPr>
          <w:rFonts w:ascii="宋体" w:eastAsia="宋体" w:hAnsi="Calibri"/>
          <w:sz w:val="21"/>
          <w:szCs w:val="21"/>
          <w:lang w:eastAsia="zh-CN"/>
        </w:rPr>
        <w:t>2</w:t>
      </w:r>
      <w:r>
        <w:rPr>
          <w:rFonts w:ascii="宋体" w:eastAsia="宋体" w:hAnsi="Calibri" w:hint="eastAsia"/>
          <w:sz w:val="21"/>
          <w:szCs w:val="21"/>
          <w:lang w:eastAsia="zh-CN"/>
        </w:rPr>
        <w:t>）投资者在银行填写划款凭证时，请写明用途。</w:t>
      </w:r>
    </w:p>
    <w:p w:rsidR="009E570F" w14:paraId="319871F7"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3）个人投资者通过本公司直销中心提交认购申请时，可选择当日有效或3天内有效（如果不选则默认为当日有效），对于选择当日有效的申请，资金晚于截止时间到账的，则视为无效申请；对于选择3天内有效的申请，以资金实际到账之日作为有效申请受理日，资金晚于当日截止时间到账的，则次日为有效申请受理日。</w:t>
      </w:r>
    </w:p>
    <w:p w:rsidR="009E570F" w14:paraId="4058EC25"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3．通过非直销销售机构认购的个人投资者，需准备足额的认购资金存入指定的资金结算账户，由非直销销售机构扣划相应款项。</w:t>
      </w:r>
    </w:p>
    <w:p w:rsidR="009E570F" w14:paraId="2E6811FF"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4．以下情况将被视为无效认购</w:t>
      </w:r>
      <w:r>
        <w:rPr>
          <w:rFonts w:ascii="宋体" w:eastAsia="宋体" w:hAnsi="Calibri"/>
          <w:sz w:val="21"/>
          <w:szCs w:val="21"/>
          <w:lang w:eastAsia="zh-CN"/>
        </w:rPr>
        <w:t>，款项</w:t>
      </w:r>
      <w:r>
        <w:rPr>
          <w:rFonts w:ascii="宋体" w:eastAsia="宋体" w:hAnsi="Calibri" w:hint="eastAsia"/>
          <w:sz w:val="21"/>
          <w:szCs w:val="21"/>
          <w:lang w:eastAsia="zh-CN"/>
        </w:rPr>
        <w:t>将</w:t>
      </w:r>
      <w:r>
        <w:rPr>
          <w:rFonts w:ascii="宋体" w:eastAsia="宋体" w:hAnsi="Calibri"/>
          <w:sz w:val="21"/>
          <w:szCs w:val="21"/>
          <w:lang w:eastAsia="zh-CN"/>
        </w:rPr>
        <w:t>退往投资者</w:t>
      </w:r>
      <w:r>
        <w:rPr>
          <w:rFonts w:ascii="宋体" w:eastAsia="宋体" w:hAnsi="Calibri" w:hint="eastAsia"/>
          <w:sz w:val="21"/>
          <w:szCs w:val="21"/>
          <w:lang w:eastAsia="zh-CN"/>
        </w:rPr>
        <w:t>指定的资金结算</w:t>
      </w:r>
      <w:r>
        <w:rPr>
          <w:rFonts w:ascii="宋体" w:eastAsia="宋体" w:hAnsi="Calibri"/>
          <w:sz w:val="21"/>
          <w:szCs w:val="21"/>
          <w:lang w:eastAsia="zh-CN"/>
        </w:rPr>
        <w:t>账户：</w:t>
      </w:r>
    </w:p>
    <w:p w:rsidR="009E570F" w14:paraId="69873335" w14:textId="77777777">
      <w:pPr>
        <w:numPr>
          <w:ilvl w:val="1"/>
          <w:numId w:val="8"/>
        </w:numPr>
        <w:snapToGrid w:val="0"/>
        <w:spacing w:line="360" w:lineRule="auto"/>
        <w:ind w:left="0" w:firstLine="420"/>
        <w:rPr>
          <w:rFonts w:ascii="宋体" w:eastAsia="宋体" w:hAnsi="Calibri"/>
          <w:szCs w:val="21"/>
          <w:lang w:eastAsia="zh-CN"/>
        </w:rPr>
      </w:pPr>
      <w:r>
        <w:rPr>
          <w:rFonts w:ascii="宋体" w:eastAsia="宋体" w:hAnsi="Calibri"/>
          <w:szCs w:val="21"/>
          <w:lang w:eastAsia="zh-CN"/>
        </w:rPr>
        <w:t>投资者</w:t>
      </w:r>
      <w:r>
        <w:rPr>
          <w:rFonts w:ascii="宋体" w:eastAsia="宋体" w:hAnsi="Calibri" w:hint="eastAsia"/>
          <w:szCs w:val="21"/>
          <w:lang w:eastAsia="zh-CN"/>
        </w:rPr>
        <w:t>已缴款</w:t>
      </w:r>
      <w:r>
        <w:rPr>
          <w:rFonts w:ascii="宋体" w:eastAsia="宋体" w:hAnsi="Calibri"/>
          <w:szCs w:val="21"/>
          <w:lang w:eastAsia="zh-CN"/>
        </w:rPr>
        <w:t>，但未办理开户手续或开户不成功的；</w:t>
      </w:r>
    </w:p>
    <w:p w:rsidR="009E570F" w14:paraId="02C474B7" w14:textId="77777777">
      <w:pPr>
        <w:numPr>
          <w:ilvl w:val="1"/>
          <w:numId w:val="8"/>
        </w:numPr>
        <w:snapToGrid w:val="0"/>
        <w:spacing w:line="360" w:lineRule="auto"/>
        <w:ind w:left="0" w:firstLine="420"/>
        <w:rPr>
          <w:rFonts w:ascii="宋体" w:eastAsia="宋体" w:hAnsi="Calibri"/>
          <w:szCs w:val="21"/>
          <w:lang w:eastAsia="zh-CN"/>
        </w:rPr>
      </w:pPr>
      <w:r>
        <w:rPr>
          <w:rFonts w:ascii="宋体" w:eastAsia="宋体" w:hAnsi="Calibri"/>
          <w:szCs w:val="21"/>
          <w:lang w:eastAsia="zh-CN"/>
        </w:rPr>
        <w:t>投资者</w:t>
      </w:r>
      <w:r>
        <w:rPr>
          <w:rFonts w:ascii="宋体" w:eastAsia="宋体" w:hAnsi="Calibri" w:hint="eastAsia"/>
          <w:szCs w:val="21"/>
          <w:lang w:eastAsia="zh-CN"/>
        </w:rPr>
        <w:t>已缴款</w:t>
      </w:r>
      <w:r>
        <w:rPr>
          <w:rFonts w:ascii="宋体" w:eastAsia="宋体" w:hAnsi="Calibri"/>
          <w:szCs w:val="21"/>
          <w:lang w:eastAsia="zh-CN"/>
        </w:rPr>
        <w:t>，但未办理认购</w:t>
      </w:r>
      <w:r>
        <w:rPr>
          <w:rFonts w:ascii="宋体" w:eastAsia="宋体" w:hAnsi="Calibri" w:hint="eastAsia"/>
          <w:szCs w:val="21"/>
          <w:lang w:eastAsia="zh-CN"/>
        </w:rPr>
        <w:t>申请或认购申请未被确认</w:t>
      </w:r>
      <w:r>
        <w:rPr>
          <w:rFonts w:ascii="宋体" w:eastAsia="宋体" w:hAnsi="Calibri"/>
          <w:szCs w:val="21"/>
          <w:lang w:eastAsia="zh-CN"/>
        </w:rPr>
        <w:t>的；</w:t>
      </w:r>
    </w:p>
    <w:p w:rsidR="009E570F" w14:paraId="45BE38A4" w14:textId="77777777">
      <w:pPr>
        <w:numPr>
          <w:ilvl w:val="1"/>
          <w:numId w:val="8"/>
        </w:numPr>
        <w:snapToGrid w:val="0"/>
        <w:spacing w:line="360" w:lineRule="auto"/>
        <w:ind w:left="0" w:firstLine="420"/>
        <w:rPr>
          <w:rFonts w:ascii="宋体" w:eastAsia="宋体" w:hAnsi="Calibri"/>
          <w:szCs w:val="21"/>
          <w:lang w:eastAsia="zh-CN"/>
        </w:rPr>
      </w:pPr>
      <w:r>
        <w:rPr>
          <w:rFonts w:ascii="宋体" w:eastAsia="宋体" w:hAnsi="Calibri"/>
          <w:szCs w:val="21"/>
          <w:lang w:eastAsia="zh-CN"/>
        </w:rPr>
        <w:t>投资者</w:t>
      </w:r>
      <w:r>
        <w:rPr>
          <w:rFonts w:ascii="宋体" w:eastAsia="宋体" w:hAnsi="Calibri" w:hint="eastAsia"/>
          <w:szCs w:val="21"/>
          <w:lang w:eastAsia="zh-CN"/>
        </w:rPr>
        <w:t>缴款金额</w:t>
      </w:r>
      <w:r>
        <w:rPr>
          <w:rFonts w:ascii="宋体" w:eastAsia="宋体" w:hAnsi="Calibri"/>
          <w:szCs w:val="21"/>
          <w:lang w:eastAsia="zh-CN"/>
        </w:rPr>
        <w:t>少于其申请的认购金额的；</w:t>
      </w:r>
    </w:p>
    <w:p w:rsidR="009E570F" w14:paraId="2D8FD335" w14:textId="77777777">
      <w:pPr>
        <w:numPr>
          <w:ilvl w:val="1"/>
          <w:numId w:val="8"/>
        </w:numPr>
        <w:snapToGrid w:val="0"/>
        <w:spacing w:line="360" w:lineRule="auto"/>
        <w:ind w:left="0" w:firstLine="420"/>
        <w:rPr>
          <w:rFonts w:ascii="宋体" w:eastAsia="宋体" w:hAnsi="Calibri"/>
          <w:szCs w:val="21"/>
          <w:lang w:eastAsia="zh-CN"/>
        </w:rPr>
      </w:pPr>
      <w:r>
        <w:rPr>
          <w:rFonts w:ascii="宋体" w:eastAsia="宋体" w:hAnsi="Calibri" w:hint="eastAsia"/>
          <w:szCs w:val="21"/>
          <w:lang w:eastAsia="zh-CN"/>
        </w:rPr>
        <w:t>投资者缴款时间晚于基金认购结束日本公司截止时间的；</w:t>
      </w:r>
    </w:p>
    <w:p w:rsidR="009E570F" w14:paraId="01A66AC1" w14:textId="77777777">
      <w:pPr>
        <w:numPr>
          <w:ilvl w:val="1"/>
          <w:numId w:val="8"/>
        </w:numPr>
        <w:snapToGrid w:val="0"/>
        <w:spacing w:line="360" w:lineRule="auto"/>
        <w:ind w:left="0" w:firstLine="420"/>
        <w:rPr>
          <w:rFonts w:ascii="宋体" w:eastAsia="宋体" w:hAnsi="Calibri"/>
          <w:szCs w:val="21"/>
          <w:lang w:eastAsia="zh-CN"/>
        </w:rPr>
      </w:pPr>
      <w:r>
        <w:rPr>
          <w:rFonts w:ascii="宋体" w:eastAsia="宋体" w:hAnsi="Calibri" w:hint="eastAsia"/>
          <w:szCs w:val="21"/>
          <w:lang w:eastAsia="zh-CN"/>
        </w:rPr>
        <w:t>其它导致认购无效的情况。</w:t>
      </w:r>
    </w:p>
    <w:p w:rsidR="009E570F" w14:paraId="685A2110" w14:textId="77777777">
      <w:pPr>
        <w:snapToGrid w:val="0"/>
        <w:spacing w:line="360" w:lineRule="auto"/>
        <w:ind w:firstLine="480"/>
        <w:rPr>
          <w:rStyle w:val="big1"/>
          <w:rFonts w:ascii="宋体" w:eastAsia="宋体" w:hAnsi="Calibri"/>
          <w:b/>
          <w:bCs/>
          <w:sz w:val="21"/>
          <w:szCs w:val="21"/>
          <w:lang w:eastAsia="zh-CN"/>
        </w:rPr>
      </w:pPr>
    </w:p>
    <w:p w:rsidR="009E570F" w14:paraId="64B3506F" w14:textId="77777777">
      <w:pPr>
        <w:snapToGrid w:val="0"/>
        <w:spacing w:line="360" w:lineRule="auto"/>
        <w:outlineLvl w:val="0"/>
        <w:rPr>
          <w:rStyle w:val="big1"/>
          <w:rFonts w:ascii="宋体" w:eastAsia="宋体" w:hAnsi="Calibri"/>
          <w:b/>
          <w:bCs/>
          <w:spacing w:val="0"/>
          <w:sz w:val="21"/>
          <w:szCs w:val="21"/>
          <w:lang w:eastAsia="zh-CN"/>
        </w:rPr>
      </w:pPr>
      <w:r>
        <w:rPr>
          <w:rStyle w:val="big1"/>
          <w:rFonts w:ascii="宋体" w:eastAsia="宋体" w:hAnsi="Calibri" w:hint="eastAsia"/>
          <w:b/>
          <w:bCs/>
          <w:spacing w:val="0"/>
          <w:sz w:val="21"/>
          <w:szCs w:val="21"/>
          <w:lang w:eastAsia="zh-CN"/>
        </w:rPr>
        <w:t>五</w:t>
      </w:r>
      <w:r>
        <w:rPr>
          <w:rStyle w:val="big1"/>
          <w:rFonts w:ascii="宋体" w:eastAsia="宋体" w:hAnsi="Calibri"/>
          <w:b/>
          <w:bCs/>
          <w:spacing w:val="0"/>
          <w:sz w:val="21"/>
          <w:szCs w:val="21"/>
          <w:lang w:eastAsia="zh-CN"/>
        </w:rPr>
        <w:t>、</w:t>
      </w:r>
      <w:r>
        <w:rPr>
          <w:rStyle w:val="big1"/>
          <w:rFonts w:ascii="宋体" w:eastAsia="宋体" w:hAnsi="Calibri" w:hint="eastAsia"/>
          <w:b/>
          <w:bCs/>
          <w:spacing w:val="0"/>
          <w:sz w:val="21"/>
          <w:szCs w:val="21"/>
          <w:lang w:eastAsia="zh-CN"/>
        </w:rPr>
        <w:t>过户登记与退款</w:t>
      </w:r>
    </w:p>
    <w:p w:rsidR="009E570F" w14:paraId="4E218DA9"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1.</w:t>
      </w:r>
      <w:r>
        <w:rPr>
          <w:rFonts w:ascii="宋体" w:eastAsia="宋体" w:hAnsi="Calibri"/>
          <w:sz w:val="21"/>
          <w:szCs w:val="21"/>
          <w:lang w:eastAsia="zh-CN"/>
        </w:rPr>
        <w:t>本基金登记</w:t>
      </w:r>
      <w:r>
        <w:rPr>
          <w:rFonts w:ascii="宋体" w:eastAsia="宋体" w:hAnsi="Calibri" w:hint="eastAsia"/>
          <w:sz w:val="21"/>
          <w:szCs w:val="21"/>
          <w:lang w:eastAsia="zh-CN"/>
        </w:rPr>
        <w:t>机构</w:t>
      </w:r>
      <w:r>
        <w:rPr>
          <w:rFonts w:ascii="宋体" w:eastAsia="宋体" w:hAnsi="Calibri"/>
          <w:sz w:val="21"/>
          <w:szCs w:val="21"/>
          <w:lang w:eastAsia="zh-CN"/>
        </w:rPr>
        <w:t>（易方达基金管理有限公司）在</w:t>
      </w:r>
      <w:r>
        <w:rPr>
          <w:rFonts w:ascii="宋体" w:eastAsia="宋体" w:hAnsi="Calibri" w:hint="eastAsia"/>
          <w:sz w:val="21"/>
          <w:szCs w:val="21"/>
          <w:lang w:eastAsia="zh-CN"/>
        </w:rPr>
        <w:t>募集</w:t>
      </w:r>
      <w:r>
        <w:rPr>
          <w:rFonts w:ascii="宋体" w:eastAsia="宋体" w:hAnsi="Calibri"/>
          <w:sz w:val="21"/>
          <w:szCs w:val="21"/>
          <w:lang w:eastAsia="zh-CN"/>
        </w:rPr>
        <w:t>结束后</w:t>
      </w:r>
      <w:r>
        <w:rPr>
          <w:rFonts w:ascii="宋体" w:eastAsia="宋体" w:hAnsi="Calibri" w:hint="eastAsia"/>
          <w:sz w:val="21"/>
          <w:szCs w:val="21"/>
          <w:lang w:eastAsia="zh-CN"/>
        </w:rPr>
        <w:t>对基金权益进行过户登记</w:t>
      </w:r>
      <w:r>
        <w:rPr>
          <w:rFonts w:ascii="宋体" w:eastAsia="宋体" w:hAnsi="Calibri"/>
          <w:sz w:val="21"/>
          <w:szCs w:val="21"/>
          <w:lang w:eastAsia="zh-CN"/>
        </w:rPr>
        <w:t>。</w:t>
      </w:r>
    </w:p>
    <w:p w:rsidR="009E570F" w14:paraId="78447657"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2.在发售期内被确认无效的认购资金，将于认购申请被确认无效之日起三个工作日内向投资者的结算账户划出，在发售结束后被确认无效的认购资金，将于验资完成日起三个工作日内向投资者的结算账户划出</w:t>
      </w:r>
      <w:r>
        <w:rPr>
          <w:rFonts w:ascii="宋体" w:eastAsia="宋体" w:hAnsi="Calibri"/>
          <w:sz w:val="21"/>
          <w:szCs w:val="21"/>
          <w:lang w:eastAsia="zh-CN"/>
        </w:rPr>
        <w:t>。</w:t>
      </w:r>
    </w:p>
    <w:p w:rsidR="009E570F" w14:paraId="757CE1A9" w14:textId="77777777">
      <w:pPr>
        <w:snapToGrid w:val="0"/>
        <w:spacing w:line="360" w:lineRule="auto"/>
        <w:ind w:firstLine="420"/>
        <w:rPr>
          <w:rStyle w:val="big1"/>
          <w:rFonts w:ascii="宋体" w:eastAsia="宋体" w:hAnsi="Calibri"/>
          <w:sz w:val="21"/>
          <w:szCs w:val="21"/>
          <w:lang w:eastAsia="zh-CN"/>
        </w:rPr>
      </w:pPr>
    </w:p>
    <w:p w:rsidR="009E570F" w14:paraId="52EA0C8D" w14:textId="77777777">
      <w:pPr>
        <w:snapToGrid w:val="0"/>
        <w:spacing w:line="360" w:lineRule="auto"/>
        <w:outlineLvl w:val="0"/>
        <w:rPr>
          <w:rStyle w:val="big1"/>
          <w:rFonts w:ascii="宋体" w:eastAsia="宋体" w:hAnsi="Calibri"/>
          <w:b/>
          <w:bCs/>
          <w:spacing w:val="0"/>
          <w:sz w:val="21"/>
          <w:szCs w:val="21"/>
          <w:lang w:eastAsia="zh-CN"/>
        </w:rPr>
      </w:pPr>
      <w:r>
        <w:rPr>
          <w:rStyle w:val="big1"/>
          <w:rFonts w:ascii="宋体" w:eastAsia="宋体" w:hAnsi="Calibri" w:hint="eastAsia"/>
          <w:b/>
          <w:bCs/>
          <w:spacing w:val="0"/>
          <w:sz w:val="21"/>
          <w:szCs w:val="21"/>
          <w:lang w:eastAsia="zh-CN"/>
        </w:rPr>
        <w:t>六</w:t>
      </w:r>
      <w:r>
        <w:rPr>
          <w:rStyle w:val="big1"/>
          <w:rFonts w:ascii="宋体" w:eastAsia="宋体" w:hAnsi="Calibri"/>
          <w:b/>
          <w:bCs/>
          <w:spacing w:val="0"/>
          <w:sz w:val="21"/>
          <w:szCs w:val="21"/>
          <w:lang w:eastAsia="zh-CN"/>
        </w:rPr>
        <w:t>、基金资产的验资与基金合同生效</w:t>
      </w:r>
    </w:p>
    <w:p w:rsidR="009E570F" w14:paraId="77F0564F"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1.</w:t>
      </w:r>
      <w:r>
        <w:rPr>
          <w:rFonts w:ascii="宋体" w:eastAsia="宋体" w:hAnsi="Calibri"/>
          <w:sz w:val="21"/>
          <w:szCs w:val="21"/>
          <w:lang w:eastAsia="zh-CN"/>
        </w:rPr>
        <w:t>募集截止后</w:t>
      </w:r>
      <w:r>
        <w:rPr>
          <w:rFonts w:ascii="宋体" w:eastAsia="宋体" w:hAnsi="Calibri" w:hint="eastAsia"/>
          <w:sz w:val="21"/>
          <w:szCs w:val="21"/>
          <w:lang w:eastAsia="zh-CN"/>
        </w:rPr>
        <w:t>，基金</w:t>
      </w:r>
      <w:r>
        <w:rPr>
          <w:rFonts w:ascii="宋体" w:eastAsia="宋体" w:hAnsi="Calibri"/>
          <w:sz w:val="21"/>
          <w:szCs w:val="21"/>
          <w:lang w:eastAsia="zh-CN"/>
        </w:rPr>
        <w:t>管理人根据登记</w:t>
      </w:r>
      <w:r>
        <w:rPr>
          <w:rFonts w:ascii="宋体" w:eastAsia="宋体" w:hAnsi="Calibri" w:hint="eastAsia"/>
          <w:sz w:val="21"/>
          <w:szCs w:val="21"/>
          <w:lang w:eastAsia="zh-CN"/>
        </w:rPr>
        <w:t>机构</w:t>
      </w:r>
      <w:r>
        <w:rPr>
          <w:rFonts w:ascii="宋体" w:eastAsia="宋体" w:hAnsi="Calibri"/>
          <w:sz w:val="21"/>
          <w:szCs w:val="21"/>
          <w:lang w:eastAsia="zh-CN"/>
        </w:rPr>
        <w:t>确认</w:t>
      </w:r>
      <w:r>
        <w:rPr>
          <w:rFonts w:ascii="宋体" w:eastAsia="宋体" w:hAnsi="Calibri" w:hint="eastAsia"/>
          <w:sz w:val="21"/>
          <w:szCs w:val="21"/>
          <w:lang w:eastAsia="zh-CN"/>
        </w:rPr>
        <w:t>的</w:t>
      </w:r>
      <w:r>
        <w:rPr>
          <w:rFonts w:ascii="宋体" w:eastAsia="宋体" w:hAnsi="Calibri"/>
          <w:sz w:val="21"/>
          <w:szCs w:val="21"/>
          <w:lang w:eastAsia="zh-CN"/>
        </w:rPr>
        <w:t>数据</w:t>
      </w:r>
      <w:r>
        <w:rPr>
          <w:rFonts w:ascii="宋体" w:eastAsia="宋体" w:hAnsi="Calibri" w:hint="eastAsia"/>
          <w:sz w:val="21"/>
          <w:szCs w:val="21"/>
          <w:lang w:eastAsia="zh-CN"/>
        </w:rPr>
        <w:t>，</w:t>
      </w:r>
      <w:r>
        <w:rPr>
          <w:rFonts w:ascii="宋体" w:eastAsia="宋体" w:hAnsi="Calibri"/>
          <w:sz w:val="21"/>
          <w:szCs w:val="21"/>
          <w:lang w:eastAsia="zh-CN"/>
        </w:rPr>
        <w:t>将有效认购资金</w:t>
      </w:r>
      <w:r>
        <w:rPr>
          <w:rFonts w:ascii="宋体" w:eastAsia="宋体" w:hAnsi="Calibri" w:hint="eastAsia"/>
          <w:sz w:val="21"/>
          <w:szCs w:val="21"/>
          <w:lang w:eastAsia="zh-CN"/>
        </w:rPr>
        <w:t>（不含认购费）及募集期间产生的</w:t>
      </w:r>
      <w:r>
        <w:rPr>
          <w:rFonts w:ascii="宋体" w:eastAsia="宋体" w:hAnsi="Calibri"/>
          <w:sz w:val="21"/>
          <w:szCs w:val="21"/>
          <w:lang w:eastAsia="zh-CN"/>
        </w:rPr>
        <w:t>利息一并划入</w:t>
      </w:r>
      <w:r>
        <w:rPr>
          <w:rFonts w:ascii="宋体" w:eastAsia="宋体" w:hAnsi="Calibri" w:hint="eastAsia"/>
          <w:sz w:val="21"/>
          <w:szCs w:val="21"/>
          <w:lang w:eastAsia="zh-CN"/>
        </w:rPr>
        <w:t>在托管行的专用账户</w:t>
      </w:r>
      <w:r>
        <w:rPr>
          <w:rFonts w:ascii="宋体" w:eastAsia="宋体" w:hAnsi="Calibri"/>
          <w:sz w:val="21"/>
          <w:szCs w:val="21"/>
          <w:lang w:eastAsia="zh-CN"/>
        </w:rPr>
        <w:t>，基金管理人委托</w:t>
      </w:r>
      <w:r>
        <w:rPr>
          <w:rFonts w:ascii="宋体" w:eastAsia="宋体" w:hAnsi="Calibri" w:hint="eastAsia"/>
          <w:sz w:val="21"/>
          <w:szCs w:val="21"/>
          <w:lang w:eastAsia="zh-CN"/>
        </w:rPr>
        <w:t>符合《证券法》规定的</w:t>
      </w:r>
      <w:r>
        <w:rPr>
          <w:rFonts w:ascii="宋体" w:eastAsia="宋体" w:hAnsi="Calibri"/>
          <w:sz w:val="21"/>
          <w:szCs w:val="21"/>
          <w:lang w:eastAsia="zh-CN"/>
        </w:rPr>
        <w:t>会计师事务所对基金资产进行验资并出具报告，登记</w:t>
      </w:r>
      <w:r>
        <w:rPr>
          <w:rFonts w:ascii="宋体" w:eastAsia="宋体" w:hAnsi="Calibri" w:hint="eastAsia"/>
          <w:sz w:val="21"/>
          <w:szCs w:val="21"/>
          <w:lang w:eastAsia="zh-CN"/>
        </w:rPr>
        <w:t>机构</w:t>
      </w:r>
      <w:r>
        <w:rPr>
          <w:rFonts w:ascii="宋体" w:eastAsia="宋体" w:hAnsi="Calibri"/>
          <w:sz w:val="21"/>
          <w:szCs w:val="21"/>
          <w:lang w:eastAsia="zh-CN"/>
        </w:rPr>
        <w:t>出具认购户数证明</w:t>
      </w:r>
      <w:r>
        <w:rPr>
          <w:rFonts w:ascii="宋体" w:eastAsia="宋体" w:hAnsi="Calibri" w:hint="eastAsia"/>
          <w:sz w:val="21"/>
          <w:szCs w:val="21"/>
          <w:lang w:eastAsia="zh-CN"/>
        </w:rPr>
        <w:t>。</w:t>
      </w:r>
    </w:p>
    <w:p w:rsidR="009E570F" w14:paraId="5A2C13C7"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2.若基金合同达到生效条件，</w:t>
      </w:r>
      <w:r>
        <w:rPr>
          <w:rFonts w:ascii="宋体" w:eastAsia="宋体" w:hAnsi="Calibri"/>
          <w:sz w:val="21"/>
          <w:szCs w:val="21"/>
          <w:lang w:eastAsia="zh-CN"/>
        </w:rPr>
        <w:t>基金管理人</w:t>
      </w:r>
      <w:r>
        <w:rPr>
          <w:rFonts w:ascii="宋体" w:eastAsia="宋体" w:hAnsi="Calibri" w:hint="eastAsia"/>
          <w:sz w:val="21"/>
          <w:szCs w:val="21"/>
          <w:lang w:eastAsia="zh-CN"/>
        </w:rPr>
        <w:t>在按照规定办理了基金验资和备案手续后公告基金合同生效。</w:t>
      </w:r>
    </w:p>
    <w:p w:rsidR="009E570F" w14:paraId="67FF9587" w14:textId="77777777">
      <w:pPr>
        <w:pStyle w:val="BodyTextIndent"/>
        <w:snapToGrid w:val="0"/>
        <w:ind w:firstLine="420"/>
        <w:rPr>
          <w:rFonts w:ascii="宋体" w:eastAsia="宋体" w:hAnsi="Calibri"/>
          <w:sz w:val="21"/>
          <w:szCs w:val="21"/>
          <w:lang w:eastAsia="zh-CN"/>
        </w:rPr>
      </w:pPr>
      <w:r>
        <w:rPr>
          <w:rFonts w:ascii="宋体" w:eastAsia="宋体" w:hAnsi="Calibri" w:hint="eastAsia"/>
          <w:sz w:val="21"/>
          <w:szCs w:val="21"/>
          <w:lang w:eastAsia="zh-CN"/>
        </w:rPr>
        <w:t>3.若基金合同未能生效，则基金</w:t>
      </w:r>
      <w:r>
        <w:rPr>
          <w:rFonts w:ascii="宋体" w:eastAsia="宋体" w:hAnsi="Calibri"/>
          <w:sz w:val="21"/>
          <w:szCs w:val="21"/>
          <w:lang w:eastAsia="zh-CN"/>
        </w:rPr>
        <w:t>管理人</w:t>
      </w:r>
      <w:r>
        <w:rPr>
          <w:rFonts w:ascii="宋体" w:eastAsia="宋体" w:hAnsi="Calibri" w:hint="eastAsia"/>
          <w:sz w:val="21"/>
          <w:szCs w:val="21"/>
          <w:lang w:eastAsia="zh-CN"/>
        </w:rPr>
        <w:t>应承担全部募集费用，并将已募集资金加计银行同期活期存款利息在募集期结束后30天内退还基金认购人。</w:t>
      </w:r>
    </w:p>
    <w:p w:rsidR="009E570F" w14:paraId="53184CE2" w14:textId="77777777">
      <w:pPr>
        <w:snapToGrid w:val="0"/>
        <w:spacing w:line="360" w:lineRule="auto"/>
        <w:ind w:firstLine="480"/>
        <w:rPr>
          <w:rStyle w:val="big1"/>
          <w:rFonts w:ascii="宋体" w:eastAsia="宋体" w:hAnsi="Calibri"/>
          <w:sz w:val="21"/>
          <w:szCs w:val="21"/>
          <w:lang w:eastAsia="zh-CN"/>
        </w:rPr>
      </w:pPr>
    </w:p>
    <w:p w:rsidR="009E570F" w14:paraId="664A6911" w14:textId="77777777">
      <w:pPr>
        <w:snapToGrid w:val="0"/>
        <w:spacing w:line="360" w:lineRule="auto"/>
        <w:outlineLvl w:val="0"/>
        <w:rPr>
          <w:rStyle w:val="big1"/>
          <w:rFonts w:ascii="宋体" w:eastAsia="宋体" w:hAnsi="Calibri"/>
          <w:b/>
          <w:bCs/>
          <w:spacing w:val="0"/>
          <w:sz w:val="21"/>
          <w:szCs w:val="21"/>
          <w:lang w:eastAsia="zh-CN"/>
        </w:rPr>
      </w:pPr>
      <w:r>
        <w:rPr>
          <w:rStyle w:val="big1"/>
          <w:rFonts w:ascii="宋体" w:eastAsia="宋体" w:hAnsi="Calibri" w:hint="eastAsia"/>
          <w:b/>
          <w:bCs/>
          <w:spacing w:val="0"/>
          <w:sz w:val="21"/>
          <w:szCs w:val="21"/>
          <w:lang w:eastAsia="zh-CN"/>
        </w:rPr>
        <w:t>七</w:t>
      </w:r>
      <w:r>
        <w:rPr>
          <w:rStyle w:val="big1"/>
          <w:rFonts w:ascii="宋体" w:eastAsia="宋体" w:hAnsi="Calibri"/>
          <w:b/>
          <w:bCs/>
          <w:spacing w:val="0"/>
          <w:sz w:val="21"/>
          <w:szCs w:val="21"/>
          <w:lang w:eastAsia="zh-CN"/>
        </w:rPr>
        <w:t>、本次募集有关当事人或中介机构</w:t>
      </w:r>
    </w:p>
    <w:p w:rsidR="009E570F" w14:paraId="4FADB1C1" w14:textId="77777777">
      <w:pPr>
        <w:pStyle w:val="BodyTextIndent"/>
        <w:numPr>
          <w:ilvl w:val="1"/>
          <w:numId w:val="17"/>
        </w:numPr>
        <w:tabs>
          <w:tab w:val="left" w:pos="851"/>
        </w:tabs>
        <w:snapToGrid w:val="0"/>
        <w:ind w:left="0" w:firstLine="424"/>
        <w:rPr>
          <w:rFonts w:ascii="宋体" w:eastAsia="宋体" w:hAnsi="Calibri"/>
          <w:sz w:val="21"/>
          <w:szCs w:val="21"/>
        </w:rPr>
      </w:pPr>
      <w:r>
        <w:rPr>
          <w:rFonts w:ascii="宋体" w:eastAsia="宋体" w:hAnsi="Calibri"/>
          <w:sz w:val="21"/>
          <w:szCs w:val="21"/>
        </w:rPr>
        <w:t>基金管理人</w:t>
      </w:r>
    </w:p>
    <w:p w:rsidR="009E570F" w14:paraId="55890743"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名称：易方达基金管理有限公司</w:t>
      </w:r>
    </w:p>
    <w:p w:rsidR="009E570F" w14:paraId="04E8807E"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住所：广东省珠海市横琴新区荣粤道188号6层</w:t>
      </w:r>
    </w:p>
    <w:p w:rsidR="009E570F" w14:paraId="66960B82"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法定代表人：吴欣荣</w:t>
      </w:r>
    </w:p>
    <w:p w:rsidR="009E570F" w14:paraId="25445ABC"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设立日期：2001年4月17日</w:t>
      </w:r>
    </w:p>
    <w:p w:rsidR="009E570F" w14:paraId="6EB4EB7D"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组织形式：有限责任公司</w:t>
      </w:r>
    </w:p>
    <w:p w:rsidR="009E570F" w14:paraId="7B7AA77D"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存续期限：持续经营</w:t>
      </w:r>
    </w:p>
    <w:p w:rsidR="009E570F" w14:paraId="2B78674A"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联系电话：4008818088</w:t>
      </w:r>
    </w:p>
    <w:p w:rsidR="009E570F" w14:paraId="451F458B" w14:textId="77777777">
      <w:pPr>
        <w:pStyle w:val="BodyTextIndent"/>
        <w:snapToGrid w:val="0"/>
        <w:ind w:firstLine="420"/>
        <w:rPr>
          <w:rFonts w:ascii="宋体" w:eastAsia="宋体" w:hAnsi="Calibri"/>
          <w:sz w:val="21"/>
          <w:szCs w:val="21"/>
          <w:lang w:eastAsia="zh-CN"/>
        </w:rPr>
      </w:pPr>
    </w:p>
    <w:p w:rsidR="009E570F" w14:paraId="5BBBC028" w14:textId="77777777">
      <w:pPr>
        <w:pStyle w:val="BodyTextIndent"/>
        <w:numPr>
          <w:ilvl w:val="1"/>
          <w:numId w:val="17"/>
        </w:numPr>
        <w:tabs>
          <w:tab w:val="left" w:pos="851"/>
        </w:tabs>
        <w:snapToGrid w:val="0"/>
        <w:ind w:left="0" w:firstLine="424"/>
        <w:rPr>
          <w:rFonts w:ascii="宋体" w:eastAsia="宋体" w:hAnsi="Calibri"/>
          <w:sz w:val="21"/>
          <w:szCs w:val="21"/>
        </w:rPr>
      </w:pPr>
      <w:r>
        <w:rPr>
          <w:rFonts w:ascii="宋体" w:eastAsia="宋体" w:hAnsi="Calibri"/>
          <w:sz w:val="21"/>
          <w:szCs w:val="21"/>
        </w:rPr>
        <w:t>基金托管人</w:t>
      </w:r>
    </w:p>
    <w:p w:rsidR="009E570F" w14:paraId="4CC7B67E"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名称：招商银行股份有限公司(简称：招商银行)</w:t>
      </w:r>
    </w:p>
    <w:p w:rsidR="009E570F" w14:paraId="24B0D232"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住所：深圳市深南大道7088号招商银行大厦</w:t>
      </w:r>
    </w:p>
    <w:p w:rsidR="009E570F" w14:paraId="2E7C9A83"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法定代表人：缪建民</w:t>
      </w:r>
    </w:p>
    <w:p w:rsidR="009E570F" w14:paraId="7D405EF7" w14:textId="14A862E2">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成立时间：</w:t>
      </w:r>
      <w:r w:rsidR="00DB7A13">
        <w:rPr>
          <w:rFonts w:ascii="宋体" w:eastAsia="宋体" w:hAnsi="Calibri"/>
          <w:sz w:val="21"/>
          <w:szCs w:val="21"/>
          <w:highlight w:val="white"/>
          <w:lang w:eastAsia="zh-CN"/>
        </w:rPr>
        <w:t>1987年3</w:t>
      </w:r>
      <w:r>
        <w:rPr>
          <w:rFonts w:ascii="宋体" w:eastAsia="宋体" w:hAnsi="Calibri"/>
          <w:sz w:val="21"/>
          <w:szCs w:val="21"/>
          <w:highlight w:val="white"/>
          <w:lang w:eastAsia="zh-CN"/>
        </w:rPr>
        <w:t>月</w:t>
      </w:r>
      <w:r w:rsidR="00DB7A13">
        <w:rPr>
          <w:rFonts w:ascii="宋体" w:eastAsia="宋体" w:hAnsi="Calibri"/>
          <w:sz w:val="21"/>
          <w:szCs w:val="21"/>
          <w:highlight w:val="white"/>
          <w:lang w:eastAsia="zh-CN"/>
        </w:rPr>
        <w:t>31</w:t>
      </w:r>
      <w:r>
        <w:rPr>
          <w:rFonts w:ascii="宋体" w:eastAsia="宋体" w:hAnsi="Calibri"/>
          <w:sz w:val="21"/>
          <w:szCs w:val="21"/>
          <w:highlight w:val="white"/>
          <w:lang w:eastAsia="zh-CN"/>
        </w:rPr>
        <w:t>日</w:t>
      </w:r>
    </w:p>
    <w:p w:rsidR="009E570F" w14:paraId="29881F98"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组织形式：股份有限公司</w:t>
      </w:r>
    </w:p>
    <w:p w:rsidR="009E570F" w14:paraId="7B11B77B" w14:textId="77777777">
      <w:pPr>
        <w:pStyle w:val="BodyTextIndent"/>
        <w:snapToGrid w:val="0"/>
        <w:ind w:firstLine="420"/>
        <w:rPr>
          <w:rFonts w:ascii="宋体" w:eastAsia="宋体" w:hAnsi="Calibri"/>
          <w:sz w:val="21"/>
          <w:szCs w:val="21"/>
          <w:lang w:eastAsia="zh-CN"/>
        </w:rPr>
      </w:pPr>
      <w:r>
        <w:rPr>
          <w:rFonts w:ascii="宋体" w:eastAsia="宋体" w:hAnsi="Calibri"/>
          <w:sz w:val="21"/>
          <w:szCs w:val="21"/>
          <w:highlight w:val="white"/>
          <w:lang w:eastAsia="zh-CN"/>
        </w:rPr>
        <w:t>存续期间：持续经营</w:t>
      </w:r>
    </w:p>
    <w:p w:rsidR="009E570F" w14:paraId="5F55EB2C" w14:textId="77777777">
      <w:pPr>
        <w:spacing w:line="360" w:lineRule="auto"/>
        <w:ind w:firstLine="420"/>
        <w:rPr>
          <w:rFonts w:ascii="宋体" w:eastAsia="宋体" w:hAnsi="Calibri"/>
          <w:szCs w:val="21"/>
          <w:lang w:eastAsia="zh-CN"/>
        </w:rPr>
      </w:pPr>
    </w:p>
    <w:p w:rsidR="009E570F" w14:paraId="7E2BF17D" w14:textId="77777777">
      <w:pPr>
        <w:pStyle w:val="BodyTextIndent"/>
        <w:numPr>
          <w:ilvl w:val="1"/>
          <w:numId w:val="15"/>
        </w:numPr>
        <w:snapToGrid w:val="0"/>
        <w:ind w:left="0" w:firstLine="424"/>
        <w:rPr>
          <w:rFonts w:ascii="宋体" w:eastAsia="宋体" w:hAnsi="Calibri"/>
          <w:sz w:val="21"/>
          <w:szCs w:val="21"/>
        </w:rPr>
      </w:pPr>
      <w:r>
        <w:rPr>
          <w:rFonts w:ascii="宋体" w:eastAsia="宋体" w:hAnsi="Calibri"/>
          <w:sz w:val="21"/>
          <w:szCs w:val="21"/>
        </w:rPr>
        <w:t>销售机构</w:t>
      </w:r>
    </w:p>
    <w:p w:rsidR="009E570F" w14:paraId="76DC47EF" w14:textId="77777777">
      <w:pPr>
        <w:pStyle w:val="BodyTextIndent"/>
        <w:snapToGrid w:val="0"/>
        <w:ind w:firstLine="420"/>
        <w:rPr>
          <w:rFonts w:ascii="宋体" w:eastAsia="宋体" w:hAnsi="Calibri"/>
          <w:sz w:val="20"/>
          <w:szCs w:val="21"/>
          <w:lang w:eastAsia="zh-CN"/>
        </w:rPr>
      </w:pPr>
      <w:r>
        <w:rPr>
          <w:rFonts w:ascii="宋体" w:eastAsia="宋体" w:hAnsi="Calibri"/>
          <w:sz w:val="21"/>
          <w:szCs w:val="21"/>
          <w:lang w:eastAsia="zh-CN"/>
        </w:rPr>
        <w:t>1.直销机构：</w:t>
      </w:r>
      <w:r>
        <w:rPr>
          <w:rFonts w:ascii="宋体" w:eastAsia="宋体" w:hAnsi="Calibri" w:hint="eastAsia"/>
          <w:sz w:val="21"/>
          <w:szCs w:val="21"/>
          <w:lang w:eastAsia="zh-CN"/>
        </w:rPr>
        <w:t>易方达基金管理有限公司</w:t>
      </w:r>
    </w:p>
    <w:p w:rsidR="009E570F" w14:paraId="7BC0A204" w14:textId="77777777">
      <w:pPr>
        <w:snapToGrid w:val="0"/>
        <w:spacing w:line="360" w:lineRule="auto"/>
        <w:ind w:firstLine="420"/>
        <w:rPr>
          <w:rFonts w:ascii="宋体" w:eastAsia="宋体" w:hAnsi="Calibri"/>
          <w:szCs w:val="21"/>
          <w:lang w:eastAsia="zh-CN"/>
        </w:rPr>
      </w:pPr>
      <w:r>
        <w:rPr>
          <w:rFonts w:ascii="宋体" w:eastAsia="宋体" w:hAnsi="Calibri" w:hint="eastAsia"/>
          <w:szCs w:val="21"/>
          <w:highlight w:val="white"/>
          <w:lang w:eastAsia="zh-CN"/>
        </w:rPr>
        <w:t>注册地址：广东省珠海市横琴新区荣粤道188号6层</w:t>
      </w:r>
    </w:p>
    <w:p w:rsidR="009E570F" w14:paraId="28147FF2" w14:textId="77777777">
      <w:pPr>
        <w:snapToGrid w:val="0"/>
        <w:spacing w:line="360" w:lineRule="auto"/>
        <w:ind w:firstLine="420"/>
        <w:rPr>
          <w:rFonts w:ascii="宋体" w:eastAsia="宋体" w:hAnsi="Calibri"/>
          <w:szCs w:val="21"/>
          <w:lang w:eastAsia="zh-CN"/>
        </w:rPr>
      </w:pPr>
      <w:r>
        <w:rPr>
          <w:rFonts w:ascii="宋体" w:eastAsia="宋体" w:hAnsi="Calibri" w:hint="eastAsia"/>
          <w:szCs w:val="21"/>
          <w:highlight w:val="white"/>
          <w:lang w:eastAsia="zh-CN"/>
        </w:rPr>
        <w:t>办公地址：广东省广州市天河区珠江西路21号52层；广东省广州市天河区珠江东路30号42层；广东省珠海市横琴新区荣粤道188号6层</w:t>
      </w:r>
    </w:p>
    <w:p w:rsidR="009E570F" w14:paraId="357D3092" w14:textId="77777777">
      <w:pPr>
        <w:snapToGrid w:val="0"/>
        <w:spacing w:line="360" w:lineRule="auto"/>
        <w:ind w:firstLine="420"/>
        <w:rPr>
          <w:rFonts w:ascii="宋体" w:eastAsia="宋体" w:hAnsi="Calibri"/>
          <w:szCs w:val="21"/>
          <w:lang w:eastAsia="zh-CN"/>
        </w:rPr>
      </w:pPr>
      <w:r>
        <w:rPr>
          <w:rFonts w:ascii="宋体" w:eastAsia="宋体" w:hAnsi="Calibri" w:hint="eastAsia"/>
          <w:szCs w:val="21"/>
          <w:highlight w:val="white"/>
          <w:lang w:eastAsia="zh-CN"/>
        </w:rPr>
        <w:t>法定代表人：吴欣荣</w:t>
      </w:r>
    </w:p>
    <w:p w:rsidR="009E570F" w14:paraId="1EBD19B9" w14:textId="77777777">
      <w:pPr>
        <w:snapToGrid w:val="0"/>
        <w:spacing w:line="360" w:lineRule="auto"/>
        <w:ind w:firstLine="420"/>
        <w:rPr>
          <w:rFonts w:ascii="宋体" w:eastAsia="宋体" w:hAnsi="Calibri"/>
          <w:szCs w:val="21"/>
          <w:lang w:eastAsia="zh-CN"/>
        </w:rPr>
      </w:pPr>
      <w:r>
        <w:rPr>
          <w:rFonts w:ascii="宋体" w:eastAsia="宋体" w:hAnsi="Calibri" w:hint="eastAsia"/>
          <w:szCs w:val="21"/>
          <w:highlight w:val="white"/>
          <w:lang w:eastAsia="zh-CN"/>
        </w:rPr>
        <w:t>电话：020-85102506</w:t>
      </w:r>
    </w:p>
    <w:p w:rsidR="009E570F" w14:paraId="57908906"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传真：4008818099</w:t>
      </w:r>
    </w:p>
    <w:p w:rsidR="009E570F" w14:paraId="5EE59B92"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联系人：梁美</w:t>
      </w:r>
    </w:p>
    <w:p w:rsidR="009E570F" w14:paraId="298E1B90" w14:textId="77777777">
      <w:pPr>
        <w:snapToGrid w:val="0"/>
        <w:spacing w:line="360" w:lineRule="auto"/>
        <w:ind w:firstLine="420"/>
        <w:rPr>
          <w:rFonts w:ascii="宋体" w:eastAsia="宋体" w:hAnsi="Calibri"/>
          <w:szCs w:val="21"/>
        </w:rPr>
      </w:pPr>
      <w:r>
        <w:rPr>
          <w:rFonts w:ascii="宋体" w:eastAsia="宋体" w:hAnsi="Calibri" w:hint="eastAsia"/>
          <w:szCs w:val="21"/>
          <w:highlight w:val="white"/>
        </w:rPr>
        <w:t>网址：www.efunds.com.cn</w:t>
      </w:r>
    </w:p>
    <w:p w:rsidR="009E570F" w14:paraId="4BC42FE4" w14:textId="77777777">
      <w:pPr>
        <w:snapToGrid w:val="0"/>
        <w:spacing w:line="360" w:lineRule="auto"/>
        <w:ind w:firstLine="420"/>
        <w:rPr>
          <w:rFonts w:ascii="宋体" w:eastAsia="宋体" w:hAnsi="Calibri"/>
          <w:szCs w:val="21"/>
          <w:lang w:eastAsia="zh-CN"/>
        </w:rPr>
      </w:pPr>
      <w:r>
        <w:rPr>
          <w:rFonts w:ascii="宋体" w:eastAsia="宋体" w:hAnsi="Calibri" w:hint="eastAsia"/>
          <w:szCs w:val="21"/>
          <w:highlight w:val="white"/>
          <w:lang w:eastAsia="zh-CN"/>
        </w:rPr>
        <w:t>直销机构网点信息：</w:t>
      </w:r>
    </w:p>
    <w:p w:rsidR="009E570F" w14:paraId="406E09BB" w14:textId="77777777">
      <w:pPr>
        <w:snapToGrid w:val="0"/>
        <w:spacing w:line="360" w:lineRule="auto"/>
        <w:ind w:firstLine="420"/>
        <w:rPr>
          <w:rFonts w:ascii="宋体" w:eastAsia="宋体" w:hAnsi="Calibri"/>
          <w:szCs w:val="21"/>
          <w:lang w:eastAsia="zh-CN"/>
        </w:rPr>
      </w:pPr>
      <w:r>
        <w:rPr>
          <w:rFonts w:ascii="宋体" w:eastAsia="宋体" w:hAnsi="Calibri" w:hint="eastAsia"/>
          <w:szCs w:val="21"/>
          <w:highlight w:val="white"/>
          <w:lang w:eastAsia="zh-CN"/>
        </w:rPr>
        <w:t>本公司直销中心和网上直销系统销售本基金A类基金份额，若后续销售本基金C类基金份额，将另行公告，网点具体信息详见本公司网站。</w:t>
      </w:r>
    </w:p>
    <w:p w:rsidR="009E570F" w14:paraId="587824D9" w14:textId="77777777">
      <w:pPr>
        <w:snapToGrid w:val="0"/>
        <w:spacing w:line="360" w:lineRule="auto"/>
        <w:ind w:firstLine="420"/>
        <w:rPr>
          <w:rFonts w:ascii="宋体" w:eastAsia="宋体" w:hAnsi="Calibri"/>
          <w:szCs w:val="21"/>
          <w:lang w:eastAsia="zh-CN"/>
        </w:rPr>
      </w:pPr>
      <w:r>
        <w:rPr>
          <w:rFonts w:ascii="宋体" w:eastAsia="宋体" w:hAnsi="Calibri" w:hint="eastAsia"/>
          <w:szCs w:val="21"/>
          <w:lang w:eastAsia="zh-CN"/>
        </w:rPr>
        <w:t>募集期间，客户可以通过本公司客户服务中心电话（4008818088）进行募集相关事宜的问询、开放式基金的投资咨询及投诉等。直销中心客户还可以通过本公司直销中心电话查询汇入资金的到账情况。</w:t>
      </w:r>
    </w:p>
    <w:p w:rsidR="009E570F" w14:paraId="142A717A" w14:textId="77777777">
      <w:pPr>
        <w:spacing w:line="360" w:lineRule="auto"/>
        <w:ind w:firstLine="420"/>
        <w:rPr>
          <w:rStyle w:val="da"/>
          <w:rFonts w:ascii="宋体" w:eastAsia="宋体" w:hAnsi="Calibri"/>
          <w:lang w:eastAsia="zh-CN"/>
        </w:rPr>
      </w:pPr>
      <w:r>
        <w:rPr>
          <w:rStyle w:val="da"/>
          <w:rFonts w:ascii="宋体" w:eastAsia="宋体" w:hAnsi="Calibri"/>
          <w:lang w:eastAsia="zh-CN"/>
        </w:rPr>
        <w:t>2.</w:t>
      </w:r>
      <w:r>
        <w:rPr>
          <w:rStyle w:val="da"/>
          <w:rFonts w:ascii="宋体" w:eastAsia="宋体" w:hAnsi="Calibri" w:hint="eastAsia"/>
          <w:lang w:eastAsia="zh-CN"/>
        </w:rPr>
        <w:t>非直销销售机构</w:t>
      </w:r>
    </w:p>
    <w:p w:rsidR="009E570F" w14:paraId="3B50043A" w14:textId="491CD845">
      <w:pPr>
        <w:spacing w:line="360" w:lineRule="auto"/>
        <w:ind w:firstLine="420"/>
        <w:rPr>
          <w:rStyle w:val="da"/>
          <w:rFonts w:ascii="宋体" w:eastAsia="宋体" w:hAnsi="Calibri"/>
          <w:lang w:eastAsia="zh-CN"/>
        </w:rPr>
      </w:pPr>
      <w:r>
        <w:rPr>
          <w:rStyle w:val="da"/>
          <w:rFonts w:ascii="宋体" w:eastAsia="宋体" w:hAnsi="Calibri"/>
          <w:lang w:eastAsia="zh-CN"/>
        </w:rPr>
        <w:t>暂无。</w:t>
      </w:r>
    </w:p>
    <w:p w:rsidR="009E570F" w14:paraId="07BEF3AD" w14:textId="77777777">
      <w:pPr>
        <w:spacing w:line="360" w:lineRule="auto"/>
        <w:ind w:firstLine="420"/>
        <w:rPr>
          <w:rStyle w:val="da"/>
          <w:rFonts w:ascii="宋体" w:eastAsia="宋体" w:hAnsi="Calibri"/>
          <w:lang w:eastAsia="zh-CN"/>
        </w:rPr>
      </w:pPr>
      <w:r>
        <w:rPr>
          <w:rStyle w:val="da"/>
          <w:rFonts w:ascii="宋体" w:eastAsia="宋体" w:hAnsi="Calibri" w:hint="eastAsia"/>
          <w:lang w:eastAsia="zh-CN"/>
        </w:rPr>
        <w:t>基金管理人可根据情况变更或增减销售机构并在基金管理人网站公示。</w:t>
      </w:r>
    </w:p>
    <w:p w:rsidR="009E570F" w14:paraId="4396D5B7" w14:textId="77777777">
      <w:pPr>
        <w:spacing w:line="360" w:lineRule="auto"/>
        <w:ind w:firstLine="420"/>
        <w:rPr>
          <w:rStyle w:val="da"/>
          <w:rFonts w:ascii="宋体" w:eastAsia="宋体" w:hAnsi="Calibri"/>
          <w:lang w:eastAsia="zh-CN"/>
        </w:rPr>
      </w:pPr>
    </w:p>
    <w:p w:rsidR="009E570F" w14:paraId="0C91AB38" w14:textId="77777777">
      <w:pPr>
        <w:pStyle w:val="BodyTextIndent"/>
        <w:numPr>
          <w:ilvl w:val="1"/>
          <w:numId w:val="15"/>
        </w:numPr>
        <w:snapToGrid w:val="0"/>
        <w:ind w:left="0" w:firstLine="485"/>
        <w:rPr>
          <w:rFonts w:ascii="宋体" w:eastAsia="宋体" w:hAnsi="Calibri"/>
          <w:sz w:val="21"/>
          <w:szCs w:val="21"/>
        </w:rPr>
      </w:pPr>
      <w:r>
        <w:rPr>
          <w:rFonts w:ascii="宋体" w:eastAsia="宋体" w:hAnsi="Calibri" w:hint="eastAsia"/>
          <w:sz w:val="21"/>
          <w:szCs w:val="21"/>
        </w:rPr>
        <w:t>登记机构</w:t>
      </w:r>
    </w:p>
    <w:p w:rsidR="009E570F" w14:paraId="4B623FBC"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名称：易方达基金管理有限公司</w:t>
      </w:r>
    </w:p>
    <w:p w:rsidR="009E570F" w14:paraId="1333F893"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注册地址：广东省珠海市横琴新区荣粤道188号6层</w:t>
      </w:r>
    </w:p>
    <w:p w:rsidR="009E570F" w14:paraId="4BD3DABF"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办公地址：广东省广州市天河区珠江西路21号52层；广东省广州市天河区珠江东路30号42层；广东省珠海市横琴新区荣粤道188号6层</w:t>
      </w:r>
    </w:p>
    <w:p w:rsidR="009E570F" w14:paraId="197BA5D5"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法定代表人：吴欣荣</w:t>
      </w:r>
    </w:p>
    <w:p w:rsidR="009E570F" w14:paraId="3795AB0E"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电话：4008818088</w:t>
      </w:r>
    </w:p>
    <w:p w:rsidR="009E570F" w14:paraId="03D0074A" w14:textId="77777777">
      <w:pPr>
        <w:spacing w:line="360" w:lineRule="auto"/>
        <w:ind w:firstLine="420"/>
        <w:rPr>
          <w:rStyle w:val="da"/>
          <w:rFonts w:ascii="宋体" w:eastAsia="宋体" w:hAnsi="Calibri"/>
        </w:rPr>
      </w:pPr>
      <w:r>
        <w:rPr>
          <w:rStyle w:val="da"/>
          <w:rFonts w:ascii="宋体" w:eastAsia="宋体" w:hAnsi="Calibri"/>
          <w:highlight w:val="white"/>
        </w:rPr>
        <w:t>传真：020-38799249</w:t>
      </w:r>
    </w:p>
    <w:p w:rsidR="009E570F" w14:paraId="5EB45522" w14:textId="77777777">
      <w:pPr>
        <w:spacing w:line="360" w:lineRule="auto"/>
        <w:ind w:firstLine="420"/>
        <w:rPr>
          <w:rStyle w:val="da"/>
          <w:rFonts w:ascii="宋体" w:eastAsia="宋体" w:hAnsi="Calibri"/>
        </w:rPr>
      </w:pPr>
      <w:r>
        <w:rPr>
          <w:rStyle w:val="da"/>
          <w:rFonts w:ascii="宋体" w:eastAsia="宋体" w:hAnsi="Calibri"/>
          <w:highlight w:val="white"/>
        </w:rPr>
        <w:t>联系人：余贤高</w:t>
      </w:r>
    </w:p>
    <w:p w:rsidR="009E570F" w14:paraId="4732DC7B" w14:textId="77777777">
      <w:pPr>
        <w:pStyle w:val="BodyTextIndent"/>
        <w:snapToGrid w:val="0"/>
        <w:rPr>
          <w:rFonts w:ascii="宋体" w:eastAsia="宋体" w:hAnsi="Calibri"/>
          <w:sz w:val="21"/>
          <w:szCs w:val="21"/>
        </w:rPr>
      </w:pPr>
    </w:p>
    <w:p w:rsidR="009E570F" w14:paraId="05414071" w14:textId="77777777">
      <w:pPr>
        <w:pStyle w:val="BodyTextIndent"/>
        <w:numPr>
          <w:ilvl w:val="1"/>
          <w:numId w:val="15"/>
        </w:numPr>
        <w:snapToGrid w:val="0"/>
        <w:ind w:left="0" w:firstLine="485"/>
        <w:rPr>
          <w:rFonts w:ascii="宋体" w:eastAsia="宋体" w:hAnsi="Calibri"/>
          <w:sz w:val="21"/>
          <w:szCs w:val="21"/>
        </w:rPr>
      </w:pPr>
      <w:r>
        <w:rPr>
          <w:rFonts w:ascii="宋体" w:eastAsia="宋体" w:hAnsi="Calibri" w:hint="eastAsia"/>
          <w:sz w:val="21"/>
          <w:szCs w:val="21"/>
        </w:rPr>
        <w:t>律师事务所和经办律师</w:t>
      </w:r>
    </w:p>
    <w:p w:rsidR="009E570F" w14:paraId="3351D5CA"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律师事务所：广东金桥百信律师事务所</w:t>
      </w:r>
    </w:p>
    <w:p w:rsidR="009E570F" w14:paraId="65837CB3"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住所：广东省广州市天河区珠江东路16号24-26层</w:t>
      </w:r>
    </w:p>
    <w:p w:rsidR="009E570F" w14:paraId="0053C276"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办公地址：广州市珠江新城珠江东路16号高德置地冬广场G座26楼</w:t>
      </w:r>
    </w:p>
    <w:p w:rsidR="009E570F" w14:paraId="2857DDC5"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负责人：莫哲</w:t>
      </w:r>
    </w:p>
    <w:p w:rsidR="009E570F" w14:paraId="4DE38B2F"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电话：020-83338668</w:t>
      </w:r>
    </w:p>
    <w:p w:rsidR="009E570F" w14:paraId="2D5F7047"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传真：020-83338088</w:t>
      </w:r>
    </w:p>
    <w:p w:rsidR="009E570F" w14:paraId="41632457" w14:textId="77777777">
      <w:pPr>
        <w:spacing w:line="360" w:lineRule="auto"/>
        <w:ind w:firstLine="420"/>
        <w:rPr>
          <w:rStyle w:val="da"/>
          <w:rFonts w:ascii="宋体" w:eastAsia="宋体" w:hAnsi="Calibri"/>
          <w:lang w:eastAsia="zh-CN"/>
        </w:rPr>
      </w:pPr>
      <w:r>
        <w:rPr>
          <w:rStyle w:val="da"/>
          <w:rFonts w:ascii="宋体" w:eastAsia="宋体" w:hAnsi="Calibri"/>
          <w:highlight w:val="white"/>
          <w:lang w:eastAsia="zh-CN"/>
        </w:rPr>
        <w:t>经办律师：郭东雪、李海滢</w:t>
      </w:r>
    </w:p>
    <w:p w:rsidR="009E570F" w14:paraId="13760190" w14:textId="77777777">
      <w:pPr>
        <w:spacing w:line="360" w:lineRule="auto"/>
        <w:ind w:firstLine="420"/>
        <w:rPr>
          <w:rStyle w:val="da"/>
          <w:rFonts w:ascii="宋体" w:eastAsia="宋体" w:hAnsi="Calibri"/>
        </w:rPr>
      </w:pPr>
      <w:r>
        <w:rPr>
          <w:rStyle w:val="da"/>
          <w:rFonts w:ascii="宋体" w:eastAsia="宋体" w:hAnsi="Calibri"/>
          <w:highlight w:val="white"/>
        </w:rPr>
        <w:t>联系人：李海滢</w:t>
      </w:r>
    </w:p>
    <w:p w:rsidR="009E570F" w14:paraId="3126B0A1" w14:textId="77777777">
      <w:pPr>
        <w:spacing w:line="360" w:lineRule="auto"/>
        <w:ind w:firstLine="420"/>
        <w:rPr>
          <w:rStyle w:val="da"/>
          <w:rFonts w:ascii="宋体" w:eastAsia="宋体" w:hAnsi="Calibri"/>
        </w:rPr>
      </w:pPr>
    </w:p>
    <w:p w:rsidR="009E570F" w14:paraId="3452D69F" w14:textId="77777777">
      <w:pPr>
        <w:pStyle w:val="BodyTextIndent"/>
        <w:numPr>
          <w:ilvl w:val="1"/>
          <w:numId w:val="15"/>
        </w:numPr>
        <w:snapToGrid w:val="0"/>
        <w:ind w:left="0" w:firstLine="485"/>
        <w:rPr>
          <w:rFonts w:ascii="宋体" w:eastAsia="宋体" w:hAnsi="Calibri"/>
          <w:sz w:val="21"/>
          <w:szCs w:val="21"/>
        </w:rPr>
      </w:pPr>
      <w:r>
        <w:rPr>
          <w:rFonts w:ascii="宋体" w:eastAsia="宋体" w:hAnsi="Calibri"/>
          <w:sz w:val="21"/>
          <w:szCs w:val="21"/>
        </w:rPr>
        <w:t>会计师事务所</w:t>
      </w:r>
    </w:p>
    <w:p w:rsidR="00DB7A13" w:rsidRPr="00DB7A13" w:rsidP="00DB7A13" w14:paraId="74425E15" w14:textId="05A99FF4">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本基金的法定验资机构为德勤华永会计师事务所（特殊普通合伙）。</w:t>
      </w:r>
    </w:p>
    <w:p w:rsidR="00DB7A13" w:rsidRPr="00DB7A13" w:rsidP="00DB7A13" w14:paraId="31204B88" w14:textId="77777777">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会计师事务所：德勤华永会计师事务所（特殊普通合伙）</w:t>
      </w:r>
    </w:p>
    <w:p w:rsidR="00DB7A13" w:rsidRPr="00DB7A13" w:rsidP="00DB7A13" w14:paraId="3EFE7CA5" w14:textId="77777777">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住所：中国上海市延安东路222号外滩中心30楼</w:t>
      </w:r>
    </w:p>
    <w:p w:rsidR="00DB7A13" w:rsidRPr="00DB7A13" w:rsidP="00DB7A13" w14:paraId="4400906C" w14:textId="77777777">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主要经营场所：中国上海市延安东路222号外滩中心30楼</w:t>
      </w:r>
    </w:p>
    <w:p w:rsidR="00DB7A13" w:rsidRPr="00DB7A13" w:rsidP="00DB7A13" w14:paraId="64B147D7" w14:textId="77777777">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执行事务合伙人：唐恋炯</w:t>
      </w:r>
    </w:p>
    <w:p w:rsidR="00DB7A13" w:rsidRPr="00DB7A13" w:rsidP="00DB7A13" w14:paraId="001DDD53" w14:textId="77777777">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电话：021-61418888</w:t>
      </w:r>
    </w:p>
    <w:p w:rsidR="00DB7A13" w:rsidRPr="00DB7A13" w:rsidP="00DB7A13" w14:paraId="14C060F1" w14:textId="77777777">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传真：021-63350003</w:t>
      </w:r>
    </w:p>
    <w:p w:rsidR="00DB7A13" w:rsidP="00DB7A13" w14:paraId="611F3AC6" w14:textId="3353C256">
      <w:pPr>
        <w:spacing w:line="360" w:lineRule="auto"/>
        <w:ind w:firstLine="420"/>
        <w:rPr>
          <w:rStyle w:val="da"/>
          <w:rFonts w:ascii="宋体" w:eastAsia="宋体" w:hAnsi="Calibri"/>
          <w:lang w:eastAsia="zh-CN"/>
        </w:rPr>
      </w:pPr>
      <w:r w:rsidRPr="00DB7A13">
        <w:rPr>
          <w:rStyle w:val="da"/>
          <w:rFonts w:ascii="宋体" w:eastAsia="宋体" w:hAnsi="Calibri" w:hint="eastAsia"/>
          <w:lang w:eastAsia="zh-CN"/>
        </w:rPr>
        <w:t>联系人：江丽雅</w:t>
      </w:r>
    </w:p>
    <w:p w:rsidR="009E570F" w14:paraId="23898EA9" w14:textId="77777777">
      <w:pPr>
        <w:snapToGrid w:val="0"/>
        <w:spacing w:line="360" w:lineRule="auto"/>
        <w:ind w:firstLine="420"/>
        <w:outlineLvl w:val="0"/>
        <w:rPr>
          <w:rStyle w:val="big1"/>
          <w:rFonts w:ascii="宋体" w:eastAsia="宋体" w:hAnsi="Calibri"/>
          <w:sz w:val="21"/>
          <w:szCs w:val="21"/>
          <w:lang w:eastAsia="zh-CN"/>
        </w:rPr>
      </w:pPr>
    </w:p>
    <w:p w:rsidR="009E570F" w14:paraId="6F32B2AC" w14:textId="77777777">
      <w:pPr>
        <w:snapToGrid w:val="0"/>
        <w:spacing w:line="360" w:lineRule="auto"/>
        <w:ind w:firstLine="420"/>
        <w:jc w:val="right"/>
        <w:rPr>
          <w:rFonts w:ascii="宋体" w:eastAsia="宋体" w:hAnsi="Calibri"/>
          <w:szCs w:val="21"/>
          <w:lang w:eastAsia="zh-CN"/>
        </w:rPr>
      </w:pPr>
      <w:r>
        <w:rPr>
          <w:rFonts w:ascii="宋体" w:eastAsia="宋体" w:hAnsi="Calibri" w:hint="eastAsia"/>
          <w:szCs w:val="21"/>
          <w:lang w:eastAsia="zh-CN"/>
        </w:rPr>
        <w:t>易方达基金管理有限公司</w:t>
      </w:r>
    </w:p>
    <w:p w:rsidR="009E570F" w14:paraId="06FD630E" w14:textId="1952DA62">
      <w:pPr>
        <w:snapToGrid w:val="0"/>
        <w:spacing w:line="360" w:lineRule="auto"/>
        <w:ind w:right="210" w:firstLine="420"/>
        <w:jc w:val="right"/>
        <w:rPr>
          <w:rFonts w:ascii="宋体" w:eastAsia="宋体" w:hAnsi="Calibri"/>
          <w:szCs w:val="21"/>
        </w:rPr>
      </w:pPr>
      <w:r w:rsidR="00AF1F4E">
        <w:rPr>
          <w:rFonts w:ascii="宋体" w:eastAsia="宋体" w:hAnsi="Calibri"/>
          <w:szCs w:val="21"/>
        </w:rPr>
        <w:t>2026</w:t>
      </w:r>
      <w:r>
        <w:rPr>
          <w:rFonts w:ascii="宋体" w:eastAsia="宋体" w:hAnsi="Calibri" w:hint="eastAsia"/>
          <w:szCs w:val="21"/>
        </w:rPr>
        <w:t>年</w:t>
      </w:r>
      <w:r w:rsidR="00AF1F4E">
        <w:rPr>
          <w:rFonts w:ascii="宋体" w:eastAsia="宋体" w:hAnsi="Calibri"/>
          <w:szCs w:val="21"/>
        </w:rPr>
        <w:t>9</w:t>
      </w:r>
      <w:r>
        <w:rPr>
          <w:rFonts w:ascii="宋体" w:eastAsia="宋体" w:hAnsi="Calibri"/>
          <w:szCs w:val="21"/>
        </w:rPr>
        <w:t>月</w:t>
      </w:r>
      <w:r w:rsidR="00AF1F4E">
        <w:rPr>
          <w:rFonts w:ascii="宋体" w:eastAsia="宋体" w:hAnsi="Calibri"/>
          <w:szCs w:val="21"/>
        </w:rPr>
        <w:t>15</w:t>
      </w:r>
      <w:r>
        <w:rPr>
          <w:rFonts w:ascii="宋体" w:eastAsia="宋体" w:hAnsi="Calibri"/>
          <w:szCs w:val="21"/>
        </w:rPr>
        <w:t>日</w:t>
      </w:r>
    </w:p>
    <w:sectPr>
      <w:headerReference w:type="first" r:id="rId9"/>
      <w:footerReference w:type="first" r:id="rId10"/>
      <w:pgSz w:w="11907" w:h="16840"/>
      <w:pgMar w:top="1440" w:right="1797" w:bottom="1440" w:left="1797" w:header="851" w:footer="992" w:gutter="0"/>
      <w:pgNumType w:start="1"/>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Consolas"/>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楷体_GB2312">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0F" w14:paraId="208E2BFD" w14:textId="77777777">
    <w:pPr>
      <w:pStyle w:val="Footer"/>
      <w:snapToGrid/>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570F" w14:paraId="093A52DE" w14:textId="77777777">
    <w:pPr>
      <w:pStyle w:val="Footer"/>
      <w:snapToGr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0F" w14:paraId="4A8424CE" w14:textId="69998EEF">
    <w:pPr>
      <w:pStyle w:val="Footer"/>
      <w:snapToGrid/>
      <w:jc w:val="cente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0F" w14:paraId="367D37A4" w14:textId="1575FF34">
    <w:pPr>
      <w:pStyle w:val="Footer"/>
      <w:snapToGrid/>
      <w:jc w:val="center"/>
    </w:pPr>
    <w:r>
      <w:fldChar w:fldCharType="begin"/>
    </w:r>
    <w:r>
      <w:instrText xml:space="preserve"> PAGE   \* MERGEFORMAT </w:instrText>
    </w:r>
    <w:r>
      <w:fldChar w:fldCharType="separate"/>
    </w:r>
    <w:r w:rsidRPr="00062402" w:rsidR="00062402">
      <w:rPr>
        <w:noProof/>
        <w:lang w:val="zh-CN"/>
      </w:rPr>
      <w:t>1</w:t>
    </w:r>
    <w:r>
      <w:rPr>
        <w:lang w:val="zh-CN"/>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0F" w14:paraId="36327162" w14:textId="77777777">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0F" w14:paraId="6187D338" w14:textId="77777777">
    <w:pPr>
      <w:pStyle w:val="Header"/>
      <w:pBdr>
        <w:bottom w:val="none" w:sz="0" w:space="0" w:color="auto"/>
      </w:pBdr>
      <w:snapToGrid/>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0F" w14:paraId="63538C40" w14:textId="77777777">
    <w:r>
      <w:rPr>
        <w:rFonts w:hint="eastAsia"/>
      </w:rPr>
      <w:t xml:space="preserve">                                                  </w:t>
    </w:r>
  </w:p>
  <w:p w:rsidR="009E570F" w14:paraId="17385376" w14:textId="77777777">
    <w:pPr>
      <w:pStyle w:val="Header"/>
      <w:pBdr>
        <w:bottom w:val="none" w:sz="0" w:space="0" w:color="auto"/>
      </w:pBdr>
      <w:snapToGri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7A3482"/>
    <w:multiLevelType w:val="hybridMultilevel"/>
    <w:tmpl w:val="00000000"/>
    <w:lvl w:ilvl="0">
      <w:start w:val="1"/>
      <w:numFmt w:val="chineseCountingThousand"/>
      <w:suff w:val="space"/>
      <w:lvlText w:val="%1、"/>
      <w:lvlJc w:val="left"/>
      <w:pPr>
        <w:snapToGrid/>
        <w:ind w:left="0" w:firstLine="0"/>
      </w:pPr>
      <w:rPr>
        <w:rFonts w:hint="eastAsia"/>
      </w:rPr>
    </w:lvl>
    <w:lvl w:ilvl="1">
      <w:start w:val="1"/>
      <w:numFmt w:val="chineseCountingThousand"/>
      <w:suff w:val="nothing"/>
      <w:lvlText w:val="%2、"/>
      <w:lvlJc w:val="left"/>
      <w:pPr>
        <w:snapToGrid/>
        <w:ind w:left="0" w:firstLine="0"/>
      </w:pPr>
      <w:rPr>
        <w:rFonts w:hint="eastAsia"/>
      </w:rPr>
    </w:lvl>
    <w:lvl w:ilvl="2">
      <w:start w:val="1"/>
      <w:numFmt w:val="decimal"/>
      <w:suff w:val="space"/>
      <w:lvlText w:val="%3."/>
      <w:lvlJc w:val="left"/>
      <w:pPr>
        <w:snapToGrid/>
        <w:ind w:left="0" w:firstLine="0"/>
      </w:pPr>
      <w:rPr>
        <w:rFonts w:hint="eastAsia"/>
      </w:rPr>
    </w:lvl>
    <w:lvl w:ilvl="3">
      <w:start w:val="1"/>
      <w:numFmt w:val="none"/>
      <w:suff w:val="nothing"/>
      <w:lvlText w:val="·"/>
      <w:lvlJc w:val="left"/>
      <w:pPr>
        <w:snapToGrid/>
        <w:ind w:left="851" w:firstLine="0"/>
      </w:pPr>
      <w:rPr>
        <w:rFonts w:hint="eastAsia"/>
      </w:rPr>
    </w:lvl>
    <w:lvl w:ilvl="4">
      <w:start w:val="1"/>
      <w:numFmt w:val="none"/>
      <w:pStyle w:val="Heading5"/>
      <w:suff w:val="nothing"/>
      <w:lvlText w:val="o"/>
      <w:lvlJc w:val="left"/>
      <w:pPr>
        <w:snapToGrid/>
        <w:ind w:left="851" w:firstLine="0"/>
      </w:pPr>
      <w:rPr>
        <w:rFonts w:hint="eastAsia"/>
      </w:rPr>
    </w:lvl>
    <w:lvl w:ilvl="5">
      <w:start w:val="1"/>
      <w:numFmt w:val="none"/>
      <w:suff w:val="nothing"/>
      <w:lvlText w:val="§"/>
      <w:lvlJc w:val="left"/>
      <w:pPr>
        <w:snapToGrid/>
        <w:ind w:left="851" w:firstLine="0"/>
      </w:pPr>
      <w:rPr>
        <w:rFonts w:hint="eastAsia"/>
      </w:rPr>
    </w:lvl>
    <w:lvl w:ilvl="6">
      <w:start w:val="1"/>
      <w:numFmt w:val="none"/>
      <w:pStyle w:val="Heading7"/>
      <w:suff w:val="nothing"/>
      <w:lvlText w:val="·"/>
      <w:lvlJc w:val="left"/>
      <w:pPr>
        <w:snapToGrid/>
        <w:ind w:left="851" w:firstLine="0"/>
      </w:pPr>
      <w:rPr>
        <w:rFonts w:hint="eastAsia"/>
      </w:rPr>
    </w:lvl>
    <w:lvl w:ilvl="7">
      <w:start w:val="1"/>
      <w:numFmt w:val="none"/>
      <w:pStyle w:val="Heading8"/>
      <w:suff w:val="nothing"/>
      <w:lvlText w:val="o"/>
      <w:lvlJc w:val="left"/>
      <w:pPr>
        <w:snapToGrid/>
        <w:ind w:left="851" w:firstLine="0"/>
      </w:pPr>
      <w:rPr>
        <w:rFonts w:hint="eastAsia"/>
      </w:rPr>
    </w:lvl>
    <w:lvl w:ilvl="8">
      <w:start w:val="1"/>
      <w:numFmt w:val="none"/>
      <w:pStyle w:val="Heading9"/>
      <w:suff w:val="nothing"/>
      <w:lvlText w:val="§"/>
      <w:lvlJc w:val="left"/>
      <w:pPr>
        <w:snapToGrid/>
        <w:ind w:left="851" w:firstLine="0"/>
      </w:pPr>
      <w:rPr>
        <w:rFonts w:hint="eastAsia"/>
      </w:rPr>
    </w:lvl>
  </w:abstractNum>
  <w:abstractNum w:abstractNumId="1">
    <w:nsid w:val="0F656557"/>
    <w:multiLevelType w:val="hybridMultilevel"/>
    <w:tmpl w:val="00000000"/>
    <w:lvl w:ilvl="0">
      <w:start w:val="1"/>
      <w:numFmt w:val="decimal"/>
      <w:lvlText w:val="%1."/>
      <w:lvlJc w:val="left"/>
      <w:pPr>
        <w:tabs>
          <w:tab w:val="num" w:pos="900"/>
        </w:tabs>
        <w:snapToGrid/>
        <w:ind w:left="-27" w:firstLine="567"/>
      </w:pPr>
      <w:rPr>
        <w:rFonts w:ascii="Times New Roman" w:hAnsi="Times New Roman" w:cs="Times New Roman" w:hint="default"/>
      </w:rPr>
    </w:lvl>
    <w:lvl w:ilvl="1">
      <w:start w:val="1"/>
      <w:numFmt w:val="decimal"/>
      <w:lvlText w:val="%2."/>
      <w:lvlJc w:val="left"/>
      <w:pPr>
        <w:tabs>
          <w:tab w:val="num" w:pos="780"/>
        </w:tabs>
        <w:snapToGrid/>
        <w:ind w:left="780" w:hanging="36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2">
    <w:nsid w:val="28573E2A"/>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chineseCounting"/>
      <w:lvlText w:val="（%2）"/>
      <w:lvlJc w:val="left"/>
      <w:pPr>
        <w:snapToGrid/>
        <w:ind w:left="1140" w:hanging="72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3">
    <w:nsid w:val="385A31CA"/>
    <w:multiLevelType w:val="hybridMultilevel"/>
    <w:tmpl w:val="00000000"/>
    <w:lvl w:ilvl="0">
      <w:start w:val="1"/>
      <w:numFmt w:val="decimal"/>
      <w:lvlText w:val="%1."/>
      <w:lvlJc w:val="left"/>
      <w:pPr>
        <w:tabs>
          <w:tab w:val="num" w:pos="840"/>
        </w:tabs>
        <w:snapToGrid/>
        <w:ind w:left="-87" w:firstLine="567"/>
      </w:pPr>
      <w:rPr>
        <w:rFonts w:ascii="宋体" w:eastAsia="宋体" w:hAnsi="宋体" w:hint="eastAsia"/>
      </w:rPr>
    </w:lvl>
    <w:lvl w:ilvl="1">
      <w:start w:val="1"/>
      <w:numFmt w:val="lowerLetter"/>
      <w:lvlText w:val="%2."/>
      <w:lvlJc w:val="left"/>
      <w:pPr>
        <w:snapToGrid/>
        <w:ind w:left="780" w:hanging="36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4">
    <w:nsid w:val="3A56CC2B"/>
    <w:multiLevelType w:val="hybridMultilevel"/>
    <w:tmpl w:val="00000000"/>
    <w:lvl w:ilvl="0">
      <w:start w:val="1"/>
      <w:numFmt w:val="chineseCountingThousand"/>
      <w:lvlText w:val="（%1）"/>
      <w:lvlJc w:val="left"/>
      <w:pPr>
        <w:snapToGrid/>
        <w:ind w:left="840" w:hanging="420"/>
      </w:pPr>
      <w:rPr>
        <w:rFonts w:hint="eastAsia"/>
        <w:sz w:val="21"/>
        <w:szCs w:val="21"/>
      </w:rPr>
    </w:lvl>
    <w:lvl w:ilvl="1">
      <w:start w:val="1"/>
      <w:numFmt w:val="chineseCountingThousand"/>
      <w:lvlText w:val="（%2）"/>
      <w:lvlJc w:val="left"/>
      <w:pPr>
        <w:snapToGrid/>
        <w:ind w:left="5524" w:hanging="420"/>
      </w:pPr>
      <w:rPr>
        <w:rFonts w:hint="eastAsia"/>
        <w:sz w:val="21"/>
        <w:szCs w:val="21"/>
      </w:rPr>
    </w:lvl>
    <w:lvl w:ilvl="2">
      <w:start w:val="1"/>
      <w:numFmt w:val="lowerRoman"/>
      <w:lvlText w:val="%3."/>
      <w:lvlJc w:val="right"/>
      <w:pPr>
        <w:snapToGrid/>
        <w:ind w:left="1680" w:hanging="420"/>
      </w:pPr>
    </w:lvl>
    <w:lvl w:ilvl="3">
      <w:start w:val="1"/>
      <w:numFmt w:val="decimal"/>
      <w:lvlText w:val="%4."/>
      <w:lvlJc w:val="left"/>
      <w:pPr>
        <w:snapToGrid/>
        <w:ind w:left="2100" w:hanging="420"/>
      </w:pPr>
    </w:lvl>
    <w:lvl w:ilvl="4">
      <w:start w:val="1"/>
      <w:numFmt w:val="lowerLetter"/>
      <w:lvlText w:val="%5)"/>
      <w:lvlJc w:val="left"/>
      <w:pPr>
        <w:snapToGrid/>
        <w:ind w:left="2520" w:hanging="420"/>
      </w:pPr>
    </w:lvl>
    <w:lvl w:ilvl="5">
      <w:start w:val="1"/>
      <w:numFmt w:val="lowerRoman"/>
      <w:lvlText w:val="%6."/>
      <w:lvlJc w:val="right"/>
      <w:pPr>
        <w:snapToGrid/>
        <w:ind w:left="2940" w:hanging="420"/>
      </w:pPr>
    </w:lvl>
    <w:lvl w:ilvl="6">
      <w:start w:val="1"/>
      <w:numFmt w:val="decimal"/>
      <w:lvlText w:val="%7."/>
      <w:lvlJc w:val="left"/>
      <w:pPr>
        <w:snapToGrid/>
        <w:ind w:left="3360" w:hanging="420"/>
      </w:pPr>
    </w:lvl>
    <w:lvl w:ilvl="7">
      <w:start w:val="1"/>
      <w:numFmt w:val="lowerLetter"/>
      <w:lvlText w:val="%8)"/>
      <w:lvlJc w:val="left"/>
      <w:pPr>
        <w:snapToGrid/>
        <w:ind w:left="3780" w:hanging="420"/>
      </w:pPr>
    </w:lvl>
    <w:lvl w:ilvl="8">
      <w:start w:val="1"/>
      <w:numFmt w:val="lowerRoman"/>
      <w:lvlText w:val="%9."/>
      <w:lvlJc w:val="right"/>
      <w:pPr>
        <w:snapToGrid/>
        <w:ind w:left="4200" w:hanging="420"/>
      </w:pPr>
    </w:lvl>
  </w:abstractNum>
  <w:abstractNum w:abstractNumId="5">
    <w:nsid w:val="4397E738"/>
    <w:multiLevelType w:val="hybridMultilevel"/>
    <w:tmpl w:val="00000000"/>
    <w:lvl w:ilvl="0">
      <w:start w:val="1"/>
      <w:numFmt w:val="chineseCounting"/>
      <w:lvlText w:val="（%1）"/>
      <w:lvlJc w:val="left"/>
      <w:pPr>
        <w:tabs>
          <w:tab w:val="num" w:pos="990"/>
        </w:tabs>
        <w:snapToGrid/>
        <w:ind w:left="990" w:hanging="840"/>
      </w:pPr>
      <w:rPr>
        <w:rFonts w:hint="eastAsia"/>
      </w:rPr>
    </w:lvl>
    <w:lvl w:ilvl="1">
      <w:start w:val="1"/>
      <w:numFmt w:val="decimal"/>
      <w:lvlText w:val="（%2）"/>
      <w:lvlJc w:val="left"/>
      <w:pPr>
        <w:tabs>
          <w:tab w:val="num" w:pos="1290"/>
        </w:tabs>
        <w:snapToGrid/>
        <w:ind w:left="1290" w:hanging="720"/>
      </w:pPr>
      <w:rPr>
        <w:rFonts w:hint="eastAsia"/>
      </w:rPr>
    </w:lvl>
    <w:lvl w:ilvl="2">
      <w:start w:val="4"/>
      <w:numFmt w:val="chineseCounting"/>
      <w:pStyle w:val="Heading3"/>
      <w:lvlText w:val="%3、"/>
      <w:lvlJc w:val="left"/>
      <w:pPr>
        <w:tabs>
          <w:tab w:val="num" w:pos="1710"/>
        </w:tabs>
        <w:snapToGrid/>
        <w:ind w:left="1710" w:hanging="720"/>
      </w:pPr>
      <w:rPr>
        <w:rFonts w:eastAsia="宋体" w:hint="eastAsia"/>
        <w:b/>
        <w:color w:val="auto"/>
      </w:rPr>
    </w:lvl>
    <w:lvl w:ilvl="3">
      <w:start w:val="1"/>
      <w:numFmt w:val="decimal"/>
      <w:lvlText w:val="%4."/>
      <w:lvlJc w:val="left"/>
      <w:pPr>
        <w:tabs>
          <w:tab w:val="num" w:pos="1830"/>
        </w:tabs>
        <w:snapToGrid/>
        <w:ind w:left="1830" w:hanging="420"/>
      </w:pPr>
    </w:lvl>
    <w:lvl w:ilvl="4">
      <w:start w:val="1"/>
      <w:numFmt w:val="lowerLetter"/>
      <w:lvlText w:val="%5)"/>
      <w:lvlJc w:val="left"/>
      <w:pPr>
        <w:tabs>
          <w:tab w:val="num" w:pos="2250"/>
        </w:tabs>
        <w:snapToGrid/>
        <w:ind w:left="2250" w:hanging="420"/>
      </w:pPr>
    </w:lvl>
    <w:lvl w:ilvl="5">
      <w:start w:val="1"/>
      <w:numFmt w:val="lowerRoman"/>
      <w:lvlText w:val="%6."/>
      <w:lvlJc w:val="right"/>
      <w:pPr>
        <w:tabs>
          <w:tab w:val="num" w:pos="2670"/>
        </w:tabs>
        <w:snapToGrid/>
        <w:ind w:left="2670" w:hanging="420"/>
      </w:pPr>
    </w:lvl>
    <w:lvl w:ilvl="6">
      <w:start w:val="1"/>
      <w:numFmt w:val="decimal"/>
      <w:lvlText w:val="%7."/>
      <w:lvlJc w:val="left"/>
      <w:pPr>
        <w:tabs>
          <w:tab w:val="num" w:pos="3090"/>
        </w:tabs>
        <w:snapToGrid/>
        <w:ind w:left="3090" w:hanging="420"/>
      </w:pPr>
    </w:lvl>
    <w:lvl w:ilvl="7">
      <w:start w:val="1"/>
      <w:numFmt w:val="lowerLetter"/>
      <w:lvlText w:val="%8)"/>
      <w:lvlJc w:val="left"/>
      <w:pPr>
        <w:tabs>
          <w:tab w:val="num" w:pos="3510"/>
        </w:tabs>
        <w:snapToGrid/>
        <w:ind w:left="3510" w:hanging="420"/>
      </w:pPr>
    </w:lvl>
    <w:lvl w:ilvl="8">
      <w:start w:val="1"/>
      <w:numFmt w:val="lowerRoman"/>
      <w:lvlText w:val="%9."/>
      <w:lvlJc w:val="right"/>
      <w:pPr>
        <w:tabs>
          <w:tab w:val="num" w:pos="3930"/>
        </w:tabs>
        <w:snapToGrid/>
        <w:ind w:left="3930" w:hanging="420"/>
      </w:pPr>
    </w:lvl>
  </w:abstractNum>
  <w:abstractNum w:abstractNumId="6">
    <w:nsid w:val="45A77C08"/>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7">
    <w:nsid w:val="4756AF7E"/>
    <w:multiLevelType w:val="hybridMultilevel"/>
    <w:tmpl w:val="00000000"/>
    <w:lvl w:ilvl="0">
      <w:start w:val="1"/>
      <w:numFmt w:val="decimal"/>
      <w:lvlText w:val="%1."/>
      <w:lvlJc w:val="left"/>
      <w:pPr>
        <w:tabs>
          <w:tab w:val="num" w:pos="900"/>
        </w:tabs>
        <w:snapToGrid/>
        <w:ind w:left="-27" w:firstLine="567"/>
      </w:pPr>
      <w:rPr>
        <w:rFonts w:hint="eastAsia"/>
        <w:b w:val="0"/>
      </w:rPr>
    </w:lvl>
    <w:lvl w:ilvl="1">
      <w:start w:val="1"/>
      <w:numFmt w:val="decimal"/>
      <w:lvlText w:val="（%2）"/>
      <w:lvlJc w:val="left"/>
      <w:pPr>
        <w:snapToGrid/>
        <w:ind w:left="1140" w:hanging="72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8">
    <w:nsid w:val="4F5780F5"/>
    <w:multiLevelType w:val="hybridMultilevel"/>
    <w:tmpl w:val="00000000"/>
    <w:lvl w:ilvl="0">
      <w:start w:val="1"/>
      <w:numFmt w:val="decimal"/>
      <w:lvlText w:val="%1."/>
      <w:lvlJc w:val="left"/>
      <w:pPr>
        <w:tabs>
          <w:tab w:val="num" w:pos="900"/>
        </w:tabs>
        <w:snapToGrid/>
        <w:ind w:left="-27" w:firstLine="567"/>
      </w:pPr>
      <w:rPr>
        <w:rFonts w:ascii="Times New Roman" w:hAnsi="Times New Roman" w:cs="Times New Roman" w:hint="default"/>
      </w:rPr>
    </w:lvl>
    <w:lvl w:ilvl="1">
      <w:start w:val="1"/>
      <w:numFmt w:val="decimal"/>
      <w:lvlText w:val="%2."/>
      <w:lvlJc w:val="left"/>
      <w:pPr>
        <w:tabs>
          <w:tab w:val="num" w:pos="780"/>
        </w:tabs>
        <w:snapToGrid/>
        <w:ind w:left="780" w:hanging="36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9">
    <w:nsid w:val="529A0B4E"/>
    <w:multiLevelType w:val="hybridMultilevel"/>
    <w:tmpl w:val="00000000"/>
    <w:lvl w:ilvl="0">
      <w:start w:val="1"/>
      <w:numFmt w:val="chineseCountingThousand"/>
      <w:lvlText w:val="（%1）"/>
      <w:lvlJc w:val="left"/>
      <w:pPr>
        <w:snapToGrid/>
        <w:ind w:left="840" w:hanging="420"/>
      </w:pPr>
      <w:rPr>
        <w:rFonts w:hint="eastAsia"/>
        <w:sz w:val="21"/>
        <w:szCs w:val="21"/>
      </w:rPr>
    </w:lvl>
    <w:lvl w:ilvl="1">
      <w:start w:val="1"/>
      <w:numFmt w:val="lowerLetter"/>
      <w:lvlText w:val="%2)"/>
      <w:lvlJc w:val="left"/>
      <w:pPr>
        <w:snapToGrid/>
        <w:ind w:left="1260" w:hanging="420"/>
      </w:pPr>
    </w:lvl>
    <w:lvl w:ilvl="2">
      <w:start w:val="1"/>
      <w:numFmt w:val="lowerRoman"/>
      <w:lvlText w:val="%3."/>
      <w:lvlJc w:val="right"/>
      <w:pPr>
        <w:snapToGrid/>
        <w:ind w:left="1680" w:hanging="420"/>
      </w:pPr>
    </w:lvl>
    <w:lvl w:ilvl="3">
      <w:start w:val="1"/>
      <w:numFmt w:val="decimal"/>
      <w:lvlText w:val="%4."/>
      <w:lvlJc w:val="left"/>
      <w:pPr>
        <w:snapToGrid/>
        <w:ind w:left="2100" w:hanging="420"/>
      </w:pPr>
    </w:lvl>
    <w:lvl w:ilvl="4">
      <w:start w:val="1"/>
      <w:numFmt w:val="lowerLetter"/>
      <w:lvlText w:val="%5)"/>
      <w:lvlJc w:val="left"/>
      <w:pPr>
        <w:snapToGrid/>
        <w:ind w:left="2520" w:hanging="420"/>
      </w:pPr>
    </w:lvl>
    <w:lvl w:ilvl="5">
      <w:start w:val="1"/>
      <w:numFmt w:val="lowerRoman"/>
      <w:lvlText w:val="%6."/>
      <w:lvlJc w:val="right"/>
      <w:pPr>
        <w:snapToGrid/>
        <w:ind w:left="2940" w:hanging="420"/>
      </w:pPr>
    </w:lvl>
    <w:lvl w:ilvl="6">
      <w:start w:val="1"/>
      <w:numFmt w:val="decimal"/>
      <w:lvlText w:val="%7."/>
      <w:lvlJc w:val="left"/>
      <w:pPr>
        <w:snapToGrid/>
        <w:ind w:left="3360" w:hanging="420"/>
      </w:pPr>
    </w:lvl>
    <w:lvl w:ilvl="7">
      <w:start w:val="1"/>
      <w:numFmt w:val="lowerLetter"/>
      <w:lvlText w:val="%8)"/>
      <w:lvlJc w:val="left"/>
      <w:pPr>
        <w:snapToGrid/>
        <w:ind w:left="3780" w:hanging="420"/>
      </w:pPr>
    </w:lvl>
    <w:lvl w:ilvl="8">
      <w:start w:val="1"/>
      <w:numFmt w:val="lowerRoman"/>
      <w:lvlText w:val="%9."/>
      <w:lvlJc w:val="right"/>
      <w:pPr>
        <w:snapToGrid/>
        <w:ind w:left="4200" w:hanging="420"/>
      </w:pPr>
    </w:lvl>
  </w:abstractNum>
  <w:abstractNum w:abstractNumId="10">
    <w:nsid w:val="58F2DDD8"/>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11">
    <w:nsid w:val="60666F71"/>
    <w:multiLevelType w:val="hybridMultilevel"/>
    <w:tmpl w:val="00000000"/>
    <w:lvl w:ilvl="0">
      <w:start w:val="1"/>
      <w:numFmt w:val="chineseCountingThousand"/>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chineseCountingThousand"/>
      <w:lvlText w:val="（%6）"/>
      <w:lvlJc w:val="left"/>
      <w:pPr>
        <w:tabs>
          <w:tab w:val="num" w:pos="928"/>
        </w:tabs>
        <w:snapToGrid/>
        <w:ind w:left="1" w:firstLine="567"/>
      </w:pPr>
      <w:rPr>
        <w:rFonts w:hint="eastAsia"/>
        <w:sz w:val="21"/>
        <w:szCs w:val="21"/>
      </w:rPr>
    </w:lvl>
    <w:lvl w:ilvl="6">
      <w:start w:val="1"/>
      <w:numFmt w:val="decimal"/>
      <w:lvlText w:val="%7、"/>
      <w:lvlJc w:val="left"/>
      <w:pPr>
        <w:tabs>
          <w:tab w:val="num" w:pos="927"/>
        </w:tabs>
        <w:snapToGrid/>
        <w:ind w:left="0" w:firstLine="567"/>
      </w:pPr>
      <w:rPr>
        <w:rFonts w:hint="eastAsia"/>
      </w:rPr>
    </w:lvl>
    <w:lvl w:ilvl="7">
      <w:start w:val="1"/>
      <w:numFmt w:val="decimal"/>
      <w:lvlText w:val="（%8）"/>
      <w:lvlJc w:val="left"/>
      <w:pPr>
        <w:tabs>
          <w:tab w:val="num" w:pos="1287"/>
        </w:tabs>
        <w:snapToGrid/>
        <w:ind w:left="0" w:firstLine="567"/>
      </w:pPr>
      <w:rPr>
        <w:rFonts w:hint="eastAsia"/>
      </w:rPr>
    </w:lvl>
    <w:lvl w:ilvl="8">
      <w:start w:val="1"/>
      <w:numFmt w:val="lowerRoman"/>
      <w:lvlText w:val="%9."/>
      <w:lvlJc w:val="right"/>
      <w:pPr>
        <w:tabs>
          <w:tab w:val="num" w:pos="3780"/>
        </w:tabs>
        <w:snapToGrid/>
        <w:ind w:left="3780" w:hanging="420"/>
      </w:pPr>
    </w:lvl>
  </w:abstractNum>
  <w:abstractNum w:abstractNumId="12">
    <w:nsid w:val="61887978"/>
    <w:multiLevelType w:val="hybridMultilevel"/>
    <w:tmpl w:val="00000000"/>
    <w:lvl w:ilvl="0">
      <w:start w:val="1"/>
      <w:numFmt w:val="chineseCountingThousand"/>
      <w:lvlText w:val="（%1）"/>
      <w:lvlJc w:val="left"/>
      <w:pPr>
        <w:snapToGrid/>
        <w:ind w:left="840" w:hanging="420"/>
      </w:pPr>
      <w:rPr>
        <w:rFonts w:hint="eastAsia"/>
        <w:sz w:val="21"/>
        <w:szCs w:val="21"/>
      </w:rPr>
    </w:lvl>
    <w:lvl w:ilvl="1">
      <w:start w:val="3"/>
      <w:numFmt w:val="chineseCountingThousand"/>
      <w:lvlText w:val="（%2）"/>
      <w:lvlJc w:val="left"/>
      <w:pPr>
        <w:snapToGrid/>
        <w:ind w:left="5524" w:hanging="420"/>
      </w:pPr>
      <w:rPr>
        <w:rFonts w:hint="eastAsia"/>
        <w:sz w:val="21"/>
        <w:szCs w:val="21"/>
      </w:rPr>
    </w:lvl>
    <w:lvl w:ilvl="2">
      <w:start w:val="1"/>
      <w:numFmt w:val="lowerRoman"/>
      <w:lvlText w:val="%3."/>
      <w:lvlJc w:val="right"/>
      <w:pPr>
        <w:snapToGrid/>
        <w:ind w:left="1680" w:hanging="420"/>
      </w:pPr>
    </w:lvl>
    <w:lvl w:ilvl="3">
      <w:start w:val="1"/>
      <w:numFmt w:val="decimal"/>
      <w:lvlText w:val="%4."/>
      <w:lvlJc w:val="left"/>
      <w:pPr>
        <w:snapToGrid/>
        <w:ind w:left="2100" w:hanging="420"/>
      </w:pPr>
    </w:lvl>
    <w:lvl w:ilvl="4">
      <w:start w:val="1"/>
      <w:numFmt w:val="lowerLetter"/>
      <w:lvlText w:val="%5)"/>
      <w:lvlJc w:val="left"/>
      <w:pPr>
        <w:snapToGrid/>
        <w:ind w:left="2520" w:hanging="420"/>
      </w:pPr>
    </w:lvl>
    <w:lvl w:ilvl="5">
      <w:start w:val="1"/>
      <w:numFmt w:val="lowerRoman"/>
      <w:lvlText w:val="%6."/>
      <w:lvlJc w:val="right"/>
      <w:pPr>
        <w:snapToGrid/>
        <w:ind w:left="2940" w:hanging="420"/>
      </w:pPr>
    </w:lvl>
    <w:lvl w:ilvl="6">
      <w:start w:val="1"/>
      <w:numFmt w:val="decimal"/>
      <w:lvlText w:val="%7."/>
      <w:lvlJc w:val="left"/>
      <w:pPr>
        <w:snapToGrid/>
        <w:ind w:left="3360" w:hanging="420"/>
      </w:pPr>
    </w:lvl>
    <w:lvl w:ilvl="7">
      <w:start w:val="1"/>
      <w:numFmt w:val="lowerLetter"/>
      <w:lvlText w:val="%8)"/>
      <w:lvlJc w:val="left"/>
      <w:pPr>
        <w:snapToGrid/>
        <w:ind w:left="3780" w:hanging="420"/>
      </w:pPr>
    </w:lvl>
    <w:lvl w:ilvl="8">
      <w:start w:val="1"/>
      <w:numFmt w:val="lowerRoman"/>
      <w:lvlText w:val="%9."/>
      <w:lvlJc w:val="right"/>
      <w:pPr>
        <w:snapToGrid/>
        <w:ind w:left="4200" w:hanging="420"/>
      </w:pPr>
    </w:lvl>
  </w:abstractNum>
  <w:abstractNum w:abstractNumId="13">
    <w:nsid w:val="646AA8E7"/>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14">
    <w:nsid w:val="6B009977"/>
    <w:multiLevelType w:val="hybridMultilevel"/>
    <w:tmpl w:val="00000000"/>
    <w:lvl w:ilvl="0">
      <w:start w:val="1"/>
      <w:numFmt w:val="chineseCountingThousand"/>
      <w:lvlText w:val="（%1）"/>
      <w:lvlJc w:val="left"/>
      <w:pPr>
        <w:tabs>
          <w:tab w:val="num" w:pos="928"/>
        </w:tabs>
        <w:snapToGrid/>
        <w:ind w:left="1" w:firstLine="567"/>
      </w:pPr>
      <w:rPr>
        <w:rFonts w:hint="eastAsia"/>
        <w:sz w:val="21"/>
        <w:szCs w:val="21"/>
      </w:rPr>
    </w:lvl>
    <w:lvl w:ilvl="1">
      <w:start w:val="1"/>
      <w:numFmt w:val="lowerLetter"/>
      <w:lvlText w:val="%2)"/>
      <w:lvlJc w:val="left"/>
      <w:pPr>
        <w:snapToGrid/>
        <w:ind w:left="840" w:hanging="420"/>
      </w:pPr>
    </w:lvl>
    <w:lvl w:ilvl="2">
      <w:start w:val="1"/>
      <w:numFmt w:val="lowerRoman"/>
      <w:lvlText w:val="%3."/>
      <w:lvlJc w:val="right"/>
      <w:pPr>
        <w:snapToGrid/>
        <w:ind w:left="1260" w:hanging="420"/>
      </w:pPr>
    </w:lvl>
    <w:lvl w:ilvl="3">
      <w:start w:val="1"/>
      <w:numFmt w:val="decimal"/>
      <w:lvlText w:val="%4."/>
      <w:lvlJc w:val="left"/>
      <w:pPr>
        <w:snapToGrid/>
        <w:ind w:left="1680" w:hanging="420"/>
      </w:pPr>
    </w:lvl>
    <w:lvl w:ilvl="4">
      <w:start w:val="1"/>
      <w:numFmt w:val="lowerLetter"/>
      <w:lvlText w:val="%5)"/>
      <w:lvlJc w:val="left"/>
      <w:pPr>
        <w:snapToGrid/>
        <w:ind w:left="2100" w:hanging="420"/>
      </w:pPr>
    </w:lvl>
    <w:lvl w:ilvl="5">
      <w:start w:val="1"/>
      <w:numFmt w:val="lowerRoman"/>
      <w:lvlText w:val="%6."/>
      <w:lvlJc w:val="right"/>
      <w:pPr>
        <w:snapToGrid/>
        <w:ind w:left="2520" w:hanging="420"/>
      </w:pPr>
    </w:lvl>
    <w:lvl w:ilvl="6">
      <w:start w:val="1"/>
      <w:numFmt w:val="decimal"/>
      <w:lvlText w:val="%7."/>
      <w:lvlJc w:val="left"/>
      <w:pPr>
        <w:snapToGrid/>
        <w:ind w:left="2940" w:hanging="420"/>
      </w:pPr>
    </w:lvl>
    <w:lvl w:ilvl="7">
      <w:start w:val="1"/>
      <w:numFmt w:val="lowerLetter"/>
      <w:lvlText w:val="%8)"/>
      <w:lvlJc w:val="left"/>
      <w:pPr>
        <w:snapToGrid/>
        <w:ind w:left="3360" w:hanging="420"/>
      </w:pPr>
    </w:lvl>
    <w:lvl w:ilvl="8">
      <w:start w:val="1"/>
      <w:numFmt w:val="lowerRoman"/>
      <w:lvlText w:val="%9."/>
      <w:lvlJc w:val="right"/>
      <w:pPr>
        <w:snapToGrid/>
        <w:ind w:left="3780" w:hanging="420"/>
      </w:pPr>
    </w:lvl>
  </w:abstractNum>
  <w:abstractNum w:abstractNumId="15">
    <w:nsid w:val="704AA3D4"/>
    <w:multiLevelType w:val="hybridMultilevel"/>
    <w:tmpl w:val="00000000"/>
    <w:lvl w:ilvl="0">
      <w:start w:val="1"/>
      <w:numFmt w:val="decimal"/>
      <w:lvlText w:val="%1."/>
      <w:lvlJc w:val="left"/>
      <w:pPr>
        <w:tabs>
          <w:tab w:val="num" w:pos="927"/>
        </w:tabs>
        <w:snapToGrid/>
        <w:ind w:left="0" w:firstLine="567"/>
      </w:pPr>
      <w:rPr>
        <w:rFonts w:ascii="Times New Roman" w:hAnsi="Times New Roman" w:cs="Times New Roman" w:hint="default"/>
      </w:rPr>
    </w:lvl>
    <w:lvl w:ilvl="1">
      <w:start w:val="1"/>
      <w:numFmt w:val="decimal"/>
      <w:lvlText w:val="%2."/>
      <w:lvlJc w:val="left"/>
      <w:pPr>
        <w:tabs>
          <w:tab w:val="num" w:pos="780"/>
        </w:tabs>
        <w:snapToGrid/>
        <w:ind w:left="780" w:hanging="360"/>
      </w:pPr>
      <w:rPr>
        <w:rFonts w:hint="default"/>
      </w:r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abstractNum w:abstractNumId="16">
    <w:nsid w:val="7D4A194A"/>
    <w:multiLevelType w:val="hybridMultilevel"/>
    <w:tmpl w:val="00000000"/>
    <w:lvl w:ilvl="0">
      <w:start w:val="1"/>
      <w:numFmt w:val="decimal"/>
      <w:lvlText w:val="（%1）"/>
      <w:lvlJc w:val="left"/>
      <w:pPr>
        <w:tabs>
          <w:tab w:val="num" w:pos="1260"/>
        </w:tabs>
        <w:snapToGrid/>
        <w:ind w:left="1260" w:hanging="720"/>
      </w:pPr>
      <w:rPr>
        <w:rFonts w:hint="default"/>
      </w:rPr>
    </w:lvl>
    <w:lvl w:ilvl="1">
      <w:start w:val="1"/>
      <w:numFmt w:val="decimal"/>
      <w:lvlText w:val="（%2）"/>
      <w:lvlJc w:val="left"/>
      <w:pPr>
        <w:tabs>
          <w:tab w:val="num" w:pos="1680"/>
        </w:tabs>
        <w:snapToGrid/>
        <w:ind w:left="1680" w:hanging="720"/>
      </w:pPr>
      <w:rPr>
        <w:rFonts w:hint="eastAsia"/>
      </w:rPr>
    </w:lvl>
    <w:lvl w:ilvl="2">
      <w:start w:val="2"/>
      <w:numFmt w:val="decimal"/>
      <w:lvlText w:val="(%3)"/>
      <w:lvlJc w:val="left"/>
      <w:pPr>
        <w:tabs>
          <w:tab w:val="num" w:pos="1845"/>
        </w:tabs>
        <w:snapToGrid/>
        <w:ind w:left="1845" w:hanging="465"/>
      </w:pPr>
      <w:rPr>
        <w:rFonts w:hint="eastAsia"/>
      </w:rPr>
    </w:lvl>
    <w:lvl w:ilvl="3">
      <w:start w:val="1"/>
      <w:numFmt w:val="decimal"/>
      <w:lvlText w:val="%4."/>
      <w:lvlJc w:val="left"/>
      <w:pPr>
        <w:tabs>
          <w:tab w:val="num" w:pos="2220"/>
        </w:tabs>
        <w:snapToGrid/>
        <w:ind w:left="2220" w:hanging="420"/>
      </w:pPr>
    </w:lvl>
    <w:lvl w:ilvl="4">
      <w:start w:val="1"/>
      <w:numFmt w:val="lowerLetter"/>
      <w:lvlText w:val="%5)"/>
      <w:lvlJc w:val="left"/>
      <w:pPr>
        <w:tabs>
          <w:tab w:val="num" w:pos="2640"/>
        </w:tabs>
        <w:snapToGrid/>
        <w:ind w:left="2640" w:hanging="420"/>
      </w:pPr>
    </w:lvl>
    <w:lvl w:ilvl="5">
      <w:start w:val="1"/>
      <w:numFmt w:val="lowerRoman"/>
      <w:pStyle w:val="Heading6"/>
      <w:lvlText w:val="%6."/>
      <w:lvlJc w:val="right"/>
      <w:pPr>
        <w:tabs>
          <w:tab w:val="num" w:pos="3060"/>
        </w:tabs>
        <w:snapToGrid/>
        <w:ind w:left="3060" w:hanging="420"/>
      </w:pPr>
    </w:lvl>
    <w:lvl w:ilvl="6">
      <w:start w:val="1"/>
      <w:numFmt w:val="decimal"/>
      <w:lvlText w:val="%7."/>
      <w:lvlJc w:val="left"/>
      <w:pPr>
        <w:tabs>
          <w:tab w:val="num" w:pos="3480"/>
        </w:tabs>
        <w:snapToGrid/>
        <w:ind w:left="3480" w:hanging="420"/>
      </w:pPr>
    </w:lvl>
    <w:lvl w:ilvl="7">
      <w:start w:val="1"/>
      <w:numFmt w:val="lowerLetter"/>
      <w:lvlText w:val="%8)"/>
      <w:lvlJc w:val="left"/>
      <w:pPr>
        <w:tabs>
          <w:tab w:val="num" w:pos="3900"/>
        </w:tabs>
        <w:snapToGrid/>
        <w:ind w:left="3900" w:hanging="420"/>
      </w:pPr>
    </w:lvl>
    <w:lvl w:ilvl="8">
      <w:start w:val="1"/>
      <w:numFmt w:val="lowerRoman"/>
      <w:lvlText w:val="%9."/>
      <w:lvlJc w:val="right"/>
      <w:pPr>
        <w:tabs>
          <w:tab w:val="num" w:pos="4320"/>
        </w:tabs>
        <w:snapToGrid/>
        <w:ind w:left="4320" w:hanging="420"/>
      </w:pPr>
    </w:lvl>
  </w:abstractNum>
  <w:abstractNum w:abstractNumId="17">
    <w:nsid w:val="7EC270CA"/>
    <w:multiLevelType w:val="hybridMultilevel"/>
    <w:tmpl w:val="00000000"/>
    <w:lvl w:ilvl="0">
      <w:start w:val="1"/>
      <w:numFmt w:val="decimal"/>
      <w:lvlText w:val="%1."/>
      <w:lvlJc w:val="left"/>
      <w:pPr>
        <w:tabs>
          <w:tab w:val="num" w:pos="927"/>
        </w:tabs>
        <w:snapToGrid/>
        <w:ind w:left="0" w:firstLine="567"/>
      </w:pPr>
      <w:rPr>
        <w:rFonts w:hint="eastAsia"/>
      </w:rPr>
    </w:lvl>
    <w:lvl w:ilvl="1">
      <w:start w:val="1"/>
      <w:numFmt w:val="lowerLetter"/>
      <w:lvlText w:val="%2)"/>
      <w:lvlJc w:val="left"/>
      <w:pPr>
        <w:tabs>
          <w:tab w:val="num" w:pos="840"/>
        </w:tabs>
        <w:snapToGrid/>
        <w:ind w:left="840" w:hanging="420"/>
      </w:pPr>
    </w:lvl>
    <w:lvl w:ilvl="2">
      <w:start w:val="1"/>
      <w:numFmt w:val="lowerRoman"/>
      <w:lvlText w:val="%3."/>
      <w:lvlJc w:val="right"/>
      <w:pPr>
        <w:tabs>
          <w:tab w:val="num" w:pos="1260"/>
        </w:tabs>
        <w:snapToGrid/>
        <w:ind w:left="1260" w:hanging="420"/>
      </w:pPr>
    </w:lvl>
    <w:lvl w:ilvl="3">
      <w:start w:val="1"/>
      <w:numFmt w:val="decimal"/>
      <w:lvlText w:val="%4."/>
      <w:lvlJc w:val="left"/>
      <w:pPr>
        <w:tabs>
          <w:tab w:val="num" w:pos="1680"/>
        </w:tabs>
        <w:snapToGrid/>
        <w:ind w:left="1680" w:hanging="420"/>
      </w:pPr>
    </w:lvl>
    <w:lvl w:ilvl="4">
      <w:start w:val="1"/>
      <w:numFmt w:val="lowerLetter"/>
      <w:lvlText w:val="%5)"/>
      <w:lvlJc w:val="left"/>
      <w:pPr>
        <w:tabs>
          <w:tab w:val="num" w:pos="2100"/>
        </w:tabs>
        <w:snapToGrid/>
        <w:ind w:left="2100" w:hanging="420"/>
      </w:pPr>
    </w:lvl>
    <w:lvl w:ilvl="5">
      <w:start w:val="1"/>
      <w:numFmt w:val="lowerRoman"/>
      <w:lvlText w:val="%6."/>
      <w:lvlJc w:val="right"/>
      <w:pPr>
        <w:tabs>
          <w:tab w:val="num" w:pos="2520"/>
        </w:tabs>
        <w:snapToGrid/>
        <w:ind w:left="2520" w:hanging="420"/>
      </w:pPr>
    </w:lvl>
    <w:lvl w:ilvl="6">
      <w:start w:val="1"/>
      <w:numFmt w:val="decimal"/>
      <w:lvlText w:val="%7."/>
      <w:lvlJc w:val="left"/>
      <w:pPr>
        <w:tabs>
          <w:tab w:val="num" w:pos="2940"/>
        </w:tabs>
        <w:snapToGrid/>
        <w:ind w:left="2940" w:hanging="420"/>
      </w:pPr>
    </w:lvl>
    <w:lvl w:ilvl="7">
      <w:start w:val="1"/>
      <w:numFmt w:val="lowerLetter"/>
      <w:lvlText w:val="%8)"/>
      <w:lvlJc w:val="left"/>
      <w:pPr>
        <w:tabs>
          <w:tab w:val="num" w:pos="3360"/>
        </w:tabs>
        <w:snapToGrid/>
        <w:ind w:left="3360" w:hanging="420"/>
      </w:pPr>
    </w:lvl>
    <w:lvl w:ilvl="8">
      <w:start w:val="1"/>
      <w:numFmt w:val="lowerRoman"/>
      <w:lvlText w:val="%9."/>
      <w:lvlJc w:val="right"/>
      <w:pPr>
        <w:tabs>
          <w:tab w:val="num" w:pos="3780"/>
        </w:tabs>
        <w:snapToGrid/>
        <w:ind w:left="3780" w:hanging="420"/>
      </w:pPr>
    </w:lvl>
  </w:abstractNum>
  <w:num w:numId="1">
    <w:abstractNumId w:val="16"/>
  </w:num>
  <w:num w:numId="2">
    <w:abstractNumId w:val="8"/>
  </w:num>
  <w:num w:numId="3">
    <w:abstractNumId w:val="11"/>
  </w:num>
  <w:num w:numId="4">
    <w:abstractNumId w:val="0"/>
  </w:num>
  <w:num w:numId="5">
    <w:abstractNumId w:val="5"/>
  </w:num>
  <w:num w:numId="6">
    <w:abstractNumId w:val="6"/>
  </w:num>
  <w:num w:numId="7">
    <w:abstractNumId w:val="3"/>
  </w:num>
  <w:num w:numId="8">
    <w:abstractNumId w:val="7"/>
  </w:num>
  <w:num w:numId="9">
    <w:abstractNumId w:val="13"/>
  </w:num>
  <w:num w:numId="10">
    <w:abstractNumId w:val="17"/>
  </w:num>
  <w:num w:numId="11">
    <w:abstractNumId w:val="14"/>
  </w:num>
  <w:num w:numId="12">
    <w:abstractNumId w:val="2"/>
  </w:num>
  <w:num w:numId="13">
    <w:abstractNumId w:val="10"/>
  </w:num>
  <w:num w:numId="14">
    <w:abstractNumId w:val="9"/>
  </w:num>
  <w:num w:numId="15">
    <w:abstractNumId w:val="12"/>
  </w:num>
  <w:num w:numId="16">
    <w:abstractNumId w:val="1"/>
  </w:num>
  <w:num w:numId="17">
    <w:abstractNumId w:val="4"/>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王子豪">
    <w15:presenceInfo w15:providerId="None" w15:userId="王子豪"/>
  </w15:person>
  <w15:person w15:author="饶东东">
    <w15:presenceInfo w15:providerId="None" w15:userId="饶东东"/>
  </w15:person>
  <w15:person w15:author="陈威">
    <w15:presenceInfo w15:providerId="None" w15:userId="陈威"/>
  </w15:person>
  <w15:person w15:author="卢春玲">
    <w15:presenceInfo w15:providerId="None" w15:userId="卢春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105"/>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70F"/>
    <w:rsid w:val="00062402"/>
    <w:rsid w:val="00092926"/>
    <w:rsid w:val="00171273"/>
    <w:rsid w:val="00325F33"/>
    <w:rsid w:val="004923C5"/>
    <w:rsid w:val="00522BBF"/>
    <w:rsid w:val="00653069"/>
    <w:rsid w:val="009E570F"/>
    <w:rsid w:val="00AF1F4E"/>
    <w:rsid w:val="00DB7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CC0C9E"/>
  <w15:docId w15:val="{B1FA8E51-50BF-4337-8792-A2A4ECBD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Ansi="Times New Roman" w:asciiTheme="minorHAnsi" w:eastAsiaTheme="minorEastAsia" w:cstheme="minorBidi"/>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sz w:val="21"/>
      <w:szCs w:val="24"/>
    </w:rPr>
  </w:style>
  <w:style w:type="paragraph" w:styleId="Heading1">
    <w:name w:val="heading 1"/>
    <w:basedOn w:val="Normal"/>
    <w:next w:val="Normal"/>
    <w:link w:val="1"/>
    <w:uiPriority w:val="9"/>
    <w:qFormat/>
    <w:pPr>
      <w:keepNext/>
      <w:keepLines/>
      <w:spacing w:before="480" w:after="200"/>
      <w:outlineLvl w:val="0"/>
    </w:pPr>
    <w:rPr>
      <w:rFonts w:ascii="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qFormat/>
    <w:pPr>
      <w:numPr>
        <w:ilvl w:val="2"/>
        <w:numId w:val="5"/>
      </w:numPr>
      <w:spacing w:before="260" w:after="260" w:line="416" w:lineRule="auto"/>
      <w:outlineLvl w:val="2"/>
    </w:pPr>
    <w:rPr>
      <w:rFonts w:ascii="仿宋_GB2312" w:eastAsia="仿宋_GB2312"/>
      <w:sz w:val="24"/>
      <w:szCs w:val="20"/>
    </w:rPr>
  </w:style>
  <w:style w:type="paragraph" w:styleId="Heading4">
    <w:name w:val="heading 4"/>
    <w:basedOn w:val="Normal"/>
    <w:next w:val="Normal"/>
    <w:link w:val="4"/>
    <w:qFormat/>
    <w:pPr>
      <w:keepNext/>
      <w:keepLines/>
      <w:spacing w:before="280" w:after="290" w:line="376" w:lineRule="auto"/>
      <w:outlineLvl w:val="3"/>
    </w:pPr>
    <w:rPr>
      <w:rFonts w:ascii="Arial" w:eastAsia="黑体" w:hAnsi="Arial"/>
      <w:b/>
      <w:bCs/>
      <w:sz w:val="28"/>
      <w:szCs w:val="28"/>
    </w:rPr>
  </w:style>
  <w:style w:type="paragraph" w:styleId="Heading5">
    <w:name w:val="heading 5"/>
    <w:basedOn w:val="Normal"/>
    <w:next w:val="Normal"/>
    <w:link w:val="5"/>
    <w:qFormat/>
    <w:pPr>
      <w:keepNext/>
      <w:keepLines/>
      <w:numPr>
        <w:ilvl w:val="4"/>
        <w:numId w:val="4"/>
      </w:numPr>
      <w:spacing w:before="280" w:after="290" w:line="376" w:lineRule="auto"/>
      <w:ind w:firstLine="200"/>
      <w:outlineLvl w:val="4"/>
    </w:pPr>
    <w:rPr>
      <w:b/>
      <w:bCs/>
      <w:sz w:val="28"/>
      <w:szCs w:val="28"/>
    </w:rPr>
  </w:style>
  <w:style w:type="paragraph" w:styleId="Heading6">
    <w:name w:val="heading 6"/>
    <w:basedOn w:val="Normal"/>
    <w:next w:val="BodyText"/>
    <w:link w:val="6"/>
    <w:qFormat/>
    <w:pPr>
      <w:numPr>
        <w:ilvl w:val="5"/>
        <w:numId w:val="1"/>
      </w:numPr>
      <w:snapToGrid w:val="0"/>
      <w:spacing w:before="60" w:after="60" w:line="360" w:lineRule="auto"/>
      <w:outlineLvl w:val="5"/>
    </w:pPr>
    <w:rPr>
      <w:rFonts w:eastAsia="楷体_GB2312"/>
      <w:sz w:val="24"/>
      <w:szCs w:val="20"/>
    </w:rPr>
  </w:style>
  <w:style w:type="paragraph" w:styleId="Heading7">
    <w:name w:val="heading 7"/>
    <w:basedOn w:val="Normal"/>
    <w:next w:val="Normal"/>
    <w:link w:val="7"/>
    <w:qFormat/>
    <w:pPr>
      <w:keepNext/>
      <w:keepLines/>
      <w:numPr>
        <w:ilvl w:val="6"/>
        <w:numId w:val="4"/>
      </w:numPr>
      <w:spacing w:before="240" w:after="64" w:line="320" w:lineRule="auto"/>
      <w:ind w:firstLine="200"/>
      <w:outlineLvl w:val="6"/>
    </w:pPr>
    <w:rPr>
      <w:b/>
      <w:bCs/>
      <w:sz w:val="24"/>
    </w:rPr>
  </w:style>
  <w:style w:type="paragraph" w:styleId="Heading8">
    <w:name w:val="heading 8"/>
    <w:basedOn w:val="Normal"/>
    <w:next w:val="Normal"/>
    <w:link w:val="8"/>
    <w:qFormat/>
    <w:pPr>
      <w:keepNext/>
      <w:keepLines/>
      <w:numPr>
        <w:ilvl w:val="7"/>
        <w:numId w:val="4"/>
      </w:numPr>
      <w:spacing w:before="240" w:after="64" w:line="320" w:lineRule="auto"/>
      <w:ind w:firstLine="200"/>
      <w:outlineLvl w:val="7"/>
    </w:pPr>
    <w:rPr>
      <w:rFonts w:ascii="Arial" w:eastAsia="黑体" w:hAnsi="Arial"/>
      <w:sz w:val="24"/>
    </w:rPr>
  </w:style>
  <w:style w:type="paragraph" w:styleId="Heading9">
    <w:name w:val="heading 9"/>
    <w:basedOn w:val="Normal"/>
    <w:next w:val="Normal"/>
    <w:link w:val="9"/>
    <w:qFormat/>
    <w:pPr>
      <w:keepNext/>
      <w:keepLines/>
      <w:numPr>
        <w:ilvl w:val="8"/>
        <w:numId w:val="4"/>
      </w:numPr>
      <w:spacing w:before="240" w:after="64" w:line="320" w:lineRule="auto"/>
      <w:ind w:firstLine="200"/>
      <w:outlineLvl w:val="8"/>
    </w:pPr>
    <w:rPr>
      <w:rFonts w:ascii="Arial" w:eastAsia="黑体" w:hAnsi="Arial"/>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hAnsi="Arial" w:cs="Arial"/>
      <w:sz w:val="40"/>
      <w:szCs w:val="40"/>
    </w:rPr>
  </w:style>
  <w:style w:type="character" w:customStyle="1" w:styleId="Heading2Char">
    <w:name w:val="Heading 2 Char"/>
    <w:basedOn w:val="DefaultParagraphFont"/>
    <w:uiPriority w:val="9"/>
    <w:rPr>
      <w:rFonts w:ascii="Arial" w:hAnsi="Arial" w:cs="Arial"/>
      <w:sz w:val="34"/>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
    <w:name w:val="标题 1 字符"/>
    <w:basedOn w:val="DefaultParagraphFont"/>
    <w:link w:val="Heading1"/>
    <w:uiPriority w:val="9"/>
    <w:rPr>
      <w:rFonts w:ascii="Arial" w:hAnsi="Arial" w:cs="Arial"/>
      <w:sz w:val="40"/>
      <w:szCs w:val="40"/>
    </w:rPr>
  </w:style>
  <w:style w:type="character" w:customStyle="1" w:styleId="2">
    <w:name w:val="标题 2 字符"/>
    <w:basedOn w:val="DefaultParagraphFont"/>
    <w:link w:val="Heading2"/>
    <w:uiPriority w:val="9"/>
    <w:rPr>
      <w:rFonts w:ascii="Arial" w:hAnsi="Arial" w:cs="Arial"/>
      <w:sz w:val="34"/>
    </w:rPr>
  </w:style>
  <w:style w:type="character" w:customStyle="1" w:styleId="Heading3Char">
    <w:name w:val="Heading 3 Char"/>
    <w:basedOn w:val="DefaultParagraphFont"/>
    <w:uiPriority w:val="9"/>
    <w:rPr>
      <w:rFonts w:ascii="Arial" w:hAnsi="Arial" w:cs="Arial"/>
      <w:sz w:val="30"/>
      <w:szCs w:val="30"/>
    </w:rPr>
  </w:style>
  <w:style w:type="character" w:customStyle="1" w:styleId="Heading4Char">
    <w:name w:val="Heading 4 Char"/>
    <w:basedOn w:val="DefaultParagraphFont"/>
    <w:uiPriority w:val="9"/>
    <w:rPr>
      <w:rFonts w:ascii="Arial" w:hAnsi="Arial" w:cs="Arial"/>
      <w:b/>
      <w:bCs/>
      <w:sz w:val="26"/>
      <w:szCs w:val="26"/>
    </w:rPr>
  </w:style>
  <w:style w:type="character" w:customStyle="1" w:styleId="Heading5Char">
    <w:name w:val="Heading 5 Char"/>
    <w:basedOn w:val="DefaultParagraphFont"/>
    <w:uiPriority w:val="9"/>
    <w:rPr>
      <w:rFonts w:ascii="Arial" w:hAnsi="Arial" w:cs="Arial"/>
      <w:b/>
      <w:bCs/>
      <w:sz w:val="24"/>
      <w:szCs w:val="24"/>
    </w:rPr>
  </w:style>
  <w:style w:type="character" w:customStyle="1" w:styleId="Heading6Char">
    <w:name w:val="Heading 6 Char"/>
    <w:basedOn w:val="DefaultParagraphFont"/>
    <w:uiPriority w:val="9"/>
    <w:rPr>
      <w:rFonts w:ascii="Arial" w:hAnsi="Arial" w:cs="Arial"/>
      <w:b/>
      <w:bCs/>
      <w:sz w:val="22"/>
      <w:szCs w:val="22"/>
    </w:rPr>
  </w:style>
  <w:style w:type="character" w:customStyle="1" w:styleId="Heading7Char">
    <w:name w:val="Heading 7 Char"/>
    <w:basedOn w:val="DefaultParagraphFont"/>
    <w:uiPriority w:val="9"/>
    <w:rPr>
      <w:rFonts w:ascii="Arial" w:hAnsi="Arial" w:cs="Arial"/>
      <w:b/>
      <w:bCs/>
      <w:i/>
      <w:iCs/>
      <w:sz w:val="22"/>
      <w:szCs w:val="22"/>
    </w:rPr>
  </w:style>
  <w:style w:type="character" w:customStyle="1" w:styleId="Heading8Char">
    <w:name w:val="Heading 8 Char"/>
    <w:basedOn w:val="DefaultParagraphFont"/>
    <w:uiPriority w:val="9"/>
    <w:rPr>
      <w:rFonts w:ascii="Arial" w:hAnsi="Arial" w:cs="Arial"/>
      <w:i/>
      <w:iCs/>
      <w:sz w:val="22"/>
      <w:szCs w:val="22"/>
    </w:rPr>
  </w:style>
  <w:style w:type="character" w:customStyle="1" w:styleId="Heading9Char">
    <w:name w:val="Heading 9 Char"/>
    <w:basedOn w:val="DefaultParagraphFont"/>
    <w:uiPriority w:val="9"/>
    <w:rPr>
      <w:rFonts w:ascii="Arial" w:hAnsi="Arial" w:cs="Arial"/>
      <w:i/>
      <w:iCs/>
      <w:sz w:val="21"/>
      <w:szCs w:val="21"/>
    </w:r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fill="DAE5F1" w:themeFill="accent1" w:themeFillTint="34"/>
    </w:tblPr>
    <w:tblStylePr w:type="firstRow">
      <w:pPr>
        <w:snapToGrid/>
      </w:pPr>
      <w:rPr>
        <w:rFonts w:ascii="Arial" w:hAnsi="Arial"/>
        <w:b/>
        <w:color w:val="FFFFFF"/>
        <w:sz w:val="22"/>
      </w:rPr>
      <w:tblPr/>
      <w:tcPr>
        <w:shd w:val="clear" w:color="4F81BD"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4F81BD" w:fill="4F81BD" w:themeFill="accent1"/>
      </w:tcPr>
    </w:tblStylePr>
    <w:tblStylePr w:type="firstCol">
      <w:pPr>
        <w:snapToGrid/>
      </w:pPr>
      <w:rPr>
        <w:rFonts w:ascii="Arial" w:hAnsi="Arial"/>
        <w:b/>
        <w:color w:val="FFFFFF"/>
        <w:sz w:val="22"/>
      </w:rPr>
      <w:tblPr/>
      <w:tcPr>
        <w:shd w:val="clear" w:color="4F81BD" w:fill="4F81BD" w:themeFill="accent1"/>
      </w:tcPr>
    </w:tblStylePr>
    <w:tblStylePr w:type="lastCol">
      <w:pPr>
        <w:snapToGrid/>
      </w:pPr>
      <w:rPr>
        <w:rFonts w:ascii="Arial" w:hAnsi="Arial"/>
        <w:b/>
        <w:color w:val="FFFFFF"/>
        <w:sz w:val="22"/>
      </w:rPr>
      <w:tblPr/>
      <w:tcPr>
        <w:shd w:val="clear" w:color="4F81BD" w:fill="4F81BD" w:themeFill="accent1"/>
      </w:tcPr>
    </w:tblStylePr>
    <w:tblStylePr w:type="band1Vert">
      <w:pPr>
        <w:snapToGrid/>
      </w:pPr>
      <w:tblPr/>
      <w:tcPr>
        <w:shd w:val="clear" w:color="AEC4E0" w:fill="AEC4E0" w:themeFill="accent1" w:themeFillTint="75"/>
      </w:tcPr>
    </w:tblStylePr>
    <w:tblStylePr w:type="band2Vert">
      <w:pPr>
        <w:snapToGrid/>
      </w:pPr>
    </w:tblStylePr>
    <w:tblStylePr w:type="band1Horz">
      <w:pPr>
        <w:snapToGrid/>
      </w:pPr>
      <w:tblPr/>
      <w:tcPr>
        <w:shd w:val="clear" w:color="AEC4E0"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fill="F2DCDC" w:themeFill="accent2" w:themeFillTint="32"/>
    </w:tblPr>
    <w:tblStylePr w:type="firstRow">
      <w:pPr>
        <w:snapToGrid/>
      </w:pPr>
      <w:rPr>
        <w:rFonts w:ascii="Arial" w:hAnsi="Arial"/>
        <w:b/>
        <w:color w:val="FFFFFF"/>
        <w:sz w:val="22"/>
      </w:rPr>
      <w:tblPr/>
      <w:tcPr>
        <w:shd w:val="clear" w:color="C0504D"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C0504D" w:fill="C0504D" w:themeFill="accent2"/>
      </w:tcPr>
    </w:tblStylePr>
    <w:tblStylePr w:type="firstCol">
      <w:pPr>
        <w:snapToGrid/>
      </w:pPr>
      <w:rPr>
        <w:rFonts w:ascii="Arial" w:hAnsi="Arial"/>
        <w:b/>
        <w:color w:val="FFFFFF"/>
        <w:sz w:val="22"/>
      </w:rPr>
      <w:tblPr/>
      <w:tcPr>
        <w:shd w:val="clear" w:color="C0504D" w:fill="C0504D" w:themeFill="accent2"/>
      </w:tcPr>
    </w:tblStylePr>
    <w:tblStylePr w:type="lastCol">
      <w:pPr>
        <w:snapToGrid/>
      </w:pPr>
      <w:rPr>
        <w:rFonts w:ascii="Arial" w:hAnsi="Arial"/>
        <w:b/>
        <w:color w:val="FFFFFF"/>
        <w:sz w:val="22"/>
      </w:rPr>
      <w:tblPr/>
      <w:tcPr>
        <w:shd w:val="clear" w:color="C0504D" w:fill="C0504D" w:themeFill="accent2"/>
      </w:tcPr>
    </w:tblStylePr>
    <w:tblStylePr w:type="band1Vert">
      <w:pPr>
        <w:snapToGrid/>
      </w:pPr>
      <w:tblPr/>
      <w:tcPr>
        <w:shd w:val="clear" w:color="E2AEAD" w:fill="E2AEAD" w:themeFill="accent2" w:themeFillTint="75"/>
      </w:tcPr>
    </w:tblStylePr>
    <w:tblStylePr w:type="band2Vert">
      <w:pPr>
        <w:snapToGrid/>
      </w:pPr>
    </w:tblStylePr>
    <w:tblStylePr w:type="band1Horz">
      <w:pPr>
        <w:snapToGrid/>
      </w:pPr>
      <w:tbl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fill="EAF1DC" w:themeFill="accent3" w:themeFillTint="34"/>
    </w:tblPr>
    <w:tblStylePr w:type="firstRow">
      <w:pPr>
        <w:snapToGrid/>
      </w:pPr>
      <w:rPr>
        <w:rFonts w:ascii="Arial" w:hAnsi="Arial"/>
        <w:b/>
        <w:color w:val="FFFFFF"/>
        <w:sz w:val="22"/>
      </w:rPr>
      <w:tblPr/>
      <w:tcPr>
        <w:shd w:val="clear" w:color="9BBB59"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9BBB59" w:fill="9BBB59" w:themeFill="accent3"/>
      </w:tcPr>
    </w:tblStylePr>
    <w:tblStylePr w:type="firstCol">
      <w:pPr>
        <w:snapToGrid/>
      </w:pPr>
      <w:rPr>
        <w:rFonts w:ascii="Arial" w:hAnsi="Arial"/>
        <w:b/>
        <w:color w:val="FFFFFF"/>
        <w:sz w:val="22"/>
      </w:rPr>
      <w:tblPr/>
      <w:tcPr>
        <w:shd w:val="clear" w:color="9BBB59" w:fill="9BBB59" w:themeFill="accent3"/>
      </w:tcPr>
    </w:tblStylePr>
    <w:tblStylePr w:type="lastCol">
      <w:pPr>
        <w:snapToGrid/>
      </w:pPr>
      <w:rPr>
        <w:rFonts w:ascii="Arial" w:hAnsi="Arial"/>
        <w:b/>
        <w:color w:val="FFFFFF"/>
        <w:sz w:val="22"/>
      </w:rPr>
      <w:tblPr/>
      <w:tcPr>
        <w:shd w:val="clear" w:color="9BBB59" w:fill="9BBB59" w:themeFill="accent3"/>
      </w:tcPr>
    </w:tblStylePr>
    <w:tblStylePr w:type="band1Vert">
      <w:pPr>
        <w:snapToGrid/>
      </w:pPr>
      <w:tblPr/>
      <w:tcPr>
        <w:shd w:val="clear" w:color="D0DFB2" w:fill="D0DFB2" w:themeFill="accent3" w:themeFillTint="75"/>
      </w:tcPr>
    </w:tblStylePr>
    <w:tblStylePr w:type="band2Vert">
      <w:pPr>
        <w:snapToGrid/>
      </w:pPr>
    </w:tblStylePr>
    <w:tblStylePr w:type="band1Horz">
      <w:pPr>
        <w:snapToGrid/>
      </w:pPr>
      <w:tblPr/>
      <w:tcPr>
        <w:shd w:val="clear" w:color="D0DFB2"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fill="E5DFEC" w:themeFill="accent4" w:themeFillTint="34"/>
    </w:tblPr>
    <w:tblStylePr w:type="firstRow">
      <w:pPr>
        <w:snapToGrid/>
      </w:pPr>
      <w:rPr>
        <w:rFonts w:ascii="Arial" w:hAnsi="Arial"/>
        <w:b/>
        <w:color w:val="FFFFFF"/>
        <w:sz w:val="22"/>
      </w:rPr>
      <w:tblPr/>
      <w:tcPr>
        <w:shd w:val="clear" w:color="8064A2"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8064A2" w:fill="8064A2" w:themeFill="accent4"/>
      </w:tcPr>
    </w:tblStylePr>
    <w:tblStylePr w:type="firstCol">
      <w:pPr>
        <w:snapToGrid/>
      </w:pPr>
      <w:rPr>
        <w:rFonts w:ascii="Arial" w:hAnsi="Arial"/>
        <w:b/>
        <w:color w:val="FFFFFF"/>
        <w:sz w:val="22"/>
      </w:rPr>
      <w:tblPr/>
      <w:tcPr>
        <w:shd w:val="clear" w:color="8064A2" w:fill="8064A2" w:themeFill="accent4"/>
      </w:tcPr>
    </w:tblStylePr>
    <w:tblStylePr w:type="lastCol">
      <w:pPr>
        <w:snapToGrid/>
      </w:pPr>
      <w:rPr>
        <w:rFonts w:ascii="Arial" w:hAnsi="Arial"/>
        <w:b/>
        <w:color w:val="FFFFFF"/>
        <w:sz w:val="22"/>
      </w:rPr>
      <w:tblPr/>
      <w:tcPr>
        <w:shd w:val="clear" w:color="8064A2" w:fill="8064A2" w:themeFill="accent4"/>
      </w:tcPr>
    </w:tblStylePr>
    <w:tblStylePr w:type="band1Vert">
      <w:pPr>
        <w:snapToGrid/>
      </w:pPr>
      <w:tblPr/>
      <w:tcPr>
        <w:shd w:val="clear" w:color="C4B7D4" w:fill="C4B7D4" w:themeFill="accent4" w:themeFillTint="75"/>
      </w:tcPr>
    </w:tblStylePr>
    <w:tblStylePr w:type="band2Vert">
      <w:pPr>
        <w:snapToGrid/>
      </w:pPr>
    </w:tblStylePr>
    <w:tblStylePr w:type="band1Horz">
      <w:pPr>
        <w:snapToGrid/>
      </w:pPr>
      <w:tbl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fill="DAEEF3" w:themeFill="accent5" w:themeFillTint="34"/>
    </w:tblPr>
    <w:tblStylePr w:type="firstRow">
      <w:pPr>
        <w:snapToGrid/>
      </w:pPr>
      <w:rPr>
        <w:rFonts w:ascii="Arial" w:hAnsi="Arial"/>
        <w:b/>
        <w:color w:val="FFFFFF"/>
        <w:sz w:val="22"/>
      </w:rPr>
      <w:tblPr/>
      <w:tcPr>
        <w:shd w:val="clear" w:color="4BACC6"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BACC6" w:fill="4BACC6" w:themeFill="accent5"/>
      </w:tcPr>
    </w:tblStylePr>
    <w:tblStylePr w:type="firstCol">
      <w:pPr>
        <w:snapToGrid/>
      </w:pPr>
      <w:rPr>
        <w:rFonts w:ascii="Arial" w:hAnsi="Arial"/>
        <w:b/>
        <w:color w:val="FFFFFF"/>
        <w:sz w:val="22"/>
      </w:rPr>
      <w:tblPr/>
      <w:tcPr>
        <w:shd w:val="clear" w:color="4BACC6" w:fill="4BACC6" w:themeFill="accent5"/>
      </w:tcPr>
    </w:tblStylePr>
    <w:tblStylePr w:type="lastCol">
      <w:pPr>
        <w:snapToGrid/>
      </w:pPr>
      <w:rPr>
        <w:rFonts w:ascii="Arial" w:hAnsi="Arial"/>
        <w:b/>
        <w:color w:val="FFFFFF"/>
        <w:sz w:val="22"/>
      </w:rPr>
      <w:tblPr/>
      <w:tcPr>
        <w:shd w:val="clear" w:color="4BACC6" w:fill="4BACC6" w:themeFill="accent5"/>
      </w:tcPr>
    </w:tblStylePr>
    <w:tblStylePr w:type="band1Vert">
      <w:pPr>
        <w:snapToGrid/>
      </w:pPr>
      <w:tblPr/>
      <w:tcPr>
        <w:shd w:val="clear" w:color="ACD8E4" w:fill="ACD8E4" w:themeFill="accent5" w:themeFillTint="75"/>
      </w:tcPr>
    </w:tblStylePr>
    <w:tblStylePr w:type="band2Vert">
      <w:pPr>
        <w:snapToGrid/>
      </w:pPr>
    </w:tblStylePr>
    <w:tblStylePr w:type="band1Horz">
      <w:pPr>
        <w:snapToGrid/>
      </w:pPr>
      <w:tbl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fill="FDE9D8" w:themeFill="accent6" w:themeFillTint="34"/>
    </w:tblPr>
    <w:tblStylePr w:type="firstRow">
      <w:pPr>
        <w:snapToGrid/>
      </w:pPr>
      <w:rPr>
        <w:rFonts w:ascii="Arial" w:hAnsi="Arial"/>
        <w:b/>
        <w:color w:val="FFFFFF"/>
        <w:sz w:val="22"/>
      </w:rPr>
      <w:tblPr/>
      <w:tcPr>
        <w:shd w:val="clear" w:color="F79646"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79646" w:fill="F79646" w:themeFill="accent6"/>
      </w:tcPr>
    </w:tblStylePr>
    <w:tblStylePr w:type="firstCol">
      <w:pPr>
        <w:snapToGrid/>
      </w:pPr>
      <w:rPr>
        <w:rFonts w:ascii="Arial" w:hAnsi="Arial"/>
        <w:b/>
        <w:color w:val="FFFFFF"/>
        <w:sz w:val="22"/>
      </w:rPr>
      <w:tblPr/>
      <w:tcPr>
        <w:shd w:val="clear" w:color="F79646" w:fill="F79646" w:themeFill="accent6"/>
      </w:tcPr>
    </w:tblStylePr>
    <w:tblStylePr w:type="lastCol">
      <w:pPr>
        <w:snapToGrid/>
      </w:pPr>
      <w:rPr>
        <w:rFonts w:ascii="Arial" w:hAnsi="Arial"/>
        <w:b/>
        <w:color w:val="FFFFFF"/>
        <w:sz w:val="22"/>
      </w:rPr>
      <w:tblPr/>
      <w:tcPr>
        <w:shd w:val="clear" w:color="F79646" w:fill="F79646" w:themeFill="accent6"/>
      </w:tcPr>
    </w:tblStylePr>
    <w:tblStylePr w:type="band1Vert">
      <w:pPr>
        <w:snapToGrid/>
      </w:pPr>
      <w:tblPr/>
      <w:tcPr>
        <w:shd w:val="clear" w:color="FBCEAA" w:fill="FBCEAA" w:themeFill="accent6" w:themeFillTint="75"/>
      </w:tcPr>
    </w:tblStylePr>
    <w:tblStylePr w:type="band2Vert">
      <w:pPr>
        <w:snapToGrid/>
      </w:pPr>
    </w:tblStylePr>
    <w:tblStylePr w:type="band1Horz">
      <w:pPr>
        <w:snapToGrid/>
      </w:pPr>
      <w:tbl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Shade="95" w:themeTint="80"/>
      </w:rPr>
      <w:tblPr/>
      <w:tcPr>
        <w:tcBorders>
          <w:bottom w:val="single" w:sz="12" w:space="0" w:color="A6BFDD" w:themeColor="accent1" w:themeTint="80"/>
        </w:tcBorders>
      </w:tcPr>
    </w:tblStylePr>
    <w:tblStylePr w:type="lastRow">
      <w:pPr>
        <w:snapToGrid/>
      </w:pPr>
      <w:rPr>
        <w:b/>
        <w:color w:val="A6BFDD" w:themeColor="accent1" w:themeShade="95" w:themeTint="80"/>
      </w:rPr>
    </w:tblStylePr>
    <w:tblStylePr w:type="firstCol">
      <w:pPr>
        <w:snapToGrid/>
      </w:pPr>
      <w:rPr>
        <w:b/>
        <w:color w:val="A6BFDD" w:themeColor="accent1" w:themeShade="95" w:themeTint="80"/>
      </w:rPr>
    </w:tblStylePr>
    <w:tblStylePr w:type="lastCol">
      <w:pPr>
        <w:snapToGrid/>
      </w:pPr>
      <w:rPr>
        <w:b/>
        <w:color w:val="A6BFDD" w:themeColor="accent1" w:themeShade="95" w:themeTint="80"/>
      </w:r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AE5F1"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99695" w:themeColor="accent2" w:themeShade="95" w:themeTint="97"/>
      </w:rPr>
      <w:tblPr/>
      <w:tcPr>
        <w:tcBorders>
          <w:bottom w:val="single" w:sz="12" w:space="0" w:color="D99695" w:themeColor="accent2" w:themeTint="97"/>
        </w:tcBorders>
      </w:tcPr>
    </w:tblStylePr>
    <w:tblStylePr w:type="lastRow">
      <w:pPr>
        <w:snapToGrid/>
      </w:pPr>
      <w:rPr>
        <w:b/>
        <w:color w:val="D99695" w:themeColor="accent2" w:themeShade="95" w:themeTint="97"/>
      </w:r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2DCDC"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ABB59" w:themeColor="accent3" w:themeShade="95" w:themeTint="FE"/>
      </w:rPr>
      <w:tblPr/>
      <w:tcPr>
        <w:tcBorders>
          <w:bottom w:val="single" w:sz="12" w:space="0" w:color="9ABB59" w:themeColor="accent3" w:themeTint="FE"/>
        </w:tcBorders>
      </w:tcPr>
    </w:tblStylePr>
    <w:tblStylePr w:type="lastRow">
      <w:pPr>
        <w:snapToGrid/>
      </w:pPr>
      <w:rPr>
        <w:b/>
        <w:color w:val="9ABB59" w:themeColor="accent3" w:themeShade="95" w:themeTint="FE"/>
      </w:rPr>
    </w:tblStylePr>
    <w:tblStylePr w:type="firstCol">
      <w:pPr>
        <w:snapToGrid/>
      </w:pPr>
      <w:rPr>
        <w:b/>
        <w:color w:val="9ABB59" w:themeColor="accent3" w:themeShade="95" w:themeTint="FE"/>
      </w:rPr>
    </w:tblStylePr>
    <w:tblStylePr w:type="lastCol">
      <w:pPr>
        <w:snapToGrid/>
      </w:pPr>
      <w:rPr>
        <w:b/>
        <w:color w:val="9ABB59" w:themeColor="accent3" w:themeShade="95" w:themeTint="FE"/>
      </w:r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AF1D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6" w:themeColor="accent4" w:themeShade="95" w:themeTint="9A"/>
      </w:rPr>
      <w:tblPr/>
      <w:tcPr>
        <w:tcBorders>
          <w:bottom w:val="single" w:sz="12" w:space="0" w:color="B2A1C6" w:themeColor="accent4" w:themeTint="9A"/>
        </w:tcBorders>
      </w:tcPr>
    </w:tblStylePr>
    <w:tblStylePr w:type="lastRow">
      <w:pPr>
        <w:snapToGrid/>
      </w:pPr>
      <w:rPr>
        <w:b/>
        <w:color w:val="B2A1C6" w:themeColor="accent4" w:themeShade="95" w:themeTint="9A"/>
      </w:r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E5DFEC"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779" w:themeColor="accent5" w:themeShade="95"/>
      </w:rPr>
      <w:tblPr/>
      <w:tcPr>
        <w:tcBorders>
          <w:bottom w:val="single" w:sz="12" w:space="0" w:color="4BACC6" w:themeColor="accent5"/>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AEE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779" w:themeColor="accent5" w:themeShade="95"/>
      </w:rPr>
      <w:tblPr/>
      <w:tcPr>
        <w:tcBorders>
          <w:bottom w:val="single" w:sz="12" w:space="0" w:color="F79646" w:themeColor="accent6"/>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FDE9D8" w:fill="FDE9D8" w:themeFill="accent6"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Shade="95"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Shade="95"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Shade="95"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Shade="95"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AE5F1"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2DCDC"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ABB59" w:themeColor="accent3" w:themeShade="95" w:themeTint="FE"/>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ABB59" w:themeColor="accent3" w:themeShade="95" w:themeTint="FE"/>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ABB59" w:themeColor="accent3" w:themeShade="95" w:themeTint="FE"/>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ABB59" w:themeColor="accent3" w:themeShade="95" w:themeTint="FE"/>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AF1D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E5DFEC"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AEE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B15407" w:themeColor="accent6" w:themeShade="95"/>
        <w:sz w:val="22"/>
      </w:rPr>
      <w:tblPr/>
      <w:tcPr>
        <w:shd w:val="clear" w:color="FDE9D8" w:fill="FDE9D8" w:themeFill="accent6" w:themeFillTint="34"/>
      </w:tcPr>
    </w:tblStylePr>
    <w:tblStylePr w:type="band2Horz">
      <w:pPr>
        <w:snapToGrid/>
      </w:pPr>
      <w:rPr>
        <w:rFonts w:ascii="Arial" w:hAnsi="Arial"/>
        <w:color w:val="B15407"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D99695"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3D69B"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fill="4F81BD" w:themeFill="accent1"/>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4F81BD"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4F81BD" w:fill="4F81BD" w:themeFill="accent1"/>
      </w:tcPr>
    </w:tblStylePr>
    <w:tblStylePr w:type="band2Horz">
      <w:pPr>
        <w:snapToGrid/>
      </w:pPr>
      <w:tblPr/>
      <w:tcPr>
        <w:tcBorders>
          <w:top w:val="single" w:sz="4" w:space="0" w:color="FFFFFF" w:themeColor="light1"/>
          <w:bottom w:val="single" w:sz="4" w:space="0" w:color="FFFFFF" w:themeColor="light1"/>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fill="D99695" w:themeFill="accent2" w:themeFillTint="97"/>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fill="C3D69B" w:themeFill="accent3" w:themeFillTint="98"/>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fill="B2A1C6" w:themeFill="accent4" w:themeFillTint="9A"/>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fill="92CCDC" w:themeFill="accent5" w:themeFillTint="9A"/>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fill="FAC090" w:themeFill="accent6" w:themeFillTint="98"/>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pPr>
        <w:snapToGrid/>
      </w:pPr>
      <w:rPr>
        <w:b/>
        <w:color w:val="2A4A71" w:themeColor="accent1" w:themeShade="95"/>
      </w:rPr>
      <w:tblPr/>
      <w:tcPr>
        <w:tcBorders>
          <w:bottom w:val="single" w:sz="4" w:space="0" w:color="4F81BD" w:themeColor="accent1"/>
        </w:tcBorders>
      </w:tcPr>
    </w:tblStylePr>
    <w:tblStylePr w:type="lastRow">
      <w:pPr>
        <w:snapToGrid/>
      </w:pPr>
      <w:rPr>
        <w:b/>
        <w:color w:val="2A4A71" w:themeColor="accent1" w:themeShade="95"/>
      </w:rPr>
      <w:tblPr/>
      <w:tcPr>
        <w:tcBorders>
          <w:top w:val="single" w:sz="4" w:space="0" w:color="4F81BD" w:themeColor="accent1"/>
        </w:tcBorders>
      </w:tcPr>
    </w:tblStylePr>
    <w:tblStylePr w:type="firstCol">
      <w:pPr>
        <w:snapToGrid/>
      </w:pPr>
      <w:rPr>
        <w:b/>
        <w:color w:val="2A4A71" w:themeColor="accent1" w:themeShade="95"/>
      </w:rPr>
    </w:tblStylePr>
    <w:tblStylePr w:type="lastCol">
      <w:pPr>
        <w:snapToGrid/>
      </w:pPr>
      <w:rPr>
        <w:b/>
        <w:color w:val="2A4A71" w:themeColor="accent1" w:themeShade="95"/>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2DFEE"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pPr>
        <w:snapToGrid/>
      </w:pPr>
      <w:rPr>
        <w:b/>
        <w:color w:val="D99695" w:themeColor="accent2" w:themeShade="95" w:themeTint="97"/>
      </w:rPr>
      <w:tblPr/>
      <w:tcPr>
        <w:tcBorders>
          <w:bottom w:val="single" w:sz="4" w:space="0" w:color="D99695" w:themeColor="accent2" w:themeTint="97"/>
        </w:tcBorders>
      </w:tcPr>
    </w:tblStylePr>
    <w:tblStylePr w:type="lastRow">
      <w:pPr>
        <w:snapToGrid/>
      </w:pPr>
      <w:rPr>
        <w:b/>
        <w:color w:val="D99695" w:themeColor="accent2" w:themeShade="95" w:themeTint="97"/>
      </w:rPr>
      <w:tblPr/>
      <w:tcPr>
        <w:tcBorders>
          <w:top w:val="single" w:sz="4" w:space="0" w:color="D99695" w:themeColor="accent2" w:themeTint="97"/>
        </w:tcBorders>
      </w:tc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EFD2D2"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pPr>
        <w:snapToGrid/>
      </w:pPr>
      <w:rPr>
        <w:b/>
        <w:color w:val="C3D69B" w:themeColor="accent3" w:themeShade="95" w:themeTint="98"/>
      </w:rPr>
      <w:tblPr/>
      <w:tcPr>
        <w:tcBorders>
          <w:bottom w:val="single" w:sz="4" w:space="0" w:color="C3D69B" w:themeColor="accent3" w:themeTint="98"/>
        </w:tcBorders>
      </w:tcPr>
    </w:tblStylePr>
    <w:tblStylePr w:type="lastRow">
      <w:pPr>
        <w:snapToGrid/>
      </w:pPr>
      <w:rPr>
        <w:b/>
        <w:color w:val="C3D69B" w:themeColor="accent3" w:themeShade="95" w:themeTint="98"/>
      </w:rPr>
      <w:tblPr/>
      <w:tcPr>
        <w:tcBorders>
          <w:top w:val="single" w:sz="4" w:space="0" w:color="C3D69B" w:themeColor="accent3" w:themeTint="98"/>
        </w:tcBorders>
      </w:tcPr>
    </w:tblStylePr>
    <w:tblStylePr w:type="firstCol">
      <w:pPr>
        <w:snapToGrid/>
      </w:pPr>
      <w:rPr>
        <w:b/>
        <w:color w:val="C3D69B" w:themeColor="accent3" w:themeShade="95" w:themeTint="98"/>
      </w:rPr>
    </w:tblStylePr>
    <w:tblStylePr w:type="lastCol">
      <w:pPr>
        <w:snapToGrid/>
      </w:pPr>
      <w:rPr>
        <w:b/>
        <w:color w:val="C3D69B" w:themeColor="accent3" w:themeShade="95" w:themeTint="98"/>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5EED5"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pPr>
        <w:snapToGrid/>
      </w:pPr>
      <w:rPr>
        <w:b/>
        <w:color w:val="B2A1C6" w:themeColor="accent4" w:themeShade="95" w:themeTint="9A"/>
      </w:rPr>
      <w:tblPr/>
      <w:tcPr>
        <w:tcBorders>
          <w:bottom w:val="single" w:sz="4" w:space="0" w:color="B2A1C6" w:themeColor="accent4" w:themeTint="9A"/>
        </w:tcBorders>
      </w:tcPr>
    </w:tblStylePr>
    <w:tblStylePr w:type="lastRow">
      <w:pPr>
        <w:snapToGrid/>
      </w:pPr>
      <w:rPr>
        <w:b/>
        <w:color w:val="B2A1C6" w:themeColor="accent4" w:themeShade="95" w:themeTint="9A"/>
      </w:rPr>
      <w:tblPr/>
      <w:tcPr>
        <w:tcBorders>
          <w:top w:val="single" w:sz="4" w:space="0" w:color="B2A1C6" w:themeColor="accent4" w:themeTint="9A"/>
        </w:tcBorders>
      </w:tc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DFD8E7"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pPr>
        <w:snapToGrid/>
      </w:pPr>
      <w:rPr>
        <w:b/>
        <w:color w:val="92CCDC" w:themeColor="accent5" w:themeShade="95" w:themeTint="9A"/>
      </w:rPr>
      <w:tblPr/>
      <w:tcPr>
        <w:tcBorders>
          <w:bottom w:val="single" w:sz="4" w:space="0" w:color="92CCDC" w:themeColor="accent5" w:themeTint="9A"/>
        </w:tcBorders>
      </w:tcPr>
    </w:tblStylePr>
    <w:tblStylePr w:type="lastRow">
      <w:pPr>
        <w:snapToGrid/>
      </w:pPr>
      <w:rPr>
        <w:b/>
        <w:color w:val="92CCDC" w:themeColor="accent5" w:themeShade="95" w:themeTint="9A"/>
      </w:rPr>
      <w:tblPr/>
      <w:tcPr>
        <w:tcBorders>
          <w:top w:val="single" w:sz="4" w:space="0" w:color="92CCDC" w:themeColor="accent5" w:themeTint="9A"/>
        </w:tcBorders>
      </w:tcPr>
    </w:tblStylePr>
    <w:tblStylePr w:type="firstCol">
      <w:pPr>
        <w:snapToGrid/>
      </w:pPr>
      <w:rPr>
        <w:b/>
        <w:color w:val="92CCDC" w:themeColor="accent5" w:themeShade="95" w:themeTint="9A"/>
      </w:rPr>
    </w:tblStylePr>
    <w:tblStylePr w:type="lastCol">
      <w:pPr>
        <w:snapToGrid/>
      </w:pPr>
      <w:rPr>
        <w:b/>
        <w:color w:val="92CCDC" w:themeColor="accent5" w:themeShade="95" w:themeTint="9A"/>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D1EA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pPr>
        <w:snapToGrid/>
      </w:pPr>
      <w:rPr>
        <w:b/>
        <w:color w:val="FAC090" w:themeColor="accent6" w:themeShade="95" w:themeTint="98"/>
      </w:rPr>
      <w:tblPr/>
      <w:tcPr>
        <w:tcBorders>
          <w:bottom w:val="single" w:sz="4" w:space="0" w:color="FAC090" w:themeColor="accent6" w:themeTint="98"/>
        </w:tcBorders>
      </w:tcPr>
    </w:tblStylePr>
    <w:tblStylePr w:type="lastRow">
      <w:pPr>
        <w:snapToGrid/>
      </w:pPr>
      <w:rPr>
        <w:b/>
        <w:color w:val="FAC090" w:themeColor="accent6" w:themeShade="95" w:themeTint="98"/>
      </w:rPr>
      <w:tblPr/>
      <w:tcPr>
        <w:tcBorders>
          <w:top w:val="single" w:sz="4" w:space="0" w:color="FAC090" w:themeColor="accent6" w:themeTint="98"/>
        </w:tcBorders>
      </w:tcPr>
    </w:tblStylePr>
    <w:tblStylePr w:type="firstCol">
      <w:pPr>
        <w:snapToGrid/>
      </w:pPr>
      <w:rPr>
        <w:b/>
        <w:color w:val="FAC090" w:themeColor="accent6" w:themeShade="95" w:themeTint="98"/>
      </w:rPr>
    </w:tblStylePr>
    <w:tblStylePr w:type="lastCol">
      <w:pPr>
        <w:snapToGrid/>
      </w:pPr>
      <w:rPr>
        <w:b/>
        <w:color w:val="FAC090" w:themeColor="accent6" w:themeShade="95" w:themeTint="98"/>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FDE4D0"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F81BD" w:themeColor="accent1"/>
      </w:tblBorders>
    </w:tblPr>
    <w:tblStylePr w:type="firstRow">
      <w:pPr>
        <w:snapToGrid/>
      </w:pPr>
      <w:rPr>
        <w:rFonts w:ascii="Arial" w:hAnsi="Arial"/>
        <w:i/>
        <w:color w:val="2A4A71" w:themeColor="accent1" w:themeShade="95"/>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1" w:themeColor="accent1" w:themeShade="95"/>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2DFEE"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D99695" w:themeColor="accent2" w:themeTint="97"/>
      </w:tblBorders>
    </w:tblPr>
    <w:tblStylePr w:type="firstRow">
      <w:pPr>
        <w:snapToGrid/>
      </w:pPr>
      <w:rPr>
        <w:rFonts w:ascii="Arial" w:hAnsi="Arial"/>
        <w:i/>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EFD2D2"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3D69B" w:themeColor="accent3" w:themeTint="98"/>
      </w:tblBorders>
    </w:tblPr>
    <w:tblStylePr w:type="firstRow">
      <w:pPr>
        <w:snapToGrid/>
      </w:pPr>
      <w:rPr>
        <w:rFonts w:ascii="Arial" w:hAnsi="Arial"/>
        <w:i/>
        <w:color w:val="C3D69B" w:themeColor="accent3" w:themeShade="95" w:themeTint="98"/>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3D69B" w:themeColor="accent3" w:themeShade="95" w:themeTint="98"/>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3D69B" w:themeColor="accent3" w:themeShade="95" w:themeTint="98"/>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3D69B" w:themeColor="accent3" w:themeShade="95" w:themeTint="98"/>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5EED5"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B2A1C6" w:themeColor="accent4" w:themeTint="9A"/>
      </w:tblBorders>
    </w:tblPr>
    <w:tblStylePr w:type="firstRow">
      <w:pPr>
        <w:snapToGrid/>
      </w:pPr>
      <w:rPr>
        <w:rFonts w:ascii="Arial" w:hAnsi="Arial"/>
        <w:i/>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DFD8E7"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2CCDC" w:themeColor="accent5" w:themeTint="9A"/>
      </w:tblBorders>
    </w:tblPr>
    <w:tblStylePr w:type="firstRow">
      <w:pPr>
        <w:snapToGrid/>
      </w:pPr>
      <w:rPr>
        <w:rFonts w:ascii="Arial" w:hAnsi="Arial"/>
        <w:i/>
        <w:color w:val="92CCDC" w:themeColor="accent5" w:themeShade="95" w:themeTint="9A"/>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CDC" w:themeColor="accent5" w:themeShade="95" w:themeTint="9A"/>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CDC" w:themeColor="accent5" w:themeShade="95" w:themeTint="9A"/>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CDC" w:themeColor="accent5" w:themeShade="95" w:themeTint="9A"/>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D1EA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FAC090" w:themeColor="accent6" w:themeTint="98"/>
      </w:tblBorders>
    </w:tblPr>
    <w:tblStylePr w:type="firstRow">
      <w:pPr>
        <w:snapToGrid/>
      </w:pPr>
      <w:rPr>
        <w:rFonts w:ascii="Arial" w:hAnsi="Arial"/>
        <w:i/>
        <w:color w:val="FAC090" w:themeColor="accent6" w:themeShade="95" w:themeTint="98"/>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C090" w:themeColor="accent6" w:themeShade="95" w:themeTint="98"/>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C090" w:themeColor="accent6" w:themeShade="95" w:themeTint="98"/>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C090" w:themeColor="accent6" w:themeShade="95" w:themeTint="98"/>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FDE4D0"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FootnoteText">
    <w:name w:val="footnote text"/>
    <w:basedOn w:val="Normal"/>
    <w:link w:val="a3"/>
    <w:uiPriority w:val="99"/>
    <w:semiHidden/>
    <w:unhideWhenUsed/>
    <w:pPr>
      <w:spacing w:after="40"/>
    </w:pPr>
    <w:rPr>
      <w:sz w:val="18"/>
    </w:rPr>
  </w:style>
  <w:style w:type="character" w:customStyle="1" w:styleId="a3">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4"/>
    <w:uiPriority w:val="99"/>
    <w:semiHidden/>
    <w:unhideWhenUsed/>
    <w:rPr>
      <w:sz w:val="20"/>
    </w:rPr>
  </w:style>
  <w:style w:type="character" w:customStyle="1" w:styleId="a4">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link w:val="a6"/>
    <w:pPr>
      <w:spacing w:after="120"/>
    </w:pPr>
  </w:style>
  <w:style w:type="character" w:customStyle="1" w:styleId="big1">
    <w:name w:val="big1"/>
    <w:basedOn w:val="DefaultParagraphFont"/>
    <w:rPr>
      <w:spacing w:val="360"/>
      <w:sz w:val="22"/>
      <w:szCs w:val="22"/>
    </w:rPr>
  </w:style>
  <w:style w:type="paragraph" w:styleId="Header">
    <w:name w:val="header"/>
    <w:basedOn w:val="Normal"/>
    <w:link w:val="a7"/>
    <w:uiPriority w:val="9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a5"/>
    <w:uiPriority w:val="99"/>
    <w:pPr>
      <w:tabs>
        <w:tab w:val="center" w:pos="4153"/>
        <w:tab w:val="right" w:pos="8306"/>
      </w:tabs>
      <w:snapToGrid w:val="0"/>
      <w:jc w:val="left"/>
    </w:pPr>
    <w:rPr>
      <w:sz w:val="18"/>
      <w:szCs w:val="18"/>
    </w:r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BodyTextIndent">
    <w:name w:val="Body Text Indent"/>
    <w:basedOn w:val="Normal"/>
    <w:link w:val="a9"/>
    <w:pPr>
      <w:spacing w:line="360" w:lineRule="auto"/>
      <w:ind w:firstLine="480"/>
    </w:pPr>
    <w:rPr>
      <w:sz w:val="24"/>
    </w:rPr>
  </w:style>
  <w:style w:type="paragraph" w:styleId="BodyTextIndent3">
    <w:name w:val="Body Text Indent 3"/>
    <w:basedOn w:val="Normal"/>
    <w:link w:val="30"/>
    <w:pPr>
      <w:tabs>
        <w:tab w:val="left" w:pos="1080"/>
      </w:tabs>
      <w:ind w:firstLine="360"/>
    </w:pPr>
    <w:rPr>
      <w:rFonts w:ascii="仿宋_GB2312" w:eastAsia="仿宋_GB2312" w:hAnsi="宋体"/>
      <w:sz w:val="24"/>
    </w:rPr>
  </w:style>
  <w:style w:type="paragraph" w:styleId="BodyTextIndent2">
    <w:name w:val="Body Text Indent 2"/>
    <w:basedOn w:val="Normal"/>
    <w:link w:val="21"/>
    <w:pPr>
      <w:spacing w:before="60" w:line="360" w:lineRule="auto"/>
      <w:ind w:firstLine="345"/>
    </w:pPr>
    <w:rPr>
      <w:color w:val="3366FF"/>
      <w:sz w:val="24"/>
    </w:rPr>
  </w:style>
  <w:style w:type="paragraph" w:styleId="NormalIndent">
    <w:name w:val="Normal Indent"/>
    <w:basedOn w:val="Normal"/>
    <w:pPr>
      <w:snapToGrid w:val="0"/>
      <w:ind w:firstLine="420"/>
    </w:pPr>
    <w:rPr>
      <w:rFonts w:eastAsia="楷体_GB2312"/>
      <w:sz w:val="24"/>
      <w:szCs w:val="20"/>
    </w:rPr>
  </w:style>
  <w:style w:type="character" w:styleId="FollowedHyperlink">
    <w:name w:val="FollowedHyperlink"/>
    <w:basedOn w:val="DefaultParagraphFont"/>
    <w:uiPriority w:val="99"/>
    <w:rPr>
      <w:color w:val="800080"/>
      <w:u w:val="single"/>
    </w:rPr>
  </w:style>
  <w:style w:type="paragraph" w:styleId="BalloonText">
    <w:name w:val="Balloon Text"/>
    <w:basedOn w:val="Normal"/>
    <w:link w:val="a14"/>
    <w:semiHidden/>
    <w:rPr>
      <w:sz w:val="18"/>
      <w:szCs w:val="18"/>
    </w:rPr>
  </w:style>
  <w:style w:type="paragraph" w:styleId="NormalWeb">
    <w:name w:val="Normal (Web)"/>
    <w:basedOn w:val="Normal"/>
    <w:uiPriority w:val="99"/>
    <w:pPr>
      <w:widowControl/>
      <w:spacing w:before="100" w:beforeAutospacing="1" w:after="100" w:afterAutospacing="1"/>
      <w:jc w:val="left"/>
    </w:pPr>
    <w:rPr>
      <w:rFonts w:ascii="宋体" w:hAnsi="宋体"/>
      <w:color w:val="000000"/>
      <w:sz w:val="24"/>
    </w:rPr>
  </w:style>
  <w:style w:type="paragraph" w:styleId="DocumentMap">
    <w:name w:val="Document Map"/>
    <w:basedOn w:val="Normal"/>
    <w:link w:val="a11"/>
    <w:semiHidden/>
    <w:pPr>
      <w:shd w:val="clear" w:color="000080" w:fill="000080"/>
    </w:pPr>
  </w:style>
  <w:style w:type="paragraph" w:styleId="BodyText2">
    <w:name w:val="Body Text 2"/>
    <w:basedOn w:val="Normal"/>
    <w:link w:val="20"/>
    <w:pPr>
      <w:snapToGrid w:val="0"/>
      <w:spacing w:line="360" w:lineRule="auto"/>
    </w:pPr>
    <w:rPr>
      <w:color w:val="0C6C9C"/>
      <w:sz w:val="18"/>
      <w:szCs w:val="18"/>
    </w:rPr>
  </w:style>
  <w:style w:type="character" w:styleId="CommentReference">
    <w:name w:val="annotation reference"/>
    <w:basedOn w:val="DefaultParagraphFont"/>
    <w:qFormat/>
    <w:rPr>
      <w:sz w:val="21"/>
      <w:szCs w:val="21"/>
    </w:rPr>
  </w:style>
  <w:style w:type="paragraph" w:styleId="CommentText">
    <w:name w:val="annotation text"/>
    <w:basedOn w:val="Normal"/>
    <w:link w:val="a8"/>
    <w:qFormat/>
    <w:pPr>
      <w:jc w:val="left"/>
    </w:pPr>
  </w:style>
  <w:style w:type="paragraph" w:styleId="CommentSubject">
    <w:name w:val="annotation subject"/>
    <w:basedOn w:val="CommentText"/>
    <w:next w:val="CommentText"/>
    <w:link w:val="a13"/>
    <w:semiHidden/>
    <w:rPr>
      <w:b/>
      <w:bCs/>
    </w:rPr>
  </w:style>
  <w:style w:type="character" w:styleId="Strong">
    <w:name w:val="Strong"/>
    <w:basedOn w:val="DefaultParagraphFont"/>
    <w:qFormat/>
    <w:rPr>
      <w:b/>
      <w:bCs/>
    </w:rPr>
  </w:style>
  <w:style w:type="table" w:styleId="TableTheme">
    <w:name w:val="Table Theme"/>
    <w:basedOn w:val="TableNormal"/>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PlainText">
    <w:name w:val="Plain Text"/>
    <w:basedOn w:val="Normal"/>
    <w:link w:val="a12"/>
    <w:rPr>
      <w:rFonts w:ascii="宋体" w:hAnsi="Courier New"/>
      <w:sz w:val="24"/>
      <w:szCs w:val="20"/>
    </w:rPr>
  </w:style>
  <w:style w:type="paragraph" w:styleId="Date">
    <w:name w:val="Date"/>
    <w:basedOn w:val="Normal"/>
    <w:next w:val="Normal"/>
    <w:link w:val="a10"/>
    <w:pPr>
      <w:ind w:left="100"/>
    </w:pPr>
  </w:style>
  <w:style w:type="character" w:styleId="HTMLTypewriter">
    <w:name w:val="HTML Typewriter"/>
    <w:basedOn w:val="DefaultParagraphFont"/>
    <w:rPr>
      <w:rFonts w:ascii="黑体" w:eastAsia="黑体" w:hAnsi="Courier New" w:cs="Courier New"/>
      <w:sz w:val="20"/>
      <w:szCs w:val="20"/>
    </w:rPr>
  </w:style>
  <w:style w:type="paragraph" w:styleId="Revision">
    <w:name w:val="Revision"/>
    <w:hidden/>
    <w:uiPriority w:val="99"/>
    <w:semiHidden/>
    <w:rPr>
      <w:sz w:val="21"/>
      <w:szCs w:val="24"/>
    </w:rPr>
  </w:style>
  <w:style w:type="character" w:customStyle="1" w:styleId="da">
    <w:name w:val="da"/>
    <w:basedOn w:val="DefaultParagraphFont"/>
    <w:qFormat/>
  </w:style>
  <w:style w:type="character" w:customStyle="1" w:styleId="a5">
    <w:name w:val="页脚 字符"/>
    <w:basedOn w:val="DefaultParagraphFont"/>
    <w:link w:val="Footer"/>
    <w:uiPriority w:val="99"/>
    <w:rPr>
      <w:sz w:val="18"/>
      <w:szCs w:val="18"/>
    </w:rPr>
  </w:style>
  <w:style w:type="character" w:customStyle="1" w:styleId="a6">
    <w:name w:val="正文文本 字符"/>
    <w:basedOn w:val="DefaultParagraphFont"/>
    <w:link w:val="BodyText"/>
    <w:rPr>
      <w:sz w:val="21"/>
      <w:szCs w:val="24"/>
    </w:rPr>
  </w:style>
  <w:style w:type="character" w:customStyle="1" w:styleId="a7">
    <w:name w:val="页眉 字符"/>
    <w:basedOn w:val="DefaultParagraphFont"/>
    <w:link w:val="Header"/>
    <w:uiPriority w:val="99"/>
    <w:rPr>
      <w:sz w:val="18"/>
      <w:szCs w:val="18"/>
    </w:rPr>
  </w:style>
  <w:style w:type="character" w:customStyle="1" w:styleId="3">
    <w:name w:val="标题 3 字符"/>
    <w:basedOn w:val="DefaultParagraphFont"/>
    <w:link w:val="Heading3"/>
    <w:rPr>
      <w:rFonts w:ascii="仿宋_GB2312" w:eastAsia="仿宋_GB2312"/>
      <w:sz w:val="24"/>
    </w:rPr>
  </w:style>
  <w:style w:type="character" w:customStyle="1" w:styleId="4">
    <w:name w:val="标题 4 字符"/>
    <w:basedOn w:val="DefaultParagraphFont"/>
    <w:link w:val="Heading4"/>
    <w:rPr>
      <w:rFonts w:ascii="Arial" w:eastAsia="黑体" w:hAnsi="Arial"/>
      <w:b/>
      <w:bCs/>
      <w:sz w:val="28"/>
      <w:szCs w:val="28"/>
    </w:rPr>
  </w:style>
  <w:style w:type="character" w:customStyle="1" w:styleId="5">
    <w:name w:val="标题 5 字符"/>
    <w:basedOn w:val="DefaultParagraphFont"/>
    <w:link w:val="Heading5"/>
    <w:rPr>
      <w:b/>
      <w:bCs/>
      <w:sz w:val="28"/>
      <w:szCs w:val="28"/>
    </w:rPr>
  </w:style>
  <w:style w:type="character" w:customStyle="1" w:styleId="6">
    <w:name w:val="标题 6 字符"/>
    <w:basedOn w:val="DefaultParagraphFont"/>
    <w:link w:val="Heading6"/>
    <w:rPr>
      <w:rFonts w:eastAsia="楷体_GB2312"/>
      <w:sz w:val="24"/>
    </w:rPr>
  </w:style>
  <w:style w:type="character" w:customStyle="1" w:styleId="7">
    <w:name w:val="标题 7 字符"/>
    <w:basedOn w:val="DefaultParagraphFont"/>
    <w:link w:val="Heading7"/>
    <w:rPr>
      <w:b/>
      <w:bCs/>
      <w:sz w:val="24"/>
      <w:szCs w:val="24"/>
    </w:rPr>
  </w:style>
  <w:style w:type="character" w:customStyle="1" w:styleId="8">
    <w:name w:val="标题 8 字符"/>
    <w:basedOn w:val="DefaultParagraphFont"/>
    <w:link w:val="Heading8"/>
    <w:rPr>
      <w:rFonts w:ascii="Arial" w:eastAsia="黑体" w:hAnsi="Arial"/>
      <w:sz w:val="24"/>
      <w:szCs w:val="24"/>
    </w:rPr>
  </w:style>
  <w:style w:type="character" w:customStyle="1" w:styleId="9">
    <w:name w:val="标题 9 字符"/>
    <w:basedOn w:val="DefaultParagraphFont"/>
    <w:link w:val="Heading9"/>
    <w:rPr>
      <w:rFonts w:ascii="Arial" w:eastAsia="黑体" w:hAnsi="Arial"/>
      <w:sz w:val="24"/>
      <w:szCs w:val="21"/>
    </w:rPr>
  </w:style>
  <w:style w:type="character" w:customStyle="1" w:styleId="a8">
    <w:name w:val="批注文字 字符"/>
    <w:basedOn w:val="DefaultParagraphFont"/>
    <w:link w:val="CommentText"/>
    <w:qFormat/>
    <w:rPr>
      <w:sz w:val="21"/>
      <w:szCs w:val="24"/>
    </w:rPr>
  </w:style>
  <w:style w:type="character" w:customStyle="1" w:styleId="a9">
    <w:name w:val="正文文本缩进 字符"/>
    <w:basedOn w:val="DefaultParagraphFont"/>
    <w:link w:val="BodyTextIndent"/>
    <w:rPr>
      <w:sz w:val="24"/>
      <w:szCs w:val="24"/>
    </w:rPr>
  </w:style>
  <w:style w:type="character" w:customStyle="1" w:styleId="a10">
    <w:name w:val="日期 字符"/>
    <w:basedOn w:val="DefaultParagraphFont"/>
    <w:link w:val="Date"/>
    <w:rPr>
      <w:sz w:val="21"/>
      <w:szCs w:val="24"/>
    </w:rPr>
  </w:style>
  <w:style w:type="character" w:customStyle="1" w:styleId="20">
    <w:name w:val="正文文本 2 字符"/>
    <w:basedOn w:val="DefaultParagraphFont"/>
    <w:link w:val="BodyText2"/>
    <w:rPr>
      <w:color w:val="0C6C9C"/>
      <w:sz w:val="21"/>
      <w:szCs w:val="18"/>
    </w:rPr>
  </w:style>
  <w:style w:type="character" w:customStyle="1" w:styleId="21">
    <w:name w:val="正文文本缩进 2 字符"/>
    <w:basedOn w:val="DefaultParagraphFont"/>
    <w:link w:val="BodyTextIndent2"/>
    <w:rPr>
      <w:color w:val="3366FF"/>
      <w:sz w:val="24"/>
      <w:szCs w:val="24"/>
    </w:rPr>
  </w:style>
  <w:style w:type="character" w:customStyle="1" w:styleId="30">
    <w:name w:val="正文文本缩进 3 字符"/>
    <w:basedOn w:val="DefaultParagraphFont"/>
    <w:link w:val="BodyTextIndent3"/>
    <w:rPr>
      <w:rFonts w:ascii="仿宋_GB2312" w:eastAsia="仿宋_GB2312" w:hAnsi="宋体"/>
      <w:sz w:val="24"/>
      <w:szCs w:val="24"/>
    </w:rPr>
  </w:style>
  <w:style w:type="character" w:customStyle="1" w:styleId="a11">
    <w:name w:val="文档结构图 字符"/>
    <w:basedOn w:val="DefaultParagraphFont"/>
    <w:link w:val="DocumentMap"/>
    <w:semiHidden/>
    <w:rPr>
      <w:sz w:val="21"/>
      <w:szCs w:val="24"/>
      <w:shd w:val="clear" w:color="000080" w:fill="000080"/>
    </w:rPr>
  </w:style>
  <w:style w:type="character" w:customStyle="1" w:styleId="a12">
    <w:name w:val="纯文本 字符"/>
    <w:basedOn w:val="DefaultParagraphFont"/>
    <w:link w:val="PlainText"/>
    <w:rPr>
      <w:rFonts w:ascii="宋体" w:hAnsi="Courier New"/>
      <w:sz w:val="24"/>
    </w:rPr>
  </w:style>
  <w:style w:type="character" w:customStyle="1" w:styleId="a13">
    <w:name w:val="批注主题 字符"/>
    <w:basedOn w:val="a8"/>
    <w:link w:val="CommentSubject"/>
    <w:semiHidden/>
    <w:rPr>
      <w:b/>
      <w:bCs/>
      <w:sz w:val="21"/>
      <w:szCs w:val="24"/>
    </w:rPr>
  </w:style>
  <w:style w:type="character" w:customStyle="1" w:styleId="a14">
    <w:name w:val="批注框文本 字符"/>
    <w:basedOn w:val="DefaultParagraphFont"/>
    <w:link w:val="BalloonText"/>
    <w:semiHidden/>
    <w:rPr>
      <w:sz w:val="18"/>
      <w:szCs w:val="18"/>
    </w:rPr>
  </w:style>
  <w:style w:type="paragraph" w:styleId="ListParagraph">
    <w:name w:val="List Paragraph"/>
    <w:basedOn w:val="Normal"/>
    <w:uiPriority w:val="34"/>
    <w:qFormat/>
    <w:pPr>
      <w:ind w:firstLine="420"/>
    </w:pPr>
  </w:style>
  <w:style w:type="paragraph" w:styleId="HTMLPreformatted">
    <w:name w:val="HTML Preformatted"/>
    <w:basedOn w:val="Normal"/>
    <w:link w:val="HTML"/>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character" w:customStyle="1" w:styleId="HTML">
    <w:name w:val="HTML 预设格式 字符"/>
    <w:basedOn w:val="DefaultParagraphFont"/>
    <w:link w:val="HTMLPreformatted"/>
    <w:uiPriority w:val="99"/>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