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people.xml" ContentType="application/vnd.openxmlformats-officedocument.wordprocessingml.peop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24.12.0 -->
  <w:body>
    <w:p w:rsidR="004B0A92" w14:paraId="6E9F7CF2" w14:textId="77777777">
      <w:pPr>
        <w:snapToGrid w:val="0"/>
        <w:spacing w:line="360" w:lineRule="auto"/>
        <w:jc w:val="center"/>
        <w:rPr>
          <w:rFonts w:ascii="宋体" w:hAnsi="宋体" w:cs="宋体"/>
          <w:szCs w:val="21"/>
        </w:rPr>
        <w:sectPr>
          <w:footerReference w:type="even" r:id="rId5"/>
          <w:footerReference w:type="default" r:id="rId6"/>
          <w:type w:val="continuous"/>
          <w:pgSz w:w="11906" w:h="16838"/>
          <w:pgMar w:top="1418" w:right="1701" w:bottom="1418" w:left="1701" w:header="851" w:footer="992" w:gutter="0"/>
          <w:cols w:space="425"/>
          <w:docGrid w:type="lines" w:linePitch="312"/>
        </w:sectPr>
      </w:pPr>
      <w:bookmarkStart w:id="0" w:name="TITLE_765decababaa49e2a8dfd7458e24b387"/>
      <w:r>
        <w:rPr>
          <w:rFonts w:ascii="宋体" w:hAnsi="宋体" w:cs="宋体"/>
        </w:rPr>
        <w:t xml:space="preserve"> </w:t>
      </w:r>
      <w:bookmarkEnd w:id="0"/>
    </w:p>
    <w:p w:rsidR="004B0A92" w14:paraId="778946AC" w14:textId="77777777">
      <w:pPr>
        <w:snapToGrid w:val="0"/>
        <w:spacing w:line="360" w:lineRule="auto"/>
        <w:jc w:val="center"/>
        <w:rPr>
          <w:rFonts w:ascii="宋体" w:hAnsi="宋体" w:cs="宋体"/>
          <w:szCs w:val="21"/>
        </w:rPr>
      </w:pPr>
      <w:bookmarkStart w:id="1" w:name="CLAUSE_468ded6493c9462ebc131b865f5d7da2"/>
      <w:r>
        <w:rPr>
          <w:rFonts w:ascii="宋体" w:hAnsi="宋体" w:cs="宋体"/>
        </w:rPr>
        <w:t xml:space="preserve"> </w:t>
      </w:r>
      <w:bookmarkStart w:id="2" w:name="CTS_468ded6493c9462ebc131b865f5d7da2"/>
      <w:bookmarkEnd w:id="2"/>
    </w:p>
    <w:p w:rsidR="004B0A92" w14:paraId="686930F0" w14:textId="77777777">
      <w:pPr>
        <w:snapToGrid w:val="0"/>
        <w:spacing w:line="360" w:lineRule="auto"/>
        <w:jc w:val="center"/>
        <w:rPr>
          <w:rFonts w:ascii="宋体" w:hAnsi="宋体" w:cs="宋体"/>
          <w:szCs w:val="21"/>
        </w:rPr>
      </w:pPr>
    </w:p>
    <w:p w:rsidR="004B0A92" w14:paraId="26875C27" w14:textId="77777777">
      <w:pPr>
        <w:snapToGrid w:val="0"/>
        <w:spacing w:line="360" w:lineRule="auto"/>
        <w:jc w:val="center"/>
        <w:rPr>
          <w:rFonts w:ascii="宋体" w:hAnsi="宋体" w:cs="宋体"/>
          <w:szCs w:val="21"/>
        </w:rPr>
      </w:pPr>
    </w:p>
    <w:p w:rsidR="004B0A92" w14:paraId="31E70C66" w14:textId="77777777">
      <w:pPr>
        <w:snapToGrid w:val="0"/>
        <w:spacing w:line="360" w:lineRule="auto"/>
        <w:jc w:val="center"/>
        <w:rPr>
          <w:rFonts w:ascii="宋体" w:hAnsi="宋体" w:cs="宋体"/>
          <w:szCs w:val="21"/>
        </w:rPr>
      </w:pPr>
    </w:p>
    <w:p w:rsidR="004B0A92" w14:paraId="07D382CB" w14:textId="77777777">
      <w:pPr>
        <w:snapToGrid w:val="0"/>
        <w:spacing w:line="360" w:lineRule="auto"/>
        <w:jc w:val="center"/>
        <w:rPr>
          <w:rFonts w:ascii="宋体" w:hAnsi="宋体" w:cs="宋体"/>
          <w:szCs w:val="21"/>
        </w:rPr>
      </w:pPr>
    </w:p>
    <w:p w:rsidR="004B0A92" w14:paraId="584D6223" w14:textId="77777777">
      <w:pPr>
        <w:snapToGrid w:val="0"/>
        <w:spacing w:line="360" w:lineRule="auto"/>
        <w:jc w:val="center"/>
        <w:rPr>
          <w:rFonts w:ascii="宋体" w:hAnsi="宋体" w:cs="宋体"/>
          <w:b/>
          <w:sz w:val="44"/>
          <w:szCs w:val="21"/>
        </w:rPr>
      </w:pPr>
      <w:r>
        <w:rPr>
          <w:rFonts w:ascii="宋体" w:hAnsi="宋体" w:cs="宋体" w:hint="eastAsia"/>
          <w:b/>
          <w:sz w:val="44"/>
          <w:szCs w:val="21"/>
        </w:rPr>
        <w:t>易方达中证科创创业人工智能交易型开放式指数证券投资基金发起式联接基金托管协议</w:t>
      </w:r>
    </w:p>
    <w:p w:rsidR="004B0A92" w14:paraId="36B0E89E" w14:textId="77777777">
      <w:pPr>
        <w:snapToGrid w:val="0"/>
        <w:spacing w:line="360" w:lineRule="auto"/>
        <w:jc w:val="center"/>
        <w:rPr>
          <w:rFonts w:ascii="宋体" w:hAnsi="宋体" w:cs="宋体"/>
          <w:b/>
          <w:szCs w:val="21"/>
        </w:rPr>
      </w:pPr>
    </w:p>
    <w:p w:rsidR="004B0A92" w14:paraId="3BD8C9D8" w14:textId="77777777">
      <w:pPr>
        <w:snapToGrid w:val="0"/>
        <w:spacing w:line="360" w:lineRule="auto"/>
        <w:jc w:val="center"/>
        <w:rPr>
          <w:rFonts w:ascii="宋体" w:hAnsi="宋体" w:cs="宋体"/>
          <w:szCs w:val="21"/>
        </w:rPr>
      </w:pPr>
    </w:p>
    <w:p w:rsidR="004B0A92" w14:paraId="06C43226" w14:textId="77777777">
      <w:pPr>
        <w:snapToGrid w:val="0"/>
        <w:spacing w:line="360" w:lineRule="auto"/>
        <w:jc w:val="center"/>
        <w:rPr>
          <w:rFonts w:ascii="宋体" w:hAnsi="宋体" w:cs="宋体"/>
          <w:szCs w:val="21"/>
        </w:rPr>
      </w:pPr>
    </w:p>
    <w:p w:rsidR="004B0A92" w14:paraId="2FC484A4" w14:textId="77777777">
      <w:pPr>
        <w:snapToGrid w:val="0"/>
        <w:spacing w:line="360" w:lineRule="auto"/>
        <w:jc w:val="center"/>
        <w:rPr>
          <w:rFonts w:ascii="宋体" w:hAnsi="宋体" w:cs="宋体"/>
          <w:szCs w:val="21"/>
        </w:rPr>
      </w:pPr>
    </w:p>
    <w:p w:rsidR="004B0A92" w14:paraId="21216132" w14:textId="77777777">
      <w:pPr>
        <w:snapToGrid w:val="0"/>
        <w:spacing w:line="360" w:lineRule="auto"/>
        <w:jc w:val="center"/>
        <w:rPr>
          <w:rFonts w:ascii="宋体" w:hAnsi="宋体" w:cs="宋体"/>
          <w:szCs w:val="21"/>
        </w:rPr>
      </w:pPr>
    </w:p>
    <w:p w:rsidR="004B0A92" w14:paraId="189A77EF" w14:textId="77777777">
      <w:pPr>
        <w:snapToGrid w:val="0"/>
        <w:spacing w:line="360" w:lineRule="auto"/>
        <w:jc w:val="center"/>
        <w:rPr>
          <w:rFonts w:ascii="宋体" w:hAnsi="宋体" w:cs="宋体"/>
          <w:szCs w:val="21"/>
        </w:rPr>
      </w:pPr>
    </w:p>
    <w:p w:rsidR="004B0A92" w14:paraId="78F7CB36" w14:textId="77777777">
      <w:pPr>
        <w:snapToGrid w:val="0"/>
        <w:spacing w:line="360" w:lineRule="auto"/>
        <w:jc w:val="center"/>
        <w:rPr>
          <w:rFonts w:ascii="宋体" w:hAnsi="宋体" w:cs="宋体"/>
          <w:szCs w:val="21"/>
        </w:rPr>
      </w:pPr>
    </w:p>
    <w:p w:rsidR="004B0A92" w14:paraId="553BCA15" w14:textId="77777777">
      <w:pPr>
        <w:snapToGrid w:val="0"/>
        <w:spacing w:line="360" w:lineRule="auto"/>
        <w:jc w:val="center"/>
        <w:rPr>
          <w:rFonts w:ascii="宋体" w:hAnsi="宋体" w:cs="宋体"/>
          <w:szCs w:val="21"/>
        </w:rPr>
      </w:pPr>
    </w:p>
    <w:p w:rsidR="004B0A92" w14:paraId="71C45E05" w14:textId="77777777">
      <w:pPr>
        <w:snapToGrid w:val="0"/>
        <w:spacing w:line="360" w:lineRule="auto"/>
        <w:jc w:val="center"/>
        <w:rPr>
          <w:rFonts w:ascii="宋体" w:hAnsi="宋体" w:cs="宋体"/>
          <w:szCs w:val="21"/>
        </w:rPr>
      </w:pPr>
    </w:p>
    <w:p w:rsidR="004B0A92" w14:paraId="1557D038" w14:textId="77777777">
      <w:pPr>
        <w:snapToGrid w:val="0"/>
        <w:spacing w:line="360" w:lineRule="auto"/>
        <w:jc w:val="center"/>
        <w:rPr>
          <w:rFonts w:ascii="宋体" w:hAnsi="宋体" w:cs="宋体"/>
          <w:szCs w:val="21"/>
        </w:rPr>
      </w:pPr>
    </w:p>
    <w:p w:rsidR="004B0A92" w14:paraId="64DBA51F" w14:textId="77777777">
      <w:pPr>
        <w:snapToGrid w:val="0"/>
        <w:spacing w:line="360" w:lineRule="auto"/>
        <w:jc w:val="center"/>
        <w:rPr>
          <w:rFonts w:ascii="宋体" w:hAnsi="宋体" w:cs="宋体"/>
          <w:szCs w:val="21"/>
        </w:rPr>
      </w:pPr>
    </w:p>
    <w:p w:rsidR="004B0A92" w14:paraId="595A799E" w14:textId="77777777">
      <w:pPr>
        <w:snapToGrid w:val="0"/>
        <w:spacing w:line="360" w:lineRule="auto"/>
        <w:jc w:val="center"/>
        <w:rPr>
          <w:rFonts w:ascii="宋体" w:hAnsi="宋体" w:cs="宋体"/>
          <w:szCs w:val="21"/>
        </w:rPr>
      </w:pPr>
    </w:p>
    <w:p w:rsidR="004B0A92" w14:paraId="7EF876B0" w14:textId="77777777">
      <w:pPr>
        <w:snapToGrid w:val="0"/>
        <w:spacing w:line="360" w:lineRule="auto"/>
        <w:jc w:val="center"/>
        <w:rPr>
          <w:rFonts w:ascii="宋体" w:hAnsi="宋体" w:cs="宋体"/>
          <w:szCs w:val="21"/>
        </w:rPr>
      </w:pPr>
    </w:p>
    <w:p w:rsidR="004B0A92" w14:paraId="1CEE4B68" w14:textId="77777777">
      <w:pPr>
        <w:snapToGrid w:val="0"/>
        <w:spacing w:line="360" w:lineRule="auto"/>
        <w:jc w:val="center"/>
        <w:rPr>
          <w:rFonts w:ascii="宋体" w:hAnsi="宋体" w:cs="宋体"/>
          <w:szCs w:val="21"/>
        </w:rPr>
      </w:pPr>
    </w:p>
    <w:p w:rsidR="004B0A92" w14:paraId="7CCF85DB" w14:textId="77777777">
      <w:pPr>
        <w:snapToGrid w:val="0"/>
        <w:spacing w:line="360" w:lineRule="auto"/>
        <w:ind w:firstLine="1680"/>
        <w:rPr>
          <w:rFonts w:ascii="宋体" w:hAnsi="宋体" w:cs="宋体"/>
          <w:bCs/>
          <w:sz w:val="28"/>
          <w:szCs w:val="21"/>
        </w:rPr>
      </w:pPr>
      <w:r>
        <w:rPr>
          <w:rFonts w:ascii="宋体" w:hAnsi="宋体" w:cs="宋体" w:hint="eastAsia"/>
          <w:bCs/>
          <w:sz w:val="28"/>
          <w:szCs w:val="21"/>
        </w:rPr>
        <w:t>基金管理人：易方达基金管理有限公司</w:t>
      </w:r>
    </w:p>
    <w:p w:rsidR="004B0A92" w14:paraId="404F21CA" w14:textId="77777777">
      <w:pPr>
        <w:snapToGrid w:val="0"/>
        <w:spacing w:line="360" w:lineRule="auto"/>
        <w:ind w:firstLine="1680"/>
        <w:rPr>
          <w:rFonts w:ascii="宋体" w:hAnsi="宋体" w:cs="宋体"/>
          <w:bCs/>
          <w:sz w:val="28"/>
          <w:szCs w:val="21"/>
        </w:rPr>
      </w:pPr>
      <w:r>
        <w:rPr>
          <w:rFonts w:ascii="宋体" w:hAnsi="宋体" w:cs="宋体" w:hint="eastAsia"/>
          <w:bCs/>
          <w:sz w:val="28"/>
          <w:szCs w:val="21"/>
        </w:rPr>
        <w:t>基金托管人：招商银行股份有限公司</w:t>
      </w:r>
    </w:p>
    <w:p w:rsidR="004B0A92" w14:paraId="36D00658" w14:textId="7B0E8788">
      <w:pPr>
        <w:jc w:val="center"/>
        <w:rPr>
          <w:rFonts w:ascii="宋体" w:hAnsi="宋体" w:cs="宋体"/>
        </w:rPr>
      </w:pPr>
      <w:r>
        <w:rPr>
          <w:rFonts w:ascii="宋体" w:hAnsi="宋体" w:cs="宋体"/>
          <w:color w:val="000000"/>
          <w:sz w:val="28"/>
        </w:rPr>
        <w:t>二零二</w:t>
      </w:r>
      <w:r w:rsidR="004B0824">
        <w:rPr>
          <w:rFonts w:ascii="宋体" w:hAnsi="宋体" w:cs="宋体" w:hint="eastAsia"/>
          <w:color w:val="000000"/>
          <w:sz w:val="28"/>
        </w:rPr>
        <w:t>六</w:t>
      </w:r>
      <w:r>
        <w:rPr>
          <w:rFonts w:ascii="宋体" w:hAnsi="宋体" w:cs="宋体"/>
          <w:color w:val="000000"/>
          <w:sz w:val="28"/>
        </w:rPr>
        <w:t>年</w:t>
      </w:r>
      <w:r w:rsidR="0086715F">
        <w:rPr>
          <w:rFonts w:ascii="宋体" w:hAnsi="宋体" w:cs="宋体" w:hint="eastAsia"/>
          <w:color w:val="000000"/>
          <w:sz w:val="28"/>
        </w:rPr>
        <w:t>九</w:t>
      </w:r>
      <w:r>
        <w:rPr>
          <w:rFonts w:ascii="宋体" w:hAnsi="宋体" w:cs="宋体"/>
          <w:color w:val="000000"/>
          <w:sz w:val="28"/>
        </w:rPr>
        <w:t>月</w:t>
      </w:r>
    </w:p>
    <w:p w:rsidR="004B0A92" w14:paraId="65902E24" w14:textId="77777777">
      <w:pPr>
        <w:jc w:val="center"/>
        <w:rPr>
          <w:rFonts w:ascii="宋体" w:hAnsi="宋体" w:cs="宋体"/>
        </w:rPr>
      </w:pPr>
    </w:p>
    <w:p w:rsidR="004B0A92" w14:paraId="6747028D" w14:textId="77777777">
      <w:pPr>
        <w:spacing w:line="360" w:lineRule="auto"/>
        <w:ind w:firstLine="1680"/>
        <w:jc w:val="center"/>
        <w:rPr>
          <w:rFonts w:ascii="宋体" w:hAnsi="宋体" w:cs="宋体"/>
        </w:rPr>
      </w:pPr>
      <w:r>
        <w:rPr>
          <w:rFonts w:ascii="宋体" w:hAnsi="宋体" w:cs="宋体"/>
        </w:rPr>
        <w:br w:type="page"/>
      </w:r>
      <w:bookmarkEnd w:id="1"/>
    </w:p>
    <w:p w:rsidR="004B0A92" w14:paraId="2A39D582" w14:textId="77777777">
      <w:pPr>
        <w:snapToGrid w:val="0"/>
        <w:spacing w:line="360" w:lineRule="auto"/>
        <w:rPr>
          <w:rFonts w:ascii="宋体" w:hAnsi="宋体" w:cs="宋体"/>
          <w:bCs/>
          <w:szCs w:val="21"/>
        </w:rPr>
        <w:sectPr>
          <w:type w:val="continuous"/>
          <w:pgSz w:w="11906" w:h="16838"/>
          <w:pgMar w:top="1418" w:right="1701" w:bottom="1418" w:left="1701" w:header="851" w:footer="992" w:gutter="0"/>
          <w:cols w:space="425"/>
          <w:docGrid w:type="lines" w:linePitch="312"/>
        </w:sectPr>
      </w:pPr>
    </w:p>
    <w:p w:rsidR="004B0A92" w14:paraId="07C0A07D" w14:textId="77777777">
      <w:pPr>
        <w:snapToGrid w:val="0"/>
        <w:spacing w:line="360" w:lineRule="auto"/>
        <w:rPr>
          <w:rFonts w:ascii="宋体" w:hAnsi="宋体" w:cs="宋体"/>
          <w:bCs/>
          <w:szCs w:val="21"/>
        </w:rPr>
      </w:pPr>
      <w:r>
        <w:rPr>
          <w:rFonts w:ascii="宋体" w:hAnsi="宋体" w:cs="宋体"/>
        </w:rPr>
        <w:t xml:space="preserve"> </w:t>
      </w:r>
      <w:bookmarkStart w:id="3" w:name="CTS_bd58dd527ca2412b839164a45ea933d0"/>
      <w:bookmarkEnd w:id="3"/>
    </w:p>
    <w:p w:rsidR="004B0A92" w14:paraId="03D9A119" w14:textId="77777777">
      <w:pPr>
        <w:spacing w:line="360" w:lineRule="auto"/>
        <w:jc w:val="center"/>
        <w:rPr>
          <w:rFonts w:ascii="宋体" w:hAnsi="宋体" w:cs="宋体"/>
          <w:b/>
          <w:bCs/>
          <w:szCs w:val="21"/>
        </w:rPr>
      </w:pPr>
      <w:r>
        <w:rPr>
          <w:rFonts w:ascii="宋体" w:hAnsi="宋体" w:cs="宋体" w:hint="eastAsia"/>
          <w:b/>
          <w:bCs/>
          <w:szCs w:val="21"/>
        </w:rPr>
        <w:t>目    录</w:t>
      </w:r>
    </w:p>
    <w:p w:rsidR="004B0A92" w14:paraId="4F05ECB6" w14:textId="796D94A4">
      <w:pPr>
        <w:pStyle w:val="TOC2"/>
        <w:tabs>
          <w:tab w:val="right" w:leader="dot" w:pos="8494"/>
        </w:tabs>
        <w:rPr>
          <w:rFonts w:ascii="宋体" w:hAnsi="宋体" w:cs="宋体"/>
          <w:noProof/>
          <w:szCs w:val="21"/>
        </w:rPr>
      </w:pPr>
      <w:r>
        <w:rPr>
          <w:rFonts w:ascii="宋体" w:hAnsi="宋体" w:cs="宋体"/>
          <w:szCs w:val="21"/>
        </w:rPr>
        <w:fldChar w:fldCharType="begin"/>
      </w:r>
      <w:r>
        <w:rPr>
          <w:rFonts w:ascii="宋体" w:hAnsi="宋体" w:cs="宋体"/>
          <w:szCs w:val="21"/>
        </w:rPr>
        <w:instrText xml:space="preserve"> TOC \o "1-2" \h \z </w:instrText>
      </w:r>
      <w:r>
        <w:rPr>
          <w:rFonts w:ascii="宋体" w:hAnsi="宋体" w:cs="宋体"/>
          <w:szCs w:val="21"/>
        </w:rPr>
        <w:fldChar w:fldCharType="separate"/>
      </w:r>
      <w:hyperlink w:anchor="_Toc384992691" w:tooltip="Current Document" w:history="1">
        <w:r>
          <w:rPr>
            <w:rStyle w:val="Hyperlink"/>
            <w:rFonts w:ascii="宋体" w:hAnsi="宋体" w:cs="宋体" w:hint="eastAsia"/>
            <w:noProof/>
            <w:szCs w:val="21"/>
          </w:rPr>
          <w:t>一、基金托管协议当事人</w:t>
        </w:r>
        <w:r>
          <w:rPr>
            <w:rFonts w:ascii="宋体" w:hAnsi="宋体" w:cs="宋体"/>
            <w:noProof/>
            <w:szCs w:val="21"/>
          </w:rPr>
          <w:tab/>
        </w:r>
        <w:r>
          <w:rPr>
            <w:rFonts w:ascii="宋体" w:hAnsi="宋体" w:cs="宋体"/>
            <w:noProof/>
            <w:szCs w:val="21"/>
          </w:rPr>
          <w:fldChar w:fldCharType="begin"/>
        </w:r>
        <w:r>
          <w:rPr>
            <w:rFonts w:ascii="宋体" w:hAnsi="宋体" w:cs="宋体"/>
            <w:noProof/>
            <w:szCs w:val="21"/>
          </w:rPr>
          <w:instrText xml:space="preserve"> PAGEREF _Toc384992691 \h </w:instrText>
        </w:r>
        <w:r>
          <w:rPr>
            <w:rFonts w:ascii="宋体" w:hAnsi="宋体" w:cs="宋体"/>
            <w:noProof/>
            <w:szCs w:val="21"/>
          </w:rPr>
          <w:fldChar w:fldCharType="separate"/>
        </w:r>
        <w:r w:rsidR="0086715F">
          <w:rPr>
            <w:rFonts w:ascii="宋体" w:hAnsi="宋体" w:cs="宋体"/>
            <w:noProof/>
            <w:szCs w:val="21"/>
          </w:rPr>
          <w:t>5</w:t>
        </w:r>
        <w:r>
          <w:rPr>
            <w:rFonts w:ascii="宋体" w:hAnsi="宋体" w:cs="宋体"/>
            <w:noProof/>
            <w:szCs w:val="21"/>
          </w:rPr>
          <w:fldChar w:fldCharType="end"/>
        </w:r>
      </w:hyperlink>
    </w:p>
    <w:p w:rsidR="004B0A92" w14:paraId="3156D789" w14:textId="4EDAAEC2">
      <w:pPr>
        <w:pStyle w:val="TOC2"/>
        <w:tabs>
          <w:tab w:val="right" w:leader="dot" w:pos="8494"/>
        </w:tabs>
        <w:rPr>
          <w:rFonts w:ascii="宋体" w:hAnsi="宋体" w:cs="宋体"/>
          <w:noProof/>
          <w:szCs w:val="21"/>
        </w:rPr>
      </w:pPr>
      <w:hyperlink w:anchor="_Toc384992692" w:tooltip="Current Document" w:history="1">
        <w:r w:rsidR="009873FD">
          <w:rPr>
            <w:rStyle w:val="Hyperlink"/>
            <w:rFonts w:ascii="宋体" w:hAnsi="宋体" w:cs="宋体" w:hint="eastAsia"/>
            <w:noProof/>
            <w:szCs w:val="21"/>
          </w:rPr>
          <w:t>二、基金托管协议的依据、目的和原则</w:t>
        </w:r>
        <w:r w:rsidR="009873FD">
          <w:rPr>
            <w:rFonts w:ascii="宋体" w:hAnsi="宋体" w:cs="宋体"/>
            <w:noProof/>
            <w:szCs w:val="21"/>
          </w:rPr>
          <w:tab/>
        </w:r>
        <w:r w:rsidR="009873FD">
          <w:rPr>
            <w:rFonts w:ascii="宋体" w:hAnsi="宋体" w:cs="宋体"/>
            <w:noProof/>
            <w:szCs w:val="21"/>
          </w:rPr>
          <w:fldChar w:fldCharType="begin"/>
        </w:r>
        <w:r w:rsidR="009873FD">
          <w:rPr>
            <w:rFonts w:ascii="宋体" w:hAnsi="宋体" w:cs="宋体"/>
            <w:noProof/>
            <w:szCs w:val="21"/>
          </w:rPr>
          <w:instrText xml:space="preserve"> PAGEREF _Toc384992692 \h </w:instrText>
        </w:r>
        <w:r w:rsidR="009873FD">
          <w:rPr>
            <w:rFonts w:ascii="宋体" w:hAnsi="宋体" w:cs="宋体"/>
            <w:noProof/>
            <w:szCs w:val="21"/>
          </w:rPr>
          <w:fldChar w:fldCharType="separate"/>
        </w:r>
        <w:r w:rsidR="0086715F">
          <w:rPr>
            <w:rFonts w:ascii="宋体" w:hAnsi="宋体" w:cs="宋体"/>
            <w:noProof/>
            <w:szCs w:val="21"/>
          </w:rPr>
          <w:t>6</w:t>
        </w:r>
        <w:r w:rsidR="009873FD">
          <w:rPr>
            <w:rFonts w:ascii="宋体" w:hAnsi="宋体" w:cs="宋体"/>
            <w:noProof/>
            <w:szCs w:val="21"/>
          </w:rPr>
          <w:fldChar w:fldCharType="end"/>
        </w:r>
      </w:hyperlink>
    </w:p>
    <w:p w:rsidR="004B0A92" w14:paraId="6B977F4E" w14:textId="4D138484">
      <w:pPr>
        <w:pStyle w:val="TOC2"/>
        <w:tabs>
          <w:tab w:val="right" w:leader="dot" w:pos="8494"/>
        </w:tabs>
        <w:rPr>
          <w:rFonts w:ascii="宋体" w:hAnsi="宋体" w:cs="宋体"/>
          <w:noProof/>
          <w:szCs w:val="21"/>
        </w:rPr>
      </w:pPr>
      <w:hyperlink w:anchor="_Toc384992693" w:tooltip="Current Document" w:history="1">
        <w:r w:rsidR="009873FD">
          <w:rPr>
            <w:rStyle w:val="Hyperlink"/>
            <w:rFonts w:ascii="宋体" w:hAnsi="宋体" w:cs="宋体" w:hint="eastAsia"/>
            <w:noProof/>
            <w:szCs w:val="21"/>
          </w:rPr>
          <w:t>三、基金托管人对基金管理人的业务监督和核查</w:t>
        </w:r>
        <w:r w:rsidR="009873FD">
          <w:rPr>
            <w:rFonts w:ascii="宋体" w:hAnsi="宋体" w:cs="宋体"/>
            <w:noProof/>
            <w:szCs w:val="21"/>
          </w:rPr>
          <w:tab/>
        </w:r>
        <w:r w:rsidR="009873FD">
          <w:rPr>
            <w:rFonts w:ascii="宋体" w:hAnsi="宋体" w:cs="宋体"/>
            <w:noProof/>
            <w:szCs w:val="21"/>
          </w:rPr>
          <w:fldChar w:fldCharType="begin"/>
        </w:r>
        <w:r w:rsidR="009873FD">
          <w:rPr>
            <w:rFonts w:ascii="宋体" w:hAnsi="宋体" w:cs="宋体"/>
            <w:noProof/>
            <w:szCs w:val="21"/>
          </w:rPr>
          <w:instrText xml:space="preserve"> PAGEREF _Toc384992693 \h </w:instrText>
        </w:r>
        <w:r w:rsidR="009873FD">
          <w:rPr>
            <w:rFonts w:ascii="宋体" w:hAnsi="宋体" w:cs="宋体"/>
            <w:noProof/>
            <w:szCs w:val="21"/>
          </w:rPr>
          <w:fldChar w:fldCharType="separate"/>
        </w:r>
        <w:r w:rsidR="0086715F">
          <w:rPr>
            <w:rFonts w:ascii="宋体" w:hAnsi="宋体" w:cs="宋体"/>
            <w:noProof/>
            <w:szCs w:val="21"/>
          </w:rPr>
          <w:t>7</w:t>
        </w:r>
        <w:r w:rsidR="009873FD">
          <w:rPr>
            <w:rFonts w:ascii="宋体" w:hAnsi="宋体" w:cs="宋体"/>
            <w:noProof/>
            <w:szCs w:val="21"/>
          </w:rPr>
          <w:fldChar w:fldCharType="end"/>
        </w:r>
      </w:hyperlink>
    </w:p>
    <w:p w:rsidR="004B0A92" w14:paraId="2DFBB9B0" w14:textId="3327D072">
      <w:pPr>
        <w:pStyle w:val="TOC2"/>
        <w:tabs>
          <w:tab w:val="right" w:leader="dot" w:pos="8494"/>
        </w:tabs>
        <w:rPr>
          <w:rFonts w:ascii="宋体" w:hAnsi="宋体" w:cs="宋体"/>
          <w:noProof/>
          <w:szCs w:val="21"/>
        </w:rPr>
      </w:pPr>
      <w:hyperlink w:anchor="_Toc384992694" w:tooltip="Current Document" w:history="1">
        <w:r>
          <w:rPr>
            <w:rStyle w:val="Hyperlink"/>
            <w:rFonts w:ascii="宋体" w:hAnsi="宋体" w:cs="宋体" w:hint="eastAsia"/>
            <w:noProof/>
            <w:szCs w:val="21"/>
          </w:rPr>
          <w:t>四、基金管理人对基金托管人的业务核查</w:t>
        </w:r>
        <w:r>
          <w:rPr>
            <w:rFonts w:ascii="宋体" w:hAnsi="宋体" w:cs="宋体"/>
            <w:noProof/>
            <w:szCs w:val="21"/>
          </w:rPr>
          <w:tab/>
        </w:r>
        <w:r>
          <w:rPr>
            <w:rFonts w:ascii="宋体" w:hAnsi="宋体" w:cs="宋体"/>
            <w:noProof/>
            <w:szCs w:val="21"/>
          </w:rPr>
          <w:fldChar w:fldCharType="begin"/>
        </w:r>
        <w:r>
          <w:rPr>
            <w:rFonts w:ascii="宋体" w:hAnsi="宋体" w:cs="宋体"/>
            <w:noProof/>
            <w:szCs w:val="21"/>
          </w:rPr>
          <w:instrText xml:space="preserve"> PAGEREF _Toc384992694 \h </w:instrText>
        </w:r>
        <w:r>
          <w:rPr>
            <w:rFonts w:ascii="宋体" w:hAnsi="宋体" w:cs="宋体"/>
            <w:noProof/>
            <w:szCs w:val="21"/>
          </w:rPr>
          <w:fldChar w:fldCharType="separate"/>
        </w:r>
        <w:r w:rsidR="0086715F">
          <w:rPr>
            <w:rFonts w:ascii="宋体" w:hAnsi="宋体" w:cs="宋体"/>
            <w:noProof/>
            <w:szCs w:val="21"/>
          </w:rPr>
          <w:t>17</w:t>
        </w:r>
        <w:r>
          <w:rPr>
            <w:rFonts w:ascii="宋体" w:hAnsi="宋体" w:cs="宋体"/>
            <w:noProof/>
            <w:szCs w:val="21"/>
          </w:rPr>
          <w:fldChar w:fldCharType="end"/>
        </w:r>
      </w:hyperlink>
    </w:p>
    <w:p w:rsidR="004B0A92" w14:paraId="2D0F7393" w14:textId="2E9E8601">
      <w:pPr>
        <w:pStyle w:val="TOC2"/>
        <w:tabs>
          <w:tab w:val="right" w:leader="dot" w:pos="8494"/>
        </w:tabs>
        <w:rPr>
          <w:rFonts w:ascii="宋体" w:hAnsi="宋体" w:cs="宋体"/>
          <w:noProof/>
          <w:szCs w:val="21"/>
        </w:rPr>
      </w:pPr>
      <w:hyperlink w:anchor="_Toc384992695" w:tooltip="Current Document" w:history="1">
        <w:r>
          <w:rPr>
            <w:rStyle w:val="Hyperlink"/>
            <w:rFonts w:ascii="宋体" w:hAnsi="宋体" w:cs="宋体" w:hint="eastAsia"/>
            <w:noProof/>
            <w:szCs w:val="21"/>
          </w:rPr>
          <w:t>五、基金财产的保管</w:t>
        </w:r>
        <w:r>
          <w:rPr>
            <w:rFonts w:ascii="宋体" w:hAnsi="宋体" w:cs="宋体"/>
            <w:noProof/>
            <w:szCs w:val="21"/>
          </w:rPr>
          <w:tab/>
        </w:r>
        <w:r>
          <w:rPr>
            <w:rFonts w:ascii="宋体" w:hAnsi="宋体" w:cs="宋体"/>
            <w:noProof/>
            <w:szCs w:val="21"/>
          </w:rPr>
          <w:fldChar w:fldCharType="begin"/>
        </w:r>
        <w:r>
          <w:rPr>
            <w:rFonts w:ascii="宋体" w:hAnsi="宋体" w:cs="宋体"/>
            <w:noProof/>
            <w:szCs w:val="21"/>
          </w:rPr>
          <w:instrText xml:space="preserve"> PAGEREF _Toc384992695 \h </w:instrText>
        </w:r>
        <w:r>
          <w:rPr>
            <w:rFonts w:ascii="宋体" w:hAnsi="宋体" w:cs="宋体"/>
            <w:noProof/>
            <w:szCs w:val="21"/>
          </w:rPr>
          <w:fldChar w:fldCharType="separate"/>
        </w:r>
        <w:r w:rsidR="0086715F">
          <w:rPr>
            <w:rFonts w:ascii="宋体" w:hAnsi="宋体" w:cs="宋体"/>
            <w:noProof/>
            <w:szCs w:val="21"/>
          </w:rPr>
          <w:t>18</w:t>
        </w:r>
        <w:r>
          <w:rPr>
            <w:rFonts w:ascii="宋体" w:hAnsi="宋体" w:cs="宋体"/>
            <w:noProof/>
            <w:szCs w:val="21"/>
          </w:rPr>
          <w:fldChar w:fldCharType="end"/>
        </w:r>
      </w:hyperlink>
    </w:p>
    <w:p w:rsidR="004B0A92" w14:paraId="44D191B0" w14:textId="132A8528">
      <w:pPr>
        <w:pStyle w:val="TOC2"/>
        <w:tabs>
          <w:tab w:val="right" w:leader="dot" w:pos="8494"/>
        </w:tabs>
        <w:rPr>
          <w:rFonts w:ascii="宋体" w:hAnsi="宋体" w:cs="宋体"/>
          <w:noProof/>
          <w:szCs w:val="21"/>
        </w:rPr>
      </w:pPr>
      <w:hyperlink w:anchor="_Toc384992696" w:tooltip="Current Document" w:history="1">
        <w:r>
          <w:rPr>
            <w:rStyle w:val="Hyperlink"/>
            <w:rFonts w:ascii="宋体" w:hAnsi="宋体" w:cs="宋体" w:hint="eastAsia"/>
            <w:noProof/>
            <w:szCs w:val="21"/>
          </w:rPr>
          <w:t>六、指令的发送、确认及执行</w:t>
        </w:r>
        <w:r>
          <w:rPr>
            <w:rFonts w:ascii="宋体" w:hAnsi="宋体" w:cs="宋体"/>
            <w:noProof/>
            <w:szCs w:val="21"/>
          </w:rPr>
          <w:tab/>
        </w:r>
        <w:r>
          <w:rPr>
            <w:rFonts w:ascii="宋体" w:hAnsi="宋体" w:cs="宋体"/>
            <w:noProof/>
            <w:szCs w:val="21"/>
          </w:rPr>
          <w:fldChar w:fldCharType="begin"/>
        </w:r>
        <w:r>
          <w:rPr>
            <w:rFonts w:ascii="宋体" w:hAnsi="宋体" w:cs="宋体"/>
            <w:noProof/>
            <w:szCs w:val="21"/>
          </w:rPr>
          <w:instrText xml:space="preserve"> PAGEREF _Toc384992696 \h </w:instrText>
        </w:r>
        <w:r>
          <w:rPr>
            <w:rFonts w:ascii="宋体" w:hAnsi="宋体" w:cs="宋体"/>
            <w:noProof/>
            <w:szCs w:val="21"/>
          </w:rPr>
          <w:fldChar w:fldCharType="separate"/>
        </w:r>
        <w:r w:rsidR="0086715F">
          <w:rPr>
            <w:rFonts w:ascii="宋体" w:hAnsi="宋体" w:cs="宋体"/>
            <w:noProof/>
            <w:szCs w:val="21"/>
          </w:rPr>
          <w:t>21</w:t>
        </w:r>
        <w:r>
          <w:rPr>
            <w:rFonts w:ascii="宋体" w:hAnsi="宋体" w:cs="宋体"/>
            <w:noProof/>
            <w:szCs w:val="21"/>
          </w:rPr>
          <w:fldChar w:fldCharType="end"/>
        </w:r>
      </w:hyperlink>
    </w:p>
    <w:p w:rsidR="004B0A92" w14:paraId="36CEEB20" w14:textId="2668408A">
      <w:pPr>
        <w:pStyle w:val="TOC2"/>
        <w:tabs>
          <w:tab w:val="right" w:leader="dot" w:pos="8494"/>
        </w:tabs>
        <w:rPr>
          <w:rFonts w:ascii="宋体" w:hAnsi="宋体" w:cs="宋体"/>
          <w:noProof/>
          <w:szCs w:val="21"/>
        </w:rPr>
      </w:pPr>
      <w:hyperlink w:anchor="_Toc384992697" w:tooltip="Current Document" w:history="1">
        <w:r>
          <w:rPr>
            <w:rStyle w:val="Hyperlink"/>
            <w:rFonts w:ascii="宋体" w:hAnsi="宋体" w:cs="宋体" w:hint="eastAsia"/>
            <w:noProof/>
            <w:szCs w:val="21"/>
          </w:rPr>
          <w:t>七、交易及清算交收安排</w:t>
        </w:r>
        <w:r>
          <w:rPr>
            <w:rFonts w:ascii="宋体" w:hAnsi="宋体" w:cs="宋体"/>
            <w:noProof/>
            <w:szCs w:val="21"/>
          </w:rPr>
          <w:tab/>
        </w:r>
        <w:r>
          <w:rPr>
            <w:rFonts w:ascii="宋体" w:hAnsi="宋体" w:cs="宋体"/>
            <w:noProof/>
            <w:szCs w:val="21"/>
          </w:rPr>
          <w:fldChar w:fldCharType="begin"/>
        </w:r>
        <w:r>
          <w:rPr>
            <w:rFonts w:ascii="宋体" w:hAnsi="宋体" w:cs="宋体"/>
            <w:noProof/>
            <w:szCs w:val="21"/>
          </w:rPr>
          <w:instrText xml:space="preserve"> PAGEREF _Toc384992697 \h </w:instrText>
        </w:r>
        <w:r>
          <w:rPr>
            <w:rFonts w:ascii="宋体" w:hAnsi="宋体" w:cs="宋体"/>
            <w:noProof/>
            <w:szCs w:val="21"/>
          </w:rPr>
          <w:fldChar w:fldCharType="separate"/>
        </w:r>
        <w:r w:rsidR="0086715F">
          <w:rPr>
            <w:rFonts w:ascii="宋体" w:hAnsi="宋体" w:cs="宋体"/>
            <w:noProof/>
            <w:szCs w:val="21"/>
          </w:rPr>
          <w:t>26</w:t>
        </w:r>
        <w:r>
          <w:rPr>
            <w:rFonts w:ascii="宋体" w:hAnsi="宋体" w:cs="宋体"/>
            <w:noProof/>
            <w:szCs w:val="21"/>
          </w:rPr>
          <w:fldChar w:fldCharType="end"/>
        </w:r>
      </w:hyperlink>
    </w:p>
    <w:p w:rsidR="004B0A92" w14:paraId="3B1EEA77" w14:textId="57F898CA">
      <w:pPr>
        <w:pStyle w:val="TOC2"/>
        <w:tabs>
          <w:tab w:val="right" w:leader="dot" w:pos="8494"/>
        </w:tabs>
        <w:rPr>
          <w:rFonts w:ascii="宋体" w:hAnsi="宋体" w:cs="宋体"/>
          <w:noProof/>
          <w:szCs w:val="21"/>
        </w:rPr>
      </w:pPr>
      <w:hyperlink w:anchor="_Toc384992698" w:tooltip="Current Document" w:history="1">
        <w:r>
          <w:rPr>
            <w:rStyle w:val="Hyperlink"/>
            <w:rFonts w:ascii="宋体" w:hAnsi="宋体" w:cs="宋体" w:hint="eastAsia"/>
            <w:noProof/>
            <w:szCs w:val="21"/>
          </w:rPr>
          <w:t>八、基金资产净值计算、估值和会计核算</w:t>
        </w:r>
        <w:r>
          <w:rPr>
            <w:rFonts w:ascii="宋体" w:hAnsi="宋体" w:cs="宋体"/>
            <w:noProof/>
            <w:szCs w:val="21"/>
          </w:rPr>
          <w:tab/>
        </w:r>
        <w:r>
          <w:rPr>
            <w:rFonts w:ascii="宋体" w:hAnsi="宋体" w:cs="宋体"/>
            <w:noProof/>
            <w:szCs w:val="21"/>
          </w:rPr>
          <w:fldChar w:fldCharType="begin"/>
        </w:r>
        <w:r>
          <w:rPr>
            <w:rFonts w:ascii="宋体" w:hAnsi="宋体" w:cs="宋体"/>
            <w:noProof/>
            <w:szCs w:val="21"/>
          </w:rPr>
          <w:instrText xml:space="preserve"> PAGEREF _Toc384992698 \h </w:instrText>
        </w:r>
        <w:r>
          <w:rPr>
            <w:rFonts w:ascii="宋体" w:hAnsi="宋体" w:cs="宋体"/>
            <w:noProof/>
            <w:szCs w:val="21"/>
          </w:rPr>
          <w:fldChar w:fldCharType="separate"/>
        </w:r>
        <w:r w:rsidR="0086715F">
          <w:rPr>
            <w:rFonts w:ascii="宋体" w:hAnsi="宋体" w:cs="宋体"/>
            <w:noProof/>
            <w:szCs w:val="21"/>
          </w:rPr>
          <w:t>29</w:t>
        </w:r>
        <w:r>
          <w:rPr>
            <w:rFonts w:ascii="宋体" w:hAnsi="宋体" w:cs="宋体"/>
            <w:noProof/>
            <w:szCs w:val="21"/>
          </w:rPr>
          <w:fldChar w:fldCharType="end"/>
        </w:r>
      </w:hyperlink>
    </w:p>
    <w:p w:rsidR="004B0A92" w14:paraId="2C15A7C8" w14:textId="79CA5EDA">
      <w:pPr>
        <w:pStyle w:val="TOC2"/>
        <w:tabs>
          <w:tab w:val="right" w:leader="dot" w:pos="8494"/>
        </w:tabs>
        <w:rPr>
          <w:rFonts w:ascii="宋体" w:hAnsi="宋体" w:cs="宋体"/>
          <w:noProof/>
          <w:szCs w:val="21"/>
        </w:rPr>
      </w:pPr>
      <w:hyperlink w:anchor="_Toc384992699" w:tooltip="Current Document" w:history="1">
        <w:r>
          <w:rPr>
            <w:rStyle w:val="Hyperlink"/>
            <w:rFonts w:ascii="宋体" w:hAnsi="宋体" w:cs="宋体" w:hint="eastAsia"/>
            <w:noProof/>
            <w:szCs w:val="21"/>
          </w:rPr>
          <w:t>九、基金收益分配</w:t>
        </w:r>
        <w:r>
          <w:rPr>
            <w:rFonts w:ascii="宋体" w:hAnsi="宋体" w:cs="宋体"/>
            <w:noProof/>
            <w:szCs w:val="21"/>
          </w:rPr>
          <w:tab/>
        </w:r>
        <w:r>
          <w:rPr>
            <w:rFonts w:ascii="宋体" w:hAnsi="宋体" w:cs="宋体"/>
            <w:noProof/>
            <w:szCs w:val="21"/>
          </w:rPr>
          <w:fldChar w:fldCharType="begin"/>
        </w:r>
        <w:r>
          <w:rPr>
            <w:rFonts w:ascii="宋体" w:hAnsi="宋体" w:cs="宋体"/>
            <w:noProof/>
            <w:szCs w:val="21"/>
          </w:rPr>
          <w:instrText xml:space="preserve"> PAGEREF _Toc384992699 \h </w:instrText>
        </w:r>
        <w:r>
          <w:rPr>
            <w:rFonts w:ascii="宋体" w:hAnsi="宋体" w:cs="宋体"/>
            <w:noProof/>
            <w:szCs w:val="21"/>
          </w:rPr>
          <w:fldChar w:fldCharType="separate"/>
        </w:r>
        <w:r w:rsidR="0086715F">
          <w:rPr>
            <w:rFonts w:ascii="宋体" w:hAnsi="宋体" w:cs="宋体"/>
            <w:noProof/>
            <w:szCs w:val="21"/>
          </w:rPr>
          <w:t>31</w:t>
        </w:r>
        <w:r>
          <w:rPr>
            <w:rFonts w:ascii="宋体" w:hAnsi="宋体" w:cs="宋体"/>
            <w:noProof/>
            <w:szCs w:val="21"/>
          </w:rPr>
          <w:fldChar w:fldCharType="end"/>
        </w:r>
      </w:hyperlink>
    </w:p>
    <w:p w:rsidR="004B0A92" w14:paraId="55D2613F" w14:textId="208DFB9E">
      <w:pPr>
        <w:pStyle w:val="TOC2"/>
        <w:tabs>
          <w:tab w:val="right" w:leader="dot" w:pos="8494"/>
        </w:tabs>
        <w:rPr>
          <w:rFonts w:ascii="宋体" w:hAnsi="宋体" w:cs="宋体"/>
          <w:noProof/>
          <w:szCs w:val="21"/>
        </w:rPr>
      </w:pPr>
      <w:hyperlink w:anchor="_Toc384992700" w:tooltip="Current Document" w:history="1">
        <w:r>
          <w:rPr>
            <w:rStyle w:val="Hyperlink"/>
            <w:rFonts w:ascii="宋体" w:hAnsi="宋体" w:cs="宋体" w:hint="eastAsia"/>
            <w:noProof/>
            <w:szCs w:val="21"/>
          </w:rPr>
          <w:t>十、基金信息披露</w:t>
        </w:r>
        <w:r>
          <w:rPr>
            <w:rFonts w:ascii="宋体" w:hAnsi="宋体" w:cs="宋体"/>
            <w:noProof/>
            <w:szCs w:val="21"/>
          </w:rPr>
          <w:tab/>
        </w:r>
        <w:r>
          <w:rPr>
            <w:rFonts w:ascii="宋体" w:hAnsi="宋体" w:cs="宋体"/>
            <w:noProof/>
            <w:szCs w:val="21"/>
          </w:rPr>
          <w:fldChar w:fldCharType="begin"/>
        </w:r>
        <w:r>
          <w:rPr>
            <w:rFonts w:ascii="宋体" w:hAnsi="宋体" w:cs="宋体"/>
            <w:noProof/>
            <w:szCs w:val="21"/>
          </w:rPr>
          <w:instrText xml:space="preserve"> PAGEREF _Toc384992700 \h </w:instrText>
        </w:r>
        <w:r>
          <w:rPr>
            <w:rFonts w:ascii="宋体" w:hAnsi="宋体" w:cs="宋体"/>
            <w:noProof/>
            <w:szCs w:val="21"/>
          </w:rPr>
          <w:fldChar w:fldCharType="separate"/>
        </w:r>
        <w:r w:rsidR="0086715F">
          <w:rPr>
            <w:rFonts w:ascii="宋体" w:hAnsi="宋体" w:cs="宋体"/>
            <w:noProof/>
            <w:szCs w:val="21"/>
          </w:rPr>
          <w:t>32</w:t>
        </w:r>
        <w:r>
          <w:rPr>
            <w:rFonts w:ascii="宋体" w:hAnsi="宋体" w:cs="宋体"/>
            <w:noProof/>
            <w:szCs w:val="21"/>
          </w:rPr>
          <w:fldChar w:fldCharType="end"/>
        </w:r>
      </w:hyperlink>
    </w:p>
    <w:p w:rsidR="004B0A92" w14:paraId="02E99392" w14:textId="238F765A">
      <w:pPr>
        <w:pStyle w:val="TOC2"/>
        <w:tabs>
          <w:tab w:val="right" w:leader="dot" w:pos="8494"/>
        </w:tabs>
        <w:rPr>
          <w:rFonts w:ascii="宋体" w:hAnsi="宋体" w:cs="宋体"/>
          <w:noProof/>
          <w:szCs w:val="21"/>
        </w:rPr>
      </w:pPr>
      <w:hyperlink w:anchor="_Toc384992701" w:tooltip="Current Document" w:history="1">
        <w:r>
          <w:rPr>
            <w:rStyle w:val="Hyperlink"/>
            <w:rFonts w:ascii="宋体" w:hAnsi="宋体" w:cs="宋体" w:hint="eastAsia"/>
            <w:noProof/>
            <w:szCs w:val="21"/>
          </w:rPr>
          <w:t>十一、基金费用</w:t>
        </w:r>
        <w:r>
          <w:rPr>
            <w:rFonts w:ascii="宋体" w:hAnsi="宋体" w:cs="宋体"/>
            <w:noProof/>
            <w:szCs w:val="21"/>
          </w:rPr>
          <w:tab/>
        </w:r>
        <w:r>
          <w:rPr>
            <w:rFonts w:ascii="宋体" w:hAnsi="宋体" w:cs="宋体"/>
            <w:noProof/>
            <w:szCs w:val="21"/>
          </w:rPr>
          <w:fldChar w:fldCharType="begin"/>
        </w:r>
        <w:r>
          <w:rPr>
            <w:rFonts w:ascii="宋体" w:hAnsi="宋体" w:cs="宋体"/>
            <w:noProof/>
            <w:szCs w:val="21"/>
          </w:rPr>
          <w:instrText xml:space="preserve"> PAGEREF _Toc384992701 \h </w:instrText>
        </w:r>
        <w:r>
          <w:rPr>
            <w:rFonts w:ascii="宋体" w:hAnsi="宋体" w:cs="宋体"/>
            <w:noProof/>
            <w:szCs w:val="21"/>
          </w:rPr>
          <w:fldChar w:fldCharType="separate"/>
        </w:r>
        <w:r w:rsidR="0086715F">
          <w:rPr>
            <w:rFonts w:ascii="宋体" w:hAnsi="宋体" w:cs="宋体"/>
            <w:noProof/>
            <w:szCs w:val="21"/>
          </w:rPr>
          <w:t>34</w:t>
        </w:r>
        <w:r>
          <w:rPr>
            <w:rFonts w:ascii="宋体" w:hAnsi="宋体" w:cs="宋体"/>
            <w:noProof/>
            <w:szCs w:val="21"/>
          </w:rPr>
          <w:fldChar w:fldCharType="end"/>
        </w:r>
      </w:hyperlink>
    </w:p>
    <w:p w:rsidR="004B0A92" w14:paraId="55CEE7CF" w14:textId="613EAC8D">
      <w:pPr>
        <w:pStyle w:val="TOC2"/>
        <w:tabs>
          <w:tab w:val="right" w:leader="dot" w:pos="8494"/>
        </w:tabs>
        <w:rPr>
          <w:rFonts w:ascii="宋体" w:hAnsi="宋体" w:cs="宋体"/>
          <w:noProof/>
          <w:szCs w:val="21"/>
        </w:rPr>
      </w:pPr>
      <w:hyperlink w:anchor="_Toc384992702" w:tooltip="Current Document" w:history="1">
        <w:r>
          <w:rPr>
            <w:rStyle w:val="Hyperlink"/>
            <w:rFonts w:ascii="宋体" w:hAnsi="宋体" w:cs="宋体" w:hint="eastAsia"/>
            <w:noProof/>
            <w:szCs w:val="21"/>
          </w:rPr>
          <w:t>十二、基金份额持有人名册的保管</w:t>
        </w:r>
        <w:r>
          <w:rPr>
            <w:rFonts w:ascii="宋体" w:hAnsi="宋体" w:cs="宋体"/>
            <w:noProof/>
            <w:szCs w:val="21"/>
          </w:rPr>
          <w:tab/>
        </w:r>
        <w:r>
          <w:rPr>
            <w:rFonts w:ascii="宋体" w:hAnsi="宋体" w:cs="宋体"/>
            <w:noProof/>
            <w:szCs w:val="21"/>
          </w:rPr>
          <w:fldChar w:fldCharType="begin"/>
        </w:r>
        <w:r>
          <w:rPr>
            <w:rFonts w:ascii="宋体" w:hAnsi="宋体" w:cs="宋体"/>
            <w:noProof/>
            <w:szCs w:val="21"/>
          </w:rPr>
          <w:instrText xml:space="preserve"> PAGEREF _Toc384992702 \h </w:instrText>
        </w:r>
        <w:r>
          <w:rPr>
            <w:rFonts w:ascii="宋体" w:hAnsi="宋体" w:cs="宋体"/>
            <w:noProof/>
            <w:szCs w:val="21"/>
          </w:rPr>
          <w:fldChar w:fldCharType="separate"/>
        </w:r>
        <w:r w:rsidR="0086715F">
          <w:rPr>
            <w:rFonts w:ascii="宋体" w:hAnsi="宋体" w:cs="宋体"/>
            <w:noProof/>
            <w:szCs w:val="21"/>
          </w:rPr>
          <w:t>35</w:t>
        </w:r>
        <w:r>
          <w:rPr>
            <w:rFonts w:ascii="宋体" w:hAnsi="宋体" w:cs="宋体"/>
            <w:noProof/>
            <w:szCs w:val="21"/>
          </w:rPr>
          <w:fldChar w:fldCharType="end"/>
        </w:r>
      </w:hyperlink>
    </w:p>
    <w:p w:rsidR="004B0A92" w14:paraId="7D9FCAA3" w14:textId="362929DA">
      <w:pPr>
        <w:pStyle w:val="TOC2"/>
        <w:tabs>
          <w:tab w:val="right" w:leader="dot" w:pos="8494"/>
        </w:tabs>
        <w:rPr>
          <w:rFonts w:ascii="宋体" w:hAnsi="宋体" w:cs="宋体"/>
          <w:noProof/>
          <w:szCs w:val="21"/>
        </w:rPr>
      </w:pPr>
      <w:hyperlink w:anchor="_Toc384992703" w:tooltip="Current Document" w:history="1">
        <w:r>
          <w:rPr>
            <w:rStyle w:val="Hyperlink"/>
            <w:rFonts w:ascii="宋体" w:hAnsi="宋体" w:cs="宋体" w:hint="eastAsia"/>
            <w:noProof/>
            <w:szCs w:val="21"/>
          </w:rPr>
          <w:t>十三、基金有关文件档案的保存</w:t>
        </w:r>
        <w:r>
          <w:rPr>
            <w:rFonts w:ascii="宋体" w:hAnsi="宋体" w:cs="宋体"/>
            <w:noProof/>
            <w:szCs w:val="21"/>
          </w:rPr>
          <w:tab/>
        </w:r>
        <w:r>
          <w:rPr>
            <w:rFonts w:ascii="宋体" w:hAnsi="宋体" w:cs="宋体"/>
            <w:noProof/>
            <w:szCs w:val="21"/>
          </w:rPr>
          <w:fldChar w:fldCharType="begin"/>
        </w:r>
        <w:r>
          <w:rPr>
            <w:rFonts w:ascii="宋体" w:hAnsi="宋体" w:cs="宋体"/>
            <w:noProof/>
            <w:szCs w:val="21"/>
          </w:rPr>
          <w:instrText xml:space="preserve"> PAGEREF _Toc384992703 \h </w:instrText>
        </w:r>
        <w:r>
          <w:rPr>
            <w:rFonts w:ascii="宋体" w:hAnsi="宋体" w:cs="宋体"/>
            <w:noProof/>
            <w:szCs w:val="21"/>
          </w:rPr>
          <w:fldChar w:fldCharType="separate"/>
        </w:r>
        <w:r w:rsidR="0086715F">
          <w:rPr>
            <w:rFonts w:ascii="宋体" w:hAnsi="宋体" w:cs="宋体"/>
            <w:noProof/>
            <w:szCs w:val="21"/>
          </w:rPr>
          <w:t>36</w:t>
        </w:r>
        <w:r>
          <w:rPr>
            <w:rFonts w:ascii="宋体" w:hAnsi="宋体" w:cs="宋体"/>
            <w:noProof/>
            <w:szCs w:val="21"/>
          </w:rPr>
          <w:fldChar w:fldCharType="end"/>
        </w:r>
      </w:hyperlink>
    </w:p>
    <w:p w:rsidR="004B0A92" w14:paraId="762DC945" w14:textId="6E1EC6CD">
      <w:pPr>
        <w:pStyle w:val="TOC2"/>
        <w:tabs>
          <w:tab w:val="right" w:leader="dot" w:pos="8494"/>
        </w:tabs>
        <w:rPr>
          <w:rFonts w:ascii="宋体" w:hAnsi="宋体" w:cs="宋体"/>
          <w:noProof/>
          <w:szCs w:val="21"/>
        </w:rPr>
      </w:pPr>
      <w:hyperlink w:anchor="_Toc384992704" w:tooltip="Current Document" w:history="1">
        <w:r>
          <w:rPr>
            <w:rStyle w:val="Hyperlink"/>
            <w:rFonts w:ascii="宋体" w:hAnsi="宋体" w:cs="宋体" w:hint="eastAsia"/>
            <w:noProof/>
            <w:szCs w:val="21"/>
          </w:rPr>
          <w:t>十四、基金管理人和基金托管人的更换</w:t>
        </w:r>
        <w:r>
          <w:rPr>
            <w:rFonts w:ascii="宋体" w:hAnsi="宋体" w:cs="宋体"/>
            <w:noProof/>
            <w:szCs w:val="21"/>
          </w:rPr>
          <w:tab/>
        </w:r>
        <w:r>
          <w:rPr>
            <w:rFonts w:ascii="宋体" w:hAnsi="宋体" w:cs="宋体"/>
            <w:noProof/>
            <w:szCs w:val="21"/>
          </w:rPr>
          <w:fldChar w:fldCharType="begin"/>
        </w:r>
        <w:r>
          <w:rPr>
            <w:rFonts w:ascii="宋体" w:hAnsi="宋体" w:cs="宋体"/>
            <w:noProof/>
            <w:szCs w:val="21"/>
          </w:rPr>
          <w:instrText xml:space="preserve"> PAGEREF _Toc384992704 \h </w:instrText>
        </w:r>
        <w:r>
          <w:rPr>
            <w:rFonts w:ascii="宋体" w:hAnsi="宋体" w:cs="宋体"/>
            <w:noProof/>
            <w:szCs w:val="21"/>
          </w:rPr>
          <w:fldChar w:fldCharType="separate"/>
        </w:r>
        <w:r w:rsidR="0086715F">
          <w:rPr>
            <w:rFonts w:ascii="宋体" w:hAnsi="宋体" w:cs="宋体"/>
            <w:noProof/>
            <w:szCs w:val="21"/>
          </w:rPr>
          <w:t>37</w:t>
        </w:r>
        <w:r>
          <w:rPr>
            <w:rFonts w:ascii="宋体" w:hAnsi="宋体" w:cs="宋体"/>
            <w:noProof/>
            <w:szCs w:val="21"/>
          </w:rPr>
          <w:fldChar w:fldCharType="end"/>
        </w:r>
      </w:hyperlink>
    </w:p>
    <w:p w:rsidR="004B0A92" w14:paraId="558F5839" w14:textId="6EA00206">
      <w:pPr>
        <w:pStyle w:val="TOC2"/>
        <w:tabs>
          <w:tab w:val="right" w:leader="dot" w:pos="8494"/>
        </w:tabs>
        <w:rPr>
          <w:rFonts w:ascii="宋体" w:hAnsi="宋体" w:cs="宋体"/>
          <w:noProof/>
          <w:szCs w:val="21"/>
        </w:rPr>
      </w:pPr>
      <w:hyperlink w:anchor="_Toc384992705" w:tooltip="Current Document" w:history="1">
        <w:r>
          <w:rPr>
            <w:rStyle w:val="Hyperlink"/>
            <w:rFonts w:ascii="宋体" w:hAnsi="宋体" w:cs="宋体" w:hint="eastAsia"/>
            <w:noProof/>
            <w:szCs w:val="21"/>
          </w:rPr>
          <w:t>十五、禁止行为</w:t>
        </w:r>
        <w:r>
          <w:rPr>
            <w:rFonts w:ascii="宋体" w:hAnsi="宋体" w:cs="宋体"/>
            <w:noProof/>
            <w:szCs w:val="21"/>
          </w:rPr>
          <w:tab/>
        </w:r>
        <w:r>
          <w:rPr>
            <w:rFonts w:ascii="宋体" w:hAnsi="宋体" w:cs="宋体"/>
            <w:noProof/>
            <w:szCs w:val="21"/>
          </w:rPr>
          <w:fldChar w:fldCharType="begin"/>
        </w:r>
        <w:r>
          <w:rPr>
            <w:rFonts w:ascii="宋体" w:hAnsi="宋体" w:cs="宋体"/>
            <w:noProof/>
            <w:szCs w:val="21"/>
          </w:rPr>
          <w:instrText xml:space="preserve"> PAGEREF _Toc384992705 \h </w:instrText>
        </w:r>
        <w:r>
          <w:rPr>
            <w:rFonts w:ascii="宋体" w:hAnsi="宋体" w:cs="宋体"/>
            <w:noProof/>
            <w:szCs w:val="21"/>
          </w:rPr>
          <w:fldChar w:fldCharType="separate"/>
        </w:r>
        <w:r w:rsidR="0086715F">
          <w:rPr>
            <w:rFonts w:ascii="宋体" w:hAnsi="宋体" w:cs="宋体"/>
            <w:noProof/>
            <w:szCs w:val="21"/>
          </w:rPr>
          <w:t>38</w:t>
        </w:r>
        <w:r>
          <w:rPr>
            <w:rFonts w:ascii="宋体" w:hAnsi="宋体" w:cs="宋体"/>
            <w:noProof/>
            <w:szCs w:val="21"/>
          </w:rPr>
          <w:fldChar w:fldCharType="end"/>
        </w:r>
      </w:hyperlink>
    </w:p>
    <w:p w:rsidR="004B0A92" w14:paraId="77385BCB" w14:textId="73797E44">
      <w:pPr>
        <w:pStyle w:val="TOC2"/>
        <w:tabs>
          <w:tab w:val="right" w:leader="dot" w:pos="8494"/>
        </w:tabs>
        <w:rPr>
          <w:rFonts w:ascii="宋体" w:hAnsi="宋体" w:cs="宋体"/>
          <w:noProof/>
          <w:szCs w:val="21"/>
        </w:rPr>
      </w:pPr>
      <w:hyperlink w:anchor="_Toc384992706" w:tooltip="Current Document" w:history="1">
        <w:r>
          <w:rPr>
            <w:rStyle w:val="Hyperlink"/>
            <w:rFonts w:ascii="宋体" w:hAnsi="宋体" w:cs="宋体" w:hint="eastAsia"/>
            <w:noProof/>
            <w:szCs w:val="21"/>
          </w:rPr>
          <w:t>十六、托管协议的变更、终止与基金财产的清算</w:t>
        </w:r>
        <w:r>
          <w:rPr>
            <w:rFonts w:ascii="宋体" w:hAnsi="宋体" w:cs="宋体"/>
            <w:noProof/>
            <w:szCs w:val="21"/>
          </w:rPr>
          <w:tab/>
        </w:r>
        <w:r>
          <w:rPr>
            <w:rFonts w:ascii="宋体" w:hAnsi="宋体" w:cs="宋体"/>
            <w:noProof/>
            <w:szCs w:val="21"/>
          </w:rPr>
          <w:fldChar w:fldCharType="begin"/>
        </w:r>
        <w:r>
          <w:rPr>
            <w:rFonts w:ascii="宋体" w:hAnsi="宋体" w:cs="宋体"/>
            <w:noProof/>
            <w:szCs w:val="21"/>
          </w:rPr>
          <w:instrText xml:space="preserve"> PAGEREF _Toc384992706 \h </w:instrText>
        </w:r>
        <w:r>
          <w:rPr>
            <w:rFonts w:ascii="宋体" w:hAnsi="宋体" w:cs="宋体"/>
            <w:noProof/>
            <w:szCs w:val="21"/>
          </w:rPr>
          <w:fldChar w:fldCharType="separate"/>
        </w:r>
        <w:r w:rsidR="0086715F">
          <w:rPr>
            <w:rFonts w:ascii="宋体" w:hAnsi="宋体" w:cs="宋体"/>
            <w:noProof/>
            <w:szCs w:val="21"/>
          </w:rPr>
          <w:t>39</w:t>
        </w:r>
        <w:r>
          <w:rPr>
            <w:rFonts w:ascii="宋体" w:hAnsi="宋体" w:cs="宋体"/>
            <w:noProof/>
            <w:szCs w:val="21"/>
          </w:rPr>
          <w:fldChar w:fldCharType="end"/>
        </w:r>
      </w:hyperlink>
    </w:p>
    <w:p w:rsidR="004B0A92" w14:paraId="482679D3" w14:textId="7CBEC8D3">
      <w:pPr>
        <w:pStyle w:val="TOC2"/>
        <w:tabs>
          <w:tab w:val="right" w:leader="dot" w:pos="8494"/>
        </w:tabs>
        <w:rPr>
          <w:rFonts w:ascii="宋体" w:hAnsi="宋体" w:cs="宋体"/>
          <w:noProof/>
          <w:szCs w:val="21"/>
        </w:rPr>
      </w:pPr>
      <w:hyperlink w:anchor="_Toc384992707" w:tooltip="Current Document" w:history="1">
        <w:r>
          <w:rPr>
            <w:rStyle w:val="Hyperlink"/>
            <w:rFonts w:ascii="宋体" w:hAnsi="宋体" w:cs="宋体" w:hint="eastAsia"/>
            <w:noProof/>
            <w:szCs w:val="21"/>
          </w:rPr>
          <w:t>十七、违约责任</w:t>
        </w:r>
        <w:r>
          <w:rPr>
            <w:rFonts w:ascii="宋体" w:hAnsi="宋体" w:cs="宋体"/>
            <w:noProof/>
            <w:szCs w:val="21"/>
          </w:rPr>
          <w:tab/>
        </w:r>
        <w:r>
          <w:rPr>
            <w:rFonts w:ascii="宋体" w:hAnsi="宋体" w:cs="宋体"/>
            <w:noProof/>
            <w:szCs w:val="21"/>
          </w:rPr>
          <w:fldChar w:fldCharType="begin"/>
        </w:r>
        <w:r>
          <w:rPr>
            <w:rFonts w:ascii="宋体" w:hAnsi="宋体" w:cs="宋体"/>
            <w:noProof/>
            <w:szCs w:val="21"/>
          </w:rPr>
          <w:instrText xml:space="preserve"> PAGEREF _Toc384992707 \h </w:instrText>
        </w:r>
        <w:r>
          <w:rPr>
            <w:rFonts w:ascii="宋体" w:hAnsi="宋体" w:cs="宋体"/>
            <w:noProof/>
            <w:szCs w:val="21"/>
          </w:rPr>
          <w:fldChar w:fldCharType="separate"/>
        </w:r>
        <w:r w:rsidR="0086715F">
          <w:rPr>
            <w:rFonts w:ascii="宋体" w:hAnsi="宋体" w:cs="宋体"/>
            <w:noProof/>
            <w:szCs w:val="21"/>
          </w:rPr>
          <w:t>40</w:t>
        </w:r>
        <w:r>
          <w:rPr>
            <w:rFonts w:ascii="宋体" w:hAnsi="宋体" w:cs="宋体"/>
            <w:noProof/>
            <w:szCs w:val="21"/>
          </w:rPr>
          <w:fldChar w:fldCharType="end"/>
        </w:r>
      </w:hyperlink>
    </w:p>
    <w:p w:rsidR="004B0A92" w14:paraId="071C6FE5" w14:textId="04AB5059">
      <w:pPr>
        <w:pStyle w:val="TOC2"/>
        <w:tabs>
          <w:tab w:val="right" w:leader="dot" w:pos="8494"/>
        </w:tabs>
        <w:rPr>
          <w:rFonts w:ascii="宋体" w:hAnsi="宋体" w:cs="宋体"/>
          <w:noProof/>
          <w:szCs w:val="21"/>
        </w:rPr>
      </w:pPr>
      <w:hyperlink w:anchor="_Toc384992708" w:tooltip="Current Document" w:history="1">
        <w:r>
          <w:rPr>
            <w:rStyle w:val="Hyperlink"/>
            <w:rFonts w:ascii="宋体" w:hAnsi="宋体" w:cs="宋体" w:hint="eastAsia"/>
            <w:noProof/>
            <w:szCs w:val="21"/>
          </w:rPr>
          <w:t>十八、争议解决方式</w:t>
        </w:r>
        <w:r>
          <w:rPr>
            <w:rFonts w:ascii="宋体" w:hAnsi="宋体" w:cs="宋体"/>
            <w:noProof/>
            <w:szCs w:val="21"/>
          </w:rPr>
          <w:tab/>
        </w:r>
        <w:r>
          <w:rPr>
            <w:rFonts w:ascii="宋体" w:hAnsi="宋体" w:cs="宋体"/>
            <w:noProof/>
            <w:szCs w:val="21"/>
          </w:rPr>
          <w:fldChar w:fldCharType="begin"/>
        </w:r>
        <w:r>
          <w:rPr>
            <w:rFonts w:ascii="宋体" w:hAnsi="宋体" w:cs="宋体"/>
            <w:noProof/>
            <w:szCs w:val="21"/>
          </w:rPr>
          <w:instrText xml:space="preserve"> PAGEREF _Toc384992708 \h </w:instrText>
        </w:r>
        <w:r>
          <w:rPr>
            <w:rFonts w:ascii="宋体" w:hAnsi="宋体" w:cs="宋体"/>
            <w:noProof/>
            <w:szCs w:val="21"/>
          </w:rPr>
          <w:fldChar w:fldCharType="separate"/>
        </w:r>
        <w:r w:rsidR="0086715F">
          <w:rPr>
            <w:rFonts w:ascii="宋体" w:hAnsi="宋体" w:cs="宋体"/>
            <w:noProof/>
            <w:szCs w:val="21"/>
          </w:rPr>
          <w:t>41</w:t>
        </w:r>
        <w:r>
          <w:rPr>
            <w:rFonts w:ascii="宋体" w:hAnsi="宋体" w:cs="宋体"/>
            <w:noProof/>
            <w:szCs w:val="21"/>
          </w:rPr>
          <w:fldChar w:fldCharType="end"/>
        </w:r>
      </w:hyperlink>
    </w:p>
    <w:p w:rsidR="004B0A92" w14:paraId="68FD484E" w14:textId="186933A9">
      <w:pPr>
        <w:pStyle w:val="TOC2"/>
        <w:tabs>
          <w:tab w:val="right" w:leader="dot" w:pos="8494"/>
        </w:tabs>
        <w:rPr>
          <w:rFonts w:ascii="宋体" w:hAnsi="宋体" w:cs="宋体"/>
          <w:noProof/>
          <w:szCs w:val="21"/>
        </w:rPr>
      </w:pPr>
      <w:hyperlink w:anchor="_Toc384992709" w:tooltip="Current Document" w:history="1">
        <w:r>
          <w:rPr>
            <w:rStyle w:val="Hyperlink"/>
            <w:rFonts w:ascii="宋体" w:hAnsi="宋体" w:cs="宋体" w:hint="eastAsia"/>
            <w:noProof/>
            <w:szCs w:val="21"/>
          </w:rPr>
          <w:t>十九、托管协议的效力</w:t>
        </w:r>
        <w:r>
          <w:rPr>
            <w:rFonts w:ascii="宋体" w:hAnsi="宋体" w:cs="宋体"/>
            <w:noProof/>
            <w:szCs w:val="21"/>
          </w:rPr>
          <w:tab/>
        </w:r>
        <w:r>
          <w:rPr>
            <w:rFonts w:ascii="宋体" w:hAnsi="宋体" w:cs="宋体"/>
            <w:noProof/>
            <w:szCs w:val="21"/>
          </w:rPr>
          <w:fldChar w:fldCharType="begin"/>
        </w:r>
        <w:r>
          <w:rPr>
            <w:rFonts w:ascii="宋体" w:hAnsi="宋体" w:cs="宋体"/>
            <w:noProof/>
            <w:szCs w:val="21"/>
          </w:rPr>
          <w:instrText xml:space="preserve"> PAGEREF _Toc384992709 \h </w:instrText>
        </w:r>
        <w:r>
          <w:rPr>
            <w:rFonts w:ascii="宋体" w:hAnsi="宋体" w:cs="宋体"/>
            <w:noProof/>
            <w:szCs w:val="21"/>
          </w:rPr>
          <w:fldChar w:fldCharType="separate"/>
        </w:r>
        <w:r w:rsidR="0086715F">
          <w:rPr>
            <w:rFonts w:ascii="宋体" w:hAnsi="宋体" w:cs="宋体"/>
            <w:noProof/>
            <w:szCs w:val="21"/>
          </w:rPr>
          <w:t>42</w:t>
        </w:r>
        <w:r>
          <w:rPr>
            <w:rFonts w:ascii="宋体" w:hAnsi="宋体" w:cs="宋体"/>
            <w:noProof/>
            <w:szCs w:val="21"/>
          </w:rPr>
          <w:fldChar w:fldCharType="end"/>
        </w:r>
      </w:hyperlink>
    </w:p>
    <w:p w:rsidR="004B0A92" w14:paraId="57CBC74E" w14:textId="3C9D802B">
      <w:pPr>
        <w:pStyle w:val="TOC2"/>
        <w:tabs>
          <w:tab w:val="right" w:leader="dot" w:pos="8494"/>
        </w:tabs>
        <w:rPr>
          <w:rFonts w:ascii="宋体" w:hAnsi="宋体" w:cs="宋体"/>
          <w:noProof/>
          <w:szCs w:val="21"/>
        </w:rPr>
      </w:pPr>
      <w:hyperlink w:anchor="_Toc384992710" w:tooltip="Current Document" w:history="1">
        <w:r>
          <w:rPr>
            <w:rStyle w:val="Hyperlink"/>
            <w:rFonts w:ascii="宋体" w:hAnsi="宋体" w:cs="宋体" w:hint="eastAsia"/>
            <w:noProof/>
            <w:szCs w:val="21"/>
          </w:rPr>
          <w:t>二十、其他事项</w:t>
        </w:r>
        <w:r>
          <w:rPr>
            <w:rFonts w:ascii="宋体" w:hAnsi="宋体" w:cs="宋体"/>
            <w:noProof/>
            <w:szCs w:val="21"/>
          </w:rPr>
          <w:tab/>
        </w:r>
        <w:r>
          <w:rPr>
            <w:rFonts w:ascii="宋体" w:hAnsi="宋体" w:cs="宋体"/>
            <w:noProof/>
            <w:szCs w:val="21"/>
          </w:rPr>
          <w:fldChar w:fldCharType="begin"/>
        </w:r>
        <w:r>
          <w:rPr>
            <w:rFonts w:ascii="宋体" w:hAnsi="宋体" w:cs="宋体"/>
            <w:noProof/>
            <w:szCs w:val="21"/>
          </w:rPr>
          <w:instrText xml:space="preserve"> PAGEREF _Toc384992710 \h </w:instrText>
        </w:r>
        <w:r>
          <w:rPr>
            <w:rFonts w:ascii="宋体" w:hAnsi="宋体" w:cs="宋体"/>
            <w:noProof/>
            <w:szCs w:val="21"/>
          </w:rPr>
          <w:fldChar w:fldCharType="separate"/>
        </w:r>
        <w:r w:rsidR="0086715F">
          <w:rPr>
            <w:rFonts w:ascii="宋体" w:hAnsi="宋体" w:cs="宋体"/>
            <w:noProof/>
            <w:szCs w:val="21"/>
          </w:rPr>
          <w:t>43</w:t>
        </w:r>
        <w:r>
          <w:rPr>
            <w:rFonts w:ascii="宋体" w:hAnsi="宋体" w:cs="宋体"/>
            <w:noProof/>
            <w:szCs w:val="21"/>
          </w:rPr>
          <w:fldChar w:fldCharType="end"/>
        </w:r>
      </w:hyperlink>
    </w:p>
    <w:p w:rsidR="004B0A92" w14:paraId="3FA9D58D" w14:textId="6B9CBE46">
      <w:pPr>
        <w:pStyle w:val="TOC2"/>
        <w:tabs>
          <w:tab w:val="right" w:leader="dot" w:pos="8494"/>
        </w:tabs>
        <w:rPr>
          <w:rFonts w:ascii="宋体" w:hAnsi="宋体" w:cs="宋体"/>
          <w:noProof/>
          <w:szCs w:val="21"/>
        </w:rPr>
      </w:pPr>
      <w:hyperlink w:anchor="_Toc384992711" w:tooltip="Current Document" w:history="1">
        <w:r>
          <w:rPr>
            <w:rStyle w:val="Hyperlink"/>
            <w:rFonts w:ascii="宋体" w:hAnsi="宋体" w:cs="宋体" w:hint="eastAsia"/>
            <w:noProof/>
            <w:szCs w:val="21"/>
          </w:rPr>
          <w:t>二十一、托管协议的签订</w:t>
        </w:r>
        <w:r>
          <w:rPr>
            <w:rFonts w:ascii="宋体" w:hAnsi="宋体" w:cs="宋体"/>
            <w:noProof/>
            <w:szCs w:val="21"/>
          </w:rPr>
          <w:tab/>
        </w:r>
        <w:r>
          <w:rPr>
            <w:rFonts w:ascii="宋体" w:hAnsi="宋体" w:cs="宋体"/>
            <w:noProof/>
            <w:szCs w:val="21"/>
          </w:rPr>
          <w:fldChar w:fldCharType="begin"/>
        </w:r>
        <w:r>
          <w:rPr>
            <w:rFonts w:ascii="宋体" w:hAnsi="宋体" w:cs="宋体"/>
            <w:noProof/>
            <w:szCs w:val="21"/>
          </w:rPr>
          <w:instrText xml:space="preserve"> PAGEREF _Toc384992711 \h </w:instrText>
        </w:r>
        <w:r>
          <w:rPr>
            <w:rFonts w:ascii="宋体" w:hAnsi="宋体" w:cs="宋体"/>
            <w:noProof/>
            <w:szCs w:val="21"/>
          </w:rPr>
          <w:fldChar w:fldCharType="separate"/>
        </w:r>
        <w:r w:rsidR="0086715F">
          <w:rPr>
            <w:rFonts w:ascii="宋体" w:hAnsi="宋体" w:cs="宋体"/>
            <w:noProof/>
            <w:szCs w:val="21"/>
          </w:rPr>
          <w:t>44</w:t>
        </w:r>
        <w:r>
          <w:rPr>
            <w:rFonts w:ascii="宋体" w:hAnsi="宋体" w:cs="宋体"/>
            <w:noProof/>
            <w:szCs w:val="21"/>
          </w:rPr>
          <w:fldChar w:fldCharType="end"/>
        </w:r>
      </w:hyperlink>
    </w:p>
    <w:p w:rsidR="004B0A92" w14:paraId="7172505F" w14:textId="77777777">
      <w:pPr>
        <w:pStyle w:val="TOC1"/>
        <w:tabs>
          <w:tab w:val="right" w:leader="dot" w:pos="8494"/>
        </w:tabs>
        <w:ind w:firstLine="420"/>
        <w:rPr>
          <w:rFonts w:ascii="宋体" w:hAnsi="宋体" w:cs="宋体"/>
          <w:noProof/>
          <w:szCs w:val="21"/>
        </w:rPr>
      </w:pPr>
    </w:p>
    <w:p w:rsidR="004B0A92" w14:paraId="498237A9" w14:textId="77777777">
      <w:pPr>
        <w:spacing w:line="360" w:lineRule="auto"/>
        <w:rPr>
          <w:rFonts w:ascii="宋体" w:hAnsi="宋体" w:cs="宋体"/>
          <w:szCs w:val="21"/>
        </w:rPr>
        <w:sectPr>
          <w:headerReference w:type="default" r:id="rId7"/>
          <w:pgSz w:w="11906" w:h="16838"/>
          <w:pgMar w:top="1418" w:right="1701" w:bottom="1418" w:left="1701" w:header="851" w:footer="992" w:gutter="0"/>
          <w:cols w:space="425"/>
          <w:docGrid w:type="lines" w:linePitch="312"/>
        </w:sectPr>
      </w:pPr>
      <w:r>
        <w:rPr>
          <w:rFonts w:ascii="宋体" w:hAnsi="宋体" w:cs="宋体"/>
          <w:szCs w:val="21"/>
        </w:rPr>
        <w:fldChar w:fldCharType="end"/>
      </w:r>
    </w:p>
    <w:p w:rsidR="004B0A92" w14:paraId="239E1EA5" w14:textId="77777777">
      <w:pPr>
        <w:widowControl/>
        <w:spacing w:line="360" w:lineRule="auto"/>
        <w:ind w:firstLine="420"/>
        <w:rPr>
          <w:rFonts w:ascii="宋体" w:hAnsi="宋体" w:cs="宋体"/>
          <w:szCs w:val="21"/>
        </w:rPr>
      </w:pPr>
      <w:r>
        <w:rPr>
          <w:rFonts w:ascii="宋体" w:hAnsi="宋体" w:cs="宋体" w:hint="eastAsia"/>
          <w:szCs w:val="21"/>
        </w:rPr>
        <w:t>鉴于易方达基金管理有限公司系一家依照中国法律合法成立并有效存续的有限责任公司，按照相关法律法规的规定具备担任基金管理人的资格和能力，拟募集发行易方达中证科创创业人工智能交易型开放式指数证券投资基金发起式联接基金；</w:t>
      </w:r>
    </w:p>
    <w:p w:rsidR="004B0A92" w14:paraId="040A6807" w14:textId="77777777">
      <w:pPr>
        <w:widowControl/>
        <w:spacing w:line="360" w:lineRule="auto"/>
        <w:ind w:firstLine="420"/>
        <w:rPr>
          <w:rFonts w:ascii="宋体" w:hAnsi="宋体" w:cs="宋体"/>
          <w:szCs w:val="21"/>
        </w:rPr>
      </w:pPr>
      <w:r>
        <w:rPr>
          <w:rFonts w:ascii="宋体" w:hAnsi="宋体" w:cs="宋体" w:hint="eastAsia"/>
          <w:szCs w:val="21"/>
        </w:rPr>
        <w:t>鉴于招商银行股份有限公司系一家依照中国法律合法成立并有效存续的银行，按照相关法律法规的规定具备担任基金托管人的资格和能力；</w:t>
      </w:r>
    </w:p>
    <w:p w:rsidR="004B0A92" w14:paraId="1E457DFB" w14:textId="77777777">
      <w:pPr>
        <w:widowControl/>
        <w:spacing w:line="360" w:lineRule="auto"/>
        <w:ind w:firstLine="420"/>
        <w:rPr>
          <w:rFonts w:ascii="宋体" w:hAnsi="宋体" w:cs="宋体"/>
          <w:szCs w:val="21"/>
        </w:rPr>
      </w:pPr>
      <w:r>
        <w:rPr>
          <w:rFonts w:ascii="宋体" w:hAnsi="宋体" w:cs="宋体" w:hint="eastAsia"/>
          <w:szCs w:val="21"/>
        </w:rPr>
        <w:t>鉴于易方达基金管理有限公司拟担任易方达中证科创创业人工智能交易型开放式指数证券投资基金发起式联接基金的基金管理人，招商银行股份有限公司拟担任易方达中证科创创业人工智能交易型开放式指数证券投资基金发起式联接基金的基金托管人；</w:t>
      </w:r>
    </w:p>
    <w:p w:rsidR="004B0A92" w14:paraId="6AFECAD1" w14:textId="77777777">
      <w:pPr>
        <w:widowControl/>
        <w:spacing w:line="360" w:lineRule="auto"/>
        <w:ind w:firstLine="420"/>
        <w:rPr>
          <w:rFonts w:ascii="宋体" w:hAnsi="宋体" w:cs="宋体"/>
          <w:szCs w:val="21"/>
        </w:rPr>
      </w:pPr>
      <w:r>
        <w:rPr>
          <w:rFonts w:ascii="宋体" w:hAnsi="宋体" w:cs="宋体" w:hint="eastAsia"/>
          <w:szCs w:val="21"/>
        </w:rPr>
        <w:t>为明确易方达中证科创创业人工智能交易型开放式指数证券投资基金发起式联接基金的基金管理人和基金托管人之间的权利义务关系，特制订本托管协议；</w:t>
      </w:r>
    </w:p>
    <w:p w:rsidR="004B0A92" w14:paraId="4BB79C73" w14:textId="77777777">
      <w:pPr>
        <w:widowControl/>
        <w:spacing w:line="360" w:lineRule="auto"/>
        <w:ind w:firstLine="420"/>
        <w:rPr>
          <w:rFonts w:ascii="宋体" w:hAnsi="宋体" w:cs="宋体"/>
          <w:szCs w:val="21"/>
        </w:rPr>
      </w:pPr>
      <w:r>
        <w:rPr>
          <w:rFonts w:ascii="宋体" w:hAnsi="宋体" w:cs="宋体" w:hint="eastAsia"/>
          <w:szCs w:val="21"/>
          <w:lang w:val="en-GB"/>
        </w:rPr>
        <w:t>除非另有约定，《</w:t>
      </w:r>
      <w:r>
        <w:rPr>
          <w:rFonts w:ascii="宋体" w:hAnsi="宋体" w:cs="宋体" w:hint="eastAsia"/>
          <w:szCs w:val="21"/>
        </w:rPr>
        <w:t>易方达中证科创创业人工智能交易型开放式指数证券投资基金发起式联接基金</w:t>
      </w:r>
      <w:r>
        <w:rPr>
          <w:rFonts w:ascii="宋体" w:hAnsi="宋体" w:cs="宋体" w:hint="eastAsia"/>
          <w:szCs w:val="21"/>
          <w:lang w:val="en-GB"/>
        </w:rPr>
        <w:t>基金合同》(以下简称“基金合同”)中定义的术语在用于本托管协议时应具有相同的含义，若有抵触应以基金合同为准。</w:t>
      </w:r>
    </w:p>
    <w:p w:rsidR="004B0A92" w14:paraId="5DF9D09A" w14:textId="77777777">
      <w:pPr>
        <w:widowControl/>
        <w:spacing w:line="360" w:lineRule="auto"/>
        <w:ind w:firstLine="420"/>
        <w:rPr>
          <w:rFonts w:ascii="宋体" w:hAnsi="宋体" w:cs="宋体"/>
          <w:szCs w:val="21"/>
          <w:lang w:val="en-GB"/>
        </w:rPr>
      </w:pPr>
      <w:r>
        <w:rPr>
          <w:rFonts w:ascii="宋体" w:hAnsi="宋体" w:cs="宋体" w:hint="eastAsia"/>
          <w:szCs w:val="21"/>
          <w:lang w:val="en-GB"/>
        </w:rPr>
        <w:t>若本基金实施侧袋机制的，侧袋机制实施期间的相关安排按照基金合同的规定执行。</w:t>
      </w:r>
    </w:p>
    <w:p w:rsidR="004B0A92" w14:paraId="53C48234" w14:textId="77777777">
      <w:pPr>
        <w:spacing w:line="360" w:lineRule="auto"/>
        <w:ind w:firstLine="420"/>
      </w:pPr>
      <w:r>
        <w:rPr>
          <w:rFonts w:ascii="宋体" w:hAnsi="宋体" w:cs="宋体"/>
          <w:color w:val="000000"/>
          <w:highlight w:val="white"/>
        </w:rPr>
        <w:t>基金管理人应按中国反洗钱与制裁合规相关法律法规的要求履行反洗钱和反恐怖融资义务。在建立业务关系时，采取符合法律法规要求的客户尽职调查措施，尽职调查内容包括但不限于获得投资者身份、财产与收入状况、投资经验、风险认知与承受能力和投资偏好等相关的信息和资料，识别并采取合理措施核实基金受益所有人。在业务关系存续期间，持续关注并评估基金整体状况和交易情况，了解洗钱风险状况，发现交易与其身份、风险状况等不符的，应当进一步核实相关情况；对存在洗钱高风险情形的，必要时可以采取必要的洗钱风险管理措施；在法律允许范围内，配合基金托管人开展尽职调查，提供相关客户身份信息和资料，并确保已获得客户的合法有效授权；妥善保管、更新客户及投资者身份资料及交易记录；根据反洗钱法律法规，要求投资者积极配合完成反洗钱调查等必要程序；与基金托管人在法律法规允许范围内积极开展反洗钱领域的信息支持与合作；落实反洗钱法律法规要求的其他反洗钱和反恐怖融资工作。</w:t>
      </w:r>
    </w:p>
    <w:p w:rsidR="004B0A92" w14:paraId="5C2A1C3D" w14:textId="77777777">
      <w:pPr>
        <w:widowControl w:val="0"/>
        <w:spacing w:line="360" w:lineRule="auto"/>
        <w:ind w:firstLine="420"/>
        <w:rPr>
          <w:rFonts w:ascii="宋体" w:hAnsi="宋体" w:cs="宋体"/>
          <w:szCs w:val="21"/>
        </w:rPr>
      </w:pPr>
      <w:r>
        <w:rPr>
          <w:rFonts w:ascii="宋体" w:hAnsi="宋体" w:cs="宋体"/>
          <w:color w:val="000000"/>
          <w:highlight w:val="white"/>
        </w:rPr>
        <w:t>基金管理人应采取适当措施，确保基金的受益所有人及其主要关联方、投资者及主要关联方、所投标的、交易对手等不得为我国有关机关发布的反洗钱特别预防措施名单所列对象，或中国人民银行及其他监管机构要求执行的反洗钱和反恐怖融资名单，同时不得违反可适用的制裁法律法规及相关规定。</w:t>
      </w:r>
    </w:p>
    <w:p w:rsidR="004B0A92" w14:paraId="568A347D" w14:textId="77777777">
      <w:pPr>
        <w:spacing w:line="360" w:lineRule="auto"/>
        <w:rPr>
          <w:rFonts w:ascii="宋体" w:hAnsi="宋体" w:cs="宋体"/>
          <w:szCs w:val="21"/>
        </w:rPr>
      </w:pPr>
    </w:p>
    <w:p w:rsidR="004B0A92" w14:paraId="0F0C8192" w14:textId="77777777">
      <w:pPr>
        <w:pStyle w:val="21"/>
        <w:spacing w:before="312" w:after="156" w:line="360" w:lineRule="auto"/>
        <w:jc w:val="center"/>
        <w:rPr>
          <w:rFonts w:ascii="宋体" w:eastAsia="宋体" w:hAnsi="宋体" w:cs="宋体"/>
          <w:sz w:val="21"/>
          <w:szCs w:val="21"/>
        </w:rPr>
      </w:pPr>
      <w:r>
        <w:rPr>
          <w:rFonts w:ascii="宋体" w:eastAsia="宋体" w:hAnsi="宋体" w:cs="宋体"/>
          <w:sz w:val="21"/>
          <w:szCs w:val="21"/>
        </w:rPr>
        <w:br w:type="page"/>
      </w:r>
      <w:bookmarkStart w:id="4" w:name="_Toc384992691"/>
      <w:bookmarkStart w:id="5" w:name="_Toc348082029"/>
      <w:bookmarkStart w:id="6" w:name="_GoBack"/>
      <w:bookmarkEnd w:id="6"/>
      <w:r>
        <w:rPr>
          <w:rFonts w:ascii="宋体" w:eastAsia="宋体" w:hAnsi="宋体" w:cs="宋体" w:hint="eastAsia"/>
          <w:sz w:val="21"/>
          <w:szCs w:val="21"/>
        </w:rPr>
        <w:t>一、基金托管协议当事人</w:t>
      </w:r>
      <w:bookmarkEnd w:id="4"/>
      <w:bookmarkEnd w:id="5"/>
    </w:p>
    <w:p w:rsidR="004B0A92" w14:paraId="6DD36F90" w14:textId="77777777">
      <w:pPr>
        <w:spacing w:line="360" w:lineRule="auto"/>
        <w:rPr>
          <w:rFonts w:ascii="宋体" w:hAnsi="宋体" w:cs="宋体"/>
        </w:rPr>
      </w:pPr>
      <w:r>
        <w:rPr>
          <w:rFonts w:ascii="宋体" w:hAnsi="宋体" w:cs="宋体" w:hint="eastAsia"/>
        </w:rPr>
        <w:t>（一）基金管理人（也可称资产管理人）</w:t>
      </w:r>
    </w:p>
    <w:p w:rsidR="004B0A92" w14:paraId="636BE9FC" w14:textId="77777777">
      <w:pPr>
        <w:spacing w:line="360" w:lineRule="auto"/>
        <w:ind w:firstLine="420"/>
        <w:rPr>
          <w:rFonts w:ascii="宋体" w:hAnsi="宋体" w:cs="宋体"/>
        </w:rPr>
      </w:pPr>
      <w:r>
        <w:rPr>
          <w:rFonts w:ascii="宋体" w:hAnsi="宋体" w:cs="宋体" w:hint="eastAsia"/>
          <w:highlight w:val="white"/>
        </w:rPr>
        <w:t>名称：易方达基金管理有限公司</w:t>
      </w:r>
    </w:p>
    <w:p w:rsidR="004B0A92" w14:paraId="3DFC605C" w14:textId="77777777">
      <w:pPr>
        <w:spacing w:line="360" w:lineRule="auto"/>
        <w:ind w:firstLine="420"/>
        <w:rPr>
          <w:rFonts w:ascii="宋体" w:hAnsi="宋体" w:cs="宋体"/>
        </w:rPr>
      </w:pPr>
      <w:r>
        <w:rPr>
          <w:rFonts w:ascii="宋体" w:hAnsi="宋体" w:cs="宋体" w:hint="eastAsia"/>
          <w:highlight w:val="white"/>
        </w:rPr>
        <w:t>住所：广东省珠海市横琴新区荣粤道188号6层</w:t>
      </w:r>
    </w:p>
    <w:p w:rsidR="004B0A92" w14:paraId="16096DE9" w14:textId="77777777">
      <w:pPr>
        <w:spacing w:line="360" w:lineRule="auto"/>
        <w:ind w:firstLine="420"/>
        <w:rPr>
          <w:rFonts w:ascii="宋体" w:hAnsi="宋体" w:cs="宋体"/>
        </w:rPr>
      </w:pPr>
      <w:r>
        <w:rPr>
          <w:rFonts w:ascii="宋体" w:hAnsi="宋体" w:cs="宋体" w:hint="eastAsia"/>
          <w:highlight w:val="white"/>
        </w:rPr>
        <w:t>法定代表人：吴欣荣</w:t>
      </w:r>
    </w:p>
    <w:p w:rsidR="004B0A92" w14:paraId="02CA37E0" w14:textId="77777777">
      <w:pPr>
        <w:spacing w:line="360" w:lineRule="auto"/>
        <w:ind w:firstLine="420"/>
        <w:rPr>
          <w:rFonts w:ascii="宋体" w:hAnsi="宋体" w:cs="宋体"/>
        </w:rPr>
      </w:pPr>
      <w:r>
        <w:rPr>
          <w:rFonts w:ascii="宋体" w:hAnsi="宋体" w:cs="宋体" w:hint="eastAsia"/>
          <w:highlight w:val="white"/>
        </w:rPr>
        <w:t>设立日期：2001年4月17日</w:t>
      </w:r>
    </w:p>
    <w:p w:rsidR="004B0A92" w14:paraId="22CE30A4" w14:textId="77777777">
      <w:pPr>
        <w:spacing w:line="360" w:lineRule="auto"/>
        <w:ind w:firstLine="420"/>
        <w:rPr>
          <w:rFonts w:ascii="宋体" w:hAnsi="宋体" w:cs="宋体"/>
        </w:rPr>
      </w:pPr>
      <w:r>
        <w:rPr>
          <w:rFonts w:ascii="宋体" w:hAnsi="宋体" w:cs="宋体" w:hint="eastAsia"/>
          <w:highlight w:val="white"/>
        </w:rPr>
        <w:t>批准设立机关及批准设立文号：中国证券监督管理委员会，证监基金字[2001]4号</w:t>
      </w:r>
    </w:p>
    <w:p w:rsidR="004B0A92" w14:paraId="5B2CDA1F" w14:textId="77777777">
      <w:pPr>
        <w:spacing w:line="360" w:lineRule="auto"/>
        <w:ind w:firstLine="420"/>
        <w:rPr>
          <w:rFonts w:ascii="宋体" w:hAnsi="宋体" w:cs="宋体"/>
        </w:rPr>
      </w:pPr>
      <w:r>
        <w:rPr>
          <w:rFonts w:ascii="宋体" w:hAnsi="宋体" w:cs="宋体" w:hint="eastAsia"/>
          <w:highlight w:val="white"/>
        </w:rPr>
        <w:t>组织形式：有限责任公司</w:t>
      </w:r>
    </w:p>
    <w:p w:rsidR="004B0A92" w14:paraId="62B8C03C" w14:textId="77777777">
      <w:pPr>
        <w:spacing w:line="360" w:lineRule="auto"/>
        <w:ind w:firstLine="420"/>
        <w:rPr>
          <w:rFonts w:ascii="宋体" w:hAnsi="宋体" w:cs="宋体"/>
        </w:rPr>
      </w:pPr>
      <w:r>
        <w:rPr>
          <w:rFonts w:ascii="宋体" w:hAnsi="宋体" w:cs="宋体" w:hint="eastAsia"/>
          <w:highlight w:val="white"/>
        </w:rPr>
        <w:t>注册资本：13,244.2万元人民币</w:t>
      </w:r>
    </w:p>
    <w:p w:rsidR="004B0A92" w14:paraId="64B3A9FE" w14:textId="77777777">
      <w:pPr>
        <w:spacing w:line="360" w:lineRule="auto"/>
        <w:ind w:firstLine="420"/>
        <w:rPr>
          <w:rFonts w:ascii="宋体" w:hAnsi="宋体" w:cs="宋体"/>
        </w:rPr>
      </w:pPr>
      <w:r>
        <w:rPr>
          <w:rFonts w:ascii="宋体" w:hAnsi="宋体" w:cs="宋体" w:hint="eastAsia"/>
          <w:highlight w:val="white"/>
        </w:rPr>
        <w:t>存续期限：持续经营</w:t>
      </w:r>
    </w:p>
    <w:p w:rsidR="004B0A92" w14:paraId="5B8D5A33" w14:textId="77777777">
      <w:pPr>
        <w:spacing w:line="360" w:lineRule="auto"/>
        <w:ind w:firstLine="420"/>
        <w:rPr>
          <w:rFonts w:ascii="宋体" w:hAnsi="宋体" w:cs="宋体"/>
        </w:rPr>
      </w:pPr>
      <w:r>
        <w:rPr>
          <w:rFonts w:ascii="宋体" w:hAnsi="宋体" w:cs="宋体" w:hint="eastAsia"/>
          <w:highlight w:val="white"/>
        </w:rPr>
        <w:t>联系电话：4008818088</w:t>
      </w:r>
    </w:p>
    <w:p w:rsidR="004B0A92" w14:paraId="58CA4A11" w14:textId="77777777">
      <w:pPr>
        <w:spacing w:line="360" w:lineRule="auto"/>
        <w:rPr>
          <w:rFonts w:ascii="宋体" w:hAnsi="宋体" w:cs="宋体"/>
        </w:rPr>
      </w:pPr>
      <w:r>
        <w:rPr>
          <w:rFonts w:ascii="宋体" w:hAnsi="宋体" w:cs="宋体" w:hint="eastAsia"/>
        </w:rPr>
        <w:t>（二）基金托管人（也可称资产托管人）</w:t>
      </w:r>
    </w:p>
    <w:p w:rsidR="004B0A92" w14:paraId="63884B76" w14:textId="77777777">
      <w:pPr>
        <w:spacing w:line="360" w:lineRule="auto"/>
        <w:ind w:firstLine="420"/>
        <w:rPr>
          <w:rFonts w:ascii="宋体" w:hAnsi="宋体" w:cs="宋体"/>
          <w:szCs w:val="21"/>
        </w:rPr>
      </w:pPr>
      <w:r>
        <w:rPr>
          <w:rFonts w:ascii="宋体" w:hAnsi="宋体" w:cs="宋体" w:hint="eastAsia"/>
          <w:szCs w:val="21"/>
        </w:rPr>
        <w:t>名称：招商银行股份有限公司(简称：招商银行)</w:t>
      </w:r>
    </w:p>
    <w:p w:rsidR="004B0A92" w14:paraId="7EC3CD2C" w14:textId="77777777">
      <w:pPr>
        <w:spacing w:line="360" w:lineRule="auto"/>
        <w:ind w:firstLine="420"/>
        <w:rPr>
          <w:rFonts w:ascii="宋体" w:hAnsi="宋体" w:cs="宋体"/>
          <w:szCs w:val="21"/>
        </w:rPr>
      </w:pPr>
      <w:r>
        <w:rPr>
          <w:rFonts w:ascii="宋体" w:hAnsi="宋体" w:cs="宋体" w:hint="eastAsia"/>
          <w:szCs w:val="21"/>
        </w:rPr>
        <w:t>住所：深圳市深南大道7088号招商银行大厦</w:t>
      </w:r>
    </w:p>
    <w:p w:rsidR="004B0A92" w14:paraId="38A312FC" w14:textId="77777777">
      <w:pPr>
        <w:spacing w:line="360" w:lineRule="auto"/>
        <w:ind w:firstLine="420"/>
        <w:rPr>
          <w:rFonts w:ascii="宋体" w:hAnsi="宋体" w:cs="宋体"/>
          <w:szCs w:val="21"/>
        </w:rPr>
      </w:pPr>
      <w:r>
        <w:rPr>
          <w:rFonts w:ascii="宋体" w:hAnsi="宋体" w:cs="宋体" w:hint="eastAsia"/>
          <w:szCs w:val="21"/>
        </w:rPr>
        <w:t>办公地址：深圳市深南大道7088号招商银行大厦</w:t>
      </w:r>
    </w:p>
    <w:p w:rsidR="004B0A92" w14:paraId="631C2D14" w14:textId="77777777">
      <w:pPr>
        <w:spacing w:line="360" w:lineRule="auto"/>
        <w:ind w:firstLine="420"/>
        <w:rPr>
          <w:rFonts w:ascii="宋体" w:hAnsi="宋体" w:cs="宋体"/>
          <w:szCs w:val="21"/>
        </w:rPr>
      </w:pPr>
      <w:r>
        <w:rPr>
          <w:rFonts w:ascii="宋体" w:hAnsi="宋体" w:cs="宋体" w:hint="eastAsia"/>
          <w:szCs w:val="21"/>
        </w:rPr>
        <w:t>邮政编码：518040</w:t>
      </w:r>
    </w:p>
    <w:p w:rsidR="004B0A92" w14:paraId="4AFA48CF" w14:textId="77777777">
      <w:pPr>
        <w:spacing w:line="360" w:lineRule="auto"/>
        <w:ind w:firstLine="420"/>
        <w:rPr>
          <w:rFonts w:ascii="宋体" w:hAnsi="宋体" w:cs="宋体"/>
          <w:szCs w:val="21"/>
        </w:rPr>
      </w:pPr>
      <w:r>
        <w:rPr>
          <w:rFonts w:ascii="宋体" w:hAnsi="宋体" w:cs="宋体" w:hint="eastAsia"/>
          <w:szCs w:val="21"/>
        </w:rPr>
        <w:t>法定代表人：缪建民</w:t>
      </w:r>
    </w:p>
    <w:p w:rsidR="004B0A92" w14:paraId="7EC8004B" w14:textId="77777777">
      <w:pPr>
        <w:spacing w:line="360" w:lineRule="auto"/>
        <w:ind w:firstLine="420"/>
        <w:rPr>
          <w:rFonts w:ascii="宋体" w:hAnsi="宋体" w:cs="宋体"/>
          <w:szCs w:val="21"/>
        </w:rPr>
      </w:pPr>
      <w:r>
        <w:rPr>
          <w:rFonts w:ascii="宋体" w:hAnsi="宋体" w:cs="宋体" w:hint="eastAsia"/>
          <w:szCs w:val="21"/>
        </w:rPr>
        <w:t>成立时间：1987年</w:t>
      </w:r>
      <w:r>
        <w:rPr>
          <w:rFonts w:ascii="宋体" w:hAnsi="宋体" w:cs="宋体"/>
          <w:szCs w:val="21"/>
        </w:rPr>
        <w:t>3</w:t>
      </w:r>
      <w:r>
        <w:rPr>
          <w:rFonts w:ascii="宋体" w:hAnsi="宋体" w:cs="宋体" w:hint="eastAsia"/>
          <w:szCs w:val="21"/>
        </w:rPr>
        <w:t>月</w:t>
      </w:r>
      <w:r>
        <w:rPr>
          <w:rFonts w:ascii="宋体" w:hAnsi="宋体" w:cs="宋体"/>
          <w:szCs w:val="21"/>
        </w:rPr>
        <w:t>31</w:t>
      </w:r>
      <w:r>
        <w:rPr>
          <w:rFonts w:ascii="宋体" w:hAnsi="宋体" w:cs="宋体" w:hint="eastAsia"/>
          <w:szCs w:val="21"/>
        </w:rPr>
        <w:t>日</w:t>
      </w:r>
    </w:p>
    <w:p w:rsidR="004B0A92" w14:paraId="59C027F1" w14:textId="77777777">
      <w:pPr>
        <w:spacing w:line="360" w:lineRule="auto"/>
        <w:ind w:firstLine="420"/>
        <w:rPr>
          <w:rFonts w:ascii="宋体" w:hAnsi="宋体" w:cs="宋体"/>
          <w:szCs w:val="21"/>
        </w:rPr>
      </w:pPr>
      <w:r>
        <w:rPr>
          <w:rFonts w:ascii="宋体" w:hAnsi="宋体" w:cs="宋体" w:hint="eastAsia"/>
          <w:szCs w:val="21"/>
        </w:rPr>
        <w:t>基金托管业务批准文号：证监基金字[2002]83号</w:t>
      </w:r>
    </w:p>
    <w:p w:rsidR="004B0A92" w14:paraId="3BC93B91" w14:textId="77777777">
      <w:pPr>
        <w:spacing w:line="360" w:lineRule="auto"/>
        <w:ind w:firstLine="420"/>
        <w:rPr>
          <w:rFonts w:ascii="宋体" w:hAnsi="宋体" w:cs="宋体"/>
          <w:szCs w:val="21"/>
        </w:rPr>
      </w:pPr>
      <w:r>
        <w:rPr>
          <w:rFonts w:ascii="宋体" w:hAnsi="宋体" w:cs="宋体" w:hint="eastAsia"/>
          <w:szCs w:val="21"/>
        </w:rPr>
        <w:t>组织形式：股份有限公司</w:t>
      </w:r>
    </w:p>
    <w:p w:rsidR="004B0A92" w14:paraId="31FEFC8C" w14:textId="77777777">
      <w:pPr>
        <w:spacing w:line="360" w:lineRule="auto"/>
        <w:ind w:firstLine="420"/>
        <w:rPr>
          <w:rFonts w:ascii="宋体" w:hAnsi="宋体" w:cs="宋体"/>
          <w:szCs w:val="21"/>
        </w:rPr>
      </w:pPr>
      <w:r>
        <w:rPr>
          <w:rFonts w:ascii="宋体" w:hAnsi="宋体" w:cs="宋体" w:hint="eastAsia"/>
          <w:szCs w:val="21"/>
        </w:rPr>
        <w:t>注册资本：人民币252.20亿元</w:t>
      </w:r>
    </w:p>
    <w:p w:rsidR="004B0A92" w14:paraId="1E2B5CA8" w14:textId="77777777">
      <w:pPr>
        <w:spacing w:line="360" w:lineRule="auto"/>
        <w:ind w:firstLine="420"/>
        <w:rPr>
          <w:rFonts w:ascii="宋体" w:hAnsi="宋体" w:cs="宋体"/>
          <w:szCs w:val="21"/>
        </w:rPr>
      </w:pPr>
      <w:r>
        <w:rPr>
          <w:rFonts w:ascii="宋体" w:hAnsi="宋体" w:cs="宋体" w:hint="eastAsia"/>
          <w:szCs w:val="21"/>
        </w:rPr>
        <w:t>存续期间：持续经营</w:t>
      </w:r>
    </w:p>
    <w:p w:rsidR="004B0A92" w14:paraId="008E4BB0" w14:textId="77777777">
      <w:pPr>
        <w:pStyle w:val="21"/>
        <w:spacing w:before="312" w:after="156" w:line="360" w:lineRule="auto"/>
        <w:jc w:val="center"/>
        <w:rPr>
          <w:rFonts w:ascii="宋体" w:eastAsia="宋体" w:hAnsi="宋体" w:cs="宋体"/>
          <w:sz w:val="21"/>
          <w:szCs w:val="21"/>
        </w:rPr>
      </w:pPr>
      <w:r>
        <w:rPr>
          <w:rFonts w:ascii="宋体" w:eastAsia="宋体" w:hAnsi="宋体" w:cs="宋体"/>
          <w:sz w:val="21"/>
          <w:szCs w:val="21"/>
        </w:rPr>
        <w:br w:type="page"/>
      </w:r>
      <w:bookmarkStart w:id="7" w:name="_Toc348082030"/>
      <w:bookmarkStart w:id="8" w:name="_Toc384992692"/>
      <w:r>
        <w:rPr>
          <w:rFonts w:ascii="宋体" w:eastAsia="宋体" w:hAnsi="宋体" w:cs="宋体" w:hint="eastAsia"/>
          <w:sz w:val="21"/>
          <w:szCs w:val="21"/>
        </w:rPr>
        <w:t>二、基金托管协议的依据、目的和原则</w:t>
      </w:r>
      <w:bookmarkEnd w:id="7"/>
      <w:bookmarkEnd w:id="8"/>
    </w:p>
    <w:p w:rsidR="004B0A92" w14:paraId="6DFA4A52" w14:textId="77777777">
      <w:pPr>
        <w:spacing w:line="360" w:lineRule="auto"/>
        <w:ind w:firstLine="420"/>
        <w:rPr>
          <w:rFonts w:ascii="宋体" w:hAnsi="宋体" w:cs="宋体"/>
          <w:szCs w:val="21"/>
        </w:rPr>
      </w:pPr>
      <w:r>
        <w:rPr>
          <w:rFonts w:ascii="宋体" w:hAnsi="宋体" w:cs="宋体" w:hint="eastAsia"/>
          <w:szCs w:val="21"/>
        </w:rPr>
        <w:t>（一）订立托管协议的依据</w:t>
      </w:r>
    </w:p>
    <w:p w:rsidR="004B0A92" w14:paraId="36020C26" w14:textId="77777777">
      <w:pPr>
        <w:spacing w:line="360" w:lineRule="auto"/>
        <w:ind w:firstLine="420"/>
        <w:rPr>
          <w:rFonts w:ascii="宋体" w:hAnsi="宋体" w:cs="宋体"/>
          <w:szCs w:val="21"/>
        </w:rPr>
      </w:pPr>
      <w:r>
        <w:rPr>
          <w:rFonts w:ascii="宋体" w:hAnsi="宋体" w:cs="宋体" w:hint="eastAsia"/>
          <w:szCs w:val="21"/>
        </w:rPr>
        <w:t>本协议依据《中华人民共和国民法典》、《中华人民共和国证券投资基金法》(简称“《基金法》”)、《公开募集证券投资基金运作管理办法》（简称“《运作办法》”）、《公开募集开放式证券投资基金流动性风险管理规定》</w:t>
      </w:r>
      <w:r>
        <w:rPr>
          <w:rFonts w:ascii="宋体" w:hAnsi="宋体" w:cs="宋体"/>
          <w:color w:val="000000"/>
          <w:highlight w:val="white"/>
        </w:rPr>
        <w:t>（简称“《流动性风险管理规定》”）</w:t>
      </w:r>
      <w:r>
        <w:rPr>
          <w:rFonts w:ascii="宋体" w:hAnsi="宋体" w:cs="宋体"/>
          <w:szCs w:val="21"/>
        </w:rPr>
        <w:t>、《公开募集证券投资基金信息披露管理办法》（简称“</w:t>
      </w:r>
      <w:r>
        <w:rPr>
          <w:rFonts w:ascii="宋体" w:hAnsi="宋体" w:cs="宋体" w:hint="eastAsia"/>
          <w:szCs w:val="21"/>
        </w:rPr>
        <w:t>《信息披露办法》</w:t>
      </w:r>
      <w:r>
        <w:rPr>
          <w:rFonts w:ascii="宋体" w:hAnsi="宋体" w:cs="宋体"/>
          <w:szCs w:val="21"/>
        </w:rPr>
        <w:t>”</w:t>
      </w:r>
      <w:r>
        <w:rPr>
          <w:rFonts w:ascii="宋体" w:hAnsi="宋体" w:cs="宋体" w:hint="eastAsia"/>
          <w:szCs w:val="21"/>
        </w:rPr>
        <w:t>）等有关法律法规、基金合同及其他有关规定制订。</w:t>
      </w:r>
    </w:p>
    <w:p w:rsidR="004B0A92" w14:paraId="0798E374" w14:textId="77777777">
      <w:pPr>
        <w:spacing w:line="360" w:lineRule="auto"/>
        <w:ind w:firstLine="420"/>
        <w:rPr>
          <w:rFonts w:ascii="宋体" w:hAnsi="宋体" w:cs="宋体"/>
          <w:szCs w:val="21"/>
        </w:rPr>
      </w:pPr>
      <w:r>
        <w:rPr>
          <w:rFonts w:ascii="宋体" w:hAnsi="宋体" w:cs="宋体" w:hint="eastAsia"/>
          <w:szCs w:val="21"/>
        </w:rPr>
        <w:t>（二）订立托管协议的目的</w:t>
      </w:r>
    </w:p>
    <w:p w:rsidR="004B0A92" w14:paraId="0F5A7DDC" w14:textId="77777777">
      <w:pPr>
        <w:spacing w:line="360" w:lineRule="auto"/>
        <w:ind w:firstLine="420"/>
        <w:rPr>
          <w:rFonts w:ascii="宋体" w:hAnsi="宋体" w:cs="宋体"/>
          <w:szCs w:val="21"/>
        </w:rPr>
      </w:pPr>
      <w:r>
        <w:rPr>
          <w:rFonts w:ascii="宋体" w:hAnsi="宋体" w:cs="宋体" w:hint="eastAsia"/>
          <w:szCs w:val="21"/>
        </w:rPr>
        <w:t>订立本协议的目的是明确基金管理人与基金托管人之间在基金财产的保管、投资运作、净值计算、收益分配、信息披露及相互监督等相关事宜中的权利义务及职责，确保基金财产的安全，保护基金份额持有人的合法权益。</w:t>
      </w:r>
    </w:p>
    <w:p w:rsidR="004B0A92" w14:paraId="1D9B148D" w14:textId="77777777">
      <w:pPr>
        <w:spacing w:line="360" w:lineRule="auto"/>
        <w:ind w:firstLine="420"/>
        <w:rPr>
          <w:rFonts w:ascii="宋体" w:hAnsi="宋体" w:cs="宋体"/>
          <w:szCs w:val="21"/>
        </w:rPr>
      </w:pPr>
      <w:r>
        <w:rPr>
          <w:rFonts w:ascii="宋体" w:hAnsi="宋体" w:cs="宋体" w:hint="eastAsia"/>
          <w:szCs w:val="21"/>
        </w:rPr>
        <w:t>（三）订立托管协议的原则</w:t>
      </w:r>
    </w:p>
    <w:p w:rsidR="004B0A92" w14:paraId="61701E77" w14:textId="77777777">
      <w:pPr>
        <w:spacing w:line="360" w:lineRule="auto"/>
        <w:ind w:firstLine="420"/>
        <w:rPr>
          <w:rFonts w:ascii="宋体" w:hAnsi="宋体" w:cs="宋体"/>
          <w:szCs w:val="21"/>
        </w:rPr>
      </w:pPr>
      <w:r>
        <w:rPr>
          <w:rFonts w:ascii="宋体" w:hAnsi="宋体" w:cs="宋体" w:hint="eastAsia"/>
          <w:szCs w:val="21"/>
        </w:rPr>
        <w:t>基金管理人和基金托管人本着平等自愿、诚实信用、充分保护基金份额持有人合法权益的原则，经协商一致，签订本协议。</w:t>
      </w:r>
    </w:p>
    <w:p w:rsidR="004B0A92" w14:paraId="254DB2BE" w14:textId="77777777">
      <w:pPr>
        <w:spacing w:line="360" w:lineRule="auto"/>
        <w:ind w:firstLine="420"/>
        <w:rPr>
          <w:rFonts w:ascii="宋体" w:hAnsi="宋体" w:cs="宋体"/>
          <w:szCs w:val="21"/>
        </w:rPr>
      </w:pPr>
      <w:r>
        <w:rPr>
          <w:rFonts w:ascii="宋体" w:hAnsi="宋体" w:cs="宋体" w:hint="eastAsia"/>
          <w:szCs w:val="21"/>
        </w:rPr>
        <w:t>（四）解释</w:t>
      </w:r>
    </w:p>
    <w:p w:rsidR="004B0A92" w14:paraId="30CEF200" w14:textId="77777777">
      <w:pPr>
        <w:spacing w:line="360" w:lineRule="auto"/>
        <w:ind w:firstLine="420"/>
        <w:rPr>
          <w:rFonts w:ascii="宋体" w:hAnsi="宋体" w:cs="宋体"/>
          <w:szCs w:val="21"/>
        </w:rPr>
      </w:pPr>
      <w:r>
        <w:rPr>
          <w:rFonts w:ascii="宋体" w:hAnsi="宋体" w:cs="宋体" w:hint="eastAsia"/>
          <w:szCs w:val="21"/>
        </w:rPr>
        <w:t>除非文义另有所指，本协议的所有术语与基金合同的相应术语具有相同含义。</w:t>
      </w:r>
    </w:p>
    <w:p w:rsidR="004B0A92" w14:paraId="0E26AEB6" w14:textId="77777777">
      <w:pPr>
        <w:pStyle w:val="21"/>
        <w:spacing w:before="312" w:after="156" w:line="360" w:lineRule="auto"/>
        <w:jc w:val="center"/>
        <w:rPr>
          <w:rFonts w:ascii="宋体" w:eastAsia="宋体" w:hAnsi="宋体" w:cs="宋体"/>
          <w:sz w:val="21"/>
          <w:szCs w:val="21"/>
        </w:rPr>
      </w:pPr>
      <w:r>
        <w:rPr>
          <w:rFonts w:ascii="宋体" w:eastAsia="宋体" w:hAnsi="宋体" w:cs="宋体"/>
          <w:sz w:val="21"/>
          <w:szCs w:val="21"/>
        </w:rPr>
        <w:br w:type="page"/>
      </w:r>
      <w:bookmarkStart w:id="9" w:name="_Toc348082031"/>
      <w:bookmarkStart w:id="10" w:name="_Toc384992693"/>
      <w:r>
        <w:rPr>
          <w:rFonts w:ascii="宋体" w:eastAsia="宋体" w:hAnsi="宋体" w:cs="宋体" w:hint="eastAsia"/>
          <w:sz w:val="21"/>
          <w:szCs w:val="21"/>
        </w:rPr>
        <w:t>三、基金托管人对基金管理人的业务监督和核查</w:t>
      </w:r>
      <w:bookmarkEnd w:id="9"/>
      <w:bookmarkEnd w:id="10"/>
    </w:p>
    <w:p w:rsidR="004B0A92" w14:paraId="7D09453E" w14:textId="77777777">
      <w:pPr>
        <w:spacing w:line="360" w:lineRule="auto"/>
        <w:ind w:firstLine="420"/>
        <w:rPr>
          <w:rFonts w:ascii="宋体" w:hAnsi="宋体" w:cs="宋体"/>
          <w:szCs w:val="21"/>
        </w:rPr>
      </w:pPr>
      <w:r>
        <w:rPr>
          <w:rFonts w:ascii="宋体" w:hAnsi="宋体" w:cs="宋体" w:hint="eastAsia"/>
          <w:szCs w:val="21"/>
        </w:rPr>
        <w:t>（一）基金托管人根据有关法律法规的规定以及《基金合同》的约定，对基金投资范围、投资比例、投资限制、关联方交易等进行监督。《基金合同》明确约定基金投资证券选择标准的，基金管理人应事先或定期向基金托管人提供投资品种池，以便基金托管人对基金实际投资是否符合基金合同关于证券选择标准的约定进行监督。</w:t>
      </w:r>
    </w:p>
    <w:p w:rsidR="004B0A92" w14:paraId="67B26683" w14:textId="77777777">
      <w:pPr>
        <w:spacing w:line="360" w:lineRule="auto"/>
        <w:ind w:firstLine="420"/>
        <w:rPr>
          <w:rFonts w:ascii="宋体" w:hAnsi="宋体" w:cs="宋体"/>
          <w:szCs w:val="21"/>
        </w:rPr>
      </w:pPr>
      <w:r>
        <w:rPr>
          <w:rFonts w:ascii="宋体" w:hAnsi="宋体" w:cs="宋体" w:hint="eastAsia"/>
          <w:szCs w:val="21"/>
        </w:rPr>
        <w:t>1.本基金的投资范围为：</w:t>
      </w:r>
    </w:p>
    <w:p w:rsidR="004B0A92" w14:paraId="4213ADB2" w14:textId="77777777">
      <w:pPr>
        <w:spacing w:line="360" w:lineRule="auto"/>
        <w:ind w:firstLine="420"/>
        <w:rPr>
          <w:rFonts w:ascii="宋体" w:hAnsi="宋体" w:cs="宋体"/>
          <w:szCs w:val="21"/>
        </w:rPr>
      </w:pPr>
      <w:r>
        <w:rPr>
          <w:rFonts w:ascii="宋体" w:hAnsi="宋体" w:cs="宋体" w:hint="eastAsia"/>
          <w:szCs w:val="21"/>
        </w:rPr>
        <w:t>本基金的投资范围包括目标ETF、标的指数成份股及备选成份股（含存托凭证）、除标的指数成份股及备选成份股以外的其他股票（包括创业板、科创板及其他依法发行上市的股票、存托凭证）、债券（包括国债、央行票据、地方政府债、金融债、企业债、公司债、次级债、中期票据、短期融资券、超短期融资券、政府支持机构债券、可转换债券、可交换债券等）、债券回购、资产支持证券、银行存款、同业存单、货币市场工具、金融衍生工具（包括股指期货、国债期货、股票期权等）以及法律法规或中国证监会允许基金投资的其他金融工具。</w:t>
      </w:r>
    </w:p>
    <w:p w:rsidR="004B0A92" w14:paraId="07FB540B" w14:textId="77777777">
      <w:pPr>
        <w:spacing w:line="360" w:lineRule="auto"/>
        <w:ind w:firstLine="420"/>
        <w:rPr>
          <w:rFonts w:ascii="宋体" w:hAnsi="宋体" w:cs="宋体"/>
          <w:szCs w:val="21"/>
        </w:rPr>
      </w:pPr>
      <w:r>
        <w:rPr>
          <w:rFonts w:ascii="宋体" w:hAnsi="宋体" w:cs="宋体" w:hint="eastAsia"/>
          <w:szCs w:val="21"/>
        </w:rPr>
        <w:t>如法律法规或监管机构以后允许基金投资其他品种，基金管理人在履行适当程序后，本基金可以将其纳入投资范围。</w:t>
      </w:r>
    </w:p>
    <w:p w:rsidR="004B0A92" w14:paraId="4FD3DD52" w14:textId="77777777">
      <w:pPr>
        <w:spacing w:line="360" w:lineRule="auto"/>
        <w:ind w:firstLine="420"/>
        <w:rPr>
          <w:rFonts w:ascii="宋体" w:hAnsi="宋体" w:cs="宋体"/>
          <w:szCs w:val="21"/>
        </w:rPr>
      </w:pPr>
      <w:r>
        <w:rPr>
          <w:rFonts w:ascii="宋体" w:hAnsi="宋体" w:cs="宋体" w:hint="eastAsia"/>
          <w:szCs w:val="21"/>
        </w:rPr>
        <w:t>本基金将根据法律法规的规定参与转融通证券出借及融资业务。</w:t>
      </w:r>
    </w:p>
    <w:p w:rsidR="004B0A92" w14:paraId="0DDE7CE4" w14:textId="77777777">
      <w:pPr>
        <w:spacing w:line="360" w:lineRule="auto"/>
        <w:ind w:firstLine="420"/>
        <w:rPr>
          <w:rFonts w:ascii="宋体" w:hAnsi="宋体" w:cs="宋体"/>
          <w:szCs w:val="21"/>
        </w:rPr>
      </w:pPr>
      <w:r>
        <w:rPr>
          <w:rFonts w:ascii="宋体" w:hAnsi="宋体" w:cs="宋体"/>
          <w:szCs w:val="21"/>
        </w:rPr>
        <w:t>基金的投资组合比例为：</w:t>
      </w:r>
      <w:r>
        <w:rPr>
          <w:rFonts w:ascii="宋体" w:hAnsi="宋体" w:cs="宋体" w:hint="eastAsia"/>
          <w:szCs w:val="21"/>
        </w:rPr>
        <w:t>本基金投资于目标ETF的资产不低于基金资产净值的90%，保持不低于基金资产净值5%的现金或者到期日在一年以内的政府债券，其中现金不包括结算备付金、存出保证金、应收申购款等。</w:t>
      </w:r>
    </w:p>
    <w:p w:rsidR="004B0A92" w14:paraId="2B69F219" w14:textId="77777777">
      <w:pPr>
        <w:spacing w:line="360" w:lineRule="auto"/>
        <w:ind w:firstLine="420"/>
        <w:rPr>
          <w:rFonts w:ascii="宋体" w:hAnsi="宋体" w:cs="宋体"/>
          <w:szCs w:val="21"/>
        </w:rPr>
      </w:pPr>
      <w:r>
        <w:rPr>
          <w:rFonts w:ascii="宋体" w:hAnsi="宋体" w:cs="宋体" w:hint="eastAsia"/>
          <w:szCs w:val="21"/>
        </w:rPr>
        <w:t>2.本基金各类品种的投资比例、投资限制为：</w:t>
      </w:r>
    </w:p>
    <w:p w:rsidR="004B0A92" w14:paraId="1A79768F" w14:textId="77777777">
      <w:pPr>
        <w:spacing w:line="360" w:lineRule="auto"/>
        <w:ind w:firstLine="420"/>
      </w:pPr>
      <w:r>
        <w:rPr>
          <w:rFonts w:ascii="宋体" w:hAnsi="宋体" w:cs="宋体"/>
          <w:szCs w:val="21"/>
        </w:rPr>
        <w:t>（1）本基金投资于目标ETF的资产不低于基金资产净值的90%；</w:t>
      </w:r>
    </w:p>
    <w:p w:rsidR="004B0A92" w14:paraId="40C61EBF" w14:textId="77777777">
      <w:pPr>
        <w:spacing w:line="360" w:lineRule="auto"/>
        <w:ind w:firstLine="420"/>
      </w:pPr>
      <w:r>
        <w:rPr>
          <w:rFonts w:ascii="宋体" w:hAnsi="宋体" w:cs="宋体"/>
          <w:szCs w:val="21"/>
        </w:rPr>
        <w:t>（2）保持不低于基金资产净值5%的现金或者到期日在一年以内的政府债券，其中现金不包括结算备付金、存出保证金和应收申购款等；</w:t>
      </w:r>
    </w:p>
    <w:p w:rsidR="004B0A92" w14:paraId="0B965437" w14:textId="77777777">
      <w:pPr>
        <w:spacing w:line="360" w:lineRule="auto"/>
        <w:ind w:firstLine="420"/>
      </w:pPr>
      <w:r>
        <w:rPr>
          <w:rFonts w:ascii="宋体" w:hAnsi="宋体" w:cs="宋体"/>
          <w:szCs w:val="21"/>
        </w:rPr>
        <w:t>（3）本基金投资于同一原始权益人的各类资产支持证券的比例，不得超过基金资产净值的10%；</w:t>
      </w:r>
    </w:p>
    <w:p w:rsidR="004B0A92" w14:paraId="212978C1" w14:textId="77777777">
      <w:pPr>
        <w:spacing w:line="360" w:lineRule="auto"/>
        <w:ind w:firstLine="420"/>
      </w:pPr>
      <w:r>
        <w:rPr>
          <w:rFonts w:ascii="宋体" w:hAnsi="宋体" w:cs="宋体"/>
          <w:szCs w:val="21"/>
        </w:rPr>
        <w:t>（4）本基金持有的全部资产支持证券，其市值不得超过基金资产净值的20%；</w:t>
      </w:r>
    </w:p>
    <w:p w:rsidR="004B0A92" w14:paraId="4F0A557C" w14:textId="77777777">
      <w:pPr>
        <w:spacing w:line="360" w:lineRule="auto"/>
        <w:ind w:firstLine="420"/>
      </w:pPr>
      <w:r>
        <w:rPr>
          <w:rFonts w:ascii="宋体" w:hAnsi="宋体" w:cs="宋体"/>
          <w:szCs w:val="21"/>
        </w:rPr>
        <w:t>（5）本基金持有的同一(指同一信用级别)资产支持证券的比例，不得超过该资产支持证券规模的10%；</w:t>
      </w:r>
    </w:p>
    <w:p w:rsidR="004B0A92" w14:paraId="5A7E59ED" w14:textId="77777777">
      <w:pPr>
        <w:spacing w:line="360" w:lineRule="auto"/>
        <w:ind w:firstLine="420"/>
      </w:pPr>
      <w:r>
        <w:rPr>
          <w:rFonts w:ascii="宋体" w:hAnsi="宋体" w:cs="宋体"/>
          <w:szCs w:val="21"/>
        </w:rPr>
        <w:t>（6）本基金管理人管理的全部基金投资于同一原始权益人的各类资产支持证券，不得超过其各类资产支持证券合计规模的10%；</w:t>
      </w:r>
    </w:p>
    <w:p w:rsidR="004B0A92" w14:paraId="3C4CB7CF" w14:textId="77777777">
      <w:pPr>
        <w:spacing w:line="360" w:lineRule="auto"/>
        <w:ind w:firstLine="420"/>
      </w:pPr>
      <w:r>
        <w:rPr>
          <w:rFonts w:ascii="宋体" w:hAnsi="宋体" w:cs="宋体"/>
          <w:szCs w:val="21"/>
        </w:rPr>
        <w:t>（7）本基金应投资于信用级别评级为BBB以上(含BBB)的资产支持证券。基金持有资产支持证券期间，如果其信用等级下降、不再符合投资标准，应在评级报告发布之日起3个月内予以全部卖出；</w:t>
      </w:r>
    </w:p>
    <w:p w:rsidR="004B0A92" w14:paraId="66344A73" w14:textId="77777777">
      <w:pPr>
        <w:spacing w:line="360" w:lineRule="auto"/>
        <w:ind w:firstLine="420"/>
      </w:pPr>
      <w:r>
        <w:rPr>
          <w:rFonts w:ascii="宋体" w:hAnsi="宋体" w:cs="宋体"/>
          <w:szCs w:val="21"/>
        </w:rPr>
        <w:t>（8）基金财产参与股票发行申购，本基金所申报的金额不超过本基金的总资产，本基金所申报的股票数量不超过拟发行股票公司本次发行股票的总量；</w:t>
      </w:r>
    </w:p>
    <w:p w:rsidR="004B0A92" w14:paraId="7F191E33" w14:textId="77777777">
      <w:pPr>
        <w:spacing w:line="360" w:lineRule="auto"/>
        <w:ind w:firstLine="420"/>
      </w:pPr>
      <w:r>
        <w:rPr>
          <w:rFonts w:ascii="宋体" w:hAnsi="宋体" w:cs="宋体"/>
          <w:szCs w:val="21"/>
        </w:rPr>
        <w:t>（9）本基金参与股指期货交易的，应当符合下列要求：在任何交易日日终，持有的买入股指期货合约价值，不得超过基金资产净值的10%；在任何交易日日终，持有的买入国债期货和股指期货合约价值与有价证券市值之和，不得超过基金资产净值的100%，其中，有价证券指目标ETF、股票、债券（不含到期日在一年以内的政府债券）、资产支持证券、买入返售金融资产（不含质押式回购）等；在任何交易日日终，持有的卖出股指期货合约价值不得超过基金持有的股票及目标ETF总市值的20%；持有的股票市值和买入、卖出股指期货合约价值，合计（轧差计算）应当符合基金合同关于股票投资比例的有关约定；在任何交易日内交易（不包括平仓）的股指期货合约的成交金额不得超过上一交易日基金资产净值的20%；每个交易日日终，扣除股指期货、国债期货合约需缴纳的交易保证金后，保持不低于基金资产净值5%的现金或者到期日在一年以内的政府债券，其中现金不包括结算备付金、存出保证金和应收申购款等；</w:t>
      </w:r>
    </w:p>
    <w:p w:rsidR="004B0A92" w14:paraId="01A89779" w14:textId="77777777">
      <w:pPr>
        <w:spacing w:line="360" w:lineRule="auto"/>
        <w:ind w:firstLine="420"/>
      </w:pPr>
      <w:r>
        <w:rPr>
          <w:rFonts w:ascii="宋体" w:hAnsi="宋体" w:cs="宋体"/>
          <w:szCs w:val="21"/>
        </w:rPr>
        <w:t>（10）本基金参与国债期货交易的，应当符合下列要求：在任何交易日日终，本基金持有的买入国债期货合约价值，不得超过基金资产净值的15%；本基金在任何交易日日终，持有的卖出国债期货合约价值不得超过基金持有的债券总市值的30%；本基金在任何交易日内交易（不包括平仓）的国债期货合约的成交金额不得超过上一交易日基金资产净值的30%；本基金所持有的债券（不含到期日在一年以内的政府债券）市值和买入、卖出国债期货合约价值，合计（轧差计算）应当符合基金合同关于债券投资比例的有关约定；</w:t>
      </w:r>
    </w:p>
    <w:p w:rsidR="004B0A92" w14:paraId="3BC7A3B2" w14:textId="77777777">
      <w:pPr>
        <w:spacing w:line="360" w:lineRule="auto"/>
        <w:ind w:firstLine="420"/>
      </w:pPr>
      <w:r>
        <w:rPr>
          <w:rFonts w:ascii="宋体" w:hAnsi="宋体" w:cs="宋体"/>
          <w:szCs w:val="21"/>
        </w:rPr>
        <w:t>（11）本基金参与股票期权交易的，应当符合下列要求：基金因未平仓的期权合约支付和收取的权利金总额不得超过基金资产净值的10%；开仓卖出认购期权的，应持有足额标的证券；开仓卖出认沽期权的，应持有合约行权所需的全额现金或交易所规则认可的可冲抵期权保证金的现金等价物；未平仓的期权合约面值不得超过基金资产净值的20%。其中，合约面值按照行权价乘以合约乘数计算；</w:t>
      </w:r>
    </w:p>
    <w:p w:rsidR="004B0A92" w14:paraId="74DFB9FB" w14:textId="77777777">
      <w:pPr>
        <w:spacing w:line="360" w:lineRule="auto"/>
        <w:ind w:firstLine="420"/>
      </w:pPr>
      <w:r>
        <w:rPr>
          <w:rFonts w:ascii="宋体" w:hAnsi="宋体" w:cs="宋体"/>
          <w:szCs w:val="21"/>
        </w:rPr>
        <w:t>（12）基金参与融资业务后，在任何交易日日终，持有的融资买入股票与其他有价证券市值之和，不得超过基金资产净值的95%；</w:t>
      </w:r>
    </w:p>
    <w:p w:rsidR="004B0A92" w14:paraId="45EEC114" w14:textId="77777777">
      <w:pPr>
        <w:spacing w:line="360" w:lineRule="auto"/>
        <w:ind w:firstLine="420"/>
      </w:pPr>
      <w:r>
        <w:rPr>
          <w:rFonts w:ascii="宋体" w:hAnsi="宋体" w:cs="宋体"/>
          <w:szCs w:val="21"/>
        </w:rPr>
        <w:t>（13）本基金参与转融通证券出借业务的，应当符合下列要求：出借证券资产不得超过基金资产净值的30%，出借期限在10个交易日以上的出借证券应纳入《流动性风险管理规定》所述流动性受限证券的范围；参与出借业务的单只证券不得超过基金持有该证券总量的50%；最近6个月内日均基金资产净值不得低于2</w:t>
      </w:r>
      <w:r>
        <w:rPr>
          <w:rFonts w:ascii="宋体" w:hAnsi="宋体" w:cs="宋体"/>
          <w:szCs w:val="21"/>
        </w:rPr>
        <w:t>亿元；证券出借的平均剩余期限不得超过30天，平均剩余期限按照市值加权平均计算；</w:t>
      </w:r>
    </w:p>
    <w:p w:rsidR="004B0A92" w14:paraId="7371EF82" w14:textId="77777777">
      <w:pPr>
        <w:spacing w:line="360" w:lineRule="auto"/>
        <w:ind w:firstLine="420"/>
      </w:pPr>
      <w:r>
        <w:rPr>
          <w:rFonts w:ascii="宋体" w:hAnsi="宋体" w:cs="宋体"/>
          <w:szCs w:val="21"/>
        </w:rPr>
        <w:t>（14）本基金主动投资于流动性受限资产的市值合计不得超过基金资产净值的15%；因证券市场波动、上市公司股票停牌、基金规模变动等基金管理人之外的因素致使基金不符合该比例限制的，基金管理人不得主动新增流动性受限资产的投资；</w:t>
      </w:r>
    </w:p>
    <w:p w:rsidR="004B0A92" w14:paraId="74FE46DC" w14:textId="77777777">
      <w:pPr>
        <w:spacing w:line="360" w:lineRule="auto"/>
        <w:ind w:firstLine="420"/>
      </w:pPr>
      <w:r>
        <w:rPr>
          <w:rFonts w:ascii="宋体" w:hAnsi="宋体" w:cs="宋体"/>
          <w:szCs w:val="21"/>
        </w:rPr>
        <w:t>（15）本基金与私募类证券资管产品及中国证监会认定的其他主体为交易对手开展逆回购交易的，可接受质押品的资质要求应当与基金合同约定的投资范围保持一致；</w:t>
      </w:r>
    </w:p>
    <w:p w:rsidR="004B0A92" w14:paraId="59F150D8" w14:textId="77777777">
      <w:pPr>
        <w:spacing w:line="360" w:lineRule="auto"/>
        <w:ind w:firstLine="420"/>
      </w:pPr>
      <w:r>
        <w:rPr>
          <w:rFonts w:ascii="宋体" w:hAnsi="宋体" w:cs="宋体"/>
          <w:szCs w:val="21"/>
        </w:rPr>
        <w:t>（16）本基金资产总值不超过基金资产净值的140%；</w:t>
      </w:r>
    </w:p>
    <w:p w:rsidR="004B0A92" w14:paraId="19B7501A" w14:textId="77777777">
      <w:pPr>
        <w:spacing w:line="360" w:lineRule="auto"/>
        <w:ind w:firstLine="420"/>
      </w:pPr>
      <w:r>
        <w:rPr>
          <w:rFonts w:ascii="宋体" w:hAnsi="宋体" w:cs="宋体"/>
          <w:szCs w:val="21"/>
        </w:rPr>
        <w:t>（17）本基金投资存托凭证的比例限制依照境内上市交易的股票执行，与境内上市交易的股票合并计算；</w:t>
      </w:r>
    </w:p>
    <w:p w:rsidR="004B0A92" w14:paraId="2888C2EC" w14:textId="77777777">
      <w:pPr>
        <w:spacing w:line="360" w:lineRule="auto"/>
        <w:ind w:firstLine="420"/>
      </w:pPr>
      <w:r>
        <w:rPr>
          <w:rFonts w:ascii="宋体" w:hAnsi="宋体" w:cs="宋体"/>
          <w:szCs w:val="21"/>
        </w:rPr>
        <w:t>（18）法律法规及中国证监会规定的和《基金合同》约定的其他投资限制。</w:t>
      </w:r>
    </w:p>
    <w:p w:rsidR="004B0A92" w14:paraId="21AAAA88" w14:textId="77777777">
      <w:pPr>
        <w:spacing w:line="360" w:lineRule="auto"/>
        <w:ind w:firstLine="420"/>
      </w:pPr>
      <w:r>
        <w:rPr>
          <w:rFonts w:ascii="宋体" w:hAnsi="宋体" w:cs="宋体"/>
          <w:szCs w:val="21"/>
        </w:rPr>
        <w:t>因证券/期货市场波动、证券发行人合并、基金规模变动、标的指数成份股调整、流动性限制、目标ETF暂停申购、赎回或二级市场交易停牌等基金管理人之外的因素致使基金投资比例不符合上述第（1）项规定投资比例的，基金管理人应当在20个交易日内进行调整；除上述（1）、（2）、（7）、（8）、（13）、（14）、（15）情形之外，因证券/期货市场波动、证券发行人合并、基金规模变动、标的指数成份股调整、流动性限制、目标ETF暂停申购、赎回或二级市场交易停牌等基金管理人之外的因素致使基金投资比例不符合上述规定投资比例的，基金管理人应当在10个交易日内进行调整，但中国证监会规定的特殊情形除外。因证券/期货市场波动、证券发行人合并、基金规模变动等基金管理人之外的因素致使基金投资不符合第（13）项规定的，基金管理人不得新增出借业务。法律法规或监管部门另有规定的，届时按最新规定执行。</w:t>
      </w:r>
    </w:p>
    <w:p w:rsidR="004B0A92" w14:paraId="2B5CF23B" w14:textId="77777777">
      <w:pPr>
        <w:spacing w:line="360" w:lineRule="auto"/>
        <w:ind w:firstLine="420"/>
      </w:pPr>
      <w:r>
        <w:rPr>
          <w:rFonts w:ascii="宋体" w:hAnsi="宋体" w:cs="宋体"/>
          <w:szCs w:val="21"/>
        </w:rPr>
        <w:t>基金管理人应当自基金合同生效之日起6个月内使基金的投资组合比例符合基金合同的有关约定。在上述期间内，本基金的投资范围、投资策略应当符合基金合同的约定。基金托管人对基金的投资的监督与检查自基金合同生效之日起开始。</w:t>
      </w:r>
    </w:p>
    <w:p w:rsidR="004B0A92" w14:paraId="27C59E92" w14:textId="77777777">
      <w:pPr>
        <w:spacing w:line="360" w:lineRule="auto"/>
        <w:ind w:firstLine="420"/>
        <w:rPr>
          <w:rFonts w:ascii="宋体" w:hAnsi="宋体" w:cs="宋体"/>
          <w:szCs w:val="21"/>
        </w:rPr>
      </w:pPr>
      <w:r>
        <w:rPr>
          <w:rFonts w:ascii="宋体" w:hAnsi="宋体" w:cs="宋体" w:hint="eastAsia"/>
          <w:szCs w:val="21"/>
        </w:rPr>
        <w:t>3.本基金财产不得用于以下投资或者活动：</w:t>
      </w:r>
    </w:p>
    <w:p w:rsidR="004B0A92" w14:paraId="63611869" w14:textId="77777777">
      <w:pPr>
        <w:spacing w:line="360" w:lineRule="auto"/>
        <w:ind w:firstLine="400"/>
        <w:rPr>
          <w:rFonts w:ascii="宋体" w:hAnsi="宋体" w:cs="宋体"/>
          <w:szCs w:val="21"/>
        </w:rPr>
      </w:pPr>
      <w:r>
        <w:rPr>
          <w:rFonts w:ascii="宋体" w:hAnsi="宋体" w:cs="宋体"/>
          <w:szCs w:val="21"/>
          <w:highlight w:val="white"/>
        </w:rPr>
        <w:t>（1）承销证券；</w:t>
      </w:r>
    </w:p>
    <w:p w:rsidR="004B0A92" w14:paraId="1EF25807" w14:textId="77777777">
      <w:pPr>
        <w:spacing w:line="360" w:lineRule="auto"/>
        <w:ind w:firstLine="400"/>
        <w:rPr>
          <w:rFonts w:ascii="宋体" w:hAnsi="宋体" w:cs="宋体"/>
          <w:szCs w:val="21"/>
        </w:rPr>
      </w:pPr>
      <w:r>
        <w:rPr>
          <w:rFonts w:ascii="宋体" w:hAnsi="宋体" w:cs="宋体"/>
          <w:szCs w:val="21"/>
          <w:highlight w:val="white"/>
        </w:rPr>
        <w:t>（2）违反规定向他人贷款或者提供担保；</w:t>
      </w:r>
    </w:p>
    <w:p w:rsidR="004B0A92" w14:paraId="5227BCE3" w14:textId="77777777">
      <w:pPr>
        <w:spacing w:line="360" w:lineRule="auto"/>
        <w:ind w:firstLine="400"/>
        <w:rPr>
          <w:rFonts w:ascii="宋体" w:hAnsi="宋体" w:cs="宋体"/>
          <w:szCs w:val="21"/>
        </w:rPr>
      </w:pPr>
      <w:r>
        <w:rPr>
          <w:rFonts w:ascii="宋体" w:hAnsi="宋体" w:cs="宋体"/>
          <w:szCs w:val="21"/>
          <w:highlight w:val="white"/>
        </w:rPr>
        <w:t>（3）从事承担无限责任的投资；</w:t>
      </w:r>
    </w:p>
    <w:p w:rsidR="004B0A92" w14:paraId="59864115" w14:textId="77777777">
      <w:pPr>
        <w:spacing w:line="360" w:lineRule="auto"/>
        <w:ind w:firstLine="400"/>
        <w:rPr>
          <w:rFonts w:ascii="宋体" w:hAnsi="宋体" w:cs="宋体"/>
          <w:szCs w:val="21"/>
        </w:rPr>
      </w:pPr>
      <w:r>
        <w:rPr>
          <w:rFonts w:ascii="宋体" w:hAnsi="宋体" w:cs="宋体"/>
          <w:szCs w:val="21"/>
          <w:highlight w:val="white"/>
        </w:rPr>
        <w:t>（4）向其基金管理人、基金托管人出资；</w:t>
      </w:r>
    </w:p>
    <w:p w:rsidR="004B0A92" w14:paraId="0E7B9CB2" w14:textId="77777777">
      <w:pPr>
        <w:spacing w:line="360" w:lineRule="auto"/>
        <w:ind w:firstLine="400"/>
        <w:rPr>
          <w:rFonts w:ascii="宋体" w:hAnsi="宋体" w:cs="宋体"/>
          <w:szCs w:val="21"/>
        </w:rPr>
      </w:pPr>
      <w:r>
        <w:rPr>
          <w:rFonts w:ascii="宋体" w:hAnsi="宋体" w:cs="宋体"/>
          <w:szCs w:val="21"/>
          <w:highlight w:val="white"/>
        </w:rPr>
        <w:t>（5）从事内幕交易、操纵证券交易价格及其他不正当的证券交易活动；</w:t>
      </w:r>
    </w:p>
    <w:p w:rsidR="004B0A92" w14:paraId="373718E1" w14:textId="77777777">
      <w:pPr>
        <w:spacing w:line="360" w:lineRule="auto"/>
        <w:ind w:firstLine="400"/>
        <w:rPr>
          <w:rFonts w:ascii="宋体" w:hAnsi="宋体" w:cs="宋体"/>
          <w:szCs w:val="21"/>
        </w:rPr>
      </w:pPr>
      <w:r>
        <w:rPr>
          <w:rFonts w:ascii="宋体" w:hAnsi="宋体" w:cs="宋体"/>
          <w:szCs w:val="21"/>
          <w:highlight w:val="white"/>
        </w:rPr>
        <w:t>（6）法律、行政法规和中国证监会规定禁止的其他活动。</w:t>
      </w:r>
    </w:p>
    <w:p w:rsidR="004B0A92" w14:paraId="57C23CC3" w14:textId="77777777">
      <w:pPr>
        <w:spacing w:line="360" w:lineRule="auto"/>
        <w:ind w:firstLine="420"/>
        <w:rPr>
          <w:rFonts w:ascii="宋体" w:hAnsi="宋体" w:cs="宋体"/>
          <w:szCs w:val="21"/>
        </w:rPr>
      </w:pPr>
      <w:r>
        <w:rPr>
          <w:rFonts w:ascii="宋体" w:hAnsi="宋体" w:cs="宋体" w:hint="eastAsia"/>
          <w:szCs w:val="21"/>
        </w:rPr>
        <w:t>4.</w:t>
      </w:r>
      <w:r>
        <w:rPr>
          <w:rFonts w:ascii="宋体" w:hAnsi="宋体" w:cs="宋体" w:hint="eastAsia"/>
          <w:szCs w:val="21"/>
          <w:highlight w:val="white"/>
        </w:rPr>
        <w:t>基金管理人运用基金财产买卖基金管理人、基金托管人及其控股股东、实际控制人或者与其有重大利害关系的公司发行的证券或者承销期内承销的证券，或者从事其他重大关联交易的，应当符合基金的投资目标和投资策略，遵循基金份额持有人利益优先原则，防范利益冲突，建立健全内部审批机制和评估机制，按照市场公平合理价格执行。相关交易必须事先得到基金托管人的同意，并按法律法规予以披露。重大关联交易应提交基金管理人董事会审议，并经过三分之二以上的独立董事通过。基金管理人董事会应至少每半年对关联交易事项进行审查。</w:t>
      </w:r>
    </w:p>
    <w:p w:rsidR="004B0A92" w14:paraId="51A1FA8D" w14:textId="77777777">
      <w:pPr>
        <w:spacing w:line="360" w:lineRule="auto"/>
        <w:ind w:firstLine="420"/>
        <w:rPr>
          <w:rFonts w:ascii="宋体" w:hAnsi="宋体" w:cs="宋体"/>
          <w:szCs w:val="21"/>
        </w:rPr>
      </w:pPr>
      <w:r>
        <w:rPr>
          <w:rFonts w:ascii="宋体" w:hAnsi="宋体" w:cs="宋体" w:hint="eastAsia"/>
          <w:szCs w:val="21"/>
        </w:rPr>
        <w:t>5.</w:t>
      </w:r>
      <w:r>
        <w:rPr>
          <w:rFonts w:ascii="宋体" w:hAnsi="宋体" w:cs="宋体" w:hint="eastAsia"/>
          <w:szCs w:val="21"/>
          <w:highlight w:val="white"/>
        </w:rPr>
        <w:t>法律法规或监管部门取消上述组合限制、禁止行为规定或从事关联交易的条件和要求，本基金可不受相关限制。法律法规或监管部门对上述组合限制、禁止行为规定或从事关联交易的条件和要求进行变更的，本基金可以变更后的规定为准。经与基金托管人协商一致，基金管理人</w:t>
      </w:r>
      <w:r>
        <w:rPr>
          <w:rFonts w:ascii="宋体" w:hAnsi="宋体" w:cs="宋体" w:hint="eastAsia"/>
          <w:szCs w:val="21"/>
        </w:rPr>
        <w:t>履行适当程序后</w:t>
      </w:r>
      <w:r>
        <w:rPr>
          <w:rFonts w:ascii="宋体" w:hAnsi="宋体" w:cs="宋体" w:hint="eastAsia"/>
          <w:szCs w:val="21"/>
          <w:highlight w:val="white"/>
        </w:rPr>
        <w:t>可依据法律法规或监管部门规定</w:t>
      </w:r>
      <w:r>
        <w:rPr>
          <w:rFonts w:ascii="宋体" w:hAnsi="宋体" w:cs="宋体" w:hint="eastAsia"/>
          <w:szCs w:val="21"/>
          <w:highlight w:val="white"/>
        </w:rPr>
        <w:t>对基金合同进行变更</w:t>
      </w:r>
      <w:r>
        <w:rPr>
          <w:rFonts w:ascii="宋体" w:hAnsi="宋体" w:cs="宋体" w:hint="eastAsia"/>
          <w:szCs w:val="21"/>
          <w:highlight w:val="white"/>
        </w:rPr>
        <w:t>。</w:t>
      </w:r>
    </w:p>
    <w:p w:rsidR="004B0A92" w14:paraId="4E15DAC6" w14:textId="77777777">
      <w:pPr>
        <w:spacing w:line="360" w:lineRule="auto"/>
        <w:ind w:firstLine="420"/>
        <w:rPr>
          <w:rFonts w:ascii="宋体" w:hAnsi="宋体" w:cs="宋体"/>
          <w:szCs w:val="21"/>
        </w:rPr>
      </w:pPr>
      <w:r>
        <w:rPr>
          <w:rFonts w:ascii="宋体" w:hAnsi="宋体" w:cs="宋体" w:hint="eastAsia"/>
          <w:szCs w:val="21"/>
        </w:rPr>
        <w:t>（二）基金托管人根据有关法律法规的规定及《基金合同》的约定，对基金管理人选择存款银行进行监督。基金投资银行定期存款的，基金管理人应根据法律法规的规定及《基金合同》的约定，确定符合条件的所有存款银行的名单，并及时提供给基金托管人，基金托管人应据以对基金投资银行存款的交易对手是否符合有关规定进行监督。对于不符合规定的银行存款，基金托管人可以拒绝执行，并通知基金管理人。</w:t>
      </w:r>
    </w:p>
    <w:p w:rsidR="004B0A92" w14:paraId="3776B8D2" w14:textId="77777777">
      <w:pPr>
        <w:spacing w:line="360" w:lineRule="auto"/>
        <w:ind w:firstLine="420"/>
        <w:rPr>
          <w:rFonts w:ascii="宋体" w:hAnsi="宋体" w:cs="宋体"/>
          <w:szCs w:val="21"/>
        </w:rPr>
      </w:pPr>
      <w:r>
        <w:rPr>
          <w:rFonts w:ascii="宋体" w:hAnsi="宋体" w:cs="宋体" w:hint="eastAsia"/>
          <w:szCs w:val="21"/>
        </w:rPr>
        <w:t>本基金投资银行存款应符合如下规定：</w:t>
      </w:r>
    </w:p>
    <w:p w:rsidR="004B0A92" w14:paraId="609D106D" w14:textId="77777777">
      <w:pPr>
        <w:spacing w:line="360" w:lineRule="auto"/>
        <w:ind w:firstLine="420"/>
        <w:rPr>
          <w:rFonts w:ascii="宋体" w:hAnsi="宋体" w:cs="宋体"/>
        </w:rPr>
      </w:pPr>
      <w:r>
        <w:rPr>
          <w:rFonts w:ascii="宋体" w:hAnsi="宋体" w:cs="宋体" w:hint="eastAsia"/>
          <w:szCs w:val="21"/>
        </w:rPr>
        <w:t>1.</w:t>
      </w:r>
      <w:r>
        <w:rPr>
          <w:rFonts w:ascii="宋体" w:hAnsi="宋体" w:cs="宋体"/>
        </w:rPr>
        <w:t>本基金投资</w:t>
      </w:r>
      <w:r>
        <w:rPr>
          <w:rFonts w:ascii="宋体" w:hAnsi="宋体" w:cs="宋体" w:hint="eastAsia"/>
        </w:rPr>
        <w:t>于有固定期限银行存款</w:t>
      </w:r>
      <w:r>
        <w:rPr>
          <w:rFonts w:ascii="宋体" w:hAnsi="宋体" w:cs="宋体"/>
        </w:rPr>
        <w:t>的比例不得超过基金资产净值的30%，</w:t>
      </w:r>
      <w:r>
        <w:rPr>
          <w:rFonts w:ascii="宋体" w:hAnsi="宋体" w:cs="宋体" w:hint="eastAsia"/>
        </w:rPr>
        <w:t>但投资于有存款期限，</w:t>
      </w:r>
      <w:r>
        <w:rPr>
          <w:rFonts w:ascii="宋体" w:hAnsi="宋体" w:cs="宋体"/>
        </w:rPr>
        <w:t>根据协议可提前支取的银行存款，不受</w:t>
      </w:r>
      <w:r>
        <w:rPr>
          <w:rFonts w:ascii="宋体" w:hAnsi="宋体" w:cs="宋体" w:hint="eastAsia"/>
        </w:rPr>
        <w:t>上述比例</w:t>
      </w:r>
      <w:r>
        <w:rPr>
          <w:rFonts w:ascii="宋体" w:hAnsi="宋体" w:cs="宋体"/>
        </w:rPr>
        <w:t>限制；</w:t>
      </w:r>
      <w:r>
        <w:rPr>
          <w:rFonts w:ascii="宋体" w:hAnsi="宋体" w:cs="宋体" w:hint="eastAsia"/>
        </w:rPr>
        <w:t>投资于</w:t>
      </w:r>
      <w:r>
        <w:rPr>
          <w:rFonts w:ascii="宋体" w:hAnsi="宋体" w:cs="宋体"/>
        </w:rPr>
        <w:t>具有基金托管</w:t>
      </w:r>
      <w:r>
        <w:rPr>
          <w:rFonts w:ascii="宋体" w:hAnsi="宋体" w:cs="宋体" w:hint="eastAsia"/>
        </w:rPr>
        <w:t>人</w:t>
      </w:r>
      <w:r>
        <w:rPr>
          <w:rFonts w:ascii="宋体" w:hAnsi="宋体" w:cs="宋体"/>
        </w:rPr>
        <w:t>资格的同一</w:t>
      </w:r>
      <w:r>
        <w:rPr>
          <w:rFonts w:ascii="宋体" w:hAnsi="宋体" w:cs="宋体" w:hint="eastAsia"/>
        </w:rPr>
        <w:t>商业</w:t>
      </w:r>
      <w:r>
        <w:rPr>
          <w:rFonts w:ascii="宋体" w:hAnsi="宋体" w:cs="宋体"/>
        </w:rPr>
        <w:t>银行</w:t>
      </w:r>
      <w:r>
        <w:rPr>
          <w:rFonts w:ascii="宋体" w:hAnsi="宋体" w:cs="宋体" w:hint="eastAsia"/>
        </w:rPr>
        <w:t>的银行</w:t>
      </w:r>
      <w:r>
        <w:rPr>
          <w:rFonts w:ascii="宋体" w:hAnsi="宋体" w:cs="宋体"/>
        </w:rPr>
        <w:t>存款</w:t>
      </w:r>
      <w:r>
        <w:rPr>
          <w:rFonts w:ascii="宋体" w:hAnsi="宋体" w:cs="宋体" w:hint="eastAsia"/>
        </w:rPr>
        <w:t>、同业存单占基金资产净值的比例合计</w:t>
      </w:r>
      <w:r>
        <w:rPr>
          <w:rFonts w:ascii="宋体" w:hAnsi="宋体" w:cs="宋体"/>
        </w:rPr>
        <w:t>不得超过20%；</w:t>
      </w:r>
      <w:r>
        <w:rPr>
          <w:rFonts w:ascii="宋体" w:hAnsi="宋体" w:cs="宋体" w:hint="eastAsia"/>
        </w:rPr>
        <w:t>投资于</w:t>
      </w:r>
      <w:r>
        <w:rPr>
          <w:rFonts w:ascii="宋体" w:hAnsi="宋体" w:cs="宋体"/>
        </w:rPr>
        <w:t>不具有基金托管</w:t>
      </w:r>
      <w:r>
        <w:rPr>
          <w:rFonts w:ascii="宋体" w:hAnsi="宋体" w:cs="宋体" w:hint="eastAsia"/>
        </w:rPr>
        <w:t>人</w:t>
      </w:r>
      <w:r>
        <w:rPr>
          <w:rFonts w:ascii="宋体" w:hAnsi="宋体" w:cs="宋体"/>
        </w:rPr>
        <w:t>资格的同一商业银行的</w:t>
      </w:r>
      <w:r>
        <w:rPr>
          <w:rFonts w:ascii="宋体" w:hAnsi="宋体" w:cs="宋体" w:hint="eastAsia"/>
        </w:rPr>
        <w:t>银行</w:t>
      </w:r>
      <w:r>
        <w:rPr>
          <w:rFonts w:ascii="宋体" w:hAnsi="宋体" w:cs="宋体"/>
        </w:rPr>
        <w:t>存款</w:t>
      </w:r>
      <w:r>
        <w:rPr>
          <w:rFonts w:ascii="宋体" w:hAnsi="宋体" w:cs="宋体" w:hint="eastAsia"/>
        </w:rPr>
        <w:t>、同业存单占基金资产净值的比例合计</w:t>
      </w:r>
      <w:r>
        <w:rPr>
          <w:rFonts w:ascii="宋体" w:hAnsi="宋体" w:cs="宋体"/>
        </w:rPr>
        <w:t>不得超过5%。</w:t>
      </w:r>
    </w:p>
    <w:p w:rsidR="004B0A92" w14:paraId="048C1206" w14:textId="77777777">
      <w:pPr>
        <w:spacing w:line="360" w:lineRule="auto"/>
        <w:ind w:firstLine="420"/>
        <w:rPr>
          <w:rFonts w:ascii="宋体" w:hAnsi="宋体" w:cs="宋体"/>
          <w:szCs w:val="21"/>
        </w:rPr>
      </w:pPr>
      <w:r>
        <w:rPr>
          <w:rFonts w:ascii="宋体" w:hAnsi="宋体" w:cs="宋体" w:hint="eastAsia"/>
          <w:szCs w:val="21"/>
        </w:rPr>
        <w:t>有关法律法规或监管部门制定或修改新的定期存款投资政策，基金管理人可相应调整投资组合限制的规定。</w:t>
      </w:r>
    </w:p>
    <w:p w:rsidR="004B0A92" w14:paraId="0C9C1D4A" w14:textId="77777777">
      <w:pPr>
        <w:spacing w:line="360" w:lineRule="auto"/>
        <w:ind w:firstLine="420"/>
        <w:rPr>
          <w:rFonts w:ascii="宋体" w:hAnsi="宋体" w:cs="宋体"/>
          <w:szCs w:val="21"/>
        </w:rPr>
      </w:pPr>
      <w:r>
        <w:rPr>
          <w:rFonts w:ascii="宋体" w:hAnsi="宋体" w:cs="宋体" w:hint="eastAsia"/>
          <w:szCs w:val="21"/>
        </w:rPr>
        <w:t>2</w:t>
      </w:r>
      <w:r>
        <w:rPr>
          <w:rFonts w:ascii="宋体" w:hAnsi="宋体" w:cs="宋体"/>
          <w:szCs w:val="21"/>
        </w:rPr>
        <w:t>.</w:t>
      </w:r>
      <w:r>
        <w:rPr>
          <w:rFonts w:ascii="宋体" w:hAnsi="宋体" w:cs="宋体" w:hint="eastAsia"/>
          <w:szCs w:val="21"/>
        </w:rPr>
        <w:t>基金管理人负责对本基金存款银行的评估与研究，建立健全银行存款的业务流程、岗位职责、风险控制措施和监察稽核制度，切实防范有关风险。基金托管人负责对本基金银行定期存款业务的监督与核查，审查、复核相关协议、账户资料、投资指令、存款证实书等有关文件，切实履行托管职责。</w:t>
      </w:r>
    </w:p>
    <w:p w:rsidR="004B0A92" w14:paraId="5C1C60B2" w14:textId="77777777">
      <w:pPr>
        <w:spacing w:line="360" w:lineRule="auto"/>
        <w:ind w:firstLine="420"/>
        <w:rPr>
          <w:rFonts w:ascii="宋体" w:hAnsi="宋体" w:cs="宋体"/>
          <w:szCs w:val="21"/>
        </w:rPr>
      </w:pPr>
      <w:r>
        <w:rPr>
          <w:rFonts w:ascii="宋体" w:hAnsi="宋体" w:cs="宋体" w:hint="eastAsia"/>
          <w:szCs w:val="21"/>
        </w:rPr>
        <w:t>（</w:t>
      </w:r>
      <w:r>
        <w:rPr>
          <w:rFonts w:ascii="宋体" w:hAnsi="宋体" w:cs="宋体"/>
          <w:szCs w:val="21"/>
        </w:rPr>
        <w:t>1</w:t>
      </w:r>
      <w:r>
        <w:rPr>
          <w:rFonts w:ascii="宋体" w:hAnsi="宋体" w:cs="宋体" w:hint="eastAsia"/>
          <w:szCs w:val="21"/>
        </w:rPr>
        <w:t>）基金管理人负责控制信用风险。信用风险主要包括存款银行的信用等级、存款银行的支付能力等涉及到存款银行选择方面的风险。因选择存款银行不当造成基金财产损失的，由基金管理人承担责任。</w:t>
      </w:r>
    </w:p>
    <w:p w:rsidR="004B0A92" w14:paraId="47B66B13" w14:textId="77777777">
      <w:pPr>
        <w:spacing w:line="360" w:lineRule="auto"/>
        <w:ind w:firstLine="420"/>
        <w:rPr>
          <w:rFonts w:ascii="宋体" w:hAnsi="宋体" w:cs="宋体"/>
          <w:szCs w:val="21"/>
        </w:rPr>
      </w:pPr>
      <w:r>
        <w:rPr>
          <w:rFonts w:ascii="宋体" w:hAnsi="宋体" w:cs="宋体" w:hint="eastAsia"/>
          <w:szCs w:val="21"/>
        </w:rPr>
        <w:t>（</w:t>
      </w:r>
      <w:r>
        <w:rPr>
          <w:rFonts w:ascii="宋体" w:hAnsi="宋体" w:cs="宋体"/>
          <w:szCs w:val="21"/>
        </w:rPr>
        <w:t>2</w:t>
      </w:r>
      <w:r>
        <w:rPr>
          <w:rFonts w:ascii="宋体" w:hAnsi="宋体" w:cs="宋体" w:hint="eastAsia"/>
          <w:szCs w:val="21"/>
        </w:rPr>
        <w:t>）基金管理人负责控制流动性风险，并承担因控制不力而造成的损失。流动性风险主要包括基金管理人要求全部提前支取、部分提前支取或到期支取而存款银行未能及时兑付的风险、基金投资银行存款不能满足基金正常结算业务的风险、因全部提前支取或部分提前支取而涉及的利息损失影响估值等涉及到基金流动性方面的风险。</w:t>
      </w:r>
    </w:p>
    <w:p w:rsidR="004B0A92" w14:paraId="3C368CA6" w14:textId="77777777">
      <w:pPr>
        <w:spacing w:line="360" w:lineRule="auto"/>
        <w:ind w:firstLine="420"/>
        <w:rPr>
          <w:rFonts w:ascii="宋体" w:hAnsi="宋体" w:cs="宋体"/>
          <w:szCs w:val="21"/>
        </w:rPr>
      </w:pPr>
      <w:r>
        <w:rPr>
          <w:rFonts w:ascii="宋体" w:hAnsi="宋体" w:cs="宋体" w:hint="eastAsia"/>
          <w:szCs w:val="21"/>
        </w:rPr>
        <w:t>（</w:t>
      </w:r>
      <w:r>
        <w:rPr>
          <w:rFonts w:ascii="宋体" w:hAnsi="宋体" w:cs="宋体"/>
          <w:szCs w:val="21"/>
        </w:rPr>
        <w:t>3</w:t>
      </w:r>
      <w:r>
        <w:rPr>
          <w:rFonts w:ascii="宋体" w:hAnsi="宋体" w:cs="宋体" w:hint="eastAsia"/>
          <w:szCs w:val="21"/>
        </w:rPr>
        <w:t>）基金管理人须加强内部风险控制制度的建设。如因基金管理人员工职务行为导致基金财产受到损失的，需由基金管理人承担由此造成的损失。</w:t>
      </w:r>
    </w:p>
    <w:p w:rsidR="004B0A92" w14:paraId="13BE807E" w14:textId="77777777">
      <w:pPr>
        <w:spacing w:line="360" w:lineRule="auto"/>
        <w:ind w:firstLine="420"/>
        <w:rPr>
          <w:rFonts w:ascii="宋体" w:hAnsi="宋体" w:cs="宋体"/>
          <w:szCs w:val="21"/>
        </w:rPr>
      </w:pPr>
      <w:r>
        <w:rPr>
          <w:rFonts w:ascii="宋体" w:hAnsi="宋体" w:cs="宋体" w:hint="eastAsia"/>
          <w:szCs w:val="21"/>
        </w:rPr>
        <w:t>（4）基金管理人与基金托管人在开展基金存款业务时，应严格遵守《基金法》、《运作办法》等有关法律法规，以及国家有关账户管理、利率管理、支付结算等的各项规定。</w:t>
      </w:r>
    </w:p>
    <w:p w:rsidR="004B0A92" w14:paraId="0E54207E" w14:textId="77777777">
      <w:pPr>
        <w:spacing w:line="360" w:lineRule="auto"/>
        <w:ind w:firstLine="420"/>
        <w:rPr>
          <w:rFonts w:ascii="宋体" w:hAnsi="宋体" w:cs="宋体"/>
          <w:szCs w:val="21"/>
        </w:rPr>
      </w:pPr>
      <w:r>
        <w:rPr>
          <w:rFonts w:ascii="宋体" w:hAnsi="宋体" w:cs="宋体" w:hint="eastAsia"/>
          <w:szCs w:val="21"/>
        </w:rPr>
        <w:t>（三）基金投资银行存款协议的签订、账户开设与管理、投资指令与资金划付、账目核对、到期兑付、提前支取</w:t>
      </w:r>
    </w:p>
    <w:p w:rsidR="004B0A92" w14:paraId="4C6F3686" w14:textId="77777777">
      <w:pPr>
        <w:spacing w:line="360" w:lineRule="auto"/>
        <w:ind w:firstLine="420"/>
        <w:rPr>
          <w:rFonts w:ascii="宋体" w:hAnsi="宋体" w:cs="宋体"/>
          <w:szCs w:val="21"/>
        </w:rPr>
      </w:pPr>
      <w:r>
        <w:rPr>
          <w:rFonts w:ascii="宋体" w:hAnsi="宋体" w:cs="宋体" w:hint="eastAsia"/>
          <w:szCs w:val="21"/>
        </w:rPr>
        <w:t>1.基金投资银行存款协议的签订</w:t>
      </w:r>
    </w:p>
    <w:p w:rsidR="004B0A92" w14:paraId="618B87B9" w14:textId="77777777">
      <w:pPr>
        <w:spacing w:line="360" w:lineRule="auto"/>
        <w:ind w:firstLine="420"/>
        <w:rPr>
          <w:rFonts w:ascii="宋体" w:hAnsi="宋体" w:cs="宋体"/>
          <w:szCs w:val="21"/>
        </w:rPr>
      </w:pPr>
      <w:r>
        <w:rPr>
          <w:rFonts w:ascii="宋体" w:hAnsi="宋体" w:cs="宋体" w:hint="eastAsia"/>
          <w:szCs w:val="21"/>
        </w:rPr>
        <w:t>（1）基金管理人应与符合资格的存款银行总行或其授权分行签订《基金存款业务总体合作协议》（以下简称《总体合作协议》），确定《存款协议书》的格式范本。《总体合作协议》和《存款协议书》的格式范本由基金托管人与基金管理人共同商定。</w:t>
      </w:r>
    </w:p>
    <w:p w:rsidR="004B0A92" w14:paraId="40E2A444" w14:textId="77777777">
      <w:pPr>
        <w:spacing w:line="360" w:lineRule="auto"/>
        <w:ind w:firstLine="420"/>
        <w:rPr>
          <w:rFonts w:ascii="宋体" w:hAnsi="宋体" w:cs="宋体"/>
          <w:szCs w:val="21"/>
        </w:rPr>
      </w:pPr>
      <w:r>
        <w:rPr>
          <w:rFonts w:ascii="宋体" w:hAnsi="宋体" w:cs="宋体" w:hint="eastAsia"/>
          <w:szCs w:val="21"/>
        </w:rPr>
        <w:t>（2）基金托管人依据相关法规对《总体合作协议》和《存款协议书》的内容进行复核，审查存款银行资格等。</w:t>
      </w:r>
    </w:p>
    <w:p w:rsidR="004B0A92" w14:paraId="51C4994C" w14:textId="77777777">
      <w:pPr>
        <w:spacing w:line="360" w:lineRule="auto"/>
        <w:ind w:firstLine="420"/>
        <w:rPr>
          <w:rFonts w:ascii="宋体" w:hAnsi="宋体" w:cs="宋体"/>
          <w:szCs w:val="21"/>
        </w:rPr>
      </w:pPr>
      <w:r>
        <w:rPr>
          <w:rFonts w:ascii="宋体" w:hAnsi="宋体" w:cs="宋体" w:hint="eastAsia"/>
          <w:szCs w:val="21"/>
        </w:rPr>
        <w:t>（3）基金管理人应在《存款协议书》中明确存款证实书或其他有效存款凭证的办理方式、邮寄地址、联系人和联系电话，以及存款证实书或其他有效凭证在邮寄过程中遗失后，存款余额的确认及兑付办法等。</w:t>
      </w:r>
    </w:p>
    <w:p w:rsidR="004B0A92" w14:paraId="7E39D538" w14:textId="77777777">
      <w:pPr>
        <w:spacing w:line="360" w:lineRule="auto"/>
        <w:ind w:firstLine="420"/>
        <w:rPr>
          <w:rFonts w:ascii="宋体" w:hAnsi="宋体" w:cs="宋体"/>
          <w:szCs w:val="21"/>
        </w:rPr>
      </w:pPr>
      <w:r>
        <w:rPr>
          <w:rFonts w:ascii="宋体" w:hAnsi="宋体" w:cs="宋体" w:hint="eastAsia"/>
          <w:szCs w:val="21"/>
        </w:rPr>
        <w:t>（4）由存款银行指定的存放存款的分支机构（以下简称“存款分支机构</w:t>
      </w:r>
      <w:r>
        <w:rPr>
          <w:rFonts w:ascii="宋体" w:hAnsi="宋体" w:cs="宋体"/>
          <w:szCs w:val="21"/>
        </w:rPr>
        <w:t>”</w:t>
      </w:r>
      <w:r>
        <w:rPr>
          <w:rFonts w:ascii="宋体" w:hAnsi="宋体" w:cs="宋体" w:hint="eastAsia"/>
          <w:szCs w:val="21"/>
        </w:rPr>
        <w:t>）寄送或上门交付存款证实书或其他有效存款凭证的，基金托管人可向存款分支机构的上级行发出存款余额询证函，存款分支机构及其上级行应予配合。</w:t>
      </w:r>
    </w:p>
    <w:p w:rsidR="004B0A92" w14:paraId="0BB5B2AB" w14:textId="77777777">
      <w:pPr>
        <w:spacing w:line="360" w:lineRule="auto"/>
        <w:ind w:firstLine="420"/>
        <w:rPr>
          <w:rFonts w:ascii="宋体" w:hAnsi="宋体" w:cs="宋体"/>
          <w:szCs w:val="21"/>
        </w:rPr>
      </w:pPr>
      <w:r>
        <w:rPr>
          <w:rFonts w:ascii="宋体" w:hAnsi="宋体" w:cs="宋体" w:hint="eastAsia"/>
          <w:szCs w:val="21"/>
        </w:rPr>
        <w:t>（5）基金管理人应在《存款协议书》中规定，基金存放到期或提前兑付的资金应全部划转到指定的基金托管账户，并在《存款协议书》写明账户名称和账号，未划入指定账户的，由存款银行承担一切责任。</w:t>
      </w:r>
    </w:p>
    <w:p w:rsidR="004B0A92" w14:paraId="5493FE32" w14:textId="77777777">
      <w:pPr>
        <w:spacing w:line="360" w:lineRule="auto"/>
        <w:ind w:firstLine="420"/>
        <w:rPr>
          <w:rFonts w:ascii="宋体" w:hAnsi="宋体" w:cs="宋体"/>
          <w:szCs w:val="21"/>
        </w:rPr>
      </w:pPr>
      <w:r>
        <w:rPr>
          <w:rFonts w:ascii="宋体" w:hAnsi="宋体" w:cs="宋体" w:hint="eastAsia"/>
          <w:szCs w:val="21"/>
        </w:rPr>
        <w:t>（6）基金管理人应在《存款协议书》中规定，在存期内，如本基金银行账户、预留印鉴发生变更，基金管理人应及时书面通知存款行，书面通知应加盖基金托管人预留印鉴。存款分支机构应及时就变更事项向基金管理人、基金托管人出具正式书面确认书。变更通知的送达方式同开户手续。在存期内，存款分支机构和基金托管人的指定联系人变更，应及时加盖公章书面通知对方。</w:t>
      </w:r>
    </w:p>
    <w:p w:rsidR="004B0A92" w14:paraId="4C8BA738" w14:textId="77777777">
      <w:pPr>
        <w:spacing w:line="360" w:lineRule="auto"/>
        <w:ind w:firstLine="420"/>
        <w:rPr>
          <w:rFonts w:ascii="宋体" w:hAnsi="宋体" w:cs="宋体"/>
          <w:szCs w:val="21"/>
        </w:rPr>
      </w:pPr>
      <w:r>
        <w:rPr>
          <w:rFonts w:ascii="宋体" w:hAnsi="宋体" w:cs="宋体" w:hint="eastAsia"/>
          <w:szCs w:val="21"/>
        </w:rPr>
        <w:t>（7）基金管理人应在《存款协议书》中规定，因定期存款产生的存单不得被质押或以任何方式被抵押，不得用于转让和背书。</w:t>
      </w:r>
    </w:p>
    <w:p w:rsidR="004B0A92" w14:paraId="249AEE21" w14:textId="77777777">
      <w:pPr>
        <w:spacing w:line="360" w:lineRule="auto"/>
        <w:ind w:firstLine="420"/>
        <w:rPr>
          <w:rFonts w:ascii="宋体" w:hAnsi="宋体" w:cs="宋体"/>
          <w:szCs w:val="21"/>
        </w:rPr>
      </w:pPr>
      <w:r>
        <w:rPr>
          <w:rFonts w:ascii="宋体" w:hAnsi="宋体" w:cs="宋体" w:hint="eastAsia"/>
          <w:szCs w:val="21"/>
        </w:rPr>
        <w:t>2.基金投资银行存款时的账户开设与管理</w:t>
      </w:r>
    </w:p>
    <w:p w:rsidR="004B0A92" w14:paraId="66AE3935" w14:textId="77777777">
      <w:pPr>
        <w:spacing w:line="360" w:lineRule="auto"/>
        <w:ind w:firstLine="420"/>
        <w:rPr>
          <w:rFonts w:ascii="宋体" w:hAnsi="宋体" w:cs="宋体"/>
          <w:szCs w:val="21"/>
        </w:rPr>
      </w:pPr>
      <w:r>
        <w:rPr>
          <w:rFonts w:ascii="宋体" w:hAnsi="宋体" w:cs="宋体" w:hint="eastAsia"/>
          <w:szCs w:val="21"/>
        </w:rPr>
        <w:t>（1）基金投资于银行存款时，基金管理人应当依据基金管理人与存款银行签订的《总体合作协议》、《存款协议书》等，以基金的名义在存款银行总行或授权分行指定的分支机构开立银行账户。</w:t>
      </w:r>
    </w:p>
    <w:p w:rsidR="004B0A92" w14:paraId="44D5A28F" w14:textId="77777777">
      <w:pPr>
        <w:spacing w:line="360" w:lineRule="auto"/>
        <w:ind w:firstLine="420"/>
        <w:rPr>
          <w:rFonts w:ascii="宋体" w:hAnsi="宋体" w:cs="宋体"/>
          <w:szCs w:val="21"/>
        </w:rPr>
      </w:pPr>
      <w:r>
        <w:rPr>
          <w:rFonts w:ascii="宋体" w:hAnsi="宋体" w:cs="宋体" w:hint="eastAsia"/>
          <w:szCs w:val="21"/>
        </w:rPr>
        <w:t>（2）基金投资于银行存款时的预留印鉴由基金托管人保管和使用。</w:t>
      </w:r>
    </w:p>
    <w:p w:rsidR="004B0A92" w14:paraId="52CA2EE6" w14:textId="77777777">
      <w:pPr>
        <w:spacing w:line="360" w:lineRule="auto"/>
        <w:ind w:firstLine="420"/>
        <w:rPr>
          <w:rFonts w:ascii="宋体" w:hAnsi="宋体" w:cs="宋体"/>
          <w:szCs w:val="21"/>
        </w:rPr>
      </w:pPr>
      <w:r>
        <w:rPr>
          <w:rFonts w:ascii="宋体" w:hAnsi="宋体" w:cs="宋体" w:hint="eastAsia"/>
          <w:szCs w:val="21"/>
        </w:rPr>
        <w:t>3.存款凭证传递、账目核对及到期兑付</w:t>
      </w:r>
    </w:p>
    <w:p w:rsidR="004B0A92" w14:paraId="31761D6D" w14:textId="77777777">
      <w:pPr>
        <w:spacing w:line="360" w:lineRule="auto"/>
        <w:ind w:firstLine="420"/>
        <w:rPr>
          <w:rFonts w:ascii="宋体" w:hAnsi="宋体" w:cs="宋体"/>
          <w:szCs w:val="21"/>
        </w:rPr>
      </w:pPr>
      <w:r>
        <w:rPr>
          <w:rFonts w:ascii="宋体" w:hAnsi="宋体" w:cs="宋体" w:hint="eastAsia"/>
          <w:szCs w:val="21"/>
        </w:rPr>
        <w:t>（1）存款证实书等存款凭证传递</w:t>
      </w:r>
    </w:p>
    <w:p w:rsidR="004B0A92" w14:paraId="1B539958" w14:textId="77777777">
      <w:pPr>
        <w:spacing w:line="360" w:lineRule="auto"/>
        <w:ind w:firstLine="420"/>
        <w:rPr>
          <w:rFonts w:ascii="宋体" w:hAnsi="宋体" w:cs="宋体"/>
          <w:szCs w:val="21"/>
        </w:rPr>
      </w:pPr>
      <w:r>
        <w:rPr>
          <w:rFonts w:ascii="宋体" w:hAnsi="宋体" w:cs="宋体"/>
          <w:szCs w:val="21"/>
        </w:rPr>
        <w:t>存款资金只能存放于存款银行总行或者其授权分行指定的分支机构。基金管理人应在《存款协议书》中规定，存款银行分支机构应为基金开具存款证实书或其他有效存款凭证（下称“存款凭证”），该存款凭证为基金存款确认或到期提款的有效凭证，且对应每笔存款仅能开具唯一存款凭证。资金到账当日，由存款银行分支机构指定的会计主管传真一份存款凭证复印件并与基金托管人电话确认收妥后，将存款凭证原件通过快递寄送或上门交付至基金托管人指定联系人；若存款银行分支机构代为保管存款凭证的，由存款银行分支机构指定会计主管传真一份存款凭证复印件并与基金托管人电话确认收妥。</w:t>
      </w:r>
    </w:p>
    <w:p w:rsidR="004B0A92" w14:paraId="712E8807" w14:textId="77777777">
      <w:pPr>
        <w:spacing w:line="360" w:lineRule="auto"/>
        <w:ind w:firstLine="420"/>
        <w:rPr>
          <w:rFonts w:ascii="宋体" w:hAnsi="宋体" w:cs="宋体"/>
          <w:szCs w:val="21"/>
        </w:rPr>
      </w:pPr>
      <w:r>
        <w:rPr>
          <w:rFonts w:ascii="宋体" w:hAnsi="宋体" w:cs="宋体" w:hint="eastAsia"/>
          <w:szCs w:val="21"/>
        </w:rPr>
        <w:t>（2）存款凭证的遗失补办</w:t>
      </w:r>
    </w:p>
    <w:p w:rsidR="004B0A92" w14:paraId="21256430" w14:textId="77777777">
      <w:pPr>
        <w:spacing w:line="360" w:lineRule="auto"/>
        <w:ind w:firstLine="420"/>
        <w:rPr>
          <w:rFonts w:ascii="宋体" w:hAnsi="宋体" w:cs="宋体"/>
          <w:szCs w:val="21"/>
        </w:rPr>
      </w:pPr>
      <w:r>
        <w:rPr>
          <w:rFonts w:ascii="宋体" w:hAnsi="宋体" w:cs="宋体" w:hint="eastAsia"/>
          <w:szCs w:val="21"/>
        </w:rPr>
        <w:t>存款凭证在邮寄过程中遗失的，由基金管理人向存款银行提出补办申请，基金管理人应督促存款银行尽快补办存款凭证，并按以上（1）的方式快递或上门交付至基金托管人，原存款凭证自动作废。</w:t>
      </w:r>
    </w:p>
    <w:p w:rsidR="004B0A92" w14:paraId="328151CA" w14:textId="77777777">
      <w:pPr>
        <w:spacing w:line="360" w:lineRule="auto"/>
        <w:ind w:firstLine="420"/>
        <w:rPr>
          <w:rFonts w:ascii="宋体" w:hAnsi="宋体" w:cs="宋体"/>
          <w:szCs w:val="21"/>
        </w:rPr>
      </w:pPr>
      <w:r>
        <w:rPr>
          <w:rFonts w:ascii="宋体" w:hAnsi="宋体" w:cs="宋体" w:hint="eastAsia"/>
          <w:szCs w:val="21"/>
        </w:rPr>
        <w:t>（3）账目核对</w:t>
      </w:r>
    </w:p>
    <w:p w:rsidR="004B0A92" w14:paraId="262B8FBF" w14:textId="77777777">
      <w:pPr>
        <w:spacing w:line="360" w:lineRule="auto"/>
        <w:ind w:firstLine="420"/>
        <w:rPr>
          <w:rFonts w:ascii="宋体" w:hAnsi="宋体" w:cs="宋体"/>
          <w:szCs w:val="21"/>
        </w:rPr>
      </w:pPr>
      <w:r>
        <w:rPr>
          <w:rFonts w:ascii="宋体" w:hAnsi="宋体" w:cs="宋体" w:hint="eastAsia"/>
          <w:szCs w:val="21"/>
        </w:rPr>
        <w:t>每个工作日，基金管理人应与基金托管人核对各项银行存款投资余额及应计利息。</w:t>
      </w:r>
    </w:p>
    <w:p w:rsidR="004B0A92" w14:paraId="7036524C" w14:textId="77777777">
      <w:pPr>
        <w:spacing w:line="360" w:lineRule="auto"/>
        <w:ind w:firstLine="420"/>
        <w:rPr>
          <w:rFonts w:ascii="宋体" w:hAnsi="宋体" w:cs="宋体"/>
          <w:szCs w:val="21"/>
        </w:rPr>
      </w:pPr>
      <w:r>
        <w:rPr>
          <w:rFonts w:ascii="宋体" w:hAnsi="宋体" w:cs="宋体" w:hint="eastAsia"/>
          <w:szCs w:val="21"/>
        </w:rPr>
        <w:t>基金管理人应在《存款协议书》中规定，对于存期超过3个月的定期存款，基金托管人于每季度向存款银行发起查询查复，存款银行应按照人行查询查复的有关时限要求及时回复。基金管理人有责任督促存款银行及时回复查询查复。因存款银行未及时回复造成的资金被挪用、盗取的责任由存款银行承担。</w:t>
      </w:r>
    </w:p>
    <w:p w:rsidR="004B0A92" w14:paraId="6F002B7D" w14:textId="77777777">
      <w:pPr>
        <w:spacing w:line="360" w:lineRule="auto"/>
        <w:ind w:firstLine="420"/>
        <w:rPr>
          <w:rFonts w:ascii="宋体" w:hAnsi="宋体" w:cs="宋体"/>
          <w:szCs w:val="21"/>
        </w:rPr>
      </w:pPr>
      <w:r>
        <w:rPr>
          <w:rFonts w:ascii="宋体" w:hAnsi="宋体" w:cs="宋体" w:hint="eastAsia"/>
          <w:szCs w:val="21"/>
        </w:rPr>
        <w:t>存款银行应配合基金托管人对存款凭证的询证，并在询证函上加盖存款银行公章寄送至基金托管人指定联系人。</w:t>
      </w:r>
    </w:p>
    <w:p w:rsidR="004B0A92" w14:paraId="74913A3E" w14:textId="77777777">
      <w:pPr>
        <w:spacing w:line="360" w:lineRule="auto"/>
        <w:ind w:firstLine="420"/>
        <w:rPr>
          <w:rFonts w:ascii="宋体" w:hAnsi="宋体" w:cs="宋体"/>
          <w:szCs w:val="21"/>
        </w:rPr>
      </w:pPr>
      <w:r>
        <w:rPr>
          <w:rFonts w:ascii="宋体" w:hAnsi="宋体" w:cs="宋体" w:hint="eastAsia"/>
          <w:szCs w:val="21"/>
        </w:rPr>
        <w:t>（4）到期兑付</w:t>
      </w:r>
    </w:p>
    <w:p w:rsidR="004B0A92" w14:paraId="027442A8" w14:textId="77777777">
      <w:pPr>
        <w:spacing w:line="360" w:lineRule="auto"/>
        <w:ind w:firstLine="420"/>
        <w:rPr>
          <w:rFonts w:ascii="宋体" w:hAnsi="宋体" w:cs="宋体"/>
          <w:szCs w:val="21"/>
        </w:rPr>
      </w:pPr>
      <w:r>
        <w:rPr>
          <w:rFonts w:ascii="宋体" w:hAnsi="宋体" w:cs="宋体" w:hint="eastAsia"/>
          <w:szCs w:val="21"/>
        </w:rPr>
        <w:t>基金管理人提前通知基金托管人通过快递将存款凭证原件寄给存款银行分支机构指定的会计主管。存款银行未收到存款凭证原件的，应与基金托管人电话询问。存款到期前基金管理人与存款银行确认存款凭证收到并于到期日兑付存款本息事宜。</w:t>
      </w:r>
    </w:p>
    <w:p w:rsidR="004B0A92" w14:paraId="412DCA53" w14:textId="77777777">
      <w:pPr>
        <w:spacing w:line="360" w:lineRule="auto"/>
        <w:ind w:firstLine="420"/>
        <w:rPr>
          <w:rFonts w:ascii="宋体" w:hAnsi="宋体" w:cs="宋体"/>
          <w:szCs w:val="21"/>
        </w:rPr>
      </w:pPr>
      <w:r>
        <w:rPr>
          <w:rFonts w:ascii="宋体" w:hAnsi="宋体" w:cs="宋体" w:hint="eastAsia"/>
          <w:szCs w:val="21"/>
        </w:rPr>
        <w:t>基金托管人在存款到期日未收到存款本息或存款本息金额不符时，通知基金管理人与存款银行接洽存款到账时间及利息补付事宜。基金管理人应将接洽结果告知基金托管人，基金托管人收妥存款本息的当日通知基金管理人。</w:t>
      </w:r>
    </w:p>
    <w:p w:rsidR="004B0A92" w14:paraId="14B79AD7" w14:textId="77777777">
      <w:pPr>
        <w:spacing w:line="360" w:lineRule="auto"/>
        <w:ind w:firstLine="420"/>
        <w:rPr>
          <w:rFonts w:ascii="宋体" w:hAnsi="宋体" w:cs="宋体"/>
          <w:szCs w:val="21"/>
        </w:rPr>
      </w:pPr>
      <w:r>
        <w:rPr>
          <w:rFonts w:ascii="宋体" w:hAnsi="宋体" w:cs="宋体" w:hint="eastAsia"/>
          <w:szCs w:val="21"/>
        </w:rPr>
        <w:t>基金管理人应在《存款协议书》中规定，存款凭证在邮寄过程中遗失的，存款银行应立即通知基金托管人，基金托管人在原存款凭证复印件上加盖公章并出具相关证明文件后，与存款银行指定会计主管电话确认后，存款银行应在到期日将存款本息划至指定的基金资金账户。如果存款到期日为法定节假日，存款银行顺延至到期后第一个工作日支付，存款银行需按原协议约定利率和实际延期天数支付延期利息。</w:t>
      </w:r>
    </w:p>
    <w:p w:rsidR="004B0A92" w14:paraId="62BBD590" w14:textId="77777777">
      <w:pPr>
        <w:spacing w:line="360" w:lineRule="auto"/>
        <w:ind w:firstLine="420"/>
        <w:rPr>
          <w:rFonts w:ascii="宋体" w:hAnsi="宋体" w:cs="宋体"/>
          <w:szCs w:val="21"/>
        </w:rPr>
      </w:pPr>
      <w:r>
        <w:rPr>
          <w:rFonts w:ascii="宋体" w:hAnsi="宋体" w:cs="宋体" w:hint="eastAsia"/>
          <w:szCs w:val="21"/>
        </w:rPr>
        <w:t>4.提前支取</w:t>
      </w:r>
    </w:p>
    <w:p w:rsidR="004B0A92" w14:paraId="5AFCDCA3" w14:textId="77777777">
      <w:pPr>
        <w:spacing w:line="360" w:lineRule="auto"/>
        <w:ind w:firstLine="420"/>
        <w:rPr>
          <w:rFonts w:ascii="宋体" w:hAnsi="宋体" w:cs="宋体"/>
          <w:szCs w:val="21"/>
        </w:rPr>
      </w:pPr>
      <w:r>
        <w:rPr>
          <w:rFonts w:ascii="宋体" w:hAnsi="宋体" w:cs="宋体" w:hint="eastAsia"/>
          <w:szCs w:val="21"/>
        </w:rPr>
        <w:t>如果在存款期限内，由于基金规模发生缩减的原因或者出于流动性管理的需要等原因，基金管理人可以提前支取全部或部分资金。</w:t>
      </w:r>
    </w:p>
    <w:p w:rsidR="004B0A92" w14:paraId="31A94590" w14:textId="77777777">
      <w:pPr>
        <w:spacing w:line="360" w:lineRule="auto"/>
        <w:ind w:firstLine="420"/>
        <w:rPr>
          <w:rFonts w:ascii="宋体" w:hAnsi="宋体" w:cs="宋体"/>
          <w:szCs w:val="21"/>
        </w:rPr>
      </w:pPr>
      <w:r>
        <w:rPr>
          <w:rFonts w:ascii="宋体" w:hAnsi="宋体" w:cs="宋体" w:hint="eastAsia"/>
          <w:szCs w:val="21"/>
        </w:rPr>
        <w:t>提前支取的具体事项按照基金管理人与存款银行签订的《存款协议书》执行。</w:t>
      </w:r>
    </w:p>
    <w:p w:rsidR="004B0A92" w14:paraId="45DE71D0" w14:textId="77777777">
      <w:pPr>
        <w:spacing w:line="360" w:lineRule="auto"/>
        <w:ind w:firstLine="420"/>
        <w:rPr>
          <w:rFonts w:ascii="宋体" w:hAnsi="宋体" w:cs="宋体"/>
          <w:szCs w:val="21"/>
        </w:rPr>
      </w:pPr>
      <w:r>
        <w:rPr>
          <w:rFonts w:ascii="宋体" w:hAnsi="宋体" w:cs="宋体" w:hint="eastAsia"/>
          <w:szCs w:val="21"/>
        </w:rPr>
        <w:t>5.基金投资银行存款的监督</w:t>
      </w:r>
    </w:p>
    <w:p w:rsidR="004B0A92" w14:paraId="01C123DD" w14:textId="77777777">
      <w:pPr>
        <w:spacing w:line="360" w:lineRule="auto"/>
        <w:ind w:firstLine="420"/>
        <w:rPr>
          <w:rFonts w:ascii="宋体" w:hAnsi="宋体" w:cs="宋体"/>
          <w:szCs w:val="21"/>
        </w:rPr>
      </w:pPr>
      <w:r>
        <w:rPr>
          <w:rFonts w:ascii="宋体" w:hAnsi="宋体" w:cs="宋体" w:hint="eastAsia"/>
          <w:szCs w:val="21"/>
        </w:rPr>
        <w:t>基金托管人发现基金管理人在进行存款投资时有违反有关法律法规的规定及《基金合同》的约定的行为，应及时以书面形式通知基金管理人在</w:t>
      </w:r>
      <w:r>
        <w:rPr>
          <w:rFonts w:ascii="宋体" w:hAnsi="宋体" w:cs="宋体"/>
          <w:szCs w:val="21"/>
        </w:rPr>
        <w:t>10</w:t>
      </w:r>
      <w:r>
        <w:rPr>
          <w:rFonts w:ascii="宋体" w:hAnsi="宋体" w:cs="宋体" w:hint="eastAsia"/>
          <w:szCs w:val="21"/>
        </w:rPr>
        <w:t>个工作日内纠正。基金管理人对基金托管人通知的违规事项未能在</w:t>
      </w:r>
      <w:r>
        <w:rPr>
          <w:rFonts w:ascii="宋体" w:hAnsi="宋体" w:cs="宋体"/>
          <w:szCs w:val="21"/>
        </w:rPr>
        <w:t>10</w:t>
      </w:r>
      <w:r>
        <w:rPr>
          <w:rFonts w:ascii="宋体" w:hAnsi="宋体" w:cs="宋体" w:hint="eastAsia"/>
          <w:szCs w:val="21"/>
        </w:rPr>
        <w:t>个工作日内纠正的，基金托管人应报告中国证监会。基金托管人发现基金管理人有重大违规行为，应立即报告中国证监会，同时通知基金管理人在</w:t>
      </w:r>
      <w:r>
        <w:rPr>
          <w:rFonts w:ascii="宋体" w:hAnsi="宋体" w:cs="宋体"/>
          <w:szCs w:val="21"/>
        </w:rPr>
        <w:t xml:space="preserve">10 </w:t>
      </w:r>
      <w:r>
        <w:rPr>
          <w:rFonts w:ascii="宋体" w:hAnsi="宋体" w:cs="宋体" w:hint="eastAsia"/>
          <w:szCs w:val="21"/>
        </w:rPr>
        <w:t>个工作日内纠正或拒绝结算，若因基金管理人拒不执行造成基金财产损失的，相关损失由基金管理人承担，基金托管人不承担任何责任。</w:t>
      </w:r>
    </w:p>
    <w:p w:rsidR="004B0A92" w14:paraId="69898CF4" w14:textId="77777777">
      <w:pPr>
        <w:spacing w:line="360" w:lineRule="auto"/>
        <w:ind w:firstLine="420"/>
        <w:rPr>
          <w:rFonts w:ascii="宋体" w:hAnsi="宋体" w:cs="宋体"/>
          <w:szCs w:val="21"/>
        </w:rPr>
      </w:pPr>
      <w:r>
        <w:rPr>
          <w:rFonts w:ascii="宋体" w:hAnsi="宋体" w:cs="宋体"/>
          <w:szCs w:val="21"/>
        </w:rPr>
        <w:t>（四）基金托管人根据有关法律法规的规定及《基金合同》的约定，对基金管理人参与银行间债券市场进行监督。基金管理人应在基金投资运作之前向基金托管人提供符合法律法规及行业标准的、经慎重选择的、本基金适用的银行间债券市场交易对手名单并约定各交易对手所适用的交易结算方式。基金管理人有责任确保及时将更新后的交易对手名单发送给基金托管人，否则由此造成的损失应由基金管理人承担。</w:t>
      </w:r>
      <w:r>
        <w:rPr>
          <w:rFonts w:ascii="宋体" w:hAnsi="宋体" w:cs="宋体" w:hint="eastAsia"/>
          <w:szCs w:val="21"/>
        </w:rPr>
        <w:t>如基金管理人在基金投资运作之前未向基金托管人提供银行间债券市场交易对手名单的，视为基金管理人认可全市场交易对手。</w:t>
      </w:r>
      <w:r>
        <w:rPr>
          <w:rFonts w:ascii="宋体" w:hAnsi="宋体" w:cs="宋体"/>
          <w:szCs w:val="21"/>
        </w:rPr>
        <w:t>基金管理人应严格按照交易对手名单的范围在银行间债券市场选择交易对手。基金托管人监督基金管理人是否按事前提供的银行间债券市场交易对手名单进行交易。在基金存续期间基金管理人可以调整交易对手名单，但应将调整结果至少提前一个工作日书面通知基金托管人。新名单确定时已与本次剔除的交易对手所进行但尚未结算的交易，仍应按照协议进行结算，但不得再发生新的交易。如基金管理人根据市场需要临时调整银行间债券交易对手名单及结算方式的，应向基金托管人说明理由，并在与交易对手发生交易前3个交易日内与基金托管人协商解决。</w:t>
      </w:r>
    </w:p>
    <w:p w:rsidR="004B0A92" w14:paraId="5CF16B45" w14:textId="77777777">
      <w:pPr>
        <w:spacing w:line="360" w:lineRule="auto"/>
        <w:ind w:firstLine="420"/>
        <w:rPr>
          <w:rFonts w:ascii="宋体" w:hAnsi="宋体" w:cs="宋体"/>
          <w:szCs w:val="21"/>
        </w:rPr>
      </w:pPr>
      <w:r>
        <w:rPr>
          <w:rFonts w:ascii="宋体" w:hAnsi="宋体" w:cs="宋体" w:hint="eastAsia"/>
          <w:szCs w:val="21"/>
        </w:rPr>
        <w:t>基金管理人负责对交易对手的资信控制，按银行间债券市场的交易规则进行交易，并负责处理因交易对手不履行合同而造成的纠纷及损失。若未履约的交易对手在基金管理人确定的时间内仍未承担违约责任及其他相关法律责任的，基金管理人可以对相应损失先行予以承担，然后再向相关交易对手追偿。基金托管人则根据银行间债券市场成交单对合同履行情况进行监督。如基金托管人事后发现基金管理人没有按照事先约定的交易对手进行交易时，基金托管人应及时提醒基金管理人，基金托管人不承担由此造成的任何损失和责任。</w:t>
      </w:r>
    </w:p>
    <w:p w:rsidR="004B0A92" w14:paraId="34AD25DC" w14:textId="77777777">
      <w:pPr>
        <w:spacing w:line="360" w:lineRule="auto"/>
        <w:ind w:firstLine="420"/>
        <w:rPr>
          <w:rFonts w:ascii="宋体" w:hAnsi="宋体" w:cs="宋体"/>
          <w:szCs w:val="21"/>
        </w:rPr>
      </w:pPr>
      <w:r>
        <w:rPr>
          <w:rFonts w:ascii="宋体" w:hAnsi="宋体" w:cs="宋体" w:hint="eastAsia"/>
          <w:szCs w:val="21"/>
        </w:rPr>
        <w:t>（五）本基金投资流通受限证券，应遵守《关于基金投资非公开发行股票等流通受限证券有关问题的通知》等有关监管规定。</w:t>
      </w:r>
    </w:p>
    <w:p w:rsidR="004B0A92" w14:paraId="7192430F" w14:textId="77777777">
      <w:pPr>
        <w:spacing w:line="360" w:lineRule="auto"/>
        <w:ind w:firstLine="420"/>
        <w:rPr>
          <w:rFonts w:ascii="宋体" w:hAnsi="宋体" w:cs="宋体"/>
          <w:szCs w:val="21"/>
        </w:rPr>
      </w:pPr>
      <w:r>
        <w:rPr>
          <w:rFonts w:ascii="宋体" w:hAnsi="宋体" w:cs="宋体" w:hint="eastAsia"/>
          <w:szCs w:val="21"/>
        </w:rPr>
        <w:t>1.流通受限证券包括由《上市公司证券发行</w:t>
      </w:r>
      <w:r>
        <w:rPr>
          <w:rFonts w:ascii="宋体" w:hAnsi="宋体" w:cs="宋体"/>
          <w:color w:val="000000"/>
          <w:highlight w:val="white"/>
        </w:rPr>
        <w:t>注册</w:t>
      </w:r>
      <w:r>
        <w:rPr>
          <w:rFonts w:ascii="宋体" w:hAnsi="宋体" w:cs="宋体"/>
          <w:szCs w:val="21"/>
        </w:rPr>
        <w:t>管理办法》规范的非公开发行股票、公开发行股票网下配售部分等在发行时明确一定期限锁定期的可交易证券，不包括由于发布重大消息或其他原因而临时停牌的证券、已发行未上市证券、回购交易中的质押</w:t>
      </w:r>
      <w:r>
        <w:rPr>
          <w:rFonts w:ascii="宋体" w:hAnsi="宋体" w:cs="宋体" w:hint="eastAsia"/>
          <w:szCs w:val="21"/>
        </w:rPr>
        <w:t>券等流通受限证券。</w:t>
      </w:r>
    </w:p>
    <w:p w:rsidR="004B0A92" w14:paraId="132383FF" w14:textId="77777777">
      <w:pPr>
        <w:spacing w:line="360" w:lineRule="auto"/>
        <w:ind w:firstLine="420"/>
        <w:rPr>
          <w:rFonts w:ascii="宋体" w:hAnsi="宋体" w:cs="宋体"/>
          <w:szCs w:val="21"/>
        </w:rPr>
      </w:pPr>
      <w:r>
        <w:rPr>
          <w:rFonts w:ascii="宋体" w:hAnsi="宋体" w:cs="宋体" w:hint="eastAsia"/>
          <w:szCs w:val="21"/>
        </w:rPr>
        <w:t>本基金可以投资经中国证监会批准的非公开发行证券，且限于由中国证券登记结算有限责任公司、中央国债登记结算有限责任公司或银行间市场清算所股份有限公司负责登记和存管的，并可在证券交易所或全国银行间债券市场交易的证券。</w:t>
      </w:r>
    </w:p>
    <w:p w:rsidR="004B0A92" w14:paraId="548B96B1" w14:textId="77777777">
      <w:pPr>
        <w:spacing w:line="360" w:lineRule="auto"/>
        <w:ind w:firstLine="420"/>
        <w:rPr>
          <w:rFonts w:ascii="宋体" w:hAnsi="宋体" w:cs="宋体"/>
          <w:szCs w:val="21"/>
        </w:rPr>
      </w:pPr>
      <w:r>
        <w:rPr>
          <w:rFonts w:ascii="宋体" w:hAnsi="宋体" w:cs="宋体" w:hint="eastAsia"/>
          <w:szCs w:val="21"/>
        </w:rPr>
        <w:t>本基金不得投资未经中国证监会批准的非公开发行证券。</w:t>
      </w:r>
    </w:p>
    <w:p w:rsidR="004B0A92" w14:paraId="0A20E1F7" w14:textId="77777777">
      <w:pPr>
        <w:spacing w:line="360" w:lineRule="auto"/>
        <w:ind w:firstLine="420"/>
        <w:rPr>
          <w:rFonts w:ascii="宋体" w:hAnsi="宋体" w:cs="宋体"/>
          <w:szCs w:val="21"/>
        </w:rPr>
      </w:pPr>
      <w:r>
        <w:rPr>
          <w:rFonts w:ascii="宋体" w:hAnsi="宋体" w:cs="宋体" w:hint="eastAsia"/>
          <w:szCs w:val="21"/>
        </w:rPr>
        <w:t>本基金不得投资有锁定期但锁定期不明确的证券。</w:t>
      </w:r>
    </w:p>
    <w:p w:rsidR="004B0A92" w14:paraId="2A897628" w14:textId="77777777">
      <w:pPr>
        <w:spacing w:line="360" w:lineRule="auto"/>
        <w:ind w:firstLine="420"/>
        <w:rPr>
          <w:rFonts w:ascii="宋体" w:hAnsi="宋体" w:cs="宋体"/>
          <w:szCs w:val="21"/>
        </w:rPr>
      </w:pPr>
      <w:r>
        <w:rPr>
          <w:rFonts w:ascii="宋体" w:hAnsi="宋体" w:cs="宋体" w:hint="eastAsia"/>
          <w:szCs w:val="21"/>
        </w:rPr>
        <w:t>2.基金管理人应在基金首次投资流通受限证券前，向基金托管人提供经基金管理人董事会批准的有关基金投资流通受限证券的投资决策流程、风险控制制度。基金投资非公开发行股票，基金管理人还应提供基金管理人董事会批准的流动性风险处置预案。上述资料应包括但不限于基金投资流通受限证券的投资额度和投资比例控制情况。</w:t>
      </w:r>
    </w:p>
    <w:p w:rsidR="004B0A92" w14:paraId="7686A38F" w14:textId="77777777">
      <w:pPr>
        <w:spacing w:line="360" w:lineRule="auto"/>
        <w:ind w:firstLine="420"/>
        <w:rPr>
          <w:rFonts w:ascii="宋体" w:hAnsi="宋体" w:cs="宋体"/>
          <w:szCs w:val="21"/>
        </w:rPr>
      </w:pPr>
      <w:r>
        <w:rPr>
          <w:rFonts w:ascii="宋体" w:hAnsi="宋体" w:cs="宋体" w:hint="eastAsia"/>
          <w:szCs w:val="21"/>
        </w:rPr>
        <w:t>基金管理人应至少于首次执行投资指令之前两个工作日将上述资料书面发至基金托管人，保证基金托管人有足够的时间进行审核。基金托管人应在收到上述资料后两个工作日内，以书面或其他双方认可的方式确认收到上述资料。</w:t>
      </w:r>
    </w:p>
    <w:p w:rsidR="004B0A92" w14:paraId="263DACA5" w14:textId="77777777">
      <w:pPr>
        <w:spacing w:line="360" w:lineRule="auto"/>
        <w:ind w:firstLine="420"/>
        <w:rPr>
          <w:rFonts w:ascii="宋体" w:hAnsi="宋体" w:cs="宋体"/>
          <w:szCs w:val="21"/>
        </w:rPr>
      </w:pPr>
      <w:r>
        <w:rPr>
          <w:rFonts w:ascii="宋体" w:hAnsi="宋体" w:cs="宋体" w:hint="eastAsia"/>
          <w:szCs w:val="21"/>
        </w:rPr>
        <w:t>基金管理人对本基金投资流通受限证券的流动性风险负责，确保对相关风险采取积极有效的措施，在合理的时间内有效解决基金运作的流动性问题。如因基金巨额赎回或市场发生剧烈变动等原因而导致基金现金周转困难时，基金管理人应保证提供足额现金确保基金的支付结算，并承担所有损失。对本基金因投资流通受限证券导致的流动性风险，基金托管人不承担任何责任。</w:t>
      </w:r>
    </w:p>
    <w:p w:rsidR="004B0A92" w14:paraId="27150DFC" w14:textId="77777777">
      <w:pPr>
        <w:spacing w:line="360" w:lineRule="auto"/>
        <w:ind w:firstLine="420"/>
        <w:rPr>
          <w:rFonts w:ascii="宋体" w:hAnsi="宋体" w:cs="宋体"/>
          <w:szCs w:val="21"/>
        </w:rPr>
      </w:pPr>
      <w:r>
        <w:rPr>
          <w:rFonts w:ascii="宋体" w:hAnsi="宋体" w:cs="宋体" w:hint="eastAsia"/>
          <w:szCs w:val="21"/>
        </w:rPr>
        <w:t>3.基金投资流通受限证券前，基金管理人应向基金托管人提供符合法律法规要求的有关书面信息，包括但不限于拟发行证券主体的中国证监会批准文件、发行证券数量、发行价格、锁定期，基金拟认购的数量、价格、总成本、应划付的认购款、资金划付时间等。基金管理人应保证上述信息的真实、完整，并应至少于拟执行投资指令前两个工作日将上述信息书面发至基金托管人，保证基金托管人有足够的时间进行审核。</w:t>
      </w:r>
    </w:p>
    <w:p w:rsidR="004B0A92" w14:paraId="6DC6406E" w14:textId="77777777">
      <w:pPr>
        <w:spacing w:line="360" w:lineRule="auto"/>
        <w:ind w:firstLine="420"/>
        <w:rPr>
          <w:rFonts w:ascii="宋体" w:hAnsi="宋体" w:cs="宋体"/>
          <w:szCs w:val="21"/>
        </w:rPr>
      </w:pPr>
      <w:r>
        <w:rPr>
          <w:rFonts w:ascii="宋体" w:hAnsi="宋体" w:cs="宋体" w:hint="eastAsia"/>
          <w:szCs w:val="21"/>
        </w:rPr>
        <w:t>由于基金管理人未及时提供有关证券的具体的必要的信息，致使托管人无法审核认购指令而影响认购款项划拨的，基金托管人免于承担责任。</w:t>
      </w:r>
    </w:p>
    <w:p w:rsidR="004B0A92" w14:paraId="69A2AB87" w14:textId="77777777">
      <w:pPr>
        <w:spacing w:line="360" w:lineRule="auto"/>
        <w:ind w:firstLine="420"/>
        <w:rPr>
          <w:rFonts w:ascii="宋体" w:hAnsi="宋体" w:cs="宋体"/>
          <w:szCs w:val="21"/>
        </w:rPr>
      </w:pPr>
      <w:r>
        <w:rPr>
          <w:rFonts w:ascii="宋体" w:hAnsi="宋体" w:cs="宋体" w:hint="eastAsia"/>
          <w:szCs w:val="21"/>
        </w:rPr>
        <w:t>4.基金托管人依照法律法规、《基金合同》、《托管协议》审核基金管理人投资流通受限证券的行为。如发现基金管理人违反了《基金合同》、《托管协议》以及其他相关法律法规的有关规定，应及时通知基金管理人，并呈报中国证监会，同时采取合理措施保护基金投资人的利益。基金托管人有权对基金管理人的违法、违规以及违反《基金合同》、《托管协议》的投资指令不予执行，并立即通知基金管理人纠正，基金管理人不予纠正或已代表基金签署合同不得不执行时，基金托管人应向中国证监会报告。</w:t>
      </w:r>
    </w:p>
    <w:p w:rsidR="004B0A92" w14:paraId="209B45B8" w14:textId="0A4A3CFD">
      <w:pPr>
        <w:spacing w:line="360" w:lineRule="auto"/>
        <w:ind w:firstLine="420"/>
        <w:rPr>
          <w:rFonts w:ascii="宋体" w:hAnsi="宋体" w:cs="宋体"/>
          <w:szCs w:val="21"/>
        </w:rPr>
      </w:pPr>
      <w:r>
        <w:rPr>
          <w:rFonts w:ascii="宋体" w:hAnsi="宋体" w:cs="宋体" w:hint="eastAsia"/>
          <w:szCs w:val="21"/>
        </w:rPr>
        <w:t>5.</w:t>
      </w:r>
      <w:r>
        <w:rPr>
          <w:rFonts w:ascii="宋体" w:hAnsi="宋体" w:cs="宋体"/>
          <w:szCs w:val="21"/>
        </w:rPr>
        <w:t>基金管理</w:t>
      </w:r>
      <w:r>
        <w:rPr>
          <w:rFonts w:ascii="宋体" w:hAnsi="宋体" w:cs="宋体" w:hint="eastAsia"/>
          <w:szCs w:val="21"/>
        </w:rPr>
        <w:t>人</w:t>
      </w:r>
      <w:r>
        <w:rPr>
          <w:rFonts w:ascii="宋体" w:hAnsi="宋体" w:cs="宋体"/>
          <w:szCs w:val="21"/>
        </w:rPr>
        <w:t>应在基金投资非公开发行股票后两个交易日内</w:t>
      </w:r>
      <w:r w:rsidR="00004B54">
        <w:rPr>
          <w:rFonts w:ascii="宋体" w:hAnsi="宋体" w:cs="宋体" w:hint="eastAsia"/>
          <w:szCs w:val="21"/>
        </w:rPr>
        <w:t>，</w:t>
      </w:r>
      <w:r>
        <w:rPr>
          <w:rFonts w:ascii="宋体" w:hAnsi="宋体" w:cs="宋体"/>
          <w:szCs w:val="21"/>
        </w:rPr>
        <w:t>在中国证监会</w:t>
      </w:r>
      <w:r>
        <w:rPr>
          <w:rFonts w:ascii="宋体" w:hAnsi="宋体" w:cs="宋体" w:hint="eastAsia"/>
          <w:szCs w:val="21"/>
        </w:rPr>
        <w:t>规定</w:t>
      </w:r>
      <w:r>
        <w:rPr>
          <w:rFonts w:ascii="宋体" w:hAnsi="宋体" w:cs="宋体"/>
          <w:szCs w:val="21"/>
        </w:rPr>
        <w:t>媒介披露所投资非公开发行股票的名称、数量、总成本、账面价值</w:t>
      </w:r>
      <w:r w:rsidR="00004B54">
        <w:rPr>
          <w:rFonts w:ascii="宋体" w:hAnsi="宋体" w:cs="宋体" w:hint="eastAsia"/>
          <w:szCs w:val="21"/>
        </w:rPr>
        <w:t>，</w:t>
      </w:r>
      <w:r>
        <w:rPr>
          <w:rFonts w:ascii="宋体" w:hAnsi="宋体" w:cs="宋体"/>
          <w:szCs w:val="21"/>
        </w:rPr>
        <w:t>以及总成本和账面价值占基金资产净值的比例、锁定期等信息。</w:t>
      </w:r>
    </w:p>
    <w:p w:rsidR="004B0A92" w14:paraId="7FCE57FE" w14:textId="77777777">
      <w:pPr>
        <w:spacing w:line="360" w:lineRule="auto"/>
        <w:ind w:firstLine="420"/>
        <w:rPr>
          <w:rFonts w:ascii="宋体" w:hAnsi="宋体" w:cs="宋体"/>
          <w:szCs w:val="21"/>
        </w:rPr>
      </w:pPr>
      <w:r>
        <w:rPr>
          <w:rFonts w:ascii="宋体" w:hAnsi="宋体" w:cs="宋体" w:hint="eastAsia"/>
          <w:szCs w:val="21"/>
        </w:rPr>
        <w:t>（六）基金管理人应当对投资中期票据业务进行研究，认真评估中期票据投资业务的风险，本着审慎、勤勉尽责的原则进行中期票据的投资业务，并应符合法律法规及监管机构的相关规定。</w:t>
      </w:r>
    </w:p>
    <w:p w:rsidR="004B0A92" w14:paraId="2A12954C" w14:textId="77777777">
      <w:pPr>
        <w:spacing w:line="360" w:lineRule="auto"/>
        <w:ind w:firstLine="420"/>
        <w:rPr>
          <w:rFonts w:ascii="宋体" w:hAnsi="宋体" w:cs="宋体"/>
          <w:bCs/>
          <w:color w:val="000000"/>
          <w:szCs w:val="21"/>
        </w:rPr>
      </w:pPr>
      <w:r>
        <w:rPr>
          <w:rFonts w:ascii="宋体" w:hAnsi="宋体" w:cs="宋体" w:hint="eastAsia"/>
          <w:szCs w:val="21"/>
        </w:rPr>
        <w:t>（七）</w:t>
      </w:r>
      <w:r>
        <w:rPr>
          <w:rFonts w:ascii="宋体" w:hAnsi="宋体" w:cs="宋体" w:hint="eastAsia"/>
          <w:bCs/>
          <w:color w:val="000000" w:themeColor="text1"/>
          <w:szCs w:val="21"/>
        </w:rPr>
        <w:t>基金参与转融通证券出借业务，基金管理人应当遵守审慎经营的原则，配备技术系统和专业人员，制定科学合理的投资策略和风险管理制度，完善业务流程，有效防范和控制风险，基金托管人将对基金参与出借业务进行监督与复核。</w:t>
      </w:r>
    </w:p>
    <w:p w:rsidR="004B0A92" w14:paraId="25F65F59" w14:textId="77777777">
      <w:pPr>
        <w:spacing w:line="360" w:lineRule="auto"/>
        <w:ind w:firstLine="420"/>
        <w:rPr>
          <w:rFonts w:ascii="宋体" w:hAnsi="宋体" w:cs="宋体"/>
          <w:szCs w:val="21"/>
        </w:rPr>
      </w:pPr>
      <w:r>
        <w:rPr>
          <w:rFonts w:ascii="宋体" w:hAnsi="宋体" w:cs="宋体" w:hint="eastAsia"/>
          <w:szCs w:val="21"/>
        </w:rPr>
        <w:t>（八）基金托管人根据有关法律法规的规定及《基金合同》的约定，对基金资产净值计算、基金份额净值计算、基金费用开支及收入确定、基金收益分配、相关信息披露、基金宣传推介材料中登载基金业绩表现数据等进行监督和核查。</w:t>
      </w:r>
    </w:p>
    <w:p w:rsidR="004B0A92" w14:paraId="77B4B1E5" w14:textId="77777777">
      <w:pPr>
        <w:spacing w:line="360" w:lineRule="auto"/>
        <w:ind w:firstLine="420"/>
        <w:rPr>
          <w:rFonts w:ascii="宋体" w:hAnsi="宋体" w:cs="宋体"/>
        </w:rPr>
      </w:pPr>
      <w:r>
        <w:rPr>
          <w:rFonts w:ascii="宋体" w:hAnsi="宋体" w:cs="宋体" w:hint="eastAsia"/>
          <w:szCs w:val="21"/>
        </w:rPr>
        <w:t>（九）</w:t>
      </w:r>
      <w:r>
        <w:rPr>
          <w:rFonts w:ascii="宋体" w:hAnsi="宋体" w:cs="宋体"/>
        </w:rPr>
        <w:t>基金托管人发现基金管理人的上述事项及投资指令或实际投资运作违反法律法规、《基金合同》和本托管协议的规定，应及时以电话、邮件或书面提示等方式通知基金管理人限期纠正。基金管理人应积极配合和协助基金托管人的监督和核查。基金管理人收到通知后应及时核对并回复基金托管人，对于收到的书面通知，基金管理人应以书面形式给基金托管人发出回函，就基金托管人的疑义进行解释或举证，说明违规原因及纠正期限。在上述规定期限内，基金托管人有权随时对通知事项进行复查，督促基金管理人改正。基金管理人对基金托管人通知的违规事项未能在限期内纠正的，基金托管人应报告中国证监会。</w:t>
      </w:r>
    </w:p>
    <w:p w:rsidR="004B0A92" w14:paraId="6A1992DA" w14:textId="77777777">
      <w:pPr>
        <w:spacing w:line="360" w:lineRule="auto"/>
        <w:ind w:firstLine="420"/>
        <w:rPr>
          <w:rFonts w:ascii="宋体" w:hAnsi="宋体" w:cs="宋体"/>
          <w:szCs w:val="21"/>
        </w:rPr>
      </w:pPr>
      <w:r>
        <w:rPr>
          <w:rFonts w:ascii="宋体" w:hAnsi="宋体" w:cs="宋体" w:hint="eastAsia"/>
          <w:szCs w:val="21"/>
        </w:rPr>
        <w:t>（</w:t>
      </w:r>
      <w:r>
        <w:rPr>
          <w:rFonts w:ascii="宋体" w:hAnsi="宋体" w:cs="宋体"/>
          <w:szCs w:val="21"/>
        </w:rPr>
        <w:t>十</w:t>
      </w:r>
      <w:r>
        <w:rPr>
          <w:rFonts w:ascii="宋体" w:hAnsi="宋体" w:cs="宋体" w:hint="eastAsia"/>
          <w:szCs w:val="21"/>
        </w:rPr>
        <w:t>）基金管理人有义务配合和协助基金托管人依照法律法规、《基金合同》和本托管协议对基金业务执行核查。包括但不限于：对基金托管人发出的提示，基金管理人应在规定时间内答复并改正，或就基金托管人的疑义进行解释或举证；对基金托管人按照法律法规、基金合同和本托管协议的要求需向中国证监会报送基金监督报告的事项，基金管理人应积极配合提供相关数据资料和制度等。</w:t>
      </w:r>
    </w:p>
    <w:p w:rsidR="004B0A92" w14:paraId="7223AE5A" w14:textId="77777777">
      <w:pPr>
        <w:spacing w:line="360" w:lineRule="auto"/>
        <w:ind w:firstLine="420"/>
        <w:rPr>
          <w:rFonts w:ascii="宋体" w:hAnsi="宋体" w:cs="宋体"/>
          <w:szCs w:val="21"/>
        </w:rPr>
      </w:pPr>
      <w:r>
        <w:rPr>
          <w:rFonts w:ascii="宋体" w:hAnsi="宋体" w:cs="宋体" w:hint="eastAsia"/>
          <w:szCs w:val="21"/>
        </w:rPr>
        <w:t>（十一）若基金托管人发现基金管理人依据交易程序已经生效的指令违反法律、行政法规和其他有关规定，或者违反基金合同约定的，应当立即通知基金管理人及时纠正，由此造成的损失由基金管理人承担，基金托管人在履行其通知义务后，予以免责。</w:t>
      </w:r>
    </w:p>
    <w:p w:rsidR="004B0A92" w14:paraId="5DE4A7E2" w14:textId="77777777">
      <w:pPr>
        <w:spacing w:line="360" w:lineRule="auto"/>
        <w:ind w:firstLine="420"/>
        <w:rPr>
          <w:rFonts w:ascii="宋体" w:hAnsi="宋体" w:cs="宋体"/>
          <w:szCs w:val="21"/>
        </w:rPr>
      </w:pPr>
      <w:r>
        <w:rPr>
          <w:rFonts w:ascii="宋体" w:hAnsi="宋体" w:cs="宋体" w:hint="eastAsia"/>
          <w:szCs w:val="21"/>
        </w:rPr>
        <w:t>（十二）基金托管人发现基金管理人有重大违规行为，应及时报告中国证监会，同时通知基金管理人限期纠正。</w:t>
      </w:r>
    </w:p>
    <w:p w:rsidR="004B0A92" w14:paraId="2809663D" w14:textId="77777777">
      <w:pPr>
        <w:pStyle w:val="21"/>
        <w:spacing w:before="312" w:after="156" w:line="360" w:lineRule="auto"/>
        <w:jc w:val="center"/>
        <w:rPr>
          <w:rFonts w:ascii="宋体" w:eastAsia="宋体" w:hAnsi="宋体" w:cs="宋体"/>
          <w:sz w:val="21"/>
          <w:szCs w:val="21"/>
        </w:rPr>
      </w:pPr>
      <w:bookmarkStart w:id="11" w:name="_Toc89163368"/>
      <w:bookmarkStart w:id="12" w:name="_Toc110830492"/>
      <w:bookmarkStart w:id="13" w:name="_Toc118212950"/>
      <w:bookmarkStart w:id="14" w:name="_Toc119402710"/>
      <w:bookmarkStart w:id="15" w:name="_Toc118774803"/>
      <w:bookmarkStart w:id="16" w:name="_Toc86727355"/>
      <w:bookmarkStart w:id="17" w:name="_Toc108512358"/>
      <w:bookmarkStart w:id="18" w:name="_Toc86649722"/>
      <w:bookmarkStart w:id="19" w:name="_Toc120435783"/>
      <w:bookmarkStart w:id="20" w:name="_Toc86225291"/>
      <w:bookmarkStart w:id="21" w:name="_Toc118972648"/>
      <w:bookmarkStart w:id="22" w:name="_Toc86223242"/>
      <w:bookmarkStart w:id="23" w:name="_Toc86737929"/>
      <w:bookmarkStart w:id="24" w:name="_Toc110761796"/>
      <w:bookmarkStart w:id="25" w:name="_Toc110765660"/>
      <w:bookmarkStart w:id="26" w:name="_Toc86726439"/>
      <w:r>
        <w:rPr>
          <w:rFonts w:ascii="宋体" w:eastAsia="宋体" w:hAnsi="宋体" w:cs="宋体"/>
          <w:sz w:val="21"/>
          <w:szCs w:val="21"/>
        </w:rPr>
        <w:br w:type="page"/>
      </w:r>
      <w:bookmarkStart w:id="27" w:name="_Toc348082032"/>
      <w:bookmarkStart w:id="28" w:name="_Toc384992694"/>
      <w:r>
        <w:rPr>
          <w:rFonts w:ascii="宋体" w:eastAsia="宋体" w:hAnsi="宋体" w:cs="宋体" w:hint="eastAsia"/>
          <w:sz w:val="21"/>
          <w:szCs w:val="21"/>
        </w:rPr>
        <w:t>四、基金管理人对基金托管人的业务核查</w:t>
      </w:r>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p>
    <w:p w:rsidR="004B0A92" w14:paraId="0BA40389" w14:textId="77777777">
      <w:pPr>
        <w:snapToGrid w:val="0"/>
        <w:spacing w:line="360" w:lineRule="auto"/>
        <w:ind w:firstLine="420"/>
        <w:rPr>
          <w:rFonts w:ascii="宋体" w:hAnsi="宋体" w:cs="宋体"/>
          <w:szCs w:val="21"/>
        </w:rPr>
      </w:pPr>
      <w:r>
        <w:rPr>
          <w:rFonts w:ascii="宋体" w:hAnsi="宋体" w:cs="宋体" w:hint="eastAsia"/>
          <w:szCs w:val="21"/>
        </w:rPr>
        <w:t>（一）基金管理人对基金托管人履行托管职责情况进行核查，核查事项包括基金托管人安全保管基金财产、开设基金财产的资金账户、证券账户等投资所需账户、复核基金管理人计算的基金资产净值和基金份额净值、根据基金管理人指令办理清算交收、相关信息披露和监督基金投资运作等行为。</w:t>
      </w:r>
    </w:p>
    <w:p w:rsidR="004B0A92" w14:paraId="2E285C49" w14:textId="77777777">
      <w:pPr>
        <w:snapToGrid w:val="0"/>
        <w:spacing w:line="360" w:lineRule="auto"/>
        <w:ind w:firstLine="420"/>
        <w:rPr>
          <w:rFonts w:ascii="宋体" w:hAnsi="宋体" w:cs="宋体"/>
          <w:szCs w:val="21"/>
        </w:rPr>
      </w:pPr>
      <w:r>
        <w:rPr>
          <w:rFonts w:ascii="宋体" w:hAnsi="宋体" w:cs="宋体" w:hint="eastAsia"/>
          <w:szCs w:val="21"/>
        </w:rPr>
        <w:t>（二）基金管理人发现基金托管人擅自挪用基金财产、未对基金财产实行分账管理、未执行或无故延迟执行基金管理人资金划拨指令、泄露基金投资信息等违反《基金法》、基金合同、托管协议及其他有关规定时，应及时以书面形式通知基金托管人限期纠正。基金托管人收到书面通知后应在下一工作日前及时核对并以书面形式给基金管理人发出回函，说明违规原因及纠正期限，并保证在规定期限内及时改正。在上述规定期限内，基金管理人有权随时对通知事项进行复查，督促基金托管人改正。因基金托管人原因造成基金财产损失的，基金托管人应承担相应的责任。</w:t>
      </w:r>
    </w:p>
    <w:p w:rsidR="004B0A92" w14:paraId="5D693B3A" w14:textId="77777777">
      <w:pPr>
        <w:spacing w:line="360" w:lineRule="auto"/>
        <w:ind w:firstLine="420"/>
        <w:rPr>
          <w:rFonts w:ascii="宋体" w:hAnsi="宋体" w:cs="宋体"/>
          <w:szCs w:val="21"/>
        </w:rPr>
      </w:pPr>
      <w:r>
        <w:rPr>
          <w:rFonts w:ascii="宋体" w:hAnsi="宋体" w:cs="宋体" w:hint="eastAsia"/>
          <w:szCs w:val="21"/>
        </w:rPr>
        <w:t>（三）基金托管人有义务配合和协助基金管理人依照法律法规、基金合同和本托管协议对基金业务执行核查，包括但不限于：对基金管理人发出的书面提示，基金托管人应在规定时间内答复并改正，或就基金管理人的疑义进行解释或举证；基金托管人应积极配合提供相关资料以供基金管理人核查托管财产的完整性和真实性。</w:t>
      </w:r>
    </w:p>
    <w:p w:rsidR="004B0A92" w14:paraId="291210B0" w14:textId="77777777">
      <w:pPr>
        <w:snapToGrid w:val="0"/>
        <w:spacing w:line="360" w:lineRule="auto"/>
        <w:ind w:firstLine="420"/>
        <w:rPr>
          <w:rFonts w:ascii="宋体" w:hAnsi="宋体" w:cs="宋体"/>
          <w:szCs w:val="21"/>
        </w:rPr>
      </w:pPr>
      <w:r>
        <w:rPr>
          <w:rFonts w:ascii="宋体" w:hAnsi="宋体" w:cs="宋体" w:hint="eastAsia"/>
          <w:szCs w:val="21"/>
        </w:rPr>
        <w:t>（四）基金管理人发现基金托管人有重大违规行为，应及时报告中国证监会，同时通知基金托管人限期纠正，并将纠正结果报告中国证监会。</w:t>
      </w:r>
    </w:p>
    <w:p w:rsidR="004B0A92" w14:paraId="35170A01" w14:textId="77777777">
      <w:pPr>
        <w:spacing w:line="360" w:lineRule="auto"/>
        <w:rPr>
          <w:rFonts w:ascii="宋体" w:hAnsi="宋体" w:cs="宋体"/>
          <w:szCs w:val="21"/>
        </w:rPr>
      </w:pPr>
    </w:p>
    <w:p w:rsidR="004B0A92" w14:paraId="4FE78894" w14:textId="77777777">
      <w:pPr>
        <w:pStyle w:val="21"/>
        <w:spacing w:before="312" w:after="156" w:line="360" w:lineRule="auto"/>
        <w:jc w:val="center"/>
        <w:rPr>
          <w:rFonts w:ascii="宋体" w:eastAsia="宋体" w:hAnsi="宋体" w:cs="宋体"/>
          <w:sz w:val="21"/>
          <w:szCs w:val="21"/>
        </w:rPr>
      </w:pPr>
      <w:bookmarkStart w:id="29" w:name="_Toc84133786"/>
      <w:bookmarkStart w:id="30" w:name="_Toc110765661"/>
      <w:bookmarkStart w:id="31" w:name="_Toc118212951"/>
      <w:bookmarkStart w:id="32" w:name="_Toc86727356"/>
      <w:bookmarkStart w:id="33" w:name="_Toc86737930"/>
      <w:bookmarkStart w:id="34" w:name="_Toc89163369"/>
      <w:bookmarkStart w:id="35" w:name="_Toc86223243"/>
      <w:bookmarkStart w:id="36" w:name="_Toc110761797"/>
      <w:bookmarkStart w:id="37" w:name="_Toc110830493"/>
      <w:bookmarkStart w:id="38" w:name="_Toc86225292"/>
      <w:bookmarkStart w:id="39" w:name="_Toc86649723"/>
      <w:bookmarkStart w:id="40" w:name="_Toc86204789"/>
      <w:bookmarkStart w:id="41" w:name="_Toc84234435"/>
      <w:bookmarkStart w:id="42" w:name="_Toc86726440"/>
      <w:bookmarkStart w:id="43" w:name="_Toc108512359"/>
      <w:bookmarkStart w:id="44" w:name="_Toc84234388"/>
      <w:bookmarkStart w:id="45" w:name="_Toc120435784"/>
      <w:bookmarkStart w:id="46" w:name="_Toc119402711"/>
      <w:bookmarkStart w:id="47" w:name="_Toc118774804"/>
      <w:bookmarkStart w:id="48" w:name="_Toc118972649"/>
      <w:r>
        <w:rPr>
          <w:rFonts w:ascii="宋体" w:eastAsia="宋体" w:hAnsi="宋体" w:cs="宋体"/>
          <w:sz w:val="21"/>
          <w:szCs w:val="21"/>
        </w:rPr>
        <w:br w:type="page"/>
      </w:r>
      <w:bookmarkStart w:id="49" w:name="_Toc384992695"/>
      <w:bookmarkStart w:id="50" w:name="_Toc348082033"/>
      <w:r>
        <w:rPr>
          <w:rFonts w:ascii="宋体" w:eastAsia="宋体" w:hAnsi="宋体" w:cs="宋体" w:hint="eastAsia"/>
          <w:sz w:val="21"/>
          <w:szCs w:val="21"/>
        </w:rPr>
        <w:t>五、基金财产的保管</w:t>
      </w:r>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p>
    <w:p w:rsidR="004B0A92" w14:paraId="006F62CC" w14:textId="77777777">
      <w:pPr>
        <w:snapToGrid w:val="0"/>
        <w:spacing w:line="360" w:lineRule="auto"/>
        <w:ind w:firstLine="420"/>
        <w:rPr>
          <w:rFonts w:ascii="宋体" w:hAnsi="宋体" w:cs="宋体"/>
          <w:szCs w:val="21"/>
        </w:rPr>
      </w:pPr>
      <w:r>
        <w:rPr>
          <w:rFonts w:ascii="宋体" w:hAnsi="宋体" w:cs="宋体" w:hint="eastAsia"/>
          <w:szCs w:val="21"/>
        </w:rPr>
        <w:t>（一）基金财产保管的原则</w:t>
      </w:r>
    </w:p>
    <w:p w:rsidR="004B0A92" w14:paraId="4C2DD518" w14:textId="77777777">
      <w:pPr>
        <w:snapToGrid w:val="0"/>
        <w:spacing w:line="360" w:lineRule="auto"/>
        <w:ind w:firstLine="420"/>
        <w:rPr>
          <w:rFonts w:ascii="宋体" w:hAnsi="宋体" w:cs="宋体"/>
          <w:szCs w:val="21"/>
        </w:rPr>
      </w:pPr>
      <w:r>
        <w:rPr>
          <w:rFonts w:ascii="宋体" w:hAnsi="宋体" w:cs="宋体" w:hint="eastAsia"/>
          <w:szCs w:val="21"/>
        </w:rPr>
        <w:t>1.基金财产应独立于基金管理人、基金托管人的固有财产。</w:t>
      </w:r>
    </w:p>
    <w:p w:rsidR="004B0A92" w14:paraId="1554E146" w14:textId="77777777">
      <w:pPr>
        <w:snapToGrid w:val="0"/>
        <w:spacing w:line="360" w:lineRule="auto"/>
        <w:ind w:firstLine="420"/>
        <w:rPr>
          <w:rFonts w:ascii="宋体" w:hAnsi="宋体" w:cs="宋体"/>
          <w:szCs w:val="21"/>
        </w:rPr>
      </w:pPr>
      <w:r>
        <w:rPr>
          <w:rFonts w:ascii="宋体" w:hAnsi="宋体" w:cs="宋体" w:hint="eastAsia"/>
          <w:szCs w:val="21"/>
        </w:rPr>
        <w:t>2.基金托管人应安全保管基金财产。</w:t>
      </w:r>
    </w:p>
    <w:p w:rsidR="004B0A92" w14:paraId="7452FA6A" w14:textId="77777777">
      <w:pPr>
        <w:snapToGrid w:val="0"/>
        <w:spacing w:line="360" w:lineRule="auto"/>
        <w:ind w:firstLine="420"/>
        <w:rPr>
          <w:rFonts w:ascii="宋体" w:hAnsi="宋体" w:cs="宋体"/>
          <w:szCs w:val="21"/>
        </w:rPr>
      </w:pPr>
      <w:r>
        <w:rPr>
          <w:rFonts w:ascii="宋体" w:hAnsi="宋体" w:cs="宋体" w:hint="eastAsia"/>
          <w:szCs w:val="21"/>
        </w:rPr>
        <w:t>3.基金托管人按照规定开设基金财产投资所需的相关账户。</w:t>
      </w:r>
    </w:p>
    <w:p w:rsidR="004B0A92" w14:paraId="2E5DB95B" w14:textId="77777777">
      <w:pPr>
        <w:snapToGrid w:val="0"/>
        <w:spacing w:line="360" w:lineRule="auto"/>
        <w:ind w:firstLine="420"/>
        <w:rPr>
          <w:rFonts w:ascii="宋体" w:hAnsi="宋体" w:cs="宋体"/>
          <w:szCs w:val="21"/>
        </w:rPr>
      </w:pPr>
      <w:r>
        <w:rPr>
          <w:rFonts w:ascii="宋体" w:hAnsi="宋体" w:cs="宋体" w:hint="eastAsia"/>
          <w:szCs w:val="21"/>
        </w:rPr>
        <w:t>4.基金托管人对所托管的不同基金财产分别设置账户，确保基金财产的完整与独立。</w:t>
      </w:r>
    </w:p>
    <w:p w:rsidR="004B0A92" w14:paraId="5C9CB3D8" w14:textId="77777777">
      <w:pPr>
        <w:snapToGrid w:val="0"/>
        <w:spacing w:line="360" w:lineRule="auto"/>
        <w:ind w:firstLine="420"/>
        <w:rPr>
          <w:rFonts w:ascii="宋体" w:hAnsi="宋体" w:cs="宋体"/>
          <w:szCs w:val="21"/>
        </w:rPr>
      </w:pPr>
      <w:r>
        <w:rPr>
          <w:rFonts w:ascii="宋体" w:hAnsi="宋体" w:cs="宋体" w:hint="eastAsia"/>
          <w:szCs w:val="21"/>
        </w:rPr>
        <w:t>5.基金托管人根据基金管理人的指令，按照基金合同和本协议的约定保管基金财产。未经基金管理人的正当指令，不得自行运用、处分、分配基金的任何资产。不属于基金托管人实际有效控制下的资产及实物证券等在基金托管人保管期间的损坏、灭失，基金托管人不承担由此产生的责任。</w:t>
      </w:r>
    </w:p>
    <w:p w:rsidR="004B0A92" w14:paraId="02AC52DE" w14:textId="77777777">
      <w:pPr>
        <w:snapToGrid w:val="0"/>
        <w:spacing w:line="360" w:lineRule="auto"/>
        <w:ind w:firstLine="420"/>
        <w:rPr>
          <w:rFonts w:ascii="宋体" w:hAnsi="宋体" w:cs="宋体"/>
          <w:szCs w:val="21"/>
        </w:rPr>
      </w:pPr>
      <w:r>
        <w:rPr>
          <w:rFonts w:ascii="宋体" w:hAnsi="宋体" w:cs="宋体" w:hint="eastAsia"/>
          <w:szCs w:val="21"/>
        </w:rPr>
        <w:t>6.对于因为基金投资产生的应收资产，如基金托管人无法从公开信息或基金管理人提供的书面资料中获取到账日期信息的，应由基金管理人负责与有关当事人确定到账日期并通知基金托管人，到账日基金财产没有到达基金资金账户的，基金托管人应及时通知基金管理人采取措施进行催收，基金管理人应负责向有关当事人追偿基金财产的损失。</w:t>
      </w:r>
    </w:p>
    <w:p w:rsidR="004B0A92" w14:paraId="27F3C99E" w14:textId="77777777">
      <w:pPr>
        <w:snapToGrid w:val="0"/>
        <w:spacing w:line="360" w:lineRule="auto"/>
        <w:ind w:firstLine="420"/>
        <w:rPr>
          <w:rFonts w:ascii="宋体" w:hAnsi="宋体" w:cs="宋体"/>
          <w:szCs w:val="21"/>
        </w:rPr>
      </w:pPr>
      <w:r>
        <w:rPr>
          <w:rFonts w:ascii="宋体" w:hAnsi="宋体" w:cs="宋体" w:hint="eastAsia"/>
          <w:szCs w:val="21"/>
        </w:rPr>
        <w:t>7.基金托管人对因为基金管理人投资产生的存放或存管在基金托管人以外机构的基金资产，或交由期货公司或证券公司负责清算交收的基金资产（包括但不限于期货保证金账户内的资金、期货合约等）及其收益，由于该等机构或该机构会员单位等本协议当事人外第三方的欺诈、疏忽、过失或破产等原因给基金资产造成的损失等不承担责任。</w:t>
      </w:r>
    </w:p>
    <w:p w:rsidR="004B0A92" w14:paraId="4E8A8A5E" w14:textId="77777777">
      <w:pPr>
        <w:snapToGrid w:val="0"/>
        <w:spacing w:line="360" w:lineRule="auto"/>
        <w:ind w:firstLine="420"/>
        <w:rPr>
          <w:rFonts w:ascii="宋体" w:hAnsi="宋体" w:cs="宋体"/>
          <w:szCs w:val="21"/>
        </w:rPr>
      </w:pPr>
      <w:r>
        <w:rPr>
          <w:rFonts w:ascii="宋体" w:hAnsi="宋体" w:cs="宋体" w:hint="eastAsia"/>
          <w:szCs w:val="21"/>
        </w:rPr>
        <w:t>8.除依据法律法规和基金合同的规定外，基金托管人不得委托第三人托管基金财产。</w:t>
      </w:r>
    </w:p>
    <w:p w:rsidR="004B0A92" w14:paraId="33EB0C12" w14:textId="77777777">
      <w:pPr>
        <w:snapToGrid w:val="0"/>
        <w:spacing w:line="360" w:lineRule="auto"/>
        <w:ind w:firstLine="420"/>
        <w:rPr>
          <w:rFonts w:ascii="宋体" w:hAnsi="宋体" w:cs="宋体"/>
          <w:szCs w:val="21"/>
        </w:rPr>
      </w:pPr>
      <w:r>
        <w:rPr>
          <w:rFonts w:ascii="宋体" w:hAnsi="宋体" w:cs="宋体" w:hint="eastAsia"/>
          <w:szCs w:val="21"/>
        </w:rPr>
        <w:t>（二）基金募集期间及募集资金的验资</w:t>
      </w:r>
    </w:p>
    <w:p w:rsidR="004B0A92" w14:paraId="5B3AD2CC" w14:textId="77777777">
      <w:pPr>
        <w:snapToGrid w:val="0"/>
        <w:spacing w:line="360" w:lineRule="auto"/>
        <w:ind w:firstLine="420"/>
        <w:rPr>
          <w:rFonts w:ascii="宋体" w:hAnsi="宋体" w:cs="宋体"/>
          <w:szCs w:val="21"/>
        </w:rPr>
      </w:pPr>
      <w:r>
        <w:rPr>
          <w:rFonts w:ascii="宋体" w:hAnsi="宋体" w:cs="宋体" w:hint="eastAsia"/>
          <w:szCs w:val="21"/>
        </w:rPr>
        <w:t>1.基金募集期间募集的资金应存放于专用账户。</w:t>
      </w:r>
    </w:p>
    <w:p w:rsidR="004B0A92" w14:paraId="7AB5C827" w14:textId="77777777">
      <w:pPr>
        <w:snapToGrid w:val="0"/>
        <w:spacing w:line="360" w:lineRule="auto"/>
        <w:ind w:firstLine="420"/>
        <w:rPr>
          <w:rFonts w:ascii="宋体" w:hAnsi="宋体" w:cs="宋体"/>
          <w:szCs w:val="21"/>
        </w:rPr>
      </w:pPr>
      <w:r>
        <w:rPr>
          <w:rFonts w:ascii="宋体" w:hAnsi="宋体" w:cs="宋体" w:hint="eastAsia"/>
          <w:szCs w:val="21"/>
        </w:rPr>
        <w:t>2.基金募集期满或基金停止募集时，募集的基金份额总额、基金募集金额、基金份额持有人人数符合《基金法》、《运作办法》等有关规定后，属于基金财产的全部资金</w:t>
      </w:r>
      <w:r>
        <w:rPr>
          <w:rFonts w:ascii="宋体" w:hAnsi="宋体" w:cs="宋体"/>
          <w:color w:val="000000"/>
        </w:rPr>
        <w:t>应</w:t>
      </w:r>
      <w:r>
        <w:rPr>
          <w:rFonts w:ascii="宋体" w:hAnsi="宋体" w:cs="宋体"/>
          <w:szCs w:val="21"/>
        </w:rPr>
        <w:t>划入基金托管人为基金开立的基金资金账户，同时在规定时间内，基金管理人应聘请</w:t>
      </w:r>
      <w:r>
        <w:rPr>
          <w:rFonts w:ascii="宋体" w:hAnsi="宋体" w:cs="宋体" w:hint="eastAsia"/>
          <w:szCs w:val="21"/>
        </w:rPr>
        <w:t>符合《证券法》规定的会计师事务所进行验资，出具验资报告。出具的验资报告由参加验资的2名或2名以上中国注册会计师签字方为有效。</w:t>
      </w:r>
    </w:p>
    <w:p w:rsidR="004B0A92" w14:paraId="2ACC7D86" w14:textId="77777777">
      <w:pPr>
        <w:snapToGrid w:val="0"/>
        <w:spacing w:line="360" w:lineRule="auto"/>
        <w:ind w:firstLine="420"/>
        <w:rPr>
          <w:rFonts w:ascii="宋体" w:hAnsi="宋体" w:cs="宋体"/>
          <w:szCs w:val="21"/>
        </w:rPr>
      </w:pPr>
      <w:r>
        <w:rPr>
          <w:rFonts w:ascii="宋体" w:hAnsi="宋体" w:cs="宋体" w:hint="eastAsia"/>
          <w:szCs w:val="21"/>
        </w:rPr>
        <w:t>3.若基金募集期限届满，未能达到基金合同生效的条件，由基金管理人按规定办理退款等事宜。</w:t>
      </w:r>
    </w:p>
    <w:p w:rsidR="004B0A92" w14:paraId="01F8532D" w14:textId="77777777">
      <w:pPr>
        <w:snapToGrid w:val="0"/>
        <w:spacing w:line="360" w:lineRule="auto"/>
        <w:ind w:firstLine="420"/>
        <w:rPr>
          <w:rFonts w:ascii="宋体" w:hAnsi="宋体" w:cs="宋体"/>
          <w:szCs w:val="21"/>
        </w:rPr>
      </w:pPr>
      <w:r>
        <w:rPr>
          <w:rFonts w:ascii="宋体" w:hAnsi="宋体" w:cs="宋体" w:hint="eastAsia"/>
          <w:szCs w:val="21"/>
        </w:rPr>
        <w:t>（三）基金资金账户的开立和管理</w:t>
      </w:r>
    </w:p>
    <w:p w:rsidR="004B0A92" w14:paraId="2E9BA27E" w14:textId="77777777">
      <w:pPr>
        <w:snapToGrid w:val="0"/>
        <w:spacing w:line="360" w:lineRule="auto"/>
        <w:ind w:firstLine="420"/>
        <w:rPr>
          <w:rFonts w:ascii="宋体" w:hAnsi="宋体" w:cs="宋体"/>
          <w:szCs w:val="21"/>
        </w:rPr>
      </w:pPr>
      <w:r>
        <w:rPr>
          <w:rFonts w:ascii="宋体" w:hAnsi="宋体" w:cs="宋体" w:hint="eastAsia"/>
          <w:szCs w:val="21"/>
        </w:rPr>
        <w:t>1.基金托管人以本基金的名义在其营业机构开立基金的资金账户（也可称为“托管账户”），保管基金的银行存款，并根据基金管理人的指令办理资金收付。托管资金账户名称原则上应当包含开户主体和产品名称字样，具体名称以实际开立为准，预留印鉴为基金托管人印章。</w:t>
      </w:r>
    </w:p>
    <w:p w:rsidR="004B0A92" w14:paraId="23B577A5" w14:textId="77777777">
      <w:pPr>
        <w:snapToGrid w:val="0"/>
        <w:spacing w:line="360" w:lineRule="auto"/>
        <w:ind w:firstLine="420"/>
        <w:rPr>
          <w:rFonts w:ascii="宋体" w:hAnsi="宋体" w:cs="宋体"/>
          <w:szCs w:val="21"/>
        </w:rPr>
      </w:pPr>
      <w:r>
        <w:rPr>
          <w:rFonts w:ascii="宋体" w:hAnsi="宋体" w:cs="宋体" w:hint="eastAsia"/>
          <w:szCs w:val="21"/>
        </w:rPr>
        <w:t>2.基金资金账户的开立和使用，限于满足开展本基金业务的需要。基金托管人和基金管理人不得假借本基金的名义开立任何其他银行账户；亦不得使用基金的任何账户进行本基金业务以外的活动。</w:t>
      </w:r>
    </w:p>
    <w:p w:rsidR="004B0A92" w14:paraId="03BBC472" w14:textId="77777777">
      <w:pPr>
        <w:snapToGrid w:val="0"/>
        <w:spacing w:line="360" w:lineRule="auto"/>
        <w:ind w:firstLine="420"/>
        <w:rPr>
          <w:rFonts w:ascii="宋体" w:hAnsi="宋体" w:cs="宋体"/>
          <w:szCs w:val="21"/>
        </w:rPr>
      </w:pPr>
      <w:r>
        <w:rPr>
          <w:rFonts w:ascii="宋体" w:hAnsi="宋体" w:cs="宋体" w:hint="eastAsia"/>
          <w:szCs w:val="21"/>
        </w:rPr>
        <w:t>3.基金资金账户的开立和管理应符合法律法规及银行业监督管理机构的有关规定。</w:t>
      </w:r>
    </w:p>
    <w:p w:rsidR="004B0A92" w14:paraId="556BF22D" w14:textId="77777777">
      <w:pPr>
        <w:snapToGrid w:val="0"/>
        <w:spacing w:line="360" w:lineRule="auto"/>
        <w:ind w:firstLine="420"/>
        <w:rPr>
          <w:rFonts w:ascii="宋体" w:hAnsi="宋体" w:cs="宋体"/>
          <w:szCs w:val="21"/>
        </w:rPr>
      </w:pPr>
      <w:r>
        <w:rPr>
          <w:rFonts w:ascii="宋体" w:hAnsi="宋体" w:cs="宋体" w:hint="eastAsia"/>
          <w:szCs w:val="21"/>
        </w:rPr>
        <w:t>（四）基金证券账户和结算备付金账户的开立和管理</w:t>
      </w:r>
    </w:p>
    <w:p w:rsidR="004B0A92" w14:paraId="29367AFF" w14:textId="77777777">
      <w:pPr>
        <w:snapToGrid w:val="0"/>
        <w:spacing w:line="360" w:lineRule="auto"/>
        <w:ind w:firstLine="420"/>
        <w:rPr>
          <w:rFonts w:ascii="宋体" w:hAnsi="宋体" w:cs="宋体"/>
          <w:szCs w:val="21"/>
        </w:rPr>
      </w:pPr>
      <w:r>
        <w:rPr>
          <w:rFonts w:ascii="宋体" w:hAnsi="宋体" w:cs="宋体" w:hint="eastAsia"/>
          <w:szCs w:val="21"/>
        </w:rPr>
        <w:t>1.基金托管人在中国证券登记结算有限责任公司为基金开立基金托管人与基金联名的证券账户。</w:t>
      </w:r>
    </w:p>
    <w:p w:rsidR="004B0A92" w14:paraId="2A194987" w14:textId="77777777">
      <w:pPr>
        <w:snapToGrid w:val="0"/>
        <w:spacing w:line="360" w:lineRule="auto"/>
        <w:ind w:firstLine="420"/>
        <w:rPr>
          <w:rFonts w:ascii="宋体" w:hAnsi="宋体" w:cs="宋体"/>
          <w:szCs w:val="21"/>
        </w:rPr>
      </w:pPr>
      <w:r>
        <w:rPr>
          <w:rFonts w:ascii="宋体" w:hAnsi="宋体" w:cs="宋体" w:hint="eastAsia"/>
          <w:szCs w:val="21"/>
        </w:rPr>
        <w:t>2.基金证券账户的开立和使用，仅限于满足开展本基金业务的需要。基金托管人和基金管理人不得出借或未经对方同意擅自转让基金的任何证券账户，亦不得使用基金的任何账户进行本基金业务以外的活动。</w:t>
      </w:r>
    </w:p>
    <w:p w:rsidR="004B0A92" w14:paraId="27267F0F" w14:textId="77777777">
      <w:pPr>
        <w:snapToGrid w:val="0"/>
        <w:spacing w:line="360" w:lineRule="auto"/>
        <w:ind w:firstLine="420"/>
        <w:rPr>
          <w:rFonts w:ascii="宋体" w:hAnsi="宋体" w:cs="宋体"/>
          <w:szCs w:val="21"/>
        </w:rPr>
      </w:pPr>
      <w:r>
        <w:rPr>
          <w:rFonts w:ascii="宋体" w:hAnsi="宋体" w:cs="宋体" w:hint="eastAsia"/>
          <w:szCs w:val="21"/>
        </w:rPr>
        <w:t>3.基金证券账户的开立和证券账户卡的保管由基金托管人负责，账户资产的管理和运用由基金管理人负责。</w:t>
      </w:r>
    </w:p>
    <w:p w:rsidR="004B0A92" w14:paraId="0AE53313" w14:textId="77777777">
      <w:pPr>
        <w:snapToGrid w:val="0"/>
        <w:spacing w:line="360" w:lineRule="auto"/>
        <w:ind w:firstLine="420"/>
        <w:rPr>
          <w:rFonts w:ascii="宋体" w:hAnsi="宋体" w:cs="宋体"/>
          <w:szCs w:val="21"/>
        </w:rPr>
      </w:pPr>
      <w:r>
        <w:rPr>
          <w:rFonts w:ascii="宋体" w:hAnsi="宋体" w:cs="宋体" w:hint="eastAsia"/>
          <w:szCs w:val="21"/>
        </w:rPr>
        <w:t>4.基金托管人以基金托管人的名义在中国证券登记结算有限责任公司开立结算备付金账户，并代表所托管的基金完成与中国证券登记结算有限责任公司的一级法人清算工作，基金管理人应予以积极协助。结算备付金、结算保证金等的收取按照中国证券登记结算有限责任公司的规定执行。</w:t>
      </w:r>
    </w:p>
    <w:p w:rsidR="004B0A92" w14:paraId="15E52477" w14:textId="77777777">
      <w:pPr>
        <w:snapToGrid w:val="0"/>
        <w:spacing w:line="360" w:lineRule="auto"/>
        <w:ind w:firstLine="420"/>
        <w:rPr>
          <w:rFonts w:ascii="宋体" w:hAnsi="宋体" w:cs="宋体"/>
          <w:szCs w:val="21"/>
        </w:rPr>
      </w:pPr>
      <w:r>
        <w:rPr>
          <w:rFonts w:ascii="宋体" w:hAnsi="宋体" w:cs="宋体" w:hint="eastAsia"/>
          <w:szCs w:val="21"/>
        </w:rPr>
        <w:t>5.若中国证监会或其他监管机构在本托管协议订立日之后允许基金从事其他投资品种的投资业务，涉及相关账户的开立、使用的，</w:t>
      </w:r>
      <w:r>
        <w:rPr>
          <w:rFonts w:ascii="宋体" w:hAnsi="宋体" w:cs="宋体" w:hint="eastAsia"/>
          <w:color w:val="000000"/>
          <w:szCs w:val="21"/>
        </w:rPr>
        <w:t>按有关规定开立、使用并管理；</w:t>
      </w:r>
      <w:r>
        <w:rPr>
          <w:rFonts w:ascii="宋体" w:hAnsi="宋体" w:cs="宋体" w:hint="eastAsia"/>
          <w:szCs w:val="21"/>
        </w:rPr>
        <w:t>若无相关规定，则基金托管人比照上述关于账户开立、使用的规定执行。</w:t>
      </w:r>
    </w:p>
    <w:p w:rsidR="004B0A92" w14:paraId="12B4A46D" w14:textId="77777777">
      <w:pPr>
        <w:snapToGrid w:val="0"/>
        <w:spacing w:line="360" w:lineRule="auto"/>
        <w:ind w:firstLine="420"/>
        <w:rPr>
          <w:rFonts w:ascii="宋体" w:hAnsi="宋体" w:cs="宋体"/>
          <w:szCs w:val="21"/>
        </w:rPr>
      </w:pPr>
      <w:r>
        <w:rPr>
          <w:rFonts w:ascii="宋体" w:hAnsi="宋体" w:cs="宋体" w:hint="eastAsia"/>
          <w:szCs w:val="21"/>
        </w:rPr>
        <w:t>（五）债券托管账户的开设和管理</w:t>
      </w:r>
    </w:p>
    <w:p w:rsidR="004B0A92" w14:paraId="3714B01B" w14:textId="77777777">
      <w:pPr>
        <w:snapToGrid w:val="0"/>
        <w:spacing w:line="360" w:lineRule="auto"/>
        <w:ind w:firstLine="420"/>
        <w:rPr>
          <w:rFonts w:ascii="宋体" w:hAnsi="宋体" w:cs="宋体"/>
          <w:szCs w:val="21"/>
        </w:rPr>
      </w:pPr>
      <w:r>
        <w:rPr>
          <w:rFonts w:ascii="宋体" w:hAnsi="宋体" w:cs="宋体" w:hint="eastAsia"/>
          <w:szCs w:val="21"/>
        </w:rPr>
        <w:t>基金合同生效后，基金托管人根据中国人民银行、中央国债登记结算有限责任公司和银行间市场清算所股份有限公司的有关规定，以基金的名义在</w:t>
      </w:r>
      <w:r>
        <w:rPr>
          <w:rFonts w:ascii="宋体" w:hAnsi="宋体" w:cs="宋体" w:hint="eastAsia"/>
        </w:rPr>
        <w:t>银行间市场登记结算机构</w:t>
      </w:r>
      <w:r>
        <w:rPr>
          <w:rFonts w:ascii="宋体" w:hAnsi="宋体" w:cs="宋体" w:hint="eastAsia"/>
          <w:szCs w:val="21"/>
        </w:rPr>
        <w:t>开立债券托管账户，并代表基金进行银行间市场债券的结算。</w:t>
      </w:r>
    </w:p>
    <w:p w:rsidR="004B0A92" w14:paraId="2FB4D2BA" w14:textId="77777777">
      <w:pPr>
        <w:snapToGrid w:val="0"/>
        <w:spacing w:line="360" w:lineRule="auto"/>
        <w:ind w:firstLine="420"/>
        <w:rPr>
          <w:rFonts w:ascii="宋体" w:hAnsi="宋体" w:cs="宋体"/>
          <w:szCs w:val="21"/>
        </w:rPr>
      </w:pPr>
      <w:r>
        <w:rPr>
          <w:rFonts w:ascii="宋体" w:hAnsi="宋体" w:cs="宋体" w:hint="eastAsia"/>
          <w:szCs w:val="21"/>
        </w:rPr>
        <w:t>（六）其他账户的开立和管理</w:t>
      </w:r>
    </w:p>
    <w:p w:rsidR="004B0A92" w14:paraId="4704F805" w14:textId="77777777">
      <w:pPr>
        <w:snapToGrid w:val="0"/>
        <w:spacing w:line="360" w:lineRule="auto"/>
        <w:ind w:firstLine="420"/>
        <w:rPr>
          <w:rFonts w:ascii="宋体" w:hAnsi="宋体" w:cs="宋体"/>
          <w:szCs w:val="21"/>
        </w:rPr>
      </w:pPr>
      <w:r>
        <w:rPr>
          <w:rFonts w:ascii="宋体" w:hAnsi="宋体" w:cs="宋体" w:hint="eastAsia"/>
          <w:szCs w:val="21"/>
        </w:rPr>
        <w:t>1.基金管理人根据投资需要按照规定开立期货保证金账户及期货交易编码等，基金托管人按照规定开立投资所需账户。完成上述账户开立后，基金管理人应以书面形式将期货公司提供的期货保证金账户的初始资金密码和市场监控中心的登录用户名及密码告知基金托管人。资金密码和市场监控中心登录密码重置由基金管理人进行，重置后务必及时通知基金托管人。</w:t>
      </w:r>
    </w:p>
    <w:p w:rsidR="004B0A92" w14:paraId="24ABB87A" w14:textId="77777777">
      <w:pPr>
        <w:snapToGrid w:val="0"/>
        <w:spacing w:line="360" w:lineRule="auto"/>
        <w:ind w:firstLine="420"/>
        <w:rPr>
          <w:rFonts w:ascii="宋体" w:hAnsi="宋体" w:cs="宋体"/>
          <w:szCs w:val="21"/>
        </w:rPr>
      </w:pPr>
      <w:r>
        <w:rPr>
          <w:rFonts w:ascii="宋体" w:hAnsi="宋体" w:cs="宋体" w:hint="eastAsia"/>
          <w:szCs w:val="21"/>
        </w:rPr>
        <w:t>基金托管人和基金管理人应当在开户过程中相互配合，并提供所需资料。基金管理人保证所提供的账户开户材料的真实性和有效性，且在相关资料变更后及时将变更的资料提供给基金托管人。</w:t>
      </w:r>
    </w:p>
    <w:p w:rsidR="004B0A92" w14:paraId="6AD0DFEF" w14:textId="77777777">
      <w:pPr>
        <w:snapToGrid w:val="0"/>
        <w:spacing w:line="360" w:lineRule="auto"/>
        <w:ind w:firstLine="420"/>
        <w:rPr>
          <w:rFonts w:ascii="宋体" w:hAnsi="宋体" w:cs="宋体"/>
          <w:szCs w:val="21"/>
        </w:rPr>
      </w:pPr>
      <w:r>
        <w:rPr>
          <w:rFonts w:ascii="宋体" w:hAnsi="宋体" w:cs="宋体" w:hint="eastAsia"/>
          <w:szCs w:val="21"/>
        </w:rPr>
        <w:t>2.因业务发展需要而开立的其他账户，可以根据法律法规和基金合同的规定，由基金管理人协助基金托管人按照有关法律法规和本协议的约定协商后开立。新账户按有关规定使用并管理。</w:t>
      </w:r>
    </w:p>
    <w:p w:rsidR="004B0A92" w14:paraId="6A2BB5D4" w14:textId="77777777">
      <w:pPr>
        <w:snapToGrid w:val="0"/>
        <w:spacing w:line="360" w:lineRule="auto"/>
        <w:ind w:firstLine="420"/>
        <w:rPr>
          <w:rFonts w:ascii="宋体" w:hAnsi="宋体" w:cs="宋体"/>
          <w:szCs w:val="21"/>
        </w:rPr>
      </w:pPr>
      <w:r>
        <w:rPr>
          <w:rFonts w:ascii="宋体" w:hAnsi="宋体" w:cs="宋体" w:hint="eastAsia"/>
          <w:szCs w:val="21"/>
        </w:rPr>
        <w:t>3.法律法规等有关规定对相关账户的开立和管理另有规定的，从其规定办理。</w:t>
      </w:r>
    </w:p>
    <w:p w:rsidR="004B0A92" w14:paraId="29EB7656" w14:textId="77777777">
      <w:pPr>
        <w:snapToGrid w:val="0"/>
        <w:spacing w:line="360" w:lineRule="auto"/>
        <w:ind w:firstLine="420"/>
        <w:rPr>
          <w:rFonts w:ascii="宋体" w:hAnsi="宋体" w:cs="宋体"/>
          <w:szCs w:val="21"/>
        </w:rPr>
      </w:pPr>
      <w:r>
        <w:rPr>
          <w:rFonts w:ascii="宋体" w:hAnsi="宋体" w:cs="宋体" w:hint="eastAsia"/>
          <w:szCs w:val="21"/>
        </w:rPr>
        <w:t>（七）基金财产投资的有关有价凭证等的保管</w:t>
      </w:r>
    </w:p>
    <w:p w:rsidR="004B0A92" w14:paraId="49277F6F" w14:textId="77777777">
      <w:pPr>
        <w:snapToGrid w:val="0"/>
        <w:spacing w:line="360" w:lineRule="auto"/>
        <w:ind w:firstLine="420"/>
        <w:rPr>
          <w:rFonts w:ascii="宋体" w:hAnsi="宋体" w:cs="宋体"/>
          <w:szCs w:val="21"/>
        </w:rPr>
      </w:pPr>
      <w:r>
        <w:rPr>
          <w:rFonts w:ascii="宋体" w:hAnsi="宋体" w:cs="宋体" w:hint="eastAsia"/>
          <w:szCs w:val="21"/>
        </w:rPr>
        <w:t>基金财产投资的有关实物证券等有价凭证按约定由基金托管人存放于基金托管人的保管库，或存入中央国债登记结算有限责任公司、银行间市场清算所股份有限公司、中国证券登记结算有限责任公司或票据营业中心的代保管库，实物保管凭证由基金托管人持有。实物证券等有价凭证的购买和转让，由基金托管人根据基金管理人的指令办理。基金托管人对由上述存放机构及基金托管人以外机构实际有效控制的有价凭证不承担保管责任。</w:t>
      </w:r>
    </w:p>
    <w:p w:rsidR="004B0A92" w14:paraId="0B509607" w14:textId="77777777">
      <w:pPr>
        <w:snapToGrid w:val="0"/>
        <w:spacing w:line="360" w:lineRule="auto"/>
        <w:ind w:firstLine="420"/>
        <w:rPr>
          <w:rFonts w:ascii="宋体" w:hAnsi="宋体" w:cs="宋体"/>
          <w:szCs w:val="21"/>
        </w:rPr>
      </w:pPr>
      <w:r>
        <w:rPr>
          <w:rFonts w:ascii="宋体" w:hAnsi="宋体" w:cs="宋体" w:hint="eastAsia"/>
          <w:szCs w:val="21"/>
        </w:rPr>
        <w:t>（八）与基金财产有关的重大合同的保管</w:t>
      </w:r>
    </w:p>
    <w:p w:rsidR="004B0A92" w14:paraId="2D982FB5" w14:textId="77777777">
      <w:pPr>
        <w:snapToGrid w:val="0"/>
        <w:spacing w:line="360" w:lineRule="auto"/>
        <w:ind w:firstLine="420"/>
        <w:rPr>
          <w:rFonts w:ascii="宋体" w:hAnsi="宋体" w:cs="宋体"/>
          <w:szCs w:val="21"/>
        </w:rPr>
      </w:pPr>
      <w:r>
        <w:rPr>
          <w:rFonts w:ascii="宋体" w:hAnsi="宋体" w:cs="宋体" w:hint="eastAsia"/>
          <w:szCs w:val="21"/>
        </w:rPr>
        <w:t>由基金管理人代表基金签署的、与基金财产有关的重大合同的原件分别由基金管理人、基金托管人保管。除本协议另有规定外，基金管理人代表基金签署的与基金财产有关的重大合同应保证基金管理人和基金托管人至少各持有一份正本的原件。基金管理人应在重大合同签署后及时将重大合同传真给基金托管人，并在三十个工作日内将正本送达基金托管人处。因基金管理人发送的合同传真件与事后送达的合同原件不一致所造成的后果，由基金管理人负责。重大合同的保管期限为基金合同终止后不少于</w:t>
      </w:r>
      <w:r>
        <w:rPr>
          <w:rFonts w:ascii="宋体" w:hAnsi="宋体" w:cs="宋体"/>
          <w:szCs w:val="21"/>
        </w:rPr>
        <w:t>20</w:t>
      </w:r>
      <w:r>
        <w:rPr>
          <w:rFonts w:ascii="宋体" w:hAnsi="宋体" w:cs="宋体" w:hint="eastAsia"/>
          <w:szCs w:val="21"/>
        </w:rPr>
        <w:t>年。</w:t>
      </w:r>
    </w:p>
    <w:p w:rsidR="004B0A92" w14:paraId="426B1031" w14:textId="77777777">
      <w:pPr>
        <w:snapToGrid w:val="0"/>
        <w:spacing w:line="360" w:lineRule="auto"/>
        <w:ind w:firstLine="420"/>
        <w:rPr>
          <w:rFonts w:ascii="宋体" w:hAnsi="宋体" w:cs="宋体"/>
          <w:szCs w:val="21"/>
        </w:rPr>
      </w:pPr>
      <w:r>
        <w:rPr>
          <w:rFonts w:ascii="宋体" w:hAnsi="宋体" w:cs="宋体" w:hint="eastAsia"/>
          <w:szCs w:val="21"/>
        </w:rPr>
        <w:t>对于无法取得二份以上的正本的，基金管理人应向基金托管人提供加盖公章的合同传真件，未经双方协商一致，合同原件不得转移。基金管理人向基金托管人提供的合同传真件与基金管理人留存原件不一致的，以传真件为准。</w:t>
      </w:r>
    </w:p>
    <w:p w:rsidR="004B0A92" w14:paraId="2058EEAF" w14:textId="77777777">
      <w:pPr>
        <w:spacing w:line="360" w:lineRule="auto"/>
        <w:ind w:firstLine="420"/>
        <w:rPr>
          <w:rFonts w:ascii="宋体" w:hAnsi="宋体" w:cs="宋体"/>
          <w:szCs w:val="21"/>
        </w:rPr>
      </w:pPr>
    </w:p>
    <w:p w:rsidR="004B0A92" w14:paraId="0EC982F9" w14:textId="77777777">
      <w:pPr>
        <w:pStyle w:val="21"/>
        <w:spacing w:before="312" w:after="156" w:line="360" w:lineRule="auto"/>
        <w:jc w:val="center"/>
        <w:rPr>
          <w:rFonts w:ascii="宋体" w:eastAsia="宋体" w:hAnsi="宋体" w:cs="宋体"/>
          <w:sz w:val="21"/>
          <w:szCs w:val="21"/>
        </w:rPr>
      </w:pPr>
      <w:bookmarkStart w:id="51" w:name="_Toc84133787"/>
      <w:bookmarkStart w:id="52" w:name="_Toc84234436"/>
      <w:bookmarkStart w:id="53" w:name="_Toc86223244"/>
      <w:bookmarkStart w:id="54" w:name="_Toc86225293"/>
      <w:bookmarkStart w:id="55" w:name="_Toc86204790"/>
      <w:bookmarkStart w:id="56" w:name="_Toc84234389"/>
      <w:bookmarkStart w:id="57" w:name="_Toc118972650"/>
      <w:bookmarkStart w:id="58" w:name="_Toc120435785"/>
      <w:bookmarkStart w:id="59" w:name="_Toc119402712"/>
      <w:bookmarkStart w:id="60" w:name="_Toc118774805"/>
      <w:bookmarkStart w:id="61" w:name="_Toc118212952"/>
      <w:bookmarkStart w:id="62" w:name="_Toc110830494"/>
      <w:bookmarkStart w:id="63" w:name="_Toc110765662"/>
      <w:bookmarkStart w:id="64" w:name="_Toc110761798"/>
      <w:bookmarkStart w:id="65" w:name="_Toc108512360"/>
      <w:bookmarkStart w:id="66" w:name="_Toc89163370"/>
      <w:bookmarkStart w:id="67" w:name="_Toc86737931"/>
      <w:bookmarkStart w:id="68" w:name="_Toc86726441"/>
      <w:bookmarkStart w:id="69" w:name="_Toc86727357"/>
      <w:bookmarkStart w:id="70" w:name="_Toc86649724"/>
      <w:r>
        <w:rPr>
          <w:rFonts w:ascii="宋体" w:eastAsia="宋体" w:hAnsi="宋体" w:cs="宋体"/>
          <w:sz w:val="21"/>
          <w:szCs w:val="21"/>
        </w:rPr>
        <w:br w:type="page"/>
      </w:r>
      <w:bookmarkStart w:id="71" w:name="_Toc348082034"/>
      <w:bookmarkStart w:id="72" w:name="_Toc384992696"/>
      <w:r>
        <w:rPr>
          <w:rFonts w:ascii="宋体" w:eastAsia="宋体" w:hAnsi="宋体" w:cs="宋体" w:hint="eastAsia"/>
          <w:sz w:val="21"/>
          <w:szCs w:val="21"/>
        </w:rPr>
        <w:t>六、指令的发送、确认及执行</w:t>
      </w:r>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p>
    <w:p w:rsidR="004B0A92" w14:paraId="63B2444D" w14:textId="77777777">
      <w:pPr>
        <w:spacing w:line="360" w:lineRule="auto"/>
        <w:ind w:firstLine="420"/>
        <w:rPr>
          <w:rFonts w:ascii="宋体" w:hAnsi="宋体" w:cs="宋体"/>
          <w:color w:val="000000"/>
        </w:rPr>
      </w:pPr>
      <w:r>
        <w:rPr>
          <w:rFonts w:ascii="宋体" w:hAnsi="宋体" w:cs="宋体"/>
          <w:color w:val="000000"/>
        </w:rPr>
        <w:t>基金管理人在运用基金财产时向基金托管人发送资金划拨及其他款项付款指令，基金托管人执行基金管理人的指令、办理基金名下的资金往来等有关事项。</w:t>
      </w:r>
    </w:p>
    <w:p w:rsidR="004B0A92" w14:paraId="48F32081" w14:textId="77777777">
      <w:pPr>
        <w:spacing w:line="360" w:lineRule="auto"/>
        <w:ind w:firstLine="420"/>
      </w:pPr>
      <w:r>
        <w:rPr>
          <w:rFonts w:ascii="宋体" w:hAnsi="宋体" w:cs="宋体"/>
          <w:color w:val="000000"/>
        </w:rPr>
        <w:t>基金管理人发送的指令包括电子指令和纸质指令。</w:t>
      </w:r>
    </w:p>
    <w:p w:rsidR="004B0A92" w14:paraId="3232C93C" w14:textId="77777777">
      <w:pPr>
        <w:spacing w:line="360" w:lineRule="auto"/>
        <w:ind w:firstLine="420"/>
      </w:pPr>
      <w:r>
        <w:rPr>
          <w:rFonts w:ascii="宋体" w:hAnsi="宋体" w:cs="宋体"/>
          <w:color w:val="000000"/>
        </w:rPr>
        <w:t>电子指令包括基金管理人发送的电子指令（采用电子报文传送的电子指令、 招商银行托管+综合服务平台录入的电子指令）、自动产生的电子指令（网上托管银行托管人端根据管理人同意设定的业务规则自动产生的电子指令）。纸质指令包括基金管理人给基金托管人传真指令、邮件指令或原件指令。</w:t>
      </w:r>
    </w:p>
    <w:p w:rsidR="004B0A92" w14:paraId="615ECA80" w14:textId="77777777">
      <w:pPr>
        <w:spacing w:line="360" w:lineRule="auto"/>
        <w:ind w:firstLine="420"/>
      </w:pPr>
      <w:r>
        <w:rPr>
          <w:rFonts w:ascii="宋体" w:hAnsi="宋体" w:cs="宋体"/>
          <w:color w:val="000000"/>
        </w:rPr>
        <w:t>基金管理人在发送纸质指令前，应出具传真指令启用函。</w:t>
      </w:r>
    </w:p>
    <w:p w:rsidR="004B0A92" w14:paraId="0C8B8A30" w14:textId="77777777">
      <w:pPr>
        <w:spacing w:line="360" w:lineRule="auto"/>
        <w:ind w:firstLine="420"/>
      </w:pPr>
      <w:r>
        <w:rPr>
          <w:rFonts w:ascii="宋体" w:hAnsi="宋体" w:cs="宋体"/>
          <w:color w:val="000000"/>
        </w:rPr>
        <w:t>（一）基金管理人对发送指令人员的书面授权</w:t>
      </w:r>
    </w:p>
    <w:p w:rsidR="004B0A92" w14:paraId="60410650" w14:textId="77777777">
      <w:pPr>
        <w:spacing w:line="360" w:lineRule="auto"/>
        <w:ind w:firstLine="420"/>
      </w:pPr>
      <w:r>
        <w:rPr>
          <w:rFonts w:ascii="宋体" w:hAnsi="宋体" w:cs="宋体"/>
          <w:color w:val="000000"/>
        </w:rPr>
        <w:t>基金管理人应事先向基金托管人提供书面授权通知书（以下称“授权通知书”），指定指令的被授权人员及被授权印鉴，授权通知书的内容包括被授权人的名单、签字/印章样本、权限和预留印鉴。授权通知书应加盖基金管理人公司公章和法定代表人（或授权人）签字/签章，若由授权代表签署，还应附上法定代表人的授权书，并写明生效时间，未写明生效时间的以合同签署日期或授权通知书的落款日期为生效时间。基金管理人应使用传真或其他与基金托管人协商一致的方式向基金托管人发出授权通知书，同时电话通知基金托管人。授权通知书经基金管理人与基金托管人以电话方式或其他基金管理人和基金托管人认可的方式确认后，于授权通知书载明的生效时间生效或授权通知书的落款时间生效。基金管理人在此后五个工作日内将授权通知书的正本送交基金托管人。授权通知书正本内容与基金托管人收到的传真不一致的，以基金托管人收到的传真为准。</w:t>
      </w:r>
    </w:p>
    <w:p w:rsidR="004B0A92" w14:paraId="399C11B7" w14:textId="77777777">
      <w:pPr>
        <w:tabs>
          <w:tab w:val="left" w:pos="1260"/>
        </w:tabs>
        <w:spacing w:line="360" w:lineRule="auto"/>
        <w:ind w:firstLine="420"/>
      </w:pPr>
      <w:r>
        <w:rPr>
          <w:rFonts w:ascii="宋体" w:hAnsi="宋体" w:cs="宋体"/>
          <w:color w:val="000000"/>
        </w:rPr>
        <w:t>基金管理人和基金托管人对授权通知负有保密义务，其内容不得向授权人、被授权人及相关操作人员以外的任何人泄露，但法律法规规定或有权机关另有要求的除外。</w:t>
      </w:r>
    </w:p>
    <w:p w:rsidR="004B0A92" w14:paraId="33606D7A" w14:textId="77777777">
      <w:pPr>
        <w:spacing w:line="360" w:lineRule="auto"/>
        <w:ind w:firstLine="420"/>
      </w:pPr>
      <w:r>
        <w:rPr>
          <w:rFonts w:ascii="宋体" w:hAnsi="宋体" w:cs="宋体"/>
          <w:color w:val="000000"/>
        </w:rPr>
        <w:t>（二）指令的内容</w:t>
      </w:r>
    </w:p>
    <w:p w:rsidR="004B0A92" w14:paraId="1554AC8D" w14:textId="77777777">
      <w:pPr>
        <w:spacing w:line="360" w:lineRule="auto"/>
        <w:ind w:firstLine="420"/>
      </w:pPr>
      <w:r>
        <w:rPr>
          <w:rFonts w:ascii="宋体" w:hAnsi="宋体" w:cs="宋体"/>
          <w:color w:val="000000"/>
        </w:rPr>
        <w:t>投资指令是在管理本基金时，基金管理人向基金托管人发出的交易成交单、交易指令及资金划拨类指令（以下简称“指令”）。指令应加盖预留印鉴并由被授权人签章。基金管理人发给基金托管人的资金划拨类指令应写明款项事由、时间、金额、出款和收款账户信息等。</w:t>
      </w:r>
    </w:p>
    <w:p w:rsidR="004B0A92" w14:paraId="6C6C5EC8" w14:textId="77777777">
      <w:pPr>
        <w:spacing w:line="360" w:lineRule="auto"/>
        <w:ind w:firstLine="420"/>
      </w:pPr>
      <w:r>
        <w:rPr>
          <w:rFonts w:ascii="宋体" w:hAnsi="宋体" w:cs="宋体"/>
          <w:color w:val="000000"/>
        </w:rPr>
        <w:t>（三）指令的发送、确认及执行的时间和程序</w:t>
      </w:r>
    </w:p>
    <w:p w:rsidR="004B0A92" w14:paraId="147D1C64" w14:textId="77777777">
      <w:pPr>
        <w:spacing w:line="360" w:lineRule="auto"/>
        <w:ind w:firstLine="420"/>
        <w:rPr>
          <w:rFonts w:ascii="宋体" w:hAnsi="宋体" w:cs="宋体"/>
          <w:color w:val="000000"/>
        </w:rPr>
      </w:pPr>
      <w:r>
        <w:rPr>
          <w:rFonts w:ascii="宋体" w:hAnsi="宋体" w:cs="宋体" w:hint="eastAsia"/>
          <w:color w:val="000000"/>
        </w:rPr>
        <w:t>1.指令的发送：基金管理人应按照相关法律法规以及本协议的规定，在其合法的经营权限和交易权限内依照授权通知的授权用基金托管人和基金管理人认可的方式向基金托管人发送。基金管理人选择以下第（2）种方式向基金托管人发送指令：</w:t>
      </w:r>
    </w:p>
    <w:p w:rsidR="004B0A92" w14:paraId="1EB6D404" w14:textId="77777777">
      <w:pPr>
        <w:spacing w:line="360" w:lineRule="auto"/>
        <w:ind w:firstLine="420"/>
        <w:rPr>
          <w:rFonts w:ascii="宋体" w:hAnsi="宋体" w:cs="宋体"/>
          <w:color w:val="000000"/>
        </w:rPr>
      </w:pPr>
      <w:r>
        <w:rPr>
          <w:rFonts w:ascii="宋体" w:hAnsi="宋体" w:cs="宋体" w:hint="eastAsia"/>
          <w:color w:val="000000"/>
        </w:rPr>
        <w:t>（1）基金管理人通过招商银行托管+综合服务平台录入方式，向基金托管人发送电子划款指令或投资指令。</w:t>
      </w:r>
    </w:p>
    <w:p w:rsidR="004B0A92" w14:paraId="66F04CF5" w14:textId="77777777">
      <w:pPr>
        <w:spacing w:line="360" w:lineRule="auto"/>
        <w:ind w:firstLine="420"/>
        <w:rPr>
          <w:rFonts w:ascii="宋体" w:hAnsi="宋体" w:cs="宋体"/>
          <w:color w:val="000000"/>
        </w:rPr>
      </w:pPr>
      <w:r>
        <w:rPr>
          <w:rFonts w:ascii="宋体" w:hAnsi="宋体" w:cs="宋体" w:hint="eastAsia"/>
          <w:color w:val="000000"/>
        </w:rPr>
        <w:t>招商银行托管+综合服务平台是指基金托管人基于Internet网络，向基金管理人提供的客户服务软件，实现基金管理人与基金托管人之间指令处理、数据传输、业务查询、资料传递和信息服务等直通式处理。</w:t>
      </w:r>
    </w:p>
    <w:p w:rsidR="004B0A92" w14:paraId="2BC532FD" w14:textId="77777777">
      <w:pPr>
        <w:spacing w:line="360" w:lineRule="auto"/>
        <w:ind w:firstLine="420"/>
        <w:rPr>
          <w:rFonts w:ascii="宋体" w:hAnsi="宋体" w:cs="宋体"/>
          <w:color w:val="000000"/>
        </w:rPr>
      </w:pPr>
      <w:r>
        <w:rPr>
          <w:rFonts w:ascii="宋体" w:hAnsi="宋体" w:cs="宋体" w:hint="eastAsia"/>
          <w:color w:val="000000"/>
        </w:rPr>
        <w:t>基金管理人和基金托管人另行签订《招商银行“托管+”综合服务平台服务协议》，具体事宜以《招商银行“托管+”综合服务平台服务协议》的约定为准。</w:t>
      </w:r>
    </w:p>
    <w:p w:rsidR="004B0A92" w14:paraId="4741E189" w14:textId="77777777">
      <w:pPr>
        <w:spacing w:line="360" w:lineRule="auto"/>
        <w:ind w:firstLine="420"/>
        <w:rPr>
          <w:rFonts w:ascii="宋体" w:hAnsi="宋体" w:cs="宋体"/>
          <w:color w:val="000000"/>
        </w:rPr>
      </w:pPr>
      <w:r>
        <w:rPr>
          <w:rFonts w:ascii="宋体" w:hAnsi="宋体" w:cs="宋体" w:hint="eastAsia"/>
          <w:color w:val="000000"/>
        </w:rPr>
        <w:t>（2）基金管理人通过深证通电子直连对接方式，向基金托管人发送电子划款指令或投资指令。</w:t>
      </w:r>
    </w:p>
    <w:p w:rsidR="004B0A92" w14:paraId="45762580" w14:textId="77777777">
      <w:pPr>
        <w:spacing w:line="360" w:lineRule="auto"/>
        <w:ind w:firstLine="420"/>
        <w:rPr>
          <w:rFonts w:ascii="宋体" w:hAnsi="宋体" w:cs="宋体"/>
          <w:color w:val="000000"/>
        </w:rPr>
      </w:pPr>
      <w:r>
        <w:rPr>
          <w:rFonts w:ascii="宋体" w:hAnsi="宋体" w:cs="宋体" w:hint="eastAsia"/>
          <w:color w:val="000000"/>
        </w:rPr>
        <w:t>对于基金管理人通过上述（1）、（2）方式发送的指令，基金管理人不得否认其效力。</w:t>
      </w:r>
    </w:p>
    <w:p w:rsidR="004B0A92" w14:paraId="60898C72" w14:textId="77777777">
      <w:pPr>
        <w:spacing w:line="360" w:lineRule="auto"/>
        <w:ind w:firstLine="420"/>
        <w:rPr>
          <w:rFonts w:ascii="宋体" w:hAnsi="宋体" w:cs="宋体"/>
          <w:color w:val="000000"/>
        </w:rPr>
      </w:pPr>
      <w:r>
        <w:rPr>
          <w:rFonts w:ascii="宋体" w:hAnsi="宋体" w:cs="宋体" w:hint="eastAsia"/>
          <w:color w:val="000000"/>
        </w:rPr>
        <w:t>对于基金管理人通过上述（1）、（2）方式发送指令的，在应急情况下，基金管理人可以传真、邮件发送划款指令或者通过快递、现场交互原件指令。具体操作方式分别按照以下第（3）、（4）款指令发送方式执行。</w:t>
      </w:r>
    </w:p>
    <w:p w:rsidR="004B0A92" w14:paraId="17DDCF4D" w14:textId="77777777">
      <w:pPr>
        <w:spacing w:line="360" w:lineRule="auto"/>
        <w:ind w:firstLine="420"/>
        <w:rPr>
          <w:rFonts w:ascii="宋体" w:hAnsi="宋体" w:cs="宋体"/>
          <w:color w:val="000000"/>
        </w:rPr>
      </w:pPr>
      <w:r>
        <w:rPr>
          <w:rFonts w:ascii="宋体" w:hAnsi="宋体" w:cs="宋体" w:hint="eastAsia"/>
          <w:color w:val="000000"/>
        </w:rPr>
        <w:t>（3）基金管理人选择以传真或邮件方式发送指令</w:t>
      </w:r>
    </w:p>
    <w:p w:rsidR="004B0A92" w14:paraId="3366874D" w14:textId="77777777">
      <w:pPr>
        <w:spacing w:line="360" w:lineRule="auto"/>
        <w:ind w:firstLine="420"/>
        <w:rPr>
          <w:rFonts w:ascii="宋体" w:hAnsi="宋体" w:cs="宋体"/>
          <w:color w:val="000000"/>
        </w:rPr>
      </w:pPr>
      <w:r>
        <w:rPr>
          <w:rFonts w:ascii="宋体" w:hAnsi="宋体" w:cs="宋体" w:hint="eastAsia"/>
          <w:color w:val="000000"/>
        </w:rPr>
        <w:t>对于基金管理人通过预留传真号码或预留邮箱发出的指令，基金管理人不得否认其效力。</w:t>
      </w:r>
    </w:p>
    <w:p w:rsidR="004B0A92" w14:paraId="7F617600" w14:textId="77777777">
      <w:pPr>
        <w:spacing w:line="360" w:lineRule="auto"/>
        <w:ind w:firstLine="420"/>
        <w:rPr>
          <w:rFonts w:ascii="宋体" w:hAnsi="宋体" w:cs="宋体"/>
          <w:color w:val="000000"/>
        </w:rPr>
      </w:pPr>
      <w:r>
        <w:rPr>
          <w:rFonts w:ascii="宋体" w:hAnsi="宋体" w:cs="宋体" w:hint="eastAsia"/>
          <w:color w:val="000000"/>
        </w:rPr>
        <w:t>特殊情况下，基金管理人无法使用预留传真号码或预留邮箱发送指令时，可通过非预留传真号码或非预留邮箱应急发送指令，基金管理人须通过授权的电话号码通知基金托管人接收传真或邮件指令。如因基金管理人未通知基金托管人接收传真指令造成的损失，基金托管人不承担责任。上述特殊情况解决后，基金管理人应向基金托管人出具预留传真号码更新通知，并加盖基金管理人在授权通知书中的预留印鉴。</w:t>
      </w:r>
    </w:p>
    <w:p w:rsidR="004B0A92" w14:paraId="58F8E6D1" w14:textId="77777777">
      <w:pPr>
        <w:spacing w:line="360" w:lineRule="auto"/>
        <w:ind w:firstLine="420"/>
        <w:rPr>
          <w:rFonts w:ascii="宋体" w:hAnsi="宋体" w:cs="宋体"/>
          <w:color w:val="000000"/>
        </w:rPr>
      </w:pPr>
      <w:r>
        <w:rPr>
          <w:rFonts w:ascii="宋体" w:hAnsi="宋体" w:cs="宋体" w:hint="eastAsia"/>
          <w:color w:val="000000"/>
        </w:rPr>
        <w:t>（4）基金管理人快递寄送或现场交互指令原件的形式传递指令</w:t>
      </w:r>
    </w:p>
    <w:p w:rsidR="004B0A92" w14:paraId="5FBBD3D7" w14:textId="77777777">
      <w:pPr>
        <w:spacing w:line="360" w:lineRule="auto"/>
        <w:ind w:firstLine="420"/>
        <w:rPr>
          <w:rFonts w:ascii="宋体" w:hAnsi="宋体" w:cs="宋体"/>
          <w:color w:val="000000"/>
        </w:rPr>
      </w:pPr>
      <w:r>
        <w:rPr>
          <w:rFonts w:ascii="宋体" w:hAnsi="宋体" w:cs="宋体" w:hint="eastAsia"/>
          <w:color w:val="000000"/>
        </w:rPr>
        <w:t>如需变更指令发送形式，基金管理人须提前向基金托管人提供变更指令发送形式的指令发送方式变更通知书。</w:t>
      </w:r>
    </w:p>
    <w:p w:rsidR="004B0A92" w14:paraId="43BAB8DF" w14:textId="77777777">
      <w:pPr>
        <w:spacing w:line="360" w:lineRule="auto"/>
        <w:ind w:firstLine="420"/>
        <w:rPr>
          <w:rFonts w:ascii="宋体" w:hAnsi="宋体" w:cs="宋体"/>
          <w:color w:val="000000"/>
        </w:rPr>
      </w:pPr>
      <w:r>
        <w:rPr>
          <w:rFonts w:ascii="宋体" w:hAnsi="宋体" w:cs="宋体" w:hint="eastAsia"/>
          <w:color w:val="000000"/>
        </w:rPr>
        <w:t>2.指令附件的发送方式</w:t>
      </w:r>
    </w:p>
    <w:p w:rsidR="004B0A92" w14:paraId="6D530DB6" w14:textId="77777777">
      <w:pPr>
        <w:spacing w:line="360" w:lineRule="auto"/>
        <w:ind w:firstLine="420"/>
        <w:rPr>
          <w:rFonts w:ascii="宋体" w:hAnsi="宋体" w:cs="宋体"/>
          <w:color w:val="000000"/>
        </w:rPr>
      </w:pPr>
      <w:r>
        <w:rPr>
          <w:rFonts w:ascii="宋体" w:hAnsi="宋体" w:cs="宋体" w:hint="eastAsia"/>
          <w:color w:val="000000"/>
        </w:rPr>
        <w:t>基金管理人向基金托管人发送指令的同时，通过招商银行托管+综合服务平台、预留传真号码或预留指令附件发送电子邮箱提供相关合同、交易凭证或其他证明材料。基金管理人对该等资料的真实性、有效性、完整性和合法合规性负责。</w:t>
      </w:r>
    </w:p>
    <w:p w:rsidR="004B0A92" w14:paraId="264202FE" w14:textId="77777777">
      <w:pPr>
        <w:spacing w:line="360" w:lineRule="auto"/>
        <w:ind w:firstLine="420"/>
        <w:rPr>
          <w:rFonts w:ascii="宋体" w:hAnsi="宋体" w:cs="宋体"/>
          <w:color w:val="000000"/>
        </w:rPr>
      </w:pPr>
      <w:r>
        <w:rPr>
          <w:rFonts w:ascii="宋体" w:hAnsi="宋体" w:cs="宋体" w:hint="eastAsia"/>
          <w:color w:val="000000"/>
        </w:rPr>
        <w:t>对于通过招商银行托管+综合服务平台、预留传真号码或预留电子邮箱发出的指令附件，基金管理人不得否认其效力。</w:t>
      </w:r>
    </w:p>
    <w:p w:rsidR="004B0A92" w14:paraId="4D799820" w14:textId="77777777">
      <w:pPr>
        <w:spacing w:line="360" w:lineRule="auto"/>
        <w:ind w:firstLine="420"/>
        <w:rPr>
          <w:rFonts w:ascii="宋体" w:hAnsi="宋体" w:cs="宋体"/>
          <w:color w:val="000000"/>
        </w:rPr>
      </w:pPr>
      <w:r>
        <w:rPr>
          <w:rFonts w:ascii="宋体" w:hAnsi="宋体" w:cs="宋体" w:hint="eastAsia"/>
          <w:color w:val="000000"/>
        </w:rPr>
        <w:t>3.指令发送的时间</w:t>
      </w:r>
    </w:p>
    <w:p w:rsidR="004B0A92" w14:paraId="4CCDD2E6" w14:textId="77777777">
      <w:pPr>
        <w:spacing w:line="360" w:lineRule="auto"/>
        <w:ind w:firstLine="420"/>
        <w:rPr>
          <w:rFonts w:ascii="宋体" w:hAnsi="宋体" w:cs="宋体"/>
          <w:color w:val="000000"/>
        </w:rPr>
      </w:pPr>
      <w:r>
        <w:rPr>
          <w:rFonts w:ascii="宋体" w:hAnsi="宋体" w:cs="宋体" w:hint="eastAsia"/>
          <w:color w:val="000000"/>
        </w:rPr>
        <w:t>对于新股、新债申购等网下公开发行业务，基金管理人应于网下申购缴款日的10:00前将指令发送给基金托管人。</w:t>
      </w:r>
    </w:p>
    <w:p w:rsidR="004B0A92" w14:paraId="0F20A224" w14:textId="77777777">
      <w:pPr>
        <w:spacing w:line="360" w:lineRule="auto"/>
        <w:ind w:firstLine="420"/>
        <w:rPr>
          <w:rFonts w:ascii="宋体" w:hAnsi="宋体" w:cs="宋体"/>
          <w:color w:val="000000"/>
        </w:rPr>
      </w:pPr>
      <w:r>
        <w:rPr>
          <w:rFonts w:ascii="宋体" w:hAnsi="宋体" w:cs="宋体" w:hint="eastAsia"/>
          <w:color w:val="000000"/>
        </w:rPr>
        <w:t>对于需基金托管人执行指令的期货出入金业务，基金管理人应于交易日期货出入金截止时间前2小时将期货出入金指令发送至基金托管人。如果选择银期转账出入金，正常情况下由基金托管人依据基金管理人发出的出入金指令，通过期货结算银行银期转账系统进行出入金操作。如果选择非银期转账手工出入金，入金由基金托管人依据基金管理人提供的划款指令通过结算银行的网银系统划往期货公司指定账户后，由基金管理人通知期货公司进行入金操作，出金由基金管理人通知期货公司出金后，由期货公司依据基金管理人提供的出金指令划往本基金托管账户。</w:t>
      </w:r>
    </w:p>
    <w:p w:rsidR="004B0A92" w14:paraId="71F8F7B9" w14:textId="77777777">
      <w:pPr>
        <w:spacing w:line="360" w:lineRule="auto"/>
        <w:ind w:firstLine="420"/>
        <w:rPr>
          <w:rFonts w:ascii="宋体" w:hAnsi="宋体" w:cs="宋体"/>
          <w:color w:val="000000"/>
        </w:rPr>
      </w:pPr>
      <w:r>
        <w:rPr>
          <w:rFonts w:ascii="宋体" w:hAnsi="宋体" w:cs="宋体" w:hint="eastAsia"/>
          <w:color w:val="000000"/>
        </w:rPr>
        <w:t>对于场内业务，首次进行场内交易前基金管理人应与基金托管人确认已完成交易单元和股东代码设置后方可进行。</w:t>
      </w:r>
    </w:p>
    <w:p w:rsidR="004B0A92" w14:paraId="77445A55" w14:textId="77777777">
      <w:pPr>
        <w:spacing w:line="360" w:lineRule="auto"/>
        <w:ind w:firstLine="420"/>
        <w:rPr>
          <w:rFonts w:ascii="宋体" w:hAnsi="宋体" w:cs="宋体"/>
          <w:color w:val="000000"/>
        </w:rPr>
      </w:pPr>
      <w:r>
        <w:rPr>
          <w:rFonts w:ascii="宋体" w:hAnsi="宋体" w:cs="宋体" w:hint="eastAsia"/>
          <w:color w:val="000000"/>
        </w:rPr>
        <w:t>对于银行间业务，如需发送银行间成交单或者划款指令的，基金管理人应于交易日15:00前将银行间成交单及相关划款指令发送至基金托管人。基金管理人应与基金托管人确认基金托管人已完成证书和权限设置后方可进行本基金的银行间交易。对于向基金托管人出具无需银行间成交单授权书的，基金管理人应在首笔银行间交易时通过预留电话通知基金托管人，如基金管理人未通知基金托管人，导致指令未执行或执行失败的，基金托管人不承担责任。</w:t>
      </w:r>
    </w:p>
    <w:p w:rsidR="004B0A92" w14:paraId="144A5EE6" w14:textId="77777777">
      <w:pPr>
        <w:spacing w:line="360" w:lineRule="auto"/>
        <w:ind w:firstLine="420"/>
        <w:rPr>
          <w:rFonts w:ascii="宋体" w:hAnsi="宋体" w:cs="宋体"/>
          <w:color w:val="000000"/>
        </w:rPr>
      </w:pPr>
      <w:r>
        <w:rPr>
          <w:rFonts w:ascii="宋体" w:hAnsi="宋体" w:cs="宋体" w:hint="eastAsia"/>
          <w:color w:val="000000"/>
        </w:rPr>
        <w:t>对于指定时间出款的交易指令，基金管理人应提前2小时将指令发送至基金托管人；对于基金管理人于15:00以后发送至基金托管人的指令，基金托管人应尽力配合出款，但不保证当日出款，如出款不成功，基金托管人不承担责任，但应立即通知基金管理人。</w:t>
      </w:r>
    </w:p>
    <w:p w:rsidR="004B0A92" w14:paraId="04276650" w14:textId="77777777">
      <w:pPr>
        <w:spacing w:line="360" w:lineRule="auto"/>
        <w:ind w:firstLine="420"/>
        <w:rPr>
          <w:rFonts w:ascii="宋体" w:hAnsi="宋体" w:cs="宋体"/>
          <w:color w:val="000000"/>
        </w:rPr>
      </w:pPr>
      <w:r>
        <w:rPr>
          <w:rFonts w:ascii="宋体" w:hAnsi="宋体" w:cs="宋体" w:hint="eastAsia"/>
          <w:color w:val="000000"/>
        </w:rPr>
        <w:t>4.指令的执行</w:t>
      </w:r>
    </w:p>
    <w:p w:rsidR="004B0A92" w14:paraId="768CCCD9" w14:textId="77777777">
      <w:pPr>
        <w:spacing w:line="360" w:lineRule="auto"/>
        <w:ind w:firstLine="420"/>
      </w:pPr>
      <w:r>
        <w:rPr>
          <w:rFonts w:ascii="宋体" w:hAnsi="宋体" w:cs="宋体"/>
          <w:color w:val="000000"/>
        </w:rPr>
        <w:t>基金管理人在发送指令时，应确保出款账户有足够的资金余额、文件资料齐全，并为基金托管人留出执行指令所必需的时间，因基金管理人未给予合理必需的时间导致基金托管人操作不成功的，基金托管人不承担责任，但应立即通知基金管理人。</w:t>
      </w:r>
    </w:p>
    <w:p w:rsidR="004B0A92" w14:paraId="129B8D1B" w14:textId="77777777">
      <w:pPr>
        <w:spacing w:line="360" w:lineRule="auto"/>
        <w:ind w:firstLine="420"/>
      </w:pPr>
      <w:r>
        <w:rPr>
          <w:rFonts w:ascii="宋体" w:hAnsi="宋体" w:cs="宋体"/>
          <w:color w:val="000000"/>
        </w:rPr>
        <w:t>基金托管人确认收到基金管理人发送的指令后，应对指令进行形式审查，验证指令的要素（金额、收款账号、收款户名、用途）是否齐全，传真指令还应审核印鉴和印章/签字是否和预留印鉴和签章样本表面一致性相符，传真指令加盖的印鉴和预留印鉴形式上不存在重大差异即视为表面一致性审查通过，对于因传真或扫描引起的印章、签字等变形、扭曲，基金托管人不承担审查义务。基金托管人仅对基金管理人提交的指令按照本协议约定进行表面一致性审查，不负责审查基金管理人发送指令同时提交的其他文件资料的合法性、真实性、完整性和有效性，基金管理人应保证上述文件资料合法、真实、完整和有效。如因基金管理人提供的上述文件不合法、不真实、不完整或失去效力而影响基金托管人的审核或给任何第三人带来损失，基金托管人不承担责任，但应立即通知基金管理人。</w:t>
      </w:r>
    </w:p>
    <w:p w:rsidR="004B0A92" w14:paraId="74810A6A" w14:textId="77777777">
      <w:pPr>
        <w:spacing w:line="360" w:lineRule="auto"/>
        <w:ind w:firstLine="420"/>
        <w:rPr>
          <w:rFonts w:ascii="宋体" w:hAnsi="宋体" w:cs="宋体"/>
          <w:color w:val="000000"/>
        </w:rPr>
      </w:pPr>
      <w:r>
        <w:rPr>
          <w:rFonts w:ascii="宋体" w:hAnsi="宋体" w:cs="宋体" w:hint="eastAsia"/>
          <w:color w:val="000000"/>
        </w:rPr>
        <w:t>基金托管人审核指令无误后应在规定期限内及时执行。</w:t>
      </w:r>
    </w:p>
    <w:p w:rsidR="004B0A92" w14:paraId="15797AE6" w14:textId="77777777">
      <w:pPr>
        <w:spacing w:line="360" w:lineRule="auto"/>
        <w:ind w:firstLine="420"/>
        <w:rPr>
          <w:rFonts w:ascii="宋体" w:hAnsi="宋体" w:cs="宋体"/>
          <w:color w:val="000000"/>
        </w:rPr>
      </w:pPr>
      <w:r>
        <w:rPr>
          <w:rFonts w:ascii="宋体" w:hAnsi="宋体" w:cs="宋体" w:hint="eastAsia"/>
          <w:color w:val="000000"/>
        </w:rPr>
        <w:t>5.指令的撤销</w:t>
      </w:r>
    </w:p>
    <w:p w:rsidR="004B0A92" w14:paraId="706C7CBA" w14:textId="77777777">
      <w:pPr>
        <w:spacing w:line="360" w:lineRule="auto"/>
        <w:ind w:firstLine="420"/>
      </w:pPr>
      <w:r>
        <w:rPr>
          <w:rFonts w:ascii="宋体" w:hAnsi="宋体" w:cs="宋体" w:hint="eastAsia"/>
          <w:color w:val="000000"/>
        </w:rPr>
        <w:t>在指令未执行的前提下，若基金管理人撤销指令，基金管理人应在原指令上注明“作废”、“废”、“取消”等字样并加盖预留印鉴及被授权人印章/签字后传真给基金托管人，并电话通知基金托管人。若撤销电子指令，基金管理人应通过相关系统撤销，系统功能不支持撤销的，应参照撤销传真、邮件或其他协商一致的指令方式撤销电子指令。</w:t>
      </w:r>
    </w:p>
    <w:p w:rsidR="004B0A92" w14:paraId="0CF9EE19" w14:textId="77777777">
      <w:pPr>
        <w:spacing w:line="360" w:lineRule="auto"/>
        <w:ind w:firstLine="420"/>
      </w:pPr>
      <w:r>
        <w:rPr>
          <w:rFonts w:ascii="宋体" w:hAnsi="宋体" w:cs="宋体"/>
          <w:color w:val="000000"/>
        </w:rPr>
        <w:t>（四）基金管理人发送错误指令的情形和处理程序</w:t>
      </w:r>
    </w:p>
    <w:p w:rsidR="004B0A92" w14:paraId="6B2FF8BD" w14:textId="77777777">
      <w:pPr>
        <w:spacing w:line="360" w:lineRule="auto"/>
        <w:ind w:firstLine="420"/>
      </w:pPr>
      <w:r>
        <w:rPr>
          <w:rFonts w:ascii="宋体" w:hAnsi="宋体" w:cs="宋体"/>
          <w:color w:val="000000"/>
        </w:rPr>
        <w:t>1.基金管理人发送错误指令的情形包括指令发送人员无权或超越权限发送指令，指令不能辨识或要素不全导致无法执行等情形。</w:t>
      </w:r>
    </w:p>
    <w:p w:rsidR="004B0A92" w14:paraId="2A666BB0" w14:textId="77777777">
      <w:pPr>
        <w:spacing w:line="360" w:lineRule="auto"/>
        <w:ind w:firstLine="420"/>
      </w:pPr>
      <w:r>
        <w:rPr>
          <w:rFonts w:ascii="宋体" w:hAnsi="宋体" w:cs="宋体"/>
          <w:color w:val="000000"/>
        </w:rPr>
        <w:t>2.当基金托管人认为所接收指令为错误指令时，应及时与基金管理人进行电话确认，暂停指令的执行并要求基金管理人重新发送指令。</w:t>
      </w:r>
    </w:p>
    <w:p w:rsidR="004B0A92" w14:paraId="363E10AF" w14:textId="77777777">
      <w:pPr>
        <w:spacing w:line="360" w:lineRule="auto"/>
        <w:ind w:firstLine="420"/>
      </w:pPr>
      <w:r>
        <w:rPr>
          <w:rFonts w:ascii="宋体" w:hAnsi="宋体" w:cs="宋体"/>
          <w:color w:val="000000"/>
        </w:rPr>
        <w:t>（五）基金托管人依照法律法规暂缓、拒绝执行指令的情形和处理程序</w:t>
      </w:r>
    </w:p>
    <w:p w:rsidR="004B0A92" w14:paraId="0612E9F0" w14:textId="77777777">
      <w:pPr>
        <w:spacing w:line="360" w:lineRule="auto"/>
        <w:ind w:firstLine="420"/>
      </w:pPr>
      <w:r>
        <w:rPr>
          <w:rFonts w:ascii="宋体" w:hAnsi="宋体" w:cs="宋体"/>
          <w:color w:val="000000"/>
        </w:rPr>
        <w:t>基金托管人发现基金管理人发送的指令有可能违反《基金法》、《运作办法》、《基金合同》、本协议或其他有关法律法规的规定时，应暂缓执行指令，并及时通知基金管理人，基金管理人收到通知后应及时核对并纠正；如相关交易已生效，则应通知基金管理人在10个工作日内纠正，并报告中国证监会。对于基金托管人事前难以监督的交易行为，基金托管人在事后履行了对基金管理人的通知以及向中国证监会的报告义务后，即视为完全履行了其投资监督职责。对于基金管理人违反《基金法》、《运作办法》、《基金合同》、本协议或其他有关法律法规的规定造成基金财产损失的，由基金管理人承担全部责任，基金托管人免于承担责任。</w:t>
      </w:r>
    </w:p>
    <w:p w:rsidR="004B0A92" w14:paraId="1EA53FEE" w14:textId="77777777">
      <w:pPr>
        <w:spacing w:line="360" w:lineRule="auto"/>
        <w:ind w:firstLine="420"/>
      </w:pPr>
      <w:r>
        <w:rPr>
          <w:rFonts w:ascii="宋体" w:hAnsi="宋体" w:cs="宋体"/>
          <w:color w:val="000000"/>
        </w:rPr>
        <w:t>（六）基金托管人未按照基金管理人指令执行的处理方法</w:t>
      </w:r>
    </w:p>
    <w:p w:rsidR="004B0A92" w14:paraId="44925997" w14:textId="77777777">
      <w:pPr>
        <w:spacing w:line="360" w:lineRule="auto"/>
        <w:ind w:firstLine="420"/>
      </w:pPr>
      <w:r>
        <w:rPr>
          <w:rFonts w:ascii="宋体" w:hAnsi="宋体" w:cs="宋体"/>
          <w:color w:val="000000"/>
        </w:rPr>
        <w:t>对于基金管理人的有效指令和通知，除非违反法律法规、基金合同、托管协议或具有第（四）项所述错误，基金托管人不得无故拒绝或拖延执行，否则应就基金或基金管理人由此产生的损失负赔偿责任。除因基金托管人故意或重大过失原因致使本基金、基金管理人的利益受到损害而负赔偿责任外，基金托管人对执行基金管理人的合法指令对基金财产造成的损失不承担赔偿责任。</w:t>
      </w:r>
    </w:p>
    <w:p w:rsidR="004B0A92" w14:paraId="3D83BE50" w14:textId="77777777">
      <w:pPr>
        <w:spacing w:line="360" w:lineRule="auto"/>
        <w:ind w:firstLine="420"/>
      </w:pPr>
      <w:r>
        <w:rPr>
          <w:rFonts w:ascii="宋体" w:hAnsi="宋体" w:cs="宋体"/>
          <w:color w:val="000000"/>
        </w:rPr>
        <w:t>（七）更换被授权人员的程序</w:t>
      </w:r>
    </w:p>
    <w:p w:rsidR="004B0A92" w14:paraId="0228CF58" w14:textId="77777777">
      <w:pPr>
        <w:spacing w:line="360" w:lineRule="auto"/>
        <w:ind w:firstLine="420"/>
      </w:pPr>
      <w:r>
        <w:rPr>
          <w:rFonts w:ascii="宋体" w:hAnsi="宋体" w:cs="宋体"/>
          <w:color w:val="000000"/>
        </w:rPr>
        <w:t>基金管理人撤换被授权人员或改变被授权人员的权限，必须提前至少一个交易日，使用传真方式或其他基金管理人和基金托管人认可的方式向基金托管人发出加盖基金管理人公司公章的书面变更通知，同时电话通知基金托管人。被授权人变更通知，经基金管理人与基金托管人以电话方式或其他基金管理人和基金托管人认可的方式确认后，于授权通知载明的生效时间生效，同时原授权通知失效。基金管理人在此后五个工作日内将被授权人变更通知的正本邮寄基金托管人。变更通知书书面正本内容与基金托管人收到的传真不一致的，以基金托管人收到的传真为准。</w:t>
      </w:r>
    </w:p>
    <w:p w:rsidR="004B0A92" w14:paraId="72A712FF" w14:textId="77777777">
      <w:pPr>
        <w:spacing w:line="360" w:lineRule="auto"/>
        <w:ind w:firstLine="420"/>
      </w:pPr>
      <w:r>
        <w:rPr>
          <w:rFonts w:ascii="宋体" w:hAnsi="宋体" w:cs="宋体"/>
          <w:color w:val="000000"/>
        </w:rPr>
        <w:t>基金托管人更换接收基金管理人指令的人员，应提前通知基金管理人。</w:t>
      </w:r>
    </w:p>
    <w:p w:rsidR="004B0A92" w14:paraId="0E90AB0A" w14:textId="77777777">
      <w:pPr>
        <w:spacing w:line="360" w:lineRule="auto"/>
        <w:ind w:firstLine="420"/>
      </w:pPr>
      <w:r>
        <w:rPr>
          <w:rFonts w:ascii="宋体" w:hAnsi="宋体" w:cs="宋体"/>
          <w:color w:val="000000"/>
        </w:rPr>
        <w:t>（八）指令的保管</w:t>
      </w:r>
    </w:p>
    <w:p w:rsidR="004B0A92" w14:paraId="5EFE667D" w14:textId="77777777">
      <w:pPr>
        <w:spacing w:line="360" w:lineRule="auto"/>
        <w:ind w:firstLine="420"/>
      </w:pPr>
      <w:r>
        <w:rPr>
          <w:rFonts w:ascii="宋体" w:hAnsi="宋体" w:cs="宋体"/>
          <w:color w:val="000000"/>
        </w:rPr>
        <w:t>指令若以传真形式发出，则正本由基金管理人保管，基金托管人保管指令传真件。当两者不一致时，以基金托管人收到的指令传真件为准。</w:t>
      </w:r>
    </w:p>
    <w:p w:rsidR="004B0A92" w14:paraId="60AEAAAA" w14:textId="77777777">
      <w:pPr>
        <w:spacing w:line="360" w:lineRule="auto"/>
        <w:ind w:firstLine="420"/>
      </w:pPr>
      <w:r>
        <w:rPr>
          <w:rFonts w:ascii="宋体" w:hAnsi="宋体" w:cs="宋体"/>
          <w:color w:val="000000"/>
        </w:rPr>
        <w:t>（九）相关责任</w:t>
      </w:r>
    </w:p>
    <w:p w:rsidR="004B0A92" w14:paraId="27D6331F" w14:textId="77777777">
      <w:pPr>
        <w:spacing w:line="360" w:lineRule="auto"/>
        <w:ind w:firstLine="420"/>
      </w:pPr>
      <w:r>
        <w:rPr>
          <w:rFonts w:ascii="宋体" w:hAnsi="宋体" w:cs="宋体"/>
          <w:color w:val="000000"/>
        </w:rPr>
        <w:t>对基金管理人在没有充足资金的情况下向基金托管人发出的指令致使资金未能及时清算所造成的损失由基金管理人承担。因基金管理人原因造成的传输不及时、未能留出足够执行时间、未能及时与基金托管人进行指令确认致使资金未能及时清算或交易失败所造成的损失由基金管理人承担。基金托管人正确执行基金管理人发送的有效指令，基金财产发生损失的，基金托管人不承担任何形式的责任。在正常业务受理渠道和指令规定的时间内，因基金托管人原因造成未能及时或正确执行合法合规的指令而导致基金财产受损的，基金托管人应承担相应的责任，但如遇到不可抗力的情况除外。</w:t>
      </w:r>
    </w:p>
    <w:p w:rsidR="004B0A92" w14:paraId="5F73ED4C" w14:textId="77777777">
      <w:pPr>
        <w:spacing w:line="360" w:lineRule="auto"/>
        <w:ind w:firstLine="420"/>
      </w:pPr>
      <w:r>
        <w:rPr>
          <w:rFonts w:ascii="宋体" w:hAnsi="宋体" w:cs="宋体"/>
          <w:color w:val="000000"/>
        </w:rPr>
        <w:t>基金托管人根据本协议相关规定履行印鉴和签名的表面一致性形式审核职责，如果基金管理人的指令存在事实上未经授权、欺诈、伪造或未能及时提供授权通知等情形，基金托管人不承担因执行有关指令或拒绝执行有关指令而给基金管理人或基金资产或任何第三方带来的损失，全部责任由基金管理人承担，但基金托管人未按本协议约定尽形式审核义务执行指令而造成损失的情形除外。</w:t>
      </w:r>
    </w:p>
    <w:p w:rsidR="004B0A92" w14:paraId="7D636FEC" w14:textId="77777777">
      <w:pPr>
        <w:snapToGrid w:val="0"/>
        <w:spacing w:line="360" w:lineRule="auto"/>
        <w:ind w:firstLine="420"/>
        <w:rPr>
          <w:rFonts w:ascii="宋体" w:hAnsi="宋体" w:cs="宋体"/>
          <w:szCs w:val="21"/>
        </w:rPr>
      </w:pPr>
    </w:p>
    <w:p w:rsidR="004B0A92" w14:paraId="6AC99F7A" w14:textId="77777777">
      <w:pPr>
        <w:spacing w:line="360" w:lineRule="auto"/>
        <w:contextualSpacing/>
        <w:rPr>
          <w:rFonts w:ascii="宋体" w:hAnsi="宋体" w:cs="宋体"/>
          <w:szCs w:val="21"/>
        </w:rPr>
      </w:pPr>
    </w:p>
    <w:p w:rsidR="004B0A92" w14:paraId="53F7F724" w14:textId="77777777">
      <w:pPr>
        <w:pStyle w:val="21"/>
        <w:spacing w:before="312" w:after="156" w:line="360" w:lineRule="auto"/>
        <w:jc w:val="center"/>
        <w:rPr>
          <w:rFonts w:ascii="宋体" w:eastAsia="宋体" w:hAnsi="宋体" w:cs="宋体"/>
          <w:sz w:val="21"/>
          <w:szCs w:val="21"/>
        </w:rPr>
      </w:pPr>
      <w:bookmarkStart w:id="73" w:name="_Toc108512361"/>
      <w:bookmarkStart w:id="74" w:name="_Toc110765663"/>
      <w:bookmarkStart w:id="75" w:name="_Toc110761799"/>
      <w:bookmarkStart w:id="76" w:name="_Toc86649725"/>
      <w:bookmarkStart w:id="77" w:name="_Toc120435786"/>
      <w:bookmarkStart w:id="78" w:name="_Toc86726442"/>
      <w:bookmarkStart w:id="79" w:name="_Toc89163371"/>
      <w:bookmarkStart w:id="80" w:name="_Toc118972651"/>
      <w:bookmarkStart w:id="81" w:name="_Toc119402713"/>
      <w:bookmarkStart w:id="82" w:name="_Toc86737932"/>
      <w:bookmarkStart w:id="83" w:name="_Toc86727358"/>
      <w:bookmarkStart w:id="84" w:name="_Toc118774806"/>
      <w:bookmarkStart w:id="85" w:name="_Toc84234390"/>
      <w:bookmarkStart w:id="86" w:name="_Toc84133788"/>
      <w:bookmarkStart w:id="87" w:name="_Toc84234437"/>
      <w:bookmarkStart w:id="88" w:name="_Toc86223245"/>
      <w:bookmarkStart w:id="89" w:name="_Toc110830495"/>
      <w:bookmarkStart w:id="90" w:name="_Toc86225294"/>
      <w:bookmarkStart w:id="91" w:name="_Toc118212953"/>
      <w:bookmarkStart w:id="92" w:name="_Toc86204791"/>
      <w:r>
        <w:rPr>
          <w:rFonts w:ascii="宋体" w:eastAsia="宋体" w:hAnsi="宋体" w:cs="宋体"/>
          <w:sz w:val="21"/>
          <w:szCs w:val="21"/>
        </w:rPr>
        <w:br w:type="page"/>
      </w:r>
      <w:bookmarkStart w:id="93" w:name="_Toc348082035"/>
      <w:bookmarkStart w:id="94" w:name="_Toc384992697"/>
      <w:r>
        <w:rPr>
          <w:rFonts w:ascii="宋体" w:eastAsia="宋体" w:hAnsi="宋体" w:cs="宋体" w:hint="eastAsia"/>
          <w:sz w:val="21"/>
          <w:szCs w:val="21"/>
        </w:rPr>
        <w:t>七、交易及清算交收安排</w:t>
      </w:r>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p>
    <w:p w:rsidR="004B0A92" w14:paraId="6AD1089A" w14:textId="77777777">
      <w:pPr>
        <w:snapToGrid w:val="0"/>
        <w:spacing w:line="360" w:lineRule="auto"/>
        <w:ind w:firstLine="420"/>
        <w:rPr>
          <w:rFonts w:ascii="宋体" w:hAnsi="宋体" w:cs="宋体"/>
          <w:szCs w:val="21"/>
        </w:rPr>
      </w:pPr>
      <w:r>
        <w:rPr>
          <w:rFonts w:ascii="宋体" w:hAnsi="宋体" w:cs="宋体" w:hint="eastAsia"/>
          <w:szCs w:val="21"/>
        </w:rPr>
        <w:t>（一）选择代理证券、期货买卖的证券、期货经营机构</w:t>
      </w:r>
    </w:p>
    <w:p w:rsidR="004B0A92" w14:paraId="7043E4B1" w14:textId="77777777">
      <w:pPr>
        <w:snapToGrid w:val="0"/>
        <w:spacing w:line="360" w:lineRule="auto"/>
        <w:ind w:firstLine="420"/>
        <w:rPr>
          <w:rFonts w:ascii="宋体" w:hAnsi="宋体" w:cs="宋体"/>
          <w:szCs w:val="21"/>
        </w:rPr>
      </w:pPr>
      <w:r>
        <w:rPr>
          <w:rFonts w:ascii="宋体" w:hAnsi="宋体" w:cs="宋体" w:hint="eastAsia"/>
          <w:szCs w:val="21"/>
        </w:rPr>
        <w:t>1.基金管理人应设计选择代理证券买卖的证券经营机构的标准和程序，并按照有关合同和规定行使基金财产投资权利及承担相应义务，包括但不限于选择经纪商及投资标的等。基金管理人负责选择代理本基金证券买卖的证券经营机构，租用其交易单元作为基金的交易单元。基金管理人和被选中的证券经营机构签订交易单元租用协议，基金管理人应提前通知基金托管人，并将交易单元租用协议及相关文件及时送达基金托管人，确保基金托管人申请接收结算数据。基金管理人应根据有关规定，在基金的中期报告和年度报告中将所选证券经营机构的有关情况、基金通过该证券经营机构买卖证券的成交量、回购成交量和支付的佣金等予以披露，并将该等情况及基金交易单元号、佣金费率等基本信息以及变更情况及时以书面形式通知基金托管人。</w:t>
      </w:r>
    </w:p>
    <w:p w:rsidR="004B0A92" w14:paraId="77A9581A" w14:textId="77777777">
      <w:pPr>
        <w:snapToGrid w:val="0"/>
        <w:spacing w:line="360" w:lineRule="auto"/>
        <w:ind w:firstLine="420"/>
        <w:rPr>
          <w:rFonts w:ascii="宋体" w:hAnsi="宋体" w:cs="宋体"/>
          <w:szCs w:val="21"/>
        </w:rPr>
      </w:pPr>
      <w:r>
        <w:rPr>
          <w:rFonts w:ascii="宋体" w:hAnsi="宋体" w:cs="宋体" w:hint="eastAsia"/>
          <w:szCs w:val="21"/>
        </w:rPr>
        <w:t>2.基金管理人负责选择代理本基金期货交易的期货经纪机构，并与其签订期货经纪合同，其他事宜根据法律法规、《基金合同》的相关规定执行，若无明确规定的，可参照有关证券买卖的证券经纪机构选择的规则执行。</w:t>
      </w:r>
    </w:p>
    <w:p w:rsidR="004B0A92" w14:paraId="36A5DCC0" w14:textId="77777777">
      <w:pPr>
        <w:snapToGrid w:val="0"/>
        <w:spacing w:line="360" w:lineRule="auto"/>
        <w:ind w:firstLine="420"/>
        <w:rPr>
          <w:rFonts w:ascii="宋体" w:hAnsi="宋体" w:cs="宋体"/>
          <w:szCs w:val="21"/>
        </w:rPr>
      </w:pPr>
      <w:r>
        <w:rPr>
          <w:rFonts w:ascii="宋体" w:hAnsi="宋体" w:cs="宋体" w:hint="eastAsia"/>
          <w:szCs w:val="21"/>
        </w:rPr>
        <w:t>（1）基金管理人所选择的期货公司负责办理基金资产的期货交易的清算交割。</w:t>
      </w:r>
    </w:p>
    <w:p w:rsidR="004B0A92" w14:paraId="14127C9B" w14:textId="77777777">
      <w:pPr>
        <w:snapToGrid w:val="0"/>
        <w:spacing w:line="360" w:lineRule="auto"/>
        <w:ind w:firstLine="420"/>
        <w:rPr>
          <w:rFonts w:ascii="宋体" w:hAnsi="宋体" w:cs="宋体"/>
          <w:szCs w:val="21"/>
        </w:rPr>
      </w:pPr>
      <w:r>
        <w:rPr>
          <w:rFonts w:ascii="宋体" w:hAnsi="宋体" w:cs="宋体" w:hint="eastAsia"/>
          <w:szCs w:val="21"/>
        </w:rPr>
        <w:t>（2）基金管理人应责成其选择的期货公司通过深证通向基金托管人及基金管理人发送以市场监控中心格式显示本基金成交结果的交易结算报告及参照市场监控中心格式制作的显示本基金期货保证金账户权益状况的交易结算报告。经基金托管人同意，可采用电子邮件的传送方式作为应急备份方式传输当日交易结算数据。</w:t>
      </w:r>
    </w:p>
    <w:p w:rsidR="004B0A92" w14:paraId="24430B65" w14:textId="77777777">
      <w:pPr>
        <w:snapToGrid w:val="0"/>
        <w:spacing w:line="360" w:lineRule="auto"/>
        <w:ind w:firstLine="420"/>
        <w:rPr>
          <w:rFonts w:ascii="宋体" w:hAnsi="宋体" w:cs="宋体"/>
          <w:szCs w:val="21"/>
        </w:rPr>
      </w:pPr>
      <w:r>
        <w:rPr>
          <w:rFonts w:ascii="宋体" w:hAnsi="宋体" w:cs="宋体" w:hint="eastAsia"/>
          <w:szCs w:val="21"/>
        </w:rPr>
        <w:t>正常情况下当日交易结算报告的发送时间应在交易日当日的1</w:t>
      </w:r>
      <w:r>
        <w:rPr>
          <w:rFonts w:ascii="宋体" w:hAnsi="宋体" w:cs="宋体"/>
          <w:szCs w:val="21"/>
        </w:rPr>
        <w:t>8</w:t>
      </w:r>
      <w:r>
        <w:rPr>
          <w:rFonts w:ascii="宋体" w:hAnsi="宋体" w:cs="宋体" w:hint="eastAsia"/>
          <w:szCs w:val="21"/>
        </w:rPr>
        <w:t>：00之前。因交易所原因而造成数据延迟发送的，基金管理人应及时通知基金托管人，并在恢复后告知期货公司立即发送至基金托管人，并电话确认数据接收状况。若期货公司发送的期货数据有误，重新向基金管理人、基金托管人发送的，基金管理人应责成期货公司在发送新的期货数据后立即通知基金托管人，并电话确认数据接收状况。</w:t>
      </w:r>
    </w:p>
    <w:p w:rsidR="004B0A92" w14:paraId="3B18E74D" w14:textId="77777777">
      <w:pPr>
        <w:snapToGrid w:val="0"/>
        <w:spacing w:line="360" w:lineRule="auto"/>
        <w:ind w:firstLine="420"/>
        <w:rPr>
          <w:rFonts w:ascii="宋体" w:hAnsi="宋体" w:cs="宋体"/>
          <w:szCs w:val="21"/>
        </w:rPr>
      </w:pPr>
      <w:r>
        <w:rPr>
          <w:rFonts w:ascii="宋体" w:hAnsi="宋体" w:cs="宋体" w:hint="eastAsia"/>
          <w:szCs w:val="21"/>
        </w:rPr>
        <w:t>（3）基金管理人应责成其选择的期货公司对发送的数据的准确性、完整性、真实性负责。</w:t>
      </w:r>
    </w:p>
    <w:p w:rsidR="004B0A92" w14:paraId="456E44FF" w14:textId="77777777">
      <w:pPr>
        <w:snapToGrid w:val="0"/>
        <w:spacing w:line="360" w:lineRule="auto"/>
        <w:ind w:firstLine="420"/>
        <w:rPr>
          <w:rFonts w:ascii="宋体" w:hAnsi="宋体" w:cs="宋体"/>
          <w:szCs w:val="21"/>
        </w:rPr>
      </w:pPr>
      <w:r>
        <w:rPr>
          <w:rFonts w:ascii="宋体" w:hAnsi="宋体" w:cs="宋体" w:hint="eastAsia"/>
          <w:szCs w:val="21"/>
        </w:rPr>
        <w:t>由于交易结算报告的记载事项出现与实际交易结果和权益不符造成本基金估值计算错误的，应由基金管理人负责向数据发送方追偿，基金托管人不承担责任。</w:t>
      </w:r>
    </w:p>
    <w:p w:rsidR="004B0A92" w14:paraId="3259C42D" w14:textId="77777777">
      <w:pPr>
        <w:snapToGrid w:val="0"/>
        <w:spacing w:line="360" w:lineRule="auto"/>
        <w:ind w:firstLine="420"/>
        <w:rPr>
          <w:rFonts w:ascii="宋体" w:hAnsi="宋体" w:cs="宋体"/>
          <w:szCs w:val="21"/>
        </w:rPr>
      </w:pPr>
      <w:r>
        <w:rPr>
          <w:rFonts w:ascii="宋体" w:hAnsi="宋体" w:cs="宋体" w:hint="eastAsia"/>
          <w:szCs w:val="21"/>
        </w:rPr>
        <w:t>（二）基金投资证券后的清算交收安排</w:t>
      </w:r>
    </w:p>
    <w:p w:rsidR="004B0A92" w14:paraId="38C7CE83" w14:textId="77777777">
      <w:pPr>
        <w:snapToGrid w:val="0"/>
        <w:spacing w:line="360" w:lineRule="auto"/>
        <w:ind w:firstLine="420"/>
        <w:rPr>
          <w:rFonts w:ascii="宋体" w:hAnsi="宋体" w:cs="宋体"/>
          <w:color w:val="000000"/>
          <w:szCs w:val="21"/>
        </w:rPr>
      </w:pPr>
      <w:r>
        <w:rPr>
          <w:rFonts w:ascii="宋体" w:hAnsi="宋体" w:cs="宋体" w:hint="eastAsia"/>
          <w:color w:val="000000"/>
          <w:szCs w:val="21"/>
        </w:rPr>
        <w:t>基金管理人和基金托管人在基金财产场内清算交收及相关风险控制方面的职责按照《托管银行证券资金结算规定》的要求执行。</w:t>
      </w:r>
    </w:p>
    <w:p w:rsidR="004B0A92" w14:paraId="644A3B19" w14:textId="77777777">
      <w:pPr>
        <w:snapToGrid w:val="0"/>
        <w:spacing w:line="360" w:lineRule="auto"/>
        <w:ind w:firstLine="420"/>
        <w:rPr>
          <w:rFonts w:ascii="宋体" w:hAnsi="宋体" w:cs="宋体"/>
          <w:szCs w:val="21"/>
        </w:rPr>
      </w:pPr>
      <w:r>
        <w:rPr>
          <w:rFonts w:ascii="宋体" w:hAnsi="宋体" w:cs="宋体" w:hint="eastAsia"/>
          <w:szCs w:val="21"/>
        </w:rPr>
        <w:t>（三）基金申购、赎回和转换业务处理的基本规定</w:t>
      </w:r>
    </w:p>
    <w:p w:rsidR="004B0A92" w14:paraId="0ECA212D" w14:textId="77777777">
      <w:pPr>
        <w:snapToGrid w:val="0"/>
        <w:spacing w:line="360" w:lineRule="auto"/>
        <w:ind w:firstLine="420"/>
        <w:rPr>
          <w:rFonts w:ascii="宋体" w:hAnsi="宋体" w:cs="宋体"/>
          <w:szCs w:val="21"/>
        </w:rPr>
      </w:pPr>
      <w:r>
        <w:rPr>
          <w:rFonts w:ascii="宋体" w:hAnsi="宋体" w:cs="宋体" w:hint="eastAsia"/>
          <w:szCs w:val="21"/>
        </w:rPr>
        <w:t>1.基金份额申购、赎回、转换的确认、清算由基金管理人或其委托的登记机构负责。</w:t>
      </w:r>
    </w:p>
    <w:p w:rsidR="004B0A92" w14:paraId="7B676ED2" w14:textId="77777777">
      <w:pPr>
        <w:snapToGrid w:val="0"/>
        <w:spacing w:line="360" w:lineRule="auto"/>
        <w:ind w:firstLine="420"/>
        <w:rPr>
          <w:rFonts w:ascii="宋体" w:hAnsi="宋体" w:cs="宋体"/>
          <w:szCs w:val="21"/>
        </w:rPr>
      </w:pPr>
      <w:r>
        <w:rPr>
          <w:rFonts w:ascii="宋体" w:hAnsi="宋体" w:cs="宋体" w:hint="eastAsia"/>
          <w:szCs w:val="21"/>
        </w:rPr>
        <w:t>2.基金管理人应将每个开放日的申购、赎回、转换开放式基金的数据传送给基金托管人。基金管理人应对传递的申购、赎回、转换开放式基金的数据真实性和准确性负责。基金托管人应及时查收申购及转入资金的到账情况并根据基金管理人指令及时划付赎回及转出款项。</w:t>
      </w:r>
    </w:p>
    <w:p w:rsidR="004B0A92" w14:paraId="4A136653" w14:textId="77777777">
      <w:pPr>
        <w:snapToGrid w:val="0"/>
        <w:spacing w:line="360" w:lineRule="auto"/>
        <w:ind w:firstLine="420"/>
        <w:rPr>
          <w:rFonts w:ascii="宋体" w:hAnsi="宋体" w:cs="宋体"/>
          <w:szCs w:val="21"/>
        </w:rPr>
      </w:pPr>
      <w:r>
        <w:rPr>
          <w:rFonts w:ascii="宋体" w:hAnsi="宋体" w:cs="宋体" w:hint="eastAsia"/>
          <w:szCs w:val="21"/>
        </w:rPr>
        <w:t>3.基金管理人应保证本基金（或本基金管理人委托）的登记机构每个工作日15:00前向基金托管人发送开放日上述有关数据，并保证相关数据的准确、完整。</w:t>
      </w:r>
    </w:p>
    <w:p w:rsidR="004B0A92" w14:paraId="654957B1" w14:textId="77777777">
      <w:pPr>
        <w:snapToGrid w:val="0"/>
        <w:spacing w:line="360" w:lineRule="auto"/>
        <w:ind w:firstLine="420"/>
        <w:rPr>
          <w:rFonts w:ascii="宋体" w:hAnsi="宋体" w:cs="宋体"/>
          <w:szCs w:val="21"/>
        </w:rPr>
      </w:pPr>
      <w:r>
        <w:rPr>
          <w:rFonts w:ascii="宋体" w:hAnsi="宋体" w:cs="宋体" w:hint="eastAsia"/>
          <w:szCs w:val="21"/>
        </w:rPr>
        <w:t>4.登记机构应通过与基金管理人建立的系统发送有关数据，由基金管理人向基金托管人发送有关数据，如因各种原因，该系统无法正常发送，双方可协商解决处理方式。基金管理人向基金托管人发送的数据，双方各自按有关规定保存。</w:t>
      </w:r>
    </w:p>
    <w:p w:rsidR="004B0A92" w14:paraId="49B5FD76" w14:textId="77777777">
      <w:pPr>
        <w:snapToGrid w:val="0"/>
        <w:spacing w:line="360" w:lineRule="auto"/>
        <w:ind w:firstLine="420"/>
        <w:rPr>
          <w:rFonts w:ascii="宋体" w:hAnsi="宋体" w:cs="宋体"/>
          <w:szCs w:val="21"/>
        </w:rPr>
      </w:pPr>
      <w:r>
        <w:rPr>
          <w:rFonts w:ascii="宋体" w:hAnsi="宋体" w:cs="宋体" w:hint="eastAsia"/>
          <w:szCs w:val="21"/>
        </w:rPr>
        <w:t>5.如基金管理人委托其他机构办理本基金的登记业务，应保证上述相关事宜按时进行。否则，由基金管理人承担相应的责任。</w:t>
      </w:r>
    </w:p>
    <w:p w:rsidR="004B0A92" w14:paraId="65C981BD" w14:textId="77777777">
      <w:pPr>
        <w:snapToGrid w:val="0"/>
        <w:spacing w:line="360" w:lineRule="auto"/>
        <w:ind w:firstLine="420"/>
        <w:rPr>
          <w:rFonts w:ascii="宋体" w:hAnsi="宋体" w:cs="宋体"/>
          <w:szCs w:val="21"/>
        </w:rPr>
      </w:pPr>
      <w:r>
        <w:rPr>
          <w:rFonts w:ascii="宋体" w:hAnsi="宋体" w:cs="宋体" w:hint="eastAsia"/>
          <w:szCs w:val="21"/>
        </w:rPr>
        <w:t>6.关于清算专用账户的设立和管理</w:t>
      </w:r>
    </w:p>
    <w:p w:rsidR="004B0A92" w14:paraId="7E8322BF" w14:textId="77777777">
      <w:pPr>
        <w:snapToGrid w:val="0"/>
        <w:spacing w:line="360" w:lineRule="auto"/>
        <w:ind w:firstLine="420"/>
        <w:rPr>
          <w:rFonts w:ascii="宋体" w:hAnsi="宋体" w:cs="宋体"/>
          <w:szCs w:val="21"/>
        </w:rPr>
      </w:pPr>
      <w:r>
        <w:rPr>
          <w:rFonts w:ascii="宋体" w:hAnsi="宋体" w:cs="宋体" w:hint="eastAsia"/>
          <w:szCs w:val="21"/>
        </w:rPr>
        <w:t>为满足申购、赎回、转换及分红资金汇划的需要，由基金管理人开立资金清算的专用账户，该账户由登记机构管理。</w:t>
      </w:r>
    </w:p>
    <w:p w:rsidR="004B0A92" w14:paraId="07D8F998" w14:textId="77777777">
      <w:pPr>
        <w:snapToGrid w:val="0"/>
        <w:spacing w:line="360" w:lineRule="auto"/>
        <w:ind w:firstLine="420"/>
        <w:rPr>
          <w:rFonts w:ascii="宋体" w:hAnsi="宋体" w:cs="宋体"/>
          <w:szCs w:val="21"/>
        </w:rPr>
      </w:pPr>
      <w:r>
        <w:rPr>
          <w:rFonts w:ascii="宋体" w:hAnsi="宋体" w:cs="宋体" w:hint="eastAsia"/>
          <w:szCs w:val="21"/>
        </w:rPr>
        <w:t>7.对于基金申购、转换过程中产生的应收款，应由基金管理人负责与有关当事人确定到账日期并通知基金托管人，到账日应收款没有到达基金资金账户的，基金托管人应及时通知基金管理人采取措施进行催收，由此造成基金损失的，基金管理人应负责向有关当事人追偿基金的损失。</w:t>
      </w:r>
    </w:p>
    <w:p w:rsidR="004B0A92" w14:paraId="29EBE79B" w14:textId="77777777">
      <w:pPr>
        <w:snapToGrid w:val="0"/>
        <w:spacing w:line="360" w:lineRule="auto"/>
        <w:ind w:firstLine="420"/>
        <w:rPr>
          <w:rFonts w:ascii="宋体" w:hAnsi="宋体" w:cs="宋体"/>
          <w:szCs w:val="21"/>
        </w:rPr>
      </w:pPr>
      <w:r>
        <w:rPr>
          <w:rFonts w:ascii="宋体" w:hAnsi="宋体" w:cs="宋体" w:hint="eastAsia"/>
          <w:szCs w:val="21"/>
        </w:rPr>
        <w:t>8.赎回、转换资金划付规定</w:t>
      </w:r>
    </w:p>
    <w:p w:rsidR="004B0A92" w14:paraId="5A20DF4D" w14:textId="77777777">
      <w:pPr>
        <w:snapToGrid w:val="0"/>
        <w:spacing w:line="360" w:lineRule="auto"/>
        <w:ind w:firstLine="420"/>
        <w:rPr>
          <w:rFonts w:ascii="宋体" w:hAnsi="宋体" w:cs="宋体"/>
          <w:szCs w:val="21"/>
        </w:rPr>
      </w:pPr>
      <w:r>
        <w:rPr>
          <w:rFonts w:ascii="宋体" w:hAnsi="宋体" w:cs="宋体" w:hint="eastAsia"/>
          <w:szCs w:val="21"/>
        </w:rPr>
        <w:t>划付赎回款、转换转出款时，如基金资金账户有足够的资金，基金托管人应按时划付；因基金资金账户没有足够的资金，导致基金托管人不能按时划付，基金托管人不承担责任，责任由基金管理人承担，基金托管人不承担垫款义务。</w:t>
      </w:r>
    </w:p>
    <w:p w:rsidR="004B0A92" w14:paraId="3A237D71" w14:textId="77777777">
      <w:pPr>
        <w:snapToGrid w:val="0"/>
        <w:spacing w:line="360" w:lineRule="auto"/>
        <w:ind w:firstLine="420"/>
        <w:rPr>
          <w:rFonts w:ascii="宋体" w:hAnsi="宋体" w:cs="宋体"/>
          <w:szCs w:val="21"/>
        </w:rPr>
      </w:pPr>
      <w:r>
        <w:rPr>
          <w:rFonts w:ascii="宋体" w:hAnsi="宋体" w:cs="宋体" w:hint="eastAsia"/>
          <w:szCs w:val="21"/>
        </w:rPr>
        <w:t>9.资金指令</w:t>
      </w:r>
    </w:p>
    <w:p w:rsidR="004B0A92" w14:paraId="7E90242D" w14:textId="77777777">
      <w:pPr>
        <w:snapToGrid w:val="0"/>
        <w:spacing w:line="360" w:lineRule="auto"/>
        <w:ind w:firstLine="420"/>
        <w:rPr>
          <w:rFonts w:ascii="宋体" w:hAnsi="宋体" w:cs="宋体"/>
          <w:szCs w:val="21"/>
        </w:rPr>
      </w:pPr>
      <w:r>
        <w:rPr>
          <w:rFonts w:ascii="宋体" w:hAnsi="宋体" w:cs="宋体" w:hint="eastAsia"/>
          <w:szCs w:val="21"/>
        </w:rPr>
        <w:t>除申购款项到达基金资金账户需双方按约定方式对账外，与投资有关的付款、赎回和分红资金划拨时，基金管理人需向基金托管人下达指令。</w:t>
      </w:r>
    </w:p>
    <w:p w:rsidR="004B0A92" w14:paraId="7AC8C12A" w14:textId="77777777">
      <w:pPr>
        <w:snapToGrid w:val="0"/>
        <w:spacing w:line="360" w:lineRule="auto"/>
        <w:ind w:firstLine="420"/>
        <w:rPr>
          <w:rFonts w:ascii="宋体" w:hAnsi="宋体" w:cs="宋体"/>
          <w:szCs w:val="21"/>
        </w:rPr>
      </w:pPr>
      <w:r>
        <w:rPr>
          <w:rFonts w:ascii="宋体" w:hAnsi="宋体" w:cs="宋体" w:hint="eastAsia"/>
          <w:szCs w:val="21"/>
        </w:rPr>
        <w:t>资金指令的格式、内容、发送、接收和确认方式等与投资指令相同。</w:t>
      </w:r>
    </w:p>
    <w:p w:rsidR="004B0A92" w14:paraId="02A75AFA" w14:textId="77777777">
      <w:pPr>
        <w:snapToGrid w:val="0"/>
        <w:spacing w:line="360" w:lineRule="auto"/>
        <w:ind w:firstLine="420"/>
        <w:rPr>
          <w:rFonts w:ascii="宋体" w:hAnsi="宋体" w:cs="宋体"/>
          <w:szCs w:val="21"/>
        </w:rPr>
      </w:pPr>
      <w:r>
        <w:rPr>
          <w:rFonts w:ascii="宋体" w:hAnsi="宋体" w:cs="宋体" w:hint="eastAsia"/>
          <w:szCs w:val="21"/>
        </w:rPr>
        <w:t>（四）资金净额结算</w:t>
      </w:r>
    </w:p>
    <w:p w:rsidR="004B0A92" w14:paraId="6959DFE4" w14:textId="77777777">
      <w:pPr>
        <w:snapToGrid w:val="0"/>
        <w:spacing w:line="360" w:lineRule="auto"/>
        <w:ind w:firstLine="420"/>
        <w:rPr>
          <w:rFonts w:ascii="宋体" w:hAnsi="宋体" w:cs="宋体"/>
          <w:szCs w:val="21"/>
        </w:rPr>
      </w:pPr>
      <w:r>
        <w:rPr>
          <w:rFonts w:ascii="宋体" w:hAnsi="宋体" w:cs="宋体"/>
          <w:szCs w:val="21"/>
        </w:rPr>
        <w:t>基金资金账户与“基金清算账户”间的资金结算遵循“全额清算、净额交收”的原则，每日按照资金账户应收资金与应付资金的差额来确定资金账户净应收额或净应付额，以此确定资金交收额，基金托管人应当为基金管理人提供适当方式，便于基金管理人进行查询和账务管理。当存在资金账户净应收额时，基金管理人应在交收日15:00之前从基金清算账户划往基金资金账户，基金管理人通过基金托管人提供的方式查询结果；当存在资金账户净应付额时，基金托管人按照基金管理人的划款指令将托管账户净应付额在交收日及时划往基金清算账户，基金管理人通过基金托管人提供的方式查询结果。</w:t>
      </w:r>
    </w:p>
    <w:p w:rsidR="004B0A92" w14:paraId="37EF1B14" w14:textId="77777777">
      <w:pPr>
        <w:snapToGrid w:val="0"/>
        <w:spacing w:line="360" w:lineRule="auto"/>
        <w:ind w:firstLine="420"/>
        <w:rPr>
          <w:rFonts w:ascii="宋体" w:hAnsi="宋体" w:cs="宋体"/>
          <w:szCs w:val="21"/>
        </w:rPr>
      </w:pPr>
      <w:r>
        <w:rPr>
          <w:rFonts w:ascii="宋体" w:hAnsi="宋体" w:cs="宋体" w:hint="eastAsia"/>
          <w:szCs w:val="21"/>
        </w:rPr>
        <w:t>当存在资金账户净应付额时，如基金银行账户有足够的资金，基金托管人应按时划付；因基金资金账户没有足够的资金，导致基金托管人不能按时划付，基金托管人应及时通知基金管理人，基金托管人不承担责任；如系基金管理人的原因造成，责任由基金管理人承担，基金托管人不承担垫款义务。</w:t>
      </w:r>
    </w:p>
    <w:p w:rsidR="004B0A92" w14:paraId="6AEE924C" w14:textId="77777777">
      <w:pPr>
        <w:snapToGrid w:val="0"/>
        <w:spacing w:line="360" w:lineRule="auto"/>
        <w:ind w:firstLine="420"/>
        <w:rPr>
          <w:rFonts w:ascii="宋体" w:hAnsi="宋体" w:cs="宋体"/>
          <w:szCs w:val="21"/>
        </w:rPr>
      </w:pPr>
      <w:r>
        <w:rPr>
          <w:rFonts w:ascii="宋体" w:hAnsi="宋体" w:cs="宋体" w:hint="eastAsia"/>
          <w:szCs w:val="21"/>
        </w:rPr>
        <w:t>在发生巨额赎回或《基金合同》载明的其他暂停赎回或延缓支付赎回款项的情形时，款项的支付办法参照《基金合同》有关条款处理。</w:t>
      </w:r>
    </w:p>
    <w:p w:rsidR="004B0A92" w14:paraId="5D6F6B1D" w14:textId="77777777">
      <w:pPr>
        <w:snapToGrid w:val="0"/>
        <w:spacing w:line="360" w:lineRule="auto"/>
        <w:ind w:firstLine="420"/>
        <w:rPr>
          <w:rFonts w:ascii="宋体" w:hAnsi="宋体" w:cs="宋体"/>
          <w:szCs w:val="21"/>
        </w:rPr>
      </w:pPr>
      <w:r>
        <w:rPr>
          <w:rFonts w:ascii="宋体" w:hAnsi="宋体" w:cs="宋体" w:hint="eastAsia"/>
          <w:szCs w:val="21"/>
        </w:rPr>
        <w:t>（五）基金现金分红</w:t>
      </w:r>
    </w:p>
    <w:p w:rsidR="004B0A92" w14:paraId="166D1AF8" w14:textId="77777777">
      <w:pPr>
        <w:snapToGrid w:val="0"/>
        <w:spacing w:line="360" w:lineRule="auto"/>
        <w:ind w:firstLine="420"/>
        <w:rPr>
          <w:rFonts w:ascii="宋体" w:hAnsi="宋体" w:cs="宋体"/>
          <w:szCs w:val="21"/>
        </w:rPr>
      </w:pPr>
      <w:r>
        <w:rPr>
          <w:rFonts w:ascii="宋体" w:hAnsi="宋体" w:cs="宋体" w:hint="eastAsia"/>
          <w:szCs w:val="21"/>
        </w:rPr>
        <w:t>1.基金管理人确定分红方案通知基金托管人，双方核定后依照《信息披露办法》的有关规定在中国证监会规定媒介上公告。</w:t>
      </w:r>
    </w:p>
    <w:p w:rsidR="004B0A92" w14:paraId="72B050FE" w14:textId="77777777">
      <w:pPr>
        <w:snapToGrid w:val="0"/>
        <w:spacing w:line="360" w:lineRule="auto"/>
        <w:ind w:firstLine="420"/>
        <w:rPr>
          <w:rFonts w:ascii="宋体" w:hAnsi="宋体" w:cs="宋体"/>
          <w:szCs w:val="21"/>
        </w:rPr>
      </w:pPr>
      <w:r>
        <w:rPr>
          <w:rFonts w:ascii="宋体" w:hAnsi="宋体" w:cs="宋体" w:hint="eastAsia"/>
          <w:szCs w:val="21"/>
        </w:rPr>
        <w:t>2.基金托管人和基金管理人对基金分红进行账务处理并核对后，基金管理人向基金托管人发送现金红利的划款指令，基金托管人应根据指令及时将分红款划往指定账户。</w:t>
      </w:r>
    </w:p>
    <w:p w:rsidR="004B0A92" w14:paraId="71200340" w14:textId="77777777">
      <w:pPr>
        <w:snapToGrid w:val="0"/>
        <w:spacing w:line="360" w:lineRule="auto"/>
        <w:ind w:firstLine="420"/>
        <w:rPr>
          <w:rFonts w:ascii="宋体" w:hAnsi="宋体" w:cs="宋体"/>
          <w:szCs w:val="21"/>
        </w:rPr>
      </w:pPr>
      <w:r>
        <w:rPr>
          <w:rFonts w:ascii="宋体" w:hAnsi="宋体" w:cs="宋体" w:hint="eastAsia"/>
          <w:szCs w:val="21"/>
        </w:rPr>
        <w:t>3.基金管理人在下达指令时，应给基金托管人留出必需的划款时间。</w:t>
      </w:r>
    </w:p>
    <w:p w:rsidR="004B0A92" w14:paraId="7429AC80" w14:textId="77777777">
      <w:pPr>
        <w:spacing w:line="360" w:lineRule="auto"/>
        <w:ind w:firstLine="480"/>
        <w:rPr>
          <w:rFonts w:ascii="宋体" w:hAnsi="宋体" w:cs="宋体"/>
          <w:szCs w:val="21"/>
        </w:rPr>
      </w:pPr>
    </w:p>
    <w:p w:rsidR="004B0A92" w14:paraId="7DCBAD3F" w14:textId="77777777">
      <w:pPr>
        <w:snapToGrid w:val="0"/>
        <w:spacing w:line="360" w:lineRule="auto"/>
        <w:rPr>
          <w:rFonts w:ascii="宋体" w:hAnsi="宋体" w:cs="宋体"/>
          <w:szCs w:val="21"/>
        </w:rPr>
      </w:pPr>
    </w:p>
    <w:p w:rsidR="004B0A92" w14:paraId="09C248BE" w14:textId="77777777">
      <w:pPr>
        <w:pStyle w:val="21"/>
        <w:spacing w:before="312" w:after="156" w:line="360" w:lineRule="auto"/>
        <w:jc w:val="center"/>
        <w:rPr>
          <w:rFonts w:ascii="宋体" w:eastAsia="宋体" w:hAnsi="宋体" w:cs="宋体"/>
          <w:sz w:val="21"/>
          <w:szCs w:val="21"/>
        </w:rPr>
      </w:pPr>
      <w:r>
        <w:rPr>
          <w:rFonts w:ascii="宋体" w:eastAsia="宋体" w:hAnsi="宋体" w:cs="宋体"/>
          <w:sz w:val="21"/>
          <w:szCs w:val="21"/>
        </w:rPr>
        <w:br w:type="page"/>
      </w:r>
      <w:bookmarkStart w:id="95" w:name="_Toc348082036"/>
      <w:bookmarkStart w:id="96" w:name="_Toc384992698"/>
      <w:r>
        <w:rPr>
          <w:rFonts w:ascii="宋体" w:eastAsia="宋体" w:hAnsi="宋体" w:cs="宋体" w:hint="eastAsia"/>
          <w:sz w:val="21"/>
          <w:szCs w:val="21"/>
        </w:rPr>
        <w:t>八、基金资产净值计算、估值和会计核算</w:t>
      </w:r>
      <w:bookmarkEnd w:id="95"/>
      <w:bookmarkEnd w:id="96"/>
    </w:p>
    <w:p w:rsidR="004B0A92" w14:paraId="7D6D686D" w14:textId="77777777">
      <w:pPr>
        <w:snapToGrid w:val="0"/>
        <w:spacing w:line="360" w:lineRule="auto"/>
        <w:ind w:firstLine="420"/>
        <w:rPr>
          <w:rFonts w:ascii="宋体" w:hAnsi="宋体" w:cs="宋体"/>
          <w:szCs w:val="21"/>
        </w:rPr>
      </w:pPr>
      <w:r>
        <w:rPr>
          <w:rFonts w:ascii="宋体" w:hAnsi="宋体" w:cs="宋体" w:hint="eastAsia"/>
          <w:szCs w:val="21"/>
        </w:rPr>
        <w:t>（一）基金资产净值的计算、复核与完成的时间及程序</w:t>
      </w:r>
    </w:p>
    <w:p w:rsidR="004B0A92" w14:paraId="694C21C5" w14:textId="77777777">
      <w:pPr>
        <w:snapToGrid w:val="0"/>
        <w:spacing w:line="360" w:lineRule="auto"/>
        <w:ind w:firstLine="420"/>
        <w:rPr>
          <w:rFonts w:ascii="宋体" w:hAnsi="宋体" w:cs="宋体"/>
          <w:szCs w:val="21"/>
        </w:rPr>
      </w:pPr>
      <w:r>
        <w:rPr>
          <w:rFonts w:ascii="宋体" w:hAnsi="宋体" w:cs="宋体" w:hint="eastAsia"/>
          <w:szCs w:val="21"/>
        </w:rPr>
        <w:t>1.基金资产净值</w:t>
      </w:r>
    </w:p>
    <w:p w:rsidR="004B0A92" w14:paraId="28B86C4B" w14:textId="77777777">
      <w:pPr>
        <w:snapToGrid w:val="0"/>
        <w:spacing w:line="360" w:lineRule="auto"/>
        <w:ind w:firstLine="420"/>
        <w:rPr>
          <w:rFonts w:ascii="宋体" w:hAnsi="宋体" w:cs="宋体"/>
          <w:szCs w:val="21"/>
        </w:rPr>
      </w:pPr>
      <w:r>
        <w:rPr>
          <w:rFonts w:ascii="宋体" w:hAnsi="宋体" w:cs="宋体" w:hint="eastAsia"/>
          <w:szCs w:val="21"/>
        </w:rPr>
        <w:t>基金资产净值是指基金资产总值减去基金负债后的价值。</w:t>
      </w:r>
    </w:p>
    <w:p w:rsidR="004B0A92" w14:paraId="461F3809" w14:textId="77777777">
      <w:pPr>
        <w:snapToGrid w:val="0"/>
        <w:spacing w:line="360" w:lineRule="auto"/>
        <w:ind w:firstLine="420"/>
        <w:rPr>
          <w:rFonts w:ascii="宋体" w:hAnsi="宋体" w:cs="宋体"/>
          <w:szCs w:val="21"/>
        </w:rPr>
      </w:pPr>
      <w:r>
        <w:rPr>
          <w:rFonts w:ascii="宋体" w:hAnsi="宋体" w:cs="宋体" w:hint="eastAsia"/>
          <w:szCs w:val="21"/>
        </w:rPr>
        <w:t>基金份额净值是指估值日基金资产净值除以估值日基金份额余额数量，基金份额净值的计算，精确到0.0001元，小数点后第五位四舍五入，国家另有规定的，从其规定。</w:t>
      </w:r>
    </w:p>
    <w:p w:rsidR="004B0A92" w14:paraId="36B5935A" w14:textId="77777777">
      <w:pPr>
        <w:snapToGrid w:val="0"/>
        <w:spacing w:line="360" w:lineRule="auto"/>
        <w:ind w:firstLine="420"/>
        <w:rPr>
          <w:rFonts w:ascii="宋体" w:hAnsi="宋体" w:cs="宋体"/>
          <w:szCs w:val="21"/>
        </w:rPr>
      </w:pPr>
      <w:r>
        <w:rPr>
          <w:rFonts w:ascii="宋体" w:hAnsi="宋体" w:cs="宋体" w:hint="eastAsia"/>
          <w:szCs w:val="21"/>
        </w:rPr>
        <w:t>基金管理人每个估值日计算基金资产净值、基金份额净值，经基金托管人复核，按规定公告。</w:t>
      </w:r>
    </w:p>
    <w:p w:rsidR="004B0A92" w14:paraId="6EE2B49E" w14:textId="77777777">
      <w:pPr>
        <w:snapToGrid w:val="0"/>
        <w:spacing w:line="360" w:lineRule="auto"/>
        <w:ind w:firstLine="420"/>
        <w:rPr>
          <w:rFonts w:ascii="宋体" w:hAnsi="宋体" w:cs="宋体"/>
          <w:szCs w:val="21"/>
        </w:rPr>
      </w:pPr>
      <w:r>
        <w:rPr>
          <w:rFonts w:ascii="宋体" w:hAnsi="宋体" w:cs="宋体" w:hint="eastAsia"/>
          <w:szCs w:val="21"/>
        </w:rPr>
        <w:t>2.复核程序</w:t>
      </w:r>
    </w:p>
    <w:p w:rsidR="004B0A92" w14:paraId="0A37F1D6" w14:textId="77777777">
      <w:pPr>
        <w:snapToGrid w:val="0"/>
        <w:spacing w:line="360" w:lineRule="auto"/>
        <w:ind w:firstLine="420"/>
        <w:rPr>
          <w:rFonts w:ascii="宋体" w:hAnsi="宋体" w:cs="宋体"/>
          <w:szCs w:val="21"/>
        </w:rPr>
      </w:pPr>
      <w:r>
        <w:rPr>
          <w:rFonts w:ascii="宋体" w:hAnsi="宋体" w:cs="宋体" w:hint="eastAsia"/>
          <w:szCs w:val="21"/>
        </w:rPr>
        <w:t>基金管理人每个估值日对基金资产进行估值后，将基金资产净值、基金份额净值发送基金托管人，经基金托管人复核无误后，由基金管理人按规定对外公布。</w:t>
      </w:r>
    </w:p>
    <w:p w:rsidR="004B0A92" w14:paraId="1F454987" w14:textId="77777777">
      <w:pPr>
        <w:snapToGrid w:val="0"/>
        <w:spacing w:line="360" w:lineRule="auto"/>
        <w:ind w:firstLine="420"/>
        <w:rPr>
          <w:rFonts w:ascii="宋体" w:hAnsi="宋体" w:cs="宋体"/>
          <w:szCs w:val="21"/>
        </w:rPr>
      </w:pPr>
      <w:r>
        <w:rPr>
          <w:rFonts w:ascii="宋体" w:hAnsi="宋体" w:cs="宋体" w:hint="eastAsia"/>
          <w:szCs w:val="21"/>
        </w:rPr>
        <w:t>3.根据有关法律法规，基金资产净值计算和基金会计核算的义务由基金管理人承担。本基金的基金会计责任方由基金管理人担任，因此，就与本基金有关的会计问题，如经相关各方在平等基础上充分讨论后，仍无法达成一致意见的，按照基金管理人对基金资产净值的计算结果对外予以公布。</w:t>
      </w:r>
    </w:p>
    <w:p w:rsidR="004B0A92" w14:paraId="40228F05" w14:textId="77777777">
      <w:pPr>
        <w:snapToGrid w:val="0"/>
        <w:spacing w:line="360" w:lineRule="auto"/>
        <w:ind w:firstLine="420"/>
        <w:rPr>
          <w:rFonts w:ascii="宋体" w:hAnsi="宋体" w:cs="宋体"/>
          <w:szCs w:val="21"/>
        </w:rPr>
      </w:pPr>
      <w:r>
        <w:rPr>
          <w:rFonts w:ascii="宋体" w:hAnsi="宋体" w:cs="宋体" w:hint="eastAsia"/>
          <w:szCs w:val="21"/>
        </w:rPr>
        <w:t>（二）基金资产的估值</w:t>
      </w:r>
    </w:p>
    <w:p w:rsidR="004B0A92" w14:paraId="08D57788" w14:textId="77777777">
      <w:pPr>
        <w:snapToGrid w:val="0"/>
        <w:spacing w:line="360" w:lineRule="auto"/>
        <w:ind w:firstLine="420"/>
        <w:rPr>
          <w:rStyle w:val="read"/>
          <w:rFonts w:ascii="宋体" w:hAnsi="宋体" w:cs="宋体"/>
          <w:szCs w:val="21"/>
        </w:rPr>
      </w:pPr>
      <w:r>
        <w:rPr>
          <w:rFonts w:ascii="宋体" w:hAnsi="宋体" w:cs="宋体" w:hint="eastAsia"/>
          <w:szCs w:val="21"/>
        </w:rPr>
        <w:t>基金管理人及基金托管人应当按照《基金合同》的约定进行估值。</w:t>
      </w:r>
    </w:p>
    <w:p w:rsidR="004B0A92" w14:paraId="00573F2D" w14:textId="77777777">
      <w:pPr>
        <w:snapToGrid w:val="0"/>
        <w:spacing w:line="360" w:lineRule="auto"/>
        <w:ind w:firstLine="420"/>
        <w:rPr>
          <w:rFonts w:ascii="宋体" w:hAnsi="宋体" w:cs="宋体"/>
          <w:szCs w:val="21"/>
        </w:rPr>
      </w:pPr>
      <w:r>
        <w:rPr>
          <w:rFonts w:ascii="宋体" w:hAnsi="宋体" w:cs="宋体" w:hint="eastAsia"/>
          <w:szCs w:val="21"/>
        </w:rPr>
        <w:t>（三）基金份额净值错误的处理方式</w:t>
      </w:r>
    </w:p>
    <w:p w:rsidR="004B0A92" w14:paraId="2E1F5F9D" w14:textId="77777777">
      <w:pPr>
        <w:snapToGrid w:val="0"/>
        <w:spacing w:line="360" w:lineRule="auto"/>
        <w:ind w:firstLine="420"/>
        <w:rPr>
          <w:rFonts w:ascii="宋体" w:hAnsi="宋体" w:cs="宋体"/>
          <w:szCs w:val="21"/>
        </w:rPr>
      </w:pPr>
      <w:r>
        <w:rPr>
          <w:rFonts w:ascii="宋体" w:hAnsi="宋体" w:cs="宋体" w:hint="eastAsia"/>
          <w:szCs w:val="21"/>
        </w:rPr>
        <w:t>基金管理人及基金托管人应当按照《基金合同》的约定处理份额净值错误。</w:t>
      </w:r>
    </w:p>
    <w:p w:rsidR="004B0A92" w14:paraId="04A3E1B5" w14:textId="77777777">
      <w:pPr>
        <w:snapToGrid w:val="0"/>
        <w:spacing w:line="360" w:lineRule="auto"/>
        <w:ind w:firstLine="420"/>
        <w:rPr>
          <w:rFonts w:ascii="宋体" w:hAnsi="宋体" w:cs="宋体"/>
          <w:szCs w:val="21"/>
        </w:rPr>
      </w:pPr>
      <w:r>
        <w:rPr>
          <w:rFonts w:ascii="宋体" w:hAnsi="宋体" w:cs="宋体" w:hint="eastAsia"/>
          <w:szCs w:val="21"/>
        </w:rPr>
        <w:t>（四）基金会计制度</w:t>
      </w:r>
    </w:p>
    <w:p w:rsidR="004B0A92" w14:paraId="1E168C30" w14:textId="77777777">
      <w:pPr>
        <w:snapToGrid w:val="0"/>
        <w:spacing w:line="360" w:lineRule="auto"/>
        <w:ind w:firstLine="420"/>
        <w:rPr>
          <w:rFonts w:ascii="宋体" w:hAnsi="宋体" w:cs="宋体"/>
          <w:szCs w:val="21"/>
        </w:rPr>
      </w:pPr>
      <w:r>
        <w:rPr>
          <w:rFonts w:ascii="宋体" w:hAnsi="宋体" w:cs="宋体" w:hint="eastAsia"/>
          <w:szCs w:val="21"/>
        </w:rPr>
        <w:t>按国家有关部门规定的会计制度执行。</w:t>
      </w:r>
    </w:p>
    <w:p w:rsidR="004B0A92" w14:paraId="620CC016" w14:textId="77777777">
      <w:pPr>
        <w:snapToGrid w:val="0"/>
        <w:spacing w:line="360" w:lineRule="auto"/>
        <w:ind w:firstLine="420"/>
        <w:rPr>
          <w:rFonts w:ascii="宋体" w:hAnsi="宋体" w:cs="宋体"/>
          <w:szCs w:val="21"/>
        </w:rPr>
      </w:pPr>
      <w:r>
        <w:rPr>
          <w:rFonts w:ascii="宋体" w:hAnsi="宋体" w:cs="宋体" w:hint="eastAsia"/>
          <w:szCs w:val="21"/>
        </w:rPr>
        <w:t>（五）基金账册的建立</w:t>
      </w:r>
    </w:p>
    <w:p w:rsidR="004B0A92" w14:paraId="1E32041B" w14:textId="77777777">
      <w:pPr>
        <w:snapToGrid w:val="0"/>
        <w:spacing w:line="360" w:lineRule="auto"/>
        <w:ind w:firstLine="420"/>
        <w:rPr>
          <w:rFonts w:ascii="宋体" w:hAnsi="宋体" w:cs="宋体"/>
          <w:szCs w:val="21"/>
        </w:rPr>
      </w:pPr>
      <w:r>
        <w:rPr>
          <w:rFonts w:ascii="宋体" w:hAnsi="宋体" w:cs="宋体" w:hint="eastAsia"/>
          <w:szCs w:val="21"/>
        </w:rPr>
        <w:t>基金管理人和基金托管人在基金合同生效后，应按照双方约定的同一记账方法和会计处理原则，分别独立地设置、记录和保管本基金的全套账册，对相关各方各自的账册定期进行核对，互相监督，以保证基金资产的安全。</w:t>
      </w:r>
    </w:p>
    <w:p w:rsidR="004B0A92" w14:paraId="7FD439CD" w14:textId="77777777">
      <w:pPr>
        <w:snapToGrid w:val="0"/>
        <w:spacing w:line="360" w:lineRule="auto"/>
        <w:ind w:firstLine="420"/>
        <w:rPr>
          <w:rFonts w:ascii="宋体" w:hAnsi="宋体" w:cs="宋体"/>
          <w:szCs w:val="21"/>
        </w:rPr>
      </w:pPr>
      <w:r>
        <w:rPr>
          <w:rFonts w:ascii="宋体" w:hAnsi="宋体" w:cs="宋体" w:hint="eastAsia"/>
          <w:szCs w:val="21"/>
        </w:rPr>
        <w:t>（六）基金财务报表与报告的编制和复核</w:t>
      </w:r>
    </w:p>
    <w:p w:rsidR="004B0A92" w14:paraId="0BBA5DF2" w14:textId="77777777">
      <w:pPr>
        <w:snapToGrid w:val="0"/>
        <w:spacing w:line="360" w:lineRule="auto"/>
        <w:ind w:firstLine="420"/>
        <w:rPr>
          <w:rFonts w:ascii="宋体" w:hAnsi="宋体" w:cs="宋体"/>
          <w:szCs w:val="21"/>
        </w:rPr>
      </w:pPr>
      <w:r>
        <w:rPr>
          <w:rFonts w:ascii="宋体" w:hAnsi="宋体" w:cs="宋体" w:hint="eastAsia"/>
          <w:szCs w:val="21"/>
        </w:rPr>
        <w:t>1.财务报表的编制</w:t>
      </w:r>
    </w:p>
    <w:p w:rsidR="004B0A92" w14:paraId="07B2B2C2" w14:textId="77777777">
      <w:pPr>
        <w:snapToGrid w:val="0"/>
        <w:spacing w:line="360" w:lineRule="auto"/>
        <w:ind w:firstLine="420"/>
        <w:rPr>
          <w:rFonts w:ascii="宋体" w:hAnsi="宋体" w:cs="宋体"/>
          <w:szCs w:val="21"/>
        </w:rPr>
      </w:pPr>
      <w:r>
        <w:rPr>
          <w:rFonts w:ascii="宋体" w:hAnsi="宋体" w:cs="宋体" w:hint="eastAsia"/>
          <w:szCs w:val="21"/>
        </w:rPr>
        <w:t>基金财务报表由基金管理人编制，基金托管人复核。</w:t>
      </w:r>
    </w:p>
    <w:p w:rsidR="004B0A92" w14:paraId="6D806589" w14:textId="77777777">
      <w:pPr>
        <w:snapToGrid w:val="0"/>
        <w:spacing w:line="360" w:lineRule="auto"/>
        <w:ind w:firstLine="420"/>
        <w:rPr>
          <w:rFonts w:ascii="宋体" w:hAnsi="宋体" w:cs="宋体"/>
          <w:szCs w:val="21"/>
        </w:rPr>
      </w:pPr>
      <w:r>
        <w:rPr>
          <w:rFonts w:ascii="宋体" w:hAnsi="宋体" w:cs="宋体" w:hint="eastAsia"/>
          <w:szCs w:val="21"/>
        </w:rPr>
        <w:t>2.报表复核</w:t>
      </w:r>
    </w:p>
    <w:p w:rsidR="004B0A92" w14:paraId="71C42749" w14:textId="77777777">
      <w:pPr>
        <w:snapToGrid w:val="0"/>
        <w:spacing w:line="360" w:lineRule="auto"/>
        <w:ind w:firstLine="420"/>
        <w:rPr>
          <w:rFonts w:ascii="宋体" w:hAnsi="宋体" w:cs="宋体"/>
          <w:szCs w:val="21"/>
        </w:rPr>
      </w:pPr>
      <w:r>
        <w:rPr>
          <w:rFonts w:ascii="宋体" w:hAnsi="宋体" w:cs="宋体" w:hint="eastAsia"/>
          <w:szCs w:val="21"/>
        </w:rPr>
        <w:t>基金托管人在收到基金管理人编制的基金财务报表后，进行独立的复核。核对不符时，应及时通知基金管理人共同查出原因，进行调整，直至双方数据完全一致。</w:t>
      </w:r>
    </w:p>
    <w:p w:rsidR="004B0A92" w14:paraId="0D2418BA" w14:textId="77777777">
      <w:pPr>
        <w:snapToGrid w:val="0"/>
        <w:spacing w:line="360" w:lineRule="auto"/>
        <w:ind w:firstLine="420"/>
        <w:rPr>
          <w:rFonts w:ascii="宋体" w:hAnsi="宋体" w:cs="宋体"/>
          <w:szCs w:val="21"/>
        </w:rPr>
      </w:pPr>
      <w:r>
        <w:rPr>
          <w:rFonts w:ascii="宋体" w:hAnsi="宋体" w:cs="宋体" w:hint="eastAsia"/>
          <w:szCs w:val="21"/>
        </w:rPr>
        <w:t>3.财务报表的编制与复核时间安排</w:t>
      </w:r>
    </w:p>
    <w:p w:rsidR="004B0A92" w14:paraId="3CD55F21" w14:textId="77777777">
      <w:pPr>
        <w:snapToGrid w:val="0"/>
        <w:spacing w:line="360" w:lineRule="auto"/>
        <w:ind w:firstLine="420"/>
        <w:rPr>
          <w:rFonts w:ascii="宋体" w:hAnsi="宋体" w:cs="宋体"/>
          <w:szCs w:val="21"/>
        </w:rPr>
      </w:pPr>
      <w:r>
        <w:rPr>
          <w:rFonts w:ascii="宋体" w:hAnsi="宋体" w:cs="宋体" w:hint="eastAsia"/>
          <w:szCs w:val="21"/>
        </w:rPr>
        <w:t>基金管理人、基金托管人应当在每月结束后5个工作日内完成月度报表的编制及复核；在每个季度结束之日起15个工作日内完成基金季度报告的编制及复核；在上半年结束之日起2个月内完成基金中期报告的编制及复核；在每年结束之日起三个月内完成基金年度报告的编制及复核。基金托管人在复核过程中，发现双方的报表存在不符时，基金管理人和基金托管人应共同查明原因，进行调整，调整以国家有关规定为准。基金年度报告的财务会计报告应当经过符合《证券法》规定的会计师事务所审计。基金合同生效不足两个月的，基金管理人可以不编制当期季度报告、中期报告或者年度报告。</w:t>
      </w:r>
    </w:p>
    <w:p w:rsidR="004B0A92" w14:paraId="60AF3A5F" w14:textId="77777777">
      <w:pPr>
        <w:snapToGrid w:val="0"/>
        <w:spacing w:line="360" w:lineRule="auto"/>
        <w:ind w:firstLine="420"/>
        <w:rPr>
          <w:rFonts w:ascii="宋体" w:hAnsi="宋体" w:cs="宋体"/>
          <w:szCs w:val="21"/>
        </w:rPr>
      </w:pPr>
      <w:r>
        <w:rPr>
          <w:rFonts w:ascii="宋体" w:hAnsi="宋体" w:cs="宋体" w:hint="eastAsia"/>
          <w:szCs w:val="21"/>
        </w:rPr>
        <w:t>（七）在有需要时，基金管理人应每季度向基金托管人提供基金业绩比较基准的基础数据和编制结果。</w:t>
      </w:r>
    </w:p>
    <w:p w:rsidR="004B0A92" w14:paraId="3D5F2FFE" w14:textId="77777777">
      <w:pPr>
        <w:snapToGrid w:val="0"/>
        <w:spacing w:line="360" w:lineRule="auto"/>
        <w:ind w:firstLine="420"/>
        <w:rPr>
          <w:rFonts w:ascii="宋体" w:hAnsi="宋体" w:cs="宋体"/>
          <w:szCs w:val="21"/>
        </w:rPr>
      </w:pPr>
      <w:r>
        <w:rPr>
          <w:rFonts w:ascii="宋体" w:hAnsi="宋体" w:cs="宋体" w:hint="eastAsia"/>
          <w:szCs w:val="21"/>
        </w:rPr>
        <w:t>（八）实施侧袋机制期间的基金资产估值</w:t>
      </w:r>
    </w:p>
    <w:p w:rsidR="004B0A92" w14:paraId="07C1092E" w14:textId="77777777">
      <w:pPr>
        <w:snapToGrid w:val="0"/>
        <w:spacing w:line="360" w:lineRule="auto"/>
        <w:ind w:firstLine="420"/>
        <w:rPr>
          <w:rFonts w:ascii="宋体" w:hAnsi="宋体" w:cs="宋体"/>
          <w:szCs w:val="21"/>
        </w:rPr>
      </w:pPr>
      <w:r>
        <w:rPr>
          <w:rFonts w:ascii="宋体" w:hAnsi="宋体" w:cs="宋体" w:hint="eastAsia"/>
          <w:szCs w:val="21"/>
        </w:rPr>
        <w:t>本基金实施侧袋机制的，应根据本部分的约定对主袋账户资产进行估值并披露主袋账户的基金资产净值和份额净值，暂停披露侧袋账户份额净值。</w:t>
      </w:r>
    </w:p>
    <w:p w:rsidR="004B0A92" w14:paraId="1389DE63" w14:textId="77777777">
      <w:pPr>
        <w:spacing w:line="360" w:lineRule="auto"/>
        <w:rPr>
          <w:rFonts w:ascii="宋体" w:hAnsi="宋体" w:cs="宋体"/>
        </w:rPr>
      </w:pPr>
    </w:p>
    <w:p w:rsidR="004B0A92" w14:paraId="2B254A0B" w14:textId="77777777">
      <w:pPr>
        <w:pStyle w:val="NormalIndent"/>
        <w:snapToGrid w:val="0"/>
        <w:spacing w:line="360" w:lineRule="auto"/>
        <w:ind w:firstLine="0"/>
        <w:rPr>
          <w:rFonts w:ascii="宋体" w:hAnsi="宋体" w:cs="宋体"/>
          <w:szCs w:val="21"/>
        </w:rPr>
      </w:pPr>
    </w:p>
    <w:p w:rsidR="004B0A92" w14:paraId="509645D0" w14:textId="77777777">
      <w:pPr>
        <w:pStyle w:val="21"/>
        <w:spacing w:before="312" w:after="156" w:line="360" w:lineRule="auto"/>
        <w:jc w:val="center"/>
        <w:rPr>
          <w:rFonts w:ascii="宋体" w:eastAsia="宋体" w:hAnsi="宋体" w:cs="宋体"/>
          <w:sz w:val="21"/>
          <w:szCs w:val="21"/>
        </w:rPr>
      </w:pPr>
      <w:r>
        <w:rPr>
          <w:rFonts w:ascii="宋体" w:eastAsia="宋体" w:hAnsi="宋体" w:cs="宋体"/>
        </w:rPr>
        <w:br w:type="page"/>
      </w:r>
      <w:bookmarkStart w:id="97" w:name="_Toc384992699"/>
      <w:bookmarkStart w:id="98" w:name="_Toc348082037"/>
      <w:r>
        <w:rPr>
          <w:rFonts w:ascii="宋体" w:eastAsia="宋体" w:hAnsi="宋体" w:cs="宋体" w:hint="eastAsia"/>
          <w:sz w:val="21"/>
          <w:szCs w:val="21"/>
        </w:rPr>
        <w:t>九、基金收益分配</w:t>
      </w:r>
      <w:bookmarkEnd w:id="97"/>
      <w:bookmarkEnd w:id="98"/>
    </w:p>
    <w:p w:rsidR="004B0A92" w14:paraId="300110C8" w14:textId="77777777">
      <w:pPr>
        <w:snapToGrid w:val="0"/>
        <w:spacing w:line="360" w:lineRule="auto"/>
        <w:ind w:firstLine="420"/>
        <w:rPr>
          <w:rFonts w:ascii="宋体" w:hAnsi="宋体" w:cs="宋体"/>
          <w:szCs w:val="21"/>
        </w:rPr>
      </w:pPr>
      <w:r>
        <w:rPr>
          <w:rFonts w:ascii="宋体" w:hAnsi="宋体" w:cs="宋体" w:hint="eastAsia"/>
          <w:szCs w:val="21"/>
        </w:rPr>
        <w:t>基金管理人与基金托管人按照《基金合同》的约定处理基金收益分配。</w:t>
      </w:r>
    </w:p>
    <w:p w:rsidR="004B0A92" w14:paraId="33EDA8CA" w14:textId="77777777">
      <w:pPr>
        <w:snapToGrid w:val="0"/>
        <w:spacing w:line="360" w:lineRule="auto"/>
        <w:rPr>
          <w:rFonts w:ascii="宋体" w:hAnsi="宋体" w:cs="宋体"/>
          <w:szCs w:val="21"/>
        </w:rPr>
      </w:pPr>
    </w:p>
    <w:p w:rsidR="004B0A92" w14:paraId="3F7128F2" w14:textId="77777777">
      <w:pPr>
        <w:pStyle w:val="21"/>
        <w:spacing w:before="312" w:after="156" w:line="360" w:lineRule="auto"/>
        <w:jc w:val="center"/>
        <w:rPr>
          <w:rFonts w:ascii="宋体" w:eastAsia="宋体" w:hAnsi="宋体" w:cs="宋体"/>
          <w:sz w:val="21"/>
          <w:szCs w:val="21"/>
        </w:rPr>
      </w:pPr>
      <w:r>
        <w:rPr>
          <w:rFonts w:ascii="宋体" w:eastAsia="宋体" w:hAnsi="宋体" w:cs="宋体"/>
          <w:sz w:val="21"/>
          <w:szCs w:val="21"/>
        </w:rPr>
        <w:br w:type="page"/>
      </w:r>
      <w:bookmarkStart w:id="99" w:name="_Toc348082038"/>
      <w:bookmarkStart w:id="100" w:name="_Toc384992700"/>
      <w:r>
        <w:rPr>
          <w:rFonts w:ascii="宋体" w:eastAsia="宋体" w:hAnsi="宋体" w:cs="宋体" w:hint="eastAsia"/>
          <w:sz w:val="21"/>
          <w:szCs w:val="21"/>
        </w:rPr>
        <w:t>十、基金信息披露</w:t>
      </w:r>
      <w:bookmarkEnd w:id="99"/>
      <w:bookmarkEnd w:id="100"/>
    </w:p>
    <w:p w:rsidR="004B0A92" w14:paraId="733CA467" w14:textId="77777777">
      <w:pPr>
        <w:snapToGrid w:val="0"/>
        <w:spacing w:line="360" w:lineRule="auto"/>
        <w:ind w:firstLine="420"/>
        <w:rPr>
          <w:rFonts w:ascii="宋体" w:hAnsi="宋体" w:cs="宋体"/>
          <w:szCs w:val="21"/>
        </w:rPr>
      </w:pPr>
      <w:r>
        <w:rPr>
          <w:rFonts w:ascii="宋体" w:hAnsi="宋体" w:cs="宋体" w:hint="eastAsia"/>
          <w:szCs w:val="21"/>
        </w:rPr>
        <w:t>（一）保密义务</w:t>
      </w:r>
    </w:p>
    <w:p w:rsidR="004B0A92" w14:paraId="787BF11C" w14:textId="77777777">
      <w:pPr>
        <w:snapToGrid w:val="0"/>
        <w:spacing w:line="360" w:lineRule="auto"/>
        <w:ind w:firstLine="420"/>
        <w:rPr>
          <w:rFonts w:ascii="宋体" w:hAnsi="宋体" w:cs="宋体"/>
          <w:szCs w:val="21"/>
        </w:rPr>
      </w:pPr>
      <w:r>
        <w:rPr>
          <w:rFonts w:ascii="宋体" w:hAnsi="宋体" w:cs="宋体" w:hint="eastAsia"/>
          <w:szCs w:val="21"/>
        </w:rPr>
        <w:t>基金托管人和基金管理人应按法律法规、基金合同的有关规定进行信息披露，拟公开披露的信息在公开披露之前应予保密。除按《基金法》、基金合同、《信息披露办法》及其他有关规定进行信息披露外，基金管理人和基金托管人对基金运作中产生的信息以及从对方获得的业务信息应予保密。但是，如下情况不应视为基金管理人或基金托管人违反保密义务：</w:t>
      </w:r>
    </w:p>
    <w:p w:rsidR="004B0A92" w14:paraId="45DDBC61" w14:textId="77777777">
      <w:pPr>
        <w:snapToGrid w:val="0"/>
        <w:spacing w:line="360" w:lineRule="auto"/>
        <w:ind w:firstLine="420"/>
        <w:rPr>
          <w:rFonts w:ascii="宋体" w:hAnsi="宋体" w:cs="宋体"/>
          <w:szCs w:val="21"/>
        </w:rPr>
      </w:pPr>
      <w:r>
        <w:rPr>
          <w:rFonts w:ascii="宋体" w:hAnsi="宋体" w:cs="宋体" w:hint="eastAsia"/>
          <w:szCs w:val="21"/>
        </w:rPr>
        <w:t>1.非因基金管理人和基金托管人的原因导致保密信息被披露、泄露或公开；</w:t>
      </w:r>
    </w:p>
    <w:p w:rsidR="004B0A92" w14:paraId="66909CCB" w14:textId="77777777">
      <w:pPr>
        <w:snapToGrid w:val="0"/>
        <w:spacing w:line="360" w:lineRule="auto"/>
        <w:ind w:firstLine="420"/>
        <w:rPr>
          <w:rFonts w:ascii="宋体" w:hAnsi="宋体" w:cs="宋体"/>
          <w:szCs w:val="21"/>
        </w:rPr>
      </w:pPr>
      <w:r>
        <w:rPr>
          <w:rFonts w:ascii="宋体" w:hAnsi="宋体" w:cs="宋体" w:hint="eastAsia"/>
          <w:szCs w:val="21"/>
        </w:rPr>
        <w:t>2.基金管理人和基金托管人为遵守和服从法院判决或裁定、仲裁裁决或中国证监会等监管机构的命令、决定所做出的信息披露或公开。</w:t>
      </w:r>
    </w:p>
    <w:p w:rsidR="004B0A92" w14:paraId="54DC037E" w14:textId="77777777">
      <w:pPr>
        <w:snapToGrid w:val="0"/>
        <w:spacing w:line="360" w:lineRule="auto"/>
        <w:ind w:firstLine="420"/>
        <w:rPr>
          <w:rFonts w:ascii="宋体" w:hAnsi="宋体" w:cs="宋体"/>
          <w:szCs w:val="21"/>
        </w:rPr>
      </w:pPr>
      <w:r>
        <w:rPr>
          <w:rFonts w:ascii="宋体" w:hAnsi="宋体" w:cs="宋体" w:hint="eastAsia"/>
          <w:szCs w:val="21"/>
        </w:rPr>
        <w:t>（二）信息披露的内容</w:t>
      </w:r>
    </w:p>
    <w:p w:rsidR="004B0A92" w14:paraId="177EDA42" w14:textId="77777777">
      <w:pPr>
        <w:snapToGrid w:val="0"/>
        <w:spacing w:line="360" w:lineRule="auto"/>
        <w:ind w:firstLine="420"/>
        <w:rPr>
          <w:rFonts w:ascii="宋体" w:hAnsi="宋体" w:cs="宋体"/>
          <w:szCs w:val="21"/>
        </w:rPr>
      </w:pPr>
      <w:r>
        <w:rPr>
          <w:rFonts w:ascii="宋体" w:hAnsi="宋体" w:cs="宋体" w:hint="eastAsia"/>
          <w:szCs w:val="21"/>
        </w:rPr>
        <w:t>基金的信息披露内容主要包括基金招募说明书、基金合同、托管协议、基金产品资料概要、基金份额发售公告、基金合同生效公告、基金净值信息、基金份额申购、赎回价格、基金定期报告（包括基金年度报告、基金中期报告和基金季度报告）、临时报告、澄清公告、基</w:t>
      </w:r>
      <w:r>
        <w:rPr>
          <w:rFonts w:ascii="宋体" w:hAnsi="宋体" w:cs="宋体"/>
          <w:szCs w:val="21"/>
        </w:rPr>
        <w:t>金份额持有人大会决议、实施侧袋机制期间的信息披露、清算报告、中国证监会规定的其他信息。基金年度报告中的财务会计报告应当经过符合</w:t>
      </w:r>
      <w:r>
        <w:rPr>
          <w:rFonts w:ascii="宋体" w:hAnsi="宋体" w:cs="宋体" w:hint="eastAsia"/>
          <w:szCs w:val="21"/>
        </w:rPr>
        <w:t>《证券法》规定的会计师事务所审计后，方可披露。</w:t>
      </w:r>
    </w:p>
    <w:p w:rsidR="004B0A92" w14:paraId="7887D583" w14:textId="77777777">
      <w:pPr>
        <w:spacing w:line="360" w:lineRule="auto"/>
        <w:ind w:firstLine="420"/>
        <w:rPr>
          <w:rFonts w:ascii="宋体" w:hAnsi="宋体" w:cs="宋体"/>
          <w:szCs w:val="21"/>
        </w:rPr>
      </w:pPr>
      <w:r>
        <w:rPr>
          <w:rFonts w:ascii="宋体" w:hAnsi="宋体" w:cs="宋体"/>
        </w:rPr>
        <w:t>若本基金投资股指期货、国债期货、</w:t>
      </w:r>
      <w:r>
        <w:rPr>
          <w:rFonts w:hint="eastAsia"/>
          <w:szCs w:val="21"/>
        </w:rPr>
        <w:t>股票期权、</w:t>
      </w:r>
      <w:r>
        <w:rPr>
          <w:rFonts w:ascii="宋体" w:hAnsi="宋体" w:cs="宋体"/>
        </w:rPr>
        <w:t>资产支持证券</w:t>
      </w:r>
      <w:r>
        <w:rPr>
          <w:rFonts w:hint="eastAsia"/>
          <w:szCs w:val="21"/>
        </w:rPr>
        <w:t>、参与转融通证券出借及融资业务</w:t>
      </w:r>
      <w:r>
        <w:rPr>
          <w:rFonts w:ascii="宋体" w:hAnsi="宋体" w:cs="宋体"/>
        </w:rPr>
        <w:t>，基金管理人将按相关法律法规要求进行披露。</w:t>
      </w:r>
    </w:p>
    <w:p w:rsidR="004B0A92" w14:paraId="0E1703FF" w14:textId="77777777">
      <w:pPr>
        <w:snapToGrid w:val="0"/>
        <w:spacing w:line="360" w:lineRule="auto"/>
        <w:ind w:firstLine="420"/>
        <w:rPr>
          <w:rFonts w:ascii="宋体" w:hAnsi="宋体" w:cs="宋体"/>
          <w:szCs w:val="21"/>
        </w:rPr>
      </w:pPr>
      <w:r>
        <w:rPr>
          <w:rFonts w:ascii="宋体" w:hAnsi="宋体" w:cs="宋体" w:hint="eastAsia"/>
          <w:szCs w:val="21"/>
        </w:rPr>
        <w:t>（三）基金托管人和基金管理人在信息披露中的职责和信息披露程序</w:t>
      </w:r>
    </w:p>
    <w:p w:rsidR="004B0A92" w14:paraId="2400F56D" w14:textId="77777777">
      <w:pPr>
        <w:snapToGrid w:val="0"/>
        <w:spacing w:line="360" w:lineRule="auto"/>
        <w:ind w:firstLine="420"/>
        <w:rPr>
          <w:rFonts w:ascii="宋体" w:hAnsi="宋体" w:cs="宋体"/>
          <w:szCs w:val="21"/>
        </w:rPr>
      </w:pPr>
      <w:r>
        <w:rPr>
          <w:rFonts w:ascii="宋体" w:hAnsi="宋体" w:cs="宋体" w:hint="eastAsia"/>
          <w:szCs w:val="21"/>
        </w:rPr>
        <w:t>1.职责</w:t>
      </w:r>
    </w:p>
    <w:p w:rsidR="004B0A92" w14:paraId="53D41B62" w14:textId="77777777">
      <w:pPr>
        <w:snapToGrid w:val="0"/>
        <w:spacing w:line="360" w:lineRule="auto"/>
        <w:ind w:firstLine="420"/>
        <w:rPr>
          <w:rFonts w:ascii="宋体" w:hAnsi="宋体" w:cs="宋体"/>
          <w:szCs w:val="21"/>
        </w:rPr>
      </w:pPr>
      <w:r>
        <w:rPr>
          <w:rFonts w:ascii="宋体" w:hAnsi="宋体" w:cs="宋体" w:hint="eastAsia"/>
          <w:szCs w:val="21"/>
        </w:rPr>
        <w:t>基金托管人和基金管理人在信息披露过程中应以保护基金份额持有人利益为宗旨，诚实信用，严守秘密。基金管理人负责办理与基金有关的信息披露事宜，对于根据相关法律法规和基金合同规定的需要由基金托管人复核的信息披露文件，在经基金托管人复核无误后，由基金管理人予以公布。</w:t>
      </w:r>
    </w:p>
    <w:p w:rsidR="004B0A92" w14:paraId="0B2B4EB4" w14:textId="77777777">
      <w:pPr>
        <w:snapToGrid w:val="0"/>
        <w:spacing w:line="360" w:lineRule="auto"/>
        <w:ind w:firstLine="420"/>
        <w:rPr>
          <w:rFonts w:ascii="宋体" w:hAnsi="宋体" w:cs="宋体"/>
          <w:szCs w:val="21"/>
        </w:rPr>
      </w:pPr>
      <w:r>
        <w:rPr>
          <w:rFonts w:ascii="宋体" w:hAnsi="宋体" w:cs="宋体" w:hint="eastAsia"/>
          <w:szCs w:val="21"/>
        </w:rPr>
        <w:t>基金管理人和基金托管人应积极配合、互相监督，保证其履行按照法定方式和时限披露的义务。</w:t>
      </w:r>
    </w:p>
    <w:p w:rsidR="004B0A92" w14:paraId="1777098A" w14:textId="77777777">
      <w:pPr>
        <w:snapToGrid w:val="0"/>
        <w:spacing w:line="360" w:lineRule="auto"/>
        <w:ind w:firstLine="420"/>
        <w:rPr>
          <w:rFonts w:ascii="宋体" w:hAnsi="宋体" w:cs="宋体"/>
          <w:szCs w:val="21"/>
        </w:rPr>
      </w:pPr>
      <w:r>
        <w:rPr>
          <w:rFonts w:ascii="宋体" w:hAnsi="宋体" w:cs="宋体" w:hint="eastAsia"/>
          <w:szCs w:val="21"/>
        </w:rPr>
        <w:t>基金管理人、基金托管人应当在中国证监会规定的时间内，将应予披露的基金信息通过规定媒介披露。</w:t>
      </w:r>
    </w:p>
    <w:p w:rsidR="004B0A92" w14:paraId="4CB5A4CF" w14:textId="77777777">
      <w:pPr>
        <w:snapToGrid w:val="0"/>
        <w:spacing w:line="360" w:lineRule="auto"/>
        <w:ind w:firstLine="420"/>
        <w:rPr>
          <w:rFonts w:ascii="宋体" w:hAnsi="宋体" w:cs="宋体"/>
          <w:szCs w:val="21"/>
        </w:rPr>
      </w:pPr>
      <w:r>
        <w:rPr>
          <w:rFonts w:ascii="宋体" w:hAnsi="宋体" w:cs="宋体" w:hint="eastAsia"/>
          <w:szCs w:val="21"/>
        </w:rPr>
        <w:t>当出现下述情况时，基金管理人和基金托管人可暂停或延迟披露基金相关信息：</w:t>
      </w:r>
    </w:p>
    <w:p w:rsidR="004B0A92" w14:paraId="6F808372" w14:textId="77777777">
      <w:pPr>
        <w:snapToGrid w:val="0"/>
        <w:spacing w:line="360" w:lineRule="auto"/>
        <w:ind w:firstLine="420"/>
        <w:rPr>
          <w:rFonts w:ascii="宋体" w:hAnsi="宋体" w:cs="宋体"/>
          <w:szCs w:val="21"/>
        </w:rPr>
      </w:pPr>
      <w:r w:rsidR="004B0824">
        <w:rPr>
          <w:rFonts w:ascii="宋体" w:hAnsi="宋体" w:cs="宋体" w:hint="eastAsia"/>
          <w:szCs w:val="21"/>
          <w:highlight w:val="white"/>
        </w:rPr>
        <w:t>（1）</w:t>
      </w:r>
      <w:r>
        <w:rPr>
          <w:rFonts w:ascii="宋体" w:hAnsi="宋体" w:cs="宋体" w:hint="eastAsia"/>
          <w:szCs w:val="21"/>
          <w:highlight w:val="white"/>
        </w:rPr>
        <w:t>基金投资所涉及的证券交易市场遇法定节假日或因其他原因暂停营业时；</w:t>
      </w:r>
    </w:p>
    <w:p w:rsidR="004B0A92" w14:paraId="303F9BFC" w14:textId="77777777">
      <w:pPr>
        <w:snapToGrid w:val="0"/>
        <w:spacing w:line="360" w:lineRule="auto"/>
        <w:ind w:firstLine="420"/>
        <w:rPr>
          <w:rFonts w:ascii="宋体" w:hAnsi="宋体" w:cs="宋体"/>
          <w:szCs w:val="21"/>
        </w:rPr>
      </w:pPr>
      <w:r>
        <w:rPr>
          <w:rFonts w:ascii="宋体" w:hAnsi="宋体" w:cs="宋体" w:hint="eastAsia"/>
          <w:szCs w:val="21"/>
          <w:highlight w:val="white"/>
        </w:rPr>
        <w:t>（2）</w:t>
      </w:r>
      <w:r w:rsidR="009873FD">
        <w:rPr>
          <w:rFonts w:ascii="宋体" w:hAnsi="宋体" w:cs="宋体" w:hint="eastAsia"/>
          <w:szCs w:val="21"/>
          <w:highlight w:val="white"/>
        </w:rPr>
        <w:t>因不可抗力致使基金管理人、基金托管人无法准确评估基金资产价值时；</w:t>
      </w:r>
    </w:p>
    <w:p w:rsidR="004B0A92" w14:paraId="134FD7DC" w14:textId="77777777">
      <w:pPr>
        <w:snapToGrid w:val="0"/>
        <w:spacing w:line="360" w:lineRule="auto"/>
        <w:ind w:firstLine="420"/>
        <w:rPr>
          <w:rFonts w:ascii="宋体" w:hAnsi="宋体" w:cs="宋体"/>
          <w:szCs w:val="21"/>
        </w:rPr>
      </w:pPr>
      <w:r>
        <w:rPr>
          <w:rFonts w:ascii="宋体" w:hAnsi="宋体" w:cs="宋体" w:hint="eastAsia"/>
          <w:szCs w:val="21"/>
          <w:highlight w:val="white"/>
        </w:rPr>
        <w:t>（3）</w:t>
      </w:r>
      <w:r w:rsidR="009873FD">
        <w:rPr>
          <w:rFonts w:ascii="宋体" w:hAnsi="宋体" w:cs="宋体" w:hint="eastAsia"/>
          <w:szCs w:val="21"/>
          <w:highlight w:val="white"/>
        </w:rPr>
        <w:t>当特定资产占前一估值日基金资产净值50%以上的，经与基金托管人协商确认后，基金管理人应当暂停估值；</w:t>
      </w:r>
    </w:p>
    <w:p w:rsidR="004B0A92" w14:paraId="7918C712" w14:textId="77777777">
      <w:pPr>
        <w:snapToGrid w:val="0"/>
        <w:spacing w:line="360" w:lineRule="auto"/>
        <w:ind w:firstLine="420"/>
        <w:rPr>
          <w:rFonts w:ascii="宋体" w:hAnsi="宋体" w:cs="宋体"/>
          <w:szCs w:val="21"/>
        </w:rPr>
      </w:pPr>
      <w:r>
        <w:rPr>
          <w:rFonts w:ascii="宋体" w:hAnsi="宋体" w:cs="宋体" w:hint="eastAsia"/>
          <w:szCs w:val="21"/>
          <w:highlight w:val="white"/>
        </w:rPr>
        <w:t>（4）</w:t>
      </w:r>
      <w:r w:rsidR="009873FD">
        <w:rPr>
          <w:rFonts w:ascii="宋体" w:hAnsi="宋体" w:cs="宋体" w:hint="eastAsia"/>
          <w:szCs w:val="21"/>
          <w:highlight w:val="white"/>
        </w:rPr>
        <w:t>基金所投资的目标ETF发生暂停估值、暂停公告基金份额净值的情形；</w:t>
      </w:r>
    </w:p>
    <w:p w:rsidR="004B0A92" w14:paraId="4699E790" w14:textId="77777777">
      <w:pPr>
        <w:snapToGrid w:val="0"/>
        <w:spacing w:line="360" w:lineRule="auto"/>
        <w:ind w:firstLine="420"/>
        <w:rPr>
          <w:rFonts w:ascii="宋体" w:hAnsi="宋体" w:cs="宋体"/>
          <w:szCs w:val="21"/>
        </w:rPr>
      </w:pPr>
      <w:r>
        <w:rPr>
          <w:rFonts w:ascii="宋体" w:hAnsi="宋体" w:cs="宋体" w:hint="eastAsia"/>
          <w:szCs w:val="21"/>
          <w:highlight w:val="white"/>
        </w:rPr>
        <w:t>（</w:t>
      </w:r>
      <w:r>
        <w:rPr>
          <w:rFonts w:ascii="宋体" w:hAnsi="宋体" w:cs="宋体" w:hint="eastAsia"/>
          <w:szCs w:val="21"/>
          <w:highlight w:val="white"/>
        </w:rPr>
        <w:t>5</w:t>
      </w:r>
      <w:r>
        <w:rPr>
          <w:rFonts w:ascii="宋体" w:hAnsi="宋体" w:cs="宋体" w:hint="eastAsia"/>
          <w:szCs w:val="21"/>
          <w:highlight w:val="white"/>
        </w:rPr>
        <w:t>）</w:t>
      </w:r>
      <w:r w:rsidR="009873FD">
        <w:rPr>
          <w:rFonts w:ascii="宋体" w:hAnsi="宋体" w:cs="宋体" w:hint="eastAsia"/>
          <w:szCs w:val="21"/>
          <w:highlight w:val="white"/>
        </w:rPr>
        <w:t>中国证监会和基金合同认定的其它情形。</w:t>
      </w:r>
    </w:p>
    <w:p w:rsidR="004B0A92" w14:paraId="19555A0E" w14:textId="77777777">
      <w:pPr>
        <w:snapToGrid w:val="0"/>
        <w:spacing w:line="360" w:lineRule="auto"/>
        <w:ind w:firstLine="420"/>
        <w:rPr>
          <w:rFonts w:ascii="宋体" w:hAnsi="宋体" w:cs="宋体"/>
          <w:szCs w:val="21"/>
        </w:rPr>
      </w:pPr>
      <w:r>
        <w:rPr>
          <w:rFonts w:ascii="宋体" w:hAnsi="宋体" w:cs="宋体" w:hint="eastAsia"/>
          <w:szCs w:val="21"/>
        </w:rPr>
        <w:t>2.程序</w:t>
      </w:r>
    </w:p>
    <w:p w:rsidR="004B0A92" w14:paraId="7A6C7D49" w14:textId="77777777">
      <w:pPr>
        <w:snapToGrid w:val="0"/>
        <w:spacing w:line="360" w:lineRule="auto"/>
        <w:ind w:firstLine="420"/>
        <w:rPr>
          <w:rFonts w:ascii="宋体" w:hAnsi="宋体" w:cs="宋体"/>
          <w:szCs w:val="21"/>
        </w:rPr>
      </w:pPr>
      <w:r>
        <w:rPr>
          <w:rFonts w:ascii="宋体" w:hAnsi="宋体" w:cs="宋体" w:hint="eastAsia"/>
          <w:szCs w:val="21"/>
        </w:rPr>
        <w:t>按有关规定须经基金托管人复核的信息披露文件，由基金管理人起草、并经基金托管人复核后由基金管理人公告。发生基金合同中规定需要披露的事项时，按基金合同规定公布。</w:t>
      </w:r>
    </w:p>
    <w:p w:rsidR="004B0A92" w14:paraId="2F0F4E2F" w14:textId="77777777">
      <w:pPr>
        <w:snapToGrid w:val="0"/>
        <w:spacing w:line="360" w:lineRule="auto"/>
        <w:ind w:firstLine="420"/>
        <w:rPr>
          <w:rFonts w:ascii="宋体" w:hAnsi="宋体" w:cs="宋体"/>
          <w:szCs w:val="21"/>
        </w:rPr>
      </w:pPr>
      <w:r>
        <w:rPr>
          <w:rFonts w:ascii="宋体" w:hAnsi="宋体" w:cs="宋体" w:hint="eastAsia"/>
          <w:szCs w:val="21"/>
        </w:rPr>
        <w:t>3.信息文本的存放</w:t>
      </w:r>
    </w:p>
    <w:p w:rsidR="004B0A92" w14:paraId="793733DE" w14:textId="77777777">
      <w:pPr>
        <w:pStyle w:val="NormalIndent"/>
        <w:snapToGrid w:val="0"/>
        <w:spacing w:line="360" w:lineRule="auto"/>
        <w:rPr>
          <w:rFonts w:ascii="宋体" w:hAnsi="宋体" w:cs="宋体"/>
          <w:szCs w:val="21"/>
        </w:rPr>
      </w:pPr>
      <w:r>
        <w:rPr>
          <w:rFonts w:ascii="宋体" w:hAnsi="宋体" w:cs="宋体" w:hint="eastAsia"/>
          <w:szCs w:val="21"/>
        </w:rPr>
        <w:t>予以披露的信息文本，存放在基金管理人/基金托管人处，投资者可以免费查阅。在支付工本费后可在合理时间获得上述文件的复制件或复印件。基金管理人和基金托管人应保证文本的内容与所公告的内容完全一致。</w:t>
      </w:r>
    </w:p>
    <w:p w:rsidR="004B0A92" w14:paraId="55CDC0D6" w14:textId="77777777">
      <w:pPr>
        <w:pStyle w:val="NormalIndent"/>
        <w:spacing w:line="360" w:lineRule="auto"/>
      </w:pPr>
      <w:r>
        <w:rPr>
          <w:rFonts w:ascii="宋体" w:hAnsi="宋体" w:cs="宋体"/>
          <w:szCs w:val="21"/>
          <w:highlight w:val="white"/>
        </w:rPr>
        <w:t>（四）实施侧袋机制期间的信息披露</w:t>
      </w:r>
    </w:p>
    <w:p w:rsidR="004B0A92" w14:paraId="516BAEE1" w14:textId="77777777">
      <w:pPr>
        <w:pStyle w:val="NormalIndent"/>
        <w:snapToGrid w:val="0"/>
        <w:spacing w:line="360" w:lineRule="auto"/>
        <w:rPr>
          <w:rFonts w:ascii="宋体" w:hAnsi="宋体" w:cs="宋体"/>
          <w:szCs w:val="21"/>
        </w:rPr>
      </w:pPr>
      <w:r>
        <w:rPr>
          <w:rFonts w:ascii="宋体" w:hAnsi="宋体" w:cs="宋体"/>
          <w:szCs w:val="21"/>
          <w:highlight w:val="white"/>
        </w:rPr>
        <w:t>本基金实施侧袋机制的，相关信息披露义务人应当根据法律法规、基金合同和招募说明书的规定进行信息披露，详见招募说明书的规定。</w:t>
      </w:r>
    </w:p>
    <w:p w:rsidR="004B0A92" w14:paraId="2B20BF1D" w14:textId="77777777">
      <w:pPr>
        <w:pStyle w:val="NormalIndent"/>
        <w:spacing w:line="360" w:lineRule="auto"/>
        <w:ind w:firstLine="0"/>
        <w:rPr>
          <w:rFonts w:ascii="宋体" w:hAnsi="宋体" w:cs="宋体"/>
          <w:szCs w:val="21"/>
        </w:rPr>
      </w:pPr>
    </w:p>
    <w:p w:rsidR="004B0A92" w14:paraId="2250790E" w14:textId="77777777">
      <w:pPr>
        <w:pStyle w:val="21"/>
        <w:spacing w:before="312" w:after="156" w:line="360" w:lineRule="auto"/>
        <w:jc w:val="center"/>
        <w:rPr>
          <w:rFonts w:ascii="宋体" w:eastAsia="宋体" w:hAnsi="宋体" w:cs="宋体"/>
          <w:sz w:val="21"/>
          <w:szCs w:val="21"/>
        </w:rPr>
      </w:pPr>
      <w:r>
        <w:rPr>
          <w:rFonts w:ascii="宋体" w:eastAsia="宋体" w:hAnsi="宋体" w:cs="宋体"/>
          <w:sz w:val="21"/>
          <w:szCs w:val="21"/>
        </w:rPr>
        <w:br w:type="page"/>
      </w:r>
      <w:bookmarkStart w:id="101" w:name="_Toc348082039"/>
      <w:bookmarkStart w:id="102" w:name="_Toc384992701"/>
      <w:r>
        <w:rPr>
          <w:rFonts w:ascii="宋体" w:eastAsia="宋体" w:hAnsi="宋体" w:cs="宋体" w:hint="eastAsia"/>
          <w:sz w:val="21"/>
          <w:szCs w:val="21"/>
        </w:rPr>
        <w:t>十一、基金费用</w:t>
      </w:r>
      <w:bookmarkEnd w:id="101"/>
      <w:bookmarkEnd w:id="102"/>
    </w:p>
    <w:p w:rsidR="004B0A92" w14:paraId="0440C670" w14:textId="77777777">
      <w:pPr>
        <w:snapToGrid w:val="0"/>
        <w:spacing w:line="360" w:lineRule="auto"/>
        <w:ind w:firstLine="420"/>
        <w:rPr>
          <w:rFonts w:ascii="宋体" w:hAnsi="宋体" w:cs="宋体"/>
          <w:szCs w:val="21"/>
        </w:rPr>
      </w:pPr>
      <w:r>
        <w:rPr>
          <w:rFonts w:ascii="宋体" w:hAnsi="宋体" w:cs="宋体" w:hint="eastAsia"/>
          <w:szCs w:val="21"/>
        </w:rPr>
        <w:t>（</w:t>
      </w:r>
      <w:r>
        <w:rPr>
          <w:rFonts w:ascii="宋体" w:hAnsi="宋体" w:cs="宋体"/>
          <w:szCs w:val="21"/>
        </w:rPr>
        <w:t>一）</w:t>
      </w:r>
      <w:r>
        <w:rPr>
          <w:rFonts w:ascii="宋体" w:hAnsi="宋体" w:cs="宋体" w:hint="eastAsia"/>
          <w:szCs w:val="21"/>
        </w:rPr>
        <w:t>基金托管费的计提方法、计提标准和支付方式如下：</w:t>
      </w:r>
    </w:p>
    <w:p w:rsidR="004B0A92" w14:paraId="44095A94" w14:textId="77777777">
      <w:pPr>
        <w:spacing w:line="360" w:lineRule="auto"/>
        <w:ind w:firstLine="420"/>
        <w:rPr>
          <w:rFonts w:ascii="宋体" w:hAnsi="宋体" w:cs="宋体"/>
          <w:szCs w:val="21"/>
        </w:rPr>
      </w:pPr>
      <w:r>
        <w:rPr>
          <w:rFonts w:ascii="宋体" w:hAnsi="宋体" w:cs="宋体"/>
          <w:szCs w:val="21"/>
          <w:highlight w:val="white"/>
        </w:rPr>
        <w:t>本基金的托管费按前一日基金资产净值扣除前一日所持有目标ETF公允价值后的余额（若为负数，则取0）的0.10%年费率计提。托管费的计算方法如下：</w:t>
      </w:r>
    </w:p>
    <w:p w:rsidR="004B0A92" w14:paraId="35E4B9D5" w14:textId="77777777">
      <w:pPr>
        <w:spacing w:line="360" w:lineRule="auto"/>
        <w:ind w:firstLine="420"/>
        <w:rPr>
          <w:rFonts w:ascii="宋体" w:hAnsi="宋体" w:cs="宋体"/>
          <w:szCs w:val="21"/>
        </w:rPr>
      </w:pPr>
      <w:r>
        <w:rPr>
          <w:rFonts w:ascii="宋体" w:hAnsi="宋体" w:cs="宋体"/>
          <w:szCs w:val="21"/>
          <w:highlight w:val="white"/>
        </w:rPr>
        <w:t>H＝E×0.10%÷当年天数</w:t>
      </w:r>
    </w:p>
    <w:p w:rsidR="004B0A92" w14:paraId="22B9E098" w14:textId="77777777">
      <w:pPr>
        <w:spacing w:line="360" w:lineRule="auto"/>
        <w:ind w:firstLine="420"/>
        <w:rPr>
          <w:rFonts w:ascii="宋体" w:hAnsi="宋体" w:cs="宋体"/>
          <w:szCs w:val="21"/>
        </w:rPr>
      </w:pPr>
      <w:r>
        <w:rPr>
          <w:rFonts w:ascii="宋体" w:hAnsi="宋体" w:cs="宋体"/>
          <w:szCs w:val="21"/>
          <w:highlight w:val="white"/>
        </w:rPr>
        <w:t>H为每日应计提的基金托管费</w:t>
      </w:r>
    </w:p>
    <w:p w:rsidR="004B0A92" w14:paraId="4FE9F43F" w14:textId="77777777">
      <w:pPr>
        <w:spacing w:line="360" w:lineRule="auto"/>
        <w:ind w:firstLine="420"/>
        <w:rPr>
          <w:rFonts w:ascii="宋体" w:hAnsi="宋体" w:cs="宋体"/>
          <w:szCs w:val="21"/>
        </w:rPr>
      </w:pPr>
      <w:r>
        <w:rPr>
          <w:rFonts w:ascii="宋体" w:hAnsi="宋体" w:cs="宋体"/>
          <w:szCs w:val="21"/>
          <w:highlight w:val="white"/>
        </w:rPr>
        <w:t>E为调整后的前一日的基金资产净值。调整后的前一日基金资产净值＝前一日基金资产净值－前一日本基金持有的目标ETF公允价值，金额为负时以零计</w:t>
      </w:r>
    </w:p>
    <w:p w:rsidR="004B0A92" w14:paraId="5D4BE43C" w14:textId="77777777">
      <w:pPr>
        <w:snapToGrid w:val="0"/>
        <w:spacing w:line="360" w:lineRule="auto"/>
        <w:ind w:firstLine="420"/>
        <w:rPr>
          <w:rFonts w:ascii="宋体" w:hAnsi="宋体" w:cs="宋体"/>
          <w:szCs w:val="21"/>
        </w:rPr>
      </w:pPr>
      <w:r>
        <w:rPr>
          <w:rFonts w:ascii="宋体" w:hAnsi="宋体" w:cs="宋体" w:hint="eastAsia"/>
          <w:szCs w:val="21"/>
        </w:rPr>
        <w:t>基金托管费每日计提，逐日累计至每月月末，按月支付，经基金管理人与基金托管人双方核对无误后，基金托管人按照与基金管理人协商一致的方式于次月前5个工作日内从基金财产中一次性支取。若遇法定节假日、公休假或不可抗力等，支付日期顺延。</w:t>
      </w:r>
      <w:r>
        <w:rPr>
          <w:rFonts w:ascii="宋体" w:hAnsi="宋体" w:cs="宋体"/>
          <w:szCs w:val="21"/>
        </w:rPr>
        <w:t xml:space="preserve"> </w:t>
      </w:r>
      <w:bookmarkStart w:id="103" w:name="CTS_608c7338e08f4004a54213593452c4e8"/>
      <w:bookmarkEnd w:id="103"/>
    </w:p>
    <w:p w:rsidR="004B0A92" w14:paraId="437FB959" w14:textId="77777777">
      <w:pPr>
        <w:snapToGrid w:val="0"/>
        <w:spacing w:line="360" w:lineRule="auto"/>
        <w:ind w:firstLine="420"/>
        <w:rPr>
          <w:rFonts w:ascii="宋体" w:hAnsi="宋体" w:cs="宋体"/>
          <w:szCs w:val="21"/>
        </w:rPr>
      </w:pPr>
    </w:p>
    <w:p w:rsidR="004B0A92" w14:paraId="15F66639" w14:textId="77777777">
      <w:pPr>
        <w:snapToGrid w:val="0"/>
        <w:spacing w:line="360" w:lineRule="auto"/>
        <w:ind w:firstLine="420"/>
        <w:rPr>
          <w:rFonts w:ascii="宋体" w:hAnsi="宋体" w:cs="宋体"/>
          <w:szCs w:val="21"/>
        </w:rPr>
      </w:pPr>
      <w:r>
        <w:rPr>
          <w:rFonts w:ascii="宋体" w:hAnsi="宋体" w:cs="宋体" w:hint="eastAsia"/>
          <w:szCs w:val="21"/>
        </w:rPr>
        <w:t>（</w:t>
      </w:r>
      <w:r>
        <w:rPr>
          <w:rFonts w:ascii="宋体" w:hAnsi="宋体" w:cs="宋体"/>
          <w:szCs w:val="21"/>
        </w:rPr>
        <w:t>二）</w:t>
      </w:r>
      <w:r>
        <w:rPr>
          <w:rFonts w:ascii="宋体" w:hAnsi="宋体" w:cs="宋体" w:hint="eastAsia"/>
          <w:szCs w:val="21"/>
        </w:rPr>
        <w:t>基金其他费用按照《基金合同》的约定计提和支付</w:t>
      </w:r>
      <w:r>
        <w:rPr>
          <w:rFonts w:ascii="宋体" w:hAnsi="宋体" w:cs="宋体" w:hint="eastAsia"/>
          <w:color w:val="000000"/>
          <w:szCs w:val="21"/>
        </w:rPr>
        <w:t>。</w:t>
      </w:r>
    </w:p>
    <w:p w:rsidR="004B0A92" w14:paraId="28BC58D9" w14:textId="77777777">
      <w:pPr>
        <w:pStyle w:val="21"/>
        <w:spacing w:before="312" w:after="156" w:line="360" w:lineRule="auto"/>
        <w:ind w:firstLine="527"/>
        <w:jc w:val="center"/>
        <w:rPr>
          <w:rFonts w:ascii="宋体" w:eastAsia="宋体" w:hAnsi="宋体" w:cs="宋体"/>
          <w:sz w:val="21"/>
          <w:szCs w:val="21"/>
        </w:rPr>
      </w:pPr>
      <w:r>
        <w:rPr>
          <w:rFonts w:ascii="宋体" w:eastAsia="宋体" w:hAnsi="宋体" w:cs="宋体"/>
          <w:sz w:val="21"/>
          <w:szCs w:val="21"/>
        </w:rPr>
        <w:br w:type="page"/>
      </w:r>
      <w:bookmarkStart w:id="104" w:name="_Toc384992702"/>
      <w:bookmarkStart w:id="105" w:name="_Toc348082040"/>
      <w:r>
        <w:rPr>
          <w:rFonts w:ascii="宋体" w:eastAsia="宋体" w:hAnsi="宋体" w:cs="宋体" w:hint="eastAsia"/>
          <w:sz w:val="21"/>
          <w:szCs w:val="21"/>
        </w:rPr>
        <w:t>十二、基金份额持有人名册的保管</w:t>
      </w:r>
      <w:bookmarkEnd w:id="104"/>
      <w:bookmarkEnd w:id="105"/>
    </w:p>
    <w:p w:rsidR="004B0A92" w14:paraId="5CA942E3" w14:textId="77777777">
      <w:pPr>
        <w:snapToGrid w:val="0"/>
        <w:spacing w:line="360" w:lineRule="auto"/>
        <w:ind w:firstLine="420"/>
        <w:rPr>
          <w:rFonts w:ascii="宋体" w:hAnsi="宋体" w:cs="宋体"/>
          <w:szCs w:val="21"/>
        </w:rPr>
      </w:pPr>
      <w:r>
        <w:rPr>
          <w:rFonts w:ascii="宋体" w:hAnsi="宋体" w:cs="宋体"/>
          <w:szCs w:val="21"/>
        </w:rPr>
        <w:t>基金份额持有人名册至少应包括基金份额持有人的名称</w:t>
      </w:r>
      <w:r>
        <w:rPr>
          <w:rFonts w:ascii="宋体" w:hAnsi="宋体" w:cs="宋体" w:hint="eastAsia"/>
          <w:szCs w:val="21"/>
        </w:rPr>
        <w:t>、证件号码和持有的基金份额。基金份额持有人名册由登记机构根据基金管理人的指令编制和保管，基金管理人和基金托管人应分别保管基金份额持有人名册，保存期不少于</w:t>
      </w:r>
      <w:r>
        <w:rPr>
          <w:rFonts w:ascii="宋体" w:hAnsi="宋体" w:cs="宋体"/>
          <w:szCs w:val="21"/>
        </w:rPr>
        <w:t>20</w:t>
      </w:r>
      <w:r>
        <w:rPr>
          <w:rFonts w:ascii="宋体" w:hAnsi="宋体" w:cs="宋体" w:hint="eastAsia"/>
          <w:szCs w:val="21"/>
        </w:rPr>
        <w:t>年。如不能妥善保管，则按相关法律法规承担责任。</w:t>
      </w:r>
    </w:p>
    <w:p w:rsidR="004B0A92" w14:paraId="6477F84C" w14:textId="77777777">
      <w:pPr>
        <w:snapToGrid w:val="0"/>
        <w:spacing w:line="360" w:lineRule="auto"/>
        <w:ind w:firstLine="420"/>
        <w:rPr>
          <w:rFonts w:ascii="宋体" w:hAnsi="宋体" w:cs="宋体"/>
          <w:szCs w:val="21"/>
        </w:rPr>
      </w:pPr>
      <w:r>
        <w:rPr>
          <w:rFonts w:ascii="宋体" w:hAnsi="宋体" w:cs="宋体" w:hint="eastAsia"/>
          <w:szCs w:val="21"/>
        </w:rPr>
        <w:t>在基金托管人要求或编制中期报告和年度报告前，基金管理人应将有关资料送交基金托管人，不得无故拒绝或延误提供，并保证其的真实性、准确性和完整性。基金管理人和基金托管人不得将所保管的基金份额持有人名册用于基金托管业务以外的其他用途，并应遵守保密义务。</w:t>
      </w:r>
    </w:p>
    <w:p w:rsidR="004B0A92" w14:paraId="697D62C9" w14:textId="77777777">
      <w:pPr>
        <w:pStyle w:val="21"/>
        <w:spacing w:before="312" w:after="156" w:line="360" w:lineRule="auto"/>
        <w:ind w:firstLine="480"/>
        <w:jc w:val="center"/>
        <w:rPr>
          <w:rFonts w:ascii="宋体" w:eastAsia="宋体" w:hAnsi="宋体" w:cs="宋体"/>
          <w:sz w:val="21"/>
          <w:szCs w:val="21"/>
        </w:rPr>
      </w:pPr>
      <w:r>
        <w:rPr>
          <w:rFonts w:ascii="宋体" w:eastAsia="宋体" w:hAnsi="宋体" w:cs="宋体"/>
          <w:b w:val="0"/>
          <w:sz w:val="21"/>
          <w:szCs w:val="21"/>
        </w:rPr>
        <w:br w:type="page"/>
      </w:r>
      <w:bookmarkStart w:id="106" w:name="_Toc384992703"/>
      <w:bookmarkStart w:id="107" w:name="_Toc348082041"/>
      <w:r>
        <w:rPr>
          <w:rFonts w:ascii="宋体" w:eastAsia="宋体" w:hAnsi="宋体" w:cs="宋体" w:hint="eastAsia"/>
          <w:sz w:val="21"/>
          <w:szCs w:val="21"/>
        </w:rPr>
        <w:t>十三、基金有关文件档案的保存</w:t>
      </w:r>
      <w:bookmarkEnd w:id="106"/>
      <w:bookmarkEnd w:id="107"/>
    </w:p>
    <w:p w:rsidR="004B0A92" w14:paraId="0A43976F" w14:textId="77777777">
      <w:pPr>
        <w:snapToGrid w:val="0"/>
        <w:spacing w:line="360" w:lineRule="auto"/>
        <w:ind w:firstLine="420"/>
        <w:outlineLvl w:val="2"/>
        <w:rPr>
          <w:rFonts w:ascii="宋体" w:hAnsi="宋体" w:cs="宋体"/>
          <w:szCs w:val="21"/>
        </w:rPr>
      </w:pPr>
      <w:r>
        <w:rPr>
          <w:rFonts w:ascii="宋体" w:hAnsi="宋体" w:cs="宋体" w:hint="eastAsia"/>
          <w:szCs w:val="21"/>
        </w:rPr>
        <w:t>（一）档案保存</w:t>
      </w:r>
    </w:p>
    <w:p w:rsidR="004B0A92" w14:paraId="5E152BB4" w14:textId="77777777">
      <w:pPr>
        <w:snapToGrid w:val="0"/>
        <w:spacing w:line="360" w:lineRule="auto"/>
        <w:ind w:firstLine="420"/>
        <w:rPr>
          <w:rFonts w:ascii="宋体" w:hAnsi="宋体" w:cs="宋体"/>
          <w:szCs w:val="21"/>
        </w:rPr>
      </w:pPr>
      <w:r>
        <w:rPr>
          <w:rFonts w:ascii="宋体" w:hAnsi="宋体" w:cs="宋体" w:hint="eastAsia"/>
          <w:szCs w:val="21"/>
        </w:rPr>
        <w:t>基金管理人应保存基金财产管理业务活动的记录、账册、报表和其他相关资料。基金托管人应保存基金托管业务活动的记录、账册、报表和其他相关资料。基金管理人和基金托管人都应当按规定的期限保管。保存期限不少于</w:t>
      </w:r>
      <w:r>
        <w:rPr>
          <w:rFonts w:ascii="宋体" w:hAnsi="宋体" w:cs="宋体"/>
          <w:szCs w:val="21"/>
        </w:rPr>
        <w:t>20</w:t>
      </w:r>
      <w:r>
        <w:rPr>
          <w:rFonts w:ascii="宋体" w:hAnsi="宋体" w:cs="宋体" w:hint="eastAsia"/>
          <w:szCs w:val="21"/>
        </w:rPr>
        <w:t>年。</w:t>
      </w:r>
    </w:p>
    <w:p w:rsidR="004B0A92" w14:paraId="6D3A82F0" w14:textId="77777777">
      <w:pPr>
        <w:snapToGrid w:val="0"/>
        <w:spacing w:line="360" w:lineRule="auto"/>
        <w:ind w:firstLine="420"/>
        <w:outlineLvl w:val="2"/>
        <w:rPr>
          <w:rFonts w:ascii="宋体" w:hAnsi="宋体" w:cs="宋体"/>
          <w:szCs w:val="21"/>
        </w:rPr>
      </w:pPr>
      <w:r>
        <w:rPr>
          <w:rFonts w:ascii="宋体" w:hAnsi="宋体" w:cs="宋体" w:hint="eastAsia"/>
          <w:szCs w:val="21"/>
        </w:rPr>
        <w:t>（二）合同档案的建立</w:t>
      </w:r>
    </w:p>
    <w:p w:rsidR="004B0A92" w14:paraId="78BE1643" w14:textId="77777777">
      <w:pPr>
        <w:snapToGrid w:val="0"/>
        <w:spacing w:line="360" w:lineRule="auto"/>
        <w:ind w:firstLine="420"/>
        <w:rPr>
          <w:rFonts w:ascii="宋体" w:hAnsi="宋体" w:cs="宋体"/>
          <w:szCs w:val="21"/>
        </w:rPr>
      </w:pPr>
      <w:r>
        <w:rPr>
          <w:rFonts w:ascii="宋体" w:hAnsi="宋体" w:cs="宋体" w:hint="eastAsia"/>
          <w:szCs w:val="21"/>
        </w:rPr>
        <w:t>1.基金管理人签署重大合同文本后，应及时将合同文本正本送达基金托管人处。</w:t>
      </w:r>
    </w:p>
    <w:p w:rsidR="004B0A92" w14:paraId="2F6909E4" w14:textId="77777777">
      <w:pPr>
        <w:snapToGrid w:val="0"/>
        <w:spacing w:line="360" w:lineRule="auto"/>
        <w:ind w:firstLine="420"/>
        <w:rPr>
          <w:rFonts w:ascii="宋体" w:hAnsi="宋体" w:cs="宋体"/>
          <w:szCs w:val="21"/>
        </w:rPr>
      </w:pPr>
      <w:r>
        <w:rPr>
          <w:rFonts w:ascii="宋体" w:hAnsi="宋体" w:cs="宋体" w:hint="eastAsia"/>
          <w:szCs w:val="21"/>
        </w:rPr>
        <w:t>2.基金管理人应及时将与本基金账务处理、资金划拨等有关的合同、协议传真至基金托管人。</w:t>
      </w:r>
    </w:p>
    <w:p w:rsidR="004B0A92" w14:paraId="6BAD4BEA" w14:textId="77777777">
      <w:pPr>
        <w:snapToGrid w:val="0"/>
        <w:spacing w:line="360" w:lineRule="auto"/>
        <w:ind w:firstLine="420"/>
        <w:outlineLvl w:val="2"/>
        <w:rPr>
          <w:rFonts w:ascii="宋体" w:hAnsi="宋体" w:cs="宋体"/>
          <w:szCs w:val="21"/>
        </w:rPr>
      </w:pPr>
      <w:r>
        <w:rPr>
          <w:rFonts w:ascii="宋体" w:hAnsi="宋体" w:cs="宋体" w:hint="eastAsia"/>
          <w:szCs w:val="21"/>
        </w:rPr>
        <w:t>（三）变更与协助</w:t>
      </w:r>
    </w:p>
    <w:p w:rsidR="004B0A92" w14:paraId="724632E9" w14:textId="77777777">
      <w:pPr>
        <w:snapToGrid w:val="0"/>
        <w:spacing w:line="360" w:lineRule="auto"/>
        <w:ind w:firstLine="420"/>
        <w:rPr>
          <w:rFonts w:ascii="宋体" w:hAnsi="宋体" w:cs="宋体"/>
          <w:b/>
          <w:bCs/>
          <w:szCs w:val="21"/>
        </w:rPr>
      </w:pPr>
      <w:r>
        <w:rPr>
          <w:rFonts w:ascii="宋体" w:hAnsi="宋体" w:cs="宋体" w:hint="eastAsia"/>
          <w:szCs w:val="21"/>
        </w:rPr>
        <w:t>若基金管理人/基金托管人发生变更，未变更的一方有义务协助变更后的接任人接收相应文件。</w:t>
      </w:r>
    </w:p>
    <w:p w:rsidR="004B0A92" w14:paraId="0A1C0BDC" w14:textId="77777777">
      <w:pPr>
        <w:snapToGrid w:val="0"/>
        <w:spacing w:line="360" w:lineRule="auto"/>
        <w:ind w:firstLine="420"/>
        <w:outlineLvl w:val="2"/>
        <w:rPr>
          <w:rFonts w:ascii="宋体" w:hAnsi="宋体" w:cs="宋体"/>
          <w:szCs w:val="21"/>
        </w:rPr>
      </w:pPr>
      <w:r>
        <w:rPr>
          <w:rFonts w:ascii="宋体" w:hAnsi="宋体" w:cs="宋体" w:hint="eastAsia"/>
          <w:szCs w:val="21"/>
        </w:rPr>
        <w:t>（四）基金管理人和基金托管人应按各自职责完整保存原始凭证、记账凭证、基金账册、交易记录和重要合同等，承担保密义务并保存至少2</w:t>
      </w:r>
      <w:r>
        <w:rPr>
          <w:rFonts w:ascii="宋体" w:hAnsi="宋体" w:cs="宋体"/>
          <w:szCs w:val="21"/>
        </w:rPr>
        <w:t>0</w:t>
      </w:r>
      <w:r>
        <w:rPr>
          <w:rFonts w:ascii="宋体" w:hAnsi="宋体" w:cs="宋体" w:hint="eastAsia"/>
          <w:szCs w:val="21"/>
        </w:rPr>
        <w:t>年</w:t>
      </w:r>
      <w:r>
        <w:rPr>
          <w:rFonts w:ascii="宋体" w:hAnsi="宋体" w:cs="宋体" w:hint="eastAsia"/>
          <w:szCs w:val="21"/>
        </w:rPr>
        <w:t>。</w:t>
      </w:r>
    </w:p>
    <w:p w:rsidR="004B0A92" w14:paraId="70FFAA18" w14:textId="77777777">
      <w:pPr>
        <w:snapToGrid w:val="0"/>
        <w:spacing w:line="360" w:lineRule="auto"/>
        <w:rPr>
          <w:rFonts w:ascii="宋体" w:hAnsi="宋体" w:cs="宋体"/>
          <w:szCs w:val="21"/>
        </w:rPr>
      </w:pPr>
    </w:p>
    <w:p w:rsidR="004B0A92" w14:paraId="1B2D5D3F" w14:textId="77777777">
      <w:pPr>
        <w:pStyle w:val="21"/>
        <w:spacing w:before="312" w:after="156" w:line="360" w:lineRule="auto"/>
        <w:jc w:val="center"/>
        <w:rPr>
          <w:rFonts w:ascii="宋体" w:eastAsia="宋体" w:hAnsi="宋体" w:cs="宋体"/>
          <w:sz w:val="21"/>
          <w:szCs w:val="21"/>
        </w:rPr>
      </w:pPr>
      <w:r>
        <w:rPr>
          <w:rFonts w:ascii="宋体" w:eastAsia="宋体" w:hAnsi="宋体" w:cs="宋体"/>
          <w:sz w:val="21"/>
          <w:szCs w:val="21"/>
        </w:rPr>
        <w:br w:type="page"/>
      </w:r>
      <w:bookmarkStart w:id="108" w:name="_Toc348082042"/>
      <w:bookmarkStart w:id="109" w:name="_Toc384992704"/>
      <w:r>
        <w:rPr>
          <w:rFonts w:ascii="宋体" w:eastAsia="宋体" w:hAnsi="宋体" w:cs="宋体" w:hint="eastAsia"/>
          <w:sz w:val="21"/>
          <w:szCs w:val="21"/>
        </w:rPr>
        <w:t>十四、基金管理人和基金托管人的更换</w:t>
      </w:r>
      <w:bookmarkEnd w:id="108"/>
      <w:bookmarkEnd w:id="109"/>
    </w:p>
    <w:p w:rsidR="004B0A92" w14:paraId="365EFD8C" w14:textId="77777777">
      <w:pPr>
        <w:spacing w:line="360" w:lineRule="auto"/>
        <w:ind w:firstLine="420"/>
        <w:rPr>
          <w:rFonts w:ascii="宋体" w:hAnsi="宋体" w:cs="宋体"/>
          <w:szCs w:val="21"/>
        </w:rPr>
      </w:pPr>
      <w:r>
        <w:rPr>
          <w:rFonts w:ascii="宋体" w:hAnsi="宋体" w:cs="宋体" w:hint="eastAsia"/>
          <w:szCs w:val="21"/>
        </w:rPr>
        <w:t>（一）</w:t>
      </w:r>
      <w:r>
        <w:rPr>
          <w:rFonts w:ascii="宋体" w:hAnsi="宋体" w:cs="宋体"/>
          <w:szCs w:val="21"/>
        </w:rPr>
        <w:t>基金管理人职责终止</w:t>
      </w:r>
      <w:r>
        <w:rPr>
          <w:rFonts w:ascii="宋体" w:hAnsi="宋体" w:cs="宋体" w:hint="eastAsia"/>
          <w:szCs w:val="21"/>
        </w:rPr>
        <w:t>后</w:t>
      </w:r>
      <w:r>
        <w:rPr>
          <w:rFonts w:ascii="宋体" w:hAnsi="宋体" w:cs="宋体"/>
          <w:szCs w:val="21"/>
        </w:rPr>
        <w:t>，</w:t>
      </w:r>
      <w:r>
        <w:rPr>
          <w:rFonts w:ascii="宋体" w:hAnsi="宋体" w:cs="宋体" w:hint="eastAsia"/>
          <w:szCs w:val="21"/>
        </w:rPr>
        <w:t>仍</w:t>
      </w:r>
      <w:r>
        <w:rPr>
          <w:rFonts w:ascii="宋体" w:hAnsi="宋体" w:cs="宋体"/>
          <w:szCs w:val="21"/>
        </w:rPr>
        <w:t>应妥善保管基金管理业务资料，</w:t>
      </w:r>
      <w:r>
        <w:rPr>
          <w:rFonts w:ascii="宋体" w:hAnsi="宋体" w:cs="宋体" w:hint="eastAsia"/>
          <w:szCs w:val="21"/>
        </w:rPr>
        <w:t>保证不做出对基金份额持有人的利益造成损害的行为，并与新任基金管理人或临时基金管理人</w:t>
      </w:r>
      <w:r>
        <w:rPr>
          <w:rFonts w:ascii="宋体" w:hAnsi="宋体" w:cs="宋体"/>
          <w:szCs w:val="21"/>
        </w:rPr>
        <w:t>及时办理基金管理业务的移交手续。</w:t>
      </w:r>
      <w:r>
        <w:rPr>
          <w:rFonts w:ascii="宋体" w:hAnsi="宋体" w:cs="宋体" w:hint="eastAsia"/>
          <w:szCs w:val="21"/>
        </w:rPr>
        <w:t>基金托管人应给予积极配合，并与新任基金管理人核对基金资产总值。</w:t>
      </w:r>
    </w:p>
    <w:p w:rsidR="004B0A92" w14:paraId="7531BE85" w14:textId="77777777">
      <w:pPr>
        <w:spacing w:line="360" w:lineRule="auto"/>
        <w:ind w:firstLine="420"/>
        <w:rPr>
          <w:rFonts w:ascii="宋体" w:hAnsi="宋体" w:cs="宋体"/>
          <w:szCs w:val="21"/>
        </w:rPr>
      </w:pPr>
      <w:r>
        <w:rPr>
          <w:rFonts w:ascii="宋体" w:hAnsi="宋体" w:cs="宋体" w:hint="eastAsia"/>
          <w:szCs w:val="21"/>
        </w:rPr>
        <w:t>（二）</w:t>
      </w:r>
      <w:r>
        <w:rPr>
          <w:rFonts w:ascii="宋体" w:hAnsi="宋体" w:cs="宋体"/>
          <w:szCs w:val="21"/>
        </w:rPr>
        <w:t>基金托管人职责终止</w:t>
      </w:r>
      <w:r>
        <w:rPr>
          <w:rFonts w:ascii="宋体" w:hAnsi="宋体" w:cs="宋体" w:hint="eastAsia"/>
          <w:szCs w:val="21"/>
        </w:rPr>
        <w:t>后</w:t>
      </w:r>
      <w:r>
        <w:rPr>
          <w:rFonts w:ascii="宋体" w:hAnsi="宋体" w:cs="宋体"/>
          <w:szCs w:val="21"/>
        </w:rPr>
        <w:t>，</w:t>
      </w:r>
      <w:r>
        <w:rPr>
          <w:rFonts w:ascii="宋体" w:hAnsi="宋体" w:cs="宋体" w:hint="eastAsia"/>
          <w:szCs w:val="21"/>
        </w:rPr>
        <w:t>仍</w:t>
      </w:r>
      <w:r>
        <w:rPr>
          <w:rFonts w:ascii="宋体" w:hAnsi="宋体" w:cs="宋体"/>
          <w:szCs w:val="21"/>
        </w:rPr>
        <w:t>应妥善保管基金财产和基金托管业务资料，</w:t>
      </w:r>
      <w:r>
        <w:rPr>
          <w:rFonts w:ascii="宋体" w:hAnsi="宋体" w:cs="宋体" w:hint="eastAsia"/>
          <w:szCs w:val="21"/>
        </w:rPr>
        <w:t>保证不做出对基金份额持有人的利益造成损害的行为，并与新任基金托管人或临时基金托管人</w:t>
      </w:r>
      <w:r>
        <w:rPr>
          <w:rFonts w:ascii="宋体" w:hAnsi="宋体" w:cs="宋体"/>
          <w:szCs w:val="21"/>
        </w:rPr>
        <w:t>及时办理基金财产和基金托管业务的移交手续。</w:t>
      </w:r>
      <w:r>
        <w:rPr>
          <w:rFonts w:ascii="宋体" w:hAnsi="宋体" w:cs="宋体" w:hint="eastAsia"/>
          <w:szCs w:val="21"/>
        </w:rPr>
        <w:t>基金管理人应给予积极配合，并与新任基金托管人核对基金资产总值。</w:t>
      </w:r>
    </w:p>
    <w:p w:rsidR="004B0A92" w14:paraId="1066EC48" w14:textId="77777777">
      <w:pPr>
        <w:snapToGrid w:val="0"/>
        <w:spacing w:line="360" w:lineRule="auto"/>
        <w:ind w:firstLine="420"/>
        <w:outlineLvl w:val="2"/>
        <w:rPr>
          <w:rFonts w:ascii="宋体" w:hAnsi="宋体" w:cs="宋体"/>
          <w:szCs w:val="21"/>
        </w:rPr>
      </w:pPr>
      <w:r>
        <w:rPr>
          <w:rFonts w:ascii="宋体" w:hAnsi="宋体" w:cs="宋体" w:hint="eastAsia"/>
          <w:szCs w:val="21"/>
        </w:rPr>
        <w:t>（三）其他事宜见基金合同的相关约定。</w:t>
      </w:r>
    </w:p>
    <w:p w:rsidR="004B0A92" w14:paraId="5783324A" w14:textId="77777777">
      <w:pPr>
        <w:snapToGrid w:val="0"/>
        <w:spacing w:line="360" w:lineRule="auto"/>
        <w:rPr>
          <w:rFonts w:ascii="宋体" w:hAnsi="宋体" w:cs="宋体"/>
          <w:szCs w:val="21"/>
        </w:rPr>
      </w:pPr>
    </w:p>
    <w:p w:rsidR="004B0A92" w14:paraId="5F2D1A32" w14:textId="77777777">
      <w:pPr>
        <w:pStyle w:val="21"/>
        <w:spacing w:before="312" w:after="156" w:line="360" w:lineRule="auto"/>
        <w:jc w:val="center"/>
        <w:rPr>
          <w:rFonts w:ascii="宋体" w:eastAsia="宋体" w:hAnsi="宋体" w:cs="宋体"/>
          <w:sz w:val="21"/>
          <w:szCs w:val="21"/>
        </w:rPr>
      </w:pPr>
      <w:r>
        <w:rPr>
          <w:rFonts w:ascii="宋体" w:eastAsia="宋体" w:hAnsi="宋体" w:cs="宋体"/>
          <w:sz w:val="21"/>
          <w:szCs w:val="21"/>
        </w:rPr>
        <w:br w:type="page"/>
      </w:r>
      <w:bookmarkStart w:id="110" w:name="_Toc348082043"/>
      <w:bookmarkStart w:id="111" w:name="_Toc384992705"/>
      <w:r>
        <w:rPr>
          <w:rFonts w:ascii="宋体" w:eastAsia="宋体" w:hAnsi="宋体" w:cs="宋体" w:hint="eastAsia"/>
          <w:sz w:val="21"/>
          <w:szCs w:val="21"/>
        </w:rPr>
        <w:t>十五、禁止行为</w:t>
      </w:r>
      <w:bookmarkEnd w:id="110"/>
      <w:bookmarkEnd w:id="111"/>
    </w:p>
    <w:p w:rsidR="004B0A92" w14:paraId="6052DDC8" w14:textId="77777777">
      <w:pPr>
        <w:snapToGrid w:val="0"/>
        <w:spacing w:line="360" w:lineRule="auto"/>
        <w:ind w:firstLine="420"/>
        <w:rPr>
          <w:rFonts w:ascii="宋体" w:hAnsi="宋体" w:cs="宋体"/>
          <w:szCs w:val="21"/>
        </w:rPr>
      </w:pPr>
      <w:r>
        <w:rPr>
          <w:rFonts w:ascii="宋体" w:hAnsi="宋体" w:cs="宋体" w:hint="eastAsia"/>
          <w:szCs w:val="21"/>
        </w:rPr>
        <w:t>本协议当事人禁止从事的行为，包括但不限于：</w:t>
      </w:r>
    </w:p>
    <w:p w:rsidR="004B0A92" w14:paraId="661337E4" w14:textId="77777777">
      <w:pPr>
        <w:spacing w:line="360" w:lineRule="auto"/>
        <w:ind w:firstLine="420"/>
        <w:rPr>
          <w:rFonts w:ascii="宋体" w:hAnsi="宋体" w:cs="宋体"/>
          <w:szCs w:val="21"/>
        </w:rPr>
      </w:pPr>
      <w:r>
        <w:rPr>
          <w:rFonts w:ascii="宋体" w:hAnsi="宋体" w:cs="宋体" w:hint="eastAsia"/>
          <w:szCs w:val="21"/>
        </w:rPr>
        <w:t>（一）基金管理人、基金托管人将其固有财产或者他人财产混同于基金财产从事证券投资。</w:t>
      </w:r>
    </w:p>
    <w:p w:rsidR="004B0A92" w14:paraId="0A5417CC" w14:textId="77777777">
      <w:pPr>
        <w:spacing w:line="360" w:lineRule="auto"/>
        <w:ind w:firstLine="420"/>
        <w:rPr>
          <w:rFonts w:ascii="宋体" w:hAnsi="宋体" w:cs="宋体"/>
          <w:szCs w:val="21"/>
        </w:rPr>
      </w:pPr>
      <w:r>
        <w:rPr>
          <w:rFonts w:ascii="宋体" w:hAnsi="宋体" w:cs="宋体" w:hint="eastAsia"/>
          <w:szCs w:val="21"/>
        </w:rPr>
        <w:t>（二）基金管理人不公平地对待其管理的不同基金财产，基金托管人不公平地对待其托管的不同基金财产。</w:t>
      </w:r>
    </w:p>
    <w:p w:rsidR="004B0A92" w14:paraId="5721AB26" w14:textId="77777777">
      <w:pPr>
        <w:spacing w:line="360" w:lineRule="auto"/>
        <w:ind w:firstLine="420"/>
        <w:rPr>
          <w:rFonts w:ascii="宋体" w:hAnsi="宋体" w:cs="宋体"/>
          <w:szCs w:val="21"/>
        </w:rPr>
      </w:pPr>
      <w:r>
        <w:rPr>
          <w:rFonts w:ascii="宋体" w:hAnsi="宋体" w:cs="宋体" w:hint="eastAsia"/>
          <w:szCs w:val="21"/>
        </w:rPr>
        <w:t>（三）基金管理人、基金托管人利用基金财产为基金份额持有人以外的第三人牟取利益。</w:t>
      </w:r>
    </w:p>
    <w:p w:rsidR="004B0A92" w14:paraId="41AFB9EE" w14:textId="77777777">
      <w:pPr>
        <w:spacing w:line="360" w:lineRule="auto"/>
        <w:ind w:firstLine="420"/>
        <w:rPr>
          <w:rFonts w:ascii="宋体" w:hAnsi="宋体" w:cs="宋体"/>
          <w:szCs w:val="21"/>
        </w:rPr>
      </w:pPr>
      <w:r>
        <w:rPr>
          <w:rFonts w:ascii="宋体" w:hAnsi="宋体" w:cs="宋体" w:hint="eastAsia"/>
          <w:szCs w:val="21"/>
        </w:rPr>
        <w:t>（四）基金管理人、基金托管人向基金份额持有人违规承诺收益或者承担损失。</w:t>
      </w:r>
    </w:p>
    <w:p w:rsidR="004B0A92" w14:paraId="0D7CB33C" w14:textId="77777777">
      <w:pPr>
        <w:snapToGrid w:val="0"/>
        <w:spacing w:line="360" w:lineRule="auto"/>
        <w:ind w:firstLine="420"/>
        <w:rPr>
          <w:rFonts w:ascii="宋体" w:hAnsi="宋体" w:cs="宋体"/>
          <w:szCs w:val="21"/>
        </w:rPr>
      </w:pPr>
      <w:r>
        <w:rPr>
          <w:rFonts w:ascii="宋体" w:hAnsi="宋体" w:cs="宋体" w:hint="eastAsia"/>
          <w:szCs w:val="21"/>
        </w:rPr>
        <w:t>（五）基金管理人、基金托管人对他人泄露基金运作和管理过程中任何尚未按法律法规规定的方式公开披露的信息。</w:t>
      </w:r>
    </w:p>
    <w:p w:rsidR="004B0A92" w14:paraId="03F4BB20" w14:textId="77777777">
      <w:pPr>
        <w:pStyle w:val="BodyTextIndent"/>
        <w:snapToGrid/>
        <w:spacing w:line="360" w:lineRule="auto"/>
        <w:ind w:firstLine="420"/>
        <w:rPr>
          <w:rFonts w:ascii="宋体" w:eastAsia="宋体" w:hAnsi="宋体" w:cs="宋体"/>
          <w:sz w:val="21"/>
          <w:szCs w:val="21"/>
        </w:rPr>
      </w:pPr>
      <w:r>
        <w:rPr>
          <w:rFonts w:ascii="宋体" w:eastAsia="宋体" w:hAnsi="宋体" w:cs="宋体" w:hint="eastAsia"/>
          <w:sz w:val="21"/>
          <w:szCs w:val="21"/>
        </w:rPr>
        <w:t>（六）基金管理人在没有充足资金的情况下向基金托管人发出投资指令和付款指令，或违规向基金托管人发出指令。</w:t>
      </w:r>
    </w:p>
    <w:p w:rsidR="004B0A92" w14:paraId="5EBB6230" w14:textId="77777777">
      <w:pPr>
        <w:snapToGrid w:val="0"/>
        <w:spacing w:line="360" w:lineRule="auto"/>
        <w:ind w:firstLine="420"/>
        <w:rPr>
          <w:rFonts w:ascii="宋体" w:hAnsi="宋体" w:cs="宋体"/>
          <w:szCs w:val="21"/>
        </w:rPr>
      </w:pPr>
      <w:r>
        <w:rPr>
          <w:rFonts w:ascii="宋体" w:hAnsi="宋体" w:cs="宋体" w:hint="eastAsia"/>
          <w:szCs w:val="21"/>
        </w:rPr>
        <w:t>（七）基金管理人、基金托管人在行政上、财务上不独立，其高级管理人员和其他从业人员相互兼职。</w:t>
      </w:r>
    </w:p>
    <w:p w:rsidR="004B0A92" w14:paraId="55B2A1AE" w14:textId="77777777">
      <w:pPr>
        <w:spacing w:line="360" w:lineRule="auto"/>
        <w:ind w:firstLine="420"/>
        <w:rPr>
          <w:rFonts w:ascii="宋体" w:hAnsi="宋体" w:cs="宋体"/>
          <w:szCs w:val="21"/>
        </w:rPr>
      </w:pPr>
      <w:r>
        <w:rPr>
          <w:rFonts w:ascii="宋体" w:hAnsi="宋体" w:cs="宋体" w:hint="eastAsia"/>
          <w:szCs w:val="21"/>
        </w:rPr>
        <w:t>（八）基金托管人私自动用或处分基金财产，根据基金管理人的合法指令、基金合同或托管协议的规定进行处分的除外。</w:t>
      </w:r>
    </w:p>
    <w:p w:rsidR="004B0A92" w14:paraId="40F16CAC" w14:textId="77777777">
      <w:pPr>
        <w:spacing w:line="360" w:lineRule="auto"/>
        <w:ind w:firstLine="420"/>
        <w:rPr>
          <w:rFonts w:ascii="宋体" w:hAnsi="宋体" w:cs="宋体"/>
          <w:szCs w:val="21"/>
        </w:rPr>
      </w:pPr>
      <w:r>
        <w:rPr>
          <w:rFonts w:ascii="宋体" w:hAnsi="宋体" w:cs="宋体" w:hint="eastAsia"/>
          <w:szCs w:val="21"/>
        </w:rPr>
        <w:t>（九）法律法规和基金合同禁止的其他行为，以及依照法律、行政法规有关规定，由中国证监会规定禁止基金管理人、基金托管人从事的其他行为。</w:t>
      </w:r>
    </w:p>
    <w:p w:rsidR="004B0A92" w14:paraId="08E2E1DF" w14:textId="77777777">
      <w:pPr>
        <w:pStyle w:val="21"/>
        <w:spacing w:before="312" w:after="156" w:line="360" w:lineRule="auto"/>
        <w:jc w:val="center"/>
        <w:rPr>
          <w:rFonts w:ascii="宋体" w:eastAsia="宋体" w:hAnsi="宋体" w:cs="宋体"/>
          <w:sz w:val="21"/>
          <w:szCs w:val="21"/>
        </w:rPr>
      </w:pPr>
      <w:r>
        <w:rPr>
          <w:rFonts w:ascii="宋体" w:eastAsia="宋体" w:hAnsi="宋体" w:cs="宋体"/>
          <w:b w:val="0"/>
          <w:sz w:val="21"/>
          <w:szCs w:val="21"/>
        </w:rPr>
        <w:br w:type="page"/>
      </w:r>
      <w:bookmarkStart w:id="112" w:name="_Toc384992706"/>
      <w:bookmarkStart w:id="113" w:name="_Toc348082044"/>
      <w:r>
        <w:rPr>
          <w:rFonts w:ascii="宋体" w:eastAsia="宋体" w:hAnsi="宋体" w:cs="宋体" w:hint="eastAsia"/>
          <w:sz w:val="21"/>
          <w:szCs w:val="21"/>
        </w:rPr>
        <w:t>十六、托管协议的变更、终止与基金财产的清算</w:t>
      </w:r>
      <w:bookmarkEnd w:id="112"/>
      <w:bookmarkEnd w:id="113"/>
    </w:p>
    <w:p w:rsidR="004B0A92" w14:paraId="02FFE442" w14:textId="77777777">
      <w:pPr>
        <w:snapToGrid w:val="0"/>
        <w:spacing w:line="360" w:lineRule="auto"/>
        <w:ind w:firstLine="420"/>
        <w:rPr>
          <w:rFonts w:ascii="宋体" w:hAnsi="宋体" w:cs="宋体"/>
          <w:szCs w:val="21"/>
        </w:rPr>
      </w:pPr>
      <w:r>
        <w:rPr>
          <w:rFonts w:ascii="宋体" w:hAnsi="宋体" w:cs="宋体" w:hint="eastAsia"/>
          <w:szCs w:val="21"/>
        </w:rPr>
        <w:t>（一）托管协议的变更程序</w:t>
      </w:r>
    </w:p>
    <w:p w:rsidR="004B0A92" w14:paraId="2DE46CF4" w14:textId="77777777">
      <w:pPr>
        <w:snapToGrid w:val="0"/>
        <w:spacing w:line="360" w:lineRule="auto"/>
        <w:ind w:firstLine="420"/>
        <w:rPr>
          <w:rFonts w:ascii="宋体" w:hAnsi="宋体" w:cs="宋体"/>
          <w:szCs w:val="21"/>
        </w:rPr>
      </w:pPr>
      <w:r>
        <w:rPr>
          <w:rFonts w:ascii="宋体" w:hAnsi="宋体" w:cs="宋体" w:hint="eastAsia"/>
          <w:szCs w:val="21"/>
        </w:rPr>
        <w:t>本协议双方当事人经协商一致，可以对协议进行修改。修改后的新协议，其内容不得与基金合同的规定有任何冲突。</w:t>
      </w:r>
    </w:p>
    <w:p w:rsidR="004B0A92" w14:paraId="2F34903B" w14:textId="77777777">
      <w:pPr>
        <w:snapToGrid w:val="0"/>
        <w:spacing w:line="360" w:lineRule="auto"/>
        <w:ind w:firstLine="420"/>
        <w:rPr>
          <w:rFonts w:ascii="宋体" w:hAnsi="宋体" w:cs="宋体"/>
          <w:szCs w:val="21"/>
        </w:rPr>
      </w:pPr>
      <w:r>
        <w:rPr>
          <w:rFonts w:ascii="宋体" w:hAnsi="宋体" w:cs="宋体" w:hint="eastAsia"/>
          <w:szCs w:val="21"/>
        </w:rPr>
        <w:t>（二）基金托管协议终止的情形</w:t>
      </w:r>
    </w:p>
    <w:p w:rsidR="004B0A92" w14:paraId="0E8DEBC6" w14:textId="77777777">
      <w:pPr>
        <w:snapToGrid w:val="0"/>
        <w:spacing w:line="360" w:lineRule="auto"/>
        <w:ind w:firstLine="420"/>
        <w:rPr>
          <w:rFonts w:ascii="宋体" w:hAnsi="宋体" w:cs="宋体"/>
          <w:szCs w:val="21"/>
        </w:rPr>
      </w:pPr>
      <w:r>
        <w:rPr>
          <w:rFonts w:ascii="宋体" w:hAnsi="宋体" w:cs="宋体" w:hint="eastAsia"/>
          <w:szCs w:val="21"/>
        </w:rPr>
        <w:t>1.《基金合同》终止；</w:t>
      </w:r>
    </w:p>
    <w:p w:rsidR="004B0A92" w14:paraId="759AB137" w14:textId="77777777">
      <w:pPr>
        <w:snapToGrid w:val="0"/>
        <w:spacing w:line="360" w:lineRule="auto"/>
        <w:ind w:firstLine="420"/>
        <w:rPr>
          <w:rFonts w:ascii="宋体" w:hAnsi="宋体" w:cs="宋体"/>
          <w:szCs w:val="21"/>
        </w:rPr>
      </w:pPr>
      <w:r>
        <w:rPr>
          <w:rFonts w:ascii="宋体" w:hAnsi="宋体" w:cs="宋体" w:hint="eastAsia"/>
          <w:szCs w:val="21"/>
        </w:rPr>
        <w:t>2.基金托管人因解散、破产、撤销等事由，不能继续担任基金托管人的职务，而在6个月内无其他适当的托管机构承接其原有权利义务；</w:t>
      </w:r>
    </w:p>
    <w:p w:rsidR="004B0A92" w14:paraId="4A8D8437" w14:textId="77777777">
      <w:pPr>
        <w:snapToGrid w:val="0"/>
        <w:spacing w:line="360" w:lineRule="auto"/>
        <w:ind w:firstLine="420"/>
        <w:rPr>
          <w:rFonts w:ascii="宋体" w:hAnsi="宋体" w:cs="宋体"/>
          <w:szCs w:val="21"/>
        </w:rPr>
      </w:pPr>
      <w:r>
        <w:rPr>
          <w:rFonts w:ascii="宋体" w:hAnsi="宋体" w:cs="宋体" w:hint="eastAsia"/>
          <w:szCs w:val="21"/>
        </w:rPr>
        <w:t>3.基金管理人因解散、破产、撤销等事由，不能继续担任基金管理人的职务，而在6个月内无其他适当的基金管理公司承接其原有权利义务；</w:t>
      </w:r>
    </w:p>
    <w:p w:rsidR="004B0A92" w14:paraId="321607ED" w14:textId="77777777">
      <w:pPr>
        <w:snapToGrid w:val="0"/>
        <w:spacing w:line="360" w:lineRule="auto"/>
        <w:ind w:firstLine="420"/>
        <w:rPr>
          <w:rFonts w:ascii="宋体" w:hAnsi="宋体" w:cs="宋体"/>
          <w:szCs w:val="21"/>
        </w:rPr>
      </w:pPr>
      <w:r>
        <w:rPr>
          <w:rFonts w:ascii="宋体" w:hAnsi="宋体" w:cs="宋体" w:hint="eastAsia"/>
          <w:szCs w:val="21"/>
        </w:rPr>
        <w:t>4.发生法律法规或《基金合同》规定的其他终止事项。</w:t>
      </w:r>
    </w:p>
    <w:p w:rsidR="004B0A92" w14:paraId="123ACFB0" w14:textId="77777777">
      <w:pPr>
        <w:snapToGrid w:val="0"/>
        <w:spacing w:line="360" w:lineRule="auto"/>
        <w:ind w:firstLine="420"/>
        <w:rPr>
          <w:rFonts w:ascii="宋体" w:hAnsi="宋体" w:cs="宋体"/>
          <w:szCs w:val="21"/>
        </w:rPr>
      </w:pPr>
      <w:r>
        <w:rPr>
          <w:rFonts w:ascii="宋体" w:hAnsi="宋体" w:cs="宋体" w:hint="eastAsia"/>
          <w:szCs w:val="21"/>
        </w:rPr>
        <w:t>（三）基金财产的清算</w:t>
      </w:r>
    </w:p>
    <w:p w:rsidR="004B0A92" w14:paraId="753E5C70" w14:textId="77777777">
      <w:pPr>
        <w:snapToGrid w:val="0"/>
        <w:spacing w:line="360" w:lineRule="auto"/>
        <w:ind w:firstLine="420"/>
        <w:rPr>
          <w:rFonts w:ascii="宋体" w:hAnsi="宋体" w:cs="宋体"/>
          <w:szCs w:val="21"/>
        </w:rPr>
      </w:pPr>
      <w:r>
        <w:rPr>
          <w:rFonts w:ascii="宋体" w:hAnsi="宋体" w:cs="宋体" w:hint="eastAsia"/>
          <w:szCs w:val="21"/>
        </w:rPr>
        <w:t>基金管理人与基金托管人按照《基金合同》的约定处理基金财产的清算。</w:t>
      </w:r>
    </w:p>
    <w:p w:rsidR="004B0A92" w14:paraId="746D3C28" w14:textId="77777777">
      <w:pPr>
        <w:snapToGrid w:val="0"/>
        <w:spacing w:line="360" w:lineRule="auto"/>
        <w:rPr>
          <w:rFonts w:ascii="宋体" w:hAnsi="宋体" w:cs="宋体"/>
          <w:szCs w:val="21"/>
        </w:rPr>
      </w:pPr>
    </w:p>
    <w:p w:rsidR="004B0A92" w14:paraId="1DA9B3F5" w14:textId="77777777">
      <w:pPr>
        <w:pStyle w:val="21"/>
        <w:spacing w:before="312" w:after="156" w:line="360" w:lineRule="auto"/>
        <w:jc w:val="center"/>
        <w:rPr>
          <w:rFonts w:ascii="宋体" w:eastAsia="宋体" w:hAnsi="宋体" w:cs="宋体"/>
          <w:sz w:val="21"/>
          <w:szCs w:val="21"/>
        </w:rPr>
      </w:pPr>
      <w:r>
        <w:rPr>
          <w:rFonts w:ascii="宋体" w:eastAsia="宋体" w:hAnsi="宋体" w:cs="宋体"/>
          <w:sz w:val="21"/>
          <w:szCs w:val="21"/>
        </w:rPr>
        <w:br w:type="page"/>
      </w:r>
      <w:bookmarkStart w:id="114" w:name="_Toc384992707"/>
      <w:bookmarkStart w:id="115" w:name="_Toc348082045"/>
      <w:r>
        <w:rPr>
          <w:rFonts w:ascii="宋体" w:eastAsia="宋体" w:hAnsi="宋体" w:cs="宋体" w:hint="eastAsia"/>
          <w:sz w:val="21"/>
          <w:szCs w:val="21"/>
        </w:rPr>
        <w:t>十七、违约责任</w:t>
      </w:r>
      <w:bookmarkEnd w:id="114"/>
      <w:bookmarkEnd w:id="115"/>
    </w:p>
    <w:p w:rsidR="004B0A92" w14:paraId="1269875D" w14:textId="77777777">
      <w:pPr>
        <w:snapToGrid w:val="0"/>
        <w:spacing w:line="360" w:lineRule="auto"/>
        <w:ind w:firstLine="420"/>
        <w:rPr>
          <w:rFonts w:ascii="宋体" w:hAnsi="宋体" w:cs="宋体"/>
          <w:szCs w:val="21"/>
        </w:rPr>
      </w:pPr>
      <w:r>
        <w:rPr>
          <w:rFonts w:ascii="宋体" w:hAnsi="宋体" w:cs="宋体" w:hint="eastAsia"/>
          <w:szCs w:val="21"/>
        </w:rPr>
        <w:t>（一）</w:t>
      </w:r>
      <w:r>
        <w:rPr>
          <w:rFonts w:ascii="宋体" w:hAnsi="宋体" w:cs="宋体"/>
          <w:szCs w:val="21"/>
        </w:rPr>
        <w:t>基金管理人、基金托管人</w:t>
      </w:r>
      <w:r>
        <w:rPr>
          <w:rFonts w:ascii="宋体" w:hAnsi="宋体" w:cs="宋体" w:hint="eastAsia"/>
          <w:szCs w:val="21"/>
        </w:rPr>
        <w:t>不</w:t>
      </w:r>
      <w:r>
        <w:rPr>
          <w:rFonts w:ascii="宋体" w:hAnsi="宋体" w:cs="宋体"/>
          <w:szCs w:val="21"/>
        </w:rPr>
        <w:t>履行</w:t>
      </w:r>
      <w:r>
        <w:rPr>
          <w:rFonts w:ascii="宋体" w:hAnsi="宋体" w:cs="宋体" w:hint="eastAsia"/>
          <w:szCs w:val="21"/>
        </w:rPr>
        <w:t>本协议或履行本协议不符合约定的，应当承担违约责任。</w:t>
      </w:r>
    </w:p>
    <w:p w:rsidR="004B0A92" w14:paraId="757AA797" w14:textId="77777777">
      <w:pPr>
        <w:snapToGrid w:val="0"/>
        <w:spacing w:line="360" w:lineRule="auto"/>
        <w:ind w:firstLine="420"/>
        <w:rPr>
          <w:rFonts w:ascii="宋体" w:hAnsi="宋体" w:cs="宋体"/>
          <w:szCs w:val="21"/>
        </w:rPr>
      </w:pPr>
      <w:r>
        <w:rPr>
          <w:rFonts w:ascii="宋体" w:hAnsi="宋体" w:cs="宋体" w:hint="eastAsia"/>
          <w:szCs w:val="21"/>
        </w:rPr>
        <w:t>（二）</w:t>
      </w:r>
      <w:r>
        <w:rPr>
          <w:rFonts w:ascii="宋体" w:hAnsi="宋体" w:cs="宋体"/>
          <w:szCs w:val="21"/>
        </w:rPr>
        <w:t>基金管理人、基金托管人在履行各自职责的过程中，违反</w:t>
      </w:r>
      <w:r>
        <w:rPr>
          <w:rFonts w:ascii="宋体" w:hAnsi="宋体" w:cs="宋体" w:hint="eastAsia"/>
          <w:szCs w:val="21"/>
        </w:rPr>
        <w:t>《基金法》、《基金合同》和本托管协议</w:t>
      </w:r>
      <w:r>
        <w:rPr>
          <w:rFonts w:ascii="宋体" w:hAnsi="宋体" w:cs="宋体"/>
          <w:szCs w:val="21"/>
        </w:rPr>
        <w:t>约定，给基金财产或者基金份额持有人造成损害的，应当分别对各自的行为依法承担赔偿责任；因共同行为给基金财产或者基金份额持有人造成损害的，应当</w:t>
      </w:r>
      <w:r>
        <w:rPr>
          <w:rFonts w:ascii="宋体" w:hAnsi="宋体" w:cs="宋体" w:hint="eastAsia"/>
          <w:szCs w:val="21"/>
        </w:rPr>
        <w:t>根据各自的过错程度对由此造成的直接损失分别承担相应的</w:t>
      </w:r>
      <w:r>
        <w:rPr>
          <w:rFonts w:ascii="宋体" w:hAnsi="宋体" w:cs="宋体"/>
          <w:szCs w:val="21"/>
        </w:rPr>
        <w:t>责任。</w:t>
      </w:r>
    </w:p>
    <w:p w:rsidR="004B0A92" w14:paraId="7D7C3D85" w14:textId="77777777">
      <w:pPr>
        <w:snapToGrid w:val="0"/>
        <w:spacing w:line="360" w:lineRule="auto"/>
        <w:ind w:firstLine="420"/>
        <w:rPr>
          <w:rFonts w:ascii="宋体" w:hAnsi="宋体" w:cs="宋体"/>
          <w:szCs w:val="21"/>
        </w:rPr>
      </w:pPr>
      <w:r>
        <w:rPr>
          <w:rFonts w:ascii="宋体" w:hAnsi="宋体" w:cs="宋体" w:hint="eastAsia"/>
          <w:szCs w:val="21"/>
        </w:rPr>
        <w:t>（三）一方当事人违约，给另一方当事人或基金财产造成损失的，应就直接损失进行赔偿，另一方当事人有权利及义务代表基金向违约方追偿。但是如发生下列情况，当事人可以免责：</w:t>
      </w:r>
    </w:p>
    <w:p w:rsidR="004B0A92" w14:paraId="2251064A" w14:textId="7D438214">
      <w:pPr>
        <w:snapToGrid w:val="0"/>
        <w:spacing w:line="360" w:lineRule="auto"/>
        <w:ind w:firstLine="420"/>
        <w:rPr>
          <w:rFonts w:ascii="宋体" w:hAnsi="宋体" w:cs="宋体"/>
          <w:szCs w:val="21"/>
        </w:rPr>
      </w:pPr>
      <w:r>
        <w:rPr>
          <w:rFonts w:ascii="宋体" w:hAnsi="宋体" w:cs="宋体" w:hint="eastAsia"/>
          <w:szCs w:val="21"/>
          <w:highlight w:val="white"/>
        </w:rPr>
        <w:t>1.</w:t>
      </w:r>
      <w:r w:rsidR="009873FD">
        <w:rPr>
          <w:rFonts w:ascii="宋体" w:hAnsi="宋体" w:cs="宋体" w:hint="eastAsia"/>
          <w:szCs w:val="21"/>
          <w:highlight w:val="white"/>
        </w:rPr>
        <w:t>不可抗力；</w:t>
      </w:r>
    </w:p>
    <w:p w:rsidR="004B0A92" w14:paraId="196AF8D0" w14:textId="2CA1F1FB">
      <w:pPr>
        <w:snapToGrid w:val="0"/>
        <w:spacing w:line="360" w:lineRule="auto"/>
        <w:ind w:firstLine="420"/>
        <w:rPr>
          <w:rFonts w:ascii="宋体" w:hAnsi="宋体" w:cs="宋体"/>
          <w:szCs w:val="21"/>
        </w:rPr>
      </w:pPr>
      <w:r>
        <w:rPr>
          <w:rFonts w:ascii="宋体" w:hAnsi="宋体" w:cs="宋体" w:hint="eastAsia"/>
          <w:szCs w:val="21"/>
          <w:highlight w:val="white"/>
        </w:rPr>
        <w:t>2.</w:t>
      </w:r>
      <w:r w:rsidR="009873FD">
        <w:rPr>
          <w:rFonts w:ascii="宋体" w:hAnsi="宋体" w:cs="宋体" w:hint="eastAsia"/>
          <w:szCs w:val="21"/>
          <w:highlight w:val="white"/>
        </w:rPr>
        <w:t>基金管理人和/或基金托管人按照当时有效的法律法规或中国证监会的规定作为或不作为而造成的损失等；</w:t>
      </w:r>
    </w:p>
    <w:p w:rsidR="004B0A92" w14:paraId="37D7F252" w14:textId="23BFF3CB">
      <w:pPr>
        <w:snapToGrid w:val="0"/>
        <w:spacing w:line="360" w:lineRule="auto"/>
        <w:ind w:firstLine="420"/>
        <w:rPr>
          <w:rFonts w:ascii="宋体" w:hAnsi="宋体" w:cs="宋体"/>
          <w:szCs w:val="21"/>
        </w:rPr>
      </w:pPr>
      <w:r>
        <w:rPr>
          <w:rFonts w:ascii="宋体" w:hAnsi="宋体" w:cs="宋体" w:hint="eastAsia"/>
          <w:szCs w:val="21"/>
          <w:highlight w:val="white"/>
        </w:rPr>
        <w:t>3</w:t>
      </w:r>
      <w:r w:rsidR="0051434B">
        <w:rPr>
          <w:rFonts w:ascii="宋体" w:hAnsi="宋体" w:cs="宋体" w:hint="eastAsia"/>
          <w:szCs w:val="21"/>
          <w:highlight w:val="white"/>
        </w:rPr>
        <w:t>.</w:t>
      </w:r>
      <w:r w:rsidR="009873FD">
        <w:rPr>
          <w:rFonts w:ascii="宋体" w:hAnsi="宋体" w:cs="宋体" w:hint="eastAsia"/>
          <w:szCs w:val="21"/>
          <w:highlight w:val="white"/>
        </w:rPr>
        <w:t>基金管理人由于按照基金合同规定的投资原则投资或不投资造成的损失等。</w:t>
      </w:r>
    </w:p>
    <w:p w:rsidR="004B0A92" w14:paraId="7277F473" w14:textId="77777777">
      <w:pPr>
        <w:snapToGrid w:val="0"/>
        <w:spacing w:line="360" w:lineRule="auto"/>
        <w:ind w:firstLine="420"/>
        <w:rPr>
          <w:rFonts w:ascii="宋体" w:hAnsi="宋体" w:cs="宋体"/>
          <w:szCs w:val="21"/>
        </w:rPr>
      </w:pPr>
      <w:r>
        <w:rPr>
          <w:rFonts w:ascii="宋体" w:hAnsi="宋体" w:cs="宋体" w:hint="eastAsia"/>
          <w:szCs w:val="21"/>
        </w:rPr>
        <w:t>（四）一方当事人违约，另一方当事人在职责范围内有义务及时采取必要的措施，尽力防止损失的扩大。</w:t>
      </w:r>
    </w:p>
    <w:p w:rsidR="004B0A92" w14:paraId="7EE9D69C" w14:textId="77777777">
      <w:pPr>
        <w:snapToGrid w:val="0"/>
        <w:spacing w:line="360" w:lineRule="auto"/>
        <w:ind w:firstLine="420"/>
        <w:rPr>
          <w:rFonts w:ascii="宋体" w:hAnsi="宋体" w:cs="宋体"/>
          <w:szCs w:val="21"/>
        </w:rPr>
      </w:pPr>
      <w:r>
        <w:rPr>
          <w:rFonts w:ascii="宋体" w:hAnsi="宋体" w:cs="宋体" w:hint="eastAsia"/>
          <w:szCs w:val="21"/>
        </w:rPr>
        <w:t>（五）违约行为虽已发生，但本托管协议能够继续履行的，在最大限度地保护基金份额持有人利益的前提下，基金管理人和基金托管人应当继续履行本协议。若基金管理人或基金托管人因履行本协议而被起诉，另一方应提供合理的必要支持。</w:t>
      </w:r>
    </w:p>
    <w:p w:rsidR="004B0A92" w14:paraId="6BDB222B" w14:textId="77777777">
      <w:pPr>
        <w:snapToGrid w:val="0"/>
        <w:spacing w:line="360" w:lineRule="auto"/>
        <w:ind w:firstLine="420"/>
        <w:rPr>
          <w:rFonts w:ascii="宋体" w:hAnsi="宋体" w:cs="宋体"/>
          <w:szCs w:val="21"/>
        </w:rPr>
      </w:pPr>
      <w:r>
        <w:rPr>
          <w:rFonts w:ascii="宋体" w:hAnsi="宋体" w:cs="宋体" w:hint="eastAsia"/>
          <w:szCs w:val="21"/>
        </w:rPr>
        <w:t>（六）</w:t>
      </w:r>
      <w:r>
        <w:rPr>
          <w:rFonts w:ascii="宋体" w:hAnsi="宋体" w:cs="宋体" w:hint="eastAsia"/>
          <w:szCs w:val="21"/>
          <w:highlight w:val="white"/>
        </w:rPr>
        <w:t>由于基金管理人、基金托管人不可控制的因素导致业务出现差错，基金管理人和基金托管人虽然已经采取必要、适当、合理的措施进行检查，但是未能发现错误的，由此造成基金财产或投资人损失，基金管理人和基金托管人免除赔偿责任。但是基金管理人和基金托管人应积极采取必要的措施减轻或消除由此造成的影响。</w:t>
      </w:r>
    </w:p>
    <w:p w:rsidR="004B0A92" w14:paraId="50BAC36E" w14:textId="77777777">
      <w:pPr>
        <w:snapToGrid w:val="0"/>
        <w:spacing w:line="360" w:lineRule="auto"/>
        <w:ind w:firstLine="422"/>
        <w:rPr>
          <w:rFonts w:ascii="宋体" w:hAnsi="宋体" w:cs="宋体"/>
          <w:b/>
          <w:szCs w:val="21"/>
        </w:rPr>
      </w:pPr>
    </w:p>
    <w:p w:rsidR="004B0A92" w14:paraId="27E83DE3" w14:textId="77777777">
      <w:pPr>
        <w:snapToGrid w:val="0"/>
        <w:spacing w:line="360" w:lineRule="auto"/>
        <w:ind w:firstLine="420"/>
        <w:rPr>
          <w:rFonts w:ascii="宋体" w:hAnsi="宋体" w:cs="宋体"/>
          <w:szCs w:val="21"/>
        </w:rPr>
      </w:pPr>
    </w:p>
    <w:p w:rsidR="004B0A92" w14:paraId="139AE8A9" w14:textId="77777777">
      <w:pPr>
        <w:snapToGrid w:val="0"/>
        <w:spacing w:line="360" w:lineRule="auto"/>
        <w:ind w:firstLine="420"/>
        <w:rPr>
          <w:rFonts w:ascii="宋体" w:hAnsi="宋体" w:cs="宋体"/>
          <w:szCs w:val="21"/>
        </w:rPr>
      </w:pPr>
    </w:p>
    <w:p w:rsidR="004B0A92" w14:paraId="38DC61E7" w14:textId="77777777">
      <w:pPr>
        <w:snapToGrid w:val="0"/>
        <w:spacing w:line="360" w:lineRule="auto"/>
        <w:ind w:firstLine="420"/>
        <w:rPr>
          <w:rFonts w:ascii="宋体" w:hAnsi="宋体" w:cs="宋体"/>
          <w:szCs w:val="21"/>
        </w:rPr>
      </w:pPr>
    </w:p>
    <w:p w:rsidR="004B0A92" w14:paraId="79A4B1D5" w14:textId="77777777">
      <w:pPr>
        <w:snapToGrid w:val="0"/>
        <w:spacing w:line="360" w:lineRule="auto"/>
        <w:ind w:firstLine="420"/>
        <w:rPr>
          <w:rFonts w:ascii="宋体" w:hAnsi="宋体" w:cs="宋体"/>
          <w:szCs w:val="21"/>
        </w:rPr>
      </w:pPr>
    </w:p>
    <w:p w:rsidR="004B0A92" w14:paraId="3E472D31" w14:textId="77777777">
      <w:pPr>
        <w:snapToGrid w:val="0"/>
        <w:spacing w:line="360" w:lineRule="auto"/>
        <w:ind w:firstLine="420"/>
        <w:rPr>
          <w:rFonts w:ascii="宋体" w:hAnsi="宋体" w:cs="宋体"/>
          <w:szCs w:val="21"/>
        </w:rPr>
      </w:pPr>
    </w:p>
    <w:p w:rsidR="004B0A92" w14:paraId="4B9D9188" w14:textId="77777777">
      <w:pPr>
        <w:snapToGrid w:val="0"/>
        <w:spacing w:line="360" w:lineRule="auto"/>
        <w:ind w:firstLine="420"/>
        <w:rPr>
          <w:rFonts w:ascii="宋体" w:hAnsi="宋体" w:cs="宋体"/>
          <w:szCs w:val="21"/>
        </w:rPr>
      </w:pPr>
    </w:p>
    <w:p w:rsidR="004B0A92" w14:paraId="76E4FB59" w14:textId="77777777">
      <w:pPr>
        <w:snapToGrid w:val="0"/>
        <w:spacing w:line="360" w:lineRule="auto"/>
        <w:ind w:firstLine="420"/>
        <w:rPr>
          <w:rFonts w:ascii="宋体" w:hAnsi="宋体" w:cs="宋体"/>
          <w:szCs w:val="21"/>
        </w:rPr>
      </w:pPr>
    </w:p>
    <w:p w:rsidR="004B0A92" w14:paraId="498B8995" w14:textId="77777777">
      <w:pPr>
        <w:snapToGrid w:val="0"/>
        <w:spacing w:line="360" w:lineRule="auto"/>
        <w:ind w:firstLine="420"/>
        <w:rPr>
          <w:rFonts w:ascii="宋体" w:hAnsi="宋体" w:cs="宋体"/>
          <w:szCs w:val="21"/>
        </w:rPr>
      </w:pPr>
    </w:p>
    <w:p w:rsidR="004B0A92" w14:paraId="0929E389" w14:textId="77777777">
      <w:pPr>
        <w:pStyle w:val="21"/>
        <w:spacing w:before="312" w:after="156" w:line="360" w:lineRule="auto"/>
        <w:jc w:val="center"/>
        <w:rPr>
          <w:rFonts w:ascii="宋体" w:eastAsia="宋体" w:hAnsi="宋体" w:cs="宋体"/>
          <w:sz w:val="21"/>
          <w:szCs w:val="21"/>
        </w:rPr>
      </w:pPr>
      <w:bookmarkStart w:id="116" w:name="_Toc384992708"/>
      <w:bookmarkStart w:id="117" w:name="_Toc348082046"/>
      <w:r>
        <w:rPr>
          <w:rFonts w:ascii="宋体" w:eastAsia="宋体" w:hAnsi="宋体" w:cs="宋体" w:hint="eastAsia"/>
          <w:sz w:val="21"/>
          <w:szCs w:val="21"/>
        </w:rPr>
        <w:t>十八、争议解决方式</w:t>
      </w:r>
      <w:bookmarkEnd w:id="116"/>
      <w:bookmarkEnd w:id="117"/>
    </w:p>
    <w:p w:rsidR="004B0A92" w14:paraId="270AC069" w14:textId="77777777">
      <w:pPr>
        <w:snapToGrid w:val="0"/>
        <w:spacing w:line="360" w:lineRule="auto"/>
        <w:ind w:firstLine="420"/>
        <w:rPr>
          <w:rFonts w:ascii="宋体" w:hAnsi="宋体" w:cs="宋体"/>
          <w:szCs w:val="21"/>
        </w:rPr>
      </w:pPr>
      <w:r>
        <w:rPr>
          <w:rFonts w:ascii="宋体" w:hAnsi="宋体" w:cs="宋体" w:hint="eastAsia"/>
          <w:szCs w:val="21"/>
        </w:rPr>
        <w:t>各方当事人同意，因本协议而产生的或与本协议有关的一切争议，如经友好协商未能解决的，任何一方均有权将争议提交深圳国际仲裁院，按照深圳国际仲裁院届时有效的仲裁规则进行仲裁。仲裁地点为深圳市。仲裁裁决是终局的，对各方当事人均有约束力。除非仲裁裁决另有决定，仲裁费用由败诉方承担。</w:t>
      </w:r>
    </w:p>
    <w:p w:rsidR="004B0A92" w14:paraId="6284341D" w14:textId="77777777">
      <w:pPr>
        <w:snapToGrid w:val="0"/>
        <w:spacing w:line="360" w:lineRule="auto"/>
        <w:ind w:firstLine="420"/>
        <w:rPr>
          <w:rFonts w:ascii="宋体" w:hAnsi="宋体" w:cs="宋体"/>
          <w:szCs w:val="21"/>
        </w:rPr>
      </w:pPr>
      <w:r>
        <w:rPr>
          <w:rFonts w:ascii="宋体" w:hAnsi="宋体" w:cs="宋体" w:hint="eastAsia"/>
          <w:szCs w:val="21"/>
        </w:rPr>
        <w:t>争议处理期间，双方当事人应恪守基金管理人和基金托管人职责，各自继续忠实、勤勉、尽责地履行基金合同和本托管协议规定的义务，维护基金份额持有人的合法权益。</w:t>
      </w:r>
    </w:p>
    <w:p w:rsidR="004B0A92" w14:paraId="04D030AE" w14:textId="77777777">
      <w:pPr>
        <w:snapToGrid w:val="0"/>
        <w:spacing w:line="360" w:lineRule="auto"/>
        <w:ind w:firstLine="420"/>
        <w:rPr>
          <w:rFonts w:ascii="宋体" w:hAnsi="宋体" w:cs="宋体"/>
          <w:szCs w:val="21"/>
        </w:rPr>
      </w:pPr>
      <w:r>
        <w:rPr>
          <w:rFonts w:ascii="宋体" w:hAnsi="宋体" w:cs="宋体" w:hint="eastAsia"/>
          <w:szCs w:val="21"/>
        </w:rPr>
        <w:t>本协议受中华人民共和国法律（</w:t>
      </w:r>
      <w:r>
        <w:rPr>
          <w:rFonts w:ascii="宋体" w:hAnsi="宋体" w:cs="宋体"/>
          <w:color w:val="000000"/>
        </w:rPr>
        <w:t>为本协议之目的，不包括香港特别行政区、澳门特别行政区法律和台湾地区的有关规定</w:t>
      </w:r>
      <w:r>
        <w:rPr>
          <w:rFonts w:ascii="宋体" w:hAnsi="宋体" w:cs="宋体" w:hint="eastAsia"/>
          <w:szCs w:val="21"/>
        </w:rPr>
        <w:t>）管辖。</w:t>
      </w:r>
    </w:p>
    <w:p w:rsidR="004B0A92" w14:paraId="41E82527" w14:textId="77777777">
      <w:pPr>
        <w:snapToGrid w:val="0"/>
        <w:spacing w:line="360" w:lineRule="auto"/>
        <w:rPr>
          <w:rFonts w:ascii="宋体" w:hAnsi="宋体" w:cs="宋体"/>
          <w:szCs w:val="21"/>
        </w:rPr>
      </w:pPr>
    </w:p>
    <w:p w:rsidR="004B0A92" w14:paraId="01E62DE0" w14:textId="77777777">
      <w:pPr>
        <w:pStyle w:val="21"/>
        <w:spacing w:before="312" w:after="156" w:line="360" w:lineRule="auto"/>
        <w:jc w:val="center"/>
        <w:rPr>
          <w:rFonts w:ascii="宋体" w:eastAsia="宋体" w:hAnsi="宋体" w:cs="宋体"/>
          <w:sz w:val="21"/>
          <w:szCs w:val="21"/>
        </w:rPr>
      </w:pPr>
      <w:r>
        <w:rPr>
          <w:rFonts w:ascii="宋体" w:eastAsia="宋体" w:hAnsi="宋体" w:cs="宋体"/>
          <w:sz w:val="21"/>
          <w:szCs w:val="21"/>
        </w:rPr>
        <w:br w:type="page"/>
      </w:r>
      <w:bookmarkStart w:id="118" w:name="_Toc384992709"/>
      <w:bookmarkStart w:id="119" w:name="_Toc348082047"/>
      <w:r>
        <w:rPr>
          <w:rFonts w:ascii="宋体" w:eastAsia="宋体" w:hAnsi="宋体" w:cs="宋体" w:hint="eastAsia"/>
          <w:sz w:val="21"/>
          <w:szCs w:val="21"/>
        </w:rPr>
        <w:t>十九、托管协议的效力</w:t>
      </w:r>
      <w:bookmarkEnd w:id="118"/>
      <w:bookmarkEnd w:id="119"/>
    </w:p>
    <w:p w:rsidR="004B0A92" w14:paraId="767AA2A5" w14:textId="77777777">
      <w:pPr>
        <w:snapToGrid w:val="0"/>
        <w:spacing w:line="360" w:lineRule="auto"/>
        <w:ind w:firstLine="420"/>
        <w:rPr>
          <w:rFonts w:ascii="宋体" w:hAnsi="宋体" w:cs="宋体"/>
          <w:szCs w:val="21"/>
        </w:rPr>
      </w:pPr>
      <w:r>
        <w:rPr>
          <w:rFonts w:ascii="宋体" w:hAnsi="宋体" w:cs="宋体" w:hint="eastAsia"/>
          <w:szCs w:val="21"/>
        </w:rPr>
        <w:t>双方对托管协议的效力约定如下：</w:t>
      </w:r>
    </w:p>
    <w:p w:rsidR="004B0A92" w14:paraId="59BE7D97" w14:textId="77777777">
      <w:pPr>
        <w:snapToGrid w:val="0"/>
        <w:spacing w:line="360" w:lineRule="auto"/>
        <w:ind w:firstLine="420"/>
        <w:rPr>
          <w:rFonts w:ascii="宋体" w:hAnsi="宋体" w:cs="宋体"/>
          <w:szCs w:val="21"/>
        </w:rPr>
      </w:pPr>
      <w:r>
        <w:rPr>
          <w:rFonts w:ascii="宋体" w:hAnsi="宋体" w:cs="宋体" w:hint="eastAsia"/>
          <w:szCs w:val="21"/>
        </w:rPr>
        <w:t>（一）基金管理人在向中国证监会申请发售基金份额时提交的托管协议草案，应经托管协议当事人双方盖章以及双方法定代表人或授权代表签字或签章，协议当事人双方根据中国证监会的意见修改并正式签署托管协议。托管协议以中国证监会注册的文本为正式文本。</w:t>
      </w:r>
    </w:p>
    <w:p w:rsidR="004B0A92" w14:paraId="7BE4FF1D" w14:textId="77777777">
      <w:pPr>
        <w:snapToGrid w:val="0"/>
        <w:spacing w:line="360" w:lineRule="auto"/>
        <w:ind w:firstLine="420"/>
        <w:rPr>
          <w:rFonts w:ascii="宋体" w:hAnsi="宋体" w:cs="宋体"/>
          <w:szCs w:val="21"/>
        </w:rPr>
      </w:pPr>
      <w:r>
        <w:rPr>
          <w:rFonts w:ascii="宋体" w:hAnsi="宋体" w:cs="宋体" w:hint="eastAsia"/>
          <w:szCs w:val="21"/>
        </w:rPr>
        <w:t>（二）托管协议自基金合同成立之日起成立，自基金合同生效之日起生效。托管协议的有效期自其生效之日起至基金财产清算结果报中国证监会备案并公告之日止。</w:t>
      </w:r>
    </w:p>
    <w:p w:rsidR="004B0A92" w14:paraId="1B1C0601" w14:textId="77777777">
      <w:pPr>
        <w:snapToGrid w:val="0"/>
        <w:spacing w:line="360" w:lineRule="auto"/>
        <w:ind w:firstLine="420"/>
        <w:rPr>
          <w:rFonts w:ascii="宋体" w:hAnsi="宋体" w:cs="宋体"/>
          <w:szCs w:val="21"/>
        </w:rPr>
      </w:pPr>
      <w:r>
        <w:rPr>
          <w:rFonts w:ascii="宋体" w:hAnsi="宋体" w:cs="宋体" w:hint="eastAsia"/>
          <w:szCs w:val="21"/>
        </w:rPr>
        <w:t>（三）托管协议自生效之日起对托管协议当事人具有同等的法律约束力。</w:t>
      </w:r>
    </w:p>
    <w:p w:rsidR="004B0A92" w14:paraId="1D1F219E" w14:textId="77777777">
      <w:pPr>
        <w:snapToGrid w:val="0"/>
        <w:spacing w:line="360" w:lineRule="auto"/>
        <w:ind w:firstLine="420"/>
        <w:rPr>
          <w:rFonts w:ascii="宋体" w:hAnsi="宋体" w:cs="宋体"/>
          <w:szCs w:val="21"/>
        </w:rPr>
      </w:pPr>
      <w:r>
        <w:rPr>
          <w:rFonts w:ascii="宋体" w:hAnsi="宋体" w:cs="宋体" w:hint="eastAsia"/>
          <w:szCs w:val="21"/>
        </w:rPr>
        <w:t>（四）本协议正本一式</w:t>
      </w:r>
      <w:r>
        <w:rPr>
          <w:rFonts w:ascii="宋体" w:hAnsi="宋体" w:cs="宋体"/>
          <w:szCs w:val="21"/>
        </w:rPr>
        <w:t>3</w:t>
      </w:r>
      <w:r>
        <w:rPr>
          <w:rFonts w:ascii="宋体" w:hAnsi="宋体" w:cs="宋体" w:hint="eastAsia"/>
          <w:szCs w:val="21"/>
        </w:rPr>
        <w:t>份，除上报有关监管机构</w:t>
      </w:r>
      <w:r>
        <w:rPr>
          <w:rFonts w:ascii="宋体" w:hAnsi="宋体" w:cs="宋体"/>
          <w:szCs w:val="21"/>
        </w:rPr>
        <w:t>1</w:t>
      </w:r>
      <w:r>
        <w:rPr>
          <w:rFonts w:ascii="宋体" w:hAnsi="宋体" w:cs="宋体" w:hint="eastAsia"/>
          <w:szCs w:val="21"/>
        </w:rPr>
        <w:t>份外，基金管理人和基金托管人各持有</w:t>
      </w:r>
      <w:r>
        <w:rPr>
          <w:rFonts w:ascii="宋体" w:hAnsi="宋体" w:cs="宋体"/>
          <w:szCs w:val="21"/>
        </w:rPr>
        <w:t>1</w:t>
      </w:r>
      <w:r>
        <w:rPr>
          <w:rFonts w:ascii="宋体" w:hAnsi="宋体" w:cs="宋体" w:hint="eastAsia"/>
          <w:szCs w:val="21"/>
        </w:rPr>
        <w:t>份，每份具有同等法律效力。</w:t>
      </w:r>
    </w:p>
    <w:p w:rsidR="004B0A92" w14:paraId="4E59684A" w14:textId="77777777">
      <w:pPr>
        <w:snapToGrid w:val="0"/>
        <w:spacing w:line="360" w:lineRule="auto"/>
        <w:rPr>
          <w:rFonts w:ascii="宋体" w:hAnsi="宋体" w:cs="宋体"/>
          <w:szCs w:val="21"/>
        </w:rPr>
      </w:pPr>
    </w:p>
    <w:p w:rsidR="004B0A92" w14:paraId="5702BA12" w14:textId="77777777">
      <w:pPr>
        <w:pStyle w:val="21"/>
        <w:spacing w:before="312" w:after="156" w:line="360" w:lineRule="auto"/>
        <w:jc w:val="center"/>
        <w:rPr>
          <w:rFonts w:ascii="宋体" w:eastAsia="宋体" w:hAnsi="宋体" w:cs="宋体"/>
          <w:sz w:val="21"/>
          <w:szCs w:val="21"/>
        </w:rPr>
      </w:pPr>
      <w:r>
        <w:rPr>
          <w:rFonts w:ascii="宋体" w:eastAsia="宋体" w:hAnsi="宋体" w:cs="宋体"/>
          <w:sz w:val="21"/>
          <w:szCs w:val="21"/>
        </w:rPr>
        <w:br w:type="page"/>
      </w:r>
      <w:bookmarkStart w:id="120" w:name="_Toc348082048"/>
      <w:bookmarkStart w:id="121" w:name="_Toc384992710"/>
      <w:r>
        <w:rPr>
          <w:rFonts w:ascii="宋体" w:eastAsia="宋体" w:hAnsi="宋体" w:cs="宋体" w:hint="eastAsia"/>
          <w:sz w:val="21"/>
          <w:szCs w:val="21"/>
        </w:rPr>
        <w:t>二十、其他事项</w:t>
      </w:r>
      <w:bookmarkEnd w:id="120"/>
      <w:bookmarkEnd w:id="121"/>
    </w:p>
    <w:p w:rsidR="004B0A92" w14:paraId="1EA9208E" w14:textId="77777777">
      <w:pPr>
        <w:snapToGrid w:val="0"/>
        <w:spacing w:line="360" w:lineRule="auto"/>
        <w:ind w:firstLine="420"/>
        <w:rPr>
          <w:rFonts w:ascii="宋体" w:hAnsi="宋体" w:cs="宋体"/>
          <w:szCs w:val="21"/>
        </w:rPr>
      </w:pPr>
      <w:r>
        <w:rPr>
          <w:rFonts w:ascii="宋体" w:hAnsi="宋体" w:cs="宋体" w:hint="eastAsia"/>
          <w:szCs w:val="21"/>
        </w:rPr>
        <w:t>如发生有权司法机关依法冻结基金份额持有人的基金份额时，基金管理人应予以配合，承担司法协助义务。</w:t>
      </w:r>
    </w:p>
    <w:p w:rsidR="004B0A92" w14:paraId="59529D29" w14:textId="77777777">
      <w:pPr>
        <w:snapToGrid w:val="0"/>
        <w:spacing w:line="360" w:lineRule="auto"/>
        <w:ind w:firstLine="420"/>
        <w:rPr>
          <w:rFonts w:ascii="宋体" w:hAnsi="宋体" w:cs="宋体"/>
          <w:szCs w:val="21"/>
        </w:rPr>
      </w:pPr>
      <w:r>
        <w:rPr>
          <w:rFonts w:ascii="宋体" w:hAnsi="宋体" w:cs="宋体" w:hint="eastAsia"/>
          <w:szCs w:val="21"/>
        </w:rPr>
        <w:t>除本协议有明确定义外，本协议的用语定义适用基金合同的约定。本协议未尽事宜，当事人依据基金合同、有关法律法规等规定协商办理。</w:t>
      </w:r>
    </w:p>
    <w:p w:rsidR="004B0A92" w14:paraId="516402DD" w14:textId="77777777">
      <w:pPr>
        <w:snapToGrid w:val="0"/>
        <w:spacing w:line="360" w:lineRule="auto"/>
        <w:rPr>
          <w:rFonts w:ascii="宋体" w:hAnsi="宋体" w:cs="宋体"/>
          <w:bCs/>
          <w:szCs w:val="21"/>
        </w:rPr>
      </w:pPr>
      <w:r>
        <w:rPr>
          <w:rFonts w:ascii="宋体" w:hAnsi="宋体" w:cs="宋体" w:hint="eastAsia"/>
          <w:bCs/>
          <w:szCs w:val="21"/>
        </w:rPr>
        <w:t xml:space="preserve">   </w:t>
      </w:r>
    </w:p>
    <w:p w:rsidR="004B0A92" w14:paraId="04CEB161" w14:textId="77777777">
      <w:pPr>
        <w:pStyle w:val="21"/>
        <w:spacing w:before="312" w:after="156" w:line="360" w:lineRule="auto"/>
        <w:jc w:val="center"/>
        <w:rPr>
          <w:rFonts w:ascii="宋体" w:eastAsia="宋体" w:hAnsi="宋体" w:cs="宋体"/>
          <w:sz w:val="21"/>
          <w:szCs w:val="21"/>
        </w:rPr>
      </w:pPr>
      <w:r>
        <w:rPr>
          <w:rFonts w:ascii="宋体" w:eastAsia="宋体" w:hAnsi="宋体" w:cs="宋体"/>
          <w:sz w:val="21"/>
          <w:szCs w:val="21"/>
        </w:rPr>
        <w:br w:type="page"/>
      </w:r>
      <w:bookmarkStart w:id="122" w:name="_Toc384992711"/>
      <w:bookmarkStart w:id="123" w:name="_Toc348082049"/>
      <w:r>
        <w:rPr>
          <w:rFonts w:ascii="宋体" w:eastAsia="宋体" w:hAnsi="宋体" w:cs="宋体" w:hint="eastAsia"/>
          <w:sz w:val="21"/>
          <w:szCs w:val="21"/>
        </w:rPr>
        <w:t>二十一、托管协议的签订</w:t>
      </w:r>
      <w:bookmarkEnd w:id="122"/>
      <w:bookmarkEnd w:id="123"/>
    </w:p>
    <w:p w:rsidR="004B0A92" w14:paraId="08778898" w14:textId="77777777">
      <w:pPr>
        <w:snapToGrid w:val="0"/>
        <w:spacing w:line="360" w:lineRule="auto"/>
        <w:ind w:firstLine="420"/>
        <w:rPr>
          <w:rFonts w:ascii="宋体" w:hAnsi="宋体" w:cs="宋体"/>
          <w:szCs w:val="21"/>
        </w:rPr>
      </w:pPr>
      <w:r>
        <w:rPr>
          <w:rFonts w:ascii="宋体" w:hAnsi="宋体" w:cs="宋体" w:hint="eastAsia"/>
          <w:szCs w:val="21"/>
        </w:rPr>
        <w:t>本协议双方法定代表人或授权代表人签章、签订地、签订日</w:t>
      </w:r>
    </w:p>
    <w:p w:rsidR="004B0A92" w14:paraId="6CBFE517" w14:textId="77777777">
      <w:pPr>
        <w:spacing w:line="360" w:lineRule="auto"/>
        <w:rPr>
          <w:rFonts w:ascii="宋体" w:hAnsi="宋体" w:cs="宋体"/>
          <w:szCs w:val="21"/>
        </w:rPr>
      </w:pPr>
      <w:r>
        <w:rPr>
          <w:rFonts w:ascii="宋体" w:hAnsi="宋体" w:cs="宋体"/>
          <w:szCs w:val="21"/>
        </w:rPr>
        <w:br w:type="page"/>
      </w:r>
    </w:p>
    <w:p w:rsidR="004B0A92" w14:paraId="18C49433" w14:textId="77777777">
      <w:pPr>
        <w:spacing w:line="360" w:lineRule="auto"/>
        <w:ind w:right="26"/>
        <w:rPr>
          <w:rFonts w:ascii="宋体" w:hAnsi="宋体" w:cs="宋体"/>
          <w:szCs w:val="21"/>
        </w:rPr>
      </w:pPr>
      <w:r>
        <w:rPr>
          <w:rFonts w:ascii="宋体" w:hAnsi="宋体" w:cs="宋体"/>
          <w:b/>
          <w:color w:val="000000"/>
          <w:szCs w:val="21"/>
        </w:rPr>
        <w:t>本页无正文</w:t>
      </w:r>
      <w:r>
        <w:rPr>
          <w:rFonts w:ascii="宋体" w:hAnsi="宋体" w:cs="宋体"/>
          <w:b/>
          <w:szCs w:val="21"/>
        </w:rPr>
        <w:t>，为《易方达中证科创创业人工智能交易型开放式指数证券投资基金发起式联接基金托管协议</w:t>
      </w:r>
      <w:r>
        <w:rPr>
          <w:rFonts w:ascii="宋体" w:hAnsi="宋体" w:cs="宋体"/>
          <w:b/>
          <w:szCs w:val="21"/>
        </w:rPr>
        <w:t>》的</w:t>
      </w:r>
      <w:r>
        <w:rPr>
          <w:rFonts w:ascii="宋体" w:hAnsi="宋体" w:cs="宋体"/>
          <w:b/>
          <w:color w:val="000000"/>
          <w:szCs w:val="21"/>
        </w:rPr>
        <w:t>签字盖章页。</w:t>
      </w:r>
    </w:p>
    <w:p w:rsidR="004B0A92" w14:paraId="48763148" w14:textId="77777777">
      <w:pPr>
        <w:spacing w:line="360" w:lineRule="auto"/>
        <w:ind w:right="26"/>
        <w:rPr>
          <w:rFonts w:ascii="宋体" w:hAnsi="宋体" w:cs="宋体"/>
          <w:szCs w:val="21"/>
        </w:rPr>
      </w:pPr>
    </w:p>
    <w:p w:rsidR="004B0A92" w14:paraId="794D7F4E" w14:textId="77777777">
      <w:pPr>
        <w:spacing w:line="360" w:lineRule="auto"/>
        <w:rPr>
          <w:rFonts w:ascii="宋体" w:hAnsi="宋体" w:cs="宋体"/>
          <w:szCs w:val="21"/>
        </w:rPr>
      </w:pPr>
    </w:p>
    <w:p w:rsidR="004B0A92" w14:paraId="2D19BF9C" w14:textId="77777777">
      <w:pPr>
        <w:spacing w:line="360" w:lineRule="auto"/>
        <w:ind w:right="26"/>
        <w:rPr>
          <w:rFonts w:ascii="宋体" w:hAnsi="宋体" w:cs="宋体"/>
          <w:szCs w:val="21"/>
        </w:rPr>
      </w:pPr>
      <w:r>
        <w:rPr>
          <w:rFonts w:ascii="宋体" w:hAnsi="宋体" w:cs="宋体"/>
          <w:b/>
          <w:color w:val="000000"/>
          <w:szCs w:val="21"/>
        </w:rPr>
        <w:t>《托管协议》当事人盖章及法定代表人或授权代表签字/签章、签订地、签订日</w:t>
      </w:r>
    </w:p>
    <w:p w:rsidR="004B0A92" w14:paraId="4FD88948" w14:textId="77777777">
      <w:pPr>
        <w:spacing w:line="360" w:lineRule="auto"/>
        <w:rPr>
          <w:rFonts w:ascii="宋体" w:hAnsi="宋体" w:cs="宋体"/>
          <w:szCs w:val="21"/>
        </w:rPr>
      </w:pPr>
      <w:r>
        <w:rPr>
          <w:rFonts w:ascii="宋体" w:hAnsi="宋体" w:cs="宋体"/>
          <w:b/>
          <w:color w:val="000000"/>
          <w:szCs w:val="21"/>
        </w:rPr>
        <w:t> </w:t>
      </w:r>
    </w:p>
    <w:p w:rsidR="004B0A92" w14:paraId="41175F2E" w14:textId="77777777">
      <w:pPr>
        <w:spacing w:line="360" w:lineRule="auto"/>
        <w:ind w:right="26"/>
        <w:rPr>
          <w:rFonts w:ascii="宋体" w:hAnsi="宋体" w:cs="宋体"/>
          <w:szCs w:val="21"/>
        </w:rPr>
      </w:pPr>
      <w:r>
        <w:rPr>
          <w:rFonts w:ascii="宋体" w:hAnsi="宋体" w:cs="宋体"/>
          <w:b/>
          <w:color w:val="000000"/>
          <w:szCs w:val="21"/>
        </w:rPr>
        <w:t>基金管理人：易方达基金管理有限公司（章）</w:t>
      </w:r>
    </w:p>
    <w:p w:rsidR="004B0A92" w14:paraId="38AB4140" w14:textId="77777777">
      <w:pPr>
        <w:spacing w:line="360" w:lineRule="auto"/>
        <w:ind w:right="26"/>
        <w:rPr>
          <w:rFonts w:ascii="宋体" w:hAnsi="宋体" w:cs="宋体"/>
          <w:szCs w:val="21"/>
        </w:rPr>
      </w:pPr>
      <w:r>
        <w:rPr>
          <w:rFonts w:ascii="宋体" w:hAnsi="宋体" w:cs="宋体"/>
          <w:b/>
          <w:color w:val="000000"/>
          <w:szCs w:val="21"/>
        </w:rPr>
        <w:t> </w:t>
      </w:r>
    </w:p>
    <w:p w:rsidR="004B0A92" w14:paraId="1CF3106A" w14:textId="77777777">
      <w:pPr>
        <w:spacing w:line="360" w:lineRule="auto"/>
        <w:ind w:right="26"/>
        <w:rPr>
          <w:rFonts w:ascii="宋体" w:hAnsi="宋体" w:cs="宋体"/>
          <w:szCs w:val="21"/>
        </w:rPr>
      </w:pPr>
      <w:r>
        <w:rPr>
          <w:rFonts w:ascii="宋体" w:hAnsi="宋体" w:cs="宋体"/>
          <w:b/>
          <w:color w:val="000000"/>
          <w:szCs w:val="21"/>
        </w:rPr>
        <w:t> </w:t>
      </w:r>
    </w:p>
    <w:p w:rsidR="004B0A92" w14:paraId="33C97605" w14:textId="77777777">
      <w:pPr>
        <w:spacing w:line="360" w:lineRule="auto"/>
        <w:ind w:right="26"/>
        <w:rPr>
          <w:rFonts w:ascii="宋体" w:hAnsi="宋体" w:cs="宋体"/>
          <w:szCs w:val="21"/>
        </w:rPr>
      </w:pPr>
      <w:r>
        <w:rPr>
          <w:rFonts w:ascii="宋体" w:hAnsi="宋体" w:cs="宋体"/>
          <w:b/>
          <w:color w:val="000000"/>
          <w:szCs w:val="21"/>
        </w:rPr>
        <w:t xml:space="preserve">法定代表人或授权代表（签字/签章）：                   </w:t>
      </w:r>
    </w:p>
    <w:p w:rsidR="004B0A92" w14:paraId="52C16A8B" w14:textId="77777777">
      <w:pPr>
        <w:spacing w:line="360" w:lineRule="auto"/>
        <w:ind w:right="26"/>
        <w:rPr>
          <w:rFonts w:ascii="宋体" w:hAnsi="宋体" w:cs="宋体"/>
          <w:szCs w:val="21"/>
        </w:rPr>
      </w:pPr>
      <w:r>
        <w:rPr>
          <w:rFonts w:ascii="宋体" w:hAnsi="宋体" w:cs="宋体"/>
          <w:b/>
          <w:color w:val="000000"/>
          <w:szCs w:val="21"/>
        </w:rPr>
        <w:t> </w:t>
      </w:r>
    </w:p>
    <w:p w:rsidR="004B0A92" w14:paraId="61213055" w14:textId="77777777">
      <w:pPr>
        <w:spacing w:line="360" w:lineRule="auto"/>
        <w:ind w:right="26"/>
        <w:rPr>
          <w:rFonts w:ascii="宋体" w:hAnsi="宋体" w:cs="宋体"/>
          <w:szCs w:val="21"/>
        </w:rPr>
      </w:pPr>
      <w:r>
        <w:rPr>
          <w:rFonts w:ascii="宋体" w:hAnsi="宋体" w:cs="宋体"/>
          <w:b/>
          <w:color w:val="000000"/>
          <w:szCs w:val="21"/>
        </w:rPr>
        <w:t> </w:t>
      </w:r>
    </w:p>
    <w:p w:rsidR="004B0A92" w14:paraId="514824EA" w14:textId="77777777">
      <w:pPr>
        <w:spacing w:line="360" w:lineRule="auto"/>
        <w:ind w:right="26"/>
        <w:rPr>
          <w:rFonts w:ascii="宋体" w:hAnsi="宋体" w:cs="宋体"/>
          <w:szCs w:val="21"/>
        </w:rPr>
      </w:pPr>
      <w:r>
        <w:rPr>
          <w:rFonts w:ascii="宋体" w:hAnsi="宋体" w:cs="宋体"/>
          <w:b/>
          <w:color w:val="000000"/>
          <w:szCs w:val="21"/>
        </w:rPr>
        <w:t> </w:t>
      </w:r>
    </w:p>
    <w:p w:rsidR="004B0A92" w14:paraId="57BCFE65" w14:textId="77777777">
      <w:pPr>
        <w:spacing w:line="360" w:lineRule="auto"/>
        <w:ind w:right="26"/>
        <w:rPr>
          <w:rFonts w:ascii="宋体" w:hAnsi="宋体" w:cs="宋体"/>
          <w:szCs w:val="21"/>
        </w:rPr>
      </w:pPr>
      <w:r>
        <w:rPr>
          <w:rFonts w:ascii="宋体" w:hAnsi="宋体" w:cs="宋体"/>
          <w:b/>
          <w:color w:val="000000"/>
          <w:szCs w:val="21"/>
        </w:rPr>
        <w:t> </w:t>
      </w:r>
    </w:p>
    <w:p w:rsidR="004B0A92" w14:paraId="08785D49" w14:textId="77777777">
      <w:pPr>
        <w:spacing w:line="360" w:lineRule="auto"/>
        <w:ind w:right="26"/>
        <w:rPr>
          <w:rFonts w:ascii="宋体" w:hAnsi="宋体" w:cs="宋体"/>
          <w:szCs w:val="21"/>
        </w:rPr>
      </w:pPr>
      <w:r>
        <w:rPr>
          <w:rFonts w:ascii="宋体" w:hAnsi="宋体" w:cs="宋体"/>
          <w:b/>
          <w:color w:val="000000"/>
          <w:szCs w:val="21"/>
        </w:rPr>
        <w:t> </w:t>
      </w:r>
    </w:p>
    <w:p w:rsidR="004B0A92" w14:paraId="0C9F5EEA" w14:textId="77777777">
      <w:pPr>
        <w:spacing w:line="360" w:lineRule="auto"/>
        <w:ind w:right="26"/>
        <w:rPr>
          <w:rFonts w:ascii="宋体" w:hAnsi="宋体" w:cs="宋体"/>
          <w:szCs w:val="21"/>
        </w:rPr>
      </w:pPr>
      <w:r>
        <w:rPr>
          <w:rFonts w:ascii="宋体" w:hAnsi="宋体" w:cs="宋体"/>
          <w:b/>
          <w:color w:val="000000"/>
          <w:szCs w:val="21"/>
        </w:rPr>
        <w:t>基金托管人：招商银行股份有限公司（章）</w:t>
      </w:r>
    </w:p>
    <w:p w:rsidR="004B0A92" w14:paraId="5908DC9F" w14:textId="77777777">
      <w:pPr>
        <w:spacing w:line="360" w:lineRule="auto"/>
        <w:ind w:right="26"/>
        <w:rPr>
          <w:rFonts w:ascii="宋体" w:hAnsi="宋体" w:cs="宋体"/>
          <w:szCs w:val="21"/>
        </w:rPr>
      </w:pPr>
      <w:r>
        <w:rPr>
          <w:rFonts w:ascii="宋体" w:hAnsi="宋体" w:cs="宋体"/>
          <w:b/>
          <w:color w:val="000000"/>
          <w:szCs w:val="21"/>
        </w:rPr>
        <w:t> </w:t>
      </w:r>
    </w:p>
    <w:p w:rsidR="004B0A92" w14:paraId="4404A0A5" w14:textId="77777777">
      <w:pPr>
        <w:spacing w:line="360" w:lineRule="auto"/>
        <w:ind w:right="26"/>
        <w:rPr>
          <w:rFonts w:ascii="宋体" w:hAnsi="宋体" w:cs="宋体"/>
          <w:szCs w:val="21"/>
        </w:rPr>
      </w:pPr>
      <w:r>
        <w:rPr>
          <w:rFonts w:ascii="宋体" w:hAnsi="宋体" w:cs="宋体"/>
          <w:b/>
          <w:color w:val="000000"/>
          <w:szCs w:val="21"/>
        </w:rPr>
        <w:t> </w:t>
      </w:r>
    </w:p>
    <w:p w:rsidR="004B0A92" w14:paraId="0093AE77" w14:textId="77777777">
      <w:pPr>
        <w:spacing w:line="360" w:lineRule="auto"/>
        <w:ind w:right="26"/>
        <w:rPr>
          <w:rFonts w:ascii="宋体" w:hAnsi="宋体" w:cs="宋体"/>
          <w:szCs w:val="21"/>
        </w:rPr>
      </w:pPr>
      <w:r>
        <w:rPr>
          <w:rFonts w:ascii="宋体" w:hAnsi="宋体" w:cs="宋体"/>
          <w:b/>
          <w:color w:val="000000"/>
          <w:szCs w:val="21"/>
        </w:rPr>
        <w:t xml:space="preserve">法定代表人或授权代表（签字/签章）：                   </w:t>
      </w:r>
    </w:p>
    <w:p w:rsidR="004B0A92" w14:paraId="3C98BA83" w14:textId="77777777">
      <w:pPr>
        <w:spacing w:line="360" w:lineRule="auto"/>
        <w:ind w:right="26"/>
        <w:rPr>
          <w:rFonts w:ascii="宋体" w:hAnsi="宋体" w:cs="宋体"/>
          <w:szCs w:val="21"/>
        </w:rPr>
      </w:pPr>
      <w:r>
        <w:rPr>
          <w:rFonts w:ascii="宋体" w:hAnsi="宋体" w:cs="宋体"/>
          <w:b/>
          <w:color w:val="000000"/>
          <w:szCs w:val="21"/>
        </w:rPr>
        <w:t> </w:t>
      </w:r>
    </w:p>
    <w:p w:rsidR="004B0A92" w14:paraId="4A37FEAB" w14:textId="77777777">
      <w:pPr>
        <w:spacing w:line="360" w:lineRule="auto"/>
        <w:ind w:right="26"/>
        <w:rPr>
          <w:rFonts w:ascii="宋体" w:hAnsi="宋体" w:cs="宋体"/>
          <w:szCs w:val="21"/>
        </w:rPr>
      </w:pPr>
      <w:r>
        <w:rPr>
          <w:rFonts w:ascii="宋体" w:hAnsi="宋体" w:cs="宋体"/>
          <w:b/>
          <w:color w:val="000000"/>
          <w:szCs w:val="21"/>
        </w:rPr>
        <w:t> </w:t>
      </w:r>
    </w:p>
    <w:p w:rsidR="004B0A92" w14:paraId="6131CB93" w14:textId="77777777">
      <w:pPr>
        <w:spacing w:line="360" w:lineRule="auto"/>
        <w:ind w:right="26"/>
        <w:rPr>
          <w:rFonts w:ascii="宋体" w:hAnsi="宋体" w:cs="宋体"/>
          <w:szCs w:val="21"/>
        </w:rPr>
      </w:pPr>
      <w:r>
        <w:rPr>
          <w:rFonts w:ascii="宋体" w:hAnsi="宋体" w:cs="宋体"/>
          <w:b/>
          <w:color w:val="000000"/>
          <w:szCs w:val="21"/>
        </w:rPr>
        <w:t> </w:t>
      </w:r>
    </w:p>
    <w:p w:rsidR="004B0A92" w14:paraId="4E5B9DFE" w14:textId="77777777">
      <w:pPr>
        <w:spacing w:line="360" w:lineRule="auto"/>
        <w:ind w:right="26"/>
        <w:rPr>
          <w:rFonts w:ascii="宋体" w:hAnsi="宋体" w:cs="宋体"/>
          <w:szCs w:val="21"/>
        </w:rPr>
      </w:pPr>
      <w:r>
        <w:rPr>
          <w:rFonts w:ascii="宋体" w:hAnsi="宋体" w:cs="宋体"/>
          <w:b/>
          <w:color w:val="000000"/>
          <w:szCs w:val="21"/>
        </w:rPr>
        <w:t> </w:t>
      </w:r>
    </w:p>
    <w:p w:rsidR="004B0A92" w14:paraId="2BC90014" w14:textId="77777777">
      <w:pPr>
        <w:spacing w:line="360" w:lineRule="auto"/>
        <w:ind w:right="26"/>
        <w:rPr>
          <w:rFonts w:ascii="宋体" w:hAnsi="宋体" w:cs="宋体"/>
          <w:szCs w:val="21"/>
        </w:rPr>
      </w:pPr>
      <w:r>
        <w:rPr>
          <w:rFonts w:ascii="宋体" w:hAnsi="宋体" w:cs="宋体"/>
          <w:b/>
          <w:color w:val="000000"/>
          <w:szCs w:val="21"/>
        </w:rPr>
        <w:t> </w:t>
      </w:r>
    </w:p>
    <w:p w:rsidR="004B0A92" w14:paraId="5914BAD5" w14:textId="77777777">
      <w:pPr>
        <w:spacing w:line="360" w:lineRule="auto"/>
        <w:ind w:right="26"/>
        <w:rPr>
          <w:rFonts w:ascii="宋体" w:hAnsi="宋体" w:cs="宋体"/>
          <w:szCs w:val="21"/>
        </w:rPr>
      </w:pPr>
      <w:r>
        <w:rPr>
          <w:rFonts w:ascii="宋体" w:hAnsi="宋体" w:cs="宋体"/>
          <w:b/>
          <w:color w:val="000000"/>
          <w:szCs w:val="21"/>
        </w:rPr>
        <w:t> </w:t>
      </w:r>
    </w:p>
    <w:p w:rsidR="004B0A92" w14:paraId="0B5066BB" w14:textId="77777777">
      <w:pPr>
        <w:spacing w:line="360" w:lineRule="auto"/>
        <w:rPr>
          <w:rFonts w:ascii="宋体" w:hAnsi="宋体" w:cs="宋体"/>
          <w:szCs w:val="21"/>
        </w:rPr>
      </w:pPr>
      <w:r>
        <w:rPr>
          <w:rFonts w:ascii="宋体" w:hAnsi="宋体" w:cs="宋体"/>
          <w:b/>
          <w:color w:val="000000"/>
          <w:szCs w:val="21"/>
        </w:rPr>
        <w:t>签订地点：</w:t>
      </w:r>
    </w:p>
    <w:p w:rsidR="004B0A92" w14:paraId="2681D63F" w14:textId="77777777">
      <w:pPr>
        <w:spacing w:line="360" w:lineRule="auto"/>
        <w:ind w:right="26"/>
        <w:rPr>
          <w:rFonts w:ascii="宋体" w:hAnsi="宋体" w:cs="宋体"/>
          <w:szCs w:val="21"/>
        </w:rPr>
      </w:pPr>
      <w:r>
        <w:rPr>
          <w:rFonts w:ascii="宋体" w:hAnsi="宋体" w:cs="宋体"/>
          <w:b/>
          <w:color w:val="000000"/>
          <w:szCs w:val="21"/>
        </w:rPr>
        <w:t>签订日：　  年   月   日</w:t>
      </w:r>
    </w:p>
    <w:p w:rsidR="004B0A92" w14:paraId="5E04FF35" w14:textId="77777777">
      <w:pPr>
        <w:spacing w:line="360" w:lineRule="auto"/>
        <w:rPr>
          <w:rFonts w:ascii="宋体" w:hAnsi="宋体" w:cs="宋体"/>
          <w:szCs w:val="21"/>
        </w:rPr>
      </w:pPr>
      <w:r>
        <w:rPr>
          <w:rFonts w:ascii="宋体" w:hAnsi="宋体" w:cs="宋体"/>
          <w:color w:val="000000"/>
          <w:szCs w:val="21"/>
        </w:rPr>
        <w:t> </w:t>
      </w:r>
    </w:p>
    <w:p w:rsidR="004B0A92" w14:paraId="00BF89AC" w14:textId="77777777">
      <w:pPr>
        <w:spacing w:line="360" w:lineRule="auto"/>
        <w:rPr>
          <w:rFonts w:ascii="宋体" w:hAnsi="宋体" w:cs="宋体"/>
          <w:szCs w:val="21"/>
        </w:rPr>
      </w:pPr>
    </w:p>
    <w:sectPr>
      <w:pgSz w:w="11906" w:h="16838"/>
      <w:pgMar w:top="1418" w:right="1701" w:bottom="1418" w:left="1701"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Calibri Light">
    <w:panose1 w:val="020F03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仿宋_GB2312">
    <w:altName w:val="仿宋"/>
    <w:charset w:val="00"/>
    <w:family w:val="auto"/>
    <w:pitch w:val="default"/>
  </w:font>
  <w:font w:name="方正仿宋简体">
    <w:altName w:val="微软雅黑"/>
    <w:charset w:val="00"/>
    <w:family w:val="auto"/>
    <w:pitch w:val="default"/>
  </w:font>
  <w:font w:name="Arial Unicode MS">
    <w:altName w:val="Arial"/>
    <w:panose1 w:val="020B0604020202020204"/>
    <w:charset w:val="00"/>
    <w:family w:val="auto"/>
    <w:pitch w:val="default"/>
  </w:font>
  <w:font w:name="黑体">
    <w:altName w:val="SimHei"/>
    <w:panose1 w:val="02010609060101010101"/>
    <w:charset w:val="86"/>
    <w:family w:val="modern"/>
    <w:pitch w:val="fixed"/>
    <w:sig w:usb0="800002BF" w:usb1="38CF7CFA" w:usb2="00000016" w:usb3="00000000" w:csb0="00040001" w:csb1="00000000"/>
  </w:font>
  <w:font w:name="楷体_GB2312">
    <w:altName w:val="Times New Roman"/>
    <w:charset w:val="00"/>
    <w:family w:val="auto"/>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B0A92" w14:paraId="1F166F3B" w14:textId="77777777">
    <w:pPr>
      <w:pStyle w:val="10"/>
      <w:snapToGrid/>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4B0A92" w14:paraId="3AB5F4EA" w14:textId="77777777">
    <w:pPr>
      <w:pStyle w:val="10"/>
      <w:snapToGrid/>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B0A92" w14:paraId="0FBCCA41" w14:textId="4806D750">
    <w:pPr>
      <w:pStyle w:val="Footer"/>
      <w:snapToGrid/>
      <w:jc w:val="center"/>
    </w:pPr>
    <w:r>
      <w:fldChar w:fldCharType="begin"/>
    </w:r>
    <w:r>
      <w:instrText>PAGE \* MERGEFORMAT</w:instrText>
    </w:r>
    <w:r>
      <w:fldChar w:fldCharType="separate"/>
    </w:r>
    <w:r w:rsidR="00004B54">
      <w:rPr>
        <w:noProof/>
      </w:rPr>
      <w:t>36</w:t>
    </w:r>
    <w:r>
      <w:fldChar w:fldCharType="end"/>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B0A92" w14:paraId="37997F34" w14:textId="77777777"/>
</w:hdr>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15:person w15:author="王子豪">
    <w15:presenceInfo w15:providerId="None" w15:userId="王子豪"/>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5"/>
  <w:bordersDoNotSurroundHeader/>
  <w:bordersDoNotSurroundFooter/>
  <w:proofState w:spelling="clean" w:grammar="clean"/>
  <w:defaultTabStop w:val="4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21F0B"/>
    <w:rsid w:val="00004B54"/>
    <w:rsid w:val="004B0824"/>
    <w:rsid w:val="004B0A92"/>
    <w:rsid w:val="0051434B"/>
    <w:rsid w:val="006B0357"/>
    <w:rsid w:val="0086715F"/>
    <w:rsid w:val="009017C4"/>
    <w:rsid w:val="009873FD"/>
    <w:rsid w:val="009E1792"/>
    <w:rsid w:val="00C21F0B"/>
    <w:rsid w:val="00C2208F"/>
    <w:rsid w:val="1DBEB802"/>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AutoCompressPictures/>
  <w14:docId w14:val="62107FE4"/>
  <w15:docId w15:val="{08464497-22B9-4504-BDFB-D5D1136CC5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宋体" w:hAnsi="Calibri Light" w:cs="Calibri"/>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unhideWhenUsed="1" w:qFormat="1"/>
    <w:lsdException w:name="heading 3" w:uiPriority="9" w:unhideWhenUsed="1" w:qFormat="1"/>
    <w:lsdException w:name="heading 4" w:uiPriority="9" w:unhideWhenUsed="1" w:qFormat="1"/>
    <w:lsdException w:name="heading 5" w:uiPriority="9" w:unhideWhenUsed="1" w:qFormat="1"/>
    <w:lsdException w:name="heading 6" w:uiPriority="9" w:unhideWhenUsed="1" w:qFormat="1"/>
    <w:lsdException w:name="heading 7" w:uiPriority="9" w:unhideWhenUsed="1" w:qFormat="1"/>
    <w:lsdException w:name="heading 8" w:uiPriority="9" w:unhideWhenUsed="1" w:qFormat="1"/>
    <w:lsdException w:name="heading 9"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qFormat="1"/>
    <w:lsdException w:name="toc 2" w:uiPriority="39" w:qFormat="1"/>
    <w:lsdException w:name="toc 3" w:semiHidden="1" w:uiPriority="0" w:qFormat="1"/>
    <w:lsdException w:name="toc 4" w:semiHidden="1" w:uiPriority="0" w:qFormat="1"/>
    <w:lsdException w:name="toc 5" w:semiHidden="1" w:uiPriority="0" w:qFormat="1"/>
    <w:lsdException w:name="toc 6" w:semiHidden="1" w:uiPriority="0" w:qFormat="1"/>
    <w:lsdException w:name="toc 7" w:semiHidden="1" w:uiPriority="0" w:qFormat="1"/>
    <w:lsdException w:name="toc 8" w:semiHidden="1" w:uiPriority="0" w:qFormat="1"/>
    <w:lsdException w:name="toc 9" w:semiHidden="1" w:uiPriority="0" w:qFormat="1"/>
    <w:lsdException w:name="Normal Indent" w:qFormat="1"/>
    <w:lsdException w:name="footnote text" w:semiHidden="1" w:unhideWhenUsed="1" w:qFormat="1"/>
    <w:lsdException w:name="annotation text" w:semiHidden="1" w:uiPriority="0" w:qFormat="1"/>
    <w:lsdException w:name="header" w:unhideWhenUsed="1"/>
    <w:lsdException w:name="footer" w:unhideWhenUsed="1"/>
    <w:lsdException w:name="index heading" w:semiHidden="1" w:unhideWhenUsed="1"/>
    <w:lsdException w:name="caption" w:semiHidden="1" w:uiPriority="35" w:unhideWhenUsed="1" w:qFormat="1"/>
    <w:lsdException w:name="table of figures" w:unhideWhenUsed="1"/>
    <w:lsdException w:name="envelope address" w:semiHidden="1" w:unhideWhenUsed="1"/>
    <w:lsdException w:name="envelope return" w:semiHidden="1" w:unhideWhenUsed="1"/>
    <w:lsdException w:name="footnote reference" w:unhideWhenUsed="1" w:qFormat="1"/>
    <w:lsdException w:name="annotation reference" w:semiHidden="1" w:uiPriority="0" w:qFormat="1"/>
    <w:lsdException w:name="line number" w:semiHidden="1" w:unhideWhenUsed="1"/>
    <w:lsdException w:name="page number" w:uiPriority="0" w:qFormat="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uiPriority="0" w:qFormat="1"/>
    <w:lsdException w:name="Body Text Indent" w:uiPriority="0" w:qFormat="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uiPriority="0" w:qFormat="1"/>
    <w:lsdException w:name="Body Text Indent 3" w:uiPriority="0" w:qFormat="1"/>
    <w:lsdException w:name="Block Text" w:semiHidden="1" w:unhideWhenUsed="1"/>
    <w:lsdException w:name="Hyperlink" w:qFormat="1"/>
    <w:lsdException w:name="FollowedHyperlink" w:semiHidden="1" w:unhideWhenUsed="1"/>
    <w:lsdException w:name="Strong" w:uiPriority="22" w:qFormat="1"/>
    <w:lsdException w:name="Emphasis" w:uiPriority="20" w:qFormat="1"/>
    <w:lsdException w:name="Document Map" w:semiHidden="1" w:uiPriority="0" w:qFormat="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qFormat="1"/>
    <w:lsdException w:name="Table Grid" w:uiPriority="5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widowControl w:val="0"/>
      <w:shd w:val="clear" w:color="FFFFFF" w:fill="FFFFFF"/>
      <w:jc w:val="both"/>
    </w:pPr>
    <w:rPr>
      <w:rFonts w:ascii="Times New Roman" w:hAnsi="Times New Roman" w:cs="Times New Roman"/>
      <w:sz w:val="21"/>
      <w:szCs w:val="24"/>
    </w:rPr>
  </w:style>
  <w:style w:type="paragraph" w:styleId="Heading1">
    <w:name w:val="heading 1"/>
    <w:basedOn w:val="Normal"/>
    <w:next w:val="Normal"/>
    <w:link w:val="113"/>
    <w:uiPriority w:val="9"/>
    <w:qFormat/>
    <w:pPr>
      <w:keepNext/>
      <w:keepLines/>
      <w:spacing w:before="480" w:after="200"/>
      <w:outlineLvl w:val="0"/>
    </w:pPr>
    <w:rPr>
      <w:rFonts w:ascii="Arial" w:hAnsi="Arial" w:cs="Arial"/>
      <w:sz w:val="40"/>
      <w:szCs w:val="40"/>
    </w:rPr>
  </w:style>
  <w:style w:type="paragraph" w:styleId="Heading2">
    <w:name w:val="heading 2"/>
    <w:basedOn w:val="Normal"/>
    <w:next w:val="Normal"/>
    <w:link w:val="213"/>
    <w:uiPriority w:val="9"/>
    <w:unhideWhenUsed/>
    <w:qFormat/>
    <w:pPr>
      <w:keepNext/>
      <w:keepLines/>
      <w:spacing w:before="360" w:after="200"/>
      <w:outlineLvl w:val="1"/>
    </w:pPr>
    <w:rPr>
      <w:rFonts w:ascii="Arial" w:hAnsi="Arial" w:cs="Arial"/>
      <w:sz w:val="34"/>
    </w:rPr>
  </w:style>
  <w:style w:type="paragraph" w:styleId="Heading3">
    <w:name w:val="heading 3"/>
    <w:basedOn w:val="Normal"/>
    <w:next w:val="Normal"/>
    <w:link w:val="313"/>
    <w:uiPriority w:val="9"/>
    <w:unhideWhenUsed/>
    <w:qFormat/>
    <w:pPr>
      <w:keepNext/>
      <w:keepLines/>
      <w:spacing w:before="320" w:after="200"/>
      <w:outlineLvl w:val="2"/>
    </w:pPr>
    <w:rPr>
      <w:rFonts w:ascii="Arial" w:hAnsi="Arial" w:cs="Arial"/>
      <w:sz w:val="30"/>
      <w:szCs w:val="30"/>
    </w:rPr>
  </w:style>
  <w:style w:type="paragraph" w:styleId="Heading4">
    <w:name w:val="heading 4"/>
    <w:basedOn w:val="Normal"/>
    <w:next w:val="Normal"/>
    <w:link w:val="413"/>
    <w:uiPriority w:val="9"/>
    <w:unhideWhenUsed/>
    <w:qFormat/>
    <w:pPr>
      <w:keepNext/>
      <w:keepLines/>
      <w:spacing w:before="320" w:after="200"/>
      <w:outlineLvl w:val="3"/>
    </w:pPr>
    <w:rPr>
      <w:rFonts w:ascii="Arial" w:hAnsi="Arial" w:cs="Arial"/>
      <w:b/>
      <w:bCs/>
      <w:sz w:val="26"/>
      <w:szCs w:val="26"/>
    </w:rPr>
  </w:style>
  <w:style w:type="paragraph" w:styleId="Heading5">
    <w:name w:val="heading 5"/>
    <w:basedOn w:val="Normal"/>
    <w:next w:val="Normal"/>
    <w:link w:val="513"/>
    <w:uiPriority w:val="9"/>
    <w:unhideWhenUsed/>
    <w:qFormat/>
    <w:pPr>
      <w:keepNext/>
      <w:keepLines/>
      <w:spacing w:before="320" w:after="200"/>
      <w:outlineLvl w:val="4"/>
    </w:pPr>
    <w:rPr>
      <w:rFonts w:ascii="Arial" w:hAnsi="Arial" w:cs="Arial"/>
      <w:b/>
      <w:bCs/>
      <w:sz w:val="24"/>
    </w:rPr>
  </w:style>
  <w:style w:type="paragraph" w:styleId="Heading6">
    <w:name w:val="heading 6"/>
    <w:basedOn w:val="Normal"/>
    <w:next w:val="Normal"/>
    <w:link w:val="612"/>
    <w:uiPriority w:val="9"/>
    <w:unhideWhenUsed/>
    <w:qFormat/>
    <w:pPr>
      <w:keepNext/>
      <w:keepLines/>
      <w:spacing w:before="320" w:after="200"/>
      <w:outlineLvl w:val="5"/>
    </w:pPr>
    <w:rPr>
      <w:rFonts w:ascii="Arial" w:hAnsi="Arial" w:cs="Arial"/>
      <w:b/>
      <w:bCs/>
      <w:sz w:val="22"/>
      <w:szCs w:val="22"/>
    </w:rPr>
  </w:style>
  <w:style w:type="paragraph" w:styleId="Heading7">
    <w:name w:val="heading 7"/>
    <w:basedOn w:val="Normal"/>
    <w:next w:val="Normal"/>
    <w:link w:val="712"/>
    <w:uiPriority w:val="9"/>
    <w:unhideWhenUsed/>
    <w:qFormat/>
    <w:pPr>
      <w:keepNext/>
      <w:keepLines/>
      <w:spacing w:before="320" w:after="200"/>
      <w:outlineLvl w:val="6"/>
    </w:pPr>
    <w:rPr>
      <w:rFonts w:ascii="Arial" w:hAnsi="Arial" w:cs="Arial"/>
      <w:b/>
      <w:bCs/>
      <w:i/>
      <w:iCs/>
      <w:sz w:val="22"/>
      <w:szCs w:val="22"/>
    </w:rPr>
  </w:style>
  <w:style w:type="paragraph" w:styleId="Heading8">
    <w:name w:val="heading 8"/>
    <w:basedOn w:val="Normal"/>
    <w:next w:val="Normal"/>
    <w:link w:val="810"/>
    <w:uiPriority w:val="9"/>
    <w:unhideWhenUsed/>
    <w:qFormat/>
    <w:pPr>
      <w:keepNext/>
      <w:keepLines/>
      <w:spacing w:before="320" w:after="200"/>
      <w:outlineLvl w:val="7"/>
    </w:pPr>
    <w:rPr>
      <w:rFonts w:ascii="Arial" w:hAnsi="Arial" w:cs="Arial"/>
      <w:i/>
      <w:iCs/>
      <w:sz w:val="22"/>
      <w:szCs w:val="22"/>
    </w:rPr>
  </w:style>
  <w:style w:type="paragraph" w:styleId="Heading9">
    <w:name w:val="heading 9"/>
    <w:basedOn w:val="Normal"/>
    <w:next w:val="Normal"/>
    <w:link w:val="910"/>
    <w:uiPriority w:val="9"/>
    <w:unhideWhenUsed/>
    <w:qFormat/>
    <w:pPr>
      <w:keepNext/>
      <w:keepLines/>
      <w:spacing w:before="320" w:after="200"/>
      <w:outlineLvl w:val="8"/>
    </w:pPr>
    <w:rPr>
      <w:rFonts w:ascii="Arial" w:hAnsi="Arial" w:cs="Arial"/>
      <w:i/>
      <w:iCs/>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OC7">
    <w:name w:val="toc 7"/>
    <w:basedOn w:val="Normal"/>
    <w:next w:val="Normal"/>
    <w:semiHidden/>
    <w:qFormat/>
    <w:pPr>
      <w:ind w:left="2520"/>
    </w:pPr>
  </w:style>
  <w:style w:type="paragraph" w:styleId="NormalIndent">
    <w:name w:val="Normal Indent"/>
    <w:basedOn w:val="Normal"/>
    <w:uiPriority w:val="99"/>
    <w:qFormat/>
    <w:pPr>
      <w:ind w:firstLine="420"/>
    </w:pPr>
  </w:style>
  <w:style w:type="paragraph" w:styleId="Caption">
    <w:name w:val="caption"/>
    <w:basedOn w:val="Normal"/>
    <w:next w:val="Normal"/>
    <w:uiPriority w:val="35"/>
    <w:semiHidden/>
    <w:unhideWhenUsed/>
    <w:qFormat/>
    <w:pPr>
      <w:spacing w:line="276" w:lineRule="auto"/>
    </w:pPr>
    <w:rPr>
      <w:b/>
      <w:bCs/>
      <w:color w:val="4F81BD" w:themeColor="accent1"/>
      <w:sz w:val="18"/>
      <w:szCs w:val="18"/>
    </w:rPr>
  </w:style>
  <w:style w:type="paragraph" w:styleId="DocumentMap">
    <w:name w:val="Document Map"/>
    <w:basedOn w:val="Normal"/>
    <w:semiHidden/>
    <w:qFormat/>
    <w:pPr>
      <w:shd w:val="clear" w:color="000080" w:fill="000080"/>
    </w:pPr>
  </w:style>
  <w:style w:type="paragraph" w:styleId="CommentText">
    <w:name w:val="annotation text"/>
    <w:basedOn w:val="Normal"/>
    <w:link w:val="a4"/>
    <w:semiHidden/>
    <w:qFormat/>
    <w:pPr>
      <w:jc w:val="left"/>
    </w:pPr>
  </w:style>
  <w:style w:type="paragraph" w:styleId="BodyText">
    <w:name w:val="Body Text"/>
    <w:basedOn w:val="Normal"/>
    <w:qFormat/>
    <w:pPr>
      <w:spacing w:line="360" w:lineRule="auto"/>
    </w:pPr>
    <w:rPr>
      <w:rFonts w:ascii="仿宋_GB2312" w:eastAsia="仿宋_GB2312"/>
      <w:color w:val="000000"/>
      <w:sz w:val="24"/>
      <w:szCs w:val="28"/>
    </w:rPr>
  </w:style>
  <w:style w:type="paragraph" w:styleId="BodyTextIndent">
    <w:name w:val="Body Text Indent"/>
    <w:basedOn w:val="Normal"/>
    <w:qFormat/>
    <w:pPr>
      <w:snapToGrid w:val="0"/>
      <w:spacing w:line="560" w:lineRule="exact"/>
      <w:ind w:firstLine="480"/>
    </w:pPr>
    <w:rPr>
      <w:rFonts w:eastAsia="方正仿宋简体"/>
      <w:sz w:val="24"/>
      <w:szCs w:val="30"/>
    </w:rPr>
  </w:style>
  <w:style w:type="paragraph" w:styleId="TOC5">
    <w:name w:val="toc 5"/>
    <w:basedOn w:val="Normal"/>
    <w:next w:val="Normal"/>
    <w:semiHidden/>
    <w:qFormat/>
    <w:pPr>
      <w:ind w:left="1680"/>
    </w:pPr>
  </w:style>
  <w:style w:type="paragraph" w:styleId="TOC3">
    <w:name w:val="toc 3"/>
    <w:basedOn w:val="Normal"/>
    <w:next w:val="Normal"/>
    <w:semiHidden/>
    <w:qFormat/>
    <w:pPr>
      <w:ind w:left="840"/>
    </w:pPr>
  </w:style>
  <w:style w:type="paragraph" w:styleId="TOC8">
    <w:name w:val="toc 8"/>
    <w:basedOn w:val="Normal"/>
    <w:next w:val="Normal"/>
    <w:semiHidden/>
    <w:qFormat/>
    <w:pPr>
      <w:ind w:left="2940"/>
    </w:pPr>
  </w:style>
  <w:style w:type="paragraph" w:styleId="BodyTextIndent2">
    <w:name w:val="Body Text Indent 2"/>
    <w:basedOn w:val="Normal"/>
    <w:qFormat/>
    <w:pPr>
      <w:spacing w:line="360" w:lineRule="auto"/>
      <w:ind w:firstLine="525"/>
    </w:pPr>
    <w:rPr>
      <w:rFonts w:ascii="宋体" w:hAnsi="宋体"/>
      <w:sz w:val="28"/>
      <w:szCs w:val="20"/>
    </w:rPr>
  </w:style>
  <w:style w:type="paragraph" w:styleId="EndnoteText">
    <w:name w:val="endnote text"/>
    <w:basedOn w:val="Normal"/>
    <w:link w:val="a"/>
    <w:uiPriority w:val="99"/>
    <w:semiHidden/>
    <w:unhideWhenUsed/>
    <w:rPr>
      <w:sz w:val="20"/>
    </w:rPr>
  </w:style>
  <w:style w:type="paragraph" w:styleId="BalloonText">
    <w:name w:val="Balloon Text"/>
    <w:basedOn w:val="Normal"/>
    <w:semiHidden/>
    <w:qFormat/>
    <w:rPr>
      <w:sz w:val="18"/>
      <w:szCs w:val="18"/>
    </w:rPr>
  </w:style>
  <w:style w:type="paragraph" w:styleId="Footer">
    <w:name w:val="footer"/>
    <w:basedOn w:val="Normal"/>
    <w:link w:val="17"/>
    <w:uiPriority w:val="99"/>
    <w:unhideWhenUsed/>
    <w:pPr>
      <w:tabs>
        <w:tab w:val="center" w:pos="4153"/>
        <w:tab w:val="right" w:pos="8306"/>
      </w:tabs>
      <w:snapToGrid w:val="0"/>
      <w:jc w:val="left"/>
    </w:pPr>
    <w:rPr>
      <w:sz w:val="18"/>
      <w:szCs w:val="18"/>
    </w:rPr>
  </w:style>
  <w:style w:type="paragraph" w:styleId="Header">
    <w:name w:val="header"/>
    <w:basedOn w:val="Normal"/>
    <w:link w:val="16"/>
    <w:uiPriority w:val="99"/>
    <w:unhideWhenUsed/>
    <w:pPr>
      <w:pBdr>
        <w:bottom w:val="single" w:sz="6" w:space="1" w:color="auto"/>
      </w:pBdr>
      <w:tabs>
        <w:tab w:val="center" w:pos="4153"/>
        <w:tab w:val="right" w:pos="8306"/>
      </w:tabs>
      <w:snapToGrid w:val="0"/>
      <w:jc w:val="center"/>
    </w:pPr>
    <w:rPr>
      <w:sz w:val="18"/>
      <w:szCs w:val="18"/>
    </w:rPr>
  </w:style>
  <w:style w:type="paragraph" w:styleId="TOC1">
    <w:name w:val="toc 1"/>
    <w:basedOn w:val="Normal"/>
    <w:next w:val="Normal"/>
    <w:uiPriority w:val="39"/>
    <w:qFormat/>
  </w:style>
  <w:style w:type="paragraph" w:styleId="TOC4">
    <w:name w:val="toc 4"/>
    <w:basedOn w:val="Normal"/>
    <w:next w:val="Normal"/>
    <w:semiHidden/>
    <w:qFormat/>
    <w:pPr>
      <w:ind w:left="1260"/>
    </w:pPr>
  </w:style>
  <w:style w:type="paragraph" w:styleId="Subtitle">
    <w:name w:val="Subtitle"/>
    <w:basedOn w:val="Normal"/>
    <w:next w:val="Normal"/>
    <w:link w:val="a0"/>
    <w:uiPriority w:val="11"/>
    <w:qFormat/>
    <w:pPr>
      <w:spacing w:before="200" w:after="200"/>
    </w:pPr>
    <w:rPr>
      <w:sz w:val="24"/>
    </w:rPr>
  </w:style>
  <w:style w:type="paragraph" w:styleId="FootnoteText">
    <w:name w:val="footnote text"/>
    <w:basedOn w:val="Normal"/>
    <w:link w:val="a3"/>
    <w:uiPriority w:val="99"/>
    <w:semiHidden/>
    <w:unhideWhenUsed/>
    <w:qFormat/>
    <w:pPr>
      <w:spacing w:after="40"/>
    </w:pPr>
    <w:rPr>
      <w:sz w:val="18"/>
    </w:rPr>
  </w:style>
  <w:style w:type="paragraph" w:styleId="TOC6">
    <w:name w:val="toc 6"/>
    <w:basedOn w:val="Normal"/>
    <w:next w:val="Normal"/>
    <w:semiHidden/>
    <w:qFormat/>
    <w:pPr>
      <w:ind w:left="2100"/>
    </w:pPr>
  </w:style>
  <w:style w:type="paragraph" w:styleId="BodyTextIndent3">
    <w:name w:val="Body Text Indent 3"/>
    <w:basedOn w:val="Normal"/>
    <w:qFormat/>
    <w:pPr>
      <w:snapToGrid w:val="0"/>
      <w:ind w:firstLine="480"/>
    </w:pPr>
    <w:rPr>
      <w:rFonts w:ascii="仿宋_GB2312" w:eastAsia="仿宋_GB2312" w:hAnsi="宋体" w:cs="Arial"/>
      <w:color w:val="000000"/>
      <w:sz w:val="24"/>
    </w:rPr>
  </w:style>
  <w:style w:type="paragraph" w:styleId="TableofFigures">
    <w:name w:val="table of figures"/>
    <w:basedOn w:val="Normal"/>
    <w:next w:val="Normal"/>
    <w:uiPriority w:val="99"/>
    <w:unhideWhenUsed/>
  </w:style>
  <w:style w:type="paragraph" w:styleId="TOC2">
    <w:name w:val="toc 2"/>
    <w:basedOn w:val="Normal"/>
    <w:next w:val="Normal"/>
    <w:uiPriority w:val="39"/>
    <w:qFormat/>
    <w:pPr>
      <w:ind w:left="420"/>
    </w:pPr>
  </w:style>
  <w:style w:type="paragraph" w:styleId="TOC9">
    <w:name w:val="toc 9"/>
    <w:basedOn w:val="Normal"/>
    <w:next w:val="Normal"/>
    <w:semiHidden/>
    <w:qFormat/>
    <w:pPr>
      <w:ind w:left="3360"/>
    </w:pPr>
  </w:style>
  <w:style w:type="paragraph" w:styleId="NormalWeb">
    <w:name w:val="Normal (Web)"/>
    <w:basedOn w:val="Normal"/>
    <w:uiPriority w:val="99"/>
    <w:qFormat/>
    <w:pPr>
      <w:widowControl/>
      <w:spacing w:before="100" w:beforeAutospacing="1" w:after="100" w:afterAutospacing="1"/>
      <w:jc w:val="left"/>
    </w:pPr>
    <w:rPr>
      <w:rFonts w:ascii="Arial Unicode MS" w:hAnsi="Arial Unicode MS" w:cs="Arial Unicode MS"/>
      <w:sz w:val="24"/>
    </w:rPr>
  </w:style>
  <w:style w:type="paragraph" w:styleId="Title">
    <w:name w:val="Title"/>
    <w:basedOn w:val="Normal"/>
    <w:link w:val="a5"/>
    <w:qFormat/>
    <w:pPr>
      <w:spacing w:before="240" w:after="60"/>
      <w:jc w:val="center"/>
      <w:outlineLvl w:val="0"/>
    </w:pPr>
    <w:rPr>
      <w:rFonts w:ascii="Arial" w:hAnsi="Arial"/>
      <w:b/>
      <w:bCs/>
      <w:sz w:val="32"/>
      <w:szCs w:val="32"/>
    </w:rPr>
  </w:style>
  <w:style w:type="paragraph" w:styleId="CommentSubject">
    <w:name w:val="annotation subject"/>
    <w:basedOn w:val="CommentText"/>
    <w:next w:val="CommentText"/>
    <w:semiHidden/>
    <w:qFormat/>
    <w:rPr>
      <w:b/>
      <w:bCs/>
    </w:rPr>
  </w:style>
  <w:style w:type="table" w:styleId="TableGrid">
    <w:name w:val="Table Grid"/>
    <w:basedOn w:val="TableNormal"/>
    <w:uiPriority w:val="59"/>
    <w:qFormat/>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tblStylePr w:type="firstRow">
      <w:pPr>
        <w:snapToGrid/>
      </w:pPr>
    </w:tblStylePr>
    <w:tblStylePr w:type="lastRow">
      <w:pPr>
        <w:snapToGrid/>
      </w:pPr>
    </w:tblStylePr>
    <w:tblStylePr w:type="firstCol">
      <w:pPr>
        <w:snapToGrid/>
      </w:pPr>
    </w:tblStylePr>
    <w:tblStylePr w:type="lastCol">
      <w:pPr>
        <w:snapToGrid/>
      </w:pPr>
    </w:tblStylePr>
    <w:tblStylePr w:type="band1Vert">
      <w:pPr>
        <w:snapToGrid/>
      </w:pPr>
    </w:tblStylePr>
    <w:tblStylePr w:type="band2Vert">
      <w:pPr>
        <w:snapToGrid/>
      </w:pPr>
    </w:tblStylePr>
    <w:tblStylePr w:type="band1Horz">
      <w:pPr>
        <w:snapToGrid/>
      </w:p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character" w:styleId="Strong">
    <w:name w:val="Strong"/>
    <w:uiPriority w:val="22"/>
    <w:qFormat/>
    <w:rPr>
      <w:b/>
      <w:bCs/>
    </w:rPr>
  </w:style>
  <w:style w:type="character" w:styleId="EndnoteReference">
    <w:name w:val="endnote reference"/>
    <w:basedOn w:val="DefaultParagraphFont"/>
    <w:uiPriority w:val="99"/>
    <w:semiHidden/>
    <w:unhideWhenUsed/>
    <w:rPr>
      <w:vertAlign w:val="superscript"/>
    </w:rPr>
  </w:style>
  <w:style w:type="character" w:styleId="PageNumber">
    <w:name w:val="page number"/>
    <w:basedOn w:val="DefaultParagraphFont"/>
    <w:qFormat/>
  </w:style>
  <w:style w:type="character" w:styleId="Hyperlink">
    <w:name w:val="Hyperlink"/>
    <w:uiPriority w:val="99"/>
    <w:qFormat/>
    <w:rPr>
      <w:color w:val="0000FF"/>
      <w:u w:val="single"/>
    </w:rPr>
  </w:style>
  <w:style w:type="character" w:styleId="CommentReference">
    <w:name w:val="annotation reference"/>
    <w:semiHidden/>
    <w:qFormat/>
    <w:rPr>
      <w:sz w:val="21"/>
      <w:szCs w:val="21"/>
    </w:rPr>
  </w:style>
  <w:style w:type="character" w:styleId="FootnoteReference">
    <w:name w:val="footnote reference"/>
    <w:basedOn w:val="DefaultParagraphFont"/>
    <w:uiPriority w:val="99"/>
    <w:unhideWhenUsed/>
    <w:qFormat/>
    <w:rPr>
      <w:vertAlign w:val="superscript"/>
    </w:rPr>
  </w:style>
  <w:style w:type="character" w:customStyle="1" w:styleId="Heading1Char">
    <w:name w:val="Heading 1 Char"/>
    <w:basedOn w:val="DefaultParagraphFont"/>
    <w:uiPriority w:val="9"/>
    <w:rPr>
      <w:rFonts w:ascii="Arial" w:hAnsi="Arial" w:cs="Arial"/>
      <w:sz w:val="40"/>
      <w:szCs w:val="40"/>
    </w:rPr>
  </w:style>
  <w:style w:type="character" w:customStyle="1" w:styleId="Heading2Char">
    <w:name w:val="Heading 2 Char"/>
    <w:basedOn w:val="DefaultParagraphFont"/>
    <w:uiPriority w:val="9"/>
    <w:rPr>
      <w:rFonts w:ascii="Arial" w:hAnsi="Arial" w:cs="Arial"/>
      <w:sz w:val="34"/>
    </w:rPr>
  </w:style>
  <w:style w:type="character" w:customStyle="1" w:styleId="Heading3Char">
    <w:name w:val="Heading 3 Char"/>
    <w:basedOn w:val="DefaultParagraphFont"/>
    <w:uiPriority w:val="9"/>
    <w:rPr>
      <w:rFonts w:ascii="Arial" w:hAnsi="Arial" w:cs="Arial"/>
      <w:sz w:val="30"/>
      <w:szCs w:val="30"/>
    </w:rPr>
  </w:style>
  <w:style w:type="character" w:customStyle="1" w:styleId="Heading4Char">
    <w:name w:val="Heading 4 Char"/>
    <w:basedOn w:val="DefaultParagraphFont"/>
    <w:uiPriority w:val="9"/>
    <w:rPr>
      <w:rFonts w:ascii="Arial" w:hAnsi="Arial" w:cs="Arial"/>
      <w:b/>
      <w:bCs/>
      <w:sz w:val="26"/>
      <w:szCs w:val="26"/>
    </w:rPr>
  </w:style>
  <w:style w:type="character" w:customStyle="1" w:styleId="Heading5Char">
    <w:name w:val="Heading 5 Char"/>
    <w:basedOn w:val="DefaultParagraphFont"/>
    <w:uiPriority w:val="9"/>
    <w:rPr>
      <w:rFonts w:ascii="Arial" w:hAnsi="Arial" w:cs="Arial"/>
      <w:b/>
      <w:bCs/>
      <w:sz w:val="24"/>
      <w:szCs w:val="24"/>
    </w:rPr>
  </w:style>
  <w:style w:type="character" w:customStyle="1" w:styleId="Heading6Char">
    <w:name w:val="Heading 6 Char"/>
    <w:basedOn w:val="DefaultParagraphFont"/>
    <w:uiPriority w:val="9"/>
    <w:rPr>
      <w:rFonts w:ascii="Arial" w:hAnsi="Arial" w:cs="Arial"/>
      <w:b/>
      <w:bCs/>
      <w:sz w:val="22"/>
      <w:szCs w:val="22"/>
    </w:rPr>
  </w:style>
  <w:style w:type="character" w:customStyle="1" w:styleId="Heading7Char">
    <w:name w:val="Heading 7 Char"/>
    <w:basedOn w:val="DefaultParagraphFont"/>
    <w:uiPriority w:val="9"/>
    <w:rPr>
      <w:rFonts w:ascii="Arial" w:hAnsi="Arial" w:cs="Arial"/>
      <w:b/>
      <w:bCs/>
      <w:i/>
      <w:iCs/>
      <w:sz w:val="22"/>
      <w:szCs w:val="22"/>
    </w:rPr>
  </w:style>
  <w:style w:type="character" w:customStyle="1" w:styleId="Heading8Char">
    <w:name w:val="Heading 8 Char"/>
    <w:basedOn w:val="DefaultParagraphFont"/>
    <w:uiPriority w:val="9"/>
    <w:rPr>
      <w:rFonts w:ascii="Arial" w:hAnsi="Arial" w:cs="Arial"/>
      <w:i/>
      <w:iCs/>
      <w:sz w:val="22"/>
      <w:szCs w:val="22"/>
    </w:rPr>
  </w:style>
  <w:style w:type="character" w:customStyle="1" w:styleId="Heading9Char">
    <w:name w:val="Heading 9 Char"/>
    <w:basedOn w:val="DefaultParagraphFont"/>
    <w:uiPriority w:val="9"/>
    <w:rPr>
      <w:rFonts w:ascii="Arial" w:hAnsi="Arial" w:cs="Arial"/>
      <w:i/>
      <w:iCs/>
      <w:sz w:val="21"/>
      <w:szCs w:val="21"/>
    </w:rPr>
  </w:style>
  <w:style w:type="paragraph" w:customStyle="1" w:styleId="11">
    <w:name w:val="标题 11"/>
    <w:basedOn w:val="Normal"/>
    <w:next w:val="Normal"/>
    <w:link w:val="15"/>
    <w:qFormat/>
    <w:pPr>
      <w:keepNext/>
      <w:keepLines/>
      <w:spacing w:before="340" w:after="330" w:line="578" w:lineRule="auto"/>
      <w:outlineLvl w:val="0"/>
    </w:pPr>
    <w:rPr>
      <w:b/>
      <w:bCs/>
      <w:sz w:val="44"/>
      <w:szCs w:val="44"/>
    </w:rPr>
  </w:style>
  <w:style w:type="paragraph" w:customStyle="1" w:styleId="21">
    <w:name w:val="标题 21"/>
    <w:basedOn w:val="Normal"/>
    <w:next w:val="NormalIndent"/>
    <w:link w:val="2"/>
    <w:qFormat/>
    <w:pPr>
      <w:keepNext/>
      <w:keepLines/>
      <w:spacing w:before="260" w:after="260" w:line="416" w:lineRule="auto"/>
      <w:outlineLvl w:val="1"/>
    </w:pPr>
    <w:rPr>
      <w:rFonts w:ascii="Arial" w:eastAsia="黑体" w:hAnsi="Arial"/>
      <w:b/>
      <w:sz w:val="32"/>
      <w:szCs w:val="20"/>
    </w:rPr>
  </w:style>
  <w:style w:type="paragraph" w:customStyle="1" w:styleId="31">
    <w:name w:val="标题 31"/>
    <w:basedOn w:val="Normal"/>
    <w:next w:val="Normal"/>
    <w:link w:val="3"/>
    <w:uiPriority w:val="9"/>
    <w:unhideWhenUsed/>
    <w:qFormat/>
    <w:pPr>
      <w:keepNext/>
      <w:keepLines/>
      <w:spacing w:before="320" w:after="200"/>
      <w:outlineLvl w:val="2"/>
    </w:pPr>
    <w:rPr>
      <w:rFonts w:ascii="Arial" w:hAnsi="Arial" w:cs="Arial"/>
      <w:sz w:val="30"/>
      <w:szCs w:val="30"/>
    </w:rPr>
  </w:style>
  <w:style w:type="paragraph" w:customStyle="1" w:styleId="41">
    <w:name w:val="标题 41"/>
    <w:basedOn w:val="Normal"/>
    <w:next w:val="Normal"/>
    <w:link w:val="4"/>
    <w:uiPriority w:val="9"/>
    <w:unhideWhenUsed/>
    <w:qFormat/>
    <w:pPr>
      <w:keepNext/>
      <w:keepLines/>
      <w:spacing w:before="320" w:after="200"/>
      <w:outlineLvl w:val="3"/>
    </w:pPr>
    <w:rPr>
      <w:rFonts w:ascii="Arial" w:hAnsi="Arial" w:cs="Arial"/>
      <w:b/>
      <w:bCs/>
      <w:sz w:val="26"/>
      <w:szCs w:val="26"/>
    </w:rPr>
  </w:style>
  <w:style w:type="paragraph" w:customStyle="1" w:styleId="51">
    <w:name w:val="标题 51"/>
    <w:basedOn w:val="Normal"/>
    <w:next w:val="Normal"/>
    <w:link w:val="5"/>
    <w:uiPriority w:val="9"/>
    <w:unhideWhenUsed/>
    <w:qFormat/>
    <w:pPr>
      <w:keepNext/>
      <w:keepLines/>
      <w:spacing w:before="320" w:after="200"/>
      <w:outlineLvl w:val="4"/>
    </w:pPr>
    <w:rPr>
      <w:rFonts w:ascii="Arial" w:hAnsi="Arial" w:cs="Arial"/>
      <w:b/>
      <w:bCs/>
      <w:sz w:val="24"/>
    </w:rPr>
  </w:style>
  <w:style w:type="paragraph" w:customStyle="1" w:styleId="61">
    <w:name w:val="标题 61"/>
    <w:basedOn w:val="Normal"/>
    <w:next w:val="Normal"/>
    <w:link w:val="6"/>
    <w:uiPriority w:val="9"/>
    <w:unhideWhenUsed/>
    <w:qFormat/>
    <w:pPr>
      <w:keepNext/>
      <w:keepLines/>
      <w:spacing w:before="320" w:after="200"/>
      <w:outlineLvl w:val="5"/>
    </w:pPr>
    <w:rPr>
      <w:rFonts w:ascii="Arial" w:hAnsi="Arial" w:cs="Arial"/>
      <w:b/>
      <w:bCs/>
      <w:sz w:val="22"/>
      <w:szCs w:val="22"/>
    </w:rPr>
  </w:style>
  <w:style w:type="paragraph" w:customStyle="1" w:styleId="71">
    <w:name w:val="标题 71"/>
    <w:basedOn w:val="Normal"/>
    <w:next w:val="Normal"/>
    <w:link w:val="7"/>
    <w:uiPriority w:val="9"/>
    <w:unhideWhenUsed/>
    <w:qFormat/>
    <w:pPr>
      <w:keepNext/>
      <w:keepLines/>
      <w:spacing w:before="320" w:after="200"/>
      <w:outlineLvl w:val="6"/>
    </w:pPr>
    <w:rPr>
      <w:rFonts w:ascii="Arial" w:hAnsi="Arial" w:cs="Arial"/>
      <w:b/>
      <w:bCs/>
      <w:i/>
      <w:iCs/>
      <w:sz w:val="22"/>
      <w:szCs w:val="22"/>
    </w:rPr>
  </w:style>
  <w:style w:type="paragraph" w:customStyle="1" w:styleId="81">
    <w:name w:val="标题 81"/>
    <w:basedOn w:val="Normal"/>
    <w:next w:val="Normal"/>
    <w:link w:val="8"/>
    <w:uiPriority w:val="9"/>
    <w:unhideWhenUsed/>
    <w:qFormat/>
    <w:pPr>
      <w:keepNext/>
      <w:keepLines/>
      <w:spacing w:before="320" w:after="200"/>
      <w:outlineLvl w:val="7"/>
    </w:pPr>
    <w:rPr>
      <w:rFonts w:ascii="Arial" w:hAnsi="Arial" w:cs="Arial"/>
      <w:i/>
      <w:iCs/>
      <w:sz w:val="22"/>
      <w:szCs w:val="22"/>
    </w:rPr>
  </w:style>
  <w:style w:type="paragraph" w:customStyle="1" w:styleId="91">
    <w:name w:val="标题 91"/>
    <w:basedOn w:val="Normal"/>
    <w:next w:val="Normal"/>
    <w:link w:val="9"/>
    <w:uiPriority w:val="9"/>
    <w:unhideWhenUsed/>
    <w:qFormat/>
    <w:pPr>
      <w:keepNext/>
      <w:keepLines/>
      <w:spacing w:before="320" w:after="200"/>
      <w:outlineLvl w:val="8"/>
    </w:pPr>
    <w:rPr>
      <w:rFonts w:ascii="Arial" w:hAnsi="Arial" w:cs="Arial"/>
      <w:i/>
      <w:iCs/>
      <w:szCs w:val="21"/>
    </w:rPr>
  </w:style>
  <w:style w:type="table" w:customStyle="1" w:styleId="110">
    <w:name w:val="无格式表格 11"/>
    <w:basedOn w:val="TableNormal"/>
    <w:uiPriority w:val="59"/>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tblStylePr w:type="firstRow">
      <w:pPr>
        <w:snapToGrid/>
      </w:pPr>
      <w:rPr>
        <w:rFonts w:ascii="Arial" w:hAnsi="Arial"/>
        <w:b/>
        <w:color w:val="404040"/>
        <w:sz w:val="22"/>
      </w:rPr>
    </w:tblStylePr>
    <w:tblStylePr w:type="lastRow">
      <w:pPr>
        <w:snapToGrid/>
      </w:pPr>
      <w:rPr>
        <w:rFonts w:ascii="Arial" w:hAnsi="Arial"/>
        <w:b/>
        <w:color w:val="404040"/>
        <w:sz w:val="22"/>
      </w:rPr>
    </w:tblStylePr>
    <w:tblStylePr w:type="firstCol">
      <w:pPr>
        <w:snapToGrid/>
      </w:pPr>
      <w:rPr>
        <w:rFonts w:ascii="Arial" w:hAnsi="Arial"/>
        <w:b/>
        <w:color w:val="404040"/>
        <w:sz w:val="22"/>
      </w:rPr>
    </w:tblStylePr>
    <w:tblStylePr w:type="lastCol">
      <w:pPr>
        <w:snapToGrid/>
      </w:pPr>
      <w:rPr>
        <w:rFonts w:ascii="Arial" w:hAnsi="Arial"/>
        <w:b/>
        <w:color w:val="404040"/>
        <w:sz w:val="22"/>
      </w:rPr>
    </w:tblStylePr>
    <w:tblStylePr w:type="band1Vert">
      <w:pPr>
        <w:snapToGrid/>
      </w:pPr>
      <w:tblPr/>
      <w:tcPr>
        <w:shd w:val="clear" w:color="F2F2F2" w:fill="F2F2F2" w:themeFill="text1" w:themeFillTint="0D"/>
      </w:tcPr>
    </w:tblStylePr>
    <w:tblStylePr w:type="band2Vert">
      <w:pPr>
        <w:snapToGrid/>
      </w:pPr>
    </w:tblStylePr>
    <w:tblStylePr w:type="band1Horz">
      <w:pPr>
        <w:snapToGrid/>
      </w:pPr>
      <w:tblPr/>
      <w:tcPr>
        <w:shd w:val="clear" w:color="F2F2F2" w:fill="F2F2F2" w:themeFill="text1" w:themeFillTint="0D"/>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210">
    <w:name w:val="无格式表格 21"/>
    <w:basedOn w:val="TableNormal"/>
    <w:uiPriority w:val="59"/>
    <w:tblPr>
      <w:tblBorders>
        <w:top w:val="single" w:sz="4" w:space="0" w:color="000000" w:themeColor="text1"/>
        <w:bottom w:val="single" w:sz="4" w:space="0" w:color="000000" w:themeColor="text1"/>
      </w:tblBorders>
    </w:tblPr>
    <w:tblStylePr w:type="firstRow">
      <w:pPr>
        <w:snapToGrid/>
      </w:pPr>
      <w:rPr>
        <w:rFonts w:ascii="Arial" w:hAnsi="Arial"/>
        <w:b/>
        <w:color w:val="404040"/>
        <w:sz w:val="22"/>
      </w:rPr>
      <w:tblPr/>
      <w:tcPr>
        <w:tcBorders>
          <w:top w:val="single" w:sz="4" w:space="0" w:color="000000" w:themeColor="text1"/>
          <w:bottom w:val="single" w:sz="4" w:space="0" w:color="000000" w:themeColor="text1"/>
        </w:tcBorders>
      </w:tcPr>
    </w:tblStylePr>
    <w:tblStylePr w:type="lastRow">
      <w:pPr>
        <w:snapToGrid/>
      </w:pPr>
      <w:rPr>
        <w:rFonts w:ascii="Arial" w:hAnsi="Arial"/>
        <w:b/>
        <w:color w:val="404040"/>
        <w:sz w:val="22"/>
      </w:rPr>
    </w:tblStylePr>
    <w:tblStylePr w:type="firstCol">
      <w:pPr>
        <w:snapToGrid/>
      </w:pPr>
      <w:rPr>
        <w:rFonts w:ascii="Arial" w:hAnsi="Arial"/>
        <w:b/>
        <w:color w:val="404040"/>
        <w:sz w:val="22"/>
      </w:rPr>
    </w:tblStylePr>
    <w:tblStylePr w:type="lastCol">
      <w:pPr>
        <w:snapToGrid/>
      </w:pPr>
      <w:rPr>
        <w:rFonts w:ascii="Arial" w:hAnsi="Arial"/>
        <w:b/>
        <w:color w:val="404040"/>
        <w:sz w:val="22"/>
      </w:rPr>
    </w:tblStylePr>
    <w:tblStylePr w:type="band1Vert">
      <w:pPr>
        <w:snapToGrid/>
      </w:pPr>
      <w:tblPr/>
      <w:tcPr>
        <w:tcBorders>
          <w:left w:val="single" w:sz="4" w:space="0" w:color="000000" w:themeColor="text1"/>
          <w:right w:val="single" w:sz="4" w:space="0" w:color="000000" w:themeColor="text1"/>
        </w:tcBorders>
      </w:tcPr>
    </w:tblStylePr>
    <w:tblStylePr w:type="band2Vert">
      <w:pPr>
        <w:snapToGrid/>
      </w:pPr>
      <w:tblPr/>
      <w:tcPr>
        <w:tcBorders>
          <w:left w:val="single" w:sz="4" w:space="0" w:color="000000" w:themeColor="text1"/>
          <w:right w:val="single" w:sz="4" w:space="0" w:color="000000" w:themeColor="text1"/>
        </w:tcBorders>
      </w:tcPr>
    </w:tblStylePr>
    <w:tblStylePr w:type="band1Horz">
      <w:pPr>
        <w:snapToGrid/>
      </w:pPr>
      <w:tblPr/>
      <w:tcPr>
        <w:tcBorders>
          <w:top w:val="single" w:sz="4" w:space="0" w:color="000000" w:themeColor="text1"/>
          <w:bottom w:val="single" w:sz="4" w:space="0" w:color="000000" w:themeColor="text1"/>
        </w:tcBorders>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310">
    <w:name w:val="无格式表格 31"/>
    <w:basedOn w:val="TableNormal"/>
    <w:uiPriority w:val="99"/>
    <w:tblPr/>
    <w:tblStylePr w:type="firstRow">
      <w:pPr>
        <w:snapToGrid/>
      </w:pPr>
      <w:rPr>
        <w:b/>
        <w:caps/>
        <w:color w:val="404040"/>
      </w:rPr>
      <w:tblPr/>
      <w:tcPr>
        <w:tcBorders>
          <w:top w:val="nil"/>
          <w:left w:val="nil"/>
          <w:bottom w:val="single" w:sz="4" w:space="0" w:color="404040"/>
          <w:right w:val="nil"/>
        </w:tcBorders>
      </w:tcPr>
    </w:tblStylePr>
    <w:tblStylePr w:type="lastRow">
      <w:pPr>
        <w:snapToGrid/>
      </w:pPr>
      <w:rPr>
        <w:b/>
        <w:caps/>
        <w:color w:val="404040"/>
      </w:rPr>
    </w:tblStylePr>
    <w:tblStylePr w:type="firstCol">
      <w:pPr>
        <w:snapToGrid/>
      </w:pPr>
      <w:rPr>
        <w:b/>
        <w:caps/>
        <w:color w:val="404040"/>
      </w:rPr>
      <w:tblPr/>
      <w:tcPr>
        <w:tcBorders>
          <w:top w:val="nil"/>
          <w:left w:val="nil"/>
          <w:bottom w:val="nil"/>
          <w:right w:val="single" w:sz="4" w:space="0" w:color="404040"/>
        </w:tcBorders>
      </w:tcPr>
    </w:tblStylePr>
    <w:tblStylePr w:type="lastCol">
      <w:pPr>
        <w:snapToGrid/>
      </w:pPr>
      <w:rPr>
        <w:b/>
        <w:caps/>
        <w:color w:val="404040"/>
      </w:rPr>
    </w:tblStylePr>
    <w:tblStylePr w:type="band1Vert">
      <w:pPr>
        <w:snapToGrid/>
      </w:pPr>
      <w:rPr>
        <w:rFonts w:ascii="Arial" w:hAnsi="Arial"/>
        <w:color w:val="404040"/>
        <w:sz w:val="22"/>
      </w:rPr>
      <w:tblPr/>
      <w:tcPr>
        <w:shd w:val="clear" w:color="F2F2F2" w:fill="F2F2F2" w:themeFill="text1" w:themeFillTint="0D"/>
      </w:tcPr>
    </w:tblStylePr>
    <w:tblStylePr w:type="band2Vert">
      <w:pPr>
        <w:snapToGrid/>
      </w:pPr>
    </w:tblStylePr>
    <w:tblStylePr w:type="band1Horz">
      <w:pPr>
        <w:snapToGrid/>
      </w:pPr>
      <w:rPr>
        <w:rFonts w:ascii="Arial" w:hAnsi="Arial"/>
        <w:color w:val="404040"/>
        <w:sz w:val="22"/>
      </w:rPr>
      <w:tblPr/>
      <w:tcPr>
        <w:shd w:val="clear" w:color="F2F2F2" w:fill="F2F2F2" w:themeFill="text1" w:themeFillTint="0D"/>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410">
    <w:name w:val="无格式表格 41"/>
    <w:basedOn w:val="TableNormal"/>
    <w:uiPriority w:val="99"/>
    <w:tblPr/>
    <w:tblStylePr w:type="firstRow">
      <w:pPr>
        <w:snapToGrid/>
      </w:pPr>
      <w:rPr>
        <w:b/>
        <w:color w:val="404040"/>
      </w:rPr>
    </w:tblStylePr>
    <w:tblStylePr w:type="lastRow">
      <w:pPr>
        <w:snapToGrid/>
      </w:pPr>
      <w:rPr>
        <w:b/>
        <w:color w:val="404040"/>
      </w:rPr>
    </w:tblStylePr>
    <w:tblStylePr w:type="firstCol">
      <w:pPr>
        <w:snapToGrid/>
      </w:pPr>
      <w:rPr>
        <w:b/>
        <w:color w:val="404040"/>
      </w:rPr>
    </w:tblStylePr>
    <w:tblStylePr w:type="lastCol">
      <w:pPr>
        <w:snapToGrid/>
      </w:pPr>
      <w:rPr>
        <w:b/>
        <w:color w:val="404040"/>
      </w:rPr>
    </w:tblStylePr>
    <w:tblStylePr w:type="band1Vert">
      <w:pPr>
        <w:snapToGrid/>
      </w:pPr>
      <w:rPr>
        <w:rFonts w:ascii="Arial" w:hAnsi="Arial"/>
        <w:color w:val="404040"/>
        <w:sz w:val="22"/>
      </w:rPr>
      <w:tblPr/>
      <w:tcPr>
        <w:shd w:val="clear" w:color="F2F2F2" w:fill="F2F2F2" w:themeFill="text1" w:themeFillTint="0D"/>
      </w:tcPr>
    </w:tblStylePr>
    <w:tblStylePr w:type="band2Vert">
      <w:pPr>
        <w:snapToGrid/>
      </w:pPr>
    </w:tblStylePr>
    <w:tblStylePr w:type="band1Horz">
      <w:pPr>
        <w:snapToGrid/>
      </w:pPr>
      <w:rPr>
        <w:rFonts w:ascii="Arial" w:hAnsi="Arial"/>
        <w:color w:val="404040"/>
        <w:sz w:val="22"/>
      </w:rPr>
      <w:tblPr/>
      <w:tcPr>
        <w:shd w:val="clear" w:color="F2F2F2" w:fill="F2F2F2" w:themeFill="text1" w:themeFillTint="0D"/>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510">
    <w:name w:val="无格式表格 51"/>
    <w:basedOn w:val="TableNormal"/>
    <w:uiPriority w:val="99"/>
    <w:tblPr/>
    <w:tblStylePr w:type="firstRow">
      <w:pPr>
        <w:snapToGrid/>
      </w:pPr>
      <w:rPr>
        <w:i/>
        <w:color w:val="404040"/>
      </w:rPr>
      <w:tblPr/>
      <w:tcPr>
        <w:tcBorders>
          <w:left w:val="nil"/>
          <w:bottom w:val="single" w:sz="4" w:space="0" w:color="404040"/>
          <w:right w:val="nil"/>
        </w:tcBorders>
        <w:shd w:val="clear" w:color="FFFFFF" w:fill="FFFFFF"/>
      </w:tcPr>
    </w:tblStylePr>
    <w:tblStylePr w:type="lastRow">
      <w:pPr>
        <w:snapToGrid/>
      </w:pPr>
      <w:rPr>
        <w:i/>
        <w:color w:val="404040"/>
      </w:rPr>
      <w:tblPr/>
      <w:tcPr>
        <w:tcBorders>
          <w:top w:val="single" w:sz="4" w:space="0" w:color="404040"/>
          <w:left w:val="nil"/>
          <w:right w:val="nil"/>
        </w:tcBorders>
        <w:shd w:val="clear" w:color="FFFFFF" w:fill="FFFFFF"/>
      </w:tcPr>
    </w:tblStylePr>
    <w:tblStylePr w:type="firstCol">
      <w:pPr>
        <w:snapToGrid/>
        <w:jc w:val="right"/>
      </w:pPr>
      <w:rPr>
        <w:i/>
        <w:color w:val="404040"/>
      </w:rPr>
      <w:tblPr/>
      <w:tcPr>
        <w:tcBorders>
          <w:right w:val="single" w:sz="4" w:space="0" w:color="404040"/>
        </w:tcBorders>
        <w:shd w:val="clear" w:color="FFFFFF" w:fill="FFFFFF"/>
      </w:tcPr>
    </w:tblStylePr>
    <w:tblStylePr w:type="lastCol">
      <w:pPr>
        <w:snapToGrid/>
      </w:pPr>
      <w:rPr>
        <w:i/>
        <w:color w:val="404040"/>
      </w:rPr>
      <w:tblPr/>
      <w:tcPr>
        <w:tcBorders>
          <w:left w:val="single" w:sz="4" w:space="0" w:color="404040"/>
        </w:tcBorders>
        <w:shd w:val="clear" w:color="FFFFFF" w:fill="FFFFFF"/>
      </w:tcPr>
    </w:tblStylePr>
    <w:tblStylePr w:type="band1Vert">
      <w:pPr>
        <w:snapToGrid/>
      </w:pPr>
      <w:rPr>
        <w:rFonts w:ascii="Arial" w:hAnsi="Arial"/>
        <w:color w:val="404040"/>
        <w:sz w:val="22"/>
      </w:rPr>
      <w:tblPr/>
      <w:tcPr>
        <w:shd w:val="clear" w:color="F2F2F2" w:fill="F2F2F2" w:themeFill="text1" w:themeFillTint="0D"/>
      </w:tcPr>
    </w:tblStylePr>
    <w:tblStylePr w:type="band2Vert">
      <w:pPr>
        <w:snapToGrid/>
      </w:pPr>
    </w:tblStylePr>
    <w:tblStylePr w:type="band1Horz">
      <w:pPr>
        <w:snapToGrid/>
      </w:pPr>
      <w:rPr>
        <w:rFonts w:ascii="Arial" w:hAnsi="Arial"/>
        <w:color w:val="404040"/>
        <w:sz w:val="22"/>
      </w:rPr>
      <w:tblPr/>
      <w:tcPr>
        <w:shd w:val="clear" w:color="F2F2F2" w:fill="F2F2F2" w:themeFill="text1" w:themeFillTint="0D"/>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111">
    <w:name w:val="网格表 1 浅色1"/>
    <w:basedOn w:val="TableNormal"/>
    <w:uiPriority w:val="99"/>
    <w:tblPr>
      <w:tbl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insideH w:val="single" w:sz="4" w:space="0" w:color="989898" w:themeColor="text1" w:themeTint="67"/>
        <w:insideV w:val="single" w:sz="4" w:space="0" w:color="989898" w:themeColor="text1" w:themeTint="67"/>
      </w:tblBorders>
    </w:tblPr>
    <w:tblStylePr w:type="firstRow">
      <w:pPr>
        <w:snapToGrid/>
      </w:pPr>
      <w:rPr>
        <w:b/>
        <w:color w:val="404040"/>
      </w:rPr>
      <w:tblPr/>
      <w:tcPr>
        <w:tcBorders>
          <w:bottom w:val="single" w:sz="12" w:space="0" w:color="6A6A6A" w:themeColor="text1" w:themeTint="95"/>
        </w:tcBorders>
      </w:tcPr>
    </w:tblStylePr>
    <w:tblStylePr w:type="lastRow">
      <w:pPr>
        <w:snapToGrid/>
      </w:pPr>
      <w:rPr>
        <w:b/>
        <w:color w:val="404040"/>
      </w:rPr>
    </w:tblStylePr>
    <w:tblStylePr w:type="firstCol">
      <w:pPr>
        <w:snapToGrid/>
      </w:pPr>
      <w:rPr>
        <w:b/>
        <w:color w:val="404040"/>
      </w:rPr>
    </w:tblStylePr>
    <w:tblStylePr w:type="lastCol">
      <w:pPr>
        <w:snapToGrid/>
      </w:pPr>
      <w:rPr>
        <w:b/>
        <w:color w:val="404040"/>
      </w:rPr>
    </w:tblStylePr>
    <w:tblStylePr w:type="band1Vert">
      <w:pPr>
        <w:snapToGrid/>
      </w:pPr>
    </w:tblStylePr>
    <w:tblStylePr w:type="band2Vert">
      <w:pPr>
        <w:snapToGrid/>
      </w:pPr>
    </w:tblStylePr>
    <w:tblStylePr w:type="band1Horz">
      <w:pPr>
        <w:snapToGrid/>
      </w:pPr>
      <w:rPr>
        <w:rFonts w:ascii="Arial" w:hAnsi="Arial"/>
        <w:color w:val="404040"/>
        <w:sz w:val="22"/>
      </w:rPr>
      <w:tblPr/>
      <w:tcPr>
        <w:tc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tcBorders>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211">
    <w:name w:val="网格表 21"/>
    <w:basedOn w:val="TableNormal"/>
    <w:uiPriority w:val="99"/>
    <w:qFormat/>
    <w:tblPr>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pPr>
        <w:snapToGrid/>
      </w:pPr>
      <w:rPr>
        <w:b/>
        <w:color w:val="404040"/>
      </w:rPr>
      <w:tblPr/>
      <w:tcPr>
        <w:tcBorders>
          <w:top w:val="nil"/>
          <w:left w:val="nil"/>
          <w:bottom w:val="single" w:sz="12" w:space="0" w:color="6A6A6A" w:themeColor="text1" w:themeTint="95"/>
          <w:right w:val="nil"/>
        </w:tcBorders>
        <w:shd w:val="clear" w:color="FFFFFF" w:fill="FFFFFF"/>
      </w:tcPr>
    </w:tblStylePr>
    <w:tblStylePr w:type="lastRow">
      <w:pPr>
        <w:snapToGrid/>
      </w:pPr>
      <w:rPr>
        <w:b/>
        <w:color w:val="404040"/>
      </w:rPr>
      <w:tblPr/>
      <w:tcPr>
        <w:tcBorders>
          <w:top w:val="single" w:sz="4" w:space="0" w:color="6A6A6A" w:themeColor="text1" w:themeTint="95"/>
          <w:left w:val="nil"/>
          <w:bottom w:val="nil"/>
          <w:right w:val="nil"/>
        </w:tcBorders>
        <w:shd w:val="clear" w:color="FFFFFF" w:fill="FFFFFF"/>
      </w:tcPr>
    </w:tblStylePr>
    <w:tblStylePr w:type="firstCol">
      <w:pPr>
        <w:snapToGrid/>
      </w:pPr>
      <w:rPr>
        <w:b/>
        <w:color w:val="404040"/>
      </w:rPr>
    </w:tblStylePr>
    <w:tblStylePr w:type="lastCol">
      <w:pPr>
        <w:snapToGrid/>
      </w:pPr>
      <w:rPr>
        <w:b/>
        <w:color w:val="404040"/>
      </w:rPr>
    </w:tblStylePr>
    <w:tblStylePr w:type="band1Vert">
      <w:pPr>
        <w:snapToGrid/>
      </w:pPr>
      <w:rPr>
        <w:rFonts w:ascii="Arial" w:hAnsi="Arial"/>
        <w:color w:val="404040"/>
        <w:sz w:val="22"/>
      </w:rPr>
      <w:tblPr/>
      <w:tcPr>
        <w:shd w:val="clear" w:color="CBCBCB" w:fill="CBCBCB" w:themeFill="text1" w:themeFillTint="34"/>
      </w:tcPr>
    </w:tblStylePr>
    <w:tblStylePr w:type="band2Vert">
      <w:pPr>
        <w:snapToGrid/>
      </w:pPr>
    </w:tblStylePr>
    <w:tblStylePr w:type="band1Horz">
      <w:pPr>
        <w:snapToGrid/>
      </w:pPr>
      <w:rPr>
        <w:rFonts w:ascii="Arial" w:hAnsi="Arial"/>
        <w:color w:val="404040"/>
        <w:sz w:val="22"/>
      </w:rPr>
      <w:tblPr/>
      <w:tcPr>
        <w:shd w:val="clear" w:color="CBCBCB" w:fill="CBCBCB" w:themeFill="text1" w:themeFillTint="34"/>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311">
    <w:name w:val="网格表 31"/>
    <w:basedOn w:val="TableNormal"/>
    <w:uiPriority w:val="99"/>
    <w:tblPr>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pPr>
        <w:snapToGrid/>
      </w:pPr>
      <w:rPr>
        <w:b/>
        <w:color w:val="404040"/>
      </w:rPr>
      <w:tblPr/>
      <w:tcPr>
        <w:tcBorders>
          <w:top w:val="nil"/>
          <w:left w:val="nil"/>
          <w:bottom w:val="nil"/>
          <w:right w:val="nil"/>
        </w:tcBorders>
        <w:shd w:val="clear" w:color="FFFFFF" w:fill="FFFFFF"/>
      </w:tcPr>
    </w:tblStylePr>
    <w:tblStylePr w:type="lastRow">
      <w:pPr>
        <w:snapToGrid/>
      </w:pPr>
      <w:rPr>
        <w:b/>
        <w:color w:val="404040"/>
      </w:rPr>
      <w:tblPr/>
      <w:tcPr>
        <w:tcBorders>
          <w:top w:val="nil"/>
          <w:left w:val="nil"/>
          <w:bottom w:val="nil"/>
          <w:right w:val="nil"/>
        </w:tcBorders>
        <w:shd w:val="clear" w:color="FFFFFF" w:fill="FFFFFF"/>
      </w:tcPr>
    </w:tblStylePr>
    <w:tblStylePr w:type="firstCol">
      <w:pPr>
        <w:snapToGrid/>
        <w:jc w:val="right"/>
      </w:pPr>
      <w:rPr>
        <w:i/>
        <w:color w:val="404040"/>
      </w:rPr>
      <w:tblPr/>
      <w:tcPr>
        <w:tcBorders>
          <w:top w:val="nil"/>
          <w:left w:val="nil"/>
          <w:bottom w:val="nil"/>
          <w:right w:val="nil"/>
        </w:tcBorders>
        <w:shd w:val="clear" w:color="FFFFFF" w:fill="FFFFFF"/>
      </w:tcPr>
    </w:tblStylePr>
    <w:tblStylePr w:type="lastCol">
      <w:pPr>
        <w:snapToGrid/>
      </w:pPr>
      <w:rPr>
        <w:i/>
        <w:color w:val="404040"/>
      </w:rPr>
      <w:tblPr/>
      <w:tcPr>
        <w:tcBorders>
          <w:top w:val="nil"/>
          <w:left w:val="nil"/>
          <w:bottom w:val="nil"/>
          <w:right w:val="nil"/>
        </w:tcBorders>
        <w:shd w:val="clear" w:color="FFFFFF" w:fill="FFFFFF"/>
      </w:tcPr>
    </w:tblStylePr>
    <w:tblStylePr w:type="band1Vert">
      <w:pPr>
        <w:snapToGrid/>
      </w:pPr>
      <w:rPr>
        <w:rFonts w:ascii="Arial" w:hAnsi="Arial"/>
        <w:color w:val="404040"/>
        <w:sz w:val="22"/>
      </w:rPr>
      <w:tblPr/>
      <w:tcPr>
        <w:shd w:val="clear" w:color="CBCBCB" w:fill="CBCBCB" w:themeFill="text1" w:themeFillTint="34"/>
      </w:tcPr>
    </w:tblStylePr>
    <w:tblStylePr w:type="band2Vert">
      <w:pPr>
        <w:snapToGrid/>
      </w:pPr>
    </w:tblStylePr>
    <w:tblStylePr w:type="band1Horz">
      <w:pPr>
        <w:snapToGrid/>
      </w:pPr>
      <w:rPr>
        <w:rFonts w:ascii="Arial" w:hAnsi="Arial"/>
        <w:color w:val="404040"/>
        <w:sz w:val="22"/>
      </w:rPr>
      <w:tblPr/>
      <w:tcPr>
        <w:shd w:val="clear" w:color="CBCBCB" w:fill="CBCBCB" w:themeFill="text1" w:themeFillTint="34"/>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411">
    <w:name w:val="网格表 41"/>
    <w:basedOn w:val="TableNormal"/>
    <w:uiPriority w:val="59"/>
    <w:tblPr>
      <w:tblBorders>
        <w:top w:val="single" w:sz="4" w:space="0" w:color="6F6F6F" w:themeColor="text1" w:themeTint="90"/>
        <w:left w:val="single" w:sz="4" w:space="0" w:color="6F6F6F" w:themeColor="text1" w:themeTint="90"/>
        <w:bottom w:val="single" w:sz="4" w:space="0" w:color="6F6F6F" w:themeColor="text1" w:themeTint="90"/>
        <w:right w:val="single" w:sz="4" w:space="0" w:color="6F6F6F" w:themeColor="text1" w:themeTint="90"/>
        <w:insideH w:val="single" w:sz="4" w:space="0" w:color="6F6F6F" w:themeColor="text1" w:themeTint="90"/>
        <w:insideV w:val="single" w:sz="4" w:space="0" w:color="6F6F6F" w:themeColor="text1" w:themeTint="90"/>
      </w:tblBorders>
    </w:tblPr>
    <w:tblStylePr w:type="firstRow">
      <w:pPr>
        <w:snapToGrid/>
      </w:pPr>
      <w:rPr>
        <w:rFonts w:ascii="Arial" w:hAnsi="Arial"/>
        <w:b/>
        <w:color w:val="FFFFFF"/>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000000" w:fill="000000" w:themeFill="text1"/>
      </w:tcPr>
    </w:tblStylePr>
    <w:tblStylePr w:type="lastRow">
      <w:pPr>
        <w:snapToGrid/>
      </w:pPr>
      <w:rPr>
        <w:b/>
        <w:color w:val="404040"/>
      </w:rPr>
      <w:tblPr/>
      <w:tcPr>
        <w:tcBorders>
          <w:top w:val="single" w:sz="4" w:space="0" w:color="000000" w:themeColor="text1"/>
        </w:tcBorders>
      </w:tcPr>
    </w:tblStylePr>
    <w:tblStylePr w:type="firstCol">
      <w:pPr>
        <w:snapToGrid/>
      </w:pPr>
      <w:rPr>
        <w:b/>
        <w:color w:val="404040"/>
      </w:rPr>
    </w:tblStylePr>
    <w:tblStylePr w:type="lastCol">
      <w:pPr>
        <w:snapToGrid/>
      </w:pPr>
      <w:rPr>
        <w:b/>
        <w:color w:val="404040"/>
      </w:rPr>
    </w:tblStylePr>
    <w:tblStylePr w:type="band1Vert">
      <w:pPr>
        <w:snapToGrid/>
      </w:pPr>
      <w:rPr>
        <w:rFonts w:ascii="Arial" w:hAnsi="Arial"/>
        <w:color w:val="404040"/>
        <w:sz w:val="22"/>
      </w:rPr>
      <w:tblPr/>
      <w:tcPr>
        <w:shd w:val="clear" w:color="CBCBCB" w:fill="CBCBCB" w:themeFill="text1" w:themeFillTint="34"/>
      </w:tcPr>
    </w:tblStylePr>
    <w:tblStylePr w:type="band2Vert">
      <w:pPr>
        <w:snapToGrid/>
      </w:pPr>
    </w:tblStylePr>
    <w:tblStylePr w:type="band1Horz">
      <w:pPr>
        <w:snapToGrid/>
      </w:pPr>
      <w:rPr>
        <w:rFonts w:ascii="Arial" w:hAnsi="Arial"/>
        <w:color w:val="404040"/>
        <w:sz w:val="22"/>
      </w:rPr>
      <w:tblPr/>
      <w:tcPr>
        <w:shd w:val="clear" w:color="CBCBCB" w:fill="CBCBCB" w:themeFill="text1" w:themeFillTint="34"/>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511">
    <w:name w:val="网格表 5 深色1"/>
    <w:basedOn w:val="TableNormal"/>
    <w:uiPriority w:val="99"/>
    <w:tblPr>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tblPr>
    <w:tblStylePr w:type="firstRow">
      <w:pPr>
        <w:snapToGrid/>
      </w:pPr>
      <w:rPr>
        <w:rFonts w:ascii="Arial" w:hAnsi="Arial"/>
        <w:b/>
        <w:color w:val="FFFFFF"/>
        <w:sz w:val="22"/>
      </w:rPr>
      <w:tblPr/>
      <w:tcPr>
        <w:shd w:val="clear" w:color="000000" w:fill="000000" w:themeFill="text1"/>
      </w:tcPr>
    </w:tblStylePr>
    <w:tblStylePr w:type="lastRow">
      <w:pPr>
        <w:snapToGrid/>
      </w:pPr>
      <w:rPr>
        <w:rFonts w:ascii="Arial" w:hAnsi="Arial"/>
        <w:b/>
        <w:color w:val="FFFFFF"/>
        <w:sz w:val="22"/>
      </w:rPr>
      <w:tblPr/>
      <w:tcPr>
        <w:tcBorders>
          <w:top w:val="single" w:sz="4" w:space="0" w:color="FFFFFF" w:themeColor="light1"/>
        </w:tcBorders>
        <w:shd w:val="clear" w:color="000000" w:fill="000000" w:themeFill="text1"/>
      </w:tcPr>
    </w:tblStylePr>
    <w:tblStylePr w:type="firstCol">
      <w:pPr>
        <w:snapToGrid/>
      </w:pPr>
      <w:rPr>
        <w:rFonts w:ascii="Arial" w:hAnsi="Arial"/>
        <w:b/>
        <w:color w:val="FFFFFF"/>
        <w:sz w:val="22"/>
      </w:rPr>
      <w:tblPr/>
      <w:tcPr>
        <w:shd w:val="clear" w:color="000000" w:fill="000000" w:themeFill="text1"/>
      </w:tcPr>
    </w:tblStylePr>
    <w:tblStylePr w:type="lastCol">
      <w:pPr>
        <w:snapToGrid/>
      </w:pPr>
      <w:rPr>
        <w:rFonts w:ascii="Arial" w:hAnsi="Arial"/>
        <w:b/>
        <w:color w:val="FFFFFF"/>
        <w:sz w:val="22"/>
      </w:rPr>
      <w:tblPr/>
      <w:tcPr>
        <w:shd w:val="clear" w:color="000000" w:fill="000000" w:themeFill="text1"/>
      </w:tcPr>
    </w:tblStylePr>
    <w:tblStylePr w:type="band1Vert">
      <w:pPr>
        <w:snapToGrid/>
      </w:pPr>
      <w:tblPr/>
      <w:tcPr>
        <w:shd w:val="clear" w:color="8A8A8A" w:fill="8A8A8A" w:themeFill="text1" w:themeFillTint="75"/>
      </w:tcPr>
    </w:tblStylePr>
    <w:tblStylePr w:type="band2Vert">
      <w:pPr>
        <w:snapToGrid/>
      </w:pPr>
    </w:tblStylePr>
    <w:tblStylePr w:type="band1Horz">
      <w:pPr>
        <w:snapToGrid/>
      </w:pPr>
      <w:tblPr/>
      <w:tcPr>
        <w:shd w:val="clear" w:color="8A8A8A" w:fill="8A8A8A" w:themeFill="text1" w:themeFillTint="75"/>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610">
    <w:name w:val="网格表 6 彩色1"/>
    <w:basedOn w:val="TableNormal"/>
    <w:uiPriority w:val="99"/>
    <w:tblPr>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pPr>
        <w:snapToGrid/>
      </w:pPr>
      <w:rPr>
        <w:b/>
        <w:color w:val="7F7F7F" w:themeColor="text1" w:themeTint="80"/>
      </w:rPr>
      <w:tblPr/>
      <w:tcPr>
        <w:tcBorders>
          <w:bottom w:val="single" w:sz="12" w:space="0" w:color="7F7F7F" w:themeColor="text1" w:themeTint="80"/>
        </w:tcBorders>
      </w:tcPr>
    </w:tblStylePr>
    <w:tblStylePr w:type="lastRow">
      <w:pPr>
        <w:snapToGrid/>
      </w:pPr>
      <w:rPr>
        <w:b/>
        <w:color w:val="7F7F7F" w:themeColor="text1" w:themeTint="80"/>
      </w:rPr>
    </w:tblStylePr>
    <w:tblStylePr w:type="firstCol">
      <w:pPr>
        <w:snapToGrid/>
      </w:pPr>
      <w:rPr>
        <w:b/>
        <w:color w:val="7F7F7F" w:themeColor="text1" w:themeTint="80"/>
      </w:rPr>
    </w:tblStylePr>
    <w:tblStylePr w:type="lastCol">
      <w:pPr>
        <w:snapToGrid/>
      </w:pPr>
      <w:rPr>
        <w:b/>
        <w:color w:val="7F7F7F" w:themeColor="text1" w:themeTint="80"/>
      </w:rPr>
    </w:tblStylePr>
    <w:tblStylePr w:type="band1Vert">
      <w:pPr>
        <w:snapToGrid/>
      </w:pPr>
      <w:tblPr/>
      <w:tcPr>
        <w:shd w:val="clear" w:color="CBCBCB" w:fill="CBCBCB" w:themeFill="text1" w:themeFillTint="34"/>
      </w:tcPr>
    </w:tblStylePr>
    <w:tblStylePr w:type="band2Vert">
      <w:pPr>
        <w:snapToGrid/>
      </w:pPr>
    </w:tblStylePr>
    <w:tblStylePr w:type="band1Horz">
      <w:pPr>
        <w:snapToGrid/>
      </w:pPr>
      <w:rPr>
        <w:rFonts w:ascii="Arial" w:hAnsi="Arial"/>
        <w:color w:val="7F7F7F" w:themeColor="text1" w:themeTint="80"/>
        <w:sz w:val="22"/>
      </w:rPr>
      <w:tblPr/>
      <w:tcPr>
        <w:shd w:val="clear" w:color="CBCBCB" w:fill="CBCBCB" w:themeFill="text1" w:themeFillTint="34"/>
      </w:tcPr>
    </w:tblStylePr>
    <w:tblStylePr w:type="band2Horz">
      <w:pPr>
        <w:snapToGrid/>
      </w:pPr>
      <w:rPr>
        <w:rFonts w:ascii="Arial" w:hAnsi="Arial"/>
        <w:color w:val="7F7F7F" w:themeColor="text1" w:themeTint="80"/>
        <w:sz w:val="22"/>
      </w:r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710">
    <w:name w:val="网格表 7 彩色1"/>
    <w:basedOn w:val="TableNormal"/>
    <w:uiPriority w:val="99"/>
    <w:tblPr>
      <w:tblBorders>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pPr>
        <w:snapToGrid/>
      </w:pPr>
      <w:rPr>
        <w:rFonts w:ascii="Arial" w:hAnsi="Arial"/>
        <w:b/>
        <w:color w:val="7F7F7F" w:themeColor="text1" w:themeTint="80"/>
        <w:sz w:val="22"/>
      </w:rPr>
      <w:tblPr/>
      <w:tcPr>
        <w:tcBorders>
          <w:top w:val="nil"/>
          <w:left w:val="nil"/>
          <w:bottom w:val="single" w:sz="4" w:space="0" w:color="7F7F7F" w:themeColor="text1" w:themeTint="80"/>
          <w:right w:val="nil"/>
        </w:tcBorders>
        <w:shd w:val="clear" w:color="FFFFFF" w:fill="FFFFFF" w:themeFill="light1"/>
      </w:tcPr>
    </w:tblStylePr>
    <w:tblStylePr w:type="lastRow">
      <w:pPr>
        <w:snapToGrid/>
      </w:pPr>
      <w:rPr>
        <w:rFonts w:ascii="Arial" w:hAnsi="Arial"/>
        <w:b/>
        <w:color w:val="7F7F7F" w:themeColor="text1" w:themeTint="80"/>
        <w:sz w:val="22"/>
      </w:rPr>
      <w:tblPr/>
      <w:tcPr>
        <w:tcBorders>
          <w:top w:val="single" w:sz="4" w:space="0" w:color="7F7F7F" w:themeColor="text1" w:themeTint="80"/>
          <w:left w:val="nil"/>
          <w:bottom w:val="nil"/>
          <w:right w:val="nil"/>
        </w:tcBorders>
        <w:shd w:val="clear" w:color="FFFFFF" w:fill="FFFFFF" w:themeFill="light1"/>
      </w:tcPr>
    </w:tblStylePr>
    <w:tblStylePr w:type="firstCol">
      <w:pPr>
        <w:snapToGrid/>
        <w:jc w:val="right"/>
      </w:pPr>
      <w:rPr>
        <w:rFonts w:ascii="Arial" w:hAnsi="Arial"/>
        <w:i/>
        <w:color w:val="7F7F7F" w:themeColor="text1" w:themeTint="80"/>
        <w:sz w:val="22"/>
      </w:rPr>
      <w:tblPr/>
      <w:tcPr>
        <w:tcBorders>
          <w:top w:val="nil"/>
          <w:left w:val="nil"/>
          <w:bottom w:val="nil"/>
          <w:right w:val="single" w:sz="4" w:space="0" w:color="7F7F7F" w:themeColor="text1" w:themeTint="80"/>
        </w:tcBorders>
        <w:shd w:val="clear" w:color="FFFFFF" w:fill="FFFFFF"/>
      </w:tcPr>
    </w:tblStylePr>
    <w:tblStylePr w:type="lastCol">
      <w:pPr>
        <w:snapToGrid/>
      </w:pPr>
      <w:rPr>
        <w:rFonts w:ascii="Arial" w:hAnsi="Arial"/>
        <w:i/>
        <w:color w:val="7F7F7F" w:themeColor="text1" w:themeTint="80"/>
        <w:sz w:val="22"/>
      </w:rPr>
      <w:tblPr/>
      <w:tcPr>
        <w:tcBorders>
          <w:top w:val="nil"/>
          <w:left w:val="single" w:sz="4" w:space="0" w:color="7F7F7F" w:themeColor="text1" w:themeTint="80"/>
          <w:bottom w:val="nil"/>
          <w:right w:val="nil"/>
        </w:tcBorders>
        <w:shd w:val="clear" w:color="FFFFFF" w:fill="FFFFFF"/>
      </w:tcPr>
    </w:tblStylePr>
    <w:tblStylePr w:type="band1Vert">
      <w:pPr>
        <w:snapToGrid/>
      </w:pPr>
      <w:tblPr/>
      <w:tcPr>
        <w:shd w:val="clear" w:color="F2F2F2" w:fill="F2F2F2" w:themeFill="text1" w:themeFillTint="0D"/>
      </w:tcPr>
    </w:tblStylePr>
    <w:tblStylePr w:type="band2Vert">
      <w:pPr>
        <w:snapToGrid/>
      </w:pPr>
    </w:tblStylePr>
    <w:tblStylePr w:type="band1Horz">
      <w:pPr>
        <w:snapToGrid/>
      </w:pPr>
      <w:rPr>
        <w:rFonts w:ascii="Arial" w:hAnsi="Arial"/>
        <w:color w:val="7F7F7F" w:themeColor="text1" w:themeTint="80"/>
        <w:sz w:val="22"/>
      </w:rPr>
      <w:tblPr/>
      <w:tcPr>
        <w:shd w:val="clear" w:color="F2F2F2" w:fill="F2F2F2" w:themeFill="text1" w:themeFillTint="0D"/>
      </w:tcPr>
    </w:tblStylePr>
    <w:tblStylePr w:type="band2Horz">
      <w:pPr>
        <w:snapToGrid/>
      </w:pPr>
      <w:rPr>
        <w:rFonts w:ascii="Arial" w:hAnsi="Arial"/>
        <w:color w:val="7F7F7F" w:themeColor="text1" w:themeTint="80"/>
        <w:sz w:val="22"/>
      </w:r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112">
    <w:name w:val="清单表 1 浅色1"/>
    <w:basedOn w:val="TableNormal"/>
    <w:uiPriority w:val="99"/>
    <w:tblPr/>
    <w:tblStylePr w:type="firstRow">
      <w:pPr>
        <w:snapToGrid/>
      </w:pPr>
      <w:rPr>
        <w:b/>
        <w:color w:val="404040"/>
      </w:rPr>
      <w:tblPr/>
      <w:tcPr>
        <w:tcBorders>
          <w:top w:val="nil"/>
          <w:left w:val="nil"/>
          <w:bottom w:val="single" w:sz="4" w:space="0" w:color="000000" w:themeColor="text1"/>
          <w:right w:val="nil"/>
        </w:tcBorders>
      </w:tcPr>
    </w:tblStylePr>
    <w:tblStylePr w:type="lastRow">
      <w:pPr>
        <w:snapToGrid/>
      </w:pPr>
      <w:rPr>
        <w:b/>
        <w:color w:val="404040"/>
      </w:rPr>
      <w:tblPr/>
      <w:tcPr>
        <w:tcBorders>
          <w:top w:val="single" w:sz="4" w:space="0" w:color="000000" w:themeColor="text1"/>
          <w:left w:val="nil"/>
          <w:bottom w:val="nil"/>
          <w:right w:val="nil"/>
        </w:tcBorders>
      </w:tcPr>
    </w:tblStylePr>
    <w:tblStylePr w:type="firstCol">
      <w:pPr>
        <w:snapToGrid/>
      </w:pPr>
      <w:rPr>
        <w:b/>
        <w:color w:val="404040"/>
      </w:rPr>
    </w:tblStylePr>
    <w:tblStylePr w:type="lastCol">
      <w:pPr>
        <w:snapToGrid/>
      </w:pPr>
      <w:rPr>
        <w:b/>
        <w:color w:val="404040"/>
      </w:rPr>
    </w:tblStylePr>
    <w:tblStylePr w:type="band1Vert">
      <w:pPr>
        <w:snapToGrid/>
      </w:pPr>
      <w:tblPr/>
      <w:tcPr>
        <w:shd w:val="clear" w:color="BFBFBF" w:fill="BFBFBF" w:themeFill="text1" w:themeFillTint="40"/>
      </w:tcPr>
    </w:tblStylePr>
    <w:tblStylePr w:type="band2Vert">
      <w:pPr>
        <w:snapToGrid/>
      </w:pPr>
    </w:tblStylePr>
    <w:tblStylePr w:type="band1Horz">
      <w:pPr>
        <w:snapToGrid/>
      </w:pPr>
      <w:tblPr/>
      <w:tcPr>
        <w:shd w:val="clear" w:color="BFBFBF" w:fill="BFBFBF" w:themeFill="text1" w:themeFillTint="40"/>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212">
    <w:name w:val="清单表 21"/>
    <w:basedOn w:val="TableNormal"/>
    <w:uiPriority w:val="99"/>
    <w:tblPr>
      <w:tblBorders>
        <w:top w:val="single" w:sz="4" w:space="0" w:color="6F6F6F" w:themeColor="text1" w:themeTint="90"/>
        <w:bottom w:val="single" w:sz="4" w:space="0" w:color="6F6F6F" w:themeColor="text1" w:themeTint="90"/>
        <w:insideH w:val="single" w:sz="4" w:space="0" w:color="6F6F6F" w:themeColor="text1" w:themeTint="90"/>
      </w:tblBorders>
    </w:tblPr>
    <w:tblStylePr w:type="firstRow">
      <w:pPr>
        <w:snapToGrid/>
      </w:pPr>
      <w:rPr>
        <w:rFonts w:ascii="Arial" w:hAnsi="Arial"/>
        <w:b/>
        <w:color w:val="404040"/>
        <w:sz w:val="22"/>
      </w:rPr>
      <w:tblPr/>
      <w:tcPr>
        <w:tcBorders>
          <w:top w:val="single" w:sz="4" w:space="0" w:color="6F6F6F" w:themeColor="text1" w:themeTint="90"/>
          <w:left w:val="nil"/>
          <w:bottom w:val="single" w:sz="4" w:space="0" w:color="6F6F6F" w:themeColor="text1" w:themeTint="90"/>
          <w:right w:val="nil"/>
        </w:tcBorders>
      </w:tcPr>
    </w:tblStylePr>
    <w:tblStylePr w:type="lastRow">
      <w:pPr>
        <w:snapToGrid/>
      </w:pPr>
      <w:rPr>
        <w:rFonts w:ascii="Arial" w:hAnsi="Arial"/>
        <w:b/>
        <w:color w:val="404040"/>
        <w:sz w:val="22"/>
      </w:rPr>
      <w:tblPr/>
      <w:tcPr>
        <w:tcBorders>
          <w:top w:val="single" w:sz="4" w:space="0" w:color="6F6F6F" w:themeColor="text1" w:themeTint="90"/>
          <w:left w:val="nil"/>
          <w:bottom w:val="single" w:sz="4" w:space="0" w:color="6F6F6F" w:themeColor="text1" w:themeTint="90"/>
          <w:right w:val="nil"/>
        </w:tcBorders>
      </w:tcPr>
    </w:tblStylePr>
    <w:tblStylePr w:type="firstCol">
      <w:pPr>
        <w:snapToGrid/>
      </w:pPr>
      <w:rPr>
        <w:rFonts w:ascii="Arial" w:hAnsi="Arial"/>
        <w:b/>
        <w:color w:val="404040"/>
        <w:sz w:val="22"/>
      </w:rPr>
    </w:tblStylePr>
    <w:tblStylePr w:type="lastCol">
      <w:pPr>
        <w:snapToGrid/>
      </w:pPr>
      <w:rPr>
        <w:rFonts w:ascii="Arial" w:hAnsi="Arial"/>
        <w:b/>
        <w:color w:val="404040"/>
        <w:sz w:val="22"/>
      </w:rPr>
    </w:tblStylePr>
    <w:tblStylePr w:type="band1Vert">
      <w:pPr>
        <w:snapToGrid/>
      </w:pPr>
      <w:rPr>
        <w:rFonts w:ascii="Arial" w:hAnsi="Arial"/>
        <w:color w:val="404040"/>
        <w:sz w:val="22"/>
      </w:rPr>
      <w:tblPr/>
      <w:tcPr>
        <w:shd w:val="clear" w:color="BFBFBF" w:fill="BFBFBF" w:themeFill="text1" w:themeFillTint="40"/>
      </w:tcPr>
    </w:tblStylePr>
    <w:tblStylePr w:type="band2Vert">
      <w:pPr>
        <w:snapToGrid/>
      </w:pPr>
    </w:tblStylePr>
    <w:tblStylePr w:type="band1Horz">
      <w:pPr>
        <w:snapToGrid/>
      </w:pPr>
      <w:rPr>
        <w:rFonts w:ascii="Arial" w:hAnsi="Arial"/>
        <w:color w:val="404040"/>
        <w:sz w:val="22"/>
      </w:rPr>
      <w:tblPr/>
      <w:tcPr>
        <w:shd w:val="clear" w:color="BFBFBF" w:fill="BFBFBF" w:themeFill="text1" w:themeFillTint="40"/>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312">
    <w:name w:val="清单表 31"/>
    <w:basedOn w:val="TableNormal"/>
    <w:uiPriority w:val="99"/>
    <w:tblPr>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pPr>
        <w:snapToGrid/>
      </w:pPr>
      <w:rPr>
        <w:rFonts w:ascii="Arial" w:hAnsi="Arial"/>
        <w:b/>
        <w:color w:val="FFFFFF"/>
        <w:sz w:val="22"/>
      </w:rPr>
      <w:tblPr/>
      <w:tcPr>
        <w:shd w:val="clear" w:color="000000" w:fill="000000" w:themeFill="text1"/>
      </w:tcPr>
    </w:tblStylePr>
    <w:tblStylePr w:type="lastRow">
      <w:pPr>
        <w:snapToGrid/>
      </w:pPr>
      <w:rPr>
        <w:b/>
        <w:color w:val="404040"/>
      </w:rPr>
    </w:tblStylePr>
    <w:tblStylePr w:type="firstCol">
      <w:pPr>
        <w:snapToGrid/>
      </w:pPr>
      <w:rPr>
        <w:b/>
        <w:color w:val="404040"/>
      </w:rPr>
    </w:tblStylePr>
    <w:tblStylePr w:type="lastCol">
      <w:pPr>
        <w:snapToGrid/>
      </w:pPr>
      <w:rPr>
        <w:b/>
        <w:color w:val="404040"/>
      </w:rPr>
    </w:tblStylePr>
    <w:tblStylePr w:type="band1Vert">
      <w:pPr>
        <w:snapToGrid/>
      </w:pPr>
      <w:rPr>
        <w:rFonts w:ascii="Arial" w:hAnsi="Arial"/>
        <w:color w:val="404040"/>
        <w:sz w:val="22"/>
      </w:rPr>
      <w:tblPr/>
      <w:tcPr>
        <w:tcBorders>
          <w:left w:val="single" w:sz="4" w:space="0" w:color="000000" w:themeColor="text1"/>
          <w:right w:val="single" w:sz="4" w:space="0" w:color="000000" w:themeColor="text1"/>
        </w:tcBorders>
      </w:tcPr>
    </w:tblStylePr>
    <w:tblStylePr w:type="band2Vert">
      <w:pPr>
        <w:snapToGrid/>
      </w:pPr>
    </w:tblStylePr>
    <w:tblStylePr w:type="band1Horz">
      <w:pPr>
        <w:snapToGrid/>
      </w:pPr>
      <w:rPr>
        <w:rFonts w:ascii="Arial" w:hAnsi="Arial"/>
        <w:color w:val="404040"/>
        <w:sz w:val="22"/>
      </w:rPr>
      <w:tblPr/>
      <w:tcPr>
        <w:tcBorders>
          <w:top w:val="single" w:sz="4" w:space="0" w:color="000000" w:themeColor="text1"/>
          <w:bottom w:val="single" w:sz="4" w:space="0" w:color="000000" w:themeColor="text1"/>
        </w:tcBorders>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412">
    <w:name w:val="清单表 41"/>
    <w:basedOn w:val="TableNormal"/>
    <w:uiPriority w:val="99"/>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tblBorders>
    </w:tblPr>
    <w:tblStylePr w:type="firstRow">
      <w:pPr>
        <w:snapToGrid/>
      </w:pPr>
      <w:rPr>
        <w:rFonts w:ascii="Arial" w:hAnsi="Arial"/>
        <w:b/>
        <w:color w:val="FFFFFF"/>
        <w:sz w:val="22"/>
      </w:rPr>
      <w:tblPr/>
      <w:tcPr>
        <w:shd w:val="clear" w:color="000000" w:fill="000000" w:themeFill="text1"/>
      </w:tcPr>
    </w:tblStylePr>
    <w:tblStylePr w:type="lastRow">
      <w:pPr>
        <w:snapToGrid/>
      </w:pPr>
      <w:rPr>
        <w:b/>
        <w:color w:val="404040"/>
      </w:rPr>
    </w:tblStylePr>
    <w:tblStylePr w:type="firstCol">
      <w:pPr>
        <w:snapToGrid/>
      </w:pPr>
      <w:rPr>
        <w:b/>
        <w:color w:val="404040"/>
      </w:rPr>
    </w:tblStylePr>
    <w:tblStylePr w:type="lastCol">
      <w:pPr>
        <w:snapToGrid/>
      </w:pPr>
      <w:rPr>
        <w:b/>
        <w:color w:val="404040"/>
      </w:rPr>
    </w:tblStylePr>
    <w:tblStylePr w:type="band1Vert">
      <w:pPr>
        <w:snapToGrid/>
      </w:pPr>
      <w:rPr>
        <w:rFonts w:ascii="Arial" w:hAnsi="Arial"/>
        <w:color w:val="404040"/>
        <w:sz w:val="22"/>
      </w:rPr>
      <w:tblPr/>
      <w:tcPr>
        <w:shd w:val="clear" w:color="BFBFBF" w:fill="BFBFBF" w:themeFill="text1" w:themeFillTint="40"/>
      </w:tcPr>
    </w:tblStylePr>
    <w:tblStylePr w:type="band2Vert">
      <w:pPr>
        <w:snapToGrid/>
      </w:pPr>
    </w:tblStylePr>
    <w:tblStylePr w:type="band1Horz">
      <w:pPr>
        <w:snapToGrid/>
      </w:pPr>
      <w:rPr>
        <w:rFonts w:ascii="Arial" w:hAnsi="Arial"/>
        <w:color w:val="404040"/>
        <w:sz w:val="22"/>
      </w:rPr>
      <w:tblPr/>
      <w:tcPr>
        <w:shd w:val="clear" w:color="BFBFBF" w:fill="BFBFBF" w:themeFill="text1" w:themeFillTint="40"/>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512">
    <w:name w:val="清单表 5 深色1"/>
    <w:basedOn w:val="TableNormal"/>
    <w:uiPriority w:val="99"/>
    <w:tblPr>
      <w:tblBorders>
        <w:top w:val="single" w:sz="32" w:space="0" w:color="7F7F7F" w:themeColor="text1" w:themeTint="80"/>
        <w:left w:val="single" w:sz="32" w:space="0" w:color="7F7F7F" w:themeColor="text1" w:themeTint="80"/>
        <w:bottom w:val="single" w:sz="32" w:space="0" w:color="7F7F7F" w:themeColor="text1" w:themeTint="80"/>
        <w:right w:val="single" w:sz="32" w:space="0" w:color="7F7F7F" w:themeColor="text1" w:themeTint="80"/>
      </w:tblBorders>
    </w:tblPr>
    <w:tblStylePr w:type="firstRow">
      <w:pPr>
        <w:snapToGrid/>
      </w:pPr>
      <w:rPr>
        <w:rFonts w:ascii="Arial" w:hAnsi="Arial"/>
        <w:b/>
        <w:color w:val="FFFFFF" w:themeColor="light1"/>
        <w:sz w:val="22"/>
      </w:rPr>
      <w:tblPr/>
      <w:tcPr>
        <w:tcBorders>
          <w:top w:val="single" w:sz="32" w:space="0" w:color="7F7F7F" w:themeColor="text1" w:themeTint="80"/>
          <w:bottom w:val="single" w:sz="12" w:space="0" w:color="FFFFFF" w:themeColor="light1"/>
        </w:tcBorders>
        <w:shd w:val="clear" w:color="7F7F7F" w:fill="7F7F7F" w:themeFill="text1" w:themeFillTint="80"/>
      </w:tcPr>
    </w:tblStylePr>
    <w:tblStylePr w:type="lastRow">
      <w:pPr>
        <w:snapToGrid/>
      </w:pPr>
      <w:rPr>
        <w:rFonts w:ascii="Arial" w:hAnsi="Arial"/>
        <w:b/>
        <w:color w:val="FFFFFF" w:themeColor="light1"/>
        <w:sz w:val="22"/>
      </w:rPr>
    </w:tblStylePr>
    <w:tblStylePr w:type="firstCol">
      <w:pPr>
        <w:snapToGrid/>
      </w:pPr>
      <w:rPr>
        <w:rFonts w:ascii="Arial" w:hAnsi="Arial"/>
        <w:b/>
        <w:color w:val="FFFFFF" w:themeColor="light1"/>
        <w:sz w:val="22"/>
      </w:rPr>
      <w:tblPr/>
      <w:tcPr>
        <w:tcBorders>
          <w:left w:val="single" w:sz="32" w:space="0" w:color="7F7F7F" w:themeColor="text1" w:themeTint="80"/>
          <w:right w:val="single" w:sz="4" w:space="0" w:color="FFFFFF" w:themeColor="light1"/>
        </w:tcBorders>
      </w:tcPr>
    </w:tblStylePr>
    <w:tblStylePr w:type="lastCol">
      <w:pPr>
        <w:snapToGrid/>
      </w:pPr>
      <w:tblPr/>
      <w:tcPr>
        <w:tcBorders>
          <w:left w:val="single" w:sz="4" w:space="0" w:color="FFFFFF" w:themeColor="light1"/>
          <w:right w:val="single" w:sz="32" w:space="0" w:color="7F7F7F" w:themeColor="text1" w:themeTint="80"/>
        </w:tcBorders>
      </w:tcPr>
    </w:tblStylePr>
    <w:tblStylePr w:type="band1Vert">
      <w:pPr>
        <w:snapToGrid/>
      </w:pPr>
      <w:tblPr/>
      <w:tcPr>
        <w:tcBorders>
          <w:left w:val="single" w:sz="4" w:space="0" w:color="FFFFFF" w:themeColor="light1"/>
          <w:right w:val="single" w:sz="4" w:space="0" w:color="FFFFFF" w:themeColor="light1"/>
        </w:tcBorders>
        <w:shd w:val="clear" w:color="7F7F7F" w:fill="7F7F7F" w:themeFill="text1" w:themeFillTint="80"/>
      </w:tcPr>
    </w:tblStylePr>
    <w:tblStylePr w:type="band2Vert">
      <w:pPr>
        <w:snapToGrid/>
      </w:pPr>
      <w:tblPr/>
      <w:tcPr>
        <w:tcBorders>
          <w:left w:val="single" w:sz="4" w:space="0" w:color="FFFFFF" w:themeColor="light1"/>
          <w:right w:val="single" w:sz="4" w:space="0" w:color="FFFFFF" w:themeColor="light1"/>
        </w:tcBorders>
      </w:tcPr>
    </w:tblStylePr>
    <w:tblStylePr w:type="band1Horz">
      <w:pPr>
        <w:snapToGrid/>
      </w:pPr>
      <w:tblPr/>
      <w:tcPr>
        <w:tcBorders>
          <w:top w:val="single" w:sz="4" w:space="0" w:color="FFFFFF" w:themeColor="light1"/>
          <w:bottom w:val="single" w:sz="4" w:space="0" w:color="FFFFFF" w:themeColor="light1"/>
        </w:tcBorders>
        <w:shd w:val="clear" w:color="7F7F7F" w:fill="7F7F7F" w:themeFill="text1" w:themeFillTint="80"/>
      </w:tcPr>
    </w:tblStylePr>
    <w:tblStylePr w:type="band2Horz">
      <w:pPr>
        <w:snapToGrid/>
      </w:pPr>
      <w:tblPr/>
      <w:tcPr>
        <w:tcBorders>
          <w:top w:val="single" w:sz="4" w:space="0" w:color="FFFFFF" w:themeColor="light1"/>
          <w:bottom w:val="single" w:sz="4" w:space="0" w:color="FFFFFF" w:themeColor="light1"/>
        </w:tcBorders>
        <w:shd w:val="clear" w:color="7F7F7F" w:fill="7F7F7F" w:themeFill="text1" w:themeFillTint="80"/>
      </w:tc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611">
    <w:name w:val="清单表 6 彩色1"/>
    <w:basedOn w:val="TableNormal"/>
    <w:uiPriority w:val="99"/>
    <w:tblPr>
      <w:tblBorders>
        <w:top w:val="single" w:sz="4" w:space="0" w:color="7F7F7F" w:themeColor="text1" w:themeTint="80"/>
        <w:bottom w:val="single" w:sz="4" w:space="0" w:color="7F7F7F" w:themeColor="text1" w:themeTint="80"/>
      </w:tblBorders>
    </w:tblPr>
    <w:tblStylePr w:type="firstRow">
      <w:pPr>
        <w:snapToGrid/>
      </w:pPr>
      <w:rPr>
        <w:b/>
        <w:color w:val="000000" w:themeColor="text1"/>
      </w:rPr>
      <w:tblPr/>
      <w:tcPr>
        <w:tcBorders>
          <w:bottom w:val="single" w:sz="4" w:space="0" w:color="7F7F7F" w:themeColor="text1" w:themeTint="80"/>
        </w:tcBorders>
      </w:tcPr>
    </w:tblStylePr>
    <w:tblStylePr w:type="lastRow">
      <w:pPr>
        <w:snapToGrid/>
      </w:pPr>
      <w:rPr>
        <w:b/>
        <w:color w:val="000000" w:themeColor="text1"/>
      </w:rPr>
      <w:tblPr/>
      <w:tcPr>
        <w:tcBorders>
          <w:top w:val="single" w:sz="4" w:space="0" w:color="7F7F7F" w:themeColor="text1" w:themeTint="80"/>
        </w:tcBorders>
      </w:tcPr>
    </w:tblStylePr>
    <w:tblStylePr w:type="firstCol">
      <w:pPr>
        <w:snapToGrid/>
      </w:pPr>
      <w:rPr>
        <w:b/>
        <w:color w:val="000000" w:themeColor="text1"/>
      </w:rPr>
    </w:tblStylePr>
    <w:tblStylePr w:type="lastCol">
      <w:pPr>
        <w:snapToGrid/>
      </w:pPr>
      <w:rPr>
        <w:b/>
        <w:color w:val="000000" w:themeColor="text1"/>
      </w:rPr>
    </w:tblStylePr>
    <w:tblStylePr w:type="band1Vert">
      <w:pPr>
        <w:snapToGrid/>
      </w:pPr>
      <w:tblPr/>
      <w:tcPr>
        <w:shd w:val="clear" w:color="BFBFBF" w:fill="BFBFBF" w:themeFill="text1" w:themeFillTint="40"/>
      </w:tcPr>
    </w:tblStylePr>
    <w:tblStylePr w:type="band2Vert">
      <w:pPr>
        <w:snapToGrid/>
      </w:pPr>
    </w:tblStylePr>
    <w:tblStylePr w:type="band1Horz">
      <w:pPr>
        <w:snapToGrid/>
      </w:pPr>
      <w:rPr>
        <w:rFonts w:ascii="Arial" w:hAnsi="Arial"/>
        <w:color w:val="000000" w:themeColor="text1"/>
        <w:sz w:val="22"/>
      </w:rPr>
      <w:tblPr/>
      <w:tcPr>
        <w:shd w:val="clear" w:color="BFBFBF" w:fill="BFBFBF" w:themeFill="text1" w:themeFillTint="40"/>
      </w:tcPr>
    </w:tblStylePr>
    <w:tblStylePr w:type="band2Horz">
      <w:pPr>
        <w:snapToGrid/>
      </w:pPr>
      <w:rPr>
        <w:rFonts w:ascii="Arial" w:hAnsi="Arial"/>
        <w:color w:val="000000" w:themeColor="text1"/>
        <w:sz w:val="22"/>
      </w:r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711">
    <w:name w:val="清单表 7 彩色1"/>
    <w:basedOn w:val="TableNormal"/>
    <w:uiPriority w:val="99"/>
    <w:tblPr>
      <w:tblBorders>
        <w:right w:val="single" w:sz="4" w:space="0" w:color="7F7F7F" w:themeColor="text1" w:themeTint="80"/>
      </w:tblBorders>
    </w:tblPr>
    <w:tblStylePr w:type="firstRow">
      <w:pPr>
        <w:snapToGrid/>
      </w:pPr>
      <w:rPr>
        <w:rFonts w:ascii="Arial" w:hAnsi="Arial"/>
        <w:i/>
        <w:color w:val="7F7F7F" w:themeColor="text1" w:themeTint="80"/>
        <w:sz w:val="22"/>
      </w:rPr>
      <w:tblPr/>
      <w:tcPr>
        <w:tcBorders>
          <w:top w:val="nil"/>
          <w:left w:val="nil"/>
          <w:bottom w:val="single" w:sz="4" w:space="0" w:color="7F7F7F" w:themeColor="text1" w:themeTint="80"/>
          <w:right w:val="nil"/>
        </w:tcBorders>
        <w:shd w:val="clear" w:color="FFFFFF" w:fill="FFFFFF" w:themeFill="light1"/>
      </w:tcPr>
    </w:tblStylePr>
    <w:tblStylePr w:type="lastRow">
      <w:pPr>
        <w:snapToGrid/>
      </w:pPr>
      <w:rPr>
        <w:rFonts w:ascii="Arial" w:hAnsi="Arial"/>
        <w:i/>
        <w:color w:val="7F7F7F" w:themeColor="text1" w:themeTint="80"/>
        <w:sz w:val="22"/>
      </w:rPr>
      <w:tblPr/>
      <w:tcPr>
        <w:tcBorders>
          <w:top w:val="single" w:sz="4" w:space="0" w:color="7F7F7F" w:themeColor="text1" w:themeTint="80"/>
          <w:left w:val="nil"/>
          <w:bottom w:val="nil"/>
          <w:right w:val="nil"/>
        </w:tcBorders>
        <w:shd w:val="clear" w:color="FFFFFF" w:fill="FFFFFF" w:themeFill="light1"/>
      </w:tcPr>
    </w:tblStylePr>
    <w:tblStylePr w:type="firstCol">
      <w:pPr>
        <w:snapToGrid/>
        <w:jc w:val="right"/>
      </w:pPr>
      <w:rPr>
        <w:rFonts w:ascii="Arial" w:hAnsi="Arial"/>
        <w:i/>
        <w:color w:val="7F7F7F" w:themeColor="text1" w:themeTint="80"/>
        <w:sz w:val="22"/>
      </w:rPr>
      <w:tblPr/>
      <w:tcPr>
        <w:tcBorders>
          <w:top w:val="nil"/>
          <w:left w:val="nil"/>
          <w:bottom w:val="nil"/>
          <w:right w:val="single" w:sz="4" w:space="0" w:color="7F7F7F" w:themeColor="text1" w:themeTint="80"/>
        </w:tcBorders>
        <w:shd w:val="clear" w:color="FFFFFF" w:fill="FFFFFF"/>
      </w:tcPr>
    </w:tblStylePr>
    <w:tblStylePr w:type="lastCol">
      <w:pPr>
        <w:snapToGrid/>
      </w:pPr>
      <w:rPr>
        <w:rFonts w:ascii="Arial" w:hAnsi="Arial"/>
        <w:i/>
        <w:color w:val="7F7F7F" w:themeColor="text1" w:themeTint="80"/>
        <w:sz w:val="22"/>
      </w:rPr>
      <w:tblPr/>
      <w:tcPr>
        <w:tcBorders>
          <w:top w:val="nil"/>
          <w:left w:val="single" w:sz="4" w:space="0" w:color="7F7F7F" w:themeColor="text1" w:themeTint="80"/>
          <w:bottom w:val="nil"/>
          <w:right w:val="nil"/>
        </w:tcBorders>
        <w:shd w:val="clear" w:color="FFFFFF" w:fill="FFFFFF"/>
      </w:tcPr>
    </w:tblStylePr>
    <w:tblStylePr w:type="band1Vert">
      <w:pPr>
        <w:snapToGrid/>
      </w:pPr>
      <w:tblPr/>
      <w:tcPr>
        <w:shd w:val="clear" w:color="BFBFBF" w:fill="BFBFBF" w:themeFill="text1" w:themeFillTint="40"/>
      </w:tcPr>
    </w:tblStylePr>
    <w:tblStylePr w:type="band2Vert">
      <w:pPr>
        <w:snapToGrid/>
      </w:pPr>
    </w:tblStylePr>
    <w:tblStylePr w:type="band1Horz">
      <w:pPr>
        <w:snapToGrid/>
      </w:pPr>
      <w:rPr>
        <w:rFonts w:ascii="Arial" w:hAnsi="Arial"/>
        <w:color w:val="7F7F7F" w:themeColor="text1" w:themeTint="80"/>
        <w:sz w:val="22"/>
      </w:rPr>
      <w:tblPr/>
      <w:tcPr>
        <w:shd w:val="clear" w:color="BFBFBF" w:fill="BFBFBF" w:themeFill="text1" w:themeFillTint="40"/>
      </w:tcPr>
    </w:tblStylePr>
    <w:tblStylePr w:type="band2Horz">
      <w:pPr>
        <w:snapToGrid/>
      </w:pPr>
      <w:rPr>
        <w:rFonts w:ascii="Arial" w:hAnsi="Arial"/>
        <w:color w:val="7F7F7F" w:themeColor="text1" w:themeTint="80"/>
        <w:sz w:val="22"/>
      </w:rPr>
    </w:tblStylePr>
    <w:tblStylePr w:type="neCell">
      <w:pPr>
        <w:snapToGrid/>
      </w:pPr>
    </w:tblStylePr>
    <w:tblStylePr w:type="nwCell">
      <w:pPr>
        <w:snapToGrid/>
      </w:pPr>
    </w:tblStylePr>
    <w:tblStylePr w:type="seCell">
      <w:pPr>
        <w:snapToGrid/>
      </w:pPr>
    </w:tblStylePr>
    <w:tblStylePr w:type="swCell">
      <w:pPr>
        <w:snapToGrid/>
      </w:pPr>
    </w:tblStylePr>
  </w:style>
  <w:style w:type="character" w:customStyle="1" w:styleId="EndnoteTextChar">
    <w:name w:val="Endnote Text Char"/>
    <w:uiPriority w:val="99"/>
    <w:rPr>
      <w:sz w:val="20"/>
    </w:rPr>
  </w:style>
  <w:style w:type="paragraph" w:customStyle="1" w:styleId="TOC10">
    <w:name w:val="TOC 标题1"/>
    <w:uiPriority w:val="39"/>
    <w:unhideWhenUsed/>
    <w:rPr>
      <w:sz w:val="22"/>
      <w:szCs w:val="22"/>
      <w:lang w:eastAsia="en-US"/>
    </w:rPr>
  </w:style>
  <w:style w:type="paragraph" w:customStyle="1" w:styleId="1">
    <w:name w:val="题注1"/>
    <w:basedOn w:val="Normal"/>
    <w:next w:val="Normal"/>
    <w:uiPriority w:val="35"/>
    <w:semiHidden/>
    <w:unhideWhenUsed/>
    <w:qFormat/>
    <w:pPr>
      <w:spacing w:line="276" w:lineRule="auto"/>
    </w:pPr>
    <w:rPr>
      <w:b/>
      <w:bCs/>
      <w:color w:val="4F81BD" w:themeColor="accent1"/>
      <w:sz w:val="18"/>
      <w:szCs w:val="18"/>
    </w:rPr>
  </w:style>
  <w:style w:type="character" w:customStyle="1" w:styleId="CaptionChar">
    <w:name w:val="Caption Char"/>
    <w:uiPriority w:val="99"/>
  </w:style>
  <w:style w:type="character" w:customStyle="1" w:styleId="a">
    <w:name w:val="尾注文本 字符"/>
    <w:link w:val="EndnoteText"/>
    <w:uiPriority w:val="99"/>
    <w:rPr>
      <w:sz w:val="20"/>
    </w:rPr>
  </w:style>
  <w:style w:type="paragraph" w:customStyle="1" w:styleId="10">
    <w:name w:val="页脚1"/>
    <w:basedOn w:val="Normal"/>
    <w:link w:val="a6"/>
    <w:uiPriority w:val="99"/>
    <w:qFormat/>
    <w:pPr>
      <w:tabs>
        <w:tab w:val="center" w:pos="4153"/>
        <w:tab w:val="right" w:pos="8306"/>
      </w:tabs>
      <w:snapToGrid w:val="0"/>
      <w:jc w:val="left"/>
    </w:pPr>
    <w:rPr>
      <w:sz w:val="18"/>
      <w:szCs w:val="18"/>
    </w:rPr>
  </w:style>
  <w:style w:type="paragraph" w:customStyle="1" w:styleId="12">
    <w:name w:val="页眉1"/>
    <w:basedOn w:val="Normal"/>
    <w:link w:val="a7"/>
    <w:uiPriority w:val="99"/>
    <w:qFormat/>
    <w:pPr>
      <w:pBdr>
        <w:bottom w:val="single" w:sz="6" w:space="1" w:color="auto"/>
      </w:pBdr>
      <w:tabs>
        <w:tab w:val="center" w:pos="4153"/>
        <w:tab w:val="right" w:pos="8306"/>
      </w:tabs>
      <w:snapToGrid w:val="0"/>
      <w:jc w:val="center"/>
    </w:pPr>
    <w:rPr>
      <w:sz w:val="18"/>
      <w:szCs w:val="18"/>
    </w:rPr>
  </w:style>
  <w:style w:type="character" w:customStyle="1" w:styleId="213">
    <w:name w:val="标题 2 字符1"/>
    <w:basedOn w:val="DefaultParagraphFont"/>
    <w:link w:val="Heading2"/>
    <w:uiPriority w:val="9"/>
    <w:qFormat/>
    <w:rPr>
      <w:rFonts w:ascii="Arial" w:hAnsi="Arial" w:cs="Arial"/>
      <w:sz w:val="34"/>
    </w:rPr>
  </w:style>
  <w:style w:type="character" w:customStyle="1" w:styleId="313">
    <w:name w:val="标题 3 字符1"/>
    <w:basedOn w:val="DefaultParagraphFont"/>
    <w:link w:val="Heading3"/>
    <w:uiPriority w:val="9"/>
    <w:qFormat/>
    <w:rPr>
      <w:rFonts w:ascii="Arial" w:hAnsi="Arial" w:cs="Arial"/>
      <w:sz w:val="30"/>
      <w:szCs w:val="30"/>
    </w:rPr>
  </w:style>
  <w:style w:type="character" w:customStyle="1" w:styleId="413">
    <w:name w:val="标题 4 字符1"/>
    <w:basedOn w:val="DefaultParagraphFont"/>
    <w:link w:val="Heading4"/>
    <w:uiPriority w:val="9"/>
    <w:qFormat/>
    <w:rPr>
      <w:rFonts w:ascii="Arial" w:hAnsi="Arial" w:cs="Arial"/>
      <w:b/>
      <w:bCs/>
      <w:sz w:val="26"/>
      <w:szCs w:val="26"/>
    </w:rPr>
  </w:style>
  <w:style w:type="character" w:customStyle="1" w:styleId="513">
    <w:name w:val="标题 5 字符1"/>
    <w:basedOn w:val="DefaultParagraphFont"/>
    <w:link w:val="Heading5"/>
    <w:uiPriority w:val="9"/>
    <w:qFormat/>
    <w:rPr>
      <w:rFonts w:ascii="Arial" w:hAnsi="Arial" w:cs="Arial"/>
      <w:b/>
      <w:bCs/>
      <w:sz w:val="24"/>
      <w:szCs w:val="24"/>
    </w:rPr>
  </w:style>
  <w:style w:type="character" w:customStyle="1" w:styleId="612">
    <w:name w:val="标题 6 字符1"/>
    <w:basedOn w:val="DefaultParagraphFont"/>
    <w:link w:val="Heading6"/>
    <w:uiPriority w:val="9"/>
    <w:qFormat/>
    <w:rPr>
      <w:rFonts w:ascii="Arial" w:hAnsi="Arial" w:cs="Arial"/>
      <w:b/>
      <w:bCs/>
      <w:sz w:val="22"/>
      <w:szCs w:val="22"/>
    </w:rPr>
  </w:style>
  <w:style w:type="character" w:customStyle="1" w:styleId="712">
    <w:name w:val="标题 7 字符1"/>
    <w:basedOn w:val="DefaultParagraphFont"/>
    <w:link w:val="Heading7"/>
    <w:uiPriority w:val="9"/>
    <w:qFormat/>
    <w:rPr>
      <w:rFonts w:ascii="Arial" w:hAnsi="Arial" w:cs="Arial"/>
      <w:b/>
      <w:bCs/>
      <w:i/>
      <w:iCs/>
      <w:sz w:val="22"/>
      <w:szCs w:val="22"/>
    </w:rPr>
  </w:style>
  <w:style w:type="character" w:customStyle="1" w:styleId="810">
    <w:name w:val="标题 8 字符1"/>
    <w:basedOn w:val="DefaultParagraphFont"/>
    <w:link w:val="Heading8"/>
    <w:uiPriority w:val="9"/>
    <w:qFormat/>
    <w:rPr>
      <w:rFonts w:ascii="Arial" w:hAnsi="Arial" w:cs="Arial"/>
      <w:i/>
      <w:iCs/>
      <w:sz w:val="22"/>
      <w:szCs w:val="22"/>
    </w:rPr>
  </w:style>
  <w:style w:type="character" w:customStyle="1" w:styleId="910">
    <w:name w:val="标题 9 字符1"/>
    <w:basedOn w:val="DefaultParagraphFont"/>
    <w:link w:val="Heading9"/>
    <w:uiPriority w:val="9"/>
    <w:qFormat/>
    <w:rPr>
      <w:rFonts w:ascii="Arial" w:hAnsi="Arial" w:cs="Arial"/>
      <w:i/>
      <w:iCs/>
      <w:sz w:val="21"/>
      <w:szCs w:val="21"/>
    </w:rPr>
  </w:style>
  <w:style w:type="character" w:customStyle="1" w:styleId="SubtitleChar">
    <w:name w:val="Subtitle Char"/>
    <w:basedOn w:val="DefaultParagraphFont"/>
    <w:uiPriority w:val="11"/>
    <w:qFormat/>
    <w:rPr>
      <w:sz w:val="24"/>
      <w:szCs w:val="24"/>
    </w:rPr>
  </w:style>
  <w:style w:type="character" w:customStyle="1" w:styleId="QuoteChar">
    <w:name w:val="Quote Char"/>
    <w:uiPriority w:val="29"/>
    <w:qFormat/>
    <w:rPr>
      <w:i/>
    </w:rPr>
  </w:style>
  <w:style w:type="character" w:customStyle="1" w:styleId="IntenseQuoteChar">
    <w:name w:val="Intense Quote Char"/>
    <w:uiPriority w:val="30"/>
    <w:qFormat/>
    <w:rPr>
      <w:i/>
    </w:rPr>
  </w:style>
  <w:style w:type="character" w:customStyle="1" w:styleId="FootnoteTextChar">
    <w:name w:val="Footnote Text Char"/>
    <w:uiPriority w:val="99"/>
    <w:qFormat/>
    <w:rPr>
      <w:sz w:val="18"/>
    </w:rPr>
  </w:style>
  <w:style w:type="character" w:customStyle="1" w:styleId="113">
    <w:name w:val="标题 1 字符1"/>
    <w:basedOn w:val="DefaultParagraphFont"/>
    <w:link w:val="Heading1"/>
    <w:uiPriority w:val="9"/>
    <w:qFormat/>
    <w:rPr>
      <w:rFonts w:ascii="Arial" w:hAnsi="Arial" w:cs="Arial"/>
      <w:sz w:val="40"/>
      <w:szCs w:val="40"/>
    </w:rPr>
  </w:style>
  <w:style w:type="character" w:customStyle="1" w:styleId="2">
    <w:name w:val="标题 2 字符"/>
    <w:basedOn w:val="DefaultParagraphFont"/>
    <w:link w:val="21"/>
    <w:uiPriority w:val="9"/>
    <w:qFormat/>
    <w:rPr>
      <w:rFonts w:ascii="Arial" w:hAnsi="Arial" w:cs="Arial"/>
      <w:sz w:val="34"/>
    </w:rPr>
  </w:style>
  <w:style w:type="character" w:customStyle="1" w:styleId="3">
    <w:name w:val="标题 3 字符"/>
    <w:basedOn w:val="DefaultParagraphFont"/>
    <w:link w:val="31"/>
    <w:uiPriority w:val="9"/>
    <w:qFormat/>
    <w:rPr>
      <w:rFonts w:ascii="Arial" w:hAnsi="Arial" w:cs="Arial"/>
      <w:sz w:val="30"/>
      <w:szCs w:val="30"/>
    </w:rPr>
  </w:style>
  <w:style w:type="character" w:customStyle="1" w:styleId="4">
    <w:name w:val="标题 4 字符"/>
    <w:basedOn w:val="DefaultParagraphFont"/>
    <w:link w:val="41"/>
    <w:uiPriority w:val="9"/>
    <w:qFormat/>
    <w:rPr>
      <w:rFonts w:ascii="Arial" w:hAnsi="Arial" w:cs="Arial"/>
      <w:b/>
      <w:bCs/>
      <w:sz w:val="26"/>
      <w:szCs w:val="26"/>
    </w:rPr>
  </w:style>
  <w:style w:type="character" w:customStyle="1" w:styleId="5">
    <w:name w:val="标题 5 字符"/>
    <w:basedOn w:val="DefaultParagraphFont"/>
    <w:link w:val="51"/>
    <w:uiPriority w:val="9"/>
    <w:qFormat/>
    <w:rPr>
      <w:rFonts w:ascii="Arial" w:hAnsi="Arial" w:cs="Arial"/>
      <w:b/>
      <w:bCs/>
      <w:sz w:val="24"/>
      <w:szCs w:val="24"/>
    </w:rPr>
  </w:style>
  <w:style w:type="character" w:customStyle="1" w:styleId="6">
    <w:name w:val="标题 6 字符"/>
    <w:basedOn w:val="DefaultParagraphFont"/>
    <w:link w:val="61"/>
    <w:uiPriority w:val="9"/>
    <w:qFormat/>
    <w:rPr>
      <w:rFonts w:ascii="Arial" w:hAnsi="Arial" w:cs="Arial"/>
      <w:b/>
      <w:bCs/>
      <w:sz w:val="22"/>
      <w:szCs w:val="22"/>
    </w:rPr>
  </w:style>
  <w:style w:type="character" w:customStyle="1" w:styleId="7">
    <w:name w:val="标题 7 字符"/>
    <w:basedOn w:val="DefaultParagraphFont"/>
    <w:link w:val="71"/>
    <w:uiPriority w:val="9"/>
    <w:qFormat/>
    <w:rPr>
      <w:rFonts w:ascii="Arial" w:hAnsi="Arial" w:cs="Arial"/>
      <w:b/>
      <w:bCs/>
      <w:i/>
      <w:iCs/>
      <w:sz w:val="22"/>
      <w:szCs w:val="22"/>
    </w:rPr>
  </w:style>
  <w:style w:type="character" w:customStyle="1" w:styleId="8">
    <w:name w:val="标题 8 字符"/>
    <w:basedOn w:val="DefaultParagraphFont"/>
    <w:link w:val="81"/>
    <w:uiPriority w:val="9"/>
    <w:qFormat/>
    <w:rPr>
      <w:rFonts w:ascii="Arial" w:hAnsi="Arial" w:cs="Arial"/>
      <w:i/>
      <w:iCs/>
      <w:sz w:val="22"/>
      <w:szCs w:val="22"/>
    </w:rPr>
  </w:style>
  <w:style w:type="character" w:customStyle="1" w:styleId="9">
    <w:name w:val="标题 9 字符"/>
    <w:basedOn w:val="DefaultParagraphFont"/>
    <w:link w:val="91"/>
    <w:uiPriority w:val="9"/>
    <w:qFormat/>
    <w:rPr>
      <w:rFonts w:ascii="Arial" w:hAnsi="Arial" w:cs="Arial"/>
      <w:i/>
      <w:iCs/>
      <w:sz w:val="21"/>
      <w:szCs w:val="21"/>
    </w:rPr>
  </w:style>
  <w:style w:type="paragraph" w:styleId="ListParagraph">
    <w:name w:val="List Paragraph"/>
    <w:basedOn w:val="Normal"/>
    <w:uiPriority w:val="34"/>
    <w:qFormat/>
    <w:pPr>
      <w:ind w:left="720"/>
      <w:contextualSpacing/>
    </w:pPr>
  </w:style>
  <w:style w:type="paragraph" w:styleId="NoSpacing">
    <w:name w:val="No Spacing"/>
    <w:uiPriority w:val="1"/>
    <w:qFormat/>
    <w:pPr>
      <w:shd w:val="clear" w:color="FFFFFF" w:fill="FFFFFF"/>
    </w:pPr>
    <w:rPr>
      <w:rFonts w:ascii="Times New Roman" w:hAnsi="Times New Roman" w:cs="Times New Roman"/>
      <w:szCs w:val="22"/>
    </w:rPr>
  </w:style>
  <w:style w:type="character" w:customStyle="1" w:styleId="TitleChar">
    <w:name w:val="Title Char"/>
    <w:basedOn w:val="DefaultParagraphFont"/>
    <w:uiPriority w:val="10"/>
    <w:qFormat/>
    <w:rPr>
      <w:sz w:val="48"/>
      <w:szCs w:val="48"/>
    </w:rPr>
  </w:style>
  <w:style w:type="character" w:customStyle="1" w:styleId="a0">
    <w:name w:val="副标题 字符"/>
    <w:basedOn w:val="DefaultParagraphFont"/>
    <w:link w:val="Subtitle"/>
    <w:uiPriority w:val="11"/>
    <w:qFormat/>
    <w:rPr>
      <w:sz w:val="24"/>
      <w:szCs w:val="24"/>
    </w:rPr>
  </w:style>
  <w:style w:type="paragraph" w:styleId="Quote">
    <w:name w:val="Quote"/>
    <w:basedOn w:val="Normal"/>
    <w:next w:val="Normal"/>
    <w:link w:val="a1"/>
    <w:uiPriority w:val="29"/>
    <w:qFormat/>
    <w:pPr>
      <w:ind w:left="720" w:right="720"/>
    </w:pPr>
    <w:rPr>
      <w:i/>
    </w:rPr>
  </w:style>
  <w:style w:type="character" w:customStyle="1" w:styleId="a1">
    <w:name w:val="引用 字符"/>
    <w:link w:val="Quote"/>
    <w:uiPriority w:val="29"/>
    <w:qFormat/>
    <w:rPr>
      <w:i/>
    </w:rPr>
  </w:style>
  <w:style w:type="paragraph" w:styleId="IntenseQuote">
    <w:name w:val="Intense Quote"/>
    <w:basedOn w:val="Normal"/>
    <w:next w:val="Normal"/>
    <w:link w:val="a2"/>
    <w:uiPriority w:val="30"/>
    <w:qFormat/>
    <w:pPr>
      <w:pBdr>
        <w:top w:val="single" w:sz="4" w:space="5" w:color="FFFFFF"/>
        <w:left w:val="single" w:sz="4" w:space="10" w:color="FFFFFF"/>
        <w:bottom w:val="single" w:sz="4" w:space="5" w:color="FFFFFF"/>
        <w:right w:val="single" w:sz="4" w:space="10" w:color="FFFFFF"/>
      </w:pBdr>
      <w:shd w:val="clear" w:color="F2F2F2" w:fill="F2F2F2"/>
      <w:ind w:left="720" w:right="720"/>
    </w:pPr>
    <w:rPr>
      <w:i/>
    </w:rPr>
  </w:style>
  <w:style w:type="character" w:customStyle="1" w:styleId="a2">
    <w:name w:val="明显引用 字符"/>
    <w:link w:val="IntenseQuote"/>
    <w:uiPriority w:val="30"/>
    <w:qFormat/>
    <w:rPr>
      <w:i/>
    </w:rPr>
  </w:style>
  <w:style w:type="character" w:customStyle="1" w:styleId="HeaderChar">
    <w:name w:val="Header Char"/>
    <w:basedOn w:val="DefaultParagraphFont"/>
    <w:uiPriority w:val="99"/>
    <w:qFormat/>
  </w:style>
  <w:style w:type="character" w:customStyle="1" w:styleId="FooterChar">
    <w:name w:val="Footer Char"/>
    <w:basedOn w:val="DefaultParagraphFont"/>
    <w:uiPriority w:val="99"/>
    <w:qFormat/>
  </w:style>
  <w:style w:type="table" w:customStyle="1" w:styleId="TableGridLight">
    <w:name w:val="Table Grid Light"/>
    <w:basedOn w:val="TableNormal"/>
    <w:uiPriority w:val="59"/>
    <w:qFormat/>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tblStylePr w:type="firstRow">
      <w:pPr>
        <w:snapToGrid/>
      </w:pPr>
    </w:tblStylePr>
    <w:tblStylePr w:type="lastRow">
      <w:pPr>
        <w:snapToGrid/>
      </w:pPr>
    </w:tblStylePr>
    <w:tblStylePr w:type="firstCol">
      <w:pPr>
        <w:snapToGrid/>
      </w:pPr>
    </w:tblStylePr>
    <w:tblStylePr w:type="lastCol">
      <w:pPr>
        <w:snapToGrid/>
      </w:pPr>
    </w:tblStylePr>
    <w:tblStylePr w:type="band1Vert">
      <w:pPr>
        <w:snapToGrid/>
      </w:pPr>
    </w:tblStylePr>
    <w:tblStylePr w:type="band2Vert">
      <w:pPr>
        <w:snapToGrid/>
      </w:pPr>
    </w:tblStylePr>
    <w:tblStylePr w:type="band1Horz">
      <w:pPr>
        <w:snapToGrid/>
      </w:p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1100">
    <w:name w:val="无格式表格 11_0"/>
    <w:basedOn w:val="TableNormal"/>
    <w:uiPriority w:val="59"/>
    <w:qFormat/>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tblStylePr w:type="firstRow">
      <w:pPr>
        <w:snapToGrid/>
      </w:pPr>
      <w:rPr>
        <w:rFonts w:ascii="Arial" w:hAnsi="Arial"/>
        <w:b/>
        <w:color w:val="404040"/>
        <w:sz w:val="22"/>
      </w:rPr>
    </w:tblStylePr>
    <w:tblStylePr w:type="lastRow">
      <w:pPr>
        <w:snapToGrid/>
      </w:pPr>
      <w:rPr>
        <w:rFonts w:ascii="Arial" w:hAnsi="Arial"/>
        <w:b/>
        <w:color w:val="404040"/>
        <w:sz w:val="22"/>
      </w:rPr>
    </w:tblStylePr>
    <w:tblStylePr w:type="firstCol">
      <w:pPr>
        <w:snapToGrid/>
      </w:pPr>
      <w:rPr>
        <w:rFonts w:ascii="Arial" w:hAnsi="Arial"/>
        <w:b/>
        <w:color w:val="404040"/>
        <w:sz w:val="22"/>
      </w:rPr>
    </w:tblStylePr>
    <w:tblStylePr w:type="lastCol">
      <w:pPr>
        <w:snapToGrid/>
      </w:pPr>
      <w:rPr>
        <w:rFonts w:ascii="Arial" w:hAnsi="Arial"/>
        <w:b/>
        <w:color w:val="404040"/>
        <w:sz w:val="22"/>
      </w:rPr>
    </w:tblStylePr>
    <w:tblStylePr w:type="band1Vert">
      <w:pPr>
        <w:snapToGrid/>
      </w:pPr>
      <w:tblPr/>
      <w:tcPr>
        <w:shd w:val="clear" w:color="F2F2F2" w:fill="F2F2F2" w:themeFill="text1" w:themeFillTint="0D"/>
      </w:tcPr>
    </w:tblStylePr>
    <w:tblStylePr w:type="band2Vert">
      <w:pPr>
        <w:snapToGrid/>
      </w:pPr>
    </w:tblStylePr>
    <w:tblStylePr w:type="band1Horz">
      <w:pPr>
        <w:snapToGrid/>
      </w:pPr>
      <w:tblPr/>
      <w:tcPr>
        <w:shd w:val="clear" w:color="F2F2F2" w:fill="F2F2F2" w:themeFill="text1" w:themeFillTint="0D"/>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2100">
    <w:name w:val="无格式表格 21_0"/>
    <w:basedOn w:val="TableNormal"/>
    <w:uiPriority w:val="59"/>
    <w:qFormat/>
    <w:tblPr>
      <w:tblBorders>
        <w:top w:val="single" w:sz="4" w:space="0" w:color="000000" w:themeColor="text1"/>
        <w:bottom w:val="single" w:sz="4" w:space="0" w:color="000000" w:themeColor="text1"/>
      </w:tblBorders>
    </w:tblPr>
    <w:tblStylePr w:type="firstRow">
      <w:pPr>
        <w:snapToGrid/>
      </w:pPr>
      <w:rPr>
        <w:rFonts w:ascii="Arial" w:hAnsi="Arial"/>
        <w:b/>
        <w:color w:val="404040"/>
        <w:sz w:val="22"/>
      </w:rPr>
      <w:tblPr/>
      <w:tcPr>
        <w:tcBorders>
          <w:top w:val="single" w:sz="4" w:space="0" w:color="000000" w:themeColor="text1"/>
          <w:bottom w:val="single" w:sz="4" w:space="0" w:color="000000" w:themeColor="text1"/>
        </w:tcBorders>
      </w:tcPr>
    </w:tblStylePr>
    <w:tblStylePr w:type="lastRow">
      <w:pPr>
        <w:snapToGrid/>
      </w:pPr>
      <w:rPr>
        <w:rFonts w:ascii="Arial" w:hAnsi="Arial"/>
        <w:b/>
        <w:color w:val="404040"/>
        <w:sz w:val="22"/>
      </w:rPr>
    </w:tblStylePr>
    <w:tblStylePr w:type="firstCol">
      <w:pPr>
        <w:snapToGrid/>
      </w:pPr>
      <w:rPr>
        <w:rFonts w:ascii="Arial" w:hAnsi="Arial"/>
        <w:b/>
        <w:color w:val="404040"/>
        <w:sz w:val="22"/>
      </w:rPr>
    </w:tblStylePr>
    <w:tblStylePr w:type="lastCol">
      <w:pPr>
        <w:snapToGrid/>
      </w:pPr>
      <w:rPr>
        <w:rFonts w:ascii="Arial" w:hAnsi="Arial"/>
        <w:b/>
        <w:color w:val="404040"/>
        <w:sz w:val="22"/>
      </w:rPr>
    </w:tblStylePr>
    <w:tblStylePr w:type="band1Vert">
      <w:pPr>
        <w:snapToGrid/>
      </w:pPr>
      <w:tblPr/>
      <w:tcPr>
        <w:tcBorders>
          <w:left w:val="single" w:sz="4" w:space="0" w:color="000000" w:themeColor="text1"/>
          <w:right w:val="single" w:sz="4" w:space="0" w:color="000000" w:themeColor="text1"/>
        </w:tcBorders>
      </w:tcPr>
    </w:tblStylePr>
    <w:tblStylePr w:type="band2Vert">
      <w:pPr>
        <w:snapToGrid/>
      </w:pPr>
      <w:tblPr/>
      <w:tcPr>
        <w:tcBorders>
          <w:left w:val="single" w:sz="4" w:space="0" w:color="000000" w:themeColor="text1"/>
          <w:right w:val="single" w:sz="4" w:space="0" w:color="000000" w:themeColor="text1"/>
        </w:tcBorders>
      </w:tcPr>
    </w:tblStylePr>
    <w:tblStylePr w:type="band1Horz">
      <w:pPr>
        <w:snapToGrid/>
      </w:pPr>
      <w:tblPr/>
      <w:tcPr>
        <w:tcBorders>
          <w:top w:val="single" w:sz="4" w:space="0" w:color="000000" w:themeColor="text1"/>
          <w:bottom w:val="single" w:sz="4" w:space="0" w:color="000000" w:themeColor="text1"/>
        </w:tcBorders>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3100">
    <w:name w:val="无格式表格 31_0"/>
    <w:basedOn w:val="TableNormal"/>
    <w:uiPriority w:val="99"/>
    <w:qFormat/>
    <w:tblPr/>
    <w:tblStylePr w:type="firstRow">
      <w:pPr>
        <w:snapToGrid/>
      </w:pPr>
      <w:rPr>
        <w:b/>
        <w:caps/>
        <w:color w:val="404040"/>
      </w:rPr>
      <w:tblPr/>
      <w:tcPr>
        <w:tcBorders>
          <w:top w:val="nil"/>
          <w:left w:val="nil"/>
          <w:bottom w:val="single" w:sz="4" w:space="0" w:color="404040"/>
          <w:right w:val="nil"/>
        </w:tcBorders>
      </w:tcPr>
    </w:tblStylePr>
    <w:tblStylePr w:type="lastRow">
      <w:pPr>
        <w:snapToGrid/>
      </w:pPr>
      <w:rPr>
        <w:b/>
        <w:caps/>
        <w:color w:val="404040"/>
      </w:rPr>
    </w:tblStylePr>
    <w:tblStylePr w:type="firstCol">
      <w:pPr>
        <w:snapToGrid/>
      </w:pPr>
      <w:rPr>
        <w:b/>
        <w:caps/>
        <w:color w:val="404040"/>
      </w:rPr>
      <w:tblPr/>
      <w:tcPr>
        <w:tcBorders>
          <w:top w:val="nil"/>
          <w:left w:val="nil"/>
          <w:bottom w:val="nil"/>
          <w:right w:val="single" w:sz="4" w:space="0" w:color="404040"/>
        </w:tcBorders>
      </w:tcPr>
    </w:tblStylePr>
    <w:tblStylePr w:type="lastCol">
      <w:pPr>
        <w:snapToGrid/>
      </w:pPr>
      <w:rPr>
        <w:b/>
        <w:caps/>
        <w:color w:val="404040"/>
      </w:rPr>
    </w:tblStylePr>
    <w:tblStylePr w:type="band1Vert">
      <w:pPr>
        <w:snapToGrid/>
      </w:pPr>
      <w:rPr>
        <w:rFonts w:ascii="Arial" w:hAnsi="Arial"/>
        <w:color w:val="404040"/>
        <w:sz w:val="22"/>
      </w:rPr>
      <w:tblPr/>
      <w:tcPr>
        <w:shd w:val="clear" w:color="F2F2F2" w:fill="F2F2F2" w:themeFill="text1" w:themeFillTint="0D"/>
      </w:tcPr>
    </w:tblStylePr>
    <w:tblStylePr w:type="band2Vert">
      <w:pPr>
        <w:snapToGrid/>
      </w:pPr>
    </w:tblStylePr>
    <w:tblStylePr w:type="band1Horz">
      <w:pPr>
        <w:snapToGrid/>
      </w:pPr>
      <w:rPr>
        <w:rFonts w:ascii="Arial" w:hAnsi="Arial"/>
        <w:color w:val="404040"/>
        <w:sz w:val="22"/>
      </w:rPr>
      <w:tblPr/>
      <w:tcPr>
        <w:shd w:val="clear" w:color="F2F2F2" w:fill="F2F2F2" w:themeFill="text1" w:themeFillTint="0D"/>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4100">
    <w:name w:val="无格式表格 41_0"/>
    <w:basedOn w:val="TableNormal"/>
    <w:uiPriority w:val="99"/>
    <w:qFormat/>
    <w:tblPr/>
    <w:tblStylePr w:type="firstRow">
      <w:pPr>
        <w:snapToGrid/>
      </w:pPr>
      <w:rPr>
        <w:b/>
        <w:color w:val="404040"/>
      </w:rPr>
    </w:tblStylePr>
    <w:tblStylePr w:type="lastRow">
      <w:pPr>
        <w:snapToGrid/>
      </w:pPr>
      <w:rPr>
        <w:b/>
        <w:color w:val="404040"/>
      </w:rPr>
    </w:tblStylePr>
    <w:tblStylePr w:type="firstCol">
      <w:pPr>
        <w:snapToGrid/>
      </w:pPr>
      <w:rPr>
        <w:b/>
        <w:color w:val="404040"/>
      </w:rPr>
    </w:tblStylePr>
    <w:tblStylePr w:type="lastCol">
      <w:pPr>
        <w:snapToGrid/>
      </w:pPr>
      <w:rPr>
        <w:b/>
        <w:color w:val="404040"/>
      </w:rPr>
    </w:tblStylePr>
    <w:tblStylePr w:type="band1Vert">
      <w:pPr>
        <w:snapToGrid/>
      </w:pPr>
      <w:rPr>
        <w:rFonts w:ascii="Arial" w:hAnsi="Arial"/>
        <w:color w:val="404040"/>
        <w:sz w:val="22"/>
      </w:rPr>
      <w:tblPr/>
      <w:tcPr>
        <w:shd w:val="clear" w:color="F2F2F2" w:fill="F2F2F2" w:themeFill="text1" w:themeFillTint="0D"/>
      </w:tcPr>
    </w:tblStylePr>
    <w:tblStylePr w:type="band2Vert">
      <w:pPr>
        <w:snapToGrid/>
      </w:pPr>
    </w:tblStylePr>
    <w:tblStylePr w:type="band1Horz">
      <w:pPr>
        <w:snapToGrid/>
      </w:pPr>
      <w:rPr>
        <w:rFonts w:ascii="Arial" w:hAnsi="Arial"/>
        <w:color w:val="404040"/>
        <w:sz w:val="22"/>
      </w:rPr>
      <w:tblPr/>
      <w:tcPr>
        <w:shd w:val="clear" w:color="F2F2F2" w:fill="F2F2F2" w:themeFill="text1" w:themeFillTint="0D"/>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5100">
    <w:name w:val="无格式表格 51_0"/>
    <w:basedOn w:val="TableNormal"/>
    <w:uiPriority w:val="99"/>
    <w:qFormat/>
    <w:tblPr/>
    <w:tblStylePr w:type="firstRow">
      <w:pPr>
        <w:snapToGrid/>
      </w:pPr>
      <w:rPr>
        <w:i/>
        <w:color w:val="404040"/>
      </w:rPr>
      <w:tblPr/>
      <w:tcPr>
        <w:tcBorders>
          <w:left w:val="nil"/>
          <w:bottom w:val="single" w:sz="4" w:space="0" w:color="404040"/>
          <w:right w:val="nil"/>
        </w:tcBorders>
        <w:shd w:val="clear" w:color="FFFFFF" w:fill="FFFFFF"/>
      </w:tcPr>
    </w:tblStylePr>
    <w:tblStylePr w:type="lastRow">
      <w:pPr>
        <w:snapToGrid/>
      </w:pPr>
      <w:rPr>
        <w:i/>
        <w:color w:val="404040"/>
      </w:rPr>
      <w:tblPr/>
      <w:tcPr>
        <w:tcBorders>
          <w:top w:val="single" w:sz="4" w:space="0" w:color="404040"/>
          <w:left w:val="nil"/>
          <w:right w:val="nil"/>
        </w:tcBorders>
        <w:shd w:val="clear" w:color="FFFFFF" w:fill="FFFFFF"/>
      </w:tcPr>
    </w:tblStylePr>
    <w:tblStylePr w:type="firstCol">
      <w:pPr>
        <w:snapToGrid/>
        <w:jc w:val="right"/>
      </w:pPr>
      <w:rPr>
        <w:i/>
        <w:color w:val="404040"/>
      </w:rPr>
      <w:tblPr/>
      <w:tcPr>
        <w:tcBorders>
          <w:right w:val="single" w:sz="4" w:space="0" w:color="404040"/>
        </w:tcBorders>
        <w:shd w:val="clear" w:color="FFFFFF" w:fill="FFFFFF"/>
      </w:tcPr>
    </w:tblStylePr>
    <w:tblStylePr w:type="lastCol">
      <w:pPr>
        <w:snapToGrid/>
      </w:pPr>
      <w:rPr>
        <w:i/>
        <w:color w:val="404040"/>
      </w:rPr>
      <w:tblPr/>
      <w:tcPr>
        <w:tcBorders>
          <w:left w:val="single" w:sz="4" w:space="0" w:color="404040"/>
        </w:tcBorders>
        <w:shd w:val="clear" w:color="FFFFFF" w:fill="FFFFFF"/>
      </w:tcPr>
    </w:tblStylePr>
    <w:tblStylePr w:type="band1Vert">
      <w:pPr>
        <w:snapToGrid/>
      </w:pPr>
      <w:rPr>
        <w:rFonts w:ascii="Arial" w:hAnsi="Arial"/>
        <w:color w:val="404040"/>
        <w:sz w:val="22"/>
      </w:rPr>
      <w:tblPr/>
      <w:tcPr>
        <w:shd w:val="clear" w:color="F2F2F2" w:fill="F2F2F2" w:themeFill="text1" w:themeFillTint="0D"/>
      </w:tcPr>
    </w:tblStylePr>
    <w:tblStylePr w:type="band2Vert">
      <w:pPr>
        <w:snapToGrid/>
      </w:pPr>
    </w:tblStylePr>
    <w:tblStylePr w:type="band1Horz">
      <w:pPr>
        <w:snapToGrid/>
      </w:pPr>
      <w:rPr>
        <w:rFonts w:ascii="Arial" w:hAnsi="Arial"/>
        <w:color w:val="404040"/>
        <w:sz w:val="22"/>
      </w:rPr>
      <w:tblPr/>
      <w:tcPr>
        <w:shd w:val="clear" w:color="F2F2F2" w:fill="F2F2F2" w:themeFill="text1" w:themeFillTint="0D"/>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1101">
    <w:name w:val="网格表 1 浅色1_0"/>
    <w:basedOn w:val="TableNormal"/>
    <w:uiPriority w:val="99"/>
    <w:qFormat/>
    <w:tblPr>
      <w:tbl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insideH w:val="single" w:sz="4" w:space="0" w:color="989898" w:themeColor="text1" w:themeTint="67"/>
        <w:insideV w:val="single" w:sz="4" w:space="0" w:color="989898" w:themeColor="text1" w:themeTint="67"/>
      </w:tblBorders>
    </w:tblPr>
    <w:tblStylePr w:type="firstRow">
      <w:pPr>
        <w:snapToGrid/>
      </w:pPr>
      <w:rPr>
        <w:b/>
        <w:color w:val="404040"/>
      </w:rPr>
      <w:tblPr/>
      <w:tcPr>
        <w:tcBorders>
          <w:bottom w:val="single" w:sz="12" w:space="0" w:color="6A6A6A" w:themeColor="text1" w:themeTint="95"/>
        </w:tcBorders>
      </w:tcPr>
    </w:tblStylePr>
    <w:tblStylePr w:type="lastRow">
      <w:pPr>
        <w:snapToGrid/>
      </w:pPr>
      <w:rPr>
        <w:b/>
        <w:color w:val="404040"/>
      </w:rPr>
    </w:tblStylePr>
    <w:tblStylePr w:type="firstCol">
      <w:pPr>
        <w:snapToGrid/>
      </w:pPr>
      <w:rPr>
        <w:b/>
        <w:color w:val="404040"/>
      </w:rPr>
    </w:tblStylePr>
    <w:tblStylePr w:type="lastCol">
      <w:pPr>
        <w:snapToGrid/>
      </w:pPr>
      <w:rPr>
        <w:b/>
        <w:color w:val="404040"/>
      </w:rPr>
    </w:tblStylePr>
    <w:tblStylePr w:type="band1Vert">
      <w:pPr>
        <w:snapToGrid/>
      </w:pPr>
    </w:tblStylePr>
    <w:tblStylePr w:type="band2Vert">
      <w:pPr>
        <w:snapToGrid/>
      </w:pPr>
    </w:tblStylePr>
    <w:tblStylePr w:type="band1Horz">
      <w:pPr>
        <w:snapToGrid/>
      </w:pPr>
      <w:rPr>
        <w:rFonts w:ascii="Arial" w:hAnsi="Arial"/>
        <w:color w:val="404040"/>
        <w:sz w:val="22"/>
      </w:rPr>
      <w:tblPr/>
      <w:tcPr>
        <w:tc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tcBorders>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GridTable1Light-Accent1">
    <w:name w:val="Grid Table 1 Light - Accent 1"/>
    <w:basedOn w:val="TableNormal"/>
    <w:uiPriority w:val="99"/>
    <w:qFormat/>
    <w:tblPr>
      <w:tbl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insideH w:val="single" w:sz="4" w:space="0" w:color="B7CBE4" w:themeColor="accent1" w:themeTint="67"/>
        <w:insideV w:val="single" w:sz="4" w:space="0" w:color="B7CBE4" w:themeColor="accent1" w:themeTint="67"/>
      </w:tblBorders>
    </w:tblPr>
    <w:tblStylePr w:type="firstRow">
      <w:pPr>
        <w:snapToGrid/>
      </w:pPr>
      <w:rPr>
        <w:b/>
        <w:color w:val="404040"/>
      </w:rPr>
      <w:tblPr/>
      <w:tcPr>
        <w:tcBorders>
          <w:bottom w:val="single" w:sz="12" w:space="0" w:color="97B4D8" w:themeColor="accent1" w:themeTint="95"/>
        </w:tcBorders>
      </w:tcPr>
    </w:tblStylePr>
    <w:tblStylePr w:type="lastRow">
      <w:pPr>
        <w:snapToGrid/>
      </w:pPr>
      <w:rPr>
        <w:b/>
        <w:color w:val="404040"/>
      </w:rPr>
    </w:tblStylePr>
    <w:tblStylePr w:type="firstCol">
      <w:pPr>
        <w:snapToGrid/>
      </w:pPr>
      <w:rPr>
        <w:b/>
        <w:color w:val="404040"/>
      </w:rPr>
    </w:tblStylePr>
    <w:tblStylePr w:type="lastCol">
      <w:pPr>
        <w:snapToGrid/>
      </w:pPr>
      <w:rPr>
        <w:b/>
        <w:color w:val="404040"/>
      </w:rPr>
    </w:tblStylePr>
    <w:tblStylePr w:type="band1Vert">
      <w:pPr>
        <w:snapToGrid/>
      </w:pPr>
    </w:tblStylePr>
    <w:tblStylePr w:type="band2Vert">
      <w:pPr>
        <w:snapToGrid/>
      </w:pPr>
    </w:tblStylePr>
    <w:tblStylePr w:type="band1Horz">
      <w:pPr>
        <w:snapToGrid/>
      </w:pPr>
      <w:rPr>
        <w:rFonts w:ascii="Arial" w:hAnsi="Arial"/>
        <w:color w:val="404040"/>
        <w:sz w:val="22"/>
      </w:rPr>
      <w:tblPr/>
      <w:tcPr>
        <w:tc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tcBorders>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GridTable1Light-Accent2">
    <w:name w:val="Grid Table 1 Light - Accent 2"/>
    <w:basedOn w:val="TableNormal"/>
    <w:uiPriority w:val="99"/>
    <w:qFormat/>
    <w:tblPr>
      <w:tbl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insideH w:val="single" w:sz="4" w:space="0" w:color="E5B7B6" w:themeColor="accent2" w:themeTint="67"/>
        <w:insideV w:val="single" w:sz="4" w:space="0" w:color="E5B7B6" w:themeColor="accent2" w:themeTint="67"/>
      </w:tblBorders>
    </w:tblPr>
    <w:tblStylePr w:type="firstRow">
      <w:pPr>
        <w:snapToGrid/>
      </w:pPr>
      <w:rPr>
        <w:b/>
        <w:color w:val="404040"/>
      </w:rPr>
      <w:tblPr/>
      <w:tcPr>
        <w:tcBorders>
          <w:bottom w:val="single" w:sz="12" w:space="0" w:color="DA9896" w:themeColor="accent2" w:themeTint="95"/>
        </w:tcBorders>
      </w:tcPr>
    </w:tblStylePr>
    <w:tblStylePr w:type="lastRow">
      <w:pPr>
        <w:snapToGrid/>
      </w:pPr>
      <w:rPr>
        <w:b/>
        <w:color w:val="404040"/>
      </w:rPr>
    </w:tblStylePr>
    <w:tblStylePr w:type="firstCol">
      <w:pPr>
        <w:snapToGrid/>
      </w:pPr>
      <w:rPr>
        <w:b/>
        <w:color w:val="404040"/>
      </w:rPr>
    </w:tblStylePr>
    <w:tblStylePr w:type="lastCol">
      <w:pPr>
        <w:snapToGrid/>
      </w:pPr>
      <w:rPr>
        <w:b/>
        <w:color w:val="404040"/>
      </w:rPr>
    </w:tblStylePr>
    <w:tblStylePr w:type="band1Vert">
      <w:pPr>
        <w:snapToGrid/>
      </w:pPr>
    </w:tblStylePr>
    <w:tblStylePr w:type="band2Vert">
      <w:pPr>
        <w:snapToGrid/>
      </w:pPr>
    </w:tblStylePr>
    <w:tblStylePr w:type="band1Horz">
      <w:pPr>
        <w:snapToGrid/>
      </w:pPr>
      <w:rPr>
        <w:rFonts w:ascii="Arial" w:hAnsi="Arial"/>
        <w:color w:val="404040"/>
        <w:sz w:val="22"/>
      </w:rPr>
      <w:tblPr/>
      <w:tcPr>
        <w:tc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tcBorders>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GridTable1Light-Accent3">
    <w:name w:val="Grid Table 1 Light - Accent 3"/>
    <w:basedOn w:val="TableNormal"/>
    <w:uiPriority w:val="99"/>
    <w:qFormat/>
    <w:tblPr>
      <w:tbl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insideH w:val="single" w:sz="4" w:space="0" w:color="D6E3BB" w:themeColor="accent3" w:themeTint="67"/>
        <w:insideV w:val="single" w:sz="4" w:space="0" w:color="D6E3BB" w:themeColor="accent3" w:themeTint="67"/>
      </w:tblBorders>
    </w:tblPr>
    <w:tblStylePr w:type="firstRow">
      <w:pPr>
        <w:snapToGrid/>
      </w:pPr>
      <w:rPr>
        <w:b/>
        <w:color w:val="404040"/>
      </w:rPr>
      <w:tblPr/>
      <w:tcPr>
        <w:tcBorders>
          <w:bottom w:val="single" w:sz="12" w:space="0" w:color="C4D79D" w:themeColor="accent3" w:themeTint="95"/>
        </w:tcBorders>
      </w:tcPr>
    </w:tblStylePr>
    <w:tblStylePr w:type="lastRow">
      <w:pPr>
        <w:snapToGrid/>
      </w:pPr>
      <w:rPr>
        <w:b/>
        <w:color w:val="404040"/>
      </w:rPr>
    </w:tblStylePr>
    <w:tblStylePr w:type="firstCol">
      <w:pPr>
        <w:snapToGrid/>
      </w:pPr>
      <w:rPr>
        <w:b/>
        <w:color w:val="404040"/>
      </w:rPr>
    </w:tblStylePr>
    <w:tblStylePr w:type="lastCol">
      <w:pPr>
        <w:snapToGrid/>
      </w:pPr>
      <w:rPr>
        <w:b/>
        <w:color w:val="404040"/>
      </w:rPr>
    </w:tblStylePr>
    <w:tblStylePr w:type="band1Vert">
      <w:pPr>
        <w:snapToGrid/>
      </w:pPr>
    </w:tblStylePr>
    <w:tblStylePr w:type="band2Vert">
      <w:pPr>
        <w:snapToGrid/>
      </w:pPr>
    </w:tblStylePr>
    <w:tblStylePr w:type="band1Horz">
      <w:pPr>
        <w:snapToGrid/>
      </w:pPr>
      <w:rPr>
        <w:rFonts w:ascii="Arial" w:hAnsi="Arial"/>
        <w:color w:val="404040"/>
        <w:sz w:val="22"/>
      </w:rPr>
      <w:tblPr/>
      <w:tcPr>
        <w:tc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tcBorders>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GridTable1Light-Accent4">
    <w:name w:val="Grid Table 1 Light - Accent 4"/>
    <w:basedOn w:val="TableNormal"/>
    <w:uiPriority w:val="99"/>
    <w:qFormat/>
    <w:tblPr>
      <w:tbl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insideH w:val="single" w:sz="4" w:space="0" w:color="CBC0D9" w:themeColor="accent4" w:themeTint="67"/>
        <w:insideV w:val="single" w:sz="4" w:space="0" w:color="CBC0D9" w:themeColor="accent4" w:themeTint="67"/>
      </w:tblBorders>
    </w:tblPr>
    <w:tblStylePr w:type="firstRow">
      <w:pPr>
        <w:snapToGrid/>
      </w:pPr>
      <w:rPr>
        <w:b/>
        <w:color w:val="404040"/>
      </w:rPr>
      <w:tblPr/>
      <w:tcPr>
        <w:tcBorders>
          <w:bottom w:val="single" w:sz="12" w:space="0" w:color="B4A4C8" w:themeColor="accent4" w:themeTint="95"/>
        </w:tcBorders>
      </w:tcPr>
    </w:tblStylePr>
    <w:tblStylePr w:type="lastRow">
      <w:pPr>
        <w:snapToGrid/>
      </w:pPr>
      <w:rPr>
        <w:b/>
        <w:color w:val="404040"/>
      </w:rPr>
    </w:tblStylePr>
    <w:tblStylePr w:type="firstCol">
      <w:pPr>
        <w:snapToGrid/>
      </w:pPr>
      <w:rPr>
        <w:b/>
        <w:color w:val="404040"/>
      </w:rPr>
    </w:tblStylePr>
    <w:tblStylePr w:type="lastCol">
      <w:pPr>
        <w:snapToGrid/>
      </w:pPr>
      <w:rPr>
        <w:b/>
        <w:color w:val="404040"/>
      </w:rPr>
    </w:tblStylePr>
    <w:tblStylePr w:type="band1Vert">
      <w:pPr>
        <w:snapToGrid/>
      </w:pPr>
    </w:tblStylePr>
    <w:tblStylePr w:type="band2Vert">
      <w:pPr>
        <w:snapToGrid/>
      </w:pPr>
    </w:tblStylePr>
    <w:tblStylePr w:type="band1Horz">
      <w:pPr>
        <w:snapToGrid/>
      </w:pPr>
      <w:rPr>
        <w:rFonts w:ascii="Arial" w:hAnsi="Arial"/>
        <w:color w:val="404040"/>
        <w:sz w:val="22"/>
      </w:rPr>
      <w:tblPr/>
      <w:tcPr>
        <w:tc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tcBorders>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GridTable1Light-Accent5">
    <w:name w:val="Grid Table 1 Light - Accent 5"/>
    <w:basedOn w:val="TableNormal"/>
    <w:uiPriority w:val="99"/>
    <w:qFormat/>
    <w:tblPr>
      <w:tbl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insideH w:val="single" w:sz="4" w:space="0" w:color="B6DDE8" w:themeColor="accent5" w:themeTint="67"/>
        <w:insideV w:val="single" w:sz="4" w:space="0" w:color="B6DDE8" w:themeColor="accent5" w:themeTint="67"/>
      </w:tblBorders>
    </w:tblPr>
    <w:tblStylePr w:type="firstRow">
      <w:pPr>
        <w:snapToGrid/>
      </w:pPr>
      <w:rPr>
        <w:b/>
        <w:color w:val="404040"/>
      </w:rPr>
      <w:tblPr/>
      <w:tcPr>
        <w:tcBorders>
          <w:bottom w:val="single" w:sz="12" w:space="0" w:color="95CEDD" w:themeColor="accent5" w:themeTint="95"/>
        </w:tcBorders>
      </w:tcPr>
    </w:tblStylePr>
    <w:tblStylePr w:type="lastRow">
      <w:pPr>
        <w:snapToGrid/>
      </w:pPr>
      <w:rPr>
        <w:b/>
        <w:color w:val="404040"/>
      </w:rPr>
    </w:tblStylePr>
    <w:tblStylePr w:type="firstCol">
      <w:pPr>
        <w:snapToGrid/>
      </w:pPr>
      <w:rPr>
        <w:b/>
        <w:color w:val="404040"/>
      </w:rPr>
    </w:tblStylePr>
    <w:tblStylePr w:type="lastCol">
      <w:pPr>
        <w:snapToGrid/>
      </w:pPr>
      <w:rPr>
        <w:b/>
        <w:color w:val="404040"/>
      </w:rPr>
    </w:tblStylePr>
    <w:tblStylePr w:type="band1Vert">
      <w:pPr>
        <w:snapToGrid/>
      </w:pPr>
    </w:tblStylePr>
    <w:tblStylePr w:type="band2Vert">
      <w:pPr>
        <w:snapToGrid/>
      </w:pPr>
    </w:tblStylePr>
    <w:tblStylePr w:type="band1Horz">
      <w:pPr>
        <w:snapToGrid/>
      </w:pPr>
      <w:rPr>
        <w:rFonts w:ascii="Arial" w:hAnsi="Arial"/>
        <w:color w:val="404040"/>
        <w:sz w:val="22"/>
      </w:rPr>
      <w:tblPr/>
      <w:tcPr>
        <w:tc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tcBorders>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GridTable1Light-Accent6">
    <w:name w:val="Grid Table 1 Light - Accent 6"/>
    <w:basedOn w:val="TableNormal"/>
    <w:uiPriority w:val="99"/>
    <w:qFormat/>
    <w:tblPr>
      <w:tbl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insideH w:val="single" w:sz="4" w:space="0" w:color="FBD4B4" w:themeColor="accent6" w:themeTint="67"/>
        <w:insideV w:val="single" w:sz="4" w:space="0" w:color="FBD4B4" w:themeColor="accent6" w:themeTint="67"/>
      </w:tblBorders>
    </w:tblPr>
    <w:tblStylePr w:type="firstRow">
      <w:pPr>
        <w:snapToGrid/>
      </w:pPr>
      <w:rPr>
        <w:b/>
        <w:color w:val="404040"/>
      </w:rPr>
      <w:tblPr/>
      <w:tcPr>
        <w:tcBorders>
          <w:bottom w:val="single" w:sz="12" w:space="0" w:color="FAC192" w:themeColor="accent6" w:themeTint="95"/>
        </w:tcBorders>
      </w:tcPr>
    </w:tblStylePr>
    <w:tblStylePr w:type="lastRow">
      <w:pPr>
        <w:snapToGrid/>
      </w:pPr>
      <w:rPr>
        <w:b/>
        <w:color w:val="404040"/>
      </w:rPr>
    </w:tblStylePr>
    <w:tblStylePr w:type="firstCol">
      <w:pPr>
        <w:snapToGrid/>
      </w:pPr>
      <w:rPr>
        <w:b/>
        <w:color w:val="404040"/>
      </w:rPr>
    </w:tblStylePr>
    <w:tblStylePr w:type="lastCol">
      <w:pPr>
        <w:snapToGrid/>
      </w:pPr>
      <w:rPr>
        <w:b/>
        <w:color w:val="404040"/>
      </w:rPr>
    </w:tblStylePr>
    <w:tblStylePr w:type="band1Vert">
      <w:pPr>
        <w:snapToGrid/>
      </w:pPr>
    </w:tblStylePr>
    <w:tblStylePr w:type="band2Vert">
      <w:pPr>
        <w:snapToGrid/>
      </w:pPr>
    </w:tblStylePr>
    <w:tblStylePr w:type="band1Horz">
      <w:pPr>
        <w:snapToGrid/>
      </w:pPr>
      <w:rPr>
        <w:rFonts w:ascii="Arial" w:hAnsi="Arial"/>
        <w:color w:val="404040"/>
        <w:sz w:val="22"/>
      </w:rPr>
      <w:tblPr/>
      <w:tcPr>
        <w:tc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tcBorders>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2101">
    <w:name w:val="网格表 21_0"/>
    <w:basedOn w:val="TableNormal"/>
    <w:uiPriority w:val="99"/>
    <w:qFormat/>
    <w:tblPr>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pPr>
        <w:snapToGrid/>
      </w:pPr>
      <w:rPr>
        <w:b/>
        <w:color w:val="404040"/>
      </w:rPr>
      <w:tblPr/>
      <w:tcPr>
        <w:tcBorders>
          <w:top w:val="nil"/>
          <w:left w:val="nil"/>
          <w:bottom w:val="single" w:sz="12" w:space="0" w:color="6A6A6A" w:themeColor="text1" w:themeTint="95"/>
          <w:right w:val="nil"/>
        </w:tcBorders>
        <w:shd w:val="clear" w:color="FFFFFF" w:fill="FFFFFF"/>
      </w:tcPr>
    </w:tblStylePr>
    <w:tblStylePr w:type="lastRow">
      <w:pPr>
        <w:snapToGrid/>
      </w:pPr>
      <w:rPr>
        <w:b/>
        <w:color w:val="404040"/>
      </w:rPr>
      <w:tblPr/>
      <w:tcPr>
        <w:tcBorders>
          <w:top w:val="single" w:sz="4" w:space="0" w:color="6A6A6A" w:themeColor="text1" w:themeTint="95"/>
          <w:left w:val="nil"/>
          <w:bottom w:val="nil"/>
          <w:right w:val="nil"/>
        </w:tcBorders>
        <w:shd w:val="clear" w:color="FFFFFF" w:fill="FFFFFF"/>
      </w:tcPr>
    </w:tblStylePr>
    <w:tblStylePr w:type="firstCol">
      <w:pPr>
        <w:snapToGrid/>
      </w:pPr>
      <w:rPr>
        <w:b/>
        <w:color w:val="404040"/>
      </w:rPr>
    </w:tblStylePr>
    <w:tblStylePr w:type="lastCol">
      <w:pPr>
        <w:snapToGrid/>
      </w:pPr>
      <w:rPr>
        <w:b/>
        <w:color w:val="404040"/>
      </w:rPr>
    </w:tblStylePr>
    <w:tblStylePr w:type="band1Vert">
      <w:pPr>
        <w:snapToGrid/>
      </w:pPr>
      <w:rPr>
        <w:rFonts w:ascii="Arial" w:hAnsi="Arial"/>
        <w:color w:val="404040"/>
        <w:sz w:val="22"/>
      </w:rPr>
      <w:tblPr/>
      <w:tcPr>
        <w:shd w:val="clear" w:color="CBCBCB" w:fill="CBCBCB" w:themeFill="text1" w:themeFillTint="34"/>
      </w:tcPr>
    </w:tblStylePr>
    <w:tblStylePr w:type="band2Vert">
      <w:pPr>
        <w:snapToGrid/>
      </w:pPr>
    </w:tblStylePr>
    <w:tblStylePr w:type="band1Horz">
      <w:pPr>
        <w:snapToGrid/>
      </w:pPr>
      <w:rPr>
        <w:rFonts w:ascii="Arial" w:hAnsi="Arial"/>
        <w:color w:val="404040"/>
        <w:sz w:val="22"/>
      </w:rPr>
      <w:tblPr/>
      <w:tcPr>
        <w:shd w:val="clear" w:color="CBCBCB" w:fill="CBCBCB" w:themeFill="text1" w:themeFillTint="34"/>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GridTable2-Accent1">
    <w:name w:val="Grid Table 2 - Accent 1"/>
    <w:basedOn w:val="TableNormal"/>
    <w:uiPriority w:val="99"/>
    <w:qFormat/>
    <w:tblPr>
      <w:tblBorders>
        <w:bottom w:val="single" w:sz="4" w:space="0" w:color="5D8AC2" w:themeColor="accent1" w:themeTint="EA"/>
        <w:insideH w:val="single" w:sz="4" w:space="0" w:color="5D8AC2" w:themeColor="accent1" w:themeTint="EA"/>
        <w:insideV w:val="single" w:sz="4" w:space="0" w:color="5D8AC2" w:themeColor="accent1" w:themeTint="EA"/>
      </w:tblBorders>
    </w:tblPr>
    <w:tblStylePr w:type="firstRow">
      <w:pPr>
        <w:snapToGrid/>
      </w:pPr>
      <w:rPr>
        <w:b/>
        <w:color w:val="404040"/>
      </w:rPr>
      <w:tblPr/>
      <w:tcPr>
        <w:tcBorders>
          <w:top w:val="nil"/>
          <w:left w:val="nil"/>
          <w:bottom w:val="single" w:sz="12" w:space="0" w:color="5D8AC2" w:themeColor="accent1" w:themeTint="EA"/>
          <w:right w:val="nil"/>
        </w:tcBorders>
        <w:shd w:val="clear" w:color="FFFFFF" w:fill="FFFFFF"/>
      </w:tcPr>
    </w:tblStylePr>
    <w:tblStylePr w:type="lastRow">
      <w:pPr>
        <w:snapToGrid/>
      </w:pPr>
      <w:rPr>
        <w:b/>
        <w:color w:val="404040"/>
      </w:rPr>
      <w:tblPr/>
      <w:tcPr>
        <w:tcBorders>
          <w:top w:val="single" w:sz="4" w:space="0" w:color="5D8AC2" w:themeColor="accent1" w:themeTint="EA"/>
          <w:left w:val="nil"/>
          <w:bottom w:val="nil"/>
          <w:right w:val="nil"/>
        </w:tcBorders>
        <w:shd w:val="clear" w:color="FFFFFF" w:fill="FFFFFF"/>
      </w:tcPr>
    </w:tblStylePr>
    <w:tblStylePr w:type="firstCol">
      <w:pPr>
        <w:snapToGrid/>
      </w:pPr>
      <w:rPr>
        <w:b/>
        <w:color w:val="404040"/>
      </w:rPr>
    </w:tblStylePr>
    <w:tblStylePr w:type="lastCol">
      <w:pPr>
        <w:snapToGrid/>
      </w:pPr>
      <w:rPr>
        <w:b/>
        <w:color w:val="404040"/>
      </w:rPr>
    </w:tblStylePr>
    <w:tblStylePr w:type="band1Vert">
      <w:pPr>
        <w:snapToGrid/>
      </w:pPr>
      <w:rPr>
        <w:rFonts w:ascii="Arial" w:hAnsi="Arial"/>
        <w:color w:val="404040"/>
        <w:sz w:val="22"/>
      </w:rPr>
      <w:tblPr/>
      <w:tcPr>
        <w:shd w:val="clear" w:color="DDEAF6" w:fill="DAE5F1" w:themeFill="accent1" w:themeFillTint="34"/>
      </w:tcPr>
    </w:tblStylePr>
    <w:tblStylePr w:type="band2Vert">
      <w:pPr>
        <w:snapToGrid/>
      </w:pPr>
    </w:tblStylePr>
    <w:tblStylePr w:type="band1Horz">
      <w:pPr>
        <w:snapToGrid/>
      </w:pPr>
      <w:rPr>
        <w:rFonts w:ascii="Arial" w:hAnsi="Arial"/>
        <w:color w:val="404040"/>
        <w:sz w:val="22"/>
      </w:rPr>
      <w:tblPr/>
      <w:tcPr>
        <w:shd w:val="clear" w:color="DDEAF6" w:fill="DAE5F1" w:themeFill="accent1" w:themeFillTint="34"/>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GridTable2-Accent2">
    <w:name w:val="Grid Table 2 - Accent 2"/>
    <w:basedOn w:val="TableNormal"/>
    <w:uiPriority w:val="99"/>
    <w:qFormat/>
    <w:tblPr>
      <w:tblBorders>
        <w:bottom w:val="single" w:sz="4" w:space="0" w:color="D99695" w:themeColor="accent2" w:themeTint="97"/>
        <w:insideH w:val="single" w:sz="4" w:space="0" w:color="D99695" w:themeColor="accent2" w:themeTint="97"/>
        <w:insideV w:val="single" w:sz="4" w:space="0" w:color="D99695" w:themeColor="accent2" w:themeTint="97"/>
      </w:tblBorders>
    </w:tblPr>
    <w:tblStylePr w:type="firstRow">
      <w:pPr>
        <w:snapToGrid/>
      </w:pPr>
      <w:rPr>
        <w:b/>
        <w:color w:val="404040"/>
      </w:rPr>
      <w:tblPr/>
      <w:tcPr>
        <w:tcBorders>
          <w:top w:val="nil"/>
          <w:left w:val="nil"/>
          <w:bottom w:val="single" w:sz="12" w:space="0" w:color="D99695" w:themeColor="accent2" w:themeTint="97"/>
          <w:right w:val="nil"/>
        </w:tcBorders>
        <w:shd w:val="clear" w:color="FFFFFF" w:fill="FFFFFF"/>
      </w:tcPr>
    </w:tblStylePr>
    <w:tblStylePr w:type="lastRow">
      <w:pPr>
        <w:snapToGrid/>
      </w:pPr>
      <w:rPr>
        <w:b/>
        <w:color w:val="404040"/>
      </w:rPr>
      <w:tblPr/>
      <w:tcPr>
        <w:tcBorders>
          <w:top w:val="single" w:sz="4" w:space="0" w:color="D99695" w:themeColor="accent2" w:themeTint="97"/>
          <w:left w:val="nil"/>
          <w:bottom w:val="nil"/>
          <w:right w:val="nil"/>
        </w:tcBorders>
        <w:shd w:val="clear" w:color="FFFFFF" w:fill="FFFFFF"/>
      </w:tcPr>
    </w:tblStylePr>
    <w:tblStylePr w:type="firstCol">
      <w:pPr>
        <w:snapToGrid/>
      </w:pPr>
      <w:rPr>
        <w:b/>
        <w:color w:val="404040"/>
      </w:rPr>
    </w:tblStylePr>
    <w:tblStylePr w:type="lastCol">
      <w:pPr>
        <w:snapToGrid/>
      </w:pPr>
      <w:rPr>
        <w:b/>
        <w:color w:val="404040"/>
      </w:rPr>
    </w:tblStylePr>
    <w:tblStylePr w:type="band1Vert">
      <w:pPr>
        <w:snapToGrid/>
      </w:pPr>
      <w:rPr>
        <w:rFonts w:ascii="Arial" w:hAnsi="Arial"/>
        <w:color w:val="404040"/>
        <w:sz w:val="22"/>
      </w:rPr>
      <w:tblPr/>
      <w:tcPr>
        <w:shd w:val="clear" w:color="FBE5D6" w:fill="F2DCDC" w:themeFill="accent2" w:themeFillTint="32"/>
      </w:tcPr>
    </w:tblStylePr>
    <w:tblStylePr w:type="band2Vert">
      <w:pPr>
        <w:snapToGrid/>
      </w:pPr>
    </w:tblStylePr>
    <w:tblStylePr w:type="band1Horz">
      <w:pPr>
        <w:snapToGrid/>
      </w:pPr>
      <w:rPr>
        <w:rFonts w:ascii="Arial" w:hAnsi="Arial"/>
        <w:color w:val="404040"/>
        <w:sz w:val="22"/>
      </w:rPr>
      <w:tblPr/>
      <w:tcPr>
        <w:shd w:val="clear" w:color="FBE5D6" w:fill="F2DCDC" w:themeFill="accent2" w:themeFillTint="32"/>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GridTable2-Accent3">
    <w:name w:val="Grid Table 2 - Accent 3"/>
    <w:basedOn w:val="TableNormal"/>
    <w:uiPriority w:val="99"/>
    <w:qFormat/>
    <w:tblPr>
      <w:tblBorders>
        <w:bottom w:val="single" w:sz="4" w:space="0" w:color="9ABB59" w:themeColor="accent3" w:themeTint="FE"/>
        <w:insideH w:val="single" w:sz="4" w:space="0" w:color="9ABB59" w:themeColor="accent3" w:themeTint="FE"/>
        <w:insideV w:val="single" w:sz="4" w:space="0" w:color="9ABB59" w:themeColor="accent3" w:themeTint="FE"/>
      </w:tblBorders>
    </w:tblPr>
    <w:tblStylePr w:type="firstRow">
      <w:pPr>
        <w:snapToGrid/>
      </w:pPr>
      <w:rPr>
        <w:b/>
        <w:color w:val="404040"/>
      </w:rPr>
      <w:tblPr/>
      <w:tcPr>
        <w:tcBorders>
          <w:top w:val="nil"/>
          <w:left w:val="nil"/>
          <w:bottom w:val="single" w:sz="12" w:space="0" w:color="9ABB59" w:themeColor="accent3" w:themeTint="FE"/>
          <w:right w:val="nil"/>
        </w:tcBorders>
        <w:shd w:val="clear" w:color="FFFFFF" w:fill="FFFFFF"/>
      </w:tcPr>
    </w:tblStylePr>
    <w:tblStylePr w:type="lastRow">
      <w:pPr>
        <w:snapToGrid/>
      </w:pPr>
      <w:rPr>
        <w:b/>
        <w:color w:val="404040"/>
      </w:rPr>
      <w:tblPr/>
      <w:tcPr>
        <w:tcBorders>
          <w:top w:val="single" w:sz="4" w:space="0" w:color="9ABB59" w:themeColor="accent3" w:themeTint="FE"/>
          <w:left w:val="nil"/>
          <w:bottom w:val="nil"/>
          <w:right w:val="nil"/>
        </w:tcBorders>
        <w:shd w:val="clear" w:color="FFFFFF" w:fill="FFFFFF"/>
      </w:tcPr>
    </w:tblStylePr>
    <w:tblStylePr w:type="firstCol">
      <w:pPr>
        <w:snapToGrid/>
      </w:pPr>
      <w:rPr>
        <w:b/>
        <w:color w:val="404040"/>
      </w:rPr>
    </w:tblStylePr>
    <w:tblStylePr w:type="lastCol">
      <w:pPr>
        <w:snapToGrid/>
      </w:pPr>
      <w:rPr>
        <w:b/>
        <w:color w:val="404040"/>
      </w:rPr>
    </w:tblStylePr>
    <w:tblStylePr w:type="band1Vert">
      <w:pPr>
        <w:snapToGrid/>
      </w:pPr>
      <w:rPr>
        <w:rFonts w:ascii="Arial" w:hAnsi="Arial"/>
        <w:color w:val="404040"/>
        <w:sz w:val="22"/>
      </w:rPr>
      <w:tblPr/>
      <w:tcPr>
        <w:shd w:val="clear" w:color="ECECEC" w:fill="EAF1DC" w:themeFill="accent3" w:themeFillTint="34"/>
      </w:tcPr>
    </w:tblStylePr>
    <w:tblStylePr w:type="band2Vert">
      <w:pPr>
        <w:snapToGrid/>
      </w:pPr>
    </w:tblStylePr>
    <w:tblStylePr w:type="band1Horz">
      <w:pPr>
        <w:snapToGrid/>
      </w:pPr>
      <w:rPr>
        <w:rFonts w:ascii="Arial" w:hAnsi="Arial"/>
        <w:color w:val="404040"/>
        <w:sz w:val="22"/>
      </w:rPr>
      <w:tblPr/>
      <w:tcPr>
        <w:shd w:val="clear" w:color="ECECEC" w:fill="EAF1DC" w:themeFill="accent3" w:themeFillTint="34"/>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GridTable2-Accent4">
    <w:name w:val="Grid Table 2 - Accent 4"/>
    <w:basedOn w:val="TableNormal"/>
    <w:uiPriority w:val="99"/>
    <w:qFormat/>
    <w:tblPr>
      <w:tblBorders>
        <w:bottom w:val="single" w:sz="4" w:space="0" w:color="B2A1C6" w:themeColor="accent4" w:themeTint="9A"/>
        <w:insideH w:val="single" w:sz="4" w:space="0" w:color="B2A1C6" w:themeColor="accent4" w:themeTint="9A"/>
        <w:insideV w:val="single" w:sz="4" w:space="0" w:color="B2A1C6" w:themeColor="accent4" w:themeTint="9A"/>
      </w:tblBorders>
    </w:tblPr>
    <w:tblStylePr w:type="firstRow">
      <w:pPr>
        <w:snapToGrid/>
      </w:pPr>
      <w:rPr>
        <w:b/>
        <w:color w:val="404040"/>
      </w:rPr>
      <w:tblPr/>
      <w:tcPr>
        <w:tcBorders>
          <w:top w:val="nil"/>
          <w:left w:val="nil"/>
          <w:bottom w:val="single" w:sz="12" w:space="0" w:color="B2A1C6" w:themeColor="accent4" w:themeTint="9A"/>
          <w:right w:val="nil"/>
        </w:tcBorders>
        <w:shd w:val="clear" w:color="FFFFFF" w:fill="FFFFFF"/>
      </w:tcPr>
    </w:tblStylePr>
    <w:tblStylePr w:type="lastRow">
      <w:pPr>
        <w:snapToGrid/>
      </w:pPr>
      <w:rPr>
        <w:b/>
        <w:color w:val="404040"/>
      </w:rPr>
      <w:tblPr/>
      <w:tcPr>
        <w:tcBorders>
          <w:top w:val="single" w:sz="4" w:space="0" w:color="B2A1C6" w:themeColor="accent4" w:themeTint="9A"/>
          <w:left w:val="nil"/>
          <w:bottom w:val="nil"/>
          <w:right w:val="nil"/>
        </w:tcBorders>
        <w:shd w:val="clear" w:color="FFFFFF" w:fill="FFFFFF"/>
      </w:tcPr>
    </w:tblStylePr>
    <w:tblStylePr w:type="firstCol">
      <w:pPr>
        <w:snapToGrid/>
      </w:pPr>
      <w:rPr>
        <w:b/>
        <w:color w:val="404040"/>
      </w:rPr>
    </w:tblStylePr>
    <w:tblStylePr w:type="lastCol">
      <w:pPr>
        <w:snapToGrid/>
      </w:pPr>
      <w:rPr>
        <w:b/>
        <w:color w:val="404040"/>
      </w:rPr>
    </w:tblStylePr>
    <w:tblStylePr w:type="band1Vert">
      <w:pPr>
        <w:snapToGrid/>
      </w:pPr>
      <w:rPr>
        <w:rFonts w:ascii="Arial" w:hAnsi="Arial"/>
        <w:color w:val="404040"/>
        <w:sz w:val="22"/>
      </w:rPr>
      <w:tblPr/>
      <w:tcPr>
        <w:shd w:val="clear" w:color="FFF2CB" w:fill="E5DFEC" w:themeFill="accent4" w:themeFillTint="34"/>
      </w:tcPr>
    </w:tblStylePr>
    <w:tblStylePr w:type="band2Vert">
      <w:pPr>
        <w:snapToGrid/>
      </w:pPr>
    </w:tblStylePr>
    <w:tblStylePr w:type="band1Horz">
      <w:pPr>
        <w:snapToGrid/>
      </w:pPr>
      <w:rPr>
        <w:rFonts w:ascii="Arial" w:hAnsi="Arial"/>
        <w:color w:val="404040"/>
        <w:sz w:val="22"/>
      </w:rPr>
      <w:tblPr/>
      <w:tcPr>
        <w:shd w:val="clear" w:color="FFF2CB" w:fill="E5DFEC" w:themeFill="accent4" w:themeFillTint="34"/>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GridTable2-Accent5">
    <w:name w:val="Grid Table 2 - Accent 5"/>
    <w:basedOn w:val="TableNormal"/>
    <w:uiPriority w:val="99"/>
    <w:qFormat/>
    <w:tblPr>
      <w:tblBorders>
        <w:bottom w:val="single" w:sz="4" w:space="0" w:color="4BACC6" w:themeColor="accent5"/>
        <w:insideH w:val="single" w:sz="4" w:space="0" w:color="4BACC6" w:themeColor="accent5"/>
        <w:insideV w:val="single" w:sz="4" w:space="0" w:color="4BACC6" w:themeColor="accent5"/>
      </w:tblBorders>
    </w:tblPr>
    <w:tblStylePr w:type="firstRow">
      <w:pPr>
        <w:snapToGrid/>
      </w:pPr>
      <w:rPr>
        <w:b/>
        <w:color w:val="404040"/>
      </w:rPr>
      <w:tblPr/>
      <w:tcPr>
        <w:tcBorders>
          <w:top w:val="nil"/>
          <w:left w:val="nil"/>
          <w:bottom w:val="single" w:sz="12" w:space="0" w:color="4BACC6" w:themeColor="accent5"/>
          <w:right w:val="nil"/>
        </w:tcBorders>
        <w:shd w:val="clear" w:color="FFFFFF" w:fill="FFFFFF"/>
      </w:tcPr>
    </w:tblStylePr>
    <w:tblStylePr w:type="lastRow">
      <w:pPr>
        <w:snapToGrid/>
      </w:pPr>
      <w:rPr>
        <w:b/>
        <w:color w:val="404040"/>
      </w:rPr>
      <w:tblPr/>
      <w:tcPr>
        <w:tcBorders>
          <w:top w:val="single" w:sz="4" w:space="0" w:color="4BACC6" w:themeColor="accent5"/>
          <w:left w:val="nil"/>
          <w:bottom w:val="nil"/>
          <w:right w:val="nil"/>
        </w:tcBorders>
        <w:shd w:val="clear" w:color="FFFFFF" w:fill="FFFFFF"/>
      </w:tcPr>
    </w:tblStylePr>
    <w:tblStylePr w:type="firstCol">
      <w:pPr>
        <w:snapToGrid/>
      </w:pPr>
      <w:rPr>
        <w:b/>
        <w:color w:val="404040"/>
      </w:rPr>
    </w:tblStylePr>
    <w:tblStylePr w:type="lastCol">
      <w:pPr>
        <w:snapToGrid/>
      </w:pPr>
      <w:rPr>
        <w:b/>
        <w:color w:val="404040"/>
      </w:rPr>
    </w:tblStylePr>
    <w:tblStylePr w:type="band1Vert">
      <w:pPr>
        <w:snapToGrid/>
      </w:pPr>
      <w:rPr>
        <w:rFonts w:ascii="Arial" w:hAnsi="Arial"/>
        <w:color w:val="404040"/>
        <w:sz w:val="22"/>
      </w:rPr>
      <w:tblPr/>
      <w:tcPr>
        <w:shd w:val="clear" w:color="D8E2F3" w:fill="DAEEF3" w:themeFill="accent5" w:themeFillTint="34"/>
      </w:tcPr>
    </w:tblStylePr>
    <w:tblStylePr w:type="band2Vert">
      <w:pPr>
        <w:snapToGrid/>
      </w:pPr>
    </w:tblStylePr>
    <w:tblStylePr w:type="band1Horz">
      <w:pPr>
        <w:snapToGrid/>
      </w:pPr>
      <w:rPr>
        <w:rFonts w:ascii="Arial" w:hAnsi="Arial"/>
        <w:color w:val="404040"/>
        <w:sz w:val="22"/>
      </w:rPr>
      <w:tblPr/>
      <w:tcPr>
        <w:shd w:val="clear" w:color="D8E2F3" w:fill="DAEEF3" w:themeFill="accent5" w:themeFillTint="34"/>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GridTable2-Accent6">
    <w:name w:val="Grid Table 2 - Accent 6"/>
    <w:basedOn w:val="TableNormal"/>
    <w:uiPriority w:val="99"/>
    <w:qFormat/>
    <w:tblPr>
      <w:tblBorders>
        <w:bottom w:val="single" w:sz="4" w:space="0" w:color="F79646" w:themeColor="accent6"/>
        <w:insideH w:val="single" w:sz="4" w:space="0" w:color="F79646" w:themeColor="accent6"/>
        <w:insideV w:val="single" w:sz="4" w:space="0" w:color="F79646" w:themeColor="accent6"/>
      </w:tblBorders>
    </w:tblPr>
    <w:tblStylePr w:type="firstRow">
      <w:pPr>
        <w:snapToGrid/>
      </w:pPr>
      <w:rPr>
        <w:b/>
        <w:color w:val="404040"/>
      </w:rPr>
      <w:tblPr/>
      <w:tcPr>
        <w:tcBorders>
          <w:top w:val="nil"/>
          <w:left w:val="nil"/>
          <w:bottom w:val="single" w:sz="12" w:space="0" w:color="F79646" w:themeColor="accent6"/>
          <w:right w:val="nil"/>
        </w:tcBorders>
        <w:shd w:val="clear" w:color="FFFFFF" w:fill="FFFFFF"/>
      </w:tcPr>
    </w:tblStylePr>
    <w:tblStylePr w:type="lastRow">
      <w:pPr>
        <w:snapToGrid/>
      </w:pPr>
      <w:rPr>
        <w:b/>
        <w:color w:val="404040"/>
      </w:rPr>
      <w:tblPr/>
      <w:tcPr>
        <w:tcBorders>
          <w:top w:val="single" w:sz="4" w:space="0" w:color="F79646" w:themeColor="accent6"/>
          <w:left w:val="nil"/>
          <w:bottom w:val="nil"/>
          <w:right w:val="nil"/>
        </w:tcBorders>
        <w:shd w:val="clear" w:color="FFFFFF" w:fill="FFFFFF"/>
      </w:tcPr>
    </w:tblStylePr>
    <w:tblStylePr w:type="firstCol">
      <w:pPr>
        <w:snapToGrid/>
      </w:pPr>
      <w:rPr>
        <w:b/>
        <w:color w:val="404040"/>
      </w:rPr>
    </w:tblStylePr>
    <w:tblStylePr w:type="lastCol">
      <w:pPr>
        <w:snapToGrid/>
      </w:pPr>
      <w:rPr>
        <w:b/>
        <w:color w:val="404040"/>
      </w:rPr>
    </w:tblStylePr>
    <w:tblStylePr w:type="band1Vert">
      <w:pPr>
        <w:snapToGrid/>
      </w:pPr>
      <w:rPr>
        <w:rFonts w:ascii="Arial" w:hAnsi="Arial"/>
        <w:color w:val="404040"/>
        <w:sz w:val="22"/>
      </w:rPr>
      <w:tblPr/>
      <w:tcPr>
        <w:shd w:val="clear" w:color="E1EFD8" w:fill="FDE9D8" w:themeFill="accent6" w:themeFillTint="34"/>
      </w:tcPr>
    </w:tblStylePr>
    <w:tblStylePr w:type="band2Vert">
      <w:pPr>
        <w:snapToGrid/>
      </w:pPr>
    </w:tblStylePr>
    <w:tblStylePr w:type="band1Horz">
      <w:pPr>
        <w:snapToGrid/>
      </w:pPr>
      <w:rPr>
        <w:rFonts w:ascii="Arial" w:hAnsi="Arial"/>
        <w:color w:val="404040"/>
        <w:sz w:val="22"/>
      </w:rPr>
      <w:tblPr/>
      <w:tcPr>
        <w:shd w:val="clear" w:color="E1EFD8" w:fill="FDE9D8" w:themeFill="accent6" w:themeFillTint="34"/>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3101">
    <w:name w:val="网格表 31_0"/>
    <w:basedOn w:val="TableNormal"/>
    <w:uiPriority w:val="99"/>
    <w:qFormat/>
    <w:tblPr>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pPr>
        <w:snapToGrid/>
      </w:pPr>
      <w:rPr>
        <w:b/>
        <w:color w:val="404040"/>
      </w:rPr>
      <w:tblPr/>
      <w:tcPr>
        <w:tcBorders>
          <w:top w:val="nil"/>
          <w:left w:val="nil"/>
          <w:bottom w:val="nil"/>
          <w:right w:val="nil"/>
        </w:tcBorders>
        <w:shd w:val="clear" w:color="FFFFFF" w:fill="FFFFFF"/>
      </w:tcPr>
    </w:tblStylePr>
    <w:tblStylePr w:type="lastRow">
      <w:pPr>
        <w:snapToGrid/>
      </w:pPr>
      <w:rPr>
        <w:b/>
        <w:color w:val="404040"/>
      </w:rPr>
      <w:tblPr/>
      <w:tcPr>
        <w:tcBorders>
          <w:top w:val="nil"/>
          <w:left w:val="nil"/>
          <w:bottom w:val="nil"/>
          <w:right w:val="nil"/>
        </w:tcBorders>
        <w:shd w:val="clear" w:color="FFFFFF" w:fill="FFFFFF"/>
      </w:tcPr>
    </w:tblStylePr>
    <w:tblStylePr w:type="firstCol">
      <w:pPr>
        <w:snapToGrid/>
        <w:jc w:val="right"/>
      </w:pPr>
      <w:rPr>
        <w:i/>
        <w:color w:val="404040"/>
      </w:rPr>
      <w:tblPr/>
      <w:tcPr>
        <w:tcBorders>
          <w:top w:val="nil"/>
          <w:left w:val="nil"/>
          <w:bottom w:val="nil"/>
          <w:right w:val="nil"/>
        </w:tcBorders>
        <w:shd w:val="clear" w:color="FFFFFF" w:fill="FFFFFF"/>
      </w:tcPr>
    </w:tblStylePr>
    <w:tblStylePr w:type="lastCol">
      <w:pPr>
        <w:snapToGrid/>
      </w:pPr>
      <w:rPr>
        <w:i/>
        <w:color w:val="404040"/>
      </w:rPr>
      <w:tblPr/>
      <w:tcPr>
        <w:tcBorders>
          <w:top w:val="nil"/>
          <w:left w:val="nil"/>
          <w:bottom w:val="nil"/>
          <w:right w:val="nil"/>
        </w:tcBorders>
        <w:shd w:val="clear" w:color="FFFFFF" w:fill="FFFFFF"/>
      </w:tcPr>
    </w:tblStylePr>
    <w:tblStylePr w:type="band1Vert">
      <w:pPr>
        <w:snapToGrid/>
      </w:pPr>
      <w:rPr>
        <w:rFonts w:ascii="Arial" w:hAnsi="Arial"/>
        <w:color w:val="404040"/>
        <w:sz w:val="22"/>
      </w:rPr>
      <w:tblPr/>
      <w:tcPr>
        <w:shd w:val="clear" w:color="CBCBCB" w:fill="CBCBCB" w:themeFill="text1" w:themeFillTint="34"/>
      </w:tcPr>
    </w:tblStylePr>
    <w:tblStylePr w:type="band2Vert">
      <w:pPr>
        <w:snapToGrid/>
      </w:pPr>
    </w:tblStylePr>
    <w:tblStylePr w:type="band1Horz">
      <w:pPr>
        <w:snapToGrid/>
      </w:pPr>
      <w:rPr>
        <w:rFonts w:ascii="Arial" w:hAnsi="Arial"/>
        <w:color w:val="404040"/>
        <w:sz w:val="22"/>
      </w:rPr>
      <w:tblPr/>
      <w:tcPr>
        <w:shd w:val="clear" w:color="CBCBCB" w:fill="CBCBCB" w:themeFill="text1" w:themeFillTint="34"/>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GridTable3-Accent1">
    <w:name w:val="Grid Table 3 - Accent 1"/>
    <w:basedOn w:val="TableNormal"/>
    <w:uiPriority w:val="99"/>
    <w:qFormat/>
    <w:tblPr>
      <w:tblBorders>
        <w:bottom w:val="single" w:sz="4" w:space="0" w:color="5D8AC2" w:themeColor="accent1" w:themeTint="EA"/>
        <w:insideH w:val="single" w:sz="4" w:space="0" w:color="5D8AC2" w:themeColor="accent1" w:themeTint="EA"/>
        <w:insideV w:val="single" w:sz="4" w:space="0" w:color="5D8AC2" w:themeColor="accent1" w:themeTint="EA"/>
      </w:tblBorders>
    </w:tblPr>
    <w:tblStylePr w:type="firstRow">
      <w:pPr>
        <w:snapToGrid/>
      </w:pPr>
      <w:rPr>
        <w:b/>
        <w:color w:val="404040"/>
      </w:rPr>
      <w:tblPr/>
      <w:tcPr>
        <w:tcBorders>
          <w:top w:val="nil"/>
          <w:left w:val="nil"/>
          <w:bottom w:val="nil"/>
          <w:right w:val="nil"/>
        </w:tcBorders>
        <w:shd w:val="clear" w:color="FFFFFF" w:fill="FFFFFF"/>
      </w:tcPr>
    </w:tblStylePr>
    <w:tblStylePr w:type="lastRow">
      <w:pPr>
        <w:snapToGrid/>
      </w:pPr>
      <w:rPr>
        <w:b/>
        <w:color w:val="404040"/>
      </w:rPr>
      <w:tblPr/>
      <w:tcPr>
        <w:tcBorders>
          <w:top w:val="nil"/>
          <w:left w:val="nil"/>
          <w:bottom w:val="nil"/>
          <w:right w:val="nil"/>
        </w:tcBorders>
        <w:shd w:val="clear" w:color="FFFFFF" w:fill="FFFFFF"/>
      </w:tcPr>
    </w:tblStylePr>
    <w:tblStylePr w:type="firstCol">
      <w:pPr>
        <w:snapToGrid/>
        <w:jc w:val="right"/>
      </w:pPr>
      <w:rPr>
        <w:i/>
        <w:color w:val="404040"/>
      </w:rPr>
      <w:tblPr/>
      <w:tcPr>
        <w:tcBorders>
          <w:top w:val="nil"/>
          <w:left w:val="nil"/>
          <w:bottom w:val="nil"/>
          <w:right w:val="nil"/>
        </w:tcBorders>
        <w:shd w:val="clear" w:color="FFFFFF" w:fill="FFFFFF"/>
      </w:tcPr>
    </w:tblStylePr>
    <w:tblStylePr w:type="lastCol">
      <w:pPr>
        <w:snapToGrid/>
      </w:pPr>
      <w:rPr>
        <w:i/>
        <w:color w:val="404040"/>
      </w:rPr>
      <w:tblPr/>
      <w:tcPr>
        <w:tcBorders>
          <w:top w:val="nil"/>
          <w:left w:val="nil"/>
          <w:bottom w:val="nil"/>
          <w:right w:val="nil"/>
        </w:tcBorders>
        <w:shd w:val="clear" w:color="FFFFFF" w:fill="FFFFFF"/>
      </w:tcPr>
    </w:tblStylePr>
    <w:tblStylePr w:type="band1Vert">
      <w:pPr>
        <w:snapToGrid/>
      </w:pPr>
      <w:rPr>
        <w:rFonts w:ascii="Arial" w:hAnsi="Arial"/>
        <w:color w:val="404040"/>
        <w:sz w:val="22"/>
      </w:rPr>
      <w:tblPr/>
      <w:tcPr>
        <w:shd w:val="clear" w:color="DDEAF6" w:fill="DAE5F1" w:themeFill="accent1" w:themeFillTint="34"/>
      </w:tcPr>
    </w:tblStylePr>
    <w:tblStylePr w:type="band2Vert">
      <w:pPr>
        <w:snapToGrid/>
      </w:pPr>
    </w:tblStylePr>
    <w:tblStylePr w:type="band1Horz">
      <w:pPr>
        <w:snapToGrid/>
      </w:pPr>
      <w:rPr>
        <w:rFonts w:ascii="Arial" w:hAnsi="Arial"/>
        <w:color w:val="404040"/>
        <w:sz w:val="22"/>
      </w:rPr>
      <w:tblPr/>
      <w:tcPr>
        <w:shd w:val="clear" w:color="DDEAF6" w:fill="DAE5F1" w:themeFill="accent1" w:themeFillTint="34"/>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GridTable3-Accent2">
    <w:name w:val="Grid Table 3 - Accent 2"/>
    <w:basedOn w:val="TableNormal"/>
    <w:uiPriority w:val="99"/>
    <w:qFormat/>
    <w:tblPr>
      <w:tblBorders>
        <w:bottom w:val="single" w:sz="4" w:space="0" w:color="D99695" w:themeColor="accent2" w:themeTint="97"/>
        <w:insideH w:val="single" w:sz="4" w:space="0" w:color="D99695" w:themeColor="accent2" w:themeTint="97"/>
        <w:insideV w:val="single" w:sz="4" w:space="0" w:color="D99695" w:themeColor="accent2" w:themeTint="97"/>
      </w:tblBorders>
    </w:tblPr>
    <w:tblStylePr w:type="firstRow">
      <w:pPr>
        <w:snapToGrid/>
      </w:pPr>
      <w:rPr>
        <w:b/>
        <w:color w:val="404040"/>
      </w:rPr>
      <w:tblPr/>
      <w:tcPr>
        <w:tcBorders>
          <w:top w:val="nil"/>
          <w:left w:val="nil"/>
          <w:bottom w:val="nil"/>
          <w:right w:val="nil"/>
        </w:tcBorders>
        <w:shd w:val="clear" w:color="FFFFFF" w:fill="FFFFFF"/>
      </w:tcPr>
    </w:tblStylePr>
    <w:tblStylePr w:type="lastRow">
      <w:pPr>
        <w:snapToGrid/>
      </w:pPr>
      <w:rPr>
        <w:b/>
        <w:color w:val="404040"/>
      </w:rPr>
      <w:tblPr/>
      <w:tcPr>
        <w:tcBorders>
          <w:top w:val="nil"/>
          <w:left w:val="nil"/>
          <w:bottom w:val="nil"/>
          <w:right w:val="nil"/>
        </w:tcBorders>
        <w:shd w:val="clear" w:color="FFFFFF" w:fill="FFFFFF"/>
      </w:tcPr>
    </w:tblStylePr>
    <w:tblStylePr w:type="firstCol">
      <w:pPr>
        <w:snapToGrid/>
        <w:jc w:val="right"/>
      </w:pPr>
      <w:rPr>
        <w:i/>
        <w:color w:val="404040"/>
      </w:rPr>
      <w:tblPr/>
      <w:tcPr>
        <w:tcBorders>
          <w:top w:val="nil"/>
          <w:left w:val="nil"/>
          <w:bottom w:val="nil"/>
          <w:right w:val="nil"/>
        </w:tcBorders>
        <w:shd w:val="clear" w:color="FFFFFF" w:fill="FFFFFF"/>
      </w:tcPr>
    </w:tblStylePr>
    <w:tblStylePr w:type="lastCol">
      <w:pPr>
        <w:snapToGrid/>
      </w:pPr>
      <w:rPr>
        <w:i/>
        <w:color w:val="404040"/>
      </w:rPr>
      <w:tblPr/>
      <w:tcPr>
        <w:tcBorders>
          <w:top w:val="nil"/>
          <w:left w:val="nil"/>
          <w:bottom w:val="nil"/>
          <w:right w:val="nil"/>
        </w:tcBorders>
        <w:shd w:val="clear" w:color="FFFFFF" w:fill="FFFFFF"/>
      </w:tcPr>
    </w:tblStylePr>
    <w:tblStylePr w:type="band1Vert">
      <w:pPr>
        <w:snapToGrid/>
      </w:pPr>
      <w:rPr>
        <w:rFonts w:ascii="Arial" w:hAnsi="Arial"/>
        <w:color w:val="404040"/>
        <w:sz w:val="22"/>
      </w:rPr>
      <w:tblPr/>
      <w:tcPr>
        <w:shd w:val="clear" w:color="FBE5D6" w:fill="F2DCDC" w:themeFill="accent2" w:themeFillTint="32"/>
      </w:tcPr>
    </w:tblStylePr>
    <w:tblStylePr w:type="band2Vert">
      <w:pPr>
        <w:snapToGrid/>
      </w:pPr>
    </w:tblStylePr>
    <w:tblStylePr w:type="band1Horz">
      <w:pPr>
        <w:snapToGrid/>
      </w:pPr>
      <w:rPr>
        <w:rFonts w:ascii="Arial" w:hAnsi="Arial"/>
        <w:color w:val="404040"/>
        <w:sz w:val="22"/>
      </w:rPr>
      <w:tblPr/>
      <w:tcPr>
        <w:shd w:val="clear" w:color="FBE5D6" w:fill="F2DCDC" w:themeFill="accent2" w:themeFillTint="32"/>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GridTable3-Accent3">
    <w:name w:val="Grid Table 3 - Accent 3"/>
    <w:basedOn w:val="TableNormal"/>
    <w:uiPriority w:val="99"/>
    <w:qFormat/>
    <w:tblPr>
      <w:tblBorders>
        <w:bottom w:val="single" w:sz="4" w:space="0" w:color="9ABB59" w:themeColor="accent3" w:themeTint="FE"/>
        <w:insideH w:val="single" w:sz="4" w:space="0" w:color="9ABB59" w:themeColor="accent3" w:themeTint="FE"/>
        <w:insideV w:val="single" w:sz="4" w:space="0" w:color="9ABB59" w:themeColor="accent3" w:themeTint="FE"/>
      </w:tblBorders>
    </w:tblPr>
    <w:tblStylePr w:type="firstRow">
      <w:pPr>
        <w:snapToGrid/>
      </w:pPr>
      <w:rPr>
        <w:b/>
        <w:color w:val="404040"/>
      </w:rPr>
      <w:tblPr/>
      <w:tcPr>
        <w:tcBorders>
          <w:top w:val="nil"/>
          <w:left w:val="nil"/>
          <w:bottom w:val="nil"/>
          <w:right w:val="nil"/>
        </w:tcBorders>
        <w:shd w:val="clear" w:color="FFFFFF" w:fill="FFFFFF"/>
      </w:tcPr>
    </w:tblStylePr>
    <w:tblStylePr w:type="lastRow">
      <w:pPr>
        <w:snapToGrid/>
      </w:pPr>
      <w:rPr>
        <w:b/>
        <w:color w:val="404040"/>
      </w:rPr>
      <w:tblPr/>
      <w:tcPr>
        <w:tcBorders>
          <w:top w:val="nil"/>
          <w:left w:val="nil"/>
          <w:bottom w:val="nil"/>
          <w:right w:val="nil"/>
        </w:tcBorders>
        <w:shd w:val="clear" w:color="FFFFFF" w:fill="FFFFFF"/>
      </w:tcPr>
    </w:tblStylePr>
    <w:tblStylePr w:type="firstCol">
      <w:pPr>
        <w:snapToGrid/>
        <w:jc w:val="right"/>
      </w:pPr>
      <w:rPr>
        <w:i/>
        <w:color w:val="404040"/>
      </w:rPr>
      <w:tblPr/>
      <w:tcPr>
        <w:tcBorders>
          <w:top w:val="nil"/>
          <w:left w:val="nil"/>
          <w:bottom w:val="nil"/>
          <w:right w:val="nil"/>
        </w:tcBorders>
        <w:shd w:val="clear" w:color="FFFFFF" w:fill="FFFFFF"/>
      </w:tcPr>
    </w:tblStylePr>
    <w:tblStylePr w:type="lastCol">
      <w:pPr>
        <w:snapToGrid/>
      </w:pPr>
      <w:rPr>
        <w:i/>
        <w:color w:val="404040"/>
      </w:rPr>
      <w:tblPr/>
      <w:tcPr>
        <w:tcBorders>
          <w:top w:val="nil"/>
          <w:left w:val="nil"/>
          <w:bottom w:val="nil"/>
          <w:right w:val="nil"/>
        </w:tcBorders>
        <w:shd w:val="clear" w:color="FFFFFF" w:fill="FFFFFF"/>
      </w:tcPr>
    </w:tblStylePr>
    <w:tblStylePr w:type="band1Vert">
      <w:pPr>
        <w:snapToGrid/>
      </w:pPr>
      <w:rPr>
        <w:rFonts w:ascii="Arial" w:hAnsi="Arial"/>
        <w:color w:val="404040"/>
        <w:sz w:val="22"/>
      </w:rPr>
      <w:tblPr/>
      <w:tcPr>
        <w:shd w:val="clear" w:color="ECECEC" w:fill="EAF1DC" w:themeFill="accent3" w:themeFillTint="34"/>
      </w:tcPr>
    </w:tblStylePr>
    <w:tblStylePr w:type="band2Vert">
      <w:pPr>
        <w:snapToGrid/>
      </w:pPr>
    </w:tblStylePr>
    <w:tblStylePr w:type="band1Horz">
      <w:pPr>
        <w:snapToGrid/>
      </w:pPr>
      <w:rPr>
        <w:rFonts w:ascii="Arial" w:hAnsi="Arial"/>
        <w:color w:val="404040"/>
        <w:sz w:val="22"/>
      </w:rPr>
      <w:tblPr/>
      <w:tcPr>
        <w:shd w:val="clear" w:color="ECECEC" w:fill="EAF1DC" w:themeFill="accent3" w:themeFillTint="34"/>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GridTable3-Accent4">
    <w:name w:val="Grid Table 3 - Accent 4"/>
    <w:basedOn w:val="TableNormal"/>
    <w:uiPriority w:val="99"/>
    <w:qFormat/>
    <w:tblPr>
      <w:tblBorders>
        <w:bottom w:val="single" w:sz="4" w:space="0" w:color="B2A1C6" w:themeColor="accent4" w:themeTint="9A"/>
        <w:insideH w:val="single" w:sz="4" w:space="0" w:color="B2A1C6" w:themeColor="accent4" w:themeTint="9A"/>
        <w:insideV w:val="single" w:sz="4" w:space="0" w:color="B2A1C6" w:themeColor="accent4" w:themeTint="9A"/>
      </w:tblBorders>
    </w:tblPr>
    <w:tblStylePr w:type="firstRow">
      <w:pPr>
        <w:snapToGrid/>
      </w:pPr>
      <w:rPr>
        <w:b/>
        <w:color w:val="404040"/>
      </w:rPr>
      <w:tblPr/>
      <w:tcPr>
        <w:tcBorders>
          <w:top w:val="nil"/>
          <w:left w:val="nil"/>
          <w:bottom w:val="nil"/>
          <w:right w:val="nil"/>
        </w:tcBorders>
        <w:shd w:val="clear" w:color="FFFFFF" w:fill="FFFFFF"/>
      </w:tcPr>
    </w:tblStylePr>
    <w:tblStylePr w:type="lastRow">
      <w:pPr>
        <w:snapToGrid/>
      </w:pPr>
      <w:rPr>
        <w:b/>
        <w:color w:val="404040"/>
      </w:rPr>
      <w:tblPr/>
      <w:tcPr>
        <w:tcBorders>
          <w:top w:val="nil"/>
          <w:left w:val="nil"/>
          <w:bottom w:val="nil"/>
          <w:right w:val="nil"/>
        </w:tcBorders>
        <w:shd w:val="clear" w:color="FFFFFF" w:fill="FFFFFF"/>
      </w:tcPr>
    </w:tblStylePr>
    <w:tblStylePr w:type="firstCol">
      <w:pPr>
        <w:snapToGrid/>
        <w:jc w:val="right"/>
      </w:pPr>
      <w:rPr>
        <w:i/>
        <w:color w:val="404040"/>
      </w:rPr>
      <w:tblPr/>
      <w:tcPr>
        <w:tcBorders>
          <w:top w:val="nil"/>
          <w:left w:val="nil"/>
          <w:bottom w:val="nil"/>
          <w:right w:val="nil"/>
        </w:tcBorders>
        <w:shd w:val="clear" w:color="FFFFFF" w:fill="FFFFFF"/>
      </w:tcPr>
    </w:tblStylePr>
    <w:tblStylePr w:type="lastCol">
      <w:pPr>
        <w:snapToGrid/>
      </w:pPr>
      <w:rPr>
        <w:i/>
        <w:color w:val="404040"/>
      </w:rPr>
      <w:tblPr/>
      <w:tcPr>
        <w:tcBorders>
          <w:top w:val="nil"/>
          <w:left w:val="nil"/>
          <w:bottom w:val="nil"/>
          <w:right w:val="nil"/>
        </w:tcBorders>
        <w:shd w:val="clear" w:color="FFFFFF" w:fill="FFFFFF"/>
      </w:tcPr>
    </w:tblStylePr>
    <w:tblStylePr w:type="band1Vert">
      <w:pPr>
        <w:snapToGrid/>
      </w:pPr>
      <w:rPr>
        <w:rFonts w:ascii="Arial" w:hAnsi="Arial"/>
        <w:color w:val="404040"/>
        <w:sz w:val="22"/>
      </w:rPr>
      <w:tblPr/>
      <w:tcPr>
        <w:shd w:val="clear" w:color="FFF2CB" w:fill="E5DFEC" w:themeFill="accent4" w:themeFillTint="34"/>
      </w:tcPr>
    </w:tblStylePr>
    <w:tblStylePr w:type="band2Vert">
      <w:pPr>
        <w:snapToGrid/>
      </w:pPr>
    </w:tblStylePr>
    <w:tblStylePr w:type="band1Horz">
      <w:pPr>
        <w:snapToGrid/>
      </w:pPr>
      <w:rPr>
        <w:rFonts w:ascii="Arial" w:hAnsi="Arial"/>
        <w:color w:val="404040"/>
        <w:sz w:val="22"/>
      </w:rPr>
      <w:tblPr/>
      <w:tcPr>
        <w:shd w:val="clear" w:color="FFF2CB" w:fill="E5DFEC" w:themeFill="accent4" w:themeFillTint="34"/>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GridTable3-Accent5">
    <w:name w:val="Grid Table 3 - Accent 5"/>
    <w:basedOn w:val="TableNormal"/>
    <w:uiPriority w:val="99"/>
    <w:qFormat/>
    <w:tblPr>
      <w:tblBorders>
        <w:bottom w:val="single" w:sz="4" w:space="0" w:color="4BACC6" w:themeColor="accent5"/>
        <w:insideH w:val="single" w:sz="4" w:space="0" w:color="4BACC6" w:themeColor="accent5"/>
        <w:insideV w:val="single" w:sz="4" w:space="0" w:color="4BACC6" w:themeColor="accent5"/>
      </w:tblBorders>
    </w:tblPr>
    <w:tblStylePr w:type="firstRow">
      <w:pPr>
        <w:snapToGrid/>
      </w:pPr>
      <w:rPr>
        <w:b/>
        <w:color w:val="404040"/>
      </w:rPr>
      <w:tblPr/>
      <w:tcPr>
        <w:tcBorders>
          <w:top w:val="nil"/>
          <w:left w:val="nil"/>
          <w:bottom w:val="nil"/>
          <w:right w:val="nil"/>
        </w:tcBorders>
        <w:shd w:val="clear" w:color="FFFFFF" w:fill="FFFFFF"/>
      </w:tcPr>
    </w:tblStylePr>
    <w:tblStylePr w:type="lastRow">
      <w:pPr>
        <w:snapToGrid/>
      </w:pPr>
      <w:rPr>
        <w:b/>
        <w:color w:val="404040"/>
      </w:rPr>
      <w:tblPr/>
      <w:tcPr>
        <w:tcBorders>
          <w:top w:val="nil"/>
          <w:left w:val="nil"/>
          <w:bottom w:val="nil"/>
          <w:right w:val="nil"/>
        </w:tcBorders>
        <w:shd w:val="clear" w:color="FFFFFF" w:fill="FFFFFF"/>
      </w:tcPr>
    </w:tblStylePr>
    <w:tblStylePr w:type="firstCol">
      <w:pPr>
        <w:snapToGrid/>
        <w:jc w:val="right"/>
      </w:pPr>
      <w:rPr>
        <w:i/>
        <w:color w:val="404040"/>
      </w:rPr>
      <w:tblPr/>
      <w:tcPr>
        <w:tcBorders>
          <w:top w:val="nil"/>
          <w:left w:val="nil"/>
          <w:bottom w:val="nil"/>
          <w:right w:val="nil"/>
        </w:tcBorders>
        <w:shd w:val="clear" w:color="FFFFFF" w:fill="FFFFFF"/>
      </w:tcPr>
    </w:tblStylePr>
    <w:tblStylePr w:type="lastCol">
      <w:pPr>
        <w:snapToGrid/>
      </w:pPr>
      <w:rPr>
        <w:i/>
        <w:color w:val="404040"/>
      </w:rPr>
      <w:tblPr/>
      <w:tcPr>
        <w:tcBorders>
          <w:top w:val="nil"/>
          <w:left w:val="nil"/>
          <w:bottom w:val="nil"/>
          <w:right w:val="nil"/>
        </w:tcBorders>
        <w:shd w:val="clear" w:color="FFFFFF" w:fill="FFFFFF"/>
      </w:tcPr>
    </w:tblStylePr>
    <w:tblStylePr w:type="band1Vert">
      <w:pPr>
        <w:snapToGrid/>
      </w:pPr>
      <w:rPr>
        <w:rFonts w:ascii="Arial" w:hAnsi="Arial"/>
        <w:color w:val="404040"/>
        <w:sz w:val="22"/>
      </w:rPr>
      <w:tblPr/>
      <w:tcPr>
        <w:shd w:val="clear" w:color="D8E2F3" w:fill="DAEEF3" w:themeFill="accent5" w:themeFillTint="34"/>
      </w:tcPr>
    </w:tblStylePr>
    <w:tblStylePr w:type="band2Vert">
      <w:pPr>
        <w:snapToGrid/>
      </w:pPr>
    </w:tblStylePr>
    <w:tblStylePr w:type="band1Horz">
      <w:pPr>
        <w:snapToGrid/>
      </w:pPr>
      <w:rPr>
        <w:rFonts w:ascii="Arial" w:hAnsi="Arial"/>
        <w:color w:val="404040"/>
        <w:sz w:val="22"/>
      </w:rPr>
      <w:tblPr/>
      <w:tcPr>
        <w:shd w:val="clear" w:color="D8E2F3" w:fill="DAEEF3" w:themeFill="accent5" w:themeFillTint="34"/>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GridTable3-Accent6">
    <w:name w:val="Grid Table 3 - Accent 6"/>
    <w:basedOn w:val="TableNormal"/>
    <w:uiPriority w:val="99"/>
    <w:qFormat/>
    <w:tblPr>
      <w:tblBorders>
        <w:bottom w:val="single" w:sz="4" w:space="0" w:color="F79646" w:themeColor="accent6"/>
        <w:insideH w:val="single" w:sz="4" w:space="0" w:color="F79646" w:themeColor="accent6"/>
        <w:insideV w:val="single" w:sz="4" w:space="0" w:color="F79646" w:themeColor="accent6"/>
      </w:tblBorders>
    </w:tblPr>
    <w:tblStylePr w:type="firstRow">
      <w:pPr>
        <w:snapToGrid/>
      </w:pPr>
      <w:rPr>
        <w:b/>
        <w:color w:val="404040"/>
      </w:rPr>
      <w:tblPr/>
      <w:tcPr>
        <w:tcBorders>
          <w:top w:val="nil"/>
          <w:left w:val="nil"/>
          <w:bottom w:val="nil"/>
          <w:right w:val="nil"/>
        </w:tcBorders>
        <w:shd w:val="clear" w:color="FFFFFF" w:fill="FFFFFF"/>
      </w:tcPr>
    </w:tblStylePr>
    <w:tblStylePr w:type="lastRow">
      <w:pPr>
        <w:snapToGrid/>
      </w:pPr>
      <w:rPr>
        <w:b/>
        <w:color w:val="404040"/>
      </w:rPr>
      <w:tblPr/>
      <w:tcPr>
        <w:tcBorders>
          <w:top w:val="nil"/>
          <w:left w:val="nil"/>
          <w:bottom w:val="nil"/>
          <w:right w:val="nil"/>
        </w:tcBorders>
        <w:shd w:val="clear" w:color="FFFFFF" w:fill="FFFFFF"/>
      </w:tcPr>
    </w:tblStylePr>
    <w:tblStylePr w:type="firstCol">
      <w:pPr>
        <w:snapToGrid/>
        <w:jc w:val="right"/>
      </w:pPr>
      <w:rPr>
        <w:i/>
        <w:color w:val="404040"/>
      </w:rPr>
      <w:tblPr/>
      <w:tcPr>
        <w:tcBorders>
          <w:top w:val="nil"/>
          <w:left w:val="nil"/>
          <w:bottom w:val="nil"/>
          <w:right w:val="nil"/>
        </w:tcBorders>
        <w:shd w:val="clear" w:color="FFFFFF" w:fill="FFFFFF"/>
      </w:tcPr>
    </w:tblStylePr>
    <w:tblStylePr w:type="lastCol">
      <w:pPr>
        <w:snapToGrid/>
      </w:pPr>
      <w:rPr>
        <w:i/>
        <w:color w:val="404040"/>
      </w:rPr>
      <w:tblPr/>
      <w:tcPr>
        <w:tcBorders>
          <w:top w:val="nil"/>
          <w:left w:val="nil"/>
          <w:bottom w:val="nil"/>
          <w:right w:val="nil"/>
        </w:tcBorders>
        <w:shd w:val="clear" w:color="FFFFFF" w:fill="FFFFFF"/>
      </w:tcPr>
    </w:tblStylePr>
    <w:tblStylePr w:type="band1Vert">
      <w:pPr>
        <w:snapToGrid/>
      </w:pPr>
      <w:rPr>
        <w:rFonts w:ascii="Arial" w:hAnsi="Arial"/>
        <w:color w:val="404040"/>
        <w:sz w:val="22"/>
      </w:rPr>
      <w:tblPr/>
      <w:tcPr>
        <w:shd w:val="clear" w:color="E1EFD8" w:fill="FDE9D8" w:themeFill="accent6" w:themeFillTint="34"/>
      </w:tcPr>
    </w:tblStylePr>
    <w:tblStylePr w:type="band2Vert">
      <w:pPr>
        <w:snapToGrid/>
      </w:pPr>
    </w:tblStylePr>
    <w:tblStylePr w:type="band1Horz">
      <w:pPr>
        <w:snapToGrid/>
      </w:pPr>
      <w:rPr>
        <w:rFonts w:ascii="Arial" w:hAnsi="Arial"/>
        <w:color w:val="404040"/>
        <w:sz w:val="22"/>
      </w:rPr>
      <w:tblPr/>
      <w:tcPr>
        <w:shd w:val="clear" w:color="E1EFD8" w:fill="FDE9D8" w:themeFill="accent6" w:themeFillTint="34"/>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4101">
    <w:name w:val="网格表 41_0"/>
    <w:basedOn w:val="TableNormal"/>
    <w:uiPriority w:val="59"/>
    <w:qFormat/>
    <w:tblPr>
      <w:tblBorders>
        <w:top w:val="single" w:sz="4" w:space="0" w:color="6F6F6F" w:themeColor="text1" w:themeTint="90"/>
        <w:left w:val="single" w:sz="4" w:space="0" w:color="6F6F6F" w:themeColor="text1" w:themeTint="90"/>
        <w:bottom w:val="single" w:sz="4" w:space="0" w:color="6F6F6F" w:themeColor="text1" w:themeTint="90"/>
        <w:right w:val="single" w:sz="4" w:space="0" w:color="6F6F6F" w:themeColor="text1" w:themeTint="90"/>
        <w:insideH w:val="single" w:sz="4" w:space="0" w:color="6F6F6F" w:themeColor="text1" w:themeTint="90"/>
        <w:insideV w:val="single" w:sz="4" w:space="0" w:color="6F6F6F" w:themeColor="text1" w:themeTint="90"/>
      </w:tblBorders>
    </w:tblPr>
    <w:tblStylePr w:type="firstRow">
      <w:pPr>
        <w:snapToGrid/>
      </w:pPr>
      <w:rPr>
        <w:rFonts w:ascii="Arial" w:hAnsi="Arial"/>
        <w:b/>
        <w:color w:val="FFFFFF"/>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000000" w:fill="000000" w:themeFill="text1"/>
      </w:tcPr>
    </w:tblStylePr>
    <w:tblStylePr w:type="lastRow">
      <w:pPr>
        <w:snapToGrid/>
      </w:pPr>
      <w:rPr>
        <w:b/>
        <w:color w:val="404040"/>
      </w:rPr>
      <w:tblPr/>
      <w:tcPr>
        <w:tcBorders>
          <w:top w:val="single" w:sz="4" w:space="0" w:color="000000" w:themeColor="text1"/>
        </w:tcBorders>
      </w:tcPr>
    </w:tblStylePr>
    <w:tblStylePr w:type="firstCol">
      <w:pPr>
        <w:snapToGrid/>
      </w:pPr>
      <w:rPr>
        <w:b/>
        <w:color w:val="404040"/>
      </w:rPr>
    </w:tblStylePr>
    <w:tblStylePr w:type="lastCol">
      <w:pPr>
        <w:snapToGrid/>
      </w:pPr>
      <w:rPr>
        <w:b/>
        <w:color w:val="404040"/>
      </w:rPr>
    </w:tblStylePr>
    <w:tblStylePr w:type="band1Vert">
      <w:pPr>
        <w:snapToGrid/>
      </w:pPr>
      <w:rPr>
        <w:rFonts w:ascii="Arial" w:hAnsi="Arial"/>
        <w:color w:val="404040"/>
        <w:sz w:val="22"/>
      </w:rPr>
      <w:tblPr/>
      <w:tcPr>
        <w:shd w:val="clear" w:color="CBCBCB" w:fill="CBCBCB" w:themeFill="text1" w:themeFillTint="34"/>
      </w:tcPr>
    </w:tblStylePr>
    <w:tblStylePr w:type="band2Vert">
      <w:pPr>
        <w:snapToGrid/>
      </w:pPr>
    </w:tblStylePr>
    <w:tblStylePr w:type="band1Horz">
      <w:pPr>
        <w:snapToGrid/>
      </w:pPr>
      <w:rPr>
        <w:rFonts w:ascii="Arial" w:hAnsi="Arial"/>
        <w:color w:val="404040"/>
        <w:sz w:val="22"/>
      </w:rPr>
      <w:tblPr/>
      <w:tcPr>
        <w:shd w:val="clear" w:color="CBCBCB" w:fill="CBCBCB" w:themeFill="text1" w:themeFillTint="34"/>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GridTable4-Accent1">
    <w:name w:val="Grid Table 4 - Accent 1"/>
    <w:basedOn w:val="TableNormal"/>
    <w:uiPriority w:val="59"/>
    <w:qFormat/>
    <w:tblPr>
      <w:tblBorders>
        <w:top w:val="single" w:sz="4" w:space="0" w:color="9BB7D9" w:themeColor="accent1" w:themeTint="90"/>
        <w:left w:val="single" w:sz="4" w:space="0" w:color="9BB7D9" w:themeColor="accent1" w:themeTint="90"/>
        <w:bottom w:val="single" w:sz="4" w:space="0" w:color="9BB7D9" w:themeColor="accent1" w:themeTint="90"/>
        <w:right w:val="single" w:sz="4" w:space="0" w:color="9BB7D9" w:themeColor="accent1" w:themeTint="90"/>
        <w:insideH w:val="single" w:sz="4" w:space="0" w:color="9BB7D9" w:themeColor="accent1" w:themeTint="90"/>
        <w:insideV w:val="single" w:sz="4" w:space="0" w:color="9BB7D9" w:themeColor="accent1" w:themeTint="90"/>
      </w:tblBorders>
    </w:tblPr>
    <w:tblStylePr w:type="firstRow">
      <w:pPr>
        <w:snapToGrid/>
      </w:pPr>
      <w:rPr>
        <w:rFonts w:ascii="Arial" w:hAnsi="Arial"/>
        <w:b/>
        <w:color w:val="FFFFFF"/>
        <w:sz w:val="22"/>
      </w:rPr>
      <w:tblPr/>
      <w:tcPr>
        <w:tcBorders>
          <w:top w:val="single" w:sz="4" w:space="0" w:color="5D8AC2" w:themeColor="accent1" w:themeTint="EA"/>
          <w:left w:val="single" w:sz="4" w:space="0" w:color="5D8AC2" w:themeColor="accent1" w:themeTint="EA"/>
          <w:bottom w:val="single" w:sz="4" w:space="0" w:color="5D8AC2" w:themeColor="accent1" w:themeTint="EA"/>
          <w:right w:val="single" w:sz="4" w:space="0" w:color="5D8AC2" w:themeColor="accent1" w:themeTint="EA"/>
        </w:tcBorders>
        <w:shd w:val="clear" w:color="68A2D8" w:fill="5D8AC2" w:themeFill="accent1" w:themeFillTint="EA"/>
      </w:tcPr>
    </w:tblStylePr>
    <w:tblStylePr w:type="lastRow">
      <w:pPr>
        <w:snapToGrid/>
      </w:pPr>
      <w:rPr>
        <w:b/>
        <w:color w:val="404040"/>
      </w:rPr>
      <w:tblPr/>
      <w:tcPr>
        <w:tcBorders>
          <w:top w:val="single" w:sz="4" w:space="0" w:color="5D8AC2" w:themeColor="accent1" w:themeTint="EA"/>
        </w:tcBorders>
      </w:tcPr>
    </w:tblStylePr>
    <w:tblStylePr w:type="firstCol">
      <w:pPr>
        <w:snapToGrid/>
      </w:pPr>
      <w:rPr>
        <w:b/>
        <w:color w:val="404040"/>
      </w:rPr>
    </w:tblStylePr>
    <w:tblStylePr w:type="lastCol">
      <w:pPr>
        <w:snapToGrid/>
      </w:pPr>
      <w:rPr>
        <w:b/>
        <w:color w:val="404040"/>
      </w:rPr>
    </w:tblStylePr>
    <w:tblStylePr w:type="band1Vert">
      <w:pPr>
        <w:snapToGrid/>
      </w:pPr>
      <w:rPr>
        <w:rFonts w:ascii="Arial" w:hAnsi="Arial"/>
        <w:color w:val="404040"/>
        <w:sz w:val="22"/>
      </w:rPr>
      <w:tblPr/>
      <w:tcPr>
        <w:shd w:val="clear" w:color="DEEBF6" w:fill="DCE6F2" w:themeFill="accent1" w:themeFillTint="32"/>
      </w:tcPr>
    </w:tblStylePr>
    <w:tblStylePr w:type="band2Vert">
      <w:pPr>
        <w:snapToGrid/>
      </w:pPr>
    </w:tblStylePr>
    <w:tblStylePr w:type="band1Horz">
      <w:pPr>
        <w:snapToGrid/>
      </w:pPr>
      <w:rPr>
        <w:rFonts w:ascii="Arial" w:hAnsi="Arial"/>
        <w:color w:val="404040"/>
        <w:sz w:val="22"/>
      </w:rPr>
      <w:tblPr/>
      <w:tcPr>
        <w:shd w:val="clear" w:color="DEEBF6" w:fill="DCE6F2" w:themeFill="accent1" w:themeFillTint="32"/>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GridTable4-Accent2">
    <w:name w:val="Grid Table 4 - Accent 2"/>
    <w:basedOn w:val="TableNormal"/>
    <w:uiPriority w:val="59"/>
    <w:qFormat/>
    <w:tblPr>
      <w:tblBorders>
        <w:top w:val="single" w:sz="4" w:space="0" w:color="DB9B9A" w:themeColor="accent2" w:themeTint="90"/>
        <w:left w:val="single" w:sz="4" w:space="0" w:color="DB9B9A" w:themeColor="accent2" w:themeTint="90"/>
        <w:bottom w:val="single" w:sz="4" w:space="0" w:color="DB9B9A" w:themeColor="accent2" w:themeTint="90"/>
        <w:right w:val="single" w:sz="4" w:space="0" w:color="DB9B9A" w:themeColor="accent2" w:themeTint="90"/>
        <w:insideH w:val="single" w:sz="4" w:space="0" w:color="DB9B9A" w:themeColor="accent2" w:themeTint="90"/>
        <w:insideV w:val="single" w:sz="4" w:space="0" w:color="DB9B9A" w:themeColor="accent2" w:themeTint="90"/>
      </w:tblBorders>
    </w:tblPr>
    <w:tblStylePr w:type="firstRow">
      <w:pPr>
        <w:snapToGrid/>
      </w:pPr>
      <w:rPr>
        <w:rFonts w:ascii="Arial" w:hAnsi="Arial"/>
        <w:b/>
        <w:color w:val="FFFFFF"/>
        <w:sz w:val="22"/>
      </w:rPr>
      <w:tblPr/>
      <w:tcPr>
        <w:tc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tcBorders>
        <w:shd w:val="clear" w:color="F4B184" w:fill="D99695" w:themeFill="accent2" w:themeFillTint="97"/>
      </w:tcPr>
    </w:tblStylePr>
    <w:tblStylePr w:type="lastRow">
      <w:pPr>
        <w:snapToGrid/>
      </w:pPr>
      <w:rPr>
        <w:b/>
        <w:color w:val="404040"/>
      </w:rPr>
      <w:tblPr/>
      <w:tcPr>
        <w:tcBorders>
          <w:top w:val="single" w:sz="4" w:space="0" w:color="D99695" w:themeColor="accent2" w:themeTint="97"/>
        </w:tcBorders>
      </w:tcPr>
    </w:tblStylePr>
    <w:tblStylePr w:type="firstCol">
      <w:pPr>
        <w:snapToGrid/>
      </w:pPr>
      <w:rPr>
        <w:b/>
        <w:color w:val="404040"/>
      </w:rPr>
    </w:tblStylePr>
    <w:tblStylePr w:type="lastCol">
      <w:pPr>
        <w:snapToGrid/>
      </w:pPr>
      <w:rPr>
        <w:b/>
        <w:color w:val="404040"/>
      </w:rPr>
    </w:tblStylePr>
    <w:tblStylePr w:type="band1Vert">
      <w:pPr>
        <w:snapToGrid/>
      </w:pPr>
      <w:rPr>
        <w:rFonts w:ascii="Arial" w:hAnsi="Arial"/>
        <w:color w:val="404040"/>
        <w:sz w:val="22"/>
      </w:rPr>
      <w:tblPr/>
      <w:tcPr>
        <w:shd w:val="clear" w:color="FBE5D6" w:fill="F2DCDC" w:themeFill="accent2" w:themeFillTint="32"/>
      </w:tcPr>
    </w:tblStylePr>
    <w:tblStylePr w:type="band2Vert">
      <w:pPr>
        <w:snapToGrid/>
      </w:pPr>
    </w:tblStylePr>
    <w:tblStylePr w:type="band1Horz">
      <w:pPr>
        <w:snapToGrid/>
      </w:pPr>
      <w:rPr>
        <w:rFonts w:ascii="Arial" w:hAnsi="Arial"/>
        <w:color w:val="404040"/>
        <w:sz w:val="22"/>
      </w:rPr>
      <w:tblPr/>
      <w:tcPr>
        <w:shd w:val="clear" w:color="FBE5D6" w:fill="F2DCDC" w:themeFill="accent2" w:themeFillTint="32"/>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GridTable4-Accent3">
    <w:name w:val="Grid Table 4 - Accent 3"/>
    <w:basedOn w:val="TableNormal"/>
    <w:uiPriority w:val="59"/>
    <w:qFormat/>
    <w:tblPr>
      <w:tblBorders>
        <w:top w:val="single" w:sz="4" w:space="0" w:color="C6D8A1" w:themeColor="accent3" w:themeTint="90"/>
        <w:left w:val="single" w:sz="4" w:space="0" w:color="C6D8A1" w:themeColor="accent3" w:themeTint="90"/>
        <w:bottom w:val="single" w:sz="4" w:space="0" w:color="C6D8A1" w:themeColor="accent3" w:themeTint="90"/>
        <w:right w:val="single" w:sz="4" w:space="0" w:color="C6D8A1" w:themeColor="accent3" w:themeTint="90"/>
        <w:insideH w:val="single" w:sz="4" w:space="0" w:color="C6D8A1" w:themeColor="accent3" w:themeTint="90"/>
        <w:insideV w:val="single" w:sz="4" w:space="0" w:color="C6D8A1" w:themeColor="accent3" w:themeTint="90"/>
      </w:tblBorders>
    </w:tblPr>
    <w:tblStylePr w:type="firstRow">
      <w:pPr>
        <w:snapToGrid/>
      </w:pPr>
      <w:rPr>
        <w:rFonts w:ascii="Arial" w:hAnsi="Arial"/>
        <w:b/>
        <w:color w:val="FFFFFF"/>
        <w:sz w:val="22"/>
      </w:rPr>
      <w:tblPr/>
      <w:tcPr>
        <w:tcBorders>
          <w:top w:val="single" w:sz="4" w:space="0" w:color="9ABB59" w:themeColor="accent3" w:themeTint="FE"/>
          <w:left w:val="single" w:sz="4" w:space="0" w:color="9ABB59" w:themeColor="accent3" w:themeTint="FE"/>
          <w:bottom w:val="single" w:sz="4" w:space="0" w:color="9ABB59" w:themeColor="accent3" w:themeTint="FE"/>
          <w:right w:val="single" w:sz="4" w:space="0" w:color="9ABB59" w:themeColor="accent3" w:themeTint="FE"/>
        </w:tcBorders>
        <w:shd w:val="clear" w:color="A5A5A5" w:fill="9ABB59" w:themeFill="accent3" w:themeFillTint="FE"/>
      </w:tcPr>
    </w:tblStylePr>
    <w:tblStylePr w:type="lastRow">
      <w:pPr>
        <w:snapToGrid/>
      </w:pPr>
      <w:rPr>
        <w:b/>
        <w:color w:val="404040"/>
      </w:rPr>
      <w:tblPr/>
      <w:tcPr>
        <w:tcBorders>
          <w:top w:val="single" w:sz="4" w:space="0" w:color="9ABB59" w:themeColor="accent3" w:themeTint="FE"/>
        </w:tcBorders>
      </w:tcPr>
    </w:tblStylePr>
    <w:tblStylePr w:type="firstCol">
      <w:pPr>
        <w:snapToGrid/>
      </w:pPr>
      <w:rPr>
        <w:b/>
        <w:color w:val="404040"/>
      </w:rPr>
    </w:tblStylePr>
    <w:tblStylePr w:type="lastCol">
      <w:pPr>
        <w:snapToGrid/>
      </w:pPr>
      <w:rPr>
        <w:b/>
        <w:color w:val="404040"/>
      </w:rPr>
    </w:tblStylePr>
    <w:tblStylePr w:type="band1Vert">
      <w:pPr>
        <w:snapToGrid/>
      </w:pPr>
      <w:rPr>
        <w:rFonts w:ascii="Arial" w:hAnsi="Arial"/>
        <w:color w:val="404040"/>
        <w:sz w:val="22"/>
      </w:rPr>
      <w:tblPr/>
      <w:tcPr>
        <w:shd w:val="clear" w:color="ECECEC" w:fill="EAF1DC" w:themeFill="accent3" w:themeFillTint="34"/>
      </w:tcPr>
    </w:tblStylePr>
    <w:tblStylePr w:type="band2Vert">
      <w:pPr>
        <w:snapToGrid/>
      </w:pPr>
    </w:tblStylePr>
    <w:tblStylePr w:type="band1Horz">
      <w:pPr>
        <w:snapToGrid/>
      </w:pPr>
      <w:rPr>
        <w:rFonts w:ascii="Arial" w:hAnsi="Arial"/>
        <w:color w:val="404040"/>
        <w:sz w:val="22"/>
      </w:rPr>
      <w:tblPr/>
      <w:tcPr>
        <w:shd w:val="clear" w:color="ECECEC" w:fill="EAF1DC" w:themeFill="accent3" w:themeFillTint="34"/>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GridTable4-Accent4">
    <w:name w:val="Grid Table 4 - Accent 4"/>
    <w:basedOn w:val="TableNormal"/>
    <w:uiPriority w:val="59"/>
    <w:qFormat/>
    <w:tblPr>
      <w:tblBorders>
        <w:top w:val="single" w:sz="4" w:space="0" w:color="B7A7CA" w:themeColor="accent4" w:themeTint="90"/>
        <w:left w:val="single" w:sz="4" w:space="0" w:color="B7A7CA" w:themeColor="accent4" w:themeTint="90"/>
        <w:bottom w:val="single" w:sz="4" w:space="0" w:color="B7A7CA" w:themeColor="accent4" w:themeTint="90"/>
        <w:right w:val="single" w:sz="4" w:space="0" w:color="B7A7CA" w:themeColor="accent4" w:themeTint="90"/>
        <w:insideH w:val="single" w:sz="4" w:space="0" w:color="B7A7CA" w:themeColor="accent4" w:themeTint="90"/>
        <w:insideV w:val="single" w:sz="4" w:space="0" w:color="B7A7CA" w:themeColor="accent4" w:themeTint="90"/>
      </w:tblBorders>
    </w:tblPr>
    <w:tblStylePr w:type="firstRow">
      <w:pPr>
        <w:snapToGrid/>
      </w:pPr>
      <w:rPr>
        <w:rFonts w:ascii="Arial" w:hAnsi="Arial"/>
        <w:b/>
        <w:color w:val="FFFFFF"/>
        <w:sz w:val="22"/>
      </w:rPr>
      <w:tblPr/>
      <w:tcPr>
        <w:tc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tcBorders>
        <w:shd w:val="clear" w:color="FFD865" w:fill="B2A1C6" w:themeFill="accent4" w:themeFillTint="9A"/>
      </w:tcPr>
    </w:tblStylePr>
    <w:tblStylePr w:type="lastRow">
      <w:pPr>
        <w:snapToGrid/>
      </w:pPr>
      <w:rPr>
        <w:b/>
        <w:color w:val="404040"/>
      </w:rPr>
      <w:tblPr/>
      <w:tcPr>
        <w:tcBorders>
          <w:top w:val="single" w:sz="4" w:space="0" w:color="B2A1C6" w:themeColor="accent4" w:themeTint="9A"/>
        </w:tcBorders>
      </w:tcPr>
    </w:tblStylePr>
    <w:tblStylePr w:type="firstCol">
      <w:pPr>
        <w:snapToGrid/>
      </w:pPr>
      <w:rPr>
        <w:b/>
        <w:color w:val="404040"/>
      </w:rPr>
    </w:tblStylePr>
    <w:tblStylePr w:type="lastCol">
      <w:pPr>
        <w:snapToGrid/>
      </w:pPr>
      <w:rPr>
        <w:b/>
        <w:color w:val="404040"/>
      </w:rPr>
    </w:tblStylePr>
    <w:tblStylePr w:type="band1Vert">
      <w:pPr>
        <w:snapToGrid/>
      </w:pPr>
      <w:rPr>
        <w:rFonts w:ascii="Arial" w:hAnsi="Arial"/>
        <w:color w:val="404040"/>
        <w:sz w:val="22"/>
      </w:rPr>
      <w:tblPr/>
      <w:tcPr>
        <w:shd w:val="clear" w:color="FFF2CB" w:fill="E5DFEC" w:themeFill="accent4" w:themeFillTint="34"/>
      </w:tcPr>
    </w:tblStylePr>
    <w:tblStylePr w:type="band2Vert">
      <w:pPr>
        <w:snapToGrid/>
      </w:pPr>
    </w:tblStylePr>
    <w:tblStylePr w:type="band1Horz">
      <w:pPr>
        <w:snapToGrid/>
      </w:pPr>
      <w:rPr>
        <w:rFonts w:ascii="Arial" w:hAnsi="Arial"/>
        <w:color w:val="404040"/>
        <w:sz w:val="22"/>
      </w:rPr>
      <w:tblPr/>
      <w:tcPr>
        <w:shd w:val="clear" w:color="FFF2CB" w:fill="E5DFEC" w:themeFill="accent4" w:themeFillTint="34"/>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GridTable4-Accent5">
    <w:name w:val="Grid Table 4 - Accent 5"/>
    <w:basedOn w:val="TableNormal"/>
    <w:uiPriority w:val="59"/>
    <w:qFormat/>
    <w:tblPr>
      <w:tblBorders>
        <w:top w:val="single" w:sz="4" w:space="0" w:color="99D0DE" w:themeColor="accent5" w:themeTint="90"/>
        <w:left w:val="single" w:sz="4" w:space="0" w:color="99D0DE" w:themeColor="accent5" w:themeTint="90"/>
        <w:bottom w:val="single" w:sz="4" w:space="0" w:color="99D0DE" w:themeColor="accent5" w:themeTint="90"/>
        <w:right w:val="single" w:sz="4" w:space="0" w:color="99D0DE" w:themeColor="accent5" w:themeTint="90"/>
        <w:insideH w:val="single" w:sz="4" w:space="0" w:color="99D0DE" w:themeColor="accent5" w:themeTint="90"/>
        <w:insideV w:val="single" w:sz="4" w:space="0" w:color="99D0DE" w:themeColor="accent5" w:themeTint="90"/>
      </w:tblBorders>
    </w:tblPr>
    <w:tblStylePr w:type="firstRow">
      <w:pPr>
        <w:snapToGrid/>
      </w:pPr>
      <w:rPr>
        <w:rFonts w:ascii="Arial" w:hAnsi="Arial"/>
        <w:b/>
        <w:color w:val="FFFFFF"/>
        <w:sz w:val="22"/>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tcBorders>
        <w:shd w:val="clear" w:color="4472C4" w:fill="4BACC6" w:themeFill="accent5"/>
      </w:tcPr>
    </w:tblStylePr>
    <w:tblStylePr w:type="lastRow">
      <w:pPr>
        <w:snapToGrid/>
      </w:pPr>
      <w:rPr>
        <w:b/>
        <w:color w:val="404040"/>
      </w:rPr>
      <w:tblPr/>
      <w:tcPr>
        <w:tcBorders>
          <w:top w:val="single" w:sz="4" w:space="0" w:color="4BACC6" w:themeColor="accent5"/>
        </w:tcBorders>
      </w:tcPr>
    </w:tblStylePr>
    <w:tblStylePr w:type="firstCol">
      <w:pPr>
        <w:snapToGrid/>
      </w:pPr>
      <w:rPr>
        <w:b/>
        <w:color w:val="404040"/>
      </w:rPr>
    </w:tblStylePr>
    <w:tblStylePr w:type="lastCol">
      <w:pPr>
        <w:snapToGrid/>
      </w:pPr>
      <w:rPr>
        <w:b/>
        <w:color w:val="404040"/>
      </w:rPr>
    </w:tblStylePr>
    <w:tblStylePr w:type="band1Vert">
      <w:pPr>
        <w:snapToGrid/>
      </w:pPr>
      <w:rPr>
        <w:rFonts w:ascii="Arial" w:hAnsi="Arial"/>
        <w:color w:val="404040"/>
        <w:sz w:val="22"/>
      </w:rPr>
      <w:tblPr/>
      <w:tcPr>
        <w:shd w:val="clear" w:color="D8E2F3" w:fill="DAEEF3" w:themeFill="accent5" w:themeFillTint="34"/>
      </w:tcPr>
    </w:tblStylePr>
    <w:tblStylePr w:type="band2Vert">
      <w:pPr>
        <w:snapToGrid/>
      </w:pPr>
    </w:tblStylePr>
    <w:tblStylePr w:type="band1Horz">
      <w:pPr>
        <w:snapToGrid/>
      </w:pPr>
      <w:rPr>
        <w:rFonts w:ascii="Arial" w:hAnsi="Arial"/>
        <w:color w:val="404040"/>
        <w:sz w:val="22"/>
      </w:rPr>
      <w:tblPr/>
      <w:tcPr>
        <w:shd w:val="clear" w:color="D8E2F3" w:fill="DAEEF3" w:themeFill="accent5" w:themeFillTint="34"/>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GridTable4-Accent6">
    <w:name w:val="Grid Table 4 - Accent 6"/>
    <w:basedOn w:val="TableNormal"/>
    <w:uiPriority w:val="59"/>
    <w:qFormat/>
    <w:tblPr>
      <w:tblBorders>
        <w:top w:val="single" w:sz="4" w:space="0" w:color="FAC396" w:themeColor="accent6" w:themeTint="90"/>
        <w:left w:val="single" w:sz="4" w:space="0" w:color="FAC396" w:themeColor="accent6" w:themeTint="90"/>
        <w:bottom w:val="single" w:sz="4" w:space="0" w:color="FAC396" w:themeColor="accent6" w:themeTint="90"/>
        <w:right w:val="single" w:sz="4" w:space="0" w:color="FAC396" w:themeColor="accent6" w:themeTint="90"/>
        <w:insideH w:val="single" w:sz="4" w:space="0" w:color="FAC396" w:themeColor="accent6" w:themeTint="90"/>
        <w:insideV w:val="single" w:sz="4" w:space="0" w:color="FAC396" w:themeColor="accent6" w:themeTint="90"/>
      </w:tblBorders>
    </w:tblPr>
    <w:tblStylePr w:type="firstRow">
      <w:pPr>
        <w:snapToGrid/>
      </w:pPr>
      <w:rPr>
        <w:rFonts w:ascii="Arial" w:hAnsi="Arial"/>
        <w:b/>
        <w:color w:val="FFFFFF"/>
        <w:sz w:val="22"/>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tcBorders>
        <w:shd w:val="clear" w:color="70AD47" w:fill="F79646" w:themeFill="accent6"/>
      </w:tcPr>
    </w:tblStylePr>
    <w:tblStylePr w:type="lastRow">
      <w:pPr>
        <w:snapToGrid/>
      </w:pPr>
      <w:rPr>
        <w:b/>
        <w:color w:val="404040"/>
      </w:rPr>
      <w:tblPr/>
      <w:tcPr>
        <w:tcBorders>
          <w:top w:val="single" w:sz="4" w:space="0" w:color="F79646" w:themeColor="accent6"/>
        </w:tcBorders>
      </w:tcPr>
    </w:tblStylePr>
    <w:tblStylePr w:type="firstCol">
      <w:pPr>
        <w:snapToGrid/>
      </w:pPr>
      <w:rPr>
        <w:b/>
        <w:color w:val="404040"/>
      </w:rPr>
    </w:tblStylePr>
    <w:tblStylePr w:type="lastCol">
      <w:pPr>
        <w:snapToGrid/>
      </w:pPr>
      <w:rPr>
        <w:b/>
        <w:color w:val="404040"/>
      </w:rPr>
    </w:tblStylePr>
    <w:tblStylePr w:type="band1Vert">
      <w:pPr>
        <w:snapToGrid/>
      </w:pPr>
      <w:rPr>
        <w:rFonts w:ascii="Arial" w:hAnsi="Arial"/>
        <w:color w:val="404040"/>
        <w:sz w:val="22"/>
      </w:rPr>
      <w:tblPr/>
      <w:tcPr>
        <w:shd w:val="clear" w:color="E1EFD8" w:fill="FDE9D8" w:themeFill="accent6" w:themeFillTint="34"/>
      </w:tcPr>
    </w:tblStylePr>
    <w:tblStylePr w:type="band2Vert">
      <w:pPr>
        <w:snapToGrid/>
      </w:pPr>
    </w:tblStylePr>
    <w:tblStylePr w:type="band1Horz">
      <w:pPr>
        <w:snapToGrid/>
      </w:pPr>
      <w:rPr>
        <w:rFonts w:ascii="Arial" w:hAnsi="Arial"/>
        <w:color w:val="404040"/>
        <w:sz w:val="22"/>
      </w:rPr>
      <w:tblPr/>
      <w:tcPr>
        <w:shd w:val="clear" w:color="E1EFD8" w:fill="FDE9D8" w:themeFill="accent6" w:themeFillTint="34"/>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5101">
    <w:name w:val="网格表 5 深色1_0"/>
    <w:basedOn w:val="TableNormal"/>
    <w:uiPriority w:val="99"/>
    <w:qFormat/>
    <w:tblPr>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tblPr>
    <w:tblStylePr w:type="firstRow">
      <w:pPr>
        <w:snapToGrid/>
      </w:pPr>
      <w:rPr>
        <w:rFonts w:ascii="Arial" w:hAnsi="Arial"/>
        <w:b/>
        <w:color w:val="FFFFFF"/>
        <w:sz w:val="22"/>
      </w:rPr>
      <w:tblPr/>
      <w:tcPr>
        <w:shd w:val="clear" w:color="000000" w:fill="000000" w:themeFill="text1"/>
      </w:tcPr>
    </w:tblStylePr>
    <w:tblStylePr w:type="lastRow">
      <w:pPr>
        <w:snapToGrid/>
      </w:pPr>
      <w:rPr>
        <w:rFonts w:ascii="Arial" w:hAnsi="Arial"/>
        <w:b/>
        <w:color w:val="FFFFFF"/>
        <w:sz w:val="22"/>
      </w:rPr>
      <w:tblPr/>
      <w:tcPr>
        <w:tcBorders>
          <w:top w:val="single" w:sz="4" w:space="0" w:color="FFFFFF" w:themeColor="light1"/>
        </w:tcBorders>
        <w:shd w:val="clear" w:color="000000" w:fill="000000" w:themeFill="text1"/>
      </w:tcPr>
    </w:tblStylePr>
    <w:tblStylePr w:type="firstCol">
      <w:pPr>
        <w:snapToGrid/>
      </w:pPr>
      <w:rPr>
        <w:rFonts w:ascii="Arial" w:hAnsi="Arial"/>
        <w:b/>
        <w:color w:val="FFFFFF"/>
        <w:sz w:val="22"/>
      </w:rPr>
      <w:tblPr/>
      <w:tcPr>
        <w:shd w:val="clear" w:color="000000" w:fill="000000" w:themeFill="text1"/>
      </w:tcPr>
    </w:tblStylePr>
    <w:tblStylePr w:type="lastCol">
      <w:pPr>
        <w:snapToGrid/>
      </w:pPr>
      <w:rPr>
        <w:rFonts w:ascii="Arial" w:hAnsi="Arial"/>
        <w:b/>
        <w:color w:val="FFFFFF"/>
        <w:sz w:val="22"/>
      </w:rPr>
      <w:tblPr/>
      <w:tcPr>
        <w:shd w:val="clear" w:color="000000" w:fill="000000" w:themeFill="text1"/>
      </w:tcPr>
    </w:tblStylePr>
    <w:tblStylePr w:type="band1Vert">
      <w:pPr>
        <w:snapToGrid/>
      </w:pPr>
      <w:tblPr/>
      <w:tcPr>
        <w:shd w:val="clear" w:color="8A8A8A" w:fill="8A8A8A" w:themeFill="text1" w:themeFillTint="75"/>
      </w:tcPr>
    </w:tblStylePr>
    <w:tblStylePr w:type="band2Vert">
      <w:pPr>
        <w:snapToGrid/>
      </w:pPr>
    </w:tblStylePr>
    <w:tblStylePr w:type="band1Horz">
      <w:pPr>
        <w:snapToGrid/>
      </w:pPr>
      <w:tblPr/>
      <w:tcPr>
        <w:shd w:val="clear" w:color="8A8A8A" w:fill="8A8A8A" w:themeFill="text1" w:themeFillTint="75"/>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GridTable5Dark-Accent1">
    <w:name w:val="Grid Table 5 Dark- Accent 1"/>
    <w:basedOn w:val="TableNormal"/>
    <w:uiPriority w:val="99"/>
    <w:qFormat/>
    <w:tblPr>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tblPr>
    <w:tblStylePr w:type="firstRow">
      <w:pPr>
        <w:snapToGrid/>
      </w:pPr>
      <w:rPr>
        <w:rFonts w:ascii="Arial" w:hAnsi="Arial"/>
        <w:b/>
        <w:color w:val="FFFFFF"/>
        <w:sz w:val="22"/>
      </w:rPr>
      <w:tblPr/>
      <w:tcPr>
        <w:shd w:val="clear" w:color="5B9BD5" w:fill="4F81BD" w:themeFill="accent1"/>
      </w:tcPr>
    </w:tblStylePr>
    <w:tblStylePr w:type="lastRow">
      <w:pPr>
        <w:snapToGrid/>
      </w:pPr>
      <w:rPr>
        <w:rFonts w:ascii="Arial" w:hAnsi="Arial"/>
        <w:b/>
        <w:color w:val="FFFFFF"/>
        <w:sz w:val="22"/>
      </w:rPr>
      <w:tblPr/>
      <w:tcPr>
        <w:tcBorders>
          <w:top w:val="single" w:sz="4" w:space="0" w:color="FFFFFF" w:themeColor="light1"/>
        </w:tcBorders>
        <w:shd w:val="clear" w:color="5B9BD5" w:fill="4F81BD" w:themeFill="accent1"/>
      </w:tcPr>
    </w:tblStylePr>
    <w:tblStylePr w:type="firstCol">
      <w:pPr>
        <w:snapToGrid/>
      </w:pPr>
      <w:rPr>
        <w:rFonts w:ascii="Arial" w:hAnsi="Arial"/>
        <w:b/>
        <w:color w:val="FFFFFF"/>
        <w:sz w:val="22"/>
      </w:rPr>
      <w:tblPr/>
      <w:tcPr>
        <w:shd w:val="clear" w:color="5B9BD5" w:fill="4F81BD" w:themeFill="accent1"/>
      </w:tcPr>
    </w:tblStylePr>
    <w:tblStylePr w:type="lastCol">
      <w:pPr>
        <w:snapToGrid/>
      </w:pPr>
      <w:rPr>
        <w:rFonts w:ascii="Arial" w:hAnsi="Arial"/>
        <w:b/>
        <w:color w:val="FFFFFF"/>
        <w:sz w:val="22"/>
      </w:rPr>
      <w:tblPr/>
      <w:tcPr>
        <w:shd w:val="clear" w:color="5B9BD5" w:fill="4F81BD" w:themeFill="accent1"/>
      </w:tcPr>
    </w:tblStylePr>
    <w:tblStylePr w:type="band1Vert">
      <w:pPr>
        <w:snapToGrid/>
      </w:pPr>
      <w:tblPr/>
      <w:tcPr>
        <w:shd w:val="clear" w:color="B3D0EB" w:fill="AEC4E0" w:themeFill="accent1" w:themeFillTint="75"/>
      </w:tcPr>
    </w:tblStylePr>
    <w:tblStylePr w:type="band2Vert">
      <w:pPr>
        <w:snapToGrid/>
      </w:pPr>
    </w:tblStylePr>
    <w:tblStylePr w:type="band1Horz">
      <w:pPr>
        <w:snapToGrid/>
      </w:pPr>
      <w:tblPr/>
      <w:tcPr>
        <w:shd w:val="clear" w:color="B3D0EB" w:fill="AEC4E0" w:themeFill="accent1" w:themeFillTint="75"/>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GridTable5Dark-Accent2">
    <w:name w:val="Grid Table 5 Dark - Accent 2"/>
    <w:basedOn w:val="TableNormal"/>
    <w:uiPriority w:val="99"/>
    <w:qFormat/>
    <w:tblPr>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tblPr>
    <w:tblStylePr w:type="firstRow">
      <w:pPr>
        <w:snapToGrid/>
      </w:pPr>
      <w:rPr>
        <w:rFonts w:ascii="Arial" w:hAnsi="Arial"/>
        <w:b/>
        <w:color w:val="FFFFFF"/>
        <w:sz w:val="22"/>
      </w:rPr>
      <w:tblPr/>
      <w:tcPr>
        <w:shd w:val="clear" w:color="ED7D31" w:fill="C0504D" w:themeFill="accent2"/>
      </w:tcPr>
    </w:tblStylePr>
    <w:tblStylePr w:type="lastRow">
      <w:pPr>
        <w:snapToGrid/>
      </w:pPr>
      <w:rPr>
        <w:rFonts w:ascii="Arial" w:hAnsi="Arial"/>
        <w:b/>
        <w:color w:val="FFFFFF"/>
        <w:sz w:val="22"/>
      </w:rPr>
      <w:tblPr/>
      <w:tcPr>
        <w:tcBorders>
          <w:top w:val="single" w:sz="4" w:space="0" w:color="FFFFFF" w:themeColor="light1"/>
        </w:tcBorders>
        <w:shd w:val="clear" w:color="ED7D31" w:fill="C0504D" w:themeFill="accent2"/>
      </w:tcPr>
    </w:tblStylePr>
    <w:tblStylePr w:type="firstCol">
      <w:pPr>
        <w:snapToGrid/>
      </w:pPr>
      <w:rPr>
        <w:rFonts w:ascii="Arial" w:hAnsi="Arial"/>
        <w:b/>
        <w:color w:val="FFFFFF"/>
        <w:sz w:val="22"/>
      </w:rPr>
      <w:tblPr/>
      <w:tcPr>
        <w:shd w:val="clear" w:color="ED7D31" w:fill="C0504D" w:themeFill="accent2"/>
      </w:tcPr>
    </w:tblStylePr>
    <w:tblStylePr w:type="lastCol">
      <w:pPr>
        <w:snapToGrid/>
      </w:pPr>
      <w:rPr>
        <w:rFonts w:ascii="Arial" w:hAnsi="Arial"/>
        <w:b/>
        <w:color w:val="FFFFFF"/>
        <w:sz w:val="22"/>
      </w:rPr>
      <w:tblPr/>
      <w:tcPr>
        <w:shd w:val="clear" w:color="ED7D31" w:fill="C0504D" w:themeFill="accent2"/>
      </w:tcPr>
    </w:tblStylePr>
    <w:tblStylePr w:type="band1Vert">
      <w:pPr>
        <w:snapToGrid/>
      </w:pPr>
      <w:tblPr/>
      <w:tcPr>
        <w:shd w:val="clear" w:color="F6C3A0" w:fill="E2AEAD" w:themeFill="accent2" w:themeFillTint="75"/>
      </w:tcPr>
    </w:tblStylePr>
    <w:tblStylePr w:type="band2Vert">
      <w:pPr>
        <w:snapToGrid/>
      </w:pPr>
    </w:tblStylePr>
    <w:tblStylePr w:type="band1Horz">
      <w:pPr>
        <w:snapToGrid/>
      </w:pPr>
      <w:tblPr/>
      <w:tcPr>
        <w:shd w:val="clear" w:color="F6C3A0" w:fill="E2AEAD" w:themeFill="accent2" w:themeFillTint="75"/>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GridTable5Dark-Accent3">
    <w:name w:val="Grid Table 5 Dark - Accent 3"/>
    <w:basedOn w:val="TableNormal"/>
    <w:uiPriority w:val="99"/>
    <w:qFormat/>
    <w:tblPr>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tblPr>
    <w:tblStylePr w:type="firstRow">
      <w:pPr>
        <w:snapToGrid/>
      </w:pPr>
      <w:rPr>
        <w:rFonts w:ascii="Arial" w:hAnsi="Arial"/>
        <w:b/>
        <w:color w:val="FFFFFF"/>
        <w:sz w:val="22"/>
      </w:rPr>
      <w:tblPr/>
      <w:tcPr>
        <w:shd w:val="clear" w:color="A5A5A5" w:fill="9BBB59" w:themeFill="accent3"/>
      </w:tcPr>
    </w:tblStylePr>
    <w:tblStylePr w:type="lastRow">
      <w:pPr>
        <w:snapToGrid/>
      </w:pPr>
      <w:rPr>
        <w:rFonts w:ascii="Arial" w:hAnsi="Arial"/>
        <w:b/>
        <w:color w:val="FFFFFF"/>
        <w:sz w:val="22"/>
      </w:rPr>
      <w:tblPr/>
      <w:tcPr>
        <w:tcBorders>
          <w:top w:val="single" w:sz="4" w:space="0" w:color="FFFFFF" w:themeColor="light1"/>
        </w:tcBorders>
        <w:shd w:val="clear" w:color="A5A5A5" w:fill="9BBB59" w:themeFill="accent3"/>
      </w:tcPr>
    </w:tblStylePr>
    <w:tblStylePr w:type="firstCol">
      <w:pPr>
        <w:snapToGrid/>
      </w:pPr>
      <w:rPr>
        <w:rFonts w:ascii="Arial" w:hAnsi="Arial"/>
        <w:b/>
        <w:color w:val="FFFFFF"/>
        <w:sz w:val="22"/>
      </w:rPr>
      <w:tblPr/>
      <w:tcPr>
        <w:shd w:val="clear" w:color="A5A5A5" w:fill="9BBB59" w:themeFill="accent3"/>
      </w:tcPr>
    </w:tblStylePr>
    <w:tblStylePr w:type="lastCol">
      <w:pPr>
        <w:snapToGrid/>
      </w:pPr>
      <w:rPr>
        <w:rFonts w:ascii="Arial" w:hAnsi="Arial"/>
        <w:b/>
        <w:color w:val="FFFFFF"/>
        <w:sz w:val="22"/>
      </w:rPr>
      <w:tblPr/>
      <w:tcPr>
        <w:shd w:val="clear" w:color="A5A5A5" w:fill="9BBB59" w:themeFill="accent3"/>
      </w:tcPr>
    </w:tblStylePr>
    <w:tblStylePr w:type="band1Vert">
      <w:pPr>
        <w:snapToGrid/>
      </w:pPr>
      <w:tblPr/>
      <w:tcPr>
        <w:shd w:val="clear" w:color="D5D5D5" w:fill="D0DFB2" w:themeFill="accent3" w:themeFillTint="75"/>
      </w:tcPr>
    </w:tblStylePr>
    <w:tblStylePr w:type="band2Vert">
      <w:pPr>
        <w:snapToGrid/>
      </w:pPr>
    </w:tblStylePr>
    <w:tblStylePr w:type="band1Horz">
      <w:pPr>
        <w:snapToGrid/>
      </w:pPr>
      <w:tblPr/>
      <w:tcPr>
        <w:shd w:val="clear" w:color="D5D5D5" w:fill="D0DFB2" w:themeFill="accent3" w:themeFillTint="75"/>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GridTable5Dark-Accent4">
    <w:name w:val="Grid Table 5 Dark- Accent 4"/>
    <w:basedOn w:val="TableNormal"/>
    <w:uiPriority w:val="99"/>
    <w:qFormat/>
    <w:tblPr>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tblPr>
    <w:tblStylePr w:type="firstRow">
      <w:pPr>
        <w:snapToGrid/>
      </w:pPr>
      <w:rPr>
        <w:rFonts w:ascii="Arial" w:hAnsi="Arial"/>
        <w:b/>
        <w:color w:val="FFFFFF"/>
        <w:sz w:val="22"/>
      </w:rPr>
      <w:tblPr/>
      <w:tcPr>
        <w:shd w:val="clear" w:color="FFC000" w:fill="8064A2" w:themeFill="accent4"/>
      </w:tcPr>
    </w:tblStylePr>
    <w:tblStylePr w:type="lastRow">
      <w:pPr>
        <w:snapToGrid/>
      </w:pPr>
      <w:rPr>
        <w:rFonts w:ascii="Arial" w:hAnsi="Arial"/>
        <w:b/>
        <w:color w:val="FFFFFF"/>
        <w:sz w:val="22"/>
      </w:rPr>
      <w:tblPr/>
      <w:tcPr>
        <w:tcBorders>
          <w:top w:val="single" w:sz="4" w:space="0" w:color="FFFFFF" w:themeColor="light1"/>
        </w:tcBorders>
        <w:shd w:val="clear" w:color="FFC000" w:fill="8064A2" w:themeFill="accent4"/>
      </w:tcPr>
    </w:tblStylePr>
    <w:tblStylePr w:type="firstCol">
      <w:pPr>
        <w:snapToGrid/>
      </w:pPr>
      <w:rPr>
        <w:rFonts w:ascii="Arial" w:hAnsi="Arial"/>
        <w:b/>
        <w:color w:val="FFFFFF"/>
        <w:sz w:val="22"/>
      </w:rPr>
      <w:tblPr/>
      <w:tcPr>
        <w:shd w:val="clear" w:color="FFC000" w:fill="8064A2" w:themeFill="accent4"/>
      </w:tcPr>
    </w:tblStylePr>
    <w:tblStylePr w:type="lastCol">
      <w:pPr>
        <w:snapToGrid/>
      </w:pPr>
      <w:rPr>
        <w:rFonts w:ascii="Arial" w:hAnsi="Arial"/>
        <w:b/>
        <w:color w:val="FFFFFF"/>
        <w:sz w:val="22"/>
      </w:rPr>
      <w:tblPr/>
      <w:tcPr>
        <w:shd w:val="clear" w:color="FFC000" w:fill="8064A2" w:themeFill="accent4"/>
      </w:tcPr>
    </w:tblStylePr>
    <w:tblStylePr w:type="band1Vert">
      <w:pPr>
        <w:snapToGrid/>
      </w:pPr>
      <w:tblPr/>
      <w:tcPr>
        <w:shd w:val="clear" w:color="FFE28A" w:fill="C4B7D4" w:themeFill="accent4" w:themeFillTint="75"/>
      </w:tcPr>
    </w:tblStylePr>
    <w:tblStylePr w:type="band2Vert">
      <w:pPr>
        <w:snapToGrid/>
      </w:pPr>
    </w:tblStylePr>
    <w:tblStylePr w:type="band1Horz">
      <w:pPr>
        <w:snapToGrid/>
      </w:pPr>
      <w:tblPr/>
      <w:tcPr>
        <w:shd w:val="clear" w:color="FFE28A" w:fill="C4B7D4" w:themeFill="accent4" w:themeFillTint="75"/>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GridTable5Dark-Accent5">
    <w:name w:val="Grid Table 5 Dark - Accent 5"/>
    <w:basedOn w:val="TableNormal"/>
    <w:uiPriority w:val="99"/>
    <w:qFormat/>
    <w:tblPr>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tblPr>
    <w:tblStylePr w:type="firstRow">
      <w:pPr>
        <w:snapToGrid/>
      </w:pPr>
      <w:rPr>
        <w:rFonts w:ascii="Arial" w:hAnsi="Arial"/>
        <w:b/>
        <w:color w:val="FFFFFF"/>
        <w:sz w:val="22"/>
      </w:rPr>
      <w:tblPr/>
      <w:tcPr>
        <w:shd w:val="clear" w:color="4472C4" w:fill="4BACC6" w:themeFill="accent5"/>
      </w:tcPr>
    </w:tblStylePr>
    <w:tblStylePr w:type="lastRow">
      <w:pPr>
        <w:snapToGrid/>
      </w:pPr>
      <w:rPr>
        <w:rFonts w:ascii="Arial" w:hAnsi="Arial"/>
        <w:b/>
        <w:color w:val="FFFFFF"/>
        <w:sz w:val="22"/>
      </w:rPr>
      <w:tblPr/>
      <w:tcPr>
        <w:tcBorders>
          <w:top w:val="single" w:sz="4" w:space="0" w:color="FFFFFF" w:themeColor="light1"/>
        </w:tcBorders>
        <w:shd w:val="clear" w:color="4472C4" w:fill="4BACC6" w:themeFill="accent5"/>
      </w:tcPr>
    </w:tblStylePr>
    <w:tblStylePr w:type="firstCol">
      <w:pPr>
        <w:snapToGrid/>
      </w:pPr>
      <w:rPr>
        <w:rFonts w:ascii="Arial" w:hAnsi="Arial"/>
        <w:b/>
        <w:color w:val="FFFFFF"/>
        <w:sz w:val="22"/>
      </w:rPr>
      <w:tblPr/>
      <w:tcPr>
        <w:shd w:val="clear" w:color="4472C4" w:fill="4BACC6" w:themeFill="accent5"/>
      </w:tcPr>
    </w:tblStylePr>
    <w:tblStylePr w:type="lastCol">
      <w:pPr>
        <w:snapToGrid/>
      </w:pPr>
      <w:rPr>
        <w:rFonts w:ascii="Arial" w:hAnsi="Arial"/>
        <w:b/>
        <w:color w:val="FFFFFF"/>
        <w:sz w:val="22"/>
      </w:rPr>
      <w:tblPr/>
      <w:tcPr>
        <w:shd w:val="clear" w:color="4472C4" w:fill="4BACC6" w:themeFill="accent5"/>
      </w:tcPr>
    </w:tblStylePr>
    <w:tblStylePr w:type="band1Vert">
      <w:pPr>
        <w:snapToGrid/>
      </w:pPr>
      <w:tblPr/>
      <w:tcPr>
        <w:shd w:val="clear" w:color="A9BEE4" w:fill="ACD8E4" w:themeFill="accent5" w:themeFillTint="75"/>
      </w:tcPr>
    </w:tblStylePr>
    <w:tblStylePr w:type="band2Vert">
      <w:pPr>
        <w:snapToGrid/>
      </w:pPr>
    </w:tblStylePr>
    <w:tblStylePr w:type="band1Horz">
      <w:pPr>
        <w:snapToGrid/>
      </w:pPr>
      <w:tblPr/>
      <w:tcPr>
        <w:shd w:val="clear" w:color="A9BEE4" w:fill="ACD8E4" w:themeFill="accent5" w:themeFillTint="75"/>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GridTable5Dark-Accent6">
    <w:name w:val="Grid Table 5 Dark - Accent 6"/>
    <w:basedOn w:val="TableNormal"/>
    <w:uiPriority w:val="99"/>
    <w:qFormat/>
    <w:tblPr>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tblPr>
    <w:tblStylePr w:type="firstRow">
      <w:pPr>
        <w:snapToGrid/>
      </w:pPr>
      <w:rPr>
        <w:rFonts w:ascii="Arial" w:hAnsi="Arial"/>
        <w:b/>
        <w:color w:val="FFFFFF"/>
        <w:sz w:val="22"/>
      </w:rPr>
      <w:tblPr/>
      <w:tcPr>
        <w:shd w:val="clear" w:color="70AD47" w:fill="F79646" w:themeFill="accent6"/>
      </w:tcPr>
    </w:tblStylePr>
    <w:tblStylePr w:type="lastRow">
      <w:pPr>
        <w:snapToGrid/>
      </w:pPr>
      <w:rPr>
        <w:rFonts w:ascii="Arial" w:hAnsi="Arial"/>
        <w:b/>
        <w:color w:val="FFFFFF"/>
        <w:sz w:val="22"/>
      </w:rPr>
      <w:tblPr/>
      <w:tcPr>
        <w:tcBorders>
          <w:top w:val="single" w:sz="4" w:space="0" w:color="FFFFFF" w:themeColor="light1"/>
        </w:tcBorders>
        <w:shd w:val="clear" w:color="70AD47" w:fill="F79646" w:themeFill="accent6"/>
      </w:tcPr>
    </w:tblStylePr>
    <w:tblStylePr w:type="firstCol">
      <w:pPr>
        <w:snapToGrid/>
      </w:pPr>
      <w:rPr>
        <w:rFonts w:ascii="Arial" w:hAnsi="Arial"/>
        <w:b/>
        <w:color w:val="FFFFFF"/>
        <w:sz w:val="22"/>
      </w:rPr>
      <w:tblPr/>
      <w:tcPr>
        <w:shd w:val="clear" w:color="70AD47" w:fill="F79646" w:themeFill="accent6"/>
      </w:tcPr>
    </w:tblStylePr>
    <w:tblStylePr w:type="lastCol">
      <w:pPr>
        <w:snapToGrid/>
      </w:pPr>
      <w:rPr>
        <w:rFonts w:ascii="Arial" w:hAnsi="Arial"/>
        <w:b/>
        <w:color w:val="FFFFFF"/>
        <w:sz w:val="22"/>
      </w:rPr>
      <w:tblPr/>
      <w:tcPr>
        <w:shd w:val="clear" w:color="70AD47" w:fill="F79646" w:themeFill="accent6"/>
      </w:tcPr>
    </w:tblStylePr>
    <w:tblStylePr w:type="band1Vert">
      <w:pPr>
        <w:snapToGrid/>
      </w:pPr>
      <w:tblPr/>
      <w:tcPr>
        <w:shd w:val="clear" w:color="BCDBA8" w:fill="FBCEAA" w:themeFill="accent6" w:themeFillTint="75"/>
      </w:tcPr>
    </w:tblStylePr>
    <w:tblStylePr w:type="band2Vert">
      <w:pPr>
        <w:snapToGrid/>
      </w:pPr>
    </w:tblStylePr>
    <w:tblStylePr w:type="band1Horz">
      <w:pPr>
        <w:snapToGrid/>
      </w:pPr>
      <w:tblPr/>
      <w:tcPr>
        <w:shd w:val="clear" w:color="BCDBA8" w:fill="FBCEAA" w:themeFill="accent6" w:themeFillTint="75"/>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6100">
    <w:name w:val="网格表 6 彩色1_0"/>
    <w:basedOn w:val="TableNormal"/>
    <w:uiPriority w:val="99"/>
    <w:qFormat/>
    <w:tblPr>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pPr>
        <w:snapToGrid/>
      </w:pPr>
      <w:rPr>
        <w:b/>
        <w:color w:val="7F7F7F" w:themeColor="text1" w:themeTint="80"/>
      </w:rPr>
      <w:tblPr/>
      <w:tcPr>
        <w:tcBorders>
          <w:bottom w:val="single" w:sz="12" w:space="0" w:color="7F7F7F" w:themeColor="text1" w:themeTint="80"/>
        </w:tcBorders>
      </w:tcPr>
    </w:tblStylePr>
    <w:tblStylePr w:type="lastRow">
      <w:pPr>
        <w:snapToGrid/>
      </w:pPr>
      <w:rPr>
        <w:b/>
        <w:color w:val="7F7F7F" w:themeColor="text1" w:themeTint="80"/>
      </w:rPr>
    </w:tblStylePr>
    <w:tblStylePr w:type="firstCol">
      <w:pPr>
        <w:snapToGrid/>
      </w:pPr>
      <w:rPr>
        <w:b/>
        <w:color w:val="7F7F7F" w:themeColor="text1" w:themeTint="80"/>
      </w:rPr>
    </w:tblStylePr>
    <w:tblStylePr w:type="lastCol">
      <w:pPr>
        <w:snapToGrid/>
      </w:pPr>
      <w:rPr>
        <w:b/>
        <w:color w:val="7F7F7F" w:themeColor="text1" w:themeTint="80"/>
      </w:rPr>
    </w:tblStylePr>
    <w:tblStylePr w:type="band1Vert">
      <w:pPr>
        <w:snapToGrid/>
      </w:pPr>
      <w:tblPr/>
      <w:tcPr>
        <w:shd w:val="clear" w:color="CBCBCB" w:fill="CBCBCB" w:themeFill="text1" w:themeFillTint="34"/>
      </w:tcPr>
    </w:tblStylePr>
    <w:tblStylePr w:type="band2Vert">
      <w:pPr>
        <w:snapToGrid/>
      </w:pPr>
    </w:tblStylePr>
    <w:tblStylePr w:type="band1Horz">
      <w:pPr>
        <w:snapToGrid/>
      </w:pPr>
      <w:rPr>
        <w:rFonts w:ascii="Arial" w:hAnsi="Arial"/>
        <w:color w:val="7F7F7F" w:themeColor="text1" w:themeTint="80"/>
        <w:sz w:val="22"/>
      </w:rPr>
      <w:tblPr/>
      <w:tcPr>
        <w:shd w:val="clear" w:color="CBCBCB" w:fill="CBCBCB" w:themeFill="text1" w:themeFillTint="34"/>
      </w:tcPr>
    </w:tblStylePr>
    <w:tblStylePr w:type="band2Horz">
      <w:pPr>
        <w:snapToGrid/>
      </w:pPr>
      <w:rPr>
        <w:rFonts w:ascii="Arial" w:hAnsi="Arial"/>
        <w:color w:val="7F7F7F" w:themeColor="text1" w:themeTint="80"/>
        <w:sz w:val="22"/>
      </w:r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GridTable6Colorful-Accent1">
    <w:name w:val="Grid Table 6 Colorful - Accent 1"/>
    <w:basedOn w:val="TableNormal"/>
    <w:uiPriority w:val="99"/>
    <w:qFormat/>
    <w:tblPr>
      <w:tblBorders>
        <w:top w:val="single" w:sz="4" w:space="0" w:color="A6BFDD" w:themeColor="accent1" w:themeTint="80"/>
        <w:left w:val="single" w:sz="4" w:space="0" w:color="A6BFDD" w:themeColor="accent1" w:themeTint="80"/>
        <w:bottom w:val="single" w:sz="4" w:space="0" w:color="A6BFDD" w:themeColor="accent1" w:themeTint="80"/>
        <w:right w:val="single" w:sz="4" w:space="0" w:color="A6BFDD" w:themeColor="accent1" w:themeTint="80"/>
        <w:insideH w:val="single" w:sz="4" w:space="0" w:color="A6BFDD" w:themeColor="accent1" w:themeTint="80"/>
        <w:insideV w:val="single" w:sz="4" w:space="0" w:color="A6BFDD" w:themeColor="accent1" w:themeTint="80"/>
      </w:tblBorders>
    </w:tblPr>
    <w:tblStylePr w:type="firstRow">
      <w:pPr>
        <w:snapToGrid/>
      </w:pPr>
      <w:rPr>
        <w:b/>
        <w:color w:val="A6BFDD" w:themeColor="accent1" w:themeTint="80"/>
      </w:rPr>
      <w:tblPr/>
      <w:tcPr>
        <w:tcBorders>
          <w:bottom w:val="single" w:sz="12" w:space="0" w:color="A6BFDD" w:themeColor="accent1" w:themeTint="80"/>
        </w:tcBorders>
      </w:tcPr>
    </w:tblStylePr>
    <w:tblStylePr w:type="lastRow">
      <w:pPr>
        <w:snapToGrid/>
      </w:pPr>
      <w:rPr>
        <w:b/>
        <w:color w:val="A6BFDD" w:themeColor="accent1" w:themeTint="80"/>
      </w:rPr>
    </w:tblStylePr>
    <w:tblStylePr w:type="firstCol">
      <w:pPr>
        <w:snapToGrid/>
      </w:pPr>
      <w:rPr>
        <w:b/>
        <w:color w:val="A6BFDD" w:themeColor="accent1" w:themeTint="80"/>
      </w:rPr>
    </w:tblStylePr>
    <w:tblStylePr w:type="lastCol">
      <w:pPr>
        <w:snapToGrid/>
      </w:pPr>
      <w:rPr>
        <w:b/>
        <w:color w:val="A6BFDD" w:themeColor="accent1" w:themeTint="80"/>
      </w:rPr>
    </w:tblStylePr>
    <w:tblStylePr w:type="band1Vert">
      <w:pPr>
        <w:snapToGrid/>
      </w:pPr>
      <w:tblPr/>
      <w:tcPr>
        <w:shd w:val="clear" w:color="DDEAF6" w:fill="DAE5F1" w:themeFill="accent1" w:themeFillTint="34"/>
      </w:tcPr>
    </w:tblStylePr>
    <w:tblStylePr w:type="band2Vert">
      <w:pPr>
        <w:snapToGrid/>
      </w:pPr>
    </w:tblStylePr>
    <w:tblStylePr w:type="band1Horz">
      <w:pPr>
        <w:snapToGrid/>
      </w:pPr>
      <w:rPr>
        <w:rFonts w:ascii="Arial" w:hAnsi="Arial"/>
        <w:color w:val="A6BFDD" w:themeColor="accent1" w:themeTint="80"/>
        <w:sz w:val="22"/>
      </w:rPr>
      <w:tblPr/>
      <w:tcPr>
        <w:shd w:val="clear" w:color="DDEAF6" w:fill="DAE5F1" w:themeFill="accent1" w:themeFillTint="34"/>
      </w:tcPr>
    </w:tblStylePr>
    <w:tblStylePr w:type="band2Horz">
      <w:pPr>
        <w:snapToGrid/>
      </w:pPr>
      <w:rPr>
        <w:rFonts w:ascii="Arial" w:hAnsi="Arial"/>
        <w:color w:val="A6BFDD" w:themeColor="accent1" w:themeTint="80"/>
        <w:sz w:val="22"/>
      </w:r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GridTable6Colorful-Accent2">
    <w:name w:val="Grid Table 6 Colorful - Accent 2"/>
    <w:basedOn w:val="TableNormal"/>
    <w:uiPriority w:val="99"/>
    <w:qFormat/>
    <w:tblPr>
      <w:tbl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insideH w:val="single" w:sz="4" w:space="0" w:color="D99695" w:themeColor="accent2" w:themeTint="97"/>
        <w:insideV w:val="single" w:sz="4" w:space="0" w:color="D99695" w:themeColor="accent2" w:themeTint="97"/>
      </w:tblBorders>
    </w:tblPr>
    <w:tblStylePr w:type="firstRow">
      <w:pPr>
        <w:snapToGrid/>
      </w:pPr>
      <w:rPr>
        <w:b/>
        <w:color w:val="DA9796" w:themeColor="accent2" w:themeTint="96"/>
      </w:rPr>
      <w:tblPr/>
      <w:tcPr>
        <w:tcBorders>
          <w:bottom w:val="single" w:sz="12" w:space="0" w:color="D99695" w:themeColor="accent2" w:themeTint="97"/>
        </w:tcBorders>
      </w:tcPr>
    </w:tblStylePr>
    <w:tblStylePr w:type="lastRow">
      <w:pPr>
        <w:snapToGrid/>
      </w:pPr>
      <w:rPr>
        <w:b/>
        <w:color w:val="DA9796" w:themeColor="accent2" w:themeTint="96"/>
      </w:rPr>
    </w:tblStylePr>
    <w:tblStylePr w:type="firstCol">
      <w:pPr>
        <w:snapToGrid/>
      </w:pPr>
      <w:rPr>
        <w:b/>
        <w:color w:val="DA9796" w:themeColor="accent2" w:themeTint="96"/>
      </w:rPr>
    </w:tblStylePr>
    <w:tblStylePr w:type="lastCol">
      <w:pPr>
        <w:snapToGrid/>
      </w:pPr>
      <w:rPr>
        <w:b/>
        <w:color w:val="DA9796" w:themeColor="accent2" w:themeTint="96"/>
      </w:rPr>
    </w:tblStylePr>
    <w:tblStylePr w:type="band1Vert">
      <w:pPr>
        <w:snapToGrid/>
      </w:pPr>
      <w:tblPr/>
      <w:tcPr>
        <w:shd w:val="clear" w:color="FBE5D6" w:fill="F2DCDC" w:themeFill="accent2" w:themeFillTint="32"/>
      </w:tcPr>
    </w:tblStylePr>
    <w:tblStylePr w:type="band2Vert">
      <w:pPr>
        <w:snapToGrid/>
      </w:pPr>
    </w:tblStylePr>
    <w:tblStylePr w:type="band1Horz">
      <w:pPr>
        <w:snapToGrid/>
      </w:pPr>
      <w:rPr>
        <w:rFonts w:ascii="Arial" w:hAnsi="Arial"/>
        <w:color w:val="DA9796" w:themeColor="accent2" w:themeTint="96"/>
        <w:sz w:val="22"/>
      </w:rPr>
      <w:tblPr/>
      <w:tcPr>
        <w:shd w:val="clear" w:color="FBE5D6" w:fill="F2DCDC" w:themeFill="accent2" w:themeFillTint="32"/>
      </w:tcPr>
    </w:tblStylePr>
    <w:tblStylePr w:type="band2Horz">
      <w:pPr>
        <w:snapToGrid/>
      </w:pPr>
      <w:rPr>
        <w:rFonts w:ascii="Arial" w:hAnsi="Arial"/>
        <w:color w:val="DA9796" w:themeColor="accent2" w:themeTint="96"/>
        <w:sz w:val="22"/>
      </w:r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GridTable6Colorful-Accent3">
    <w:name w:val="Grid Table 6 Colorful - Accent 3"/>
    <w:basedOn w:val="TableNormal"/>
    <w:uiPriority w:val="99"/>
    <w:qFormat/>
    <w:tblPr>
      <w:tblBorders>
        <w:top w:val="single" w:sz="4" w:space="0" w:color="9ABB59" w:themeColor="accent3" w:themeTint="FE"/>
        <w:left w:val="single" w:sz="4" w:space="0" w:color="9ABB59" w:themeColor="accent3" w:themeTint="FE"/>
        <w:bottom w:val="single" w:sz="4" w:space="0" w:color="9ABB59" w:themeColor="accent3" w:themeTint="FE"/>
        <w:right w:val="single" w:sz="4" w:space="0" w:color="9ABB59" w:themeColor="accent3" w:themeTint="FE"/>
        <w:insideH w:val="single" w:sz="4" w:space="0" w:color="9ABB59" w:themeColor="accent3" w:themeTint="FE"/>
        <w:insideV w:val="single" w:sz="4" w:space="0" w:color="9ABB59" w:themeColor="accent3" w:themeTint="FE"/>
      </w:tblBorders>
    </w:tblPr>
    <w:tblStylePr w:type="firstRow">
      <w:pPr>
        <w:snapToGrid/>
      </w:pPr>
      <w:rPr>
        <w:b/>
        <w:color w:val="9BBB59" w:themeColor="accent3"/>
      </w:rPr>
      <w:tblPr/>
      <w:tcPr>
        <w:tcBorders>
          <w:bottom w:val="single" w:sz="12" w:space="0" w:color="9ABB59" w:themeColor="accent3" w:themeTint="FE"/>
        </w:tcBorders>
      </w:tcPr>
    </w:tblStylePr>
    <w:tblStylePr w:type="lastRow">
      <w:pPr>
        <w:snapToGrid/>
      </w:pPr>
      <w:rPr>
        <w:b/>
        <w:color w:val="9BBB59" w:themeColor="accent3"/>
      </w:rPr>
    </w:tblStylePr>
    <w:tblStylePr w:type="firstCol">
      <w:pPr>
        <w:snapToGrid/>
      </w:pPr>
      <w:rPr>
        <w:b/>
        <w:color w:val="9BBB59" w:themeColor="accent3"/>
      </w:rPr>
    </w:tblStylePr>
    <w:tblStylePr w:type="lastCol">
      <w:pPr>
        <w:snapToGrid/>
      </w:pPr>
      <w:rPr>
        <w:b/>
        <w:color w:val="9BBB59" w:themeColor="accent3"/>
      </w:rPr>
    </w:tblStylePr>
    <w:tblStylePr w:type="band1Vert">
      <w:pPr>
        <w:snapToGrid/>
      </w:pPr>
      <w:tblPr/>
      <w:tcPr>
        <w:shd w:val="clear" w:color="ECECEC" w:fill="EAF1DC" w:themeFill="accent3" w:themeFillTint="34"/>
      </w:tcPr>
    </w:tblStylePr>
    <w:tblStylePr w:type="band2Vert">
      <w:pPr>
        <w:snapToGrid/>
      </w:pPr>
    </w:tblStylePr>
    <w:tblStylePr w:type="band1Horz">
      <w:pPr>
        <w:snapToGrid/>
      </w:pPr>
      <w:rPr>
        <w:rFonts w:ascii="Arial" w:hAnsi="Arial"/>
        <w:color w:val="9BBB59" w:themeColor="accent3"/>
        <w:sz w:val="22"/>
      </w:rPr>
      <w:tblPr/>
      <w:tcPr>
        <w:shd w:val="clear" w:color="ECECEC" w:fill="EAF1DC" w:themeFill="accent3" w:themeFillTint="34"/>
      </w:tcPr>
    </w:tblStylePr>
    <w:tblStylePr w:type="band2Horz">
      <w:pPr>
        <w:snapToGrid/>
      </w:pPr>
      <w:rPr>
        <w:rFonts w:ascii="Arial" w:hAnsi="Arial"/>
        <w:color w:val="9BBB59" w:themeColor="accent3"/>
        <w:sz w:val="22"/>
      </w:r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GridTable6Colorful-Accent4">
    <w:name w:val="Grid Table 6 Colorful - Accent 4"/>
    <w:basedOn w:val="TableNormal"/>
    <w:uiPriority w:val="99"/>
    <w:qFormat/>
    <w:tblPr>
      <w:tbl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insideH w:val="single" w:sz="4" w:space="0" w:color="B2A1C6" w:themeColor="accent4" w:themeTint="9A"/>
        <w:insideV w:val="single" w:sz="4" w:space="0" w:color="B2A1C6" w:themeColor="accent4" w:themeTint="9A"/>
      </w:tblBorders>
    </w:tblPr>
    <w:tblStylePr w:type="firstRow">
      <w:pPr>
        <w:snapToGrid/>
      </w:pPr>
      <w:rPr>
        <w:b/>
        <w:color w:val="B2A1C7" w:themeColor="accent4" w:themeTint="99"/>
      </w:rPr>
      <w:tblPr/>
      <w:tcPr>
        <w:tcBorders>
          <w:bottom w:val="single" w:sz="12" w:space="0" w:color="B2A1C6" w:themeColor="accent4" w:themeTint="9A"/>
        </w:tcBorders>
      </w:tcPr>
    </w:tblStylePr>
    <w:tblStylePr w:type="lastRow">
      <w:pPr>
        <w:snapToGrid/>
      </w:pPr>
      <w:rPr>
        <w:b/>
        <w:color w:val="B2A1C7" w:themeColor="accent4" w:themeTint="99"/>
      </w:rPr>
    </w:tblStylePr>
    <w:tblStylePr w:type="firstCol">
      <w:pPr>
        <w:snapToGrid/>
      </w:pPr>
      <w:rPr>
        <w:b/>
        <w:color w:val="B2A1C7" w:themeColor="accent4" w:themeTint="99"/>
      </w:rPr>
    </w:tblStylePr>
    <w:tblStylePr w:type="lastCol">
      <w:pPr>
        <w:snapToGrid/>
      </w:pPr>
      <w:rPr>
        <w:b/>
        <w:color w:val="B2A1C7" w:themeColor="accent4" w:themeTint="99"/>
      </w:rPr>
    </w:tblStylePr>
    <w:tblStylePr w:type="band1Vert">
      <w:pPr>
        <w:snapToGrid/>
      </w:pPr>
      <w:tblPr/>
      <w:tcPr>
        <w:shd w:val="clear" w:color="FFF2CB" w:fill="E5DFEC" w:themeFill="accent4" w:themeFillTint="34"/>
      </w:tcPr>
    </w:tblStylePr>
    <w:tblStylePr w:type="band2Vert">
      <w:pPr>
        <w:snapToGrid/>
      </w:pPr>
    </w:tblStylePr>
    <w:tblStylePr w:type="band1Horz">
      <w:pPr>
        <w:snapToGrid/>
      </w:pPr>
      <w:rPr>
        <w:rFonts w:ascii="Arial" w:hAnsi="Arial"/>
        <w:color w:val="B2A1C7" w:themeColor="accent4" w:themeTint="99"/>
        <w:sz w:val="22"/>
      </w:rPr>
      <w:tblPr/>
      <w:tcPr>
        <w:shd w:val="clear" w:color="FFF2CB" w:fill="E5DFEC" w:themeFill="accent4" w:themeFillTint="34"/>
      </w:tcPr>
    </w:tblStylePr>
    <w:tblStylePr w:type="band2Horz">
      <w:pPr>
        <w:snapToGrid/>
      </w:pPr>
      <w:rPr>
        <w:rFonts w:ascii="Arial" w:hAnsi="Arial"/>
        <w:color w:val="B2A1C7" w:themeColor="accent4" w:themeTint="99"/>
        <w:sz w:val="22"/>
      </w:r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GridTable6Colorful-Accent5">
    <w:name w:val="Grid Table 6 Colorful - Accent 5"/>
    <w:basedOn w:val="TableNormal"/>
    <w:uiPriority w:val="99"/>
    <w:qFormat/>
    <w:tblPr>
      <w:tblBorders>
        <w:top w:val="single" w:sz="4" w:space="0" w:color="4BACC6" w:themeColor="accent5"/>
        <w:left w:val="single" w:sz="4" w:space="0" w:color="4BACC6" w:themeColor="accent5"/>
        <w:bottom w:val="single" w:sz="4" w:space="0" w:color="4BACC6" w:themeColor="accent5"/>
        <w:right w:val="single" w:sz="4" w:space="0" w:color="4BACC6" w:themeColor="accent5"/>
        <w:insideH w:val="single" w:sz="4" w:space="0" w:color="4BACC6" w:themeColor="accent5"/>
        <w:insideV w:val="single" w:sz="4" w:space="0" w:color="4BACC6" w:themeColor="accent5"/>
      </w:tblBorders>
    </w:tblPr>
    <w:tblStylePr w:type="firstRow">
      <w:pPr>
        <w:snapToGrid/>
      </w:pPr>
      <w:rPr>
        <w:b/>
        <w:color w:val="266678" w:themeColor="accent5" w:themeShade="94"/>
      </w:rPr>
      <w:tblPr/>
      <w:tcPr>
        <w:tcBorders>
          <w:bottom w:val="single" w:sz="12" w:space="0" w:color="4BACC6" w:themeColor="accent5"/>
        </w:tcBorders>
      </w:tcPr>
    </w:tblStylePr>
    <w:tblStylePr w:type="lastRow">
      <w:pPr>
        <w:snapToGrid/>
      </w:pPr>
      <w:rPr>
        <w:b/>
        <w:color w:val="266678" w:themeColor="accent5" w:themeShade="94"/>
      </w:rPr>
    </w:tblStylePr>
    <w:tblStylePr w:type="firstCol">
      <w:pPr>
        <w:snapToGrid/>
      </w:pPr>
      <w:rPr>
        <w:b/>
        <w:color w:val="266678" w:themeColor="accent5" w:themeShade="94"/>
      </w:rPr>
    </w:tblStylePr>
    <w:tblStylePr w:type="lastCol">
      <w:pPr>
        <w:snapToGrid/>
      </w:pPr>
      <w:rPr>
        <w:b/>
        <w:color w:val="266678" w:themeColor="accent5" w:themeShade="94"/>
      </w:rPr>
    </w:tblStylePr>
    <w:tblStylePr w:type="band1Vert">
      <w:pPr>
        <w:snapToGrid/>
      </w:pPr>
      <w:tblPr/>
      <w:tcPr>
        <w:shd w:val="clear" w:color="D8E2F3" w:fill="DAEEF3" w:themeFill="accent5" w:themeFillTint="34"/>
      </w:tcPr>
    </w:tblStylePr>
    <w:tblStylePr w:type="band2Vert">
      <w:pPr>
        <w:snapToGrid/>
      </w:pPr>
    </w:tblStylePr>
    <w:tblStylePr w:type="band1Horz">
      <w:pPr>
        <w:snapToGrid/>
      </w:pPr>
      <w:rPr>
        <w:rFonts w:ascii="Arial" w:hAnsi="Arial"/>
        <w:color w:val="266678" w:themeColor="accent5" w:themeShade="94"/>
        <w:sz w:val="22"/>
      </w:rPr>
      <w:tblPr/>
      <w:tcPr>
        <w:shd w:val="clear" w:color="D8E2F3" w:fill="DAEEF3" w:themeFill="accent5" w:themeFillTint="34"/>
      </w:tcPr>
    </w:tblStylePr>
    <w:tblStylePr w:type="band2Horz">
      <w:pPr>
        <w:snapToGrid/>
      </w:pPr>
      <w:rPr>
        <w:rFonts w:ascii="Arial" w:hAnsi="Arial"/>
        <w:color w:val="266678" w:themeColor="accent5" w:themeShade="94"/>
        <w:sz w:val="22"/>
      </w:r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GridTable6Colorful-Accent6">
    <w:name w:val="Grid Table 6 Colorful - Accent 6"/>
    <w:basedOn w:val="TableNormal"/>
    <w:uiPriority w:val="99"/>
    <w:qFormat/>
    <w:tblPr>
      <w:tblBorders>
        <w:top w:val="single" w:sz="4" w:space="0" w:color="F79646" w:themeColor="accent6"/>
        <w:left w:val="single" w:sz="4" w:space="0" w:color="F79646" w:themeColor="accent6"/>
        <w:bottom w:val="single" w:sz="4" w:space="0" w:color="F79646" w:themeColor="accent6"/>
        <w:right w:val="single" w:sz="4" w:space="0" w:color="F79646" w:themeColor="accent6"/>
        <w:insideH w:val="single" w:sz="4" w:space="0" w:color="F79646" w:themeColor="accent6"/>
        <w:insideV w:val="single" w:sz="4" w:space="0" w:color="F79646" w:themeColor="accent6"/>
      </w:tblBorders>
    </w:tblPr>
    <w:tblStylePr w:type="firstRow">
      <w:pPr>
        <w:snapToGrid/>
      </w:pPr>
      <w:rPr>
        <w:b/>
        <w:color w:val="266678" w:themeColor="accent5" w:themeShade="94"/>
      </w:rPr>
      <w:tblPr/>
      <w:tcPr>
        <w:tcBorders>
          <w:bottom w:val="single" w:sz="12" w:space="0" w:color="F79646" w:themeColor="accent6"/>
        </w:tcBorders>
      </w:tcPr>
    </w:tblStylePr>
    <w:tblStylePr w:type="lastRow">
      <w:pPr>
        <w:snapToGrid/>
      </w:pPr>
      <w:rPr>
        <w:b/>
        <w:color w:val="266678" w:themeColor="accent5" w:themeShade="94"/>
      </w:rPr>
    </w:tblStylePr>
    <w:tblStylePr w:type="firstCol">
      <w:pPr>
        <w:snapToGrid/>
      </w:pPr>
      <w:rPr>
        <w:b/>
        <w:color w:val="266678" w:themeColor="accent5" w:themeShade="94"/>
      </w:rPr>
    </w:tblStylePr>
    <w:tblStylePr w:type="lastCol">
      <w:pPr>
        <w:snapToGrid/>
      </w:pPr>
      <w:rPr>
        <w:b/>
        <w:color w:val="266678" w:themeColor="accent5" w:themeShade="94"/>
      </w:rPr>
    </w:tblStylePr>
    <w:tblStylePr w:type="band1Vert">
      <w:pPr>
        <w:snapToGrid/>
      </w:pPr>
      <w:tblPr/>
      <w:tcPr>
        <w:shd w:val="clear" w:color="E1EFD8" w:fill="FDE9D8" w:themeFill="accent6" w:themeFillTint="34"/>
      </w:tcPr>
    </w:tblStylePr>
    <w:tblStylePr w:type="band2Vert">
      <w:pPr>
        <w:snapToGrid/>
      </w:pPr>
    </w:tblStylePr>
    <w:tblStylePr w:type="band1Horz">
      <w:pPr>
        <w:snapToGrid/>
      </w:pPr>
      <w:rPr>
        <w:rFonts w:ascii="Arial" w:hAnsi="Arial"/>
        <w:color w:val="266678" w:themeColor="accent5" w:themeShade="94"/>
        <w:sz w:val="22"/>
      </w:rPr>
      <w:tblPr/>
      <w:tcPr>
        <w:shd w:val="clear" w:color="E1EFD8" w:fill="FDE9D8" w:themeFill="accent6" w:themeFillTint="34"/>
      </w:tcPr>
    </w:tblStylePr>
    <w:tblStylePr w:type="band2Horz">
      <w:pPr>
        <w:snapToGrid/>
      </w:pPr>
      <w:rPr>
        <w:rFonts w:ascii="Arial" w:hAnsi="Arial"/>
        <w:color w:val="266678" w:themeColor="accent5" w:themeShade="94"/>
        <w:sz w:val="22"/>
      </w:r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7100">
    <w:name w:val="网格表 7 彩色1_0"/>
    <w:basedOn w:val="TableNormal"/>
    <w:uiPriority w:val="99"/>
    <w:qFormat/>
    <w:tblPr>
      <w:tblBorders>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pPr>
        <w:snapToGrid/>
      </w:pPr>
      <w:rPr>
        <w:rFonts w:ascii="Arial" w:hAnsi="Arial"/>
        <w:b/>
        <w:color w:val="7F7F7F" w:themeColor="text1" w:themeTint="80"/>
        <w:sz w:val="22"/>
      </w:rPr>
      <w:tblPr/>
      <w:tcPr>
        <w:tcBorders>
          <w:top w:val="nil"/>
          <w:left w:val="nil"/>
          <w:bottom w:val="single" w:sz="4" w:space="0" w:color="7F7F7F" w:themeColor="text1" w:themeTint="80"/>
          <w:right w:val="nil"/>
        </w:tcBorders>
        <w:shd w:val="clear" w:color="FFFFFF" w:fill="FFFFFF" w:themeFill="light1"/>
      </w:tcPr>
    </w:tblStylePr>
    <w:tblStylePr w:type="lastRow">
      <w:pPr>
        <w:snapToGrid/>
      </w:pPr>
      <w:rPr>
        <w:rFonts w:ascii="Arial" w:hAnsi="Arial"/>
        <w:b/>
        <w:color w:val="7F7F7F" w:themeColor="text1" w:themeTint="80"/>
        <w:sz w:val="22"/>
      </w:rPr>
      <w:tblPr/>
      <w:tcPr>
        <w:tcBorders>
          <w:top w:val="single" w:sz="4" w:space="0" w:color="7F7F7F" w:themeColor="text1" w:themeTint="80"/>
          <w:left w:val="nil"/>
          <w:bottom w:val="nil"/>
          <w:right w:val="nil"/>
        </w:tcBorders>
        <w:shd w:val="clear" w:color="FFFFFF" w:fill="FFFFFF" w:themeFill="light1"/>
      </w:tcPr>
    </w:tblStylePr>
    <w:tblStylePr w:type="firstCol">
      <w:pPr>
        <w:snapToGrid/>
        <w:jc w:val="right"/>
      </w:pPr>
      <w:rPr>
        <w:rFonts w:ascii="Arial" w:hAnsi="Arial"/>
        <w:i/>
        <w:color w:val="7F7F7F" w:themeColor="text1" w:themeTint="80"/>
        <w:sz w:val="22"/>
      </w:rPr>
      <w:tblPr/>
      <w:tcPr>
        <w:tcBorders>
          <w:top w:val="nil"/>
          <w:left w:val="nil"/>
          <w:bottom w:val="nil"/>
          <w:right w:val="single" w:sz="4" w:space="0" w:color="7F7F7F" w:themeColor="text1" w:themeTint="80"/>
        </w:tcBorders>
        <w:shd w:val="clear" w:color="FFFFFF" w:fill="FFFFFF"/>
      </w:tcPr>
    </w:tblStylePr>
    <w:tblStylePr w:type="lastCol">
      <w:pPr>
        <w:snapToGrid/>
      </w:pPr>
      <w:rPr>
        <w:rFonts w:ascii="Arial" w:hAnsi="Arial"/>
        <w:i/>
        <w:color w:val="7F7F7F" w:themeColor="text1" w:themeTint="80"/>
        <w:sz w:val="22"/>
      </w:rPr>
      <w:tblPr/>
      <w:tcPr>
        <w:tcBorders>
          <w:top w:val="nil"/>
          <w:left w:val="single" w:sz="4" w:space="0" w:color="7F7F7F" w:themeColor="text1" w:themeTint="80"/>
          <w:bottom w:val="nil"/>
          <w:right w:val="nil"/>
        </w:tcBorders>
        <w:shd w:val="clear" w:color="FFFFFF" w:fill="FFFFFF"/>
      </w:tcPr>
    </w:tblStylePr>
    <w:tblStylePr w:type="band1Vert">
      <w:pPr>
        <w:snapToGrid/>
      </w:pPr>
      <w:tblPr/>
      <w:tcPr>
        <w:shd w:val="clear" w:color="F2F2F2" w:fill="F2F2F2" w:themeFill="text1" w:themeFillTint="0D"/>
      </w:tcPr>
    </w:tblStylePr>
    <w:tblStylePr w:type="band2Vert">
      <w:pPr>
        <w:snapToGrid/>
      </w:pPr>
    </w:tblStylePr>
    <w:tblStylePr w:type="band1Horz">
      <w:pPr>
        <w:snapToGrid/>
      </w:pPr>
      <w:rPr>
        <w:rFonts w:ascii="Arial" w:hAnsi="Arial"/>
        <w:color w:val="7F7F7F" w:themeColor="text1" w:themeTint="80"/>
        <w:sz w:val="22"/>
      </w:rPr>
      <w:tblPr/>
      <w:tcPr>
        <w:shd w:val="clear" w:color="F2F2F2" w:fill="F2F2F2" w:themeFill="text1" w:themeFillTint="0D"/>
      </w:tcPr>
    </w:tblStylePr>
    <w:tblStylePr w:type="band2Horz">
      <w:pPr>
        <w:snapToGrid/>
      </w:pPr>
      <w:rPr>
        <w:rFonts w:ascii="Arial" w:hAnsi="Arial"/>
        <w:color w:val="7F7F7F" w:themeColor="text1" w:themeTint="80"/>
        <w:sz w:val="22"/>
      </w:r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GridTable7Colorful-Accent1">
    <w:name w:val="Grid Table 7 Colorful - Accent 1"/>
    <w:basedOn w:val="TableNormal"/>
    <w:uiPriority w:val="99"/>
    <w:qFormat/>
    <w:tblPr>
      <w:tblBorders>
        <w:bottom w:val="single" w:sz="4" w:space="0" w:color="A6BFDD" w:themeColor="accent1" w:themeTint="80"/>
        <w:right w:val="single" w:sz="4" w:space="0" w:color="A6BFDD" w:themeColor="accent1" w:themeTint="80"/>
        <w:insideH w:val="single" w:sz="4" w:space="0" w:color="A6BFDD" w:themeColor="accent1" w:themeTint="80"/>
        <w:insideV w:val="single" w:sz="4" w:space="0" w:color="A6BFDD" w:themeColor="accent1" w:themeTint="80"/>
      </w:tblBorders>
    </w:tblPr>
    <w:tblStylePr w:type="firstRow">
      <w:pPr>
        <w:snapToGrid/>
      </w:pPr>
      <w:rPr>
        <w:rFonts w:ascii="Arial" w:hAnsi="Arial"/>
        <w:b/>
        <w:color w:val="A6BFDD" w:themeColor="accent1" w:themeTint="80"/>
        <w:sz w:val="22"/>
      </w:rPr>
      <w:tblPr/>
      <w:tcPr>
        <w:tcBorders>
          <w:top w:val="nil"/>
          <w:left w:val="nil"/>
          <w:bottom w:val="single" w:sz="4" w:space="0" w:color="A6BFDD" w:themeColor="accent1" w:themeTint="80"/>
          <w:right w:val="nil"/>
        </w:tcBorders>
        <w:shd w:val="clear" w:color="FFFFFF" w:fill="FFFFFF" w:themeFill="light1"/>
      </w:tcPr>
    </w:tblStylePr>
    <w:tblStylePr w:type="lastRow">
      <w:pPr>
        <w:snapToGrid/>
      </w:pPr>
      <w:rPr>
        <w:rFonts w:ascii="Arial" w:hAnsi="Arial"/>
        <w:b/>
        <w:color w:val="A6BFDD" w:themeColor="accent1" w:themeTint="80"/>
        <w:sz w:val="22"/>
      </w:rPr>
      <w:tblPr/>
      <w:tcPr>
        <w:tcBorders>
          <w:top w:val="single" w:sz="4" w:space="0" w:color="A6BFDD" w:themeColor="accent1" w:themeTint="80"/>
          <w:left w:val="nil"/>
          <w:bottom w:val="nil"/>
          <w:right w:val="nil"/>
        </w:tcBorders>
        <w:shd w:val="clear" w:color="FFFFFF" w:fill="FFFFFF" w:themeFill="light1"/>
      </w:tcPr>
    </w:tblStylePr>
    <w:tblStylePr w:type="firstCol">
      <w:pPr>
        <w:snapToGrid/>
        <w:jc w:val="right"/>
      </w:pPr>
      <w:rPr>
        <w:rFonts w:ascii="Arial" w:hAnsi="Arial"/>
        <w:i/>
        <w:color w:val="A6BFDD" w:themeColor="accent1" w:themeTint="80"/>
        <w:sz w:val="22"/>
      </w:rPr>
      <w:tblPr/>
      <w:tcPr>
        <w:tcBorders>
          <w:top w:val="nil"/>
          <w:left w:val="nil"/>
          <w:bottom w:val="nil"/>
          <w:right w:val="single" w:sz="4" w:space="0" w:color="A6BFDD" w:themeColor="accent1" w:themeTint="80"/>
        </w:tcBorders>
        <w:shd w:val="clear" w:color="FFFFFF" w:fill="FFFFFF"/>
      </w:tcPr>
    </w:tblStylePr>
    <w:tblStylePr w:type="lastCol">
      <w:pPr>
        <w:snapToGrid/>
      </w:pPr>
      <w:rPr>
        <w:rFonts w:ascii="Arial" w:hAnsi="Arial"/>
        <w:i/>
        <w:color w:val="A6BFDD" w:themeColor="accent1" w:themeTint="80"/>
        <w:sz w:val="22"/>
      </w:rPr>
      <w:tblPr/>
      <w:tcPr>
        <w:tcBorders>
          <w:top w:val="nil"/>
          <w:left w:val="single" w:sz="4" w:space="0" w:color="A6BFDD" w:themeColor="accent1" w:themeTint="80"/>
          <w:bottom w:val="nil"/>
          <w:right w:val="nil"/>
        </w:tcBorders>
        <w:shd w:val="clear" w:color="FFFFFF" w:fill="FFFFFF"/>
      </w:tcPr>
    </w:tblStylePr>
    <w:tblStylePr w:type="band1Vert">
      <w:pPr>
        <w:snapToGrid/>
      </w:pPr>
      <w:tblPr/>
      <w:tcPr>
        <w:shd w:val="clear" w:color="DDEAF6" w:fill="DAE5F1" w:themeFill="accent1" w:themeFillTint="34"/>
      </w:tcPr>
    </w:tblStylePr>
    <w:tblStylePr w:type="band2Vert">
      <w:pPr>
        <w:snapToGrid/>
      </w:pPr>
    </w:tblStylePr>
    <w:tblStylePr w:type="band1Horz">
      <w:pPr>
        <w:snapToGrid/>
      </w:pPr>
      <w:rPr>
        <w:rFonts w:ascii="Arial" w:hAnsi="Arial"/>
        <w:color w:val="A6BFDD" w:themeColor="accent1" w:themeTint="80"/>
        <w:sz w:val="22"/>
      </w:rPr>
      <w:tblPr/>
      <w:tcPr>
        <w:shd w:val="clear" w:color="DDEAF6" w:fill="DAE5F1" w:themeFill="accent1" w:themeFillTint="34"/>
      </w:tcPr>
    </w:tblStylePr>
    <w:tblStylePr w:type="band2Horz">
      <w:pPr>
        <w:snapToGrid/>
      </w:pPr>
      <w:rPr>
        <w:rFonts w:ascii="Arial" w:hAnsi="Arial"/>
        <w:color w:val="A6BFDD" w:themeColor="accent1" w:themeTint="80"/>
        <w:sz w:val="22"/>
      </w:r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GridTable7Colorful-Accent2">
    <w:name w:val="Grid Table 7 Colorful - Accent 2"/>
    <w:basedOn w:val="TableNormal"/>
    <w:uiPriority w:val="99"/>
    <w:qFormat/>
    <w:tblPr>
      <w:tblBorders>
        <w:bottom w:val="single" w:sz="4" w:space="0" w:color="D99695" w:themeColor="accent2" w:themeTint="97"/>
        <w:right w:val="single" w:sz="4" w:space="0" w:color="D99695" w:themeColor="accent2" w:themeTint="97"/>
        <w:insideH w:val="single" w:sz="4" w:space="0" w:color="D99695" w:themeColor="accent2" w:themeTint="97"/>
        <w:insideV w:val="single" w:sz="4" w:space="0" w:color="D99695" w:themeColor="accent2" w:themeTint="97"/>
      </w:tblBorders>
    </w:tblPr>
    <w:tblStylePr w:type="firstRow">
      <w:pPr>
        <w:snapToGrid/>
      </w:pPr>
      <w:rPr>
        <w:rFonts w:ascii="Arial" w:hAnsi="Arial"/>
        <w:b/>
        <w:color w:val="DA9796" w:themeColor="accent2" w:themeTint="96"/>
        <w:sz w:val="22"/>
      </w:rPr>
      <w:tblPr/>
      <w:tcPr>
        <w:tcBorders>
          <w:top w:val="nil"/>
          <w:left w:val="nil"/>
          <w:bottom w:val="single" w:sz="4" w:space="0" w:color="D99695" w:themeColor="accent2" w:themeTint="97"/>
          <w:right w:val="nil"/>
        </w:tcBorders>
        <w:shd w:val="clear" w:color="FFFFFF" w:fill="FFFFFF" w:themeFill="light1"/>
      </w:tcPr>
    </w:tblStylePr>
    <w:tblStylePr w:type="lastRow">
      <w:pPr>
        <w:snapToGrid/>
      </w:pPr>
      <w:rPr>
        <w:rFonts w:ascii="Arial" w:hAnsi="Arial"/>
        <w:b/>
        <w:color w:val="DA9796" w:themeColor="accent2" w:themeTint="96"/>
        <w:sz w:val="22"/>
      </w:rPr>
      <w:tblPr/>
      <w:tcPr>
        <w:tcBorders>
          <w:top w:val="single" w:sz="4" w:space="0" w:color="D99695" w:themeColor="accent2" w:themeTint="97"/>
          <w:left w:val="nil"/>
          <w:bottom w:val="nil"/>
          <w:right w:val="nil"/>
        </w:tcBorders>
        <w:shd w:val="clear" w:color="FFFFFF" w:fill="FFFFFF" w:themeFill="light1"/>
      </w:tcPr>
    </w:tblStylePr>
    <w:tblStylePr w:type="firstCol">
      <w:pPr>
        <w:snapToGrid/>
        <w:jc w:val="right"/>
      </w:pPr>
      <w:rPr>
        <w:rFonts w:ascii="Arial" w:hAnsi="Arial"/>
        <w:i/>
        <w:color w:val="DA9796" w:themeColor="accent2" w:themeTint="96"/>
        <w:sz w:val="22"/>
      </w:rPr>
      <w:tblPr/>
      <w:tcPr>
        <w:tcBorders>
          <w:top w:val="nil"/>
          <w:left w:val="nil"/>
          <w:bottom w:val="nil"/>
          <w:right w:val="single" w:sz="4" w:space="0" w:color="D99695" w:themeColor="accent2" w:themeTint="97"/>
        </w:tcBorders>
        <w:shd w:val="clear" w:color="FFFFFF" w:fill="FFFFFF"/>
      </w:tcPr>
    </w:tblStylePr>
    <w:tblStylePr w:type="lastCol">
      <w:pPr>
        <w:snapToGrid/>
      </w:pPr>
      <w:rPr>
        <w:rFonts w:ascii="Arial" w:hAnsi="Arial"/>
        <w:i/>
        <w:color w:val="DA9796" w:themeColor="accent2" w:themeTint="96"/>
        <w:sz w:val="22"/>
      </w:rPr>
      <w:tblPr/>
      <w:tcPr>
        <w:tcBorders>
          <w:top w:val="nil"/>
          <w:left w:val="single" w:sz="4" w:space="0" w:color="D99695" w:themeColor="accent2" w:themeTint="97"/>
          <w:bottom w:val="nil"/>
          <w:right w:val="nil"/>
        </w:tcBorders>
        <w:shd w:val="clear" w:color="FFFFFF" w:fill="FFFFFF"/>
      </w:tcPr>
    </w:tblStylePr>
    <w:tblStylePr w:type="band1Vert">
      <w:pPr>
        <w:snapToGrid/>
      </w:pPr>
      <w:tblPr/>
      <w:tcPr>
        <w:shd w:val="clear" w:color="FBE5D6" w:fill="F2DCDC" w:themeFill="accent2" w:themeFillTint="32"/>
      </w:tcPr>
    </w:tblStylePr>
    <w:tblStylePr w:type="band2Vert">
      <w:pPr>
        <w:snapToGrid/>
      </w:pPr>
    </w:tblStylePr>
    <w:tblStylePr w:type="band1Horz">
      <w:pPr>
        <w:snapToGrid/>
      </w:pPr>
      <w:rPr>
        <w:rFonts w:ascii="Arial" w:hAnsi="Arial"/>
        <w:color w:val="DA9796" w:themeColor="accent2" w:themeTint="96"/>
        <w:sz w:val="22"/>
      </w:rPr>
      <w:tblPr/>
      <w:tcPr>
        <w:shd w:val="clear" w:color="FBE5D6" w:fill="F2DCDC" w:themeFill="accent2" w:themeFillTint="32"/>
      </w:tcPr>
    </w:tblStylePr>
    <w:tblStylePr w:type="band2Horz">
      <w:pPr>
        <w:snapToGrid/>
      </w:pPr>
      <w:rPr>
        <w:rFonts w:ascii="Arial" w:hAnsi="Arial"/>
        <w:color w:val="DA9796" w:themeColor="accent2" w:themeTint="96"/>
        <w:sz w:val="22"/>
      </w:r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GridTable7Colorful-Accent3">
    <w:name w:val="Grid Table 7 Colorful - Accent 3"/>
    <w:basedOn w:val="TableNormal"/>
    <w:uiPriority w:val="99"/>
    <w:qFormat/>
    <w:tblPr>
      <w:tblBorders>
        <w:bottom w:val="single" w:sz="4" w:space="0" w:color="9ABB59" w:themeColor="accent3" w:themeTint="FE"/>
        <w:right w:val="single" w:sz="4" w:space="0" w:color="9ABB59" w:themeColor="accent3" w:themeTint="FE"/>
        <w:insideH w:val="single" w:sz="4" w:space="0" w:color="9ABB59" w:themeColor="accent3" w:themeTint="FE"/>
        <w:insideV w:val="single" w:sz="4" w:space="0" w:color="9ABB59" w:themeColor="accent3" w:themeTint="FE"/>
      </w:tblBorders>
    </w:tblPr>
    <w:tblStylePr w:type="firstRow">
      <w:pPr>
        <w:snapToGrid/>
      </w:pPr>
      <w:rPr>
        <w:rFonts w:ascii="Arial" w:hAnsi="Arial"/>
        <w:b/>
        <w:color w:val="9BBB59" w:themeColor="accent3"/>
        <w:sz w:val="22"/>
      </w:rPr>
      <w:tblPr/>
      <w:tcPr>
        <w:tcBorders>
          <w:top w:val="nil"/>
          <w:left w:val="nil"/>
          <w:bottom w:val="single" w:sz="4" w:space="0" w:color="9ABB59" w:themeColor="accent3" w:themeTint="FE"/>
          <w:right w:val="nil"/>
        </w:tcBorders>
        <w:shd w:val="clear" w:color="FFFFFF" w:fill="FFFFFF" w:themeFill="light1"/>
      </w:tcPr>
    </w:tblStylePr>
    <w:tblStylePr w:type="lastRow">
      <w:pPr>
        <w:snapToGrid/>
      </w:pPr>
      <w:rPr>
        <w:rFonts w:ascii="Arial" w:hAnsi="Arial"/>
        <w:b/>
        <w:color w:val="9BBB59" w:themeColor="accent3"/>
        <w:sz w:val="22"/>
      </w:rPr>
      <w:tblPr/>
      <w:tcPr>
        <w:tcBorders>
          <w:top w:val="single" w:sz="4" w:space="0" w:color="9ABB59" w:themeColor="accent3" w:themeTint="FE"/>
          <w:left w:val="nil"/>
          <w:bottom w:val="nil"/>
          <w:right w:val="nil"/>
        </w:tcBorders>
        <w:shd w:val="clear" w:color="FFFFFF" w:fill="FFFFFF" w:themeFill="light1"/>
      </w:tcPr>
    </w:tblStylePr>
    <w:tblStylePr w:type="firstCol">
      <w:pPr>
        <w:snapToGrid/>
        <w:jc w:val="right"/>
      </w:pPr>
      <w:rPr>
        <w:rFonts w:ascii="Arial" w:hAnsi="Arial"/>
        <w:i/>
        <w:color w:val="9BBB59" w:themeColor="accent3"/>
        <w:sz w:val="22"/>
      </w:rPr>
      <w:tblPr/>
      <w:tcPr>
        <w:tcBorders>
          <w:top w:val="nil"/>
          <w:left w:val="nil"/>
          <w:bottom w:val="nil"/>
          <w:right w:val="single" w:sz="4" w:space="0" w:color="9ABB59" w:themeColor="accent3" w:themeTint="FE"/>
        </w:tcBorders>
        <w:shd w:val="clear" w:color="FFFFFF" w:fill="FFFFFF"/>
      </w:tcPr>
    </w:tblStylePr>
    <w:tblStylePr w:type="lastCol">
      <w:pPr>
        <w:snapToGrid/>
      </w:pPr>
      <w:rPr>
        <w:rFonts w:ascii="Arial" w:hAnsi="Arial"/>
        <w:i/>
        <w:color w:val="9BBB59" w:themeColor="accent3"/>
        <w:sz w:val="22"/>
      </w:rPr>
      <w:tblPr/>
      <w:tcPr>
        <w:tcBorders>
          <w:top w:val="nil"/>
          <w:left w:val="single" w:sz="4" w:space="0" w:color="9ABB59" w:themeColor="accent3" w:themeTint="FE"/>
          <w:bottom w:val="nil"/>
          <w:right w:val="nil"/>
        </w:tcBorders>
        <w:shd w:val="clear" w:color="FFFFFF" w:fill="FFFFFF"/>
      </w:tcPr>
    </w:tblStylePr>
    <w:tblStylePr w:type="band1Vert">
      <w:pPr>
        <w:snapToGrid/>
      </w:pPr>
      <w:tblPr/>
      <w:tcPr>
        <w:shd w:val="clear" w:color="ECECEC" w:fill="EAF1DC" w:themeFill="accent3" w:themeFillTint="34"/>
      </w:tcPr>
    </w:tblStylePr>
    <w:tblStylePr w:type="band2Vert">
      <w:pPr>
        <w:snapToGrid/>
      </w:pPr>
    </w:tblStylePr>
    <w:tblStylePr w:type="band1Horz">
      <w:pPr>
        <w:snapToGrid/>
      </w:pPr>
      <w:rPr>
        <w:rFonts w:ascii="Arial" w:hAnsi="Arial"/>
        <w:color w:val="9BBB59" w:themeColor="accent3"/>
        <w:sz w:val="22"/>
      </w:rPr>
      <w:tblPr/>
      <w:tcPr>
        <w:shd w:val="clear" w:color="ECECEC" w:fill="EAF1DC" w:themeFill="accent3" w:themeFillTint="34"/>
      </w:tcPr>
    </w:tblStylePr>
    <w:tblStylePr w:type="band2Horz">
      <w:pPr>
        <w:snapToGrid/>
      </w:pPr>
      <w:rPr>
        <w:rFonts w:ascii="Arial" w:hAnsi="Arial"/>
        <w:color w:val="9BBB59" w:themeColor="accent3"/>
        <w:sz w:val="22"/>
      </w:r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GridTable7Colorful-Accent4">
    <w:name w:val="Grid Table 7 Colorful - Accent 4"/>
    <w:basedOn w:val="TableNormal"/>
    <w:uiPriority w:val="99"/>
    <w:qFormat/>
    <w:tblPr>
      <w:tblBorders>
        <w:bottom w:val="single" w:sz="4" w:space="0" w:color="B2A1C6" w:themeColor="accent4" w:themeTint="9A"/>
        <w:right w:val="single" w:sz="4" w:space="0" w:color="B2A1C6" w:themeColor="accent4" w:themeTint="9A"/>
        <w:insideH w:val="single" w:sz="4" w:space="0" w:color="B2A1C6" w:themeColor="accent4" w:themeTint="9A"/>
        <w:insideV w:val="single" w:sz="4" w:space="0" w:color="B2A1C6" w:themeColor="accent4" w:themeTint="9A"/>
      </w:tblBorders>
    </w:tblPr>
    <w:tblStylePr w:type="firstRow">
      <w:pPr>
        <w:snapToGrid/>
      </w:pPr>
      <w:rPr>
        <w:rFonts w:ascii="Arial" w:hAnsi="Arial"/>
        <w:b/>
        <w:color w:val="B2A1C7" w:themeColor="accent4" w:themeTint="99"/>
        <w:sz w:val="22"/>
      </w:rPr>
      <w:tblPr/>
      <w:tcPr>
        <w:tcBorders>
          <w:top w:val="nil"/>
          <w:left w:val="nil"/>
          <w:bottom w:val="single" w:sz="4" w:space="0" w:color="B2A1C6" w:themeColor="accent4" w:themeTint="9A"/>
          <w:right w:val="nil"/>
        </w:tcBorders>
        <w:shd w:val="clear" w:color="FFFFFF" w:fill="FFFFFF" w:themeFill="light1"/>
      </w:tcPr>
    </w:tblStylePr>
    <w:tblStylePr w:type="lastRow">
      <w:pPr>
        <w:snapToGrid/>
      </w:pPr>
      <w:rPr>
        <w:rFonts w:ascii="Arial" w:hAnsi="Arial"/>
        <w:b/>
        <w:color w:val="B2A1C7" w:themeColor="accent4" w:themeTint="99"/>
        <w:sz w:val="22"/>
      </w:rPr>
      <w:tblPr/>
      <w:tcPr>
        <w:tcBorders>
          <w:top w:val="single" w:sz="4" w:space="0" w:color="B2A1C6" w:themeColor="accent4" w:themeTint="9A"/>
          <w:left w:val="nil"/>
          <w:bottom w:val="nil"/>
          <w:right w:val="nil"/>
        </w:tcBorders>
        <w:shd w:val="clear" w:color="FFFFFF" w:fill="FFFFFF" w:themeFill="light1"/>
      </w:tcPr>
    </w:tblStylePr>
    <w:tblStylePr w:type="firstCol">
      <w:pPr>
        <w:snapToGrid/>
        <w:jc w:val="right"/>
      </w:pPr>
      <w:rPr>
        <w:rFonts w:ascii="Arial" w:hAnsi="Arial"/>
        <w:i/>
        <w:color w:val="B2A1C7" w:themeColor="accent4" w:themeTint="99"/>
        <w:sz w:val="22"/>
      </w:rPr>
      <w:tblPr/>
      <w:tcPr>
        <w:tcBorders>
          <w:top w:val="nil"/>
          <w:left w:val="nil"/>
          <w:bottom w:val="nil"/>
          <w:right w:val="single" w:sz="4" w:space="0" w:color="B2A1C6" w:themeColor="accent4" w:themeTint="9A"/>
        </w:tcBorders>
        <w:shd w:val="clear" w:color="FFFFFF" w:fill="FFFFFF"/>
      </w:tcPr>
    </w:tblStylePr>
    <w:tblStylePr w:type="lastCol">
      <w:pPr>
        <w:snapToGrid/>
      </w:pPr>
      <w:rPr>
        <w:rFonts w:ascii="Arial" w:hAnsi="Arial"/>
        <w:i/>
        <w:color w:val="B2A1C7" w:themeColor="accent4" w:themeTint="99"/>
        <w:sz w:val="22"/>
      </w:rPr>
      <w:tblPr/>
      <w:tcPr>
        <w:tcBorders>
          <w:top w:val="nil"/>
          <w:left w:val="single" w:sz="4" w:space="0" w:color="B2A1C6" w:themeColor="accent4" w:themeTint="9A"/>
          <w:bottom w:val="nil"/>
          <w:right w:val="nil"/>
        </w:tcBorders>
        <w:shd w:val="clear" w:color="FFFFFF" w:fill="FFFFFF"/>
      </w:tcPr>
    </w:tblStylePr>
    <w:tblStylePr w:type="band1Vert">
      <w:pPr>
        <w:snapToGrid/>
      </w:pPr>
      <w:tblPr/>
      <w:tcPr>
        <w:shd w:val="clear" w:color="FFF2CB" w:fill="E5DFEC" w:themeFill="accent4" w:themeFillTint="34"/>
      </w:tcPr>
    </w:tblStylePr>
    <w:tblStylePr w:type="band2Vert">
      <w:pPr>
        <w:snapToGrid/>
      </w:pPr>
    </w:tblStylePr>
    <w:tblStylePr w:type="band1Horz">
      <w:pPr>
        <w:snapToGrid/>
      </w:pPr>
      <w:rPr>
        <w:rFonts w:ascii="Arial" w:hAnsi="Arial"/>
        <w:color w:val="B2A1C7" w:themeColor="accent4" w:themeTint="99"/>
        <w:sz w:val="22"/>
      </w:rPr>
      <w:tblPr/>
      <w:tcPr>
        <w:shd w:val="clear" w:color="FFF2CB" w:fill="E5DFEC" w:themeFill="accent4" w:themeFillTint="34"/>
      </w:tcPr>
    </w:tblStylePr>
    <w:tblStylePr w:type="band2Horz">
      <w:pPr>
        <w:snapToGrid/>
      </w:pPr>
      <w:rPr>
        <w:rFonts w:ascii="Arial" w:hAnsi="Arial"/>
        <w:color w:val="B2A1C7" w:themeColor="accent4" w:themeTint="99"/>
        <w:sz w:val="22"/>
      </w:r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GridTable7Colorful-Accent5">
    <w:name w:val="Grid Table 7 Colorful - Accent 5"/>
    <w:basedOn w:val="TableNormal"/>
    <w:uiPriority w:val="99"/>
    <w:qFormat/>
    <w:tblPr>
      <w:tblBorders>
        <w:bottom w:val="single" w:sz="4" w:space="0" w:color="99D0DE" w:themeColor="accent5" w:themeTint="90"/>
        <w:right w:val="single" w:sz="4" w:space="0" w:color="99D0DE" w:themeColor="accent5" w:themeTint="90"/>
        <w:insideH w:val="single" w:sz="4" w:space="0" w:color="99D0DE" w:themeColor="accent5" w:themeTint="90"/>
        <w:insideV w:val="single" w:sz="4" w:space="0" w:color="99D0DE" w:themeColor="accent5" w:themeTint="90"/>
      </w:tblBorders>
    </w:tblPr>
    <w:tblStylePr w:type="firstRow">
      <w:pPr>
        <w:snapToGrid/>
      </w:pPr>
      <w:rPr>
        <w:rFonts w:ascii="Arial" w:hAnsi="Arial"/>
        <w:b/>
        <w:color w:val="266678" w:themeColor="accent5" w:themeShade="94"/>
        <w:sz w:val="22"/>
      </w:rPr>
      <w:tblPr/>
      <w:tcPr>
        <w:tcBorders>
          <w:top w:val="nil"/>
          <w:left w:val="nil"/>
          <w:bottom w:val="single" w:sz="4" w:space="0" w:color="99D0DE" w:themeColor="accent5" w:themeTint="90"/>
          <w:right w:val="nil"/>
        </w:tcBorders>
        <w:shd w:val="clear" w:color="FFFFFF" w:fill="FFFFFF" w:themeFill="light1"/>
      </w:tcPr>
    </w:tblStylePr>
    <w:tblStylePr w:type="lastRow">
      <w:pPr>
        <w:snapToGrid/>
      </w:pPr>
      <w:rPr>
        <w:rFonts w:ascii="Arial" w:hAnsi="Arial"/>
        <w:b/>
        <w:color w:val="266678" w:themeColor="accent5" w:themeShade="94"/>
        <w:sz w:val="22"/>
      </w:rPr>
      <w:tblPr/>
      <w:tcPr>
        <w:tcBorders>
          <w:top w:val="single" w:sz="4" w:space="0" w:color="99D0DE" w:themeColor="accent5" w:themeTint="90"/>
          <w:left w:val="nil"/>
          <w:bottom w:val="nil"/>
          <w:right w:val="nil"/>
        </w:tcBorders>
        <w:shd w:val="clear" w:color="FFFFFF" w:fill="FFFFFF" w:themeFill="light1"/>
      </w:tcPr>
    </w:tblStylePr>
    <w:tblStylePr w:type="firstCol">
      <w:pPr>
        <w:snapToGrid/>
        <w:jc w:val="right"/>
      </w:pPr>
      <w:rPr>
        <w:rFonts w:ascii="Arial" w:hAnsi="Arial"/>
        <w:i/>
        <w:color w:val="266678" w:themeColor="accent5" w:themeShade="94"/>
        <w:sz w:val="22"/>
      </w:rPr>
      <w:tblPr/>
      <w:tcPr>
        <w:tcBorders>
          <w:top w:val="nil"/>
          <w:left w:val="nil"/>
          <w:bottom w:val="nil"/>
          <w:right w:val="single" w:sz="4" w:space="0" w:color="99D0DE" w:themeColor="accent5" w:themeTint="90"/>
        </w:tcBorders>
        <w:shd w:val="clear" w:color="FFFFFF" w:fill="FFFFFF"/>
      </w:tcPr>
    </w:tblStylePr>
    <w:tblStylePr w:type="lastCol">
      <w:pPr>
        <w:snapToGrid/>
      </w:pPr>
      <w:rPr>
        <w:rFonts w:ascii="Arial" w:hAnsi="Arial"/>
        <w:i/>
        <w:color w:val="266678" w:themeColor="accent5" w:themeShade="94"/>
        <w:sz w:val="22"/>
      </w:rPr>
      <w:tblPr/>
      <w:tcPr>
        <w:tcBorders>
          <w:top w:val="nil"/>
          <w:left w:val="single" w:sz="4" w:space="0" w:color="99D0DE" w:themeColor="accent5" w:themeTint="90"/>
          <w:bottom w:val="nil"/>
          <w:right w:val="nil"/>
        </w:tcBorders>
        <w:shd w:val="clear" w:color="FFFFFF" w:fill="FFFFFF"/>
      </w:tcPr>
    </w:tblStylePr>
    <w:tblStylePr w:type="band1Vert">
      <w:pPr>
        <w:snapToGrid/>
      </w:pPr>
      <w:tblPr/>
      <w:tcPr>
        <w:shd w:val="clear" w:color="D8E2F3" w:fill="DAEEF3" w:themeFill="accent5" w:themeFillTint="34"/>
      </w:tcPr>
    </w:tblStylePr>
    <w:tblStylePr w:type="band2Vert">
      <w:pPr>
        <w:snapToGrid/>
      </w:pPr>
    </w:tblStylePr>
    <w:tblStylePr w:type="band1Horz">
      <w:pPr>
        <w:snapToGrid/>
      </w:pPr>
      <w:rPr>
        <w:rFonts w:ascii="Arial" w:hAnsi="Arial"/>
        <w:color w:val="266678" w:themeColor="accent5" w:themeShade="94"/>
        <w:sz w:val="22"/>
      </w:rPr>
      <w:tblPr/>
      <w:tcPr>
        <w:shd w:val="clear" w:color="D8E2F3" w:fill="DAEEF3" w:themeFill="accent5" w:themeFillTint="34"/>
      </w:tcPr>
    </w:tblStylePr>
    <w:tblStylePr w:type="band2Horz">
      <w:pPr>
        <w:snapToGrid/>
      </w:pPr>
      <w:rPr>
        <w:rFonts w:ascii="Arial" w:hAnsi="Arial"/>
        <w:color w:val="266678" w:themeColor="accent5" w:themeShade="94"/>
        <w:sz w:val="22"/>
      </w:r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GridTable7Colorful-Accent6">
    <w:name w:val="Grid Table 7 Colorful - Accent 6"/>
    <w:basedOn w:val="TableNormal"/>
    <w:uiPriority w:val="99"/>
    <w:qFormat/>
    <w:tblPr>
      <w:tblBorders>
        <w:bottom w:val="single" w:sz="4" w:space="0" w:color="FAC396" w:themeColor="accent6" w:themeTint="90"/>
        <w:right w:val="single" w:sz="4" w:space="0" w:color="FAC396" w:themeColor="accent6" w:themeTint="90"/>
        <w:insideH w:val="single" w:sz="4" w:space="0" w:color="FAC396" w:themeColor="accent6" w:themeTint="90"/>
        <w:insideV w:val="single" w:sz="4" w:space="0" w:color="FAC396" w:themeColor="accent6" w:themeTint="90"/>
      </w:tblBorders>
    </w:tblPr>
    <w:tblStylePr w:type="firstRow">
      <w:pPr>
        <w:snapToGrid/>
      </w:pPr>
      <w:rPr>
        <w:rFonts w:ascii="Arial" w:hAnsi="Arial"/>
        <w:b/>
        <w:color w:val="B05307" w:themeColor="accent6" w:themeShade="94"/>
        <w:sz w:val="22"/>
      </w:rPr>
      <w:tblPr/>
      <w:tcPr>
        <w:tcBorders>
          <w:top w:val="nil"/>
          <w:left w:val="nil"/>
          <w:bottom w:val="single" w:sz="4" w:space="0" w:color="FAC396" w:themeColor="accent6" w:themeTint="90"/>
          <w:right w:val="nil"/>
        </w:tcBorders>
        <w:shd w:val="clear" w:color="FFFFFF" w:fill="FFFFFF" w:themeFill="light1"/>
      </w:tcPr>
    </w:tblStylePr>
    <w:tblStylePr w:type="lastRow">
      <w:pPr>
        <w:snapToGrid/>
      </w:pPr>
      <w:rPr>
        <w:rFonts w:ascii="Arial" w:hAnsi="Arial"/>
        <w:b/>
        <w:color w:val="B05307" w:themeColor="accent6" w:themeShade="94"/>
        <w:sz w:val="22"/>
      </w:rPr>
      <w:tblPr/>
      <w:tcPr>
        <w:tcBorders>
          <w:top w:val="single" w:sz="4" w:space="0" w:color="FAC396" w:themeColor="accent6" w:themeTint="90"/>
          <w:left w:val="nil"/>
          <w:bottom w:val="nil"/>
          <w:right w:val="nil"/>
        </w:tcBorders>
        <w:shd w:val="clear" w:color="FFFFFF" w:fill="FFFFFF" w:themeFill="light1"/>
      </w:tcPr>
    </w:tblStylePr>
    <w:tblStylePr w:type="firstCol">
      <w:pPr>
        <w:snapToGrid/>
        <w:jc w:val="right"/>
      </w:pPr>
      <w:rPr>
        <w:rFonts w:ascii="Arial" w:hAnsi="Arial"/>
        <w:i/>
        <w:color w:val="B05307" w:themeColor="accent6" w:themeShade="94"/>
        <w:sz w:val="22"/>
      </w:rPr>
      <w:tblPr/>
      <w:tcPr>
        <w:tcBorders>
          <w:top w:val="nil"/>
          <w:left w:val="nil"/>
          <w:bottom w:val="nil"/>
          <w:right w:val="single" w:sz="4" w:space="0" w:color="FAC396" w:themeColor="accent6" w:themeTint="90"/>
        </w:tcBorders>
        <w:shd w:val="clear" w:color="FFFFFF" w:fill="FFFFFF"/>
      </w:tcPr>
    </w:tblStylePr>
    <w:tblStylePr w:type="lastCol">
      <w:pPr>
        <w:snapToGrid/>
      </w:pPr>
      <w:rPr>
        <w:rFonts w:ascii="Arial" w:hAnsi="Arial"/>
        <w:i/>
        <w:color w:val="B05307" w:themeColor="accent6" w:themeShade="94"/>
        <w:sz w:val="22"/>
      </w:rPr>
      <w:tblPr/>
      <w:tcPr>
        <w:tcBorders>
          <w:top w:val="nil"/>
          <w:left w:val="single" w:sz="4" w:space="0" w:color="FAC396" w:themeColor="accent6" w:themeTint="90"/>
          <w:bottom w:val="nil"/>
          <w:right w:val="nil"/>
        </w:tcBorders>
        <w:shd w:val="clear" w:color="FFFFFF" w:fill="FFFFFF"/>
      </w:tcPr>
    </w:tblStylePr>
    <w:tblStylePr w:type="band1Vert">
      <w:pPr>
        <w:snapToGrid/>
      </w:pPr>
      <w:tblPr/>
      <w:tcPr>
        <w:shd w:val="clear" w:color="E1EFD8" w:fill="FDE9D8" w:themeFill="accent6" w:themeFillTint="34"/>
      </w:tcPr>
    </w:tblStylePr>
    <w:tblStylePr w:type="band2Vert">
      <w:pPr>
        <w:snapToGrid/>
      </w:pPr>
    </w:tblStylePr>
    <w:tblStylePr w:type="band1Horz">
      <w:pPr>
        <w:snapToGrid/>
      </w:pPr>
      <w:rPr>
        <w:rFonts w:ascii="Arial" w:hAnsi="Arial"/>
        <w:color w:val="B05307" w:themeColor="accent6" w:themeShade="94"/>
        <w:sz w:val="22"/>
      </w:rPr>
      <w:tblPr/>
      <w:tcPr>
        <w:shd w:val="clear" w:color="E1EFD8" w:fill="FDE9D8" w:themeFill="accent6" w:themeFillTint="34"/>
      </w:tcPr>
    </w:tblStylePr>
    <w:tblStylePr w:type="band2Horz">
      <w:pPr>
        <w:snapToGrid/>
      </w:pPr>
      <w:rPr>
        <w:rFonts w:ascii="Arial" w:hAnsi="Arial"/>
        <w:color w:val="B05307" w:themeColor="accent6" w:themeShade="94"/>
        <w:sz w:val="22"/>
      </w:r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1102">
    <w:name w:val="清单表 1 浅色1_0"/>
    <w:basedOn w:val="TableNormal"/>
    <w:uiPriority w:val="99"/>
    <w:qFormat/>
    <w:tblPr/>
    <w:tblStylePr w:type="firstRow">
      <w:pPr>
        <w:snapToGrid/>
      </w:pPr>
      <w:rPr>
        <w:b/>
        <w:color w:val="404040"/>
      </w:rPr>
      <w:tblPr/>
      <w:tcPr>
        <w:tcBorders>
          <w:top w:val="nil"/>
          <w:left w:val="nil"/>
          <w:bottom w:val="single" w:sz="4" w:space="0" w:color="000000" w:themeColor="text1"/>
          <w:right w:val="nil"/>
        </w:tcBorders>
      </w:tcPr>
    </w:tblStylePr>
    <w:tblStylePr w:type="lastRow">
      <w:pPr>
        <w:snapToGrid/>
      </w:pPr>
      <w:rPr>
        <w:b/>
        <w:color w:val="404040"/>
      </w:rPr>
      <w:tblPr/>
      <w:tcPr>
        <w:tcBorders>
          <w:top w:val="single" w:sz="4" w:space="0" w:color="000000" w:themeColor="text1"/>
          <w:left w:val="nil"/>
          <w:bottom w:val="nil"/>
          <w:right w:val="nil"/>
        </w:tcBorders>
      </w:tcPr>
    </w:tblStylePr>
    <w:tblStylePr w:type="firstCol">
      <w:pPr>
        <w:snapToGrid/>
      </w:pPr>
      <w:rPr>
        <w:b/>
        <w:color w:val="404040"/>
      </w:rPr>
    </w:tblStylePr>
    <w:tblStylePr w:type="lastCol">
      <w:pPr>
        <w:snapToGrid/>
      </w:pPr>
      <w:rPr>
        <w:b/>
        <w:color w:val="404040"/>
      </w:rPr>
    </w:tblStylePr>
    <w:tblStylePr w:type="band1Vert">
      <w:pPr>
        <w:snapToGrid/>
      </w:pPr>
      <w:tblPr/>
      <w:tcPr>
        <w:shd w:val="clear" w:color="BFBFBF" w:fill="BFBFBF" w:themeFill="text1" w:themeFillTint="40"/>
      </w:tcPr>
    </w:tblStylePr>
    <w:tblStylePr w:type="band2Vert">
      <w:pPr>
        <w:snapToGrid/>
      </w:pPr>
    </w:tblStylePr>
    <w:tblStylePr w:type="band1Horz">
      <w:pPr>
        <w:snapToGrid/>
      </w:pPr>
      <w:tblPr/>
      <w:tcPr>
        <w:shd w:val="clear" w:color="BFBFBF" w:fill="BFBFBF" w:themeFill="text1" w:themeFillTint="40"/>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ListTable1Light-Accent1">
    <w:name w:val="List Table 1 Light - Accent 1"/>
    <w:basedOn w:val="TableNormal"/>
    <w:uiPriority w:val="99"/>
    <w:qFormat/>
    <w:tblPr/>
    <w:tblStylePr w:type="firstRow">
      <w:pPr>
        <w:snapToGrid/>
      </w:pPr>
      <w:rPr>
        <w:b/>
        <w:color w:val="404040"/>
      </w:rPr>
      <w:tblPr/>
      <w:tcPr>
        <w:tcBorders>
          <w:top w:val="nil"/>
          <w:left w:val="nil"/>
          <w:bottom w:val="single" w:sz="4" w:space="0" w:color="4F81BD" w:themeColor="accent1"/>
          <w:right w:val="nil"/>
        </w:tcBorders>
      </w:tcPr>
    </w:tblStylePr>
    <w:tblStylePr w:type="lastRow">
      <w:pPr>
        <w:snapToGrid/>
      </w:pPr>
      <w:rPr>
        <w:b/>
        <w:color w:val="404040"/>
      </w:rPr>
      <w:tblPr/>
      <w:tcPr>
        <w:tcBorders>
          <w:top w:val="single" w:sz="4" w:space="0" w:color="4F81BD" w:themeColor="accent1"/>
          <w:left w:val="nil"/>
          <w:bottom w:val="nil"/>
          <w:right w:val="nil"/>
        </w:tcBorders>
      </w:tcPr>
    </w:tblStylePr>
    <w:tblStylePr w:type="firstCol">
      <w:pPr>
        <w:snapToGrid/>
      </w:pPr>
      <w:rPr>
        <w:b/>
        <w:color w:val="404040"/>
      </w:rPr>
    </w:tblStylePr>
    <w:tblStylePr w:type="lastCol">
      <w:pPr>
        <w:snapToGrid/>
      </w:pPr>
      <w:rPr>
        <w:b/>
        <w:color w:val="404040"/>
      </w:rPr>
    </w:tblStylePr>
    <w:tblStylePr w:type="band1Vert">
      <w:pPr>
        <w:snapToGrid/>
      </w:pPr>
      <w:tblPr/>
      <w:tcPr>
        <w:shd w:val="clear" w:color="D5E5F4" w:fill="D2DFEE" w:themeFill="accent1" w:themeFillTint="40"/>
      </w:tcPr>
    </w:tblStylePr>
    <w:tblStylePr w:type="band2Vert">
      <w:pPr>
        <w:snapToGrid/>
      </w:pPr>
    </w:tblStylePr>
    <w:tblStylePr w:type="band1Horz">
      <w:pPr>
        <w:snapToGrid/>
      </w:pPr>
      <w:tblPr/>
      <w:tcPr>
        <w:shd w:val="clear" w:color="D5E5F4" w:fill="D2DFEE" w:themeFill="accent1" w:themeFillTint="40"/>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ListTable1Light-Accent2">
    <w:name w:val="List Table 1 Light - Accent 2"/>
    <w:basedOn w:val="TableNormal"/>
    <w:uiPriority w:val="99"/>
    <w:qFormat/>
    <w:tblPr/>
    <w:tblStylePr w:type="firstRow">
      <w:pPr>
        <w:snapToGrid/>
      </w:pPr>
      <w:rPr>
        <w:b/>
        <w:color w:val="404040"/>
      </w:rPr>
      <w:tblPr/>
      <w:tcPr>
        <w:tcBorders>
          <w:top w:val="nil"/>
          <w:left w:val="nil"/>
          <w:bottom w:val="single" w:sz="4" w:space="0" w:color="C0504D" w:themeColor="accent2"/>
          <w:right w:val="nil"/>
        </w:tcBorders>
      </w:tcPr>
    </w:tblStylePr>
    <w:tblStylePr w:type="lastRow">
      <w:pPr>
        <w:snapToGrid/>
      </w:pPr>
      <w:rPr>
        <w:b/>
        <w:color w:val="404040"/>
      </w:rPr>
      <w:tblPr/>
      <w:tcPr>
        <w:tcBorders>
          <w:top w:val="single" w:sz="4" w:space="0" w:color="C0504D" w:themeColor="accent2"/>
          <w:left w:val="nil"/>
          <w:bottom w:val="nil"/>
          <w:right w:val="nil"/>
        </w:tcBorders>
      </w:tcPr>
    </w:tblStylePr>
    <w:tblStylePr w:type="firstCol">
      <w:pPr>
        <w:snapToGrid/>
      </w:pPr>
      <w:rPr>
        <w:b/>
        <w:color w:val="404040"/>
      </w:rPr>
    </w:tblStylePr>
    <w:tblStylePr w:type="lastCol">
      <w:pPr>
        <w:snapToGrid/>
      </w:pPr>
      <w:rPr>
        <w:b/>
        <w:color w:val="404040"/>
      </w:rPr>
    </w:tblStylePr>
    <w:tblStylePr w:type="band1Vert">
      <w:pPr>
        <w:snapToGrid/>
      </w:pPr>
      <w:tblPr/>
      <w:tcPr>
        <w:shd w:val="clear" w:color="FADECB" w:fill="EFD2D2" w:themeFill="accent2" w:themeFillTint="40"/>
      </w:tcPr>
    </w:tblStylePr>
    <w:tblStylePr w:type="band2Vert">
      <w:pPr>
        <w:snapToGrid/>
      </w:pPr>
    </w:tblStylePr>
    <w:tblStylePr w:type="band1Horz">
      <w:pPr>
        <w:snapToGrid/>
      </w:pPr>
      <w:tblPr/>
      <w:tcPr>
        <w:shd w:val="clear" w:color="FADECB" w:fill="EFD2D2" w:themeFill="accent2" w:themeFillTint="40"/>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ListTable1Light-Accent3">
    <w:name w:val="List Table 1 Light - Accent 3"/>
    <w:basedOn w:val="TableNormal"/>
    <w:uiPriority w:val="99"/>
    <w:qFormat/>
    <w:tblPr/>
    <w:tblStylePr w:type="firstRow">
      <w:pPr>
        <w:snapToGrid/>
      </w:pPr>
      <w:rPr>
        <w:b/>
        <w:color w:val="404040"/>
      </w:rPr>
      <w:tblPr/>
      <w:tcPr>
        <w:tcBorders>
          <w:top w:val="nil"/>
          <w:left w:val="nil"/>
          <w:bottom w:val="single" w:sz="4" w:space="0" w:color="9BBB59" w:themeColor="accent3"/>
          <w:right w:val="nil"/>
        </w:tcBorders>
      </w:tcPr>
    </w:tblStylePr>
    <w:tblStylePr w:type="lastRow">
      <w:pPr>
        <w:snapToGrid/>
      </w:pPr>
      <w:rPr>
        <w:b/>
        <w:color w:val="404040"/>
      </w:rPr>
      <w:tblPr/>
      <w:tcPr>
        <w:tcBorders>
          <w:top w:val="single" w:sz="4" w:space="0" w:color="9BBB59" w:themeColor="accent3"/>
          <w:left w:val="nil"/>
          <w:bottom w:val="nil"/>
          <w:right w:val="nil"/>
        </w:tcBorders>
      </w:tcPr>
    </w:tblStylePr>
    <w:tblStylePr w:type="firstCol">
      <w:pPr>
        <w:snapToGrid/>
      </w:pPr>
      <w:rPr>
        <w:b/>
        <w:color w:val="404040"/>
      </w:rPr>
    </w:tblStylePr>
    <w:tblStylePr w:type="lastCol">
      <w:pPr>
        <w:snapToGrid/>
      </w:pPr>
      <w:rPr>
        <w:b/>
        <w:color w:val="404040"/>
      </w:rPr>
    </w:tblStylePr>
    <w:tblStylePr w:type="band1Vert">
      <w:pPr>
        <w:snapToGrid/>
      </w:pPr>
      <w:tblPr/>
      <w:tcPr>
        <w:shd w:val="clear" w:color="E8E8E8" w:fill="E5EED5" w:themeFill="accent3" w:themeFillTint="40"/>
      </w:tcPr>
    </w:tblStylePr>
    <w:tblStylePr w:type="band2Vert">
      <w:pPr>
        <w:snapToGrid/>
      </w:pPr>
    </w:tblStylePr>
    <w:tblStylePr w:type="band1Horz">
      <w:pPr>
        <w:snapToGrid/>
      </w:pPr>
      <w:tblPr/>
      <w:tcPr>
        <w:shd w:val="clear" w:color="E8E8E8" w:fill="E5EED5" w:themeFill="accent3" w:themeFillTint="40"/>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ListTable1Light-Accent4">
    <w:name w:val="List Table 1 Light - Accent 4"/>
    <w:basedOn w:val="TableNormal"/>
    <w:uiPriority w:val="99"/>
    <w:qFormat/>
    <w:tblPr/>
    <w:tblStylePr w:type="firstRow">
      <w:pPr>
        <w:snapToGrid/>
      </w:pPr>
      <w:rPr>
        <w:b/>
        <w:color w:val="404040"/>
      </w:rPr>
      <w:tblPr/>
      <w:tcPr>
        <w:tcBorders>
          <w:top w:val="nil"/>
          <w:left w:val="nil"/>
          <w:bottom w:val="single" w:sz="4" w:space="0" w:color="8064A2" w:themeColor="accent4"/>
          <w:right w:val="nil"/>
        </w:tcBorders>
      </w:tcPr>
    </w:tblStylePr>
    <w:tblStylePr w:type="lastRow">
      <w:pPr>
        <w:snapToGrid/>
      </w:pPr>
      <w:rPr>
        <w:b/>
        <w:color w:val="404040"/>
      </w:rPr>
      <w:tblPr/>
      <w:tcPr>
        <w:tcBorders>
          <w:top w:val="single" w:sz="4" w:space="0" w:color="8064A2" w:themeColor="accent4"/>
          <w:left w:val="nil"/>
          <w:bottom w:val="nil"/>
          <w:right w:val="nil"/>
        </w:tcBorders>
      </w:tcPr>
    </w:tblStylePr>
    <w:tblStylePr w:type="firstCol">
      <w:pPr>
        <w:snapToGrid/>
      </w:pPr>
      <w:rPr>
        <w:b/>
        <w:color w:val="404040"/>
      </w:rPr>
    </w:tblStylePr>
    <w:tblStylePr w:type="lastCol">
      <w:pPr>
        <w:snapToGrid/>
      </w:pPr>
      <w:rPr>
        <w:b/>
        <w:color w:val="404040"/>
      </w:rPr>
    </w:tblStylePr>
    <w:tblStylePr w:type="band1Vert">
      <w:pPr>
        <w:snapToGrid/>
      </w:pPr>
      <w:tblPr/>
      <w:tcPr>
        <w:shd w:val="clear" w:color="FFEFBF" w:fill="DFD8E7" w:themeFill="accent4" w:themeFillTint="40"/>
      </w:tcPr>
    </w:tblStylePr>
    <w:tblStylePr w:type="band2Vert">
      <w:pPr>
        <w:snapToGrid/>
      </w:pPr>
    </w:tblStylePr>
    <w:tblStylePr w:type="band1Horz">
      <w:pPr>
        <w:snapToGrid/>
      </w:pPr>
      <w:tblPr/>
      <w:tcPr>
        <w:shd w:val="clear" w:color="FFEFBF" w:fill="DFD8E7" w:themeFill="accent4" w:themeFillTint="40"/>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ListTable1Light-Accent5">
    <w:name w:val="List Table 1 Light - Accent 5"/>
    <w:basedOn w:val="TableNormal"/>
    <w:uiPriority w:val="99"/>
    <w:qFormat/>
    <w:tblPr/>
    <w:tblStylePr w:type="firstRow">
      <w:pPr>
        <w:snapToGrid/>
      </w:pPr>
      <w:rPr>
        <w:b/>
        <w:color w:val="404040"/>
      </w:rPr>
      <w:tblPr/>
      <w:tcPr>
        <w:tcBorders>
          <w:top w:val="nil"/>
          <w:left w:val="nil"/>
          <w:bottom w:val="single" w:sz="4" w:space="0" w:color="4BACC6" w:themeColor="accent5"/>
          <w:right w:val="nil"/>
        </w:tcBorders>
      </w:tcPr>
    </w:tblStylePr>
    <w:tblStylePr w:type="lastRow">
      <w:pPr>
        <w:snapToGrid/>
      </w:pPr>
      <w:rPr>
        <w:b/>
        <w:color w:val="404040"/>
      </w:rPr>
      <w:tblPr/>
      <w:tcPr>
        <w:tcBorders>
          <w:top w:val="single" w:sz="4" w:space="0" w:color="4BACC6" w:themeColor="accent5"/>
          <w:left w:val="nil"/>
          <w:bottom w:val="nil"/>
          <w:right w:val="nil"/>
        </w:tcBorders>
      </w:tcPr>
    </w:tblStylePr>
    <w:tblStylePr w:type="firstCol">
      <w:pPr>
        <w:snapToGrid/>
      </w:pPr>
      <w:rPr>
        <w:b/>
        <w:color w:val="404040"/>
      </w:rPr>
    </w:tblStylePr>
    <w:tblStylePr w:type="lastCol">
      <w:pPr>
        <w:snapToGrid/>
      </w:pPr>
      <w:rPr>
        <w:b/>
        <w:color w:val="404040"/>
      </w:rPr>
    </w:tblStylePr>
    <w:tblStylePr w:type="band1Vert">
      <w:pPr>
        <w:snapToGrid/>
      </w:pPr>
      <w:tblPr/>
      <w:tcPr>
        <w:shd w:val="clear" w:color="CFDBF0" w:fill="D1EAF0" w:themeFill="accent5" w:themeFillTint="40"/>
      </w:tcPr>
    </w:tblStylePr>
    <w:tblStylePr w:type="band2Vert">
      <w:pPr>
        <w:snapToGrid/>
      </w:pPr>
    </w:tblStylePr>
    <w:tblStylePr w:type="band1Horz">
      <w:pPr>
        <w:snapToGrid/>
      </w:pPr>
      <w:tblPr/>
      <w:tcPr>
        <w:shd w:val="clear" w:color="CFDBF0" w:fill="D1EAF0" w:themeFill="accent5" w:themeFillTint="40"/>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ListTable1Light-Accent6">
    <w:name w:val="List Table 1 Light - Accent 6"/>
    <w:basedOn w:val="TableNormal"/>
    <w:uiPriority w:val="99"/>
    <w:qFormat/>
    <w:tblPr/>
    <w:tblStylePr w:type="firstRow">
      <w:pPr>
        <w:snapToGrid/>
      </w:pPr>
      <w:rPr>
        <w:b/>
        <w:color w:val="404040"/>
      </w:rPr>
      <w:tblPr/>
      <w:tcPr>
        <w:tcBorders>
          <w:top w:val="nil"/>
          <w:left w:val="nil"/>
          <w:bottom w:val="single" w:sz="4" w:space="0" w:color="F79646" w:themeColor="accent6"/>
          <w:right w:val="nil"/>
        </w:tcBorders>
      </w:tcPr>
    </w:tblStylePr>
    <w:tblStylePr w:type="lastRow">
      <w:pPr>
        <w:snapToGrid/>
      </w:pPr>
      <w:rPr>
        <w:b/>
        <w:color w:val="404040"/>
      </w:rPr>
      <w:tblPr/>
      <w:tcPr>
        <w:tcBorders>
          <w:top w:val="single" w:sz="4" w:space="0" w:color="F79646" w:themeColor="accent6"/>
          <w:left w:val="nil"/>
          <w:bottom w:val="nil"/>
          <w:right w:val="nil"/>
        </w:tcBorders>
      </w:tcPr>
    </w:tblStylePr>
    <w:tblStylePr w:type="firstCol">
      <w:pPr>
        <w:snapToGrid/>
      </w:pPr>
      <w:rPr>
        <w:b/>
        <w:color w:val="404040"/>
      </w:rPr>
    </w:tblStylePr>
    <w:tblStylePr w:type="lastCol">
      <w:pPr>
        <w:snapToGrid/>
      </w:pPr>
      <w:rPr>
        <w:b/>
        <w:color w:val="404040"/>
      </w:rPr>
    </w:tblStylePr>
    <w:tblStylePr w:type="band1Vert">
      <w:pPr>
        <w:snapToGrid/>
      </w:pPr>
      <w:tblPr/>
      <w:tcPr>
        <w:shd w:val="clear" w:color="DAEBCF" w:fill="FDE4D0" w:themeFill="accent6" w:themeFillTint="40"/>
      </w:tcPr>
    </w:tblStylePr>
    <w:tblStylePr w:type="band2Vert">
      <w:pPr>
        <w:snapToGrid/>
      </w:pPr>
    </w:tblStylePr>
    <w:tblStylePr w:type="band1Horz">
      <w:pPr>
        <w:snapToGrid/>
      </w:pPr>
      <w:tblPr/>
      <w:tcPr>
        <w:shd w:val="clear" w:color="DAEBCF" w:fill="FDE4D0" w:themeFill="accent6" w:themeFillTint="40"/>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2102">
    <w:name w:val="清单表 21_0"/>
    <w:basedOn w:val="TableNormal"/>
    <w:uiPriority w:val="99"/>
    <w:qFormat/>
    <w:tblPr>
      <w:tblBorders>
        <w:top w:val="single" w:sz="4" w:space="0" w:color="6F6F6F" w:themeColor="text1" w:themeTint="90"/>
        <w:bottom w:val="single" w:sz="4" w:space="0" w:color="6F6F6F" w:themeColor="text1" w:themeTint="90"/>
        <w:insideH w:val="single" w:sz="4" w:space="0" w:color="6F6F6F" w:themeColor="text1" w:themeTint="90"/>
      </w:tblBorders>
    </w:tblPr>
    <w:tblStylePr w:type="firstRow">
      <w:pPr>
        <w:snapToGrid/>
      </w:pPr>
      <w:rPr>
        <w:rFonts w:ascii="Arial" w:hAnsi="Arial"/>
        <w:b/>
        <w:color w:val="404040"/>
        <w:sz w:val="22"/>
      </w:rPr>
      <w:tblPr/>
      <w:tcPr>
        <w:tcBorders>
          <w:top w:val="single" w:sz="4" w:space="0" w:color="6F6F6F" w:themeColor="text1" w:themeTint="90"/>
          <w:left w:val="nil"/>
          <w:bottom w:val="single" w:sz="4" w:space="0" w:color="6F6F6F" w:themeColor="text1" w:themeTint="90"/>
          <w:right w:val="nil"/>
        </w:tcBorders>
      </w:tcPr>
    </w:tblStylePr>
    <w:tblStylePr w:type="lastRow">
      <w:pPr>
        <w:snapToGrid/>
      </w:pPr>
      <w:rPr>
        <w:rFonts w:ascii="Arial" w:hAnsi="Arial"/>
        <w:b/>
        <w:color w:val="404040"/>
        <w:sz w:val="22"/>
      </w:rPr>
      <w:tblPr/>
      <w:tcPr>
        <w:tcBorders>
          <w:top w:val="single" w:sz="4" w:space="0" w:color="6F6F6F" w:themeColor="text1" w:themeTint="90"/>
          <w:left w:val="nil"/>
          <w:bottom w:val="single" w:sz="4" w:space="0" w:color="6F6F6F" w:themeColor="text1" w:themeTint="90"/>
          <w:right w:val="nil"/>
        </w:tcBorders>
      </w:tcPr>
    </w:tblStylePr>
    <w:tblStylePr w:type="firstCol">
      <w:pPr>
        <w:snapToGrid/>
      </w:pPr>
      <w:rPr>
        <w:rFonts w:ascii="Arial" w:hAnsi="Arial"/>
        <w:b/>
        <w:color w:val="404040"/>
        <w:sz w:val="22"/>
      </w:rPr>
    </w:tblStylePr>
    <w:tblStylePr w:type="lastCol">
      <w:pPr>
        <w:snapToGrid/>
      </w:pPr>
      <w:rPr>
        <w:rFonts w:ascii="Arial" w:hAnsi="Arial"/>
        <w:b/>
        <w:color w:val="404040"/>
        <w:sz w:val="22"/>
      </w:rPr>
    </w:tblStylePr>
    <w:tblStylePr w:type="band1Vert">
      <w:pPr>
        <w:snapToGrid/>
      </w:pPr>
      <w:rPr>
        <w:rFonts w:ascii="Arial" w:hAnsi="Arial"/>
        <w:color w:val="404040"/>
        <w:sz w:val="22"/>
      </w:rPr>
      <w:tblPr/>
      <w:tcPr>
        <w:shd w:val="clear" w:color="BFBFBF" w:fill="BFBFBF" w:themeFill="text1" w:themeFillTint="40"/>
      </w:tcPr>
    </w:tblStylePr>
    <w:tblStylePr w:type="band2Vert">
      <w:pPr>
        <w:snapToGrid/>
      </w:pPr>
    </w:tblStylePr>
    <w:tblStylePr w:type="band1Horz">
      <w:pPr>
        <w:snapToGrid/>
      </w:pPr>
      <w:rPr>
        <w:rFonts w:ascii="Arial" w:hAnsi="Arial"/>
        <w:color w:val="404040"/>
        <w:sz w:val="22"/>
      </w:rPr>
      <w:tblPr/>
      <w:tcPr>
        <w:shd w:val="clear" w:color="BFBFBF" w:fill="BFBFBF" w:themeFill="text1" w:themeFillTint="40"/>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ListTable2-Accent1">
    <w:name w:val="List Table 2 - Accent 1"/>
    <w:basedOn w:val="TableNormal"/>
    <w:uiPriority w:val="99"/>
    <w:qFormat/>
    <w:tblPr>
      <w:tblBorders>
        <w:top w:val="single" w:sz="4" w:space="0" w:color="9BB7D9" w:themeColor="accent1" w:themeTint="90"/>
        <w:bottom w:val="single" w:sz="4" w:space="0" w:color="9BB7D9" w:themeColor="accent1" w:themeTint="90"/>
        <w:insideH w:val="single" w:sz="4" w:space="0" w:color="9BB7D9" w:themeColor="accent1" w:themeTint="90"/>
      </w:tblBorders>
    </w:tblPr>
    <w:tblStylePr w:type="firstRow">
      <w:pPr>
        <w:snapToGrid/>
      </w:pPr>
      <w:rPr>
        <w:rFonts w:ascii="Arial" w:hAnsi="Arial"/>
        <w:b/>
        <w:color w:val="404040"/>
        <w:sz w:val="22"/>
      </w:rPr>
      <w:tblPr/>
      <w:tcPr>
        <w:tcBorders>
          <w:top w:val="single" w:sz="4" w:space="0" w:color="9BB7D9" w:themeColor="accent1" w:themeTint="90"/>
          <w:left w:val="nil"/>
          <w:bottom w:val="single" w:sz="4" w:space="0" w:color="9BB7D9" w:themeColor="accent1" w:themeTint="90"/>
          <w:right w:val="nil"/>
        </w:tcBorders>
      </w:tcPr>
    </w:tblStylePr>
    <w:tblStylePr w:type="lastRow">
      <w:pPr>
        <w:snapToGrid/>
      </w:pPr>
      <w:rPr>
        <w:rFonts w:ascii="Arial" w:hAnsi="Arial"/>
        <w:b/>
        <w:color w:val="404040"/>
        <w:sz w:val="22"/>
      </w:rPr>
      <w:tblPr/>
      <w:tcPr>
        <w:tcBorders>
          <w:top w:val="single" w:sz="4" w:space="0" w:color="9BB7D9" w:themeColor="accent1" w:themeTint="90"/>
          <w:left w:val="nil"/>
          <w:bottom w:val="single" w:sz="4" w:space="0" w:color="9BB7D9" w:themeColor="accent1" w:themeTint="90"/>
          <w:right w:val="nil"/>
        </w:tcBorders>
      </w:tcPr>
    </w:tblStylePr>
    <w:tblStylePr w:type="firstCol">
      <w:pPr>
        <w:snapToGrid/>
      </w:pPr>
      <w:rPr>
        <w:rFonts w:ascii="Arial" w:hAnsi="Arial"/>
        <w:b/>
        <w:color w:val="404040"/>
        <w:sz w:val="22"/>
      </w:rPr>
    </w:tblStylePr>
    <w:tblStylePr w:type="lastCol">
      <w:pPr>
        <w:snapToGrid/>
      </w:pPr>
      <w:rPr>
        <w:rFonts w:ascii="Arial" w:hAnsi="Arial"/>
        <w:b/>
        <w:color w:val="404040"/>
        <w:sz w:val="22"/>
      </w:rPr>
    </w:tblStylePr>
    <w:tblStylePr w:type="band1Vert">
      <w:pPr>
        <w:snapToGrid/>
      </w:pPr>
      <w:rPr>
        <w:rFonts w:ascii="Arial" w:hAnsi="Arial"/>
        <w:color w:val="404040"/>
        <w:sz w:val="22"/>
      </w:rPr>
      <w:tblPr/>
      <w:tcPr>
        <w:shd w:val="clear" w:color="D5E5F4" w:fill="D2DFEE" w:themeFill="accent1" w:themeFillTint="40"/>
      </w:tcPr>
    </w:tblStylePr>
    <w:tblStylePr w:type="band2Vert">
      <w:pPr>
        <w:snapToGrid/>
      </w:pPr>
    </w:tblStylePr>
    <w:tblStylePr w:type="band1Horz">
      <w:pPr>
        <w:snapToGrid/>
      </w:pPr>
      <w:rPr>
        <w:rFonts w:ascii="Arial" w:hAnsi="Arial"/>
        <w:color w:val="404040"/>
        <w:sz w:val="22"/>
      </w:rPr>
      <w:tblPr/>
      <w:tcPr>
        <w:shd w:val="clear" w:color="D5E5F4" w:fill="D2DFEE" w:themeFill="accent1" w:themeFillTint="40"/>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ListTable2-Accent2">
    <w:name w:val="List Table 2 - Accent 2"/>
    <w:basedOn w:val="TableNormal"/>
    <w:uiPriority w:val="99"/>
    <w:qFormat/>
    <w:tblPr>
      <w:tblBorders>
        <w:top w:val="single" w:sz="4" w:space="0" w:color="DB9B9A" w:themeColor="accent2" w:themeTint="90"/>
        <w:bottom w:val="single" w:sz="4" w:space="0" w:color="DB9B9A" w:themeColor="accent2" w:themeTint="90"/>
        <w:insideH w:val="single" w:sz="4" w:space="0" w:color="DB9B9A" w:themeColor="accent2" w:themeTint="90"/>
      </w:tblBorders>
    </w:tblPr>
    <w:tblStylePr w:type="firstRow">
      <w:pPr>
        <w:snapToGrid/>
      </w:pPr>
      <w:rPr>
        <w:rFonts w:ascii="Arial" w:hAnsi="Arial"/>
        <w:b/>
        <w:color w:val="404040"/>
        <w:sz w:val="22"/>
      </w:rPr>
      <w:tblPr/>
      <w:tcPr>
        <w:tcBorders>
          <w:top w:val="single" w:sz="4" w:space="0" w:color="DB9B9A" w:themeColor="accent2" w:themeTint="90"/>
          <w:left w:val="nil"/>
          <w:bottom w:val="single" w:sz="4" w:space="0" w:color="DB9B9A" w:themeColor="accent2" w:themeTint="90"/>
          <w:right w:val="nil"/>
        </w:tcBorders>
      </w:tcPr>
    </w:tblStylePr>
    <w:tblStylePr w:type="lastRow">
      <w:pPr>
        <w:snapToGrid/>
      </w:pPr>
      <w:rPr>
        <w:rFonts w:ascii="Arial" w:hAnsi="Arial"/>
        <w:b/>
        <w:color w:val="404040"/>
        <w:sz w:val="22"/>
      </w:rPr>
      <w:tblPr/>
      <w:tcPr>
        <w:tcBorders>
          <w:top w:val="single" w:sz="4" w:space="0" w:color="DB9B9A" w:themeColor="accent2" w:themeTint="90"/>
          <w:left w:val="nil"/>
          <w:bottom w:val="single" w:sz="4" w:space="0" w:color="DB9B9A" w:themeColor="accent2" w:themeTint="90"/>
          <w:right w:val="nil"/>
        </w:tcBorders>
      </w:tcPr>
    </w:tblStylePr>
    <w:tblStylePr w:type="firstCol">
      <w:pPr>
        <w:snapToGrid/>
      </w:pPr>
      <w:rPr>
        <w:rFonts w:ascii="Arial" w:hAnsi="Arial"/>
        <w:b/>
        <w:color w:val="404040"/>
        <w:sz w:val="22"/>
      </w:rPr>
    </w:tblStylePr>
    <w:tblStylePr w:type="lastCol">
      <w:pPr>
        <w:snapToGrid/>
      </w:pPr>
      <w:rPr>
        <w:rFonts w:ascii="Arial" w:hAnsi="Arial"/>
        <w:b/>
        <w:color w:val="404040"/>
        <w:sz w:val="22"/>
      </w:rPr>
    </w:tblStylePr>
    <w:tblStylePr w:type="band1Vert">
      <w:pPr>
        <w:snapToGrid/>
      </w:pPr>
      <w:rPr>
        <w:rFonts w:ascii="Arial" w:hAnsi="Arial"/>
        <w:color w:val="404040"/>
        <w:sz w:val="22"/>
      </w:rPr>
      <w:tblPr/>
      <w:tcPr>
        <w:shd w:val="clear" w:color="FADECB" w:fill="EFD2D2" w:themeFill="accent2" w:themeFillTint="40"/>
      </w:tcPr>
    </w:tblStylePr>
    <w:tblStylePr w:type="band2Vert">
      <w:pPr>
        <w:snapToGrid/>
      </w:pPr>
    </w:tblStylePr>
    <w:tblStylePr w:type="band1Horz">
      <w:pPr>
        <w:snapToGrid/>
      </w:pPr>
      <w:rPr>
        <w:rFonts w:ascii="Arial" w:hAnsi="Arial"/>
        <w:color w:val="404040"/>
        <w:sz w:val="22"/>
      </w:rPr>
      <w:tblPr/>
      <w:tcPr>
        <w:shd w:val="clear" w:color="FADECB" w:fill="EFD2D2" w:themeFill="accent2" w:themeFillTint="40"/>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ListTable2-Accent3">
    <w:name w:val="List Table 2 - Accent 3"/>
    <w:basedOn w:val="TableNormal"/>
    <w:uiPriority w:val="99"/>
    <w:qFormat/>
    <w:tblPr>
      <w:tblBorders>
        <w:top w:val="single" w:sz="4" w:space="0" w:color="C6D8A1" w:themeColor="accent3" w:themeTint="90"/>
        <w:bottom w:val="single" w:sz="4" w:space="0" w:color="C6D8A1" w:themeColor="accent3" w:themeTint="90"/>
        <w:insideH w:val="single" w:sz="4" w:space="0" w:color="C6D8A1" w:themeColor="accent3" w:themeTint="90"/>
      </w:tblBorders>
    </w:tblPr>
    <w:tblStylePr w:type="firstRow">
      <w:pPr>
        <w:snapToGrid/>
      </w:pPr>
      <w:rPr>
        <w:rFonts w:ascii="Arial" w:hAnsi="Arial"/>
        <w:b/>
        <w:color w:val="404040"/>
        <w:sz w:val="22"/>
      </w:rPr>
      <w:tblPr/>
      <w:tcPr>
        <w:tcBorders>
          <w:top w:val="single" w:sz="4" w:space="0" w:color="C6D8A1" w:themeColor="accent3" w:themeTint="90"/>
          <w:left w:val="nil"/>
          <w:bottom w:val="single" w:sz="4" w:space="0" w:color="C6D8A1" w:themeColor="accent3" w:themeTint="90"/>
          <w:right w:val="nil"/>
        </w:tcBorders>
      </w:tcPr>
    </w:tblStylePr>
    <w:tblStylePr w:type="lastRow">
      <w:pPr>
        <w:snapToGrid/>
      </w:pPr>
      <w:rPr>
        <w:rFonts w:ascii="Arial" w:hAnsi="Arial"/>
        <w:b/>
        <w:color w:val="404040"/>
        <w:sz w:val="22"/>
      </w:rPr>
      <w:tblPr/>
      <w:tcPr>
        <w:tcBorders>
          <w:top w:val="single" w:sz="4" w:space="0" w:color="C6D8A1" w:themeColor="accent3" w:themeTint="90"/>
          <w:left w:val="nil"/>
          <w:bottom w:val="single" w:sz="4" w:space="0" w:color="C6D8A1" w:themeColor="accent3" w:themeTint="90"/>
          <w:right w:val="nil"/>
        </w:tcBorders>
      </w:tcPr>
    </w:tblStylePr>
    <w:tblStylePr w:type="firstCol">
      <w:pPr>
        <w:snapToGrid/>
      </w:pPr>
      <w:rPr>
        <w:rFonts w:ascii="Arial" w:hAnsi="Arial"/>
        <w:b/>
        <w:color w:val="404040"/>
        <w:sz w:val="22"/>
      </w:rPr>
    </w:tblStylePr>
    <w:tblStylePr w:type="lastCol">
      <w:pPr>
        <w:snapToGrid/>
      </w:pPr>
      <w:rPr>
        <w:rFonts w:ascii="Arial" w:hAnsi="Arial"/>
        <w:b/>
        <w:color w:val="404040"/>
        <w:sz w:val="22"/>
      </w:rPr>
    </w:tblStylePr>
    <w:tblStylePr w:type="band1Vert">
      <w:pPr>
        <w:snapToGrid/>
      </w:pPr>
      <w:rPr>
        <w:rFonts w:ascii="Arial" w:hAnsi="Arial"/>
        <w:color w:val="404040"/>
        <w:sz w:val="22"/>
      </w:rPr>
      <w:tblPr/>
      <w:tcPr>
        <w:shd w:val="clear" w:color="E8E8E8" w:fill="E5EED5" w:themeFill="accent3" w:themeFillTint="40"/>
      </w:tcPr>
    </w:tblStylePr>
    <w:tblStylePr w:type="band2Vert">
      <w:pPr>
        <w:snapToGrid/>
      </w:pPr>
    </w:tblStylePr>
    <w:tblStylePr w:type="band1Horz">
      <w:pPr>
        <w:snapToGrid/>
      </w:pPr>
      <w:rPr>
        <w:rFonts w:ascii="Arial" w:hAnsi="Arial"/>
        <w:color w:val="404040"/>
        <w:sz w:val="22"/>
      </w:rPr>
      <w:tblPr/>
      <w:tcPr>
        <w:shd w:val="clear" w:color="E8E8E8" w:fill="E5EED5" w:themeFill="accent3" w:themeFillTint="40"/>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ListTable2-Accent4">
    <w:name w:val="List Table 2 - Accent 4"/>
    <w:basedOn w:val="TableNormal"/>
    <w:uiPriority w:val="99"/>
    <w:qFormat/>
    <w:tblPr>
      <w:tblBorders>
        <w:top w:val="single" w:sz="4" w:space="0" w:color="B7A7CA" w:themeColor="accent4" w:themeTint="90"/>
        <w:bottom w:val="single" w:sz="4" w:space="0" w:color="B7A7CA" w:themeColor="accent4" w:themeTint="90"/>
        <w:insideH w:val="single" w:sz="4" w:space="0" w:color="B7A7CA" w:themeColor="accent4" w:themeTint="90"/>
      </w:tblBorders>
    </w:tblPr>
    <w:tblStylePr w:type="firstRow">
      <w:pPr>
        <w:snapToGrid/>
      </w:pPr>
      <w:rPr>
        <w:rFonts w:ascii="Arial" w:hAnsi="Arial"/>
        <w:b/>
        <w:color w:val="404040"/>
        <w:sz w:val="22"/>
      </w:rPr>
      <w:tblPr/>
      <w:tcPr>
        <w:tcBorders>
          <w:top w:val="single" w:sz="4" w:space="0" w:color="B7A7CA" w:themeColor="accent4" w:themeTint="90"/>
          <w:left w:val="nil"/>
          <w:bottom w:val="single" w:sz="4" w:space="0" w:color="B7A7CA" w:themeColor="accent4" w:themeTint="90"/>
          <w:right w:val="nil"/>
        </w:tcBorders>
      </w:tcPr>
    </w:tblStylePr>
    <w:tblStylePr w:type="lastRow">
      <w:pPr>
        <w:snapToGrid/>
      </w:pPr>
      <w:rPr>
        <w:rFonts w:ascii="Arial" w:hAnsi="Arial"/>
        <w:b/>
        <w:color w:val="404040"/>
        <w:sz w:val="22"/>
      </w:rPr>
      <w:tblPr/>
      <w:tcPr>
        <w:tcBorders>
          <w:top w:val="single" w:sz="4" w:space="0" w:color="B7A7CA" w:themeColor="accent4" w:themeTint="90"/>
          <w:left w:val="nil"/>
          <w:bottom w:val="single" w:sz="4" w:space="0" w:color="B7A7CA" w:themeColor="accent4" w:themeTint="90"/>
          <w:right w:val="nil"/>
        </w:tcBorders>
      </w:tcPr>
    </w:tblStylePr>
    <w:tblStylePr w:type="firstCol">
      <w:pPr>
        <w:snapToGrid/>
      </w:pPr>
      <w:rPr>
        <w:rFonts w:ascii="Arial" w:hAnsi="Arial"/>
        <w:b/>
        <w:color w:val="404040"/>
        <w:sz w:val="22"/>
      </w:rPr>
    </w:tblStylePr>
    <w:tblStylePr w:type="lastCol">
      <w:pPr>
        <w:snapToGrid/>
      </w:pPr>
      <w:rPr>
        <w:rFonts w:ascii="Arial" w:hAnsi="Arial"/>
        <w:b/>
        <w:color w:val="404040"/>
        <w:sz w:val="22"/>
      </w:rPr>
    </w:tblStylePr>
    <w:tblStylePr w:type="band1Vert">
      <w:pPr>
        <w:snapToGrid/>
      </w:pPr>
      <w:rPr>
        <w:rFonts w:ascii="Arial" w:hAnsi="Arial"/>
        <w:color w:val="404040"/>
        <w:sz w:val="22"/>
      </w:rPr>
      <w:tblPr/>
      <w:tcPr>
        <w:shd w:val="clear" w:color="FFEFBF" w:fill="DFD8E7" w:themeFill="accent4" w:themeFillTint="40"/>
      </w:tcPr>
    </w:tblStylePr>
    <w:tblStylePr w:type="band2Vert">
      <w:pPr>
        <w:snapToGrid/>
      </w:pPr>
    </w:tblStylePr>
    <w:tblStylePr w:type="band1Horz">
      <w:pPr>
        <w:snapToGrid/>
      </w:pPr>
      <w:rPr>
        <w:rFonts w:ascii="Arial" w:hAnsi="Arial"/>
        <w:color w:val="404040"/>
        <w:sz w:val="22"/>
      </w:rPr>
      <w:tblPr/>
      <w:tcPr>
        <w:shd w:val="clear" w:color="FFEFBF" w:fill="DFD8E7" w:themeFill="accent4" w:themeFillTint="40"/>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ListTable2-Accent5">
    <w:name w:val="List Table 2 - Accent 5"/>
    <w:basedOn w:val="TableNormal"/>
    <w:uiPriority w:val="99"/>
    <w:qFormat/>
    <w:tblPr>
      <w:tblBorders>
        <w:top w:val="single" w:sz="4" w:space="0" w:color="99D0DE" w:themeColor="accent5" w:themeTint="90"/>
        <w:bottom w:val="single" w:sz="4" w:space="0" w:color="99D0DE" w:themeColor="accent5" w:themeTint="90"/>
        <w:insideH w:val="single" w:sz="4" w:space="0" w:color="99D0DE" w:themeColor="accent5" w:themeTint="90"/>
      </w:tblBorders>
    </w:tblPr>
    <w:tblStylePr w:type="firstRow">
      <w:pPr>
        <w:snapToGrid/>
      </w:pPr>
      <w:rPr>
        <w:rFonts w:ascii="Arial" w:hAnsi="Arial"/>
        <w:b/>
        <w:color w:val="404040"/>
        <w:sz w:val="22"/>
      </w:rPr>
      <w:tblPr/>
      <w:tcPr>
        <w:tcBorders>
          <w:top w:val="single" w:sz="4" w:space="0" w:color="99D0DE" w:themeColor="accent5" w:themeTint="90"/>
          <w:left w:val="nil"/>
          <w:bottom w:val="single" w:sz="4" w:space="0" w:color="99D0DE" w:themeColor="accent5" w:themeTint="90"/>
          <w:right w:val="nil"/>
        </w:tcBorders>
      </w:tcPr>
    </w:tblStylePr>
    <w:tblStylePr w:type="lastRow">
      <w:pPr>
        <w:snapToGrid/>
      </w:pPr>
      <w:rPr>
        <w:rFonts w:ascii="Arial" w:hAnsi="Arial"/>
        <w:b/>
        <w:color w:val="404040"/>
        <w:sz w:val="22"/>
      </w:rPr>
      <w:tblPr/>
      <w:tcPr>
        <w:tcBorders>
          <w:top w:val="single" w:sz="4" w:space="0" w:color="99D0DE" w:themeColor="accent5" w:themeTint="90"/>
          <w:left w:val="nil"/>
          <w:bottom w:val="single" w:sz="4" w:space="0" w:color="99D0DE" w:themeColor="accent5" w:themeTint="90"/>
          <w:right w:val="nil"/>
        </w:tcBorders>
      </w:tcPr>
    </w:tblStylePr>
    <w:tblStylePr w:type="firstCol">
      <w:pPr>
        <w:snapToGrid/>
      </w:pPr>
      <w:rPr>
        <w:rFonts w:ascii="Arial" w:hAnsi="Arial"/>
        <w:b/>
        <w:color w:val="404040"/>
        <w:sz w:val="22"/>
      </w:rPr>
    </w:tblStylePr>
    <w:tblStylePr w:type="lastCol">
      <w:pPr>
        <w:snapToGrid/>
      </w:pPr>
      <w:rPr>
        <w:rFonts w:ascii="Arial" w:hAnsi="Arial"/>
        <w:b/>
        <w:color w:val="404040"/>
        <w:sz w:val="22"/>
      </w:rPr>
    </w:tblStylePr>
    <w:tblStylePr w:type="band1Vert">
      <w:pPr>
        <w:snapToGrid/>
      </w:pPr>
      <w:rPr>
        <w:rFonts w:ascii="Arial" w:hAnsi="Arial"/>
        <w:color w:val="404040"/>
        <w:sz w:val="22"/>
      </w:rPr>
      <w:tblPr/>
      <w:tcPr>
        <w:shd w:val="clear" w:color="CFDBF0" w:fill="D1EAF0" w:themeFill="accent5" w:themeFillTint="40"/>
      </w:tcPr>
    </w:tblStylePr>
    <w:tblStylePr w:type="band2Vert">
      <w:pPr>
        <w:snapToGrid/>
      </w:pPr>
    </w:tblStylePr>
    <w:tblStylePr w:type="band1Horz">
      <w:pPr>
        <w:snapToGrid/>
      </w:pPr>
      <w:rPr>
        <w:rFonts w:ascii="Arial" w:hAnsi="Arial"/>
        <w:color w:val="404040"/>
        <w:sz w:val="22"/>
      </w:rPr>
      <w:tblPr/>
      <w:tcPr>
        <w:shd w:val="clear" w:color="CFDBF0" w:fill="D1EAF0" w:themeFill="accent5" w:themeFillTint="40"/>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ListTable2-Accent6">
    <w:name w:val="List Table 2 - Accent 6"/>
    <w:basedOn w:val="TableNormal"/>
    <w:uiPriority w:val="99"/>
    <w:qFormat/>
    <w:tblPr>
      <w:tblBorders>
        <w:top w:val="single" w:sz="4" w:space="0" w:color="FAC396" w:themeColor="accent6" w:themeTint="90"/>
        <w:bottom w:val="single" w:sz="4" w:space="0" w:color="FAC396" w:themeColor="accent6" w:themeTint="90"/>
        <w:insideH w:val="single" w:sz="4" w:space="0" w:color="FAC396" w:themeColor="accent6" w:themeTint="90"/>
      </w:tblBorders>
    </w:tblPr>
    <w:tblStylePr w:type="firstRow">
      <w:pPr>
        <w:snapToGrid/>
      </w:pPr>
      <w:rPr>
        <w:rFonts w:ascii="Arial" w:hAnsi="Arial"/>
        <w:b/>
        <w:color w:val="404040"/>
        <w:sz w:val="22"/>
      </w:rPr>
      <w:tblPr/>
      <w:tcPr>
        <w:tcBorders>
          <w:top w:val="single" w:sz="4" w:space="0" w:color="FAC396" w:themeColor="accent6" w:themeTint="90"/>
          <w:left w:val="nil"/>
          <w:bottom w:val="single" w:sz="4" w:space="0" w:color="FAC396" w:themeColor="accent6" w:themeTint="90"/>
          <w:right w:val="nil"/>
        </w:tcBorders>
      </w:tcPr>
    </w:tblStylePr>
    <w:tblStylePr w:type="lastRow">
      <w:pPr>
        <w:snapToGrid/>
      </w:pPr>
      <w:rPr>
        <w:rFonts w:ascii="Arial" w:hAnsi="Arial"/>
        <w:b/>
        <w:color w:val="404040"/>
        <w:sz w:val="22"/>
      </w:rPr>
      <w:tblPr/>
      <w:tcPr>
        <w:tcBorders>
          <w:top w:val="single" w:sz="4" w:space="0" w:color="FAC396" w:themeColor="accent6" w:themeTint="90"/>
          <w:left w:val="nil"/>
          <w:bottom w:val="single" w:sz="4" w:space="0" w:color="FAC396" w:themeColor="accent6" w:themeTint="90"/>
          <w:right w:val="nil"/>
        </w:tcBorders>
      </w:tcPr>
    </w:tblStylePr>
    <w:tblStylePr w:type="firstCol">
      <w:pPr>
        <w:snapToGrid/>
      </w:pPr>
      <w:rPr>
        <w:rFonts w:ascii="Arial" w:hAnsi="Arial"/>
        <w:b/>
        <w:color w:val="404040"/>
        <w:sz w:val="22"/>
      </w:rPr>
    </w:tblStylePr>
    <w:tblStylePr w:type="lastCol">
      <w:pPr>
        <w:snapToGrid/>
      </w:pPr>
      <w:rPr>
        <w:rFonts w:ascii="Arial" w:hAnsi="Arial"/>
        <w:b/>
        <w:color w:val="404040"/>
        <w:sz w:val="22"/>
      </w:rPr>
    </w:tblStylePr>
    <w:tblStylePr w:type="band1Vert">
      <w:pPr>
        <w:snapToGrid/>
      </w:pPr>
      <w:rPr>
        <w:rFonts w:ascii="Arial" w:hAnsi="Arial"/>
        <w:color w:val="404040"/>
        <w:sz w:val="22"/>
      </w:rPr>
      <w:tblPr/>
      <w:tcPr>
        <w:shd w:val="clear" w:color="DAEBCF" w:fill="FDE4D0" w:themeFill="accent6" w:themeFillTint="40"/>
      </w:tcPr>
    </w:tblStylePr>
    <w:tblStylePr w:type="band2Vert">
      <w:pPr>
        <w:snapToGrid/>
      </w:pPr>
    </w:tblStylePr>
    <w:tblStylePr w:type="band1Horz">
      <w:pPr>
        <w:snapToGrid/>
      </w:pPr>
      <w:rPr>
        <w:rFonts w:ascii="Arial" w:hAnsi="Arial"/>
        <w:color w:val="404040"/>
        <w:sz w:val="22"/>
      </w:rPr>
      <w:tblPr/>
      <w:tcPr>
        <w:shd w:val="clear" w:color="DAEBCF" w:fill="FDE4D0" w:themeFill="accent6" w:themeFillTint="40"/>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3102">
    <w:name w:val="清单表 31_0"/>
    <w:basedOn w:val="TableNormal"/>
    <w:uiPriority w:val="99"/>
    <w:qFormat/>
    <w:tblPr>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pPr>
        <w:snapToGrid/>
      </w:pPr>
      <w:rPr>
        <w:rFonts w:ascii="Arial" w:hAnsi="Arial"/>
        <w:b/>
        <w:color w:val="FFFFFF"/>
        <w:sz w:val="22"/>
      </w:rPr>
      <w:tblPr/>
      <w:tcPr>
        <w:shd w:val="clear" w:color="000000" w:fill="000000" w:themeFill="text1"/>
      </w:tcPr>
    </w:tblStylePr>
    <w:tblStylePr w:type="lastRow">
      <w:pPr>
        <w:snapToGrid/>
      </w:pPr>
      <w:rPr>
        <w:b/>
        <w:color w:val="404040"/>
      </w:rPr>
    </w:tblStylePr>
    <w:tblStylePr w:type="firstCol">
      <w:pPr>
        <w:snapToGrid/>
      </w:pPr>
      <w:rPr>
        <w:b/>
        <w:color w:val="404040"/>
      </w:rPr>
    </w:tblStylePr>
    <w:tblStylePr w:type="lastCol">
      <w:pPr>
        <w:snapToGrid/>
      </w:pPr>
      <w:rPr>
        <w:b/>
        <w:color w:val="404040"/>
      </w:rPr>
    </w:tblStylePr>
    <w:tblStylePr w:type="band1Vert">
      <w:pPr>
        <w:snapToGrid/>
      </w:pPr>
      <w:rPr>
        <w:rFonts w:ascii="Arial" w:hAnsi="Arial"/>
        <w:color w:val="404040"/>
        <w:sz w:val="22"/>
      </w:rPr>
      <w:tblPr/>
      <w:tcPr>
        <w:tcBorders>
          <w:left w:val="single" w:sz="4" w:space="0" w:color="000000" w:themeColor="text1"/>
          <w:right w:val="single" w:sz="4" w:space="0" w:color="000000" w:themeColor="text1"/>
        </w:tcBorders>
      </w:tcPr>
    </w:tblStylePr>
    <w:tblStylePr w:type="band2Vert">
      <w:pPr>
        <w:snapToGrid/>
      </w:pPr>
    </w:tblStylePr>
    <w:tblStylePr w:type="band1Horz">
      <w:pPr>
        <w:snapToGrid/>
      </w:pPr>
      <w:rPr>
        <w:rFonts w:ascii="Arial" w:hAnsi="Arial"/>
        <w:color w:val="404040"/>
        <w:sz w:val="22"/>
      </w:rPr>
      <w:tblPr/>
      <w:tcPr>
        <w:tcBorders>
          <w:top w:val="single" w:sz="4" w:space="0" w:color="000000" w:themeColor="text1"/>
          <w:bottom w:val="single" w:sz="4" w:space="0" w:color="000000" w:themeColor="text1"/>
        </w:tcBorders>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ListTable3-Accent1">
    <w:name w:val="List Table 3 - Accent 1"/>
    <w:basedOn w:val="TableNormal"/>
    <w:uiPriority w:val="99"/>
    <w:qFormat/>
    <w:tblPr>
      <w:tblBorders>
        <w:top w:val="single" w:sz="4" w:space="0" w:color="4F81BD" w:themeColor="accent1"/>
        <w:left w:val="single" w:sz="4" w:space="0" w:color="4F81BD" w:themeColor="accent1"/>
        <w:bottom w:val="single" w:sz="4" w:space="0" w:color="4F81BD" w:themeColor="accent1"/>
        <w:right w:val="single" w:sz="4" w:space="0" w:color="4F81BD" w:themeColor="accent1"/>
      </w:tblBorders>
    </w:tblPr>
    <w:tblStylePr w:type="firstRow">
      <w:pPr>
        <w:snapToGrid/>
      </w:pPr>
      <w:rPr>
        <w:rFonts w:ascii="Arial" w:hAnsi="Arial"/>
        <w:b/>
        <w:color w:val="FFFFFF"/>
        <w:sz w:val="22"/>
      </w:rPr>
      <w:tblPr/>
      <w:tcPr>
        <w:shd w:val="clear" w:color="5B9BD5" w:fill="4F81BD" w:themeFill="accent1"/>
      </w:tcPr>
    </w:tblStylePr>
    <w:tblStylePr w:type="lastRow">
      <w:pPr>
        <w:snapToGrid/>
      </w:pPr>
      <w:rPr>
        <w:b/>
        <w:color w:val="404040"/>
      </w:rPr>
    </w:tblStylePr>
    <w:tblStylePr w:type="firstCol">
      <w:pPr>
        <w:snapToGrid/>
      </w:pPr>
      <w:rPr>
        <w:b/>
        <w:color w:val="404040"/>
      </w:rPr>
    </w:tblStylePr>
    <w:tblStylePr w:type="lastCol">
      <w:pPr>
        <w:snapToGrid/>
      </w:pPr>
      <w:rPr>
        <w:b/>
        <w:color w:val="404040"/>
      </w:rPr>
    </w:tblStylePr>
    <w:tblStylePr w:type="band1Vert">
      <w:pPr>
        <w:snapToGrid/>
      </w:pPr>
      <w:rPr>
        <w:rFonts w:ascii="Arial" w:hAnsi="Arial"/>
        <w:color w:val="404040"/>
        <w:sz w:val="22"/>
      </w:rPr>
      <w:tblPr/>
      <w:tcPr>
        <w:tcBorders>
          <w:left w:val="single" w:sz="4" w:space="0" w:color="4F81BD" w:themeColor="accent1"/>
          <w:right w:val="single" w:sz="4" w:space="0" w:color="4F81BD" w:themeColor="accent1"/>
        </w:tcBorders>
      </w:tcPr>
    </w:tblStylePr>
    <w:tblStylePr w:type="band2Vert">
      <w:pPr>
        <w:snapToGrid/>
      </w:pPr>
    </w:tblStylePr>
    <w:tblStylePr w:type="band1Horz">
      <w:pPr>
        <w:snapToGrid/>
      </w:pPr>
      <w:rPr>
        <w:rFonts w:ascii="Arial" w:hAnsi="Arial"/>
        <w:color w:val="404040"/>
        <w:sz w:val="22"/>
      </w:rPr>
      <w:tblPr/>
      <w:tcPr>
        <w:tcBorders>
          <w:top w:val="single" w:sz="4" w:space="0" w:color="4F81BD" w:themeColor="accent1"/>
          <w:bottom w:val="single" w:sz="4" w:space="0" w:color="4F81BD" w:themeColor="accent1"/>
        </w:tcBorders>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ListTable3-Accent2">
    <w:name w:val="List Table 3 - Accent 2"/>
    <w:basedOn w:val="TableNormal"/>
    <w:uiPriority w:val="99"/>
    <w:qFormat/>
    <w:tblPr>
      <w:tbl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tblBorders>
    </w:tblPr>
    <w:tblStylePr w:type="firstRow">
      <w:pPr>
        <w:snapToGrid/>
      </w:pPr>
      <w:rPr>
        <w:rFonts w:ascii="Arial" w:hAnsi="Arial"/>
        <w:b/>
        <w:color w:val="FFFFFF"/>
        <w:sz w:val="22"/>
      </w:rPr>
      <w:tblPr/>
      <w:tcPr>
        <w:shd w:val="clear" w:color="F4B184" w:fill="D99695" w:themeFill="accent2" w:themeFillTint="97"/>
      </w:tcPr>
    </w:tblStylePr>
    <w:tblStylePr w:type="lastRow">
      <w:pPr>
        <w:snapToGrid/>
      </w:pPr>
      <w:rPr>
        <w:b/>
        <w:color w:val="404040"/>
      </w:rPr>
    </w:tblStylePr>
    <w:tblStylePr w:type="firstCol">
      <w:pPr>
        <w:snapToGrid/>
      </w:pPr>
      <w:rPr>
        <w:b/>
        <w:color w:val="404040"/>
      </w:rPr>
    </w:tblStylePr>
    <w:tblStylePr w:type="lastCol">
      <w:pPr>
        <w:snapToGrid/>
      </w:pPr>
      <w:rPr>
        <w:b/>
        <w:color w:val="404040"/>
      </w:rPr>
    </w:tblStylePr>
    <w:tblStylePr w:type="band1Vert">
      <w:pPr>
        <w:snapToGrid/>
      </w:pPr>
      <w:rPr>
        <w:rFonts w:ascii="Arial" w:hAnsi="Arial"/>
        <w:color w:val="404040"/>
        <w:sz w:val="22"/>
      </w:rPr>
      <w:tblPr/>
      <w:tcPr>
        <w:tcBorders>
          <w:left w:val="single" w:sz="4" w:space="0" w:color="D99695" w:themeColor="accent2" w:themeTint="97"/>
          <w:right w:val="single" w:sz="4" w:space="0" w:color="D99695" w:themeColor="accent2" w:themeTint="97"/>
        </w:tcBorders>
      </w:tcPr>
    </w:tblStylePr>
    <w:tblStylePr w:type="band2Vert">
      <w:pPr>
        <w:snapToGrid/>
      </w:pPr>
    </w:tblStylePr>
    <w:tblStylePr w:type="band1Horz">
      <w:pPr>
        <w:snapToGrid/>
      </w:pPr>
      <w:rPr>
        <w:rFonts w:ascii="Arial" w:hAnsi="Arial"/>
        <w:color w:val="404040"/>
        <w:sz w:val="22"/>
      </w:rPr>
      <w:tblPr/>
      <w:tcPr>
        <w:tcBorders>
          <w:top w:val="single" w:sz="4" w:space="0" w:color="D99695" w:themeColor="accent2" w:themeTint="97"/>
          <w:bottom w:val="single" w:sz="4" w:space="0" w:color="D99695" w:themeColor="accent2" w:themeTint="97"/>
        </w:tcBorders>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ListTable3-Accent3">
    <w:name w:val="List Table 3 - Accent 3"/>
    <w:basedOn w:val="TableNormal"/>
    <w:uiPriority w:val="99"/>
    <w:qFormat/>
    <w:tblPr>
      <w:tblBorders>
        <w:top w:val="single" w:sz="4" w:space="0" w:color="C3D69B" w:themeColor="accent3" w:themeTint="98"/>
        <w:left w:val="single" w:sz="4" w:space="0" w:color="C3D69B" w:themeColor="accent3" w:themeTint="98"/>
        <w:bottom w:val="single" w:sz="4" w:space="0" w:color="C3D69B" w:themeColor="accent3" w:themeTint="98"/>
        <w:right w:val="single" w:sz="4" w:space="0" w:color="C3D69B" w:themeColor="accent3" w:themeTint="98"/>
      </w:tblBorders>
    </w:tblPr>
    <w:tblStylePr w:type="firstRow">
      <w:pPr>
        <w:snapToGrid/>
      </w:pPr>
      <w:rPr>
        <w:rFonts w:ascii="Arial" w:hAnsi="Arial"/>
        <w:b/>
        <w:color w:val="FFFFFF"/>
        <w:sz w:val="22"/>
      </w:rPr>
      <w:tblPr/>
      <w:tcPr>
        <w:shd w:val="clear" w:color="C9C9C9" w:fill="C3D69B" w:themeFill="accent3" w:themeFillTint="98"/>
      </w:tcPr>
    </w:tblStylePr>
    <w:tblStylePr w:type="lastRow">
      <w:pPr>
        <w:snapToGrid/>
      </w:pPr>
      <w:rPr>
        <w:b/>
        <w:color w:val="404040"/>
      </w:rPr>
    </w:tblStylePr>
    <w:tblStylePr w:type="firstCol">
      <w:pPr>
        <w:snapToGrid/>
      </w:pPr>
      <w:rPr>
        <w:b/>
        <w:color w:val="404040"/>
      </w:rPr>
    </w:tblStylePr>
    <w:tblStylePr w:type="lastCol">
      <w:pPr>
        <w:snapToGrid/>
      </w:pPr>
      <w:rPr>
        <w:b/>
        <w:color w:val="404040"/>
      </w:rPr>
    </w:tblStylePr>
    <w:tblStylePr w:type="band1Vert">
      <w:pPr>
        <w:snapToGrid/>
      </w:pPr>
      <w:rPr>
        <w:rFonts w:ascii="Arial" w:hAnsi="Arial"/>
        <w:color w:val="404040"/>
        <w:sz w:val="22"/>
      </w:rPr>
      <w:tblPr/>
      <w:tcPr>
        <w:tcBorders>
          <w:left w:val="single" w:sz="4" w:space="0" w:color="C3D69B" w:themeColor="accent3" w:themeTint="98"/>
          <w:right w:val="single" w:sz="4" w:space="0" w:color="C3D69B" w:themeColor="accent3" w:themeTint="98"/>
        </w:tcBorders>
      </w:tcPr>
    </w:tblStylePr>
    <w:tblStylePr w:type="band2Vert">
      <w:pPr>
        <w:snapToGrid/>
      </w:pPr>
    </w:tblStylePr>
    <w:tblStylePr w:type="band1Horz">
      <w:pPr>
        <w:snapToGrid/>
      </w:pPr>
      <w:rPr>
        <w:rFonts w:ascii="Arial" w:hAnsi="Arial"/>
        <w:color w:val="404040"/>
        <w:sz w:val="22"/>
      </w:rPr>
      <w:tblPr/>
      <w:tcPr>
        <w:tcBorders>
          <w:top w:val="single" w:sz="4" w:space="0" w:color="C3D69B" w:themeColor="accent3" w:themeTint="98"/>
          <w:bottom w:val="single" w:sz="4" w:space="0" w:color="C3D69B" w:themeColor="accent3" w:themeTint="98"/>
        </w:tcBorders>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ListTable3-Accent4">
    <w:name w:val="List Table 3 - Accent 4"/>
    <w:basedOn w:val="TableNormal"/>
    <w:uiPriority w:val="99"/>
    <w:qFormat/>
    <w:tblPr>
      <w:tbl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tblBorders>
    </w:tblPr>
    <w:tblStylePr w:type="firstRow">
      <w:pPr>
        <w:snapToGrid/>
      </w:pPr>
      <w:rPr>
        <w:rFonts w:ascii="Arial" w:hAnsi="Arial"/>
        <w:b/>
        <w:color w:val="FFFFFF"/>
        <w:sz w:val="22"/>
      </w:rPr>
      <w:tblPr/>
      <w:tcPr>
        <w:shd w:val="clear" w:color="FFD865" w:fill="B2A1C6" w:themeFill="accent4" w:themeFillTint="9A"/>
      </w:tcPr>
    </w:tblStylePr>
    <w:tblStylePr w:type="lastRow">
      <w:pPr>
        <w:snapToGrid/>
      </w:pPr>
      <w:rPr>
        <w:b/>
        <w:color w:val="404040"/>
      </w:rPr>
    </w:tblStylePr>
    <w:tblStylePr w:type="firstCol">
      <w:pPr>
        <w:snapToGrid/>
      </w:pPr>
      <w:rPr>
        <w:b/>
        <w:color w:val="404040"/>
      </w:rPr>
    </w:tblStylePr>
    <w:tblStylePr w:type="lastCol">
      <w:pPr>
        <w:snapToGrid/>
      </w:pPr>
      <w:rPr>
        <w:b/>
        <w:color w:val="404040"/>
      </w:rPr>
    </w:tblStylePr>
    <w:tblStylePr w:type="band1Vert">
      <w:pPr>
        <w:snapToGrid/>
      </w:pPr>
      <w:rPr>
        <w:rFonts w:ascii="Arial" w:hAnsi="Arial"/>
        <w:color w:val="404040"/>
        <w:sz w:val="22"/>
      </w:rPr>
      <w:tblPr/>
      <w:tcPr>
        <w:tcBorders>
          <w:left w:val="single" w:sz="4" w:space="0" w:color="B2A1C6" w:themeColor="accent4" w:themeTint="9A"/>
          <w:right w:val="single" w:sz="4" w:space="0" w:color="B2A1C6" w:themeColor="accent4" w:themeTint="9A"/>
        </w:tcBorders>
      </w:tcPr>
    </w:tblStylePr>
    <w:tblStylePr w:type="band2Vert">
      <w:pPr>
        <w:snapToGrid/>
      </w:pPr>
    </w:tblStylePr>
    <w:tblStylePr w:type="band1Horz">
      <w:pPr>
        <w:snapToGrid/>
      </w:pPr>
      <w:rPr>
        <w:rFonts w:ascii="Arial" w:hAnsi="Arial"/>
        <w:color w:val="404040"/>
        <w:sz w:val="22"/>
      </w:rPr>
      <w:tblPr/>
      <w:tcPr>
        <w:tcBorders>
          <w:top w:val="single" w:sz="4" w:space="0" w:color="B2A1C6" w:themeColor="accent4" w:themeTint="9A"/>
          <w:bottom w:val="single" w:sz="4" w:space="0" w:color="B2A1C6" w:themeColor="accent4" w:themeTint="9A"/>
        </w:tcBorders>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ListTable3-Accent5">
    <w:name w:val="List Table 3 - Accent 5"/>
    <w:basedOn w:val="TableNormal"/>
    <w:uiPriority w:val="99"/>
    <w:qFormat/>
    <w:tblPr>
      <w:tblBorders>
        <w:top w:val="single" w:sz="4" w:space="0" w:color="92CCDC" w:themeColor="accent5" w:themeTint="9A"/>
        <w:left w:val="single" w:sz="4" w:space="0" w:color="92CCDC" w:themeColor="accent5" w:themeTint="9A"/>
        <w:bottom w:val="single" w:sz="4" w:space="0" w:color="92CCDC" w:themeColor="accent5" w:themeTint="9A"/>
        <w:right w:val="single" w:sz="4" w:space="0" w:color="92CCDC" w:themeColor="accent5" w:themeTint="9A"/>
      </w:tblBorders>
    </w:tblPr>
    <w:tblStylePr w:type="firstRow">
      <w:pPr>
        <w:snapToGrid/>
      </w:pPr>
      <w:rPr>
        <w:rFonts w:ascii="Arial" w:hAnsi="Arial"/>
        <w:b/>
        <w:color w:val="FFFFFF"/>
        <w:sz w:val="22"/>
      </w:rPr>
      <w:tblPr/>
      <w:tcPr>
        <w:shd w:val="clear" w:color="8DA9DB" w:fill="92CCDC" w:themeFill="accent5" w:themeFillTint="9A"/>
      </w:tcPr>
    </w:tblStylePr>
    <w:tblStylePr w:type="lastRow">
      <w:pPr>
        <w:snapToGrid/>
      </w:pPr>
      <w:rPr>
        <w:b/>
        <w:color w:val="404040"/>
      </w:rPr>
    </w:tblStylePr>
    <w:tblStylePr w:type="firstCol">
      <w:pPr>
        <w:snapToGrid/>
      </w:pPr>
      <w:rPr>
        <w:b/>
        <w:color w:val="404040"/>
      </w:rPr>
    </w:tblStylePr>
    <w:tblStylePr w:type="lastCol">
      <w:pPr>
        <w:snapToGrid/>
      </w:pPr>
      <w:rPr>
        <w:b/>
        <w:color w:val="404040"/>
      </w:rPr>
    </w:tblStylePr>
    <w:tblStylePr w:type="band1Vert">
      <w:pPr>
        <w:snapToGrid/>
      </w:pPr>
      <w:rPr>
        <w:rFonts w:ascii="Arial" w:hAnsi="Arial"/>
        <w:color w:val="404040"/>
        <w:sz w:val="22"/>
      </w:rPr>
      <w:tblPr/>
      <w:tcPr>
        <w:tcBorders>
          <w:left w:val="single" w:sz="4" w:space="0" w:color="92CCDC" w:themeColor="accent5" w:themeTint="9A"/>
          <w:right w:val="single" w:sz="4" w:space="0" w:color="92CCDC" w:themeColor="accent5" w:themeTint="9A"/>
        </w:tcBorders>
      </w:tcPr>
    </w:tblStylePr>
    <w:tblStylePr w:type="band2Vert">
      <w:pPr>
        <w:snapToGrid/>
      </w:pPr>
    </w:tblStylePr>
    <w:tblStylePr w:type="band1Horz">
      <w:pPr>
        <w:snapToGrid/>
      </w:pPr>
      <w:rPr>
        <w:rFonts w:ascii="Arial" w:hAnsi="Arial"/>
        <w:color w:val="404040"/>
        <w:sz w:val="22"/>
      </w:rPr>
      <w:tblPr/>
      <w:tcPr>
        <w:tcBorders>
          <w:top w:val="single" w:sz="4" w:space="0" w:color="92CCDC" w:themeColor="accent5" w:themeTint="9A"/>
          <w:bottom w:val="single" w:sz="4" w:space="0" w:color="92CCDC" w:themeColor="accent5" w:themeTint="9A"/>
        </w:tcBorders>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ListTable3-Accent6">
    <w:name w:val="List Table 3 - Accent 6"/>
    <w:basedOn w:val="TableNormal"/>
    <w:uiPriority w:val="99"/>
    <w:qFormat/>
    <w:tblPr>
      <w:tblBorders>
        <w:top w:val="single" w:sz="4" w:space="0" w:color="FAC090" w:themeColor="accent6" w:themeTint="98"/>
        <w:left w:val="single" w:sz="4" w:space="0" w:color="FAC090" w:themeColor="accent6" w:themeTint="98"/>
        <w:bottom w:val="single" w:sz="4" w:space="0" w:color="FAC090" w:themeColor="accent6" w:themeTint="98"/>
        <w:right w:val="single" w:sz="4" w:space="0" w:color="FAC090" w:themeColor="accent6" w:themeTint="98"/>
      </w:tblBorders>
    </w:tblPr>
    <w:tblStylePr w:type="firstRow">
      <w:pPr>
        <w:snapToGrid/>
      </w:pPr>
      <w:rPr>
        <w:rFonts w:ascii="Arial" w:hAnsi="Arial"/>
        <w:b/>
        <w:color w:val="FFFFFF"/>
        <w:sz w:val="22"/>
      </w:rPr>
      <w:tblPr/>
      <w:tcPr>
        <w:shd w:val="clear" w:color="A9D08E" w:fill="FAC090" w:themeFill="accent6" w:themeFillTint="98"/>
      </w:tcPr>
    </w:tblStylePr>
    <w:tblStylePr w:type="lastRow">
      <w:pPr>
        <w:snapToGrid/>
      </w:pPr>
      <w:rPr>
        <w:b/>
        <w:color w:val="404040"/>
      </w:rPr>
    </w:tblStylePr>
    <w:tblStylePr w:type="firstCol">
      <w:pPr>
        <w:snapToGrid/>
      </w:pPr>
      <w:rPr>
        <w:b/>
        <w:color w:val="404040"/>
      </w:rPr>
    </w:tblStylePr>
    <w:tblStylePr w:type="lastCol">
      <w:pPr>
        <w:snapToGrid/>
      </w:pPr>
      <w:rPr>
        <w:b/>
        <w:color w:val="404040"/>
      </w:rPr>
    </w:tblStylePr>
    <w:tblStylePr w:type="band1Vert">
      <w:pPr>
        <w:snapToGrid/>
      </w:pPr>
      <w:rPr>
        <w:rFonts w:ascii="Arial" w:hAnsi="Arial"/>
        <w:color w:val="404040"/>
        <w:sz w:val="22"/>
      </w:rPr>
      <w:tblPr/>
      <w:tcPr>
        <w:tcBorders>
          <w:left w:val="single" w:sz="4" w:space="0" w:color="FAC090" w:themeColor="accent6" w:themeTint="98"/>
          <w:right w:val="single" w:sz="4" w:space="0" w:color="FAC090" w:themeColor="accent6" w:themeTint="98"/>
        </w:tcBorders>
      </w:tcPr>
    </w:tblStylePr>
    <w:tblStylePr w:type="band2Vert">
      <w:pPr>
        <w:snapToGrid/>
      </w:pPr>
    </w:tblStylePr>
    <w:tblStylePr w:type="band1Horz">
      <w:pPr>
        <w:snapToGrid/>
      </w:pPr>
      <w:rPr>
        <w:rFonts w:ascii="Arial" w:hAnsi="Arial"/>
        <w:color w:val="404040"/>
        <w:sz w:val="22"/>
      </w:rPr>
      <w:tblPr/>
      <w:tcPr>
        <w:tcBorders>
          <w:top w:val="single" w:sz="4" w:space="0" w:color="FAC090" w:themeColor="accent6" w:themeTint="98"/>
          <w:bottom w:val="single" w:sz="4" w:space="0" w:color="FAC090" w:themeColor="accent6" w:themeTint="98"/>
        </w:tcBorders>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4102">
    <w:name w:val="清单表 41_0"/>
    <w:basedOn w:val="TableNormal"/>
    <w:uiPriority w:val="99"/>
    <w:qFormat/>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tblBorders>
    </w:tblPr>
    <w:tblStylePr w:type="firstRow">
      <w:pPr>
        <w:snapToGrid/>
      </w:pPr>
      <w:rPr>
        <w:rFonts w:ascii="Arial" w:hAnsi="Arial"/>
        <w:b/>
        <w:color w:val="FFFFFF"/>
        <w:sz w:val="22"/>
      </w:rPr>
      <w:tblPr/>
      <w:tcPr>
        <w:shd w:val="clear" w:color="000000" w:fill="000000" w:themeFill="text1"/>
      </w:tcPr>
    </w:tblStylePr>
    <w:tblStylePr w:type="lastRow">
      <w:pPr>
        <w:snapToGrid/>
      </w:pPr>
      <w:rPr>
        <w:b/>
        <w:color w:val="404040"/>
      </w:rPr>
    </w:tblStylePr>
    <w:tblStylePr w:type="firstCol">
      <w:pPr>
        <w:snapToGrid/>
      </w:pPr>
      <w:rPr>
        <w:b/>
        <w:color w:val="404040"/>
      </w:rPr>
    </w:tblStylePr>
    <w:tblStylePr w:type="lastCol">
      <w:pPr>
        <w:snapToGrid/>
      </w:pPr>
      <w:rPr>
        <w:b/>
        <w:color w:val="404040"/>
      </w:rPr>
    </w:tblStylePr>
    <w:tblStylePr w:type="band1Vert">
      <w:pPr>
        <w:snapToGrid/>
      </w:pPr>
      <w:rPr>
        <w:rFonts w:ascii="Arial" w:hAnsi="Arial"/>
        <w:color w:val="404040"/>
        <w:sz w:val="22"/>
      </w:rPr>
      <w:tblPr/>
      <w:tcPr>
        <w:shd w:val="clear" w:color="BFBFBF" w:fill="BFBFBF" w:themeFill="text1" w:themeFillTint="40"/>
      </w:tcPr>
    </w:tblStylePr>
    <w:tblStylePr w:type="band2Vert">
      <w:pPr>
        <w:snapToGrid/>
      </w:pPr>
    </w:tblStylePr>
    <w:tblStylePr w:type="band1Horz">
      <w:pPr>
        <w:snapToGrid/>
      </w:pPr>
      <w:rPr>
        <w:rFonts w:ascii="Arial" w:hAnsi="Arial"/>
        <w:color w:val="404040"/>
        <w:sz w:val="22"/>
      </w:rPr>
      <w:tblPr/>
      <w:tcPr>
        <w:shd w:val="clear" w:color="BFBFBF" w:fill="BFBFBF" w:themeFill="text1" w:themeFillTint="40"/>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ListTable4-Accent1">
    <w:name w:val="List Table 4 - Accent 1"/>
    <w:basedOn w:val="TableNormal"/>
    <w:uiPriority w:val="99"/>
    <w:qFormat/>
    <w:tblPr>
      <w:tblBorders>
        <w:top w:val="single" w:sz="4" w:space="0" w:color="9BB7D9" w:themeColor="accent1" w:themeTint="90"/>
        <w:left w:val="single" w:sz="4" w:space="0" w:color="9BB7D9" w:themeColor="accent1" w:themeTint="90"/>
        <w:bottom w:val="single" w:sz="4" w:space="0" w:color="9BB7D9" w:themeColor="accent1" w:themeTint="90"/>
        <w:right w:val="single" w:sz="4" w:space="0" w:color="9BB7D9" w:themeColor="accent1" w:themeTint="90"/>
        <w:insideH w:val="single" w:sz="4" w:space="0" w:color="9BB7D9" w:themeColor="accent1" w:themeTint="90"/>
      </w:tblBorders>
    </w:tblPr>
    <w:tblStylePr w:type="firstRow">
      <w:pPr>
        <w:snapToGrid/>
      </w:pPr>
      <w:rPr>
        <w:rFonts w:ascii="Arial" w:hAnsi="Arial"/>
        <w:b/>
        <w:color w:val="FFFFFF"/>
        <w:sz w:val="22"/>
      </w:rPr>
      <w:tblPr/>
      <w:tcPr>
        <w:shd w:val="clear" w:color="5B9BD5" w:fill="4F81BD" w:themeFill="accent1"/>
      </w:tcPr>
    </w:tblStylePr>
    <w:tblStylePr w:type="lastRow">
      <w:pPr>
        <w:snapToGrid/>
      </w:pPr>
      <w:rPr>
        <w:b/>
        <w:color w:val="404040"/>
      </w:rPr>
    </w:tblStylePr>
    <w:tblStylePr w:type="firstCol">
      <w:pPr>
        <w:snapToGrid/>
      </w:pPr>
      <w:rPr>
        <w:b/>
        <w:color w:val="404040"/>
      </w:rPr>
    </w:tblStylePr>
    <w:tblStylePr w:type="lastCol">
      <w:pPr>
        <w:snapToGrid/>
      </w:pPr>
      <w:rPr>
        <w:b/>
        <w:color w:val="404040"/>
      </w:rPr>
    </w:tblStylePr>
    <w:tblStylePr w:type="band1Vert">
      <w:pPr>
        <w:snapToGrid/>
      </w:pPr>
      <w:rPr>
        <w:rFonts w:ascii="Arial" w:hAnsi="Arial"/>
        <w:color w:val="404040"/>
        <w:sz w:val="22"/>
      </w:rPr>
      <w:tblPr/>
      <w:tcPr>
        <w:shd w:val="clear" w:color="D5E5F4" w:fill="D2DFEE" w:themeFill="accent1" w:themeFillTint="40"/>
      </w:tcPr>
    </w:tblStylePr>
    <w:tblStylePr w:type="band2Vert">
      <w:pPr>
        <w:snapToGrid/>
      </w:pPr>
    </w:tblStylePr>
    <w:tblStylePr w:type="band1Horz">
      <w:pPr>
        <w:snapToGrid/>
      </w:pPr>
      <w:rPr>
        <w:rFonts w:ascii="Arial" w:hAnsi="Arial"/>
        <w:color w:val="404040"/>
        <w:sz w:val="22"/>
      </w:rPr>
      <w:tblPr/>
      <w:tcPr>
        <w:shd w:val="clear" w:color="D5E5F4" w:fill="D2DFEE" w:themeFill="accent1" w:themeFillTint="40"/>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ListTable4-Accent2">
    <w:name w:val="List Table 4 - Accent 2"/>
    <w:basedOn w:val="TableNormal"/>
    <w:uiPriority w:val="99"/>
    <w:qFormat/>
    <w:tblPr>
      <w:tblBorders>
        <w:top w:val="single" w:sz="4" w:space="0" w:color="DB9B9A" w:themeColor="accent2" w:themeTint="90"/>
        <w:left w:val="single" w:sz="4" w:space="0" w:color="DB9B9A" w:themeColor="accent2" w:themeTint="90"/>
        <w:bottom w:val="single" w:sz="4" w:space="0" w:color="DB9B9A" w:themeColor="accent2" w:themeTint="90"/>
        <w:right w:val="single" w:sz="4" w:space="0" w:color="DB9B9A" w:themeColor="accent2" w:themeTint="90"/>
        <w:insideH w:val="single" w:sz="4" w:space="0" w:color="DB9B9A" w:themeColor="accent2" w:themeTint="90"/>
      </w:tblBorders>
    </w:tblPr>
    <w:tblStylePr w:type="firstRow">
      <w:pPr>
        <w:snapToGrid/>
      </w:pPr>
      <w:rPr>
        <w:rFonts w:ascii="Arial" w:hAnsi="Arial"/>
        <w:b/>
        <w:color w:val="FFFFFF"/>
        <w:sz w:val="22"/>
      </w:rPr>
      <w:tblPr/>
      <w:tcPr>
        <w:shd w:val="clear" w:color="ED7D31" w:fill="C0504D" w:themeFill="accent2"/>
      </w:tcPr>
    </w:tblStylePr>
    <w:tblStylePr w:type="lastRow">
      <w:pPr>
        <w:snapToGrid/>
      </w:pPr>
      <w:rPr>
        <w:b/>
        <w:color w:val="404040"/>
      </w:rPr>
    </w:tblStylePr>
    <w:tblStylePr w:type="firstCol">
      <w:pPr>
        <w:snapToGrid/>
      </w:pPr>
      <w:rPr>
        <w:b/>
        <w:color w:val="404040"/>
      </w:rPr>
    </w:tblStylePr>
    <w:tblStylePr w:type="lastCol">
      <w:pPr>
        <w:snapToGrid/>
      </w:pPr>
      <w:rPr>
        <w:b/>
        <w:color w:val="404040"/>
      </w:rPr>
    </w:tblStylePr>
    <w:tblStylePr w:type="band1Vert">
      <w:pPr>
        <w:snapToGrid/>
      </w:pPr>
      <w:rPr>
        <w:rFonts w:ascii="Arial" w:hAnsi="Arial"/>
        <w:color w:val="404040"/>
        <w:sz w:val="22"/>
      </w:rPr>
      <w:tblPr/>
      <w:tcPr>
        <w:shd w:val="clear" w:color="FADECB" w:fill="EFD2D2" w:themeFill="accent2" w:themeFillTint="40"/>
      </w:tcPr>
    </w:tblStylePr>
    <w:tblStylePr w:type="band2Vert">
      <w:pPr>
        <w:snapToGrid/>
      </w:pPr>
    </w:tblStylePr>
    <w:tblStylePr w:type="band1Horz">
      <w:pPr>
        <w:snapToGrid/>
      </w:pPr>
      <w:rPr>
        <w:rFonts w:ascii="Arial" w:hAnsi="Arial"/>
        <w:color w:val="404040"/>
        <w:sz w:val="22"/>
      </w:rPr>
      <w:tblPr/>
      <w:tcPr>
        <w:shd w:val="clear" w:color="FADECB" w:fill="EFD2D2" w:themeFill="accent2" w:themeFillTint="40"/>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ListTable4-Accent3">
    <w:name w:val="List Table 4 - Accent 3"/>
    <w:basedOn w:val="TableNormal"/>
    <w:uiPriority w:val="99"/>
    <w:qFormat/>
    <w:tblPr>
      <w:tblBorders>
        <w:top w:val="single" w:sz="4" w:space="0" w:color="C6D8A1" w:themeColor="accent3" w:themeTint="90"/>
        <w:left w:val="single" w:sz="4" w:space="0" w:color="C6D8A1" w:themeColor="accent3" w:themeTint="90"/>
        <w:bottom w:val="single" w:sz="4" w:space="0" w:color="C6D8A1" w:themeColor="accent3" w:themeTint="90"/>
        <w:right w:val="single" w:sz="4" w:space="0" w:color="C6D8A1" w:themeColor="accent3" w:themeTint="90"/>
        <w:insideH w:val="single" w:sz="4" w:space="0" w:color="C6D8A1" w:themeColor="accent3" w:themeTint="90"/>
      </w:tblBorders>
    </w:tblPr>
    <w:tblStylePr w:type="firstRow">
      <w:pPr>
        <w:snapToGrid/>
      </w:pPr>
      <w:rPr>
        <w:rFonts w:ascii="Arial" w:hAnsi="Arial"/>
        <w:b/>
        <w:color w:val="FFFFFF"/>
        <w:sz w:val="22"/>
      </w:rPr>
      <w:tblPr/>
      <w:tcPr>
        <w:shd w:val="clear" w:color="A5A5A5" w:fill="9BBB59" w:themeFill="accent3"/>
      </w:tcPr>
    </w:tblStylePr>
    <w:tblStylePr w:type="lastRow">
      <w:pPr>
        <w:snapToGrid/>
      </w:pPr>
      <w:rPr>
        <w:b/>
        <w:color w:val="404040"/>
      </w:rPr>
    </w:tblStylePr>
    <w:tblStylePr w:type="firstCol">
      <w:pPr>
        <w:snapToGrid/>
      </w:pPr>
      <w:rPr>
        <w:b/>
        <w:color w:val="404040"/>
      </w:rPr>
    </w:tblStylePr>
    <w:tblStylePr w:type="lastCol">
      <w:pPr>
        <w:snapToGrid/>
      </w:pPr>
      <w:rPr>
        <w:b/>
        <w:color w:val="404040"/>
      </w:rPr>
    </w:tblStylePr>
    <w:tblStylePr w:type="band1Vert">
      <w:pPr>
        <w:snapToGrid/>
      </w:pPr>
      <w:rPr>
        <w:rFonts w:ascii="Arial" w:hAnsi="Arial"/>
        <w:color w:val="404040"/>
        <w:sz w:val="22"/>
      </w:rPr>
      <w:tblPr/>
      <w:tcPr>
        <w:shd w:val="clear" w:color="E8E8E8" w:fill="E5EED5" w:themeFill="accent3" w:themeFillTint="40"/>
      </w:tcPr>
    </w:tblStylePr>
    <w:tblStylePr w:type="band2Vert">
      <w:pPr>
        <w:snapToGrid/>
      </w:pPr>
    </w:tblStylePr>
    <w:tblStylePr w:type="band1Horz">
      <w:pPr>
        <w:snapToGrid/>
      </w:pPr>
      <w:rPr>
        <w:rFonts w:ascii="Arial" w:hAnsi="Arial"/>
        <w:color w:val="404040"/>
        <w:sz w:val="22"/>
      </w:rPr>
      <w:tblPr/>
      <w:tcPr>
        <w:shd w:val="clear" w:color="E8E8E8" w:fill="E5EED5" w:themeFill="accent3" w:themeFillTint="40"/>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ListTable4-Accent4">
    <w:name w:val="List Table 4 - Accent 4"/>
    <w:basedOn w:val="TableNormal"/>
    <w:uiPriority w:val="99"/>
    <w:qFormat/>
    <w:tblPr>
      <w:tblBorders>
        <w:top w:val="single" w:sz="4" w:space="0" w:color="B7A7CA" w:themeColor="accent4" w:themeTint="90"/>
        <w:left w:val="single" w:sz="4" w:space="0" w:color="B7A7CA" w:themeColor="accent4" w:themeTint="90"/>
        <w:bottom w:val="single" w:sz="4" w:space="0" w:color="B7A7CA" w:themeColor="accent4" w:themeTint="90"/>
        <w:right w:val="single" w:sz="4" w:space="0" w:color="B7A7CA" w:themeColor="accent4" w:themeTint="90"/>
        <w:insideH w:val="single" w:sz="4" w:space="0" w:color="B7A7CA" w:themeColor="accent4" w:themeTint="90"/>
      </w:tblBorders>
    </w:tblPr>
    <w:tblStylePr w:type="firstRow">
      <w:pPr>
        <w:snapToGrid/>
      </w:pPr>
      <w:rPr>
        <w:rFonts w:ascii="Arial" w:hAnsi="Arial"/>
        <w:b/>
        <w:color w:val="FFFFFF"/>
        <w:sz w:val="22"/>
      </w:rPr>
      <w:tblPr/>
      <w:tcPr>
        <w:shd w:val="clear" w:color="FFC000" w:fill="8064A2" w:themeFill="accent4"/>
      </w:tcPr>
    </w:tblStylePr>
    <w:tblStylePr w:type="lastRow">
      <w:pPr>
        <w:snapToGrid/>
      </w:pPr>
      <w:rPr>
        <w:b/>
        <w:color w:val="404040"/>
      </w:rPr>
    </w:tblStylePr>
    <w:tblStylePr w:type="firstCol">
      <w:pPr>
        <w:snapToGrid/>
      </w:pPr>
      <w:rPr>
        <w:b/>
        <w:color w:val="404040"/>
      </w:rPr>
    </w:tblStylePr>
    <w:tblStylePr w:type="lastCol">
      <w:pPr>
        <w:snapToGrid/>
      </w:pPr>
      <w:rPr>
        <w:b/>
        <w:color w:val="404040"/>
      </w:rPr>
    </w:tblStylePr>
    <w:tblStylePr w:type="band1Vert">
      <w:pPr>
        <w:snapToGrid/>
      </w:pPr>
      <w:rPr>
        <w:rFonts w:ascii="Arial" w:hAnsi="Arial"/>
        <w:color w:val="404040"/>
        <w:sz w:val="22"/>
      </w:rPr>
      <w:tblPr/>
      <w:tcPr>
        <w:shd w:val="clear" w:color="FFEFBF" w:fill="DFD8E7" w:themeFill="accent4" w:themeFillTint="40"/>
      </w:tcPr>
    </w:tblStylePr>
    <w:tblStylePr w:type="band2Vert">
      <w:pPr>
        <w:snapToGrid/>
      </w:pPr>
    </w:tblStylePr>
    <w:tblStylePr w:type="band1Horz">
      <w:pPr>
        <w:snapToGrid/>
      </w:pPr>
      <w:rPr>
        <w:rFonts w:ascii="Arial" w:hAnsi="Arial"/>
        <w:color w:val="404040"/>
        <w:sz w:val="22"/>
      </w:rPr>
      <w:tblPr/>
      <w:tcPr>
        <w:shd w:val="clear" w:color="FFEFBF" w:fill="DFD8E7" w:themeFill="accent4" w:themeFillTint="40"/>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ListTable4-Accent5">
    <w:name w:val="List Table 4 - Accent 5"/>
    <w:basedOn w:val="TableNormal"/>
    <w:uiPriority w:val="99"/>
    <w:qFormat/>
    <w:tblPr>
      <w:tblBorders>
        <w:top w:val="single" w:sz="4" w:space="0" w:color="99D0DE" w:themeColor="accent5" w:themeTint="90"/>
        <w:left w:val="single" w:sz="4" w:space="0" w:color="99D0DE" w:themeColor="accent5" w:themeTint="90"/>
        <w:bottom w:val="single" w:sz="4" w:space="0" w:color="99D0DE" w:themeColor="accent5" w:themeTint="90"/>
        <w:right w:val="single" w:sz="4" w:space="0" w:color="99D0DE" w:themeColor="accent5" w:themeTint="90"/>
        <w:insideH w:val="single" w:sz="4" w:space="0" w:color="99D0DE" w:themeColor="accent5" w:themeTint="90"/>
      </w:tblBorders>
    </w:tblPr>
    <w:tblStylePr w:type="firstRow">
      <w:pPr>
        <w:snapToGrid/>
      </w:pPr>
      <w:rPr>
        <w:rFonts w:ascii="Arial" w:hAnsi="Arial"/>
        <w:b/>
        <w:color w:val="FFFFFF"/>
        <w:sz w:val="22"/>
      </w:rPr>
      <w:tblPr/>
      <w:tcPr>
        <w:shd w:val="clear" w:color="4472C4" w:fill="4BACC6" w:themeFill="accent5"/>
      </w:tcPr>
    </w:tblStylePr>
    <w:tblStylePr w:type="lastRow">
      <w:pPr>
        <w:snapToGrid/>
      </w:pPr>
      <w:rPr>
        <w:b/>
        <w:color w:val="404040"/>
      </w:rPr>
    </w:tblStylePr>
    <w:tblStylePr w:type="firstCol">
      <w:pPr>
        <w:snapToGrid/>
      </w:pPr>
      <w:rPr>
        <w:b/>
        <w:color w:val="404040"/>
      </w:rPr>
    </w:tblStylePr>
    <w:tblStylePr w:type="lastCol">
      <w:pPr>
        <w:snapToGrid/>
      </w:pPr>
      <w:rPr>
        <w:b/>
        <w:color w:val="404040"/>
      </w:rPr>
    </w:tblStylePr>
    <w:tblStylePr w:type="band1Vert">
      <w:pPr>
        <w:snapToGrid/>
      </w:pPr>
      <w:rPr>
        <w:rFonts w:ascii="Arial" w:hAnsi="Arial"/>
        <w:color w:val="404040"/>
        <w:sz w:val="22"/>
      </w:rPr>
      <w:tblPr/>
      <w:tcPr>
        <w:shd w:val="clear" w:color="CFDBF0" w:fill="D1EAF0" w:themeFill="accent5" w:themeFillTint="40"/>
      </w:tcPr>
    </w:tblStylePr>
    <w:tblStylePr w:type="band2Vert">
      <w:pPr>
        <w:snapToGrid/>
      </w:pPr>
    </w:tblStylePr>
    <w:tblStylePr w:type="band1Horz">
      <w:pPr>
        <w:snapToGrid/>
      </w:pPr>
      <w:rPr>
        <w:rFonts w:ascii="Arial" w:hAnsi="Arial"/>
        <w:color w:val="404040"/>
        <w:sz w:val="22"/>
      </w:rPr>
      <w:tblPr/>
      <w:tcPr>
        <w:shd w:val="clear" w:color="CFDBF0" w:fill="D1EAF0" w:themeFill="accent5" w:themeFillTint="40"/>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ListTable4-Accent6">
    <w:name w:val="List Table 4 - Accent 6"/>
    <w:basedOn w:val="TableNormal"/>
    <w:uiPriority w:val="99"/>
    <w:qFormat/>
    <w:tblPr>
      <w:tblBorders>
        <w:top w:val="single" w:sz="4" w:space="0" w:color="FAC396" w:themeColor="accent6" w:themeTint="90"/>
        <w:left w:val="single" w:sz="4" w:space="0" w:color="FAC396" w:themeColor="accent6" w:themeTint="90"/>
        <w:bottom w:val="single" w:sz="4" w:space="0" w:color="FAC396" w:themeColor="accent6" w:themeTint="90"/>
        <w:right w:val="single" w:sz="4" w:space="0" w:color="FAC396" w:themeColor="accent6" w:themeTint="90"/>
        <w:insideH w:val="single" w:sz="4" w:space="0" w:color="FAC396" w:themeColor="accent6" w:themeTint="90"/>
      </w:tblBorders>
    </w:tblPr>
    <w:tblStylePr w:type="firstRow">
      <w:pPr>
        <w:snapToGrid/>
      </w:pPr>
      <w:rPr>
        <w:rFonts w:ascii="Arial" w:hAnsi="Arial"/>
        <w:b/>
        <w:color w:val="FFFFFF"/>
        <w:sz w:val="22"/>
      </w:rPr>
      <w:tblPr/>
      <w:tcPr>
        <w:shd w:val="clear" w:color="70AD47" w:fill="F79646" w:themeFill="accent6"/>
      </w:tcPr>
    </w:tblStylePr>
    <w:tblStylePr w:type="lastRow">
      <w:pPr>
        <w:snapToGrid/>
      </w:pPr>
      <w:rPr>
        <w:b/>
        <w:color w:val="404040"/>
      </w:rPr>
    </w:tblStylePr>
    <w:tblStylePr w:type="firstCol">
      <w:pPr>
        <w:snapToGrid/>
      </w:pPr>
      <w:rPr>
        <w:b/>
        <w:color w:val="404040"/>
      </w:rPr>
    </w:tblStylePr>
    <w:tblStylePr w:type="lastCol">
      <w:pPr>
        <w:snapToGrid/>
      </w:pPr>
      <w:rPr>
        <w:b/>
        <w:color w:val="404040"/>
      </w:rPr>
    </w:tblStylePr>
    <w:tblStylePr w:type="band1Vert">
      <w:pPr>
        <w:snapToGrid/>
      </w:pPr>
      <w:rPr>
        <w:rFonts w:ascii="Arial" w:hAnsi="Arial"/>
        <w:color w:val="404040"/>
        <w:sz w:val="22"/>
      </w:rPr>
      <w:tblPr/>
      <w:tcPr>
        <w:shd w:val="clear" w:color="DAEBCF" w:fill="FDE4D0" w:themeFill="accent6" w:themeFillTint="40"/>
      </w:tcPr>
    </w:tblStylePr>
    <w:tblStylePr w:type="band2Vert">
      <w:pPr>
        <w:snapToGrid/>
      </w:pPr>
    </w:tblStylePr>
    <w:tblStylePr w:type="band1Horz">
      <w:pPr>
        <w:snapToGrid/>
      </w:pPr>
      <w:rPr>
        <w:rFonts w:ascii="Arial" w:hAnsi="Arial"/>
        <w:color w:val="404040"/>
        <w:sz w:val="22"/>
      </w:rPr>
      <w:tblPr/>
      <w:tcPr>
        <w:shd w:val="clear" w:color="DAEBCF" w:fill="FDE4D0" w:themeFill="accent6" w:themeFillTint="40"/>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5102">
    <w:name w:val="清单表 5 深色1_0"/>
    <w:basedOn w:val="TableNormal"/>
    <w:uiPriority w:val="99"/>
    <w:qFormat/>
    <w:tblPr>
      <w:tblBorders>
        <w:top w:val="single" w:sz="32" w:space="0" w:color="7F7F7F" w:themeColor="text1" w:themeTint="80"/>
        <w:left w:val="single" w:sz="32" w:space="0" w:color="7F7F7F" w:themeColor="text1" w:themeTint="80"/>
        <w:bottom w:val="single" w:sz="32" w:space="0" w:color="7F7F7F" w:themeColor="text1" w:themeTint="80"/>
        <w:right w:val="single" w:sz="32" w:space="0" w:color="7F7F7F" w:themeColor="text1" w:themeTint="80"/>
      </w:tblBorders>
    </w:tblPr>
    <w:tblStylePr w:type="firstRow">
      <w:pPr>
        <w:snapToGrid/>
      </w:pPr>
      <w:rPr>
        <w:rFonts w:ascii="Arial" w:hAnsi="Arial"/>
        <w:b/>
        <w:color w:val="FFFFFF" w:themeColor="light1"/>
        <w:sz w:val="22"/>
      </w:rPr>
      <w:tblPr/>
      <w:tcPr>
        <w:tcBorders>
          <w:top w:val="single" w:sz="32" w:space="0" w:color="7F7F7F" w:themeColor="text1" w:themeTint="80"/>
          <w:bottom w:val="single" w:sz="12" w:space="0" w:color="FFFFFF" w:themeColor="light1"/>
        </w:tcBorders>
        <w:shd w:val="clear" w:color="7F7F7F" w:fill="7F7F7F" w:themeFill="text1" w:themeFillTint="80"/>
      </w:tcPr>
    </w:tblStylePr>
    <w:tblStylePr w:type="lastRow">
      <w:pPr>
        <w:snapToGrid/>
      </w:pPr>
      <w:rPr>
        <w:rFonts w:ascii="Arial" w:hAnsi="Arial"/>
        <w:b/>
        <w:color w:val="FFFFFF" w:themeColor="light1"/>
        <w:sz w:val="22"/>
      </w:rPr>
    </w:tblStylePr>
    <w:tblStylePr w:type="firstCol">
      <w:pPr>
        <w:snapToGrid/>
      </w:pPr>
      <w:rPr>
        <w:rFonts w:ascii="Arial" w:hAnsi="Arial"/>
        <w:b/>
        <w:color w:val="FFFFFF" w:themeColor="light1"/>
        <w:sz w:val="22"/>
      </w:rPr>
      <w:tblPr/>
      <w:tcPr>
        <w:tcBorders>
          <w:left w:val="single" w:sz="32" w:space="0" w:color="7F7F7F" w:themeColor="text1" w:themeTint="80"/>
          <w:right w:val="single" w:sz="4" w:space="0" w:color="FFFFFF" w:themeColor="light1"/>
        </w:tcBorders>
      </w:tcPr>
    </w:tblStylePr>
    <w:tblStylePr w:type="lastCol">
      <w:pPr>
        <w:snapToGrid/>
      </w:pPr>
      <w:tblPr/>
      <w:tcPr>
        <w:tcBorders>
          <w:left w:val="single" w:sz="4" w:space="0" w:color="FFFFFF" w:themeColor="light1"/>
          <w:right w:val="single" w:sz="32" w:space="0" w:color="7F7F7F" w:themeColor="text1" w:themeTint="80"/>
        </w:tcBorders>
      </w:tcPr>
    </w:tblStylePr>
    <w:tblStylePr w:type="band1Vert">
      <w:pPr>
        <w:snapToGrid/>
      </w:pPr>
      <w:tblPr/>
      <w:tcPr>
        <w:tcBorders>
          <w:left w:val="single" w:sz="4" w:space="0" w:color="FFFFFF" w:themeColor="light1"/>
          <w:right w:val="single" w:sz="4" w:space="0" w:color="FFFFFF" w:themeColor="light1"/>
        </w:tcBorders>
        <w:shd w:val="clear" w:color="7F7F7F" w:fill="7F7F7F" w:themeFill="text1" w:themeFillTint="80"/>
      </w:tcPr>
    </w:tblStylePr>
    <w:tblStylePr w:type="band2Vert">
      <w:pPr>
        <w:snapToGrid/>
      </w:pPr>
      <w:tblPr/>
      <w:tcPr>
        <w:tcBorders>
          <w:left w:val="single" w:sz="4" w:space="0" w:color="FFFFFF" w:themeColor="light1"/>
          <w:right w:val="single" w:sz="4" w:space="0" w:color="FFFFFF" w:themeColor="light1"/>
        </w:tcBorders>
      </w:tcPr>
    </w:tblStylePr>
    <w:tblStylePr w:type="band1Horz">
      <w:pPr>
        <w:snapToGrid/>
      </w:pPr>
      <w:tblPr/>
      <w:tcPr>
        <w:tcBorders>
          <w:top w:val="single" w:sz="4" w:space="0" w:color="FFFFFF" w:themeColor="light1"/>
          <w:bottom w:val="single" w:sz="4" w:space="0" w:color="FFFFFF" w:themeColor="light1"/>
        </w:tcBorders>
        <w:shd w:val="clear" w:color="7F7F7F" w:fill="7F7F7F" w:themeFill="text1" w:themeFillTint="80"/>
      </w:tcPr>
    </w:tblStylePr>
    <w:tblStylePr w:type="band2Horz">
      <w:pPr>
        <w:snapToGrid/>
      </w:pPr>
      <w:tblPr/>
      <w:tcPr>
        <w:tcBorders>
          <w:top w:val="single" w:sz="4" w:space="0" w:color="FFFFFF" w:themeColor="light1"/>
          <w:bottom w:val="single" w:sz="4" w:space="0" w:color="FFFFFF" w:themeColor="light1"/>
        </w:tcBorders>
        <w:shd w:val="clear" w:color="7F7F7F" w:fill="7F7F7F" w:themeFill="text1" w:themeFillTint="80"/>
      </w:tc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ListTable5Dark-Accent1">
    <w:name w:val="List Table 5 Dark - Accent 1"/>
    <w:basedOn w:val="TableNormal"/>
    <w:uiPriority w:val="99"/>
    <w:qFormat/>
    <w:tblPr>
      <w:tblBorders>
        <w:top w:val="single" w:sz="32" w:space="0" w:color="4F81BD" w:themeColor="accent1"/>
        <w:left w:val="single" w:sz="32" w:space="0" w:color="4F81BD" w:themeColor="accent1"/>
        <w:bottom w:val="single" w:sz="32" w:space="0" w:color="4F81BD" w:themeColor="accent1"/>
        <w:right w:val="single" w:sz="32" w:space="0" w:color="4F81BD" w:themeColor="accent1"/>
      </w:tblBorders>
    </w:tblPr>
    <w:tblStylePr w:type="firstRow">
      <w:pPr>
        <w:snapToGrid/>
      </w:pPr>
      <w:rPr>
        <w:rFonts w:ascii="Arial" w:hAnsi="Arial"/>
        <w:b/>
        <w:color w:val="FFFFFF" w:themeColor="light1"/>
        <w:sz w:val="22"/>
      </w:rPr>
      <w:tblPr/>
      <w:tcPr>
        <w:tcBorders>
          <w:top w:val="single" w:sz="32" w:space="0" w:color="4F81BD" w:themeColor="accent1"/>
          <w:bottom w:val="single" w:sz="12" w:space="0" w:color="FFFFFF" w:themeColor="light1"/>
        </w:tcBorders>
        <w:shd w:val="clear" w:color="5B9BD5" w:fill="4F81BD" w:themeFill="accent1"/>
      </w:tcPr>
    </w:tblStylePr>
    <w:tblStylePr w:type="lastRow">
      <w:pPr>
        <w:snapToGrid/>
      </w:pPr>
      <w:rPr>
        <w:rFonts w:ascii="Arial" w:hAnsi="Arial"/>
        <w:b/>
        <w:color w:val="FFFFFF" w:themeColor="light1"/>
        <w:sz w:val="22"/>
      </w:rPr>
    </w:tblStylePr>
    <w:tblStylePr w:type="firstCol">
      <w:pPr>
        <w:snapToGrid/>
      </w:pPr>
      <w:rPr>
        <w:rFonts w:ascii="Arial" w:hAnsi="Arial"/>
        <w:b/>
        <w:color w:val="FFFFFF" w:themeColor="light1"/>
        <w:sz w:val="22"/>
      </w:rPr>
      <w:tblPr/>
      <w:tcPr>
        <w:tcBorders>
          <w:left w:val="single" w:sz="32" w:space="0" w:color="4F81BD" w:themeColor="accent1"/>
          <w:right w:val="single" w:sz="4" w:space="0" w:color="FFFFFF" w:themeColor="light1"/>
        </w:tcBorders>
      </w:tcPr>
    </w:tblStylePr>
    <w:tblStylePr w:type="lastCol">
      <w:pPr>
        <w:snapToGrid/>
      </w:pPr>
      <w:tblPr/>
      <w:tcPr>
        <w:tcBorders>
          <w:left w:val="single" w:sz="4" w:space="0" w:color="FFFFFF" w:themeColor="light1"/>
          <w:right w:val="single" w:sz="32" w:space="0" w:color="4F81BD" w:themeColor="accent1"/>
        </w:tcBorders>
      </w:tcPr>
    </w:tblStylePr>
    <w:tblStylePr w:type="band1Vert">
      <w:pPr>
        <w:snapToGrid/>
      </w:pPr>
      <w:tblPr/>
      <w:tcPr>
        <w:tcBorders>
          <w:left w:val="single" w:sz="4" w:space="0" w:color="FFFFFF" w:themeColor="light1"/>
          <w:right w:val="single" w:sz="4" w:space="0" w:color="FFFFFF" w:themeColor="light1"/>
        </w:tcBorders>
        <w:shd w:val="clear" w:color="5B9BD5" w:fill="4F81BD" w:themeFill="accent1"/>
      </w:tcPr>
    </w:tblStylePr>
    <w:tblStylePr w:type="band2Vert">
      <w:pPr>
        <w:snapToGrid/>
      </w:pPr>
      <w:tblPr/>
      <w:tcPr>
        <w:tcBorders>
          <w:left w:val="single" w:sz="4" w:space="0" w:color="FFFFFF" w:themeColor="light1"/>
          <w:right w:val="single" w:sz="4" w:space="0" w:color="FFFFFF" w:themeColor="light1"/>
        </w:tcBorders>
      </w:tcPr>
    </w:tblStylePr>
    <w:tblStylePr w:type="band1Horz">
      <w:pPr>
        <w:snapToGrid/>
      </w:pPr>
      <w:tblPr/>
      <w:tcPr>
        <w:tcBorders>
          <w:top w:val="single" w:sz="4" w:space="0" w:color="FFFFFF" w:themeColor="light1"/>
          <w:bottom w:val="single" w:sz="4" w:space="0" w:color="FFFFFF" w:themeColor="light1"/>
        </w:tcBorders>
        <w:shd w:val="clear" w:color="5B9BD5" w:fill="4F81BD" w:themeFill="accent1"/>
      </w:tcPr>
    </w:tblStylePr>
    <w:tblStylePr w:type="band2Horz">
      <w:pPr>
        <w:snapToGrid/>
      </w:pPr>
      <w:tblPr/>
      <w:tcPr>
        <w:tcBorders>
          <w:top w:val="single" w:sz="4" w:space="0" w:color="FFFFFF" w:themeColor="light1"/>
          <w:bottom w:val="single" w:sz="4" w:space="0" w:color="FFFFFF" w:themeColor="light1"/>
        </w:tcBorders>
        <w:shd w:val="clear" w:color="5B9BD5" w:fill="4F81BD" w:themeFill="accent1"/>
      </w:tc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ListTable5Dark-Accent2">
    <w:name w:val="List Table 5 Dark - Accent 2"/>
    <w:basedOn w:val="TableNormal"/>
    <w:uiPriority w:val="99"/>
    <w:qFormat/>
    <w:tblPr>
      <w:tblBorders>
        <w:top w:val="single" w:sz="32" w:space="0" w:color="D99695" w:themeColor="accent2" w:themeTint="97"/>
        <w:left w:val="single" w:sz="32" w:space="0" w:color="D99695" w:themeColor="accent2" w:themeTint="97"/>
        <w:bottom w:val="single" w:sz="32" w:space="0" w:color="D99695" w:themeColor="accent2" w:themeTint="97"/>
        <w:right w:val="single" w:sz="32" w:space="0" w:color="D99695" w:themeColor="accent2" w:themeTint="97"/>
      </w:tblBorders>
    </w:tblPr>
    <w:tblStylePr w:type="firstRow">
      <w:pPr>
        <w:snapToGrid/>
      </w:pPr>
      <w:rPr>
        <w:rFonts w:ascii="Arial" w:hAnsi="Arial"/>
        <w:b/>
        <w:color w:val="FFFFFF" w:themeColor="light1"/>
        <w:sz w:val="22"/>
      </w:rPr>
      <w:tblPr/>
      <w:tcPr>
        <w:tcBorders>
          <w:top w:val="single" w:sz="32" w:space="0" w:color="D99695" w:themeColor="accent2" w:themeTint="97"/>
          <w:bottom w:val="single" w:sz="12" w:space="0" w:color="FFFFFF" w:themeColor="light1"/>
        </w:tcBorders>
        <w:shd w:val="clear" w:color="F4B184" w:fill="D99695" w:themeFill="accent2" w:themeFillTint="97"/>
      </w:tcPr>
    </w:tblStylePr>
    <w:tblStylePr w:type="lastRow">
      <w:pPr>
        <w:snapToGrid/>
      </w:pPr>
      <w:rPr>
        <w:rFonts w:ascii="Arial" w:hAnsi="Arial"/>
        <w:b/>
        <w:color w:val="FFFFFF" w:themeColor="light1"/>
        <w:sz w:val="22"/>
      </w:rPr>
    </w:tblStylePr>
    <w:tblStylePr w:type="firstCol">
      <w:pPr>
        <w:snapToGrid/>
      </w:pPr>
      <w:rPr>
        <w:rFonts w:ascii="Arial" w:hAnsi="Arial"/>
        <w:b/>
        <w:color w:val="FFFFFF" w:themeColor="light1"/>
        <w:sz w:val="22"/>
      </w:rPr>
      <w:tblPr/>
      <w:tcPr>
        <w:tcBorders>
          <w:left w:val="single" w:sz="32" w:space="0" w:color="D99695" w:themeColor="accent2" w:themeTint="97"/>
          <w:right w:val="single" w:sz="4" w:space="0" w:color="FFFFFF" w:themeColor="light1"/>
        </w:tcBorders>
      </w:tcPr>
    </w:tblStylePr>
    <w:tblStylePr w:type="lastCol">
      <w:pPr>
        <w:snapToGrid/>
      </w:pPr>
      <w:tblPr/>
      <w:tcPr>
        <w:tcBorders>
          <w:left w:val="single" w:sz="4" w:space="0" w:color="FFFFFF" w:themeColor="light1"/>
          <w:right w:val="single" w:sz="32" w:space="0" w:color="D99695" w:themeColor="accent2" w:themeTint="97"/>
        </w:tcBorders>
      </w:tcPr>
    </w:tblStylePr>
    <w:tblStylePr w:type="band1Vert">
      <w:pPr>
        <w:snapToGrid/>
      </w:pPr>
      <w:tblPr/>
      <w:tcPr>
        <w:tcBorders>
          <w:left w:val="single" w:sz="4" w:space="0" w:color="FFFFFF" w:themeColor="light1"/>
          <w:right w:val="single" w:sz="4" w:space="0" w:color="FFFFFF" w:themeColor="light1"/>
        </w:tcBorders>
        <w:shd w:val="clear" w:color="F4B184" w:fill="D99695" w:themeFill="accent2" w:themeFillTint="97"/>
      </w:tcPr>
    </w:tblStylePr>
    <w:tblStylePr w:type="band2Vert">
      <w:pPr>
        <w:snapToGrid/>
      </w:pPr>
      <w:tblPr/>
      <w:tcPr>
        <w:tcBorders>
          <w:left w:val="single" w:sz="4" w:space="0" w:color="FFFFFF" w:themeColor="light1"/>
          <w:right w:val="single" w:sz="4" w:space="0" w:color="FFFFFF" w:themeColor="light1"/>
        </w:tcBorders>
      </w:tcPr>
    </w:tblStylePr>
    <w:tblStylePr w:type="band1Horz">
      <w:pPr>
        <w:snapToGrid/>
      </w:pPr>
      <w:tblPr/>
      <w:tcPr>
        <w:tcBorders>
          <w:top w:val="single" w:sz="4" w:space="0" w:color="FFFFFF" w:themeColor="light1"/>
          <w:bottom w:val="single" w:sz="4" w:space="0" w:color="FFFFFF" w:themeColor="light1"/>
        </w:tcBorders>
        <w:shd w:val="clear" w:color="F4B184" w:fill="D99695" w:themeFill="accent2" w:themeFillTint="97"/>
      </w:tcPr>
    </w:tblStylePr>
    <w:tblStylePr w:type="band2Horz">
      <w:pPr>
        <w:snapToGrid/>
      </w:pPr>
      <w:tblPr/>
      <w:tcPr>
        <w:tcBorders>
          <w:top w:val="single" w:sz="4" w:space="0" w:color="FFFFFF" w:themeColor="light1"/>
          <w:bottom w:val="single" w:sz="4" w:space="0" w:color="FFFFFF" w:themeColor="light1"/>
        </w:tcBorders>
        <w:shd w:val="clear" w:color="F4B184" w:fill="D99695" w:themeFill="accent2" w:themeFillTint="97"/>
      </w:tc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ListTable5Dark-Accent3">
    <w:name w:val="List Table 5 Dark - Accent 3"/>
    <w:basedOn w:val="TableNormal"/>
    <w:uiPriority w:val="99"/>
    <w:qFormat/>
    <w:tblPr>
      <w:tblBorders>
        <w:top w:val="single" w:sz="32" w:space="0" w:color="C3D69B" w:themeColor="accent3" w:themeTint="98"/>
        <w:left w:val="single" w:sz="32" w:space="0" w:color="C3D69B" w:themeColor="accent3" w:themeTint="98"/>
        <w:bottom w:val="single" w:sz="32" w:space="0" w:color="C3D69B" w:themeColor="accent3" w:themeTint="98"/>
        <w:right w:val="single" w:sz="32" w:space="0" w:color="C3D69B" w:themeColor="accent3" w:themeTint="98"/>
      </w:tblBorders>
    </w:tblPr>
    <w:tblStylePr w:type="firstRow">
      <w:pPr>
        <w:snapToGrid/>
      </w:pPr>
      <w:rPr>
        <w:rFonts w:ascii="Arial" w:hAnsi="Arial"/>
        <w:b/>
        <w:color w:val="FFFFFF" w:themeColor="light1"/>
        <w:sz w:val="22"/>
      </w:rPr>
      <w:tblPr/>
      <w:tcPr>
        <w:tcBorders>
          <w:top w:val="single" w:sz="32" w:space="0" w:color="C3D69B" w:themeColor="accent3" w:themeTint="98"/>
          <w:bottom w:val="single" w:sz="12" w:space="0" w:color="FFFFFF" w:themeColor="light1"/>
        </w:tcBorders>
        <w:shd w:val="clear" w:color="C9C9C9" w:fill="C3D69B" w:themeFill="accent3" w:themeFillTint="98"/>
      </w:tcPr>
    </w:tblStylePr>
    <w:tblStylePr w:type="lastRow">
      <w:pPr>
        <w:snapToGrid/>
      </w:pPr>
      <w:rPr>
        <w:rFonts w:ascii="Arial" w:hAnsi="Arial"/>
        <w:b/>
        <w:color w:val="FFFFFF" w:themeColor="light1"/>
        <w:sz w:val="22"/>
      </w:rPr>
    </w:tblStylePr>
    <w:tblStylePr w:type="firstCol">
      <w:pPr>
        <w:snapToGrid/>
      </w:pPr>
      <w:rPr>
        <w:rFonts w:ascii="Arial" w:hAnsi="Arial"/>
        <w:b/>
        <w:color w:val="FFFFFF" w:themeColor="light1"/>
        <w:sz w:val="22"/>
      </w:rPr>
      <w:tblPr/>
      <w:tcPr>
        <w:tcBorders>
          <w:left w:val="single" w:sz="32" w:space="0" w:color="C3D69B" w:themeColor="accent3" w:themeTint="98"/>
          <w:right w:val="single" w:sz="4" w:space="0" w:color="FFFFFF" w:themeColor="light1"/>
        </w:tcBorders>
      </w:tcPr>
    </w:tblStylePr>
    <w:tblStylePr w:type="lastCol">
      <w:pPr>
        <w:snapToGrid/>
      </w:pPr>
      <w:tblPr/>
      <w:tcPr>
        <w:tcBorders>
          <w:left w:val="single" w:sz="4" w:space="0" w:color="FFFFFF" w:themeColor="light1"/>
          <w:right w:val="single" w:sz="32" w:space="0" w:color="C3D69B" w:themeColor="accent3" w:themeTint="98"/>
        </w:tcBorders>
      </w:tcPr>
    </w:tblStylePr>
    <w:tblStylePr w:type="band1Vert">
      <w:pPr>
        <w:snapToGrid/>
      </w:pPr>
      <w:tblPr/>
      <w:tcPr>
        <w:tcBorders>
          <w:left w:val="single" w:sz="4" w:space="0" w:color="FFFFFF" w:themeColor="light1"/>
          <w:right w:val="single" w:sz="4" w:space="0" w:color="FFFFFF" w:themeColor="light1"/>
        </w:tcBorders>
        <w:shd w:val="clear" w:color="C9C9C9" w:fill="C3D69B" w:themeFill="accent3" w:themeFillTint="98"/>
      </w:tcPr>
    </w:tblStylePr>
    <w:tblStylePr w:type="band2Vert">
      <w:pPr>
        <w:snapToGrid/>
      </w:pPr>
      <w:tblPr/>
      <w:tcPr>
        <w:tcBorders>
          <w:left w:val="single" w:sz="4" w:space="0" w:color="FFFFFF" w:themeColor="light1"/>
          <w:right w:val="single" w:sz="4" w:space="0" w:color="FFFFFF" w:themeColor="light1"/>
        </w:tcBorders>
      </w:tcPr>
    </w:tblStylePr>
    <w:tblStylePr w:type="band1Horz">
      <w:pPr>
        <w:snapToGrid/>
      </w:pPr>
      <w:tblPr/>
      <w:tcPr>
        <w:tcBorders>
          <w:top w:val="single" w:sz="4" w:space="0" w:color="FFFFFF" w:themeColor="light1"/>
          <w:bottom w:val="single" w:sz="4" w:space="0" w:color="FFFFFF" w:themeColor="light1"/>
        </w:tcBorders>
        <w:shd w:val="clear" w:color="C9C9C9" w:fill="C3D69B" w:themeFill="accent3" w:themeFillTint="98"/>
      </w:tcPr>
    </w:tblStylePr>
    <w:tblStylePr w:type="band2Horz">
      <w:pPr>
        <w:snapToGrid/>
      </w:pPr>
      <w:tblPr/>
      <w:tcPr>
        <w:tcBorders>
          <w:top w:val="single" w:sz="4" w:space="0" w:color="FFFFFF" w:themeColor="light1"/>
          <w:bottom w:val="single" w:sz="4" w:space="0" w:color="FFFFFF" w:themeColor="light1"/>
        </w:tcBorders>
        <w:shd w:val="clear" w:color="C9C9C9" w:fill="C3D69B" w:themeFill="accent3" w:themeFillTint="98"/>
      </w:tc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ListTable5Dark-Accent4">
    <w:name w:val="List Table 5 Dark - Accent 4"/>
    <w:basedOn w:val="TableNormal"/>
    <w:uiPriority w:val="99"/>
    <w:qFormat/>
    <w:tblPr>
      <w:tblBorders>
        <w:top w:val="single" w:sz="32" w:space="0" w:color="B2A1C6" w:themeColor="accent4" w:themeTint="9A"/>
        <w:left w:val="single" w:sz="32" w:space="0" w:color="B2A1C6" w:themeColor="accent4" w:themeTint="9A"/>
        <w:bottom w:val="single" w:sz="32" w:space="0" w:color="B2A1C6" w:themeColor="accent4" w:themeTint="9A"/>
        <w:right w:val="single" w:sz="32" w:space="0" w:color="B2A1C6" w:themeColor="accent4" w:themeTint="9A"/>
      </w:tblBorders>
    </w:tblPr>
    <w:tblStylePr w:type="firstRow">
      <w:pPr>
        <w:snapToGrid/>
      </w:pPr>
      <w:rPr>
        <w:rFonts w:ascii="Arial" w:hAnsi="Arial"/>
        <w:b/>
        <w:color w:val="FFFFFF" w:themeColor="light1"/>
        <w:sz w:val="22"/>
      </w:rPr>
      <w:tblPr/>
      <w:tcPr>
        <w:tcBorders>
          <w:top w:val="single" w:sz="32" w:space="0" w:color="B2A1C6" w:themeColor="accent4" w:themeTint="9A"/>
          <w:bottom w:val="single" w:sz="12" w:space="0" w:color="FFFFFF" w:themeColor="light1"/>
        </w:tcBorders>
        <w:shd w:val="clear" w:color="FFD865" w:fill="B2A1C6" w:themeFill="accent4" w:themeFillTint="9A"/>
      </w:tcPr>
    </w:tblStylePr>
    <w:tblStylePr w:type="lastRow">
      <w:pPr>
        <w:snapToGrid/>
      </w:pPr>
      <w:rPr>
        <w:rFonts w:ascii="Arial" w:hAnsi="Arial"/>
        <w:b/>
        <w:color w:val="FFFFFF" w:themeColor="light1"/>
        <w:sz w:val="22"/>
      </w:rPr>
    </w:tblStylePr>
    <w:tblStylePr w:type="firstCol">
      <w:pPr>
        <w:snapToGrid/>
      </w:pPr>
      <w:rPr>
        <w:rFonts w:ascii="Arial" w:hAnsi="Arial"/>
        <w:b/>
        <w:color w:val="FFFFFF" w:themeColor="light1"/>
        <w:sz w:val="22"/>
      </w:rPr>
      <w:tblPr/>
      <w:tcPr>
        <w:tcBorders>
          <w:left w:val="single" w:sz="32" w:space="0" w:color="B2A1C6" w:themeColor="accent4" w:themeTint="9A"/>
          <w:right w:val="single" w:sz="4" w:space="0" w:color="FFFFFF" w:themeColor="light1"/>
        </w:tcBorders>
      </w:tcPr>
    </w:tblStylePr>
    <w:tblStylePr w:type="lastCol">
      <w:pPr>
        <w:snapToGrid/>
      </w:pPr>
      <w:tblPr/>
      <w:tcPr>
        <w:tcBorders>
          <w:left w:val="single" w:sz="4" w:space="0" w:color="FFFFFF" w:themeColor="light1"/>
          <w:right w:val="single" w:sz="32" w:space="0" w:color="B2A1C6" w:themeColor="accent4" w:themeTint="9A"/>
        </w:tcBorders>
      </w:tcPr>
    </w:tblStylePr>
    <w:tblStylePr w:type="band1Vert">
      <w:pPr>
        <w:snapToGrid/>
      </w:pPr>
      <w:tblPr/>
      <w:tcPr>
        <w:tcBorders>
          <w:left w:val="single" w:sz="4" w:space="0" w:color="FFFFFF" w:themeColor="light1"/>
          <w:right w:val="single" w:sz="4" w:space="0" w:color="FFFFFF" w:themeColor="light1"/>
        </w:tcBorders>
        <w:shd w:val="clear" w:color="FFD865" w:fill="B2A1C6" w:themeFill="accent4" w:themeFillTint="9A"/>
      </w:tcPr>
    </w:tblStylePr>
    <w:tblStylePr w:type="band2Vert">
      <w:pPr>
        <w:snapToGrid/>
      </w:pPr>
      <w:tblPr/>
      <w:tcPr>
        <w:tcBorders>
          <w:left w:val="single" w:sz="4" w:space="0" w:color="FFFFFF" w:themeColor="light1"/>
          <w:right w:val="single" w:sz="4" w:space="0" w:color="FFFFFF" w:themeColor="light1"/>
        </w:tcBorders>
      </w:tcPr>
    </w:tblStylePr>
    <w:tblStylePr w:type="band1Horz">
      <w:pPr>
        <w:snapToGrid/>
      </w:pPr>
      <w:tblPr/>
      <w:tcPr>
        <w:tcBorders>
          <w:top w:val="single" w:sz="4" w:space="0" w:color="FFFFFF" w:themeColor="light1"/>
          <w:bottom w:val="single" w:sz="4" w:space="0" w:color="FFFFFF" w:themeColor="light1"/>
        </w:tcBorders>
        <w:shd w:val="clear" w:color="FFD865" w:fill="B2A1C6" w:themeFill="accent4" w:themeFillTint="9A"/>
      </w:tcPr>
    </w:tblStylePr>
    <w:tblStylePr w:type="band2Horz">
      <w:pPr>
        <w:snapToGrid/>
      </w:pPr>
      <w:tblPr/>
      <w:tcPr>
        <w:tcBorders>
          <w:top w:val="single" w:sz="4" w:space="0" w:color="FFFFFF" w:themeColor="light1"/>
          <w:bottom w:val="single" w:sz="4" w:space="0" w:color="FFFFFF" w:themeColor="light1"/>
        </w:tcBorders>
        <w:shd w:val="clear" w:color="FFD865" w:fill="B2A1C6" w:themeFill="accent4" w:themeFillTint="9A"/>
      </w:tc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ListTable5Dark-Accent5">
    <w:name w:val="List Table 5 Dark - Accent 5"/>
    <w:basedOn w:val="TableNormal"/>
    <w:uiPriority w:val="99"/>
    <w:qFormat/>
    <w:tblPr>
      <w:tblBorders>
        <w:top w:val="single" w:sz="32" w:space="0" w:color="92CCDC" w:themeColor="accent5" w:themeTint="9A"/>
        <w:left w:val="single" w:sz="32" w:space="0" w:color="92CCDC" w:themeColor="accent5" w:themeTint="9A"/>
        <w:bottom w:val="single" w:sz="32" w:space="0" w:color="92CCDC" w:themeColor="accent5" w:themeTint="9A"/>
        <w:right w:val="single" w:sz="32" w:space="0" w:color="92CCDC" w:themeColor="accent5" w:themeTint="9A"/>
      </w:tblBorders>
    </w:tblPr>
    <w:tblStylePr w:type="firstRow">
      <w:pPr>
        <w:snapToGrid/>
      </w:pPr>
      <w:rPr>
        <w:rFonts w:ascii="Arial" w:hAnsi="Arial"/>
        <w:b/>
        <w:color w:val="FFFFFF" w:themeColor="light1"/>
        <w:sz w:val="22"/>
      </w:rPr>
      <w:tblPr/>
      <w:tcPr>
        <w:tcBorders>
          <w:top w:val="single" w:sz="32" w:space="0" w:color="92CCDC" w:themeColor="accent5" w:themeTint="9A"/>
          <w:bottom w:val="single" w:sz="12" w:space="0" w:color="FFFFFF" w:themeColor="light1"/>
        </w:tcBorders>
        <w:shd w:val="clear" w:color="8DA9DB" w:fill="92CCDC" w:themeFill="accent5" w:themeFillTint="9A"/>
      </w:tcPr>
    </w:tblStylePr>
    <w:tblStylePr w:type="lastRow">
      <w:pPr>
        <w:snapToGrid/>
      </w:pPr>
      <w:rPr>
        <w:rFonts w:ascii="Arial" w:hAnsi="Arial"/>
        <w:b/>
        <w:color w:val="FFFFFF" w:themeColor="light1"/>
        <w:sz w:val="22"/>
      </w:rPr>
    </w:tblStylePr>
    <w:tblStylePr w:type="firstCol">
      <w:pPr>
        <w:snapToGrid/>
      </w:pPr>
      <w:rPr>
        <w:rFonts w:ascii="Arial" w:hAnsi="Arial"/>
        <w:b/>
        <w:color w:val="FFFFFF" w:themeColor="light1"/>
        <w:sz w:val="22"/>
      </w:rPr>
      <w:tblPr/>
      <w:tcPr>
        <w:tcBorders>
          <w:left w:val="single" w:sz="32" w:space="0" w:color="92CCDC" w:themeColor="accent5" w:themeTint="9A"/>
          <w:right w:val="single" w:sz="4" w:space="0" w:color="FFFFFF" w:themeColor="light1"/>
        </w:tcBorders>
      </w:tcPr>
    </w:tblStylePr>
    <w:tblStylePr w:type="lastCol">
      <w:pPr>
        <w:snapToGrid/>
      </w:pPr>
      <w:tblPr/>
      <w:tcPr>
        <w:tcBorders>
          <w:left w:val="single" w:sz="4" w:space="0" w:color="FFFFFF" w:themeColor="light1"/>
          <w:right w:val="single" w:sz="32" w:space="0" w:color="92CCDC" w:themeColor="accent5" w:themeTint="9A"/>
        </w:tcBorders>
      </w:tcPr>
    </w:tblStylePr>
    <w:tblStylePr w:type="band1Vert">
      <w:pPr>
        <w:snapToGrid/>
      </w:pPr>
      <w:tblPr/>
      <w:tcPr>
        <w:tcBorders>
          <w:left w:val="single" w:sz="4" w:space="0" w:color="FFFFFF" w:themeColor="light1"/>
          <w:right w:val="single" w:sz="4" w:space="0" w:color="FFFFFF" w:themeColor="light1"/>
        </w:tcBorders>
        <w:shd w:val="clear" w:color="8DA9DB" w:fill="92CCDC" w:themeFill="accent5" w:themeFillTint="9A"/>
      </w:tcPr>
    </w:tblStylePr>
    <w:tblStylePr w:type="band2Vert">
      <w:pPr>
        <w:snapToGrid/>
      </w:pPr>
      <w:tblPr/>
      <w:tcPr>
        <w:tcBorders>
          <w:left w:val="single" w:sz="4" w:space="0" w:color="FFFFFF" w:themeColor="light1"/>
          <w:right w:val="single" w:sz="4" w:space="0" w:color="FFFFFF" w:themeColor="light1"/>
        </w:tcBorders>
      </w:tcPr>
    </w:tblStylePr>
    <w:tblStylePr w:type="band1Horz">
      <w:pPr>
        <w:snapToGrid/>
      </w:pPr>
      <w:tblPr/>
      <w:tcPr>
        <w:tcBorders>
          <w:top w:val="single" w:sz="4" w:space="0" w:color="FFFFFF" w:themeColor="light1"/>
          <w:bottom w:val="single" w:sz="4" w:space="0" w:color="FFFFFF" w:themeColor="light1"/>
        </w:tcBorders>
        <w:shd w:val="clear" w:color="8DA9DB" w:fill="92CCDC" w:themeFill="accent5" w:themeFillTint="9A"/>
      </w:tcPr>
    </w:tblStylePr>
    <w:tblStylePr w:type="band2Horz">
      <w:pPr>
        <w:snapToGrid/>
      </w:pPr>
      <w:tblPr/>
      <w:tcPr>
        <w:tcBorders>
          <w:top w:val="single" w:sz="4" w:space="0" w:color="FFFFFF" w:themeColor="light1"/>
          <w:bottom w:val="single" w:sz="4" w:space="0" w:color="FFFFFF" w:themeColor="light1"/>
        </w:tcBorders>
        <w:shd w:val="clear" w:color="8DA9DB" w:fill="92CCDC" w:themeFill="accent5" w:themeFillTint="9A"/>
      </w:tc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ListTable5Dark-Accent6">
    <w:name w:val="List Table 5 Dark - Accent 6"/>
    <w:basedOn w:val="TableNormal"/>
    <w:uiPriority w:val="99"/>
    <w:qFormat/>
    <w:tblPr>
      <w:tblBorders>
        <w:top w:val="single" w:sz="32" w:space="0" w:color="FAC090" w:themeColor="accent6" w:themeTint="98"/>
        <w:left w:val="single" w:sz="32" w:space="0" w:color="FAC090" w:themeColor="accent6" w:themeTint="98"/>
        <w:bottom w:val="single" w:sz="32" w:space="0" w:color="FAC090" w:themeColor="accent6" w:themeTint="98"/>
        <w:right w:val="single" w:sz="32" w:space="0" w:color="FAC090" w:themeColor="accent6" w:themeTint="98"/>
      </w:tblBorders>
    </w:tblPr>
    <w:tblStylePr w:type="firstRow">
      <w:pPr>
        <w:snapToGrid/>
      </w:pPr>
      <w:rPr>
        <w:rFonts w:ascii="Arial" w:hAnsi="Arial"/>
        <w:b/>
        <w:color w:val="FFFFFF" w:themeColor="light1"/>
        <w:sz w:val="22"/>
      </w:rPr>
      <w:tblPr/>
      <w:tcPr>
        <w:tcBorders>
          <w:top w:val="single" w:sz="32" w:space="0" w:color="FAC090" w:themeColor="accent6" w:themeTint="98"/>
          <w:bottom w:val="single" w:sz="12" w:space="0" w:color="FFFFFF" w:themeColor="light1"/>
        </w:tcBorders>
        <w:shd w:val="clear" w:color="A9D08E" w:fill="FAC090" w:themeFill="accent6" w:themeFillTint="98"/>
      </w:tcPr>
    </w:tblStylePr>
    <w:tblStylePr w:type="lastRow">
      <w:pPr>
        <w:snapToGrid/>
      </w:pPr>
      <w:rPr>
        <w:rFonts w:ascii="Arial" w:hAnsi="Arial"/>
        <w:b/>
        <w:color w:val="FFFFFF" w:themeColor="light1"/>
        <w:sz w:val="22"/>
      </w:rPr>
    </w:tblStylePr>
    <w:tblStylePr w:type="firstCol">
      <w:pPr>
        <w:snapToGrid/>
      </w:pPr>
      <w:rPr>
        <w:rFonts w:ascii="Arial" w:hAnsi="Arial"/>
        <w:b/>
        <w:color w:val="FFFFFF" w:themeColor="light1"/>
        <w:sz w:val="22"/>
      </w:rPr>
      <w:tblPr/>
      <w:tcPr>
        <w:tcBorders>
          <w:left w:val="single" w:sz="32" w:space="0" w:color="FAC090" w:themeColor="accent6" w:themeTint="98"/>
          <w:right w:val="single" w:sz="4" w:space="0" w:color="FFFFFF" w:themeColor="light1"/>
        </w:tcBorders>
      </w:tcPr>
    </w:tblStylePr>
    <w:tblStylePr w:type="lastCol">
      <w:pPr>
        <w:snapToGrid/>
      </w:pPr>
      <w:tblPr/>
      <w:tcPr>
        <w:tcBorders>
          <w:left w:val="single" w:sz="4" w:space="0" w:color="FFFFFF" w:themeColor="light1"/>
          <w:right w:val="single" w:sz="32" w:space="0" w:color="FAC090" w:themeColor="accent6" w:themeTint="98"/>
        </w:tcBorders>
      </w:tcPr>
    </w:tblStylePr>
    <w:tblStylePr w:type="band1Vert">
      <w:pPr>
        <w:snapToGrid/>
      </w:pPr>
      <w:tblPr/>
      <w:tcPr>
        <w:tcBorders>
          <w:left w:val="single" w:sz="4" w:space="0" w:color="FFFFFF" w:themeColor="light1"/>
          <w:right w:val="single" w:sz="4" w:space="0" w:color="FFFFFF" w:themeColor="light1"/>
        </w:tcBorders>
        <w:shd w:val="clear" w:color="A9D08E" w:fill="FAC090" w:themeFill="accent6" w:themeFillTint="98"/>
      </w:tcPr>
    </w:tblStylePr>
    <w:tblStylePr w:type="band2Vert">
      <w:pPr>
        <w:snapToGrid/>
      </w:pPr>
      <w:tblPr/>
      <w:tcPr>
        <w:tcBorders>
          <w:left w:val="single" w:sz="4" w:space="0" w:color="FFFFFF" w:themeColor="light1"/>
          <w:right w:val="single" w:sz="4" w:space="0" w:color="FFFFFF" w:themeColor="light1"/>
        </w:tcBorders>
      </w:tcPr>
    </w:tblStylePr>
    <w:tblStylePr w:type="band1Horz">
      <w:pPr>
        <w:snapToGrid/>
      </w:pPr>
      <w:tblPr/>
      <w:tcPr>
        <w:tcBorders>
          <w:top w:val="single" w:sz="4" w:space="0" w:color="FFFFFF" w:themeColor="light1"/>
          <w:bottom w:val="single" w:sz="4" w:space="0" w:color="FFFFFF" w:themeColor="light1"/>
        </w:tcBorders>
        <w:shd w:val="clear" w:color="A9D08E" w:fill="FAC090" w:themeFill="accent6" w:themeFillTint="98"/>
      </w:tcPr>
    </w:tblStylePr>
    <w:tblStylePr w:type="band2Horz">
      <w:pPr>
        <w:snapToGrid/>
      </w:pPr>
      <w:tblPr/>
      <w:tcPr>
        <w:tcBorders>
          <w:top w:val="single" w:sz="4" w:space="0" w:color="FFFFFF" w:themeColor="light1"/>
          <w:bottom w:val="single" w:sz="4" w:space="0" w:color="FFFFFF" w:themeColor="light1"/>
        </w:tcBorders>
        <w:shd w:val="clear" w:color="A9D08E" w:fill="FAC090" w:themeFill="accent6" w:themeFillTint="98"/>
      </w:tc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6101">
    <w:name w:val="清单表 6 彩色1_0"/>
    <w:basedOn w:val="TableNormal"/>
    <w:uiPriority w:val="99"/>
    <w:qFormat/>
    <w:tblPr>
      <w:tblBorders>
        <w:top w:val="single" w:sz="4" w:space="0" w:color="7F7F7F" w:themeColor="text1" w:themeTint="80"/>
        <w:bottom w:val="single" w:sz="4" w:space="0" w:color="7F7F7F" w:themeColor="text1" w:themeTint="80"/>
      </w:tblBorders>
    </w:tblPr>
    <w:tblStylePr w:type="firstRow">
      <w:pPr>
        <w:snapToGrid/>
      </w:pPr>
      <w:rPr>
        <w:b/>
        <w:color w:val="000000" w:themeColor="text1"/>
      </w:rPr>
      <w:tblPr/>
      <w:tcPr>
        <w:tcBorders>
          <w:bottom w:val="single" w:sz="4" w:space="0" w:color="7F7F7F" w:themeColor="text1" w:themeTint="80"/>
        </w:tcBorders>
      </w:tcPr>
    </w:tblStylePr>
    <w:tblStylePr w:type="lastRow">
      <w:pPr>
        <w:snapToGrid/>
      </w:pPr>
      <w:rPr>
        <w:b/>
        <w:color w:val="000000" w:themeColor="text1"/>
      </w:rPr>
      <w:tblPr/>
      <w:tcPr>
        <w:tcBorders>
          <w:top w:val="single" w:sz="4" w:space="0" w:color="7F7F7F" w:themeColor="text1" w:themeTint="80"/>
        </w:tcBorders>
      </w:tcPr>
    </w:tblStylePr>
    <w:tblStylePr w:type="firstCol">
      <w:pPr>
        <w:snapToGrid/>
      </w:pPr>
      <w:rPr>
        <w:b/>
        <w:color w:val="000000" w:themeColor="text1"/>
      </w:rPr>
    </w:tblStylePr>
    <w:tblStylePr w:type="lastCol">
      <w:pPr>
        <w:snapToGrid/>
      </w:pPr>
      <w:rPr>
        <w:b/>
        <w:color w:val="000000" w:themeColor="text1"/>
      </w:rPr>
    </w:tblStylePr>
    <w:tblStylePr w:type="band1Vert">
      <w:pPr>
        <w:snapToGrid/>
      </w:pPr>
      <w:tblPr/>
      <w:tcPr>
        <w:shd w:val="clear" w:color="BFBFBF" w:fill="BFBFBF" w:themeFill="text1" w:themeFillTint="40"/>
      </w:tcPr>
    </w:tblStylePr>
    <w:tblStylePr w:type="band2Vert">
      <w:pPr>
        <w:snapToGrid/>
      </w:pPr>
    </w:tblStylePr>
    <w:tblStylePr w:type="band1Horz">
      <w:pPr>
        <w:snapToGrid/>
      </w:pPr>
      <w:rPr>
        <w:rFonts w:ascii="Arial" w:hAnsi="Arial"/>
        <w:color w:val="000000" w:themeColor="text1"/>
        <w:sz w:val="22"/>
      </w:rPr>
      <w:tblPr/>
      <w:tcPr>
        <w:shd w:val="clear" w:color="BFBFBF" w:fill="BFBFBF" w:themeFill="text1" w:themeFillTint="40"/>
      </w:tcPr>
    </w:tblStylePr>
    <w:tblStylePr w:type="band2Horz">
      <w:pPr>
        <w:snapToGrid/>
      </w:pPr>
      <w:rPr>
        <w:rFonts w:ascii="Arial" w:hAnsi="Arial"/>
        <w:color w:val="000000" w:themeColor="text1"/>
        <w:sz w:val="22"/>
      </w:r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ListTable6Colorful-Accent1">
    <w:name w:val="List Table 6 Colorful - Accent 1"/>
    <w:basedOn w:val="TableNormal"/>
    <w:uiPriority w:val="99"/>
    <w:qFormat/>
    <w:tblPr>
      <w:tblBorders>
        <w:top w:val="single" w:sz="4" w:space="0" w:color="4F81BD" w:themeColor="accent1"/>
        <w:bottom w:val="single" w:sz="4" w:space="0" w:color="4F81BD" w:themeColor="accent1"/>
      </w:tblBorders>
    </w:tblPr>
    <w:tblStylePr w:type="firstRow">
      <w:pPr>
        <w:snapToGrid/>
      </w:pPr>
      <w:rPr>
        <w:b/>
        <w:color w:val="2A4A70" w:themeColor="accent1" w:themeShade="94"/>
      </w:rPr>
      <w:tblPr/>
      <w:tcPr>
        <w:tcBorders>
          <w:bottom w:val="single" w:sz="4" w:space="0" w:color="4F81BD" w:themeColor="accent1"/>
        </w:tcBorders>
      </w:tcPr>
    </w:tblStylePr>
    <w:tblStylePr w:type="lastRow">
      <w:pPr>
        <w:snapToGrid/>
      </w:pPr>
      <w:rPr>
        <w:b/>
        <w:color w:val="2A4A70" w:themeColor="accent1" w:themeShade="94"/>
      </w:rPr>
      <w:tblPr/>
      <w:tcPr>
        <w:tcBorders>
          <w:top w:val="single" w:sz="4" w:space="0" w:color="4F81BD" w:themeColor="accent1"/>
        </w:tcBorders>
      </w:tcPr>
    </w:tblStylePr>
    <w:tblStylePr w:type="firstCol">
      <w:pPr>
        <w:snapToGrid/>
      </w:pPr>
      <w:rPr>
        <w:b/>
        <w:color w:val="2A4A70" w:themeColor="accent1" w:themeShade="94"/>
      </w:rPr>
    </w:tblStylePr>
    <w:tblStylePr w:type="lastCol">
      <w:pPr>
        <w:snapToGrid/>
      </w:pPr>
      <w:rPr>
        <w:b/>
        <w:color w:val="2A4A70" w:themeColor="accent1" w:themeShade="94"/>
      </w:rPr>
    </w:tblStylePr>
    <w:tblStylePr w:type="band1Vert">
      <w:pPr>
        <w:snapToGrid/>
      </w:pPr>
      <w:tblPr/>
      <w:tcPr>
        <w:shd w:val="clear" w:color="D5E5F4" w:fill="D2DFEE" w:themeFill="accent1" w:themeFillTint="40"/>
      </w:tcPr>
    </w:tblStylePr>
    <w:tblStylePr w:type="band2Vert">
      <w:pPr>
        <w:snapToGrid/>
      </w:pPr>
    </w:tblStylePr>
    <w:tblStylePr w:type="band1Horz">
      <w:pPr>
        <w:snapToGrid/>
      </w:pPr>
      <w:rPr>
        <w:rFonts w:ascii="Arial" w:hAnsi="Arial"/>
        <w:color w:val="2A4A70" w:themeColor="accent1" w:themeShade="94"/>
        <w:sz w:val="22"/>
      </w:rPr>
      <w:tblPr/>
      <w:tcPr>
        <w:shd w:val="clear" w:color="D5E5F4" w:fill="D2DFEE" w:themeFill="accent1" w:themeFillTint="40"/>
      </w:tcPr>
    </w:tblStylePr>
    <w:tblStylePr w:type="band2Horz">
      <w:pPr>
        <w:snapToGrid/>
      </w:pPr>
      <w:rPr>
        <w:rFonts w:ascii="Arial" w:hAnsi="Arial"/>
        <w:color w:val="2A4A70" w:themeColor="accent1" w:themeShade="94"/>
        <w:sz w:val="22"/>
      </w:r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ListTable6Colorful-Accent2">
    <w:name w:val="List Table 6 Colorful - Accent 2"/>
    <w:basedOn w:val="TableNormal"/>
    <w:uiPriority w:val="99"/>
    <w:qFormat/>
    <w:tblPr>
      <w:tblBorders>
        <w:top w:val="single" w:sz="4" w:space="0" w:color="D99695" w:themeColor="accent2" w:themeTint="97"/>
        <w:bottom w:val="single" w:sz="4" w:space="0" w:color="D99695" w:themeColor="accent2" w:themeTint="97"/>
      </w:tblBorders>
    </w:tblPr>
    <w:tblStylePr w:type="firstRow">
      <w:pPr>
        <w:snapToGrid/>
      </w:pPr>
      <w:rPr>
        <w:b/>
        <w:color w:val="DA9796" w:themeColor="accent2" w:themeTint="96"/>
      </w:rPr>
      <w:tblPr/>
      <w:tcPr>
        <w:tcBorders>
          <w:bottom w:val="single" w:sz="4" w:space="0" w:color="D99695" w:themeColor="accent2" w:themeTint="97"/>
        </w:tcBorders>
      </w:tcPr>
    </w:tblStylePr>
    <w:tblStylePr w:type="lastRow">
      <w:pPr>
        <w:snapToGrid/>
      </w:pPr>
      <w:rPr>
        <w:b/>
        <w:color w:val="DA9796" w:themeColor="accent2" w:themeTint="96"/>
      </w:rPr>
      <w:tblPr/>
      <w:tcPr>
        <w:tcBorders>
          <w:top w:val="single" w:sz="4" w:space="0" w:color="D99695" w:themeColor="accent2" w:themeTint="97"/>
        </w:tcBorders>
      </w:tcPr>
    </w:tblStylePr>
    <w:tblStylePr w:type="firstCol">
      <w:pPr>
        <w:snapToGrid/>
      </w:pPr>
      <w:rPr>
        <w:b/>
        <w:color w:val="DA9796" w:themeColor="accent2" w:themeTint="96"/>
      </w:rPr>
    </w:tblStylePr>
    <w:tblStylePr w:type="lastCol">
      <w:pPr>
        <w:snapToGrid/>
      </w:pPr>
      <w:rPr>
        <w:b/>
        <w:color w:val="DA9796" w:themeColor="accent2" w:themeTint="96"/>
      </w:rPr>
    </w:tblStylePr>
    <w:tblStylePr w:type="band1Vert">
      <w:pPr>
        <w:snapToGrid/>
      </w:pPr>
      <w:tblPr/>
      <w:tcPr>
        <w:shd w:val="clear" w:color="FADECB" w:fill="EFD2D2" w:themeFill="accent2" w:themeFillTint="40"/>
      </w:tcPr>
    </w:tblStylePr>
    <w:tblStylePr w:type="band2Vert">
      <w:pPr>
        <w:snapToGrid/>
      </w:pPr>
    </w:tblStylePr>
    <w:tblStylePr w:type="band1Horz">
      <w:pPr>
        <w:snapToGrid/>
      </w:pPr>
      <w:rPr>
        <w:rFonts w:ascii="Arial" w:hAnsi="Arial"/>
        <w:color w:val="DA9796" w:themeColor="accent2" w:themeTint="96"/>
        <w:sz w:val="22"/>
      </w:rPr>
      <w:tblPr/>
      <w:tcPr>
        <w:shd w:val="clear" w:color="FADECB" w:fill="EFD2D2" w:themeFill="accent2" w:themeFillTint="40"/>
      </w:tcPr>
    </w:tblStylePr>
    <w:tblStylePr w:type="band2Horz">
      <w:pPr>
        <w:snapToGrid/>
      </w:pPr>
      <w:rPr>
        <w:rFonts w:ascii="Arial" w:hAnsi="Arial"/>
        <w:color w:val="DA9796" w:themeColor="accent2" w:themeTint="96"/>
        <w:sz w:val="22"/>
      </w:r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ListTable6Colorful-Accent3">
    <w:name w:val="List Table 6 Colorful - Accent 3"/>
    <w:basedOn w:val="TableNormal"/>
    <w:uiPriority w:val="99"/>
    <w:qFormat/>
    <w:tblPr>
      <w:tblBorders>
        <w:top w:val="single" w:sz="4" w:space="0" w:color="C3D69B" w:themeColor="accent3" w:themeTint="98"/>
        <w:bottom w:val="single" w:sz="4" w:space="0" w:color="C3D69B" w:themeColor="accent3" w:themeTint="98"/>
      </w:tblBorders>
    </w:tblPr>
    <w:tblStylePr w:type="firstRow">
      <w:pPr>
        <w:snapToGrid/>
      </w:pPr>
      <w:rPr>
        <w:b/>
        <w:color w:val="C2D69B" w:themeColor="accent3" w:themeTint="99"/>
      </w:rPr>
      <w:tblPr/>
      <w:tcPr>
        <w:tcBorders>
          <w:bottom w:val="single" w:sz="4" w:space="0" w:color="C3D69B" w:themeColor="accent3" w:themeTint="98"/>
        </w:tcBorders>
      </w:tcPr>
    </w:tblStylePr>
    <w:tblStylePr w:type="lastRow">
      <w:pPr>
        <w:snapToGrid/>
      </w:pPr>
      <w:rPr>
        <w:b/>
        <w:color w:val="C2D69B" w:themeColor="accent3" w:themeTint="99"/>
      </w:rPr>
      <w:tblPr/>
      <w:tcPr>
        <w:tcBorders>
          <w:top w:val="single" w:sz="4" w:space="0" w:color="C3D69B" w:themeColor="accent3" w:themeTint="98"/>
        </w:tcBorders>
      </w:tcPr>
    </w:tblStylePr>
    <w:tblStylePr w:type="firstCol">
      <w:pPr>
        <w:snapToGrid/>
      </w:pPr>
      <w:rPr>
        <w:b/>
        <w:color w:val="C2D69B" w:themeColor="accent3" w:themeTint="99"/>
      </w:rPr>
    </w:tblStylePr>
    <w:tblStylePr w:type="lastCol">
      <w:pPr>
        <w:snapToGrid/>
      </w:pPr>
      <w:rPr>
        <w:b/>
        <w:color w:val="C2D69B" w:themeColor="accent3" w:themeTint="99"/>
      </w:rPr>
    </w:tblStylePr>
    <w:tblStylePr w:type="band1Vert">
      <w:pPr>
        <w:snapToGrid/>
      </w:pPr>
      <w:tblPr/>
      <w:tcPr>
        <w:shd w:val="clear" w:color="E8E8E8" w:fill="E5EED5" w:themeFill="accent3" w:themeFillTint="40"/>
      </w:tcPr>
    </w:tblStylePr>
    <w:tblStylePr w:type="band2Vert">
      <w:pPr>
        <w:snapToGrid/>
      </w:pPr>
    </w:tblStylePr>
    <w:tblStylePr w:type="band1Horz">
      <w:pPr>
        <w:snapToGrid/>
      </w:pPr>
      <w:rPr>
        <w:rFonts w:ascii="Arial" w:hAnsi="Arial"/>
        <w:color w:val="C2D69B" w:themeColor="accent3" w:themeTint="99"/>
        <w:sz w:val="22"/>
      </w:rPr>
      <w:tblPr/>
      <w:tcPr>
        <w:shd w:val="clear" w:color="E8E8E8" w:fill="E5EED5" w:themeFill="accent3" w:themeFillTint="40"/>
      </w:tcPr>
    </w:tblStylePr>
    <w:tblStylePr w:type="band2Horz">
      <w:pPr>
        <w:snapToGrid/>
      </w:pPr>
      <w:rPr>
        <w:rFonts w:ascii="Arial" w:hAnsi="Arial"/>
        <w:color w:val="C2D69B" w:themeColor="accent3" w:themeTint="99"/>
        <w:sz w:val="22"/>
      </w:r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ListTable6Colorful-Accent4">
    <w:name w:val="List Table 6 Colorful - Accent 4"/>
    <w:basedOn w:val="TableNormal"/>
    <w:uiPriority w:val="99"/>
    <w:qFormat/>
    <w:tblPr>
      <w:tblBorders>
        <w:top w:val="single" w:sz="4" w:space="0" w:color="B2A1C6" w:themeColor="accent4" w:themeTint="9A"/>
        <w:bottom w:val="single" w:sz="4" w:space="0" w:color="B2A1C6" w:themeColor="accent4" w:themeTint="9A"/>
      </w:tblBorders>
    </w:tblPr>
    <w:tblStylePr w:type="firstRow">
      <w:pPr>
        <w:snapToGrid/>
      </w:pPr>
      <w:rPr>
        <w:b/>
        <w:color w:val="B2A1C7" w:themeColor="accent4" w:themeTint="99"/>
      </w:rPr>
      <w:tblPr/>
      <w:tcPr>
        <w:tcBorders>
          <w:bottom w:val="single" w:sz="4" w:space="0" w:color="B2A1C6" w:themeColor="accent4" w:themeTint="9A"/>
        </w:tcBorders>
      </w:tcPr>
    </w:tblStylePr>
    <w:tblStylePr w:type="lastRow">
      <w:pPr>
        <w:snapToGrid/>
      </w:pPr>
      <w:rPr>
        <w:b/>
        <w:color w:val="B2A1C7" w:themeColor="accent4" w:themeTint="99"/>
      </w:rPr>
      <w:tblPr/>
      <w:tcPr>
        <w:tcBorders>
          <w:top w:val="single" w:sz="4" w:space="0" w:color="B2A1C6" w:themeColor="accent4" w:themeTint="9A"/>
        </w:tcBorders>
      </w:tcPr>
    </w:tblStylePr>
    <w:tblStylePr w:type="firstCol">
      <w:pPr>
        <w:snapToGrid/>
      </w:pPr>
      <w:rPr>
        <w:b/>
        <w:color w:val="B2A1C7" w:themeColor="accent4" w:themeTint="99"/>
      </w:rPr>
    </w:tblStylePr>
    <w:tblStylePr w:type="lastCol">
      <w:pPr>
        <w:snapToGrid/>
      </w:pPr>
      <w:rPr>
        <w:b/>
        <w:color w:val="B2A1C7" w:themeColor="accent4" w:themeTint="99"/>
      </w:rPr>
    </w:tblStylePr>
    <w:tblStylePr w:type="band1Vert">
      <w:pPr>
        <w:snapToGrid/>
      </w:pPr>
      <w:tblPr/>
      <w:tcPr>
        <w:shd w:val="clear" w:color="FFEFBF" w:fill="DFD8E7" w:themeFill="accent4" w:themeFillTint="40"/>
      </w:tcPr>
    </w:tblStylePr>
    <w:tblStylePr w:type="band2Vert">
      <w:pPr>
        <w:snapToGrid/>
      </w:pPr>
    </w:tblStylePr>
    <w:tblStylePr w:type="band1Horz">
      <w:pPr>
        <w:snapToGrid/>
      </w:pPr>
      <w:rPr>
        <w:rFonts w:ascii="Arial" w:hAnsi="Arial"/>
        <w:color w:val="B2A1C7" w:themeColor="accent4" w:themeTint="99"/>
        <w:sz w:val="22"/>
      </w:rPr>
      <w:tblPr/>
      <w:tcPr>
        <w:shd w:val="clear" w:color="FFEFBF" w:fill="DFD8E7" w:themeFill="accent4" w:themeFillTint="40"/>
      </w:tcPr>
    </w:tblStylePr>
    <w:tblStylePr w:type="band2Horz">
      <w:pPr>
        <w:snapToGrid/>
      </w:pPr>
      <w:rPr>
        <w:rFonts w:ascii="Arial" w:hAnsi="Arial"/>
        <w:color w:val="B2A1C7" w:themeColor="accent4" w:themeTint="99"/>
        <w:sz w:val="22"/>
      </w:r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ListTable6Colorful-Accent5">
    <w:name w:val="List Table 6 Colorful - Accent 5"/>
    <w:basedOn w:val="TableNormal"/>
    <w:uiPriority w:val="99"/>
    <w:qFormat/>
    <w:tblPr>
      <w:tblBorders>
        <w:top w:val="single" w:sz="4" w:space="0" w:color="92CCDC" w:themeColor="accent5" w:themeTint="9A"/>
        <w:bottom w:val="single" w:sz="4" w:space="0" w:color="92CCDC" w:themeColor="accent5" w:themeTint="9A"/>
      </w:tblBorders>
    </w:tblPr>
    <w:tblStylePr w:type="firstRow">
      <w:pPr>
        <w:snapToGrid/>
      </w:pPr>
      <w:rPr>
        <w:b/>
        <w:color w:val="92CDDC" w:themeColor="accent5" w:themeTint="99"/>
      </w:rPr>
      <w:tblPr/>
      <w:tcPr>
        <w:tcBorders>
          <w:bottom w:val="single" w:sz="4" w:space="0" w:color="92CCDC" w:themeColor="accent5" w:themeTint="9A"/>
        </w:tcBorders>
      </w:tcPr>
    </w:tblStylePr>
    <w:tblStylePr w:type="lastRow">
      <w:pPr>
        <w:snapToGrid/>
      </w:pPr>
      <w:rPr>
        <w:b/>
        <w:color w:val="92CDDC" w:themeColor="accent5" w:themeTint="99"/>
      </w:rPr>
      <w:tblPr/>
      <w:tcPr>
        <w:tcBorders>
          <w:top w:val="single" w:sz="4" w:space="0" w:color="92CCDC" w:themeColor="accent5" w:themeTint="9A"/>
        </w:tcBorders>
      </w:tcPr>
    </w:tblStylePr>
    <w:tblStylePr w:type="firstCol">
      <w:pPr>
        <w:snapToGrid/>
      </w:pPr>
      <w:rPr>
        <w:b/>
        <w:color w:val="92CDDC" w:themeColor="accent5" w:themeTint="99"/>
      </w:rPr>
    </w:tblStylePr>
    <w:tblStylePr w:type="lastCol">
      <w:pPr>
        <w:snapToGrid/>
      </w:pPr>
      <w:rPr>
        <w:b/>
        <w:color w:val="92CDDC" w:themeColor="accent5" w:themeTint="99"/>
      </w:rPr>
    </w:tblStylePr>
    <w:tblStylePr w:type="band1Vert">
      <w:pPr>
        <w:snapToGrid/>
      </w:pPr>
      <w:tblPr/>
      <w:tcPr>
        <w:shd w:val="clear" w:color="CFDBF0" w:fill="D1EAF0" w:themeFill="accent5" w:themeFillTint="40"/>
      </w:tcPr>
    </w:tblStylePr>
    <w:tblStylePr w:type="band2Vert">
      <w:pPr>
        <w:snapToGrid/>
      </w:pPr>
    </w:tblStylePr>
    <w:tblStylePr w:type="band1Horz">
      <w:pPr>
        <w:snapToGrid/>
      </w:pPr>
      <w:rPr>
        <w:rFonts w:ascii="Arial" w:hAnsi="Arial"/>
        <w:color w:val="92CDDC" w:themeColor="accent5" w:themeTint="99"/>
        <w:sz w:val="22"/>
      </w:rPr>
      <w:tblPr/>
      <w:tcPr>
        <w:shd w:val="clear" w:color="CFDBF0" w:fill="D1EAF0" w:themeFill="accent5" w:themeFillTint="40"/>
      </w:tcPr>
    </w:tblStylePr>
    <w:tblStylePr w:type="band2Horz">
      <w:pPr>
        <w:snapToGrid/>
      </w:pPr>
      <w:rPr>
        <w:rFonts w:ascii="Arial" w:hAnsi="Arial"/>
        <w:color w:val="92CDDC" w:themeColor="accent5" w:themeTint="99"/>
        <w:sz w:val="22"/>
      </w:r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ListTable6Colorful-Accent6">
    <w:name w:val="List Table 6 Colorful - Accent 6"/>
    <w:basedOn w:val="TableNormal"/>
    <w:uiPriority w:val="99"/>
    <w:qFormat/>
    <w:tblPr>
      <w:tblBorders>
        <w:top w:val="single" w:sz="4" w:space="0" w:color="FAC090" w:themeColor="accent6" w:themeTint="98"/>
        <w:bottom w:val="single" w:sz="4" w:space="0" w:color="FAC090" w:themeColor="accent6" w:themeTint="98"/>
      </w:tblBorders>
    </w:tblPr>
    <w:tblStylePr w:type="firstRow">
      <w:pPr>
        <w:snapToGrid/>
      </w:pPr>
      <w:rPr>
        <w:b/>
        <w:color w:val="FABF8F" w:themeColor="accent6" w:themeTint="99"/>
      </w:rPr>
      <w:tblPr/>
      <w:tcPr>
        <w:tcBorders>
          <w:bottom w:val="single" w:sz="4" w:space="0" w:color="FAC090" w:themeColor="accent6" w:themeTint="98"/>
        </w:tcBorders>
      </w:tcPr>
    </w:tblStylePr>
    <w:tblStylePr w:type="lastRow">
      <w:pPr>
        <w:snapToGrid/>
      </w:pPr>
      <w:rPr>
        <w:b/>
        <w:color w:val="FABF8F" w:themeColor="accent6" w:themeTint="99"/>
      </w:rPr>
      <w:tblPr/>
      <w:tcPr>
        <w:tcBorders>
          <w:top w:val="single" w:sz="4" w:space="0" w:color="FAC090" w:themeColor="accent6" w:themeTint="98"/>
        </w:tcBorders>
      </w:tcPr>
    </w:tblStylePr>
    <w:tblStylePr w:type="firstCol">
      <w:pPr>
        <w:snapToGrid/>
      </w:pPr>
      <w:rPr>
        <w:b/>
        <w:color w:val="FABF8F" w:themeColor="accent6" w:themeTint="99"/>
      </w:rPr>
    </w:tblStylePr>
    <w:tblStylePr w:type="lastCol">
      <w:pPr>
        <w:snapToGrid/>
      </w:pPr>
      <w:rPr>
        <w:b/>
        <w:color w:val="FABF8F" w:themeColor="accent6" w:themeTint="99"/>
      </w:rPr>
    </w:tblStylePr>
    <w:tblStylePr w:type="band1Vert">
      <w:pPr>
        <w:snapToGrid/>
      </w:pPr>
      <w:tblPr/>
      <w:tcPr>
        <w:shd w:val="clear" w:color="DAEBCF" w:fill="FDE4D0" w:themeFill="accent6" w:themeFillTint="40"/>
      </w:tcPr>
    </w:tblStylePr>
    <w:tblStylePr w:type="band2Vert">
      <w:pPr>
        <w:snapToGrid/>
      </w:pPr>
    </w:tblStylePr>
    <w:tblStylePr w:type="band1Horz">
      <w:pPr>
        <w:snapToGrid/>
      </w:pPr>
      <w:rPr>
        <w:rFonts w:ascii="Arial" w:hAnsi="Arial"/>
        <w:color w:val="FABF8F" w:themeColor="accent6" w:themeTint="99"/>
        <w:sz w:val="22"/>
      </w:rPr>
      <w:tblPr/>
      <w:tcPr>
        <w:shd w:val="clear" w:color="DAEBCF" w:fill="FDE4D0" w:themeFill="accent6" w:themeFillTint="40"/>
      </w:tcPr>
    </w:tblStylePr>
    <w:tblStylePr w:type="band2Horz">
      <w:pPr>
        <w:snapToGrid/>
      </w:pPr>
      <w:rPr>
        <w:rFonts w:ascii="Arial" w:hAnsi="Arial"/>
        <w:color w:val="FABF8F" w:themeColor="accent6" w:themeTint="99"/>
        <w:sz w:val="22"/>
      </w:r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7101">
    <w:name w:val="清单表 7 彩色1_0"/>
    <w:basedOn w:val="TableNormal"/>
    <w:uiPriority w:val="99"/>
    <w:qFormat/>
    <w:tblPr>
      <w:tblBorders>
        <w:right w:val="single" w:sz="4" w:space="0" w:color="7F7F7F" w:themeColor="text1" w:themeTint="80"/>
      </w:tblBorders>
    </w:tblPr>
    <w:tblStylePr w:type="firstRow">
      <w:pPr>
        <w:snapToGrid/>
      </w:pPr>
      <w:rPr>
        <w:rFonts w:ascii="Arial" w:hAnsi="Arial"/>
        <w:i/>
        <w:color w:val="7F7F7F" w:themeColor="text1" w:themeTint="80"/>
        <w:sz w:val="22"/>
      </w:rPr>
      <w:tblPr/>
      <w:tcPr>
        <w:tcBorders>
          <w:top w:val="nil"/>
          <w:left w:val="nil"/>
          <w:bottom w:val="single" w:sz="4" w:space="0" w:color="7F7F7F" w:themeColor="text1" w:themeTint="80"/>
          <w:right w:val="nil"/>
        </w:tcBorders>
        <w:shd w:val="clear" w:color="FFFFFF" w:fill="FFFFFF" w:themeFill="light1"/>
      </w:tcPr>
    </w:tblStylePr>
    <w:tblStylePr w:type="lastRow">
      <w:pPr>
        <w:snapToGrid/>
      </w:pPr>
      <w:rPr>
        <w:rFonts w:ascii="Arial" w:hAnsi="Arial"/>
        <w:i/>
        <w:color w:val="7F7F7F" w:themeColor="text1" w:themeTint="80"/>
        <w:sz w:val="22"/>
      </w:rPr>
      <w:tblPr/>
      <w:tcPr>
        <w:tcBorders>
          <w:top w:val="single" w:sz="4" w:space="0" w:color="7F7F7F" w:themeColor="text1" w:themeTint="80"/>
          <w:left w:val="nil"/>
          <w:bottom w:val="nil"/>
          <w:right w:val="nil"/>
        </w:tcBorders>
        <w:shd w:val="clear" w:color="FFFFFF" w:fill="FFFFFF" w:themeFill="light1"/>
      </w:tcPr>
    </w:tblStylePr>
    <w:tblStylePr w:type="firstCol">
      <w:pPr>
        <w:snapToGrid/>
        <w:jc w:val="right"/>
      </w:pPr>
      <w:rPr>
        <w:rFonts w:ascii="Arial" w:hAnsi="Arial"/>
        <w:i/>
        <w:color w:val="7F7F7F" w:themeColor="text1" w:themeTint="80"/>
        <w:sz w:val="22"/>
      </w:rPr>
      <w:tblPr/>
      <w:tcPr>
        <w:tcBorders>
          <w:top w:val="nil"/>
          <w:left w:val="nil"/>
          <w:bottom w:val="nil"/>
          <w:right w:val="single" w:sz="4" w:space="0" w:color="7F7F7F" w:themeColor="text1" w:themeTint="80"/>
        </w:tcBorders>
        <w:shd w:val="clear" w:color="FFFFFF" w:fill="FFFFFF"/>
      </w:tcPr>
    </w:tblStylePr>
    <w:tblStylePr w:type="lastCol">
      <w:pPr>
        <w:snapToGrid/>
      </w:pPr>
      <w:rPr>
        <w:rFonts w:ascii="Arial" w:hAnsi="Arial"/>
        <w:i/>
        <w:color w:val="7F7F7F" w:themeColor="text1" w:themeTint="80"/>
        <w:sz w:val="22"/>
      </w:rPr>
      <w:tblPr/>
      <w:tcPr>
        <w:tcBorders>
          <w:top w:val="nil"/>
          <w:left w:val="single" w:sz="4" w:space="0" w:color="7F7F7F" w:themeColor="text1" w:themeTint="80"/>
          <w:bottom w:val="nil"/>
          <w:right w:val="nil"/>
        </w:tcBorders>
        <w:shd w:val="clear" w:color="FFFFFF" w:fill="FFFFFF"/>
      </w:tcPr>
    </w:tblStylePr>
    <w:tblStylePr w:type="band1Vert">
      <w:pPr>
        <w:snapToGrid/>
      </w:pPr>
      <w:tblPr/>
      <w:tcPr>
        <w:shd w:val="clear" w:color="BFBFBF" w:fill="BFBFBF" w:themeFill="text1" w:themeFillTint="40"/>
      </w:tcPr>
    </w:tblStylePr>
    <w:tblStylePr w:type="band2Vert">
      <w:pPr>
        <w:snapToGrid/>
      </w:pPr>
    </w:tblStylePr>
    <w:tblStylePr w:type="band1Horz">
      <w:pPr>
        <w:snapToGrid/>
      </w:pPr>
      <w:rPr>
        <w:rFonts w:ascii="Arial" w:hAnsi="Arial"/>
        <w:color w:val="7F7F7F" w:themeColor="text1" w:themeTint="80"/>
        <w:sz w:val="22"/>
      </w:rPr>
      <w:tblPr/>
      <w:tcPr>
        <w:shd w:val="clear" w:color="BFBFBF" w:fill="BFBFBF" w:themeFill="text1" w:themeFillTint="40"/>
      </w:tcPr>
    </w:tblStylePr>
    <w:tblStylePr w:type="band2Horz">
      <w:pPr>
        <w:snapToGrid/>
      </w:pPr>
      <w:rPr>
        <w:rFonts w:ascii="Arial" w:hAnsi="Arial"/>
        <w:color w:val="7F7F7F" w:themeColor="text1" w:themeTint="80"/>
        <w:sz w:val="22"/>
      </w:r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ListTable7Colorful-Accent1">
    <w:name w:val="List Table 7 Colorful - Accent 1"/>
    <w:basedOn w:val="TableNormal"/>
    <w:uiPriority w:val="99"/>
    <w:qFormat/>
    <w:tblPr>
      <w:tblBorders>
        <w:right w:val="single" w:sz="4" w:space="0" w:color="4F81BD" w:themeColor="accent1"/>
      </w:tblBorders>
    </w:tblPr>
    <w:tblStylePr w:type="firstRow">
      <w:pPr>
        <w:snapToGrid/>
      </w:pPr>
      <w:rPr>
        <w:rFonts w:ascii="Arial" w:hAnsi="Arial"/>
        <w:i/>
        <w:color w:val="2A4A70" w:themeColor="accent1" w:themeShade="94"/>
        <w:sz w:val="22"/>
      </w:rPr>
      <w:tblPr/>
      <w:tcPr>
        <w:tcBorders>
          <w:top w:val="nil"/>
          <w:left w:val="nil"/>
          <w:bottom w:val="single" w:sz="4" w:space="0" w:color="4F81BD" w:themeColor="accent1"/>
          <w:right w:val="nil"/>
        </w:tcBorders>
        <w:shd w:val="clear" w:color="FFFFFF" w:fill="FFFFFF" w:themeFill="light1"/>
      </w:tcPr>
    </w:tblStylePr>
    <w:tblStylePr w:type="lastRow">
      <w:pPr>
        <w:snapToGrid/>
      </w:pPr>
      <w:rPr>
        <w:rFonts w:ascii="Arial" w:hAnsi="Arial"/>
        <w:i/>
        <w:color w:val="2A4A70" w:themeColor="accent1" w:themeShade="94"/>
        <w:sz w:val="22"/>
      </w:rPr>
      <w:tblPr/>
      <w:tcPr>
        <w:tcBorders>
          <w:top w:val="single" w:sz="4" w:space="0" w:color="4F81BD" w:themeColor="accent1"/>
          <w:left w:val="nil"/>
          <w:bottom w:val="nil"/>
          <w:right w:val="nil"/>
        </w:tcBorders>
        <w:shd w:val="clear" w:color="FFFFFF" w:fill="FFFFFF" w:themeFill="light1"/>
      </w:tcPr>
    </w:tblStylePr>
    <w:tblStylePr w:type="firstCol">
      <w:pPr>
        <w:snapToGrid/>
        <w:jc w:val="right"/>
      </w:pPr>
      <w:rPr>
        <w:rFonts w:ascii="Arial" w:hAnsi="Arial"/>
        <w:i/>
        <w:color w:val="2A4A70" w:themeColor="accent1" w:themeShade="94"/>
        <w:sz w:val="22"/>
      </w:rPr>
      <w:tblPr/>
      <w:tcPr>
        <w:tcBorders>
          <w:top w:val="nil"/>
          <w:left w:val="nil"/>
          <w:bottom w:val="nil"/>
          <w:right w:val="single" w:sz="4" w:space="0" w:color="4F81BD" w:themeColor="accent1"/>
        </w:tcBorders>
        <w:shd w:val="clear" w:color="FFFFFF" w:fill="FFFFFF"/>
      </w:tcPr>
    </w:tblStylePr>
    <w:tblStylePr w:type="lastCol">
      <w:pPr>
        <w:snapToGrid/>
      </w:pPr>
      <w:rPr>
        <w:rFonts w:ascii="Arial" w:hAnsi="Arial"/>
        <w:i/>
        <w:color w:val="2A4A70" w:themeColor="accent1" w:themeShade="94"/>
        <w:sz w:val="22"/>
      </w:rPr>
      <w:tblPr/>
      <w:tcPr>
        <w:tcBorders>
          <w:top w:val="nil"/>
          <w:left w:val="single" w:sz="4" w:space="0" w:color="4F81BD" w:themeColor="accent1"/>
          <w:bottom w:val="nil"/>
          <w:right w:val="nil"/>
        </w:tcBorders>
        <w:shd w:val="clear" w:color="FFFFFF" w:fill="FFFFFF"/>
      </w:tcPr>
    </w:tblStylePr>
    <w:tblStylePr w:type="band1Vert">
      <w:pPr>
        <w:snapToGrid/>
      </w:pPr>
      <w:tblPr/>
      <w:tcPr>
        <w:shd w:val="clear" w:color="D5E5F4" w:fill="D2DFEE" w:themeFill="accent1" w:themeFillTint="40"/>
      </w:tcPr>
    </w:tblStylePr>
    <w:tblStylePr w:type="band2Vert">
      <w:pPr>
        <w:snapToGrid/>
      </w:pPr>
    </w:tblStylePr>
    <w:tblStylePr w:type="band1Horz">
      <w:pPr>
        <w:snapToGrid/>
      </w:pPr>
      <w:rPr>
        <w:rFonts w:ascii="Arial" w:hAnsi="Arial"/>
        <w:color w:val="2A4A70" w:themeColor="accent1" w:themeShade="94"/>
        <w:sz w:val="22"/>
      </w:rPr>
      <w:tblPr/>
      <w:tcPr>
        <w:shd w:val="clear" w:color="D5E5F4" w:fill="D2DFEE" w:themeFill="accent1" w:themeFillTint="40"/>
      </w:tcPr>
    </w:tblStylePr>
    <w:tblStylePr w:type="band2Horz">
      <w:pPr>
        <w:snapToGrid/>
      </w:pPr>
      <w:rPr>
        <w:rFonts w:ascii="Arial" w:hAnsi="Arial"/>
        <w:color w:val="2A4A70" w:themeColor="accent1" w:themeShade="94"/>
        <w:sz w:val="22"/>
      </w:r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ListTable7Colorful-Accent2">
    <w:name w:val="List Table 7 Colorful - Accent 2"/>
    <w:basedOn w:val="TableNormal"/>
    <w:uiPriority w:val="99"/>
    <w:qFormat/>
    <w:tblPr>
      <w:tblBorders>
        <w:right w:val="single" w:sz="4" w:space="0" w:color="D99695" w:themeColor="accent2" w:themeTint="97"/>
      </w:tblBorders>
    </w:tblPr>
    <w:tblStylePr w:type="firstRow">
      <w:pPr>
        <w:snapToGrid/>
      </w:pPr>
      <w:rPr>
        <w:rFonts w:ascii="Arial" w:hAnsi="Arial"/>
        <w:i/>
        <w:color w:val="DA9796" w:themeColor="accent2" w:themeTint="96"/>
        <w:sz w:val="22"/>
      </w:rPr>
      <w:tblPr/>
      <w:tcPr>
        <w:tcBorders>
          <w:top w:val="nil"/>
          <w:left w:val="nil"/>
          <w:bottom w:val="single" w:sz="4" w:space="0" w:color="D99695" w:themeColor="accent2" w:themeTint="97"/>
          <w:right w:val="nil"/>
        </w:tcBorders>
        <w:shd w:val="clear" w:color="FFFFFF" w:fill="FFFFFF" w:themeFill="light1"/>
      </w:tcPr>
    </w:tblStylePr>
    <w:tblStylePr w:type="lastRow">
      <w:pPr>
        <w:snapToGrid/>
      </w:pPr>
      <w:rPr>
        <w:rFonts w:ascii="Arial" w:hAnsi="Arial"/>
        <w:i/>
        <w:color w:val="DA9796" w:themeColor="accent2" w:themeTint="96"/>
        <w:sz w:val="22"/>
      </w:rPr>
      <w:tblPr/>
      <w:tcPr>
        <w:tcBorders>
          <w:top w:val="single" w:sz="4" w:space="0" w:color="D99695" w:themeColor="accent2" w:themeTint="97"/>
          <w:left w:val="nil"/>
          <w:bottom w:val="nil"/>
          <w:right w:val="nil"/>
        </w:tcBorders>
        <w:shd w:val="clear" w:color="FFFFFF" w:fill="FFFFFF" w:themeFill="light1"/>
      </w:tcPr>
    </w:tblStylePr>
    <w:tblStylePr w:type="firstCol">
      <w:pPr>
        <w:snapToGrid/>
        <w:jc w:val="right"/>
      </w:pPr>
      <w:rPr>
        <w:rFonts w:ascii="Arial" w:hAnsi="Arial"/>
        <w:i/>
        <w:color w:val="DA9796" w:themeColor="accent2" w:themeTint="96"/>
        <w:sz w:val="22"/>
      </w:rPr>
      <w:tblPr/>
      <w:tcPr>
        <w:tcBorders>
          <w:top w:val="nil"/>
          <w:left w:val="nil"/>
          <w:bottom w:val="nil"/>
          <w:right w:val="single" w:sz="4" w:space="0" w:color="D99695" w:themeColor="accent2" w:themeTint="97"/>
        </w:tcBorders>
        <w:shd w:val="clear" w:color="FFFFFF" w:fill="FFFFFF"/>
      </w:tcPr>
    </w:tblStylePr>
    <w:tblStylePr w:type="lastCol">
      <w:pPr>
        <w:snapToGrid/>
      </w:pPr>
      <w:rPr>
        <w:rFonts w:ascii="Arial" w:hAnsi="Arial"/>
        <w:i/>
        <w:color w:val="DA9796" w:themeColor="accent2" w:themeTint="96"/>
        <w:sz w:val="22"/>
      </w:rPr>
      <w:tblPr/>
      <w:tcPr>
        <w:tcBorders>
          <w:top w:val="nil"/>
          <w:left w:val="single" w:sz="4" w:space="0" w:color="D99695" w:themeColor="accent2" w:themeTint="97"/>
          <w:bottom w:val="nil"/>
          <w:right w:val="nil"/>
        </w:tcBorders>
        <w:shd w:val="clear" w:color="FFFFFF" w:fill="FFFFFF"/>
      </w:tcPr>
    </w:tblStylePr>
    <w:tblStylePr w:type="band1Vert">
      <w:pPr>
        <w:snapToGrid/>
      </w:pPr>
      <w:tblPr/>
      <w:tcPr>
        <w:shd w:val="clear" w:color="FADECB" w:fill="EFD2D2" w:themeFill="accent2" w:themeFillTint="40"/>
      </w:tcPr>
    </w:tblStylePr>
    <w:tblStylePr w:type="band2Vert">
      <w:pPr>
        <w:snapToGrid/>
      </w:pPr>
    </w:tblStylePr>
    <w:tblStylePr w:type="band1Horz">
      <w:pPr>
        <w:snapToGrid/>
      </w:pPr>
      <w:rPr>
        <w:rFonts w:ascii="Arial" w:hAnsi="Arial"/>
        <w:color w:val="DA9796" w:themeColor="accent2" w:themeTint="96"/>
        <w:sz w:val="22"/>
      </w:rPr>
      <w:tblPr/>
      <w:tcPr>
        <w:shd w:val="clear" w:color="FADECB" w:fill="EFD2D2" w:themeFill="accent2" w:themeFillTint="40"/>
      </w:tcPr>
    </w:tblStylePr>
    <w:tblStylePr w:type="band2Horz">
      <w:pPr>
        <w:snapToGrid/>
      </w:pPr>
      <w:rPr>
        <w:rFonts w:ascii="Arial" w:hAnsi="Arial"/>
        <w:color w:val="DA9796" w:themeColor="accent2" w:themeTint="96"/>
        <w:sz w:val="22"/>
      </w:r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ListTable7Colorful-Accent3">
    <w:name w:val="List Table 7 Colorful - Accent 3"/>
    <w:basedOn w:val="TableNormal"/>
    <w:uiPriority w:val="99"/>
    <w:qFormat/>
    <w:tblPr>
      <w:tblBorders>
        <w:right w:val="single" w:sz="4" w:space="0" w:color="C3D69B" w:themeColor="accent3" w:themeTint="98"/>
      </w:tblBorders>
    </w:tblPr>
    <w:tblStylePr w:type="firstRow">
      <w:pPr>
        <w:snapToGrid/>
      </w:pPr>
      <w:rPr>
        <w:rFonts w:ascii="Arial" w:hAnsi="Arial"/>
        <w:i/>
        <w:color w:val="C2D69B" w:themeColor="accent3" w:themeTint="99"/>
        <w:sz w:val="22"/>
      </w:rPr>
      <w:tblPr/>
      <w:tcPr>
        <w:tcBorders>
          <w:top w:val="nil"/>
          <w:left w:val="nil"/>
          <w:bottom w:val="single" w:sz="4" w:space="0" w:color="C3D69B" w:themeColor="accent3" w:themeTint="98"/>
          <w:right w:val="nil"/>
        </w:tcBorders>
        <w:shd w:val="clear" w:color="FFFFFF" w:fill="FFFFFF" w:themeFill="light1"/>
      </w:tcPr>
    </w:tblStylePr>
    <w:tblStylePr w:type="lastRow">
      <w:pPr>
        <w:snapToGrid/>
      </w:pPr>
      <w:rPr>
        <w:rFonts w:ascii="Arial" w:hAnsi="Arial"/>
        <w:i/>
        <w:color w:val="C2D69B" w:themeColor="accent3" w:themeTint="99"/>
        <w:sz w:val="22"/>
      </w:rPr>
      <w:tblPr/>
      <w:tcPr>
        <w:tcBorders>
          <w:top w:val="single" w:sz="4" w:space="0" w:color="C3D69B" w:themeColor="accent3" w:themeTint="98"/>
          <w:left w:val="nil"/>
          <w:bottom w:val="nil"/>
          <w:right w:val="nil"/>
        </w:tcBorders>
        <w:shd w:val="clear" w:color="FFFFFF" w:fill="FFFFFF" w:themeFill="light1"/>
      </w:tcPr>
    </w:tblStylePr>
    <w:tblStylePr w:type="firstCol">
      <w:pPr>
        <w:snapToGrid/>
        <w:jc w:val="right"/>
      </w:pPr>
      <w:rPr>
        <w:rFonts w:ascii="Arial" w:hAnsi="Arial"/>
        <w:i/>
        <w:color w:val="C2D69B" w:themeColor="accent3" w:themeTint="99"/>
        <w:sz w:val="22"/>
      </w:rPr>
      <w:tblPr/>
      <w:tcPr>
        <w:tcBorders>
          <w:top w:val="nil"/>
          <w:left w:val="nil"/>
          <w:bottom w:val="nil"/>
          <w:right w:val="single" w:sz="4" w:space="0" w:color="C3D69B" w:themeColor="accent3" w:themeTint="98"/>
        </w:tcBorders>
        <w:shd w:val="clear" w:color="FFFFFF" w:fill="FFFFFF"/>
      </w:tcPr>
    </w:tblStylePr>
    <w:tblStylePr w:type="lastCol">
      <w:pPr>
        <w:snapToGrid/>
      </w:pPr>
      <w:rPr>
        <w:rFonts w:ascii="Arial" w:hAnsi="Arial"/>
        <w:i/>
        <w:color w:val="C2D69B" w:themeColor="accent3" w:themeTint="99"/>
        <w:sz w:val="22"/>
      </w:rPr>
      <w:tblPr/>
      <w:tcPr>
        <w:tcBorders>
          <w:top w:val="nil"/>
          <w:left w:val="single" w:sz="4" w:space="0" w:color="C3D69B" w:themeColor="accent3" w:themeTint="98"/>
          <w:bottom w:val="nil"/>
          <w:right w:val="nil"/>
        </w:tcBorders>
        <w:shd w:val="clear" w:color="FFFFFF" w:fill="FFFFFF"/>
      </w:tcPr>
    </w:tblStylePr>
    <w:tblStylePr w:type="band1Vert">
      <w:pPr>
        <w:snapToGrid/>
      </w:pPr>
      <w:tblPr/>
      <w:tcPr>
        <w:shd w:val="clear" w:color="E8E8E8" w:fill="E5EED5" w:themeFill="accent3" w:themeFillTint="40"/>
      </w:tcPr>
    </w:tblStylePr>
    <w:tblStylePr w:type="band2Vert">
      <w:pPr>
        <w:snapToGrid/>
      </w:pPr>
    </w:tblStylePr>
    <w:tblStylePr w:type="band1Horz">
      <w:pPr>
        <w:snapToGrid/>
      </w:pPr>
      <w:rPr>
        <w:rFonts w:ascii="Arial" w:hAnsi="Arial"/>
        <w:color w:val="C2D69B" w:themeColor="accent3" w:themeTint="99"/>
        <w:sz w:val="22"/>
      </w:rPr>
      <w:tblPr/>
      <w:tcPr>
        <w:shd w:val="clear" w:color="E8E8E8" w:fill="E5EED5" w:themeFill="accent3" w:themeFillTint="40"/>
      </w:tcPr>
    </w:tblStylePr>
    <w:tblStylePr w:type="band2Horz">
      <w:pPr>
        <w:snapToGrid/>
      </w:pPr>
      <w:rPr>
        <w:rFonts w:ascii="Arial" w:hAnsi="Arial"/>
        <w:color w:val="C2D69B" w:themeColor="accent3" w:themeTint="99"/>
        <w:sz w:val="22"/>
      </w:r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ListTable7Colorful-Accent4">
    <w:name w:val="List Table 7 Colorful - Accent 4"/>
    <w:basedOn w:val="TableNormal"/>
    <w:uiPriority w:val="99"/>
    <w:qFormat/>
    <w:tblPr>
      <w:tblBorders>
        <w:right w:val="single" w:sz="4" w:space="0" w:color="B2A1C6" w:themeColor="accent4" w:themeTint="9A"/>
      </w:tblBorders>
    </w:tblPr>
    <w:tblStylePr w:type="firstRow">
      <w:pPr>
        <w:snapToGrid/>
      </w:pPr>
      <w:rPr>
        <w:rFonts w:ascii="Arial" w:hAnsi="Arial"/>
        <w:i/>
        <w:color w:val="B2A1C7" w:themeColor="accent4" w:themeTint="99"/>
        <w:sz w:val="22"/>
      </w:rPr>
      <w:tblPr/>
      <w:tcPr>
        <w:tcBorders>
          <w:top w:val="nil"/>
          <w:left w:val="nil"/>
          <w:bottom w:val="single" w:sz="4" w:space="0" w:color="B2A1C6" w:themeColor="accent4" w:themeTint="9A"/>
          <w:right w:val="nil"/>
        </w:tcBorders>
        <w:shd w:val="clear" w:color="FFFFFF" w:fill="FFFFFF" w:themeFill="light1"/>
      </w:tcPr>
    </w:tblStylePr>
    <w:tblStylePr w:type="lastRow">
      <w:pPr>
        <w:snapToGrid/>
      </w:pPr>
      <w:rPr>
        <w:rFonts w:ascii="Arial" w:hAnsi="Arial"/>
        <w:i/>
        <w:color w:val="B2A1C7" w:themeColor="accent4" w:themeTint="99"/>
        <w:sz w:val="22"/>
      </w:rPr>
      <w:tblPr/>
      <w:tcPr>
        <w:tcBorders>
          <w:top w:val="single" w:sz="4" w:space="0" w:color="B2A1C6" w:themeColor="accent4" w:themeTint="9A"/>
          <w:left w:val="nil"/>
          <w:bottom w:val="nil"/>
          <w:right w:val="nil"/>
        </w:tcBorders>
        <w:shd w:val="clear" w:color="FFFFFF" w:fill="FFFFFF" w:themeFill="light1"/>
      </w:tcPr>
    </w:tblStylePr>
    <w:tblStylePr w:type="firstCol">
      <w:pPr>
        <w:snapToGrid/>
        <w:jc w:val="right"/>
      </w:pPr>
      <w:rPr>
        <w:rFonts w:ascii="Arial" w:hAnsi="Arial"/>
        <w:i/>
        <w:color w:val="B2A1C7" w:themeColor="accent4" w:themeTint="99"/>
        <w:sz w:val="22"/>
      </w:rPr>
      <w:tblPr/>
      <w:tcPr>
        <w:tcBorders>
          <w:top w:val="nil"/>
          <w:left w:val="nil"/>
          <w:bottom w:val="nil"/>
          <w:right w:val="single" w:sz="4" w:space="0" w:color="B2A1C6" w:themeColor="accent4" w:themeTint="9A"/>
        </w:tcBorders>
        <w:shd w:val="clear" w:color="FFFFFF" w:fill="FFFFFF"/>
      </w:tcPr>
    </w:tblStylePr>
    <w:tblStylePr w:type="lastCol">
      <w:pPr>
        <w:snapToGrid/>
      </w:pPr>
      <w:rPr>
        <w:rFonts w:ascii="Arial" w:hAnsi="Arial"/>
        <w:i/>
        <w:color w:val="B2A1C7" w:themeColor="accent4" w:themeTint="99"/>
        <w:sz w:val="22"/>
      </w:rPr>
      <w:tblPr/>
      <w:tcPr>
        <w:tcBorders>
          <w:top w:val="nil"/>
          <w:left w:val="single" w:sz="4" w:space="0" w:color="B2A1C6" w:themeColor="accent4" w:themeTint="9A"/>
          <w:bottom w:val="nil"/>
          <w:right w:val="nil"/>
        </w:tcBorders>
        <w:shd w:val="clear" w:color="FFFFFF" w:fill="FFFFFF"/>
      </w:tcPr>
    </w:tblStylePr>
    <w:tblStylePr w:type="band1Vert">
      <w:pPr>
        <w:snapToGrid/>
      </w:pPr>
      <w:tblPr/>
      <w:tcPr>
        <w:shd w:val="clear" w:color="FFEFBF" w:fill="DFD8E7" w:themeFill="accent4" w:themeFillTint="40"/>
      </w:tcPr>
    </w:tblStylePr>
    <w:tblStylePr w:type="band2Vert">
      <w:pPr>
        <w:snapToGrid/>
      </w:pPr>
    </w:tblStylePr>
    <w:tblStylePr w:type="band1Horz">
      <w:pPr>
        <w:snapToGrid/>
      </w:pPr>
      <w:rPr>
        <w:rFonts w:ascii="Arial" w:hAnsi="Arial"/>
        <w:color w:val="B2A1C7" w:themeColor="accent4" w:themeTint="99"/>
        <w:sz w:val="22"/>
      </w:rPr>
      <w:tblPr/>
      <w:tcPr>
        <w:shd w:val="clear" w:color="FFEFBF" w:fill="DFD8E7" w:themeFill="accent4" w:themeFillTint="40"/>
      </w:tcPr>
    </w:tblStylePr>
    <w:tblStylePr w:type="band2Horz">
      <w:pPr>
        <w:snapToGrid/>
      </w:pPr>
      <w:rPr>
        <w:rFonts w:ascii="Arial" w:hAnsi="Arial"/>
        <w:color w:val="B2A1C7" w:themeColor="accent4" w:themeTint="99"/>
        <w:sz w:val="22"/>
      </w:r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ListTable7Colorful-Accent5">
    <w:name w:val="List Table 7 Colorful - Accent 5"/>
    <w:basedOn w:val="TableNormal"/>
    <w:uiPriority w:val="99"/>
    <w:qFormat/>
    <w:tblPr>
      <w:tblBorders>
        <w:right w:val="single" w:sz="4" w:space="0" w:color="92CCDC" w:themeColor="accent5" w:themeTint="9A"/>
      </w:tblBorders>
    </w:tblPr>
    <w:tblStylePr w:type="firstRow">
      <w:pPr>
        <w:snapToGrid/>
      </w:pPr>
      <w:rPr>
        <w:rFonts w:ascii="Arial" w:hAnsi="Arial"/>
        <w:i/>
        <w:color w:val="92CDDC" w:themeColor="accent5" w:themeTint="99"/>
        <w:sz w:val="22"/>
      </w:rPr>
      <w:tblPr/>
      <w:tcPr>
        <w:tcBorders>
          <w:top w:val="nil"/>
          <w:left w:val="nil"/>
          <w:bottom w:val="single" w:sz="4" w:space="0" w:color="92CCDC" w:themeColor="accent5" w:themeTint="9A"/>
          <w:right w:val="nil"/>
        </w:tcBorders>
        <w:shd w:val="clear" w:color="FFFFFF" w:fill="FFFFFF" w:themeFill="light1"/>
      </w:tcPr>
    </w:tblStylePr>
    <w:tblStylePr w:type="lastRow">
      <w:pPr>
        <w:snapToGrid/>
      </w:pPr>
      <w:rPr>
        <w:rFonts w:ascii="Arial" w:hAnsi="Arial"/>
        <w:i/>
        <w:color w:val="92CDDC" w:themeColor="accent5" w:themeTint="99"/>
        <w:sz w:val="22"/>
      </w:rPr>
      <w:tblPr/>
      <w:tcPr>
        <w:tcBorders>
          <w:top w:val="single" w:sz="4" w:space="0" w:color="92CCDC" w:themeColor="accent5" w:themeTint="9A"/>
          <w:left w:val="nil"/>
          <w:bottom w:val="nil"/>
          <w:right w:val="nil"/>
        </w:tcBorders>
        <w:shd w:val="clear" w:color="FFFFFF" w:fill="FFFFFF" w:themeFill="light1"/>
      </w:tcPr>
    </w:tblStylePr>
    <w:tblStylePr w:type="firstCol">
      <w:pPr>
        <w:snapToGrid/>
        <w:jc w:val="right"/>
      </w:pPr>
      <w:rPr>
        <w:rFonts w:ascii="Arial" w:hAnsi="Arial"/>
        <w:i/>
        <w:color w:val="92CDDC" w:themeColor="accent5" w:themeTint="99"/>
        <w:sz w:val="22"/>
      </w:rPr>
      <w:tblPr/>
      <w:tcPr>
        <w:tcBorders>
          <w:top w:val="nil"/>
          <w:left w:val="nil"/>
          <w:bottom w:val="nil"/>
          <w:right w:val="single" w:sz="4" w:space="0" w:color="92CCDC" w:themeColor="accent5" w:themeTint="9A"/>
        </w:tcBorders>
        <w:shd w:val="clear" w:color="FFFFFF" w:fill="FFFFFF"/>
      </w:tcPr>
    </w:tblStylePr>
    <w:tblStylePr w:type="lastCol">
      <w:pPr>
        <w:snapToGrid/>
      </w:pPr>
      <w:rPr>
        <w:rFonts w:ascii="Arial" w:hAnsi="Arial"/>
        <w:i/>
        <w:color w:val="92CDDC" w:themeColor="accent5" w:themeTint="99"/>
        <w:sz w:val="22"/>
      </w:rPr>
      <w:tblPr/>
      <w:tcPr>
        <w:tcBorders>
          <w:top w:val="nil"/>
          <w:left w:val="single" w:sz="4" w:space="0" w:color="92CCDC" w:themeColor="accent5" w:themeTint="9A"/>
          <w:bottom w:val="nil"/>
          <w:right w:val="nil"/>
        </w:tcBorders>
        <w:shd w:val="clear" w:color="FFFFFF" w:fill="FFFFFF"/>
      </w:tcPr>
    </w:tblStylePr>
    <w:tblStylePr w:type="band1Vert">
      <w:pPr>
        <w:snapToGrid/>
      </w:pPr>
      <w:tblPr/>
      <w:tcPr>
        <w:shd w:val="clear" w:color="CFDBF0" w:fill="D1EAF0" w:themeFill="accent5" w:themeFillTint="40"/>
      </w:tcPr>
    </w:tblStylePr>
    <w:tblStylePr w:type="band2Vert">
      <w:pPr>
        <w:snapToGrid/>
      </w:pPr>
    </w:tblStylePr>
    <w:tblStylePr w:type="band1Horz">
      <w:pPr>
        <w:snapToGrid/>
      </w:pPr>
      <w:rPr>
        <w:rFonts w:ascii="Arial" w:hAnsi="Arial"/>
        <w:color w:val="92CDDC" w:themeColor="accent5" w:themeTint="99"/>
        <w:sz w:val="22"/>
      </w:rPr>
      <w:tblPr/>
      <w:tcPr>
        <w:shd w:val="clear" w:color="CFDBF0" w:fill="D1EAF0" w:themeFill="accent5" w:themeFillTint="40"/>
      </w:tcPr>
    </w:tblStylePr>
    <w:tblStylePr w:type="band2Horz">
      <w:pPr>
        <w:snapToGrid/>
      </w:pPr>
      <w:rPr>
        <w:rFonts w:ascii="Arial" w:hAnsi="Arial"/>
        <w:color w:val="92CDDC" w:themeColor="accent5" w:themeTint="99"/>
        <w:sz w:val="22"/>
      </w:r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ListTable7Colorful-Accent6">
    <w:name w:val="List Table 7 Colorful - Accent 6"/>
    <w:basedOn w:val="TableNormal"/>
    <w:uiPriority w:val="99"/>
    <w:qFormat/>
    <w:tblPr>
      <w:tblBorders>
        <w:right w:val="single" w:sz="4" w:space="0" w:color="FAC090" w:themeColor="accent6" w:themeTint="98"/>
      </w:tblBorders>
    </w:tblPr>
    <w:tblStylePr w:type="firstRow">
      <w:pPr>
        <w:snapToGrid/>
      </w:pPr>
      <w:rPr>
        <w:rFonts w:ascii="Arial" w:hAnsi="Arial"/>
        <w:i/>
        <w:color w:val="FABF8F" w:themeColor="accent6" w:themeTint="99"/>
        <w:sz w:val="22"/>
      </w:rPr>
      <w:tblPr/>
      <w:tcPr>
        <w:tcBorders>
          <w:top w:val="nil"/>
          <w:left w:val="nil"/>
          <w:bottom w:val="single" w:sz="4" w:space="0" w:color="FAC090" w:themeColor="accent6" w:themeTint="98"/>
          <w:right w:val="nil"/>
        </w:tcBorders>
        <w:shd w:val="clear" w:color="FFFFFF" w:fill="FFFFFF" w:themeFill="light1"/>
      </w:tcPr>
    </w:tblStylePr>
    <w:tblStylePr w:type="lastRow">
      <w:pPr>
        <w:snapToGrid/>
      </w:pPr>
      <w:rPr>
        <w:rFonts w:ascii="Arial" w:hAnsi="Arial"/>
        <w:i/>
        <w:color w:val="FABF8F" w:themeColor="accent6" w:themeTint="99"/>
        <w:sz w:val="22"/>
      </w:rPr>
      <w:tblPr/>
      <w:tcPr>
        <w:tcBorders>
          <w:top w:val="single" w:sz="4" w:space="0" w:color="FAC090" w:themeColor="accent6" w:themeTint="98"/>
          <w:left w:val="nil"/>
          <w:bottom w:val="nil"/>
          <w:right w:val="nil"/>
        </w:tcBorders>
        <w:shd w:val="clear" w:color="FFFFFF" w:fill="FFFFFF" w:themeFill="light1"/>
      </w:tcPr>
    </w:tblStylePr>
    <w:tblStylePr w:type="firstCol">
      <w:pPr>
        <w:snapToGrid/>
        <w:jc w:val="right"/>
      </w:pPr>
      <w:rPr>
        <w:rFonts w:ascii="Arial" w:hAnsi="Arial"/>
        <w:i/>
        <w:color w:val="FABF8F" w:themeColor="accent6" w:themeTint="99"/>
        <w:sz w:val="22"/>
      </w:rPr>
      <w:tblPr/>
      <w:tcPr>
        <w:tcBorders>
          <w:top w:val="nil"/>
          <w:left w:val="nil"/>
          <w:bottom w:val="nil"/>
          <w:right w:val="single" w:sz="4" w:space="0" w:color="FAC090" w:themeColor="accent6" w:themeTint="98"/>
        </w:tcBorders>
        <w:shd w:val="clear" w:color="FFFFFF" w:fill="FFFFFF"/>
      </w:tcPr>
    </w:tblStylePr>
    <w:tblStylePr w:type="lastCol">
      <w:pPr>
        <w:snapToGrid/>
      </w:pPr>
      <w:rPr>
        <w:rFonts w:ascii="Arial" w:hAnsi="Arial"/>
        <w:i/>
        <w:color w:val="FABF8F" w:themeColor="accent6" w:themeTint="99"/>
        <w:sz w:val="22"/>
      </w:rPr>
      <w:tblPr/>
      <w:tcPr>
        <w:tcBorders>
          <w:top w:val="nil"/>
          <w:left w:val="single" w:sz="4" w:space="0" w:color="FAC090" w:themeColor="accent6" w:themeTint="98"/>
          <w:bottom w:val="nil"/>
          <w:right w:val="nil"/>
        </w:tcBorders>
        <w:shd w:val="clear" w:color="FFFFFF" w:fill="FFFFFF"/>
      </w:tcPr>
    </w:tblStylePr>
    <w:tblStylePr w:type="band1Vert">
      <w:pPr>
        <w:snapToGrid/>
      </w:pPr>
      <w:tblPr/>
      <w:tcPr>
        <w:shd w:val="clear" w:color="DAEBCF" w:fill="FDE4D0" w:themeFill="accent6" w:themeFillTint="40"/>
      </w:tcPr>
    </w:tblStylePr>
    <w:tblStylePr w:type="band2Vert">
      <w:pPr>
        <w:snapToGrid/>
      </w:pPr>
    </w:tblStylePr>
    <w:tblStylePr w:type="band1Horz">
      <w:pPr>
        <w:snapToGrid/>
      </w:pPr>
      <w:rPr>
        <w:rFonts w:ascii="Arial" w:hAnsi="Arial"/>
        <w:color w:val="FABF8F" w:themeColor="accent6" w:themeTint="99"/>
        <w:sz w:val="22"/>
      </w:rPr>
      <w:tblPr/>
      <w:tcPr>
        <w:shd w:val="clear" w:color="DAEBCF" w:fill="FDE4D0" w:themeFill="accent6" w:themeFillTint="40"/>
      </w:tcPr>
    </w:tblStylePr>
    <w:tblStylePr w:type="band2Horz">
      <w:pPr>
        <w:snapToGrid/>
      </w:pPr>
      <w:rPr>
        <w:rFonts w:ascii="Arial" w:hAnsi="Arial"/>
        <w:color w:val="FABF8F" w:themeColor="accent6" w:themeTint="99"/>
        <w:sz w:val="22"/>
      </w:r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Lined-Accent">
    <w:name w:val="Lined - Accent"/>
    <w:basedOn w:val="TableNormal"/>
    <w:uiPriority w:val="99"/>
    <w:qFormat/>
    <w:rPr>
      <w:color w:val="404040"/>
    </w:rPr>
    <w:tblPr/>
    <w:tblStylePr w:type="firstRow">
      <w:pPr>
        <w:snapToGrid/>
      </w:pPr>
      <w:rPr>
        <w:rFonts w:ascii="Arial" w:hAnsi="Arial"/>
        <w:color w:val="F2F2F2"/>
        <w:sz w:val="22"/>
      </w:rPr>
      <w:tblPr/>
      <w:tcPr>
        <w:shd w:val="clear" w:color="7F7F7F" w:fill="7F7F7F" w:themeFill="text1" w:themeFillTint="80"/>
      </w:tcPr>
    </w:tblStylePr>
    <w:tblStylePr w:type="lastRow">
      <w:pPr>
        <w:snapToGrid/>
      </w:pPr>
      <w:rPr>
        <w:rFonts w:ascii="Arial" w:hAnsi="Arial"/>
        <w:color w:val="F2F2F2"/>
        <w:sz w:val="22"/>
      </w:rPr>
      <w:tblPr/>
      <w:tcPr>
        <w:shd w:val="clear" w:color="7F7F7F" w:fill="7F7F7F" w:themeFill="text1" w:themeFillTint="80"/>
      </w:tcPr>
    </w:tblStylePr>
    <w:tblStylePr w:type="firstCol">
      <w:pPr>
        <w:snapToGrid/>
      </w:pPr>
      <w:rPr>
        <w:rFonts w:ascii="Arial" w:hAnsi="Arial"/>
        <w:color w:val="F2F2F2"/>
        <w:sz w:val="22"/>
      </w:rPr>
      <w:tblPr/>
      <w:tcPr>
        <w:shd w:val="clear" w:color="7F7F7F" w:fill="7F7F7F" w:themeFill="text1" w:themeFillTint="80"/>
      </w:tcPr>
    </w:tblStylePr>
    <w:tblStylePr w:type="lastCol">
      <w:pPr>
        <w:snapToGrid/>
      </w:pPr>
      <w:rPr>
        <w:rFonts w:ascii="Arial" w:hAnsi="Arial"/>
        <w:color w:val="F2F2F2"/>
        <w:sz w:val="22"/>
      </w:rPr>
      <w:tblPr/>
      <w:tcPr>
        <w:shd w:val="clear" w:color="7F7F7F" w:fill="7F7F7F" w:themeFill="text1" w:themeFillTint="80"/>
      </w:tcPr>
    </w:tblStylePr>
    <w:tblStylePr w:type="band1Vert">
      <w:pPr>
        <w:snapToGrid/>
      </w:pPr>
      <w:rPr>
        <w:rFonts w:ascii="Arial" w:hAnsi="Arial"/>
        <w:color w:val="404040"/>
        <w:sz w:val="22"/>
      </w:rPr>
    </w:tblStylePr>
    <w:tblStylePr w:type="band2Vert">
      <w:pPr>
        <w:snapToGrid/>
      </w:pPr>
      <w:rPr>
        <w:rFonts w:ascii="Arial" w:hAnsi="Arial"/>
        <w:color w:val="404040"/>
        <w:sz w:val="22"/>
      </w:rPr>
      <w:tblPr/>
      <w:tcPr>
        <w:shd w:val="clear" w:color="F2F2F2" w:fill="F2F2F2" w:themeFill="text1" w:themeFillTint="0D"/>
      </w:tcPr>
    </w:tblStylePr>
    <w:tblStylePr w:type="band1Horz">
      <w:pPr>
        <w:snapToGrid/>
      </w:pPr>
      <w:rPr>
        <w:rFonts w:ascii="Arial" w:hAnsi="Arial"/>
        <w:color w:val="404040"/>
        <w:sz w:val="22"/>
      </w:rPr>
    </w:tblStylePr>
    <w:tblStylePr w:type="band2Horz">
      <w:pPr>
        <w:snapToGrid/>
      </w:pPr>
      <w:rPr>
        <w:rFonts w:ascii="Arial" w:hAnsi="Arial"/>
        <w:color w:val="404040"/>
        <w:sz w:val="22"/>
      </w:rPr>
      <w:tblPr/>
      <w:tcPr>
        <w:shd w:val="clear" w:color="F2F2F2" w:fill="F2F2F2" w:themeFill="text1" w:themeFillTint="0D"/>
      </w:tc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Lined-Accent1">
    <w:name w:val="Lined - Accent 1"/>
    <w:basedOn w:val="TableNormal"/>
    <w:uiPriority w:val="99"/>
    <w:qFormat/>
    <w:rPr>
      <w:color w:val="404040"/>
    </w:rPr>
    <w:tblPr/>
    <w:tblStylePr w:type="firstRow">
      <w:pPr>
        <w:snapToGrid/>
      </w:pPr>
      <w:rPr>
        <w:rFonts w:ascii="Arial" w:hAnsi="Arial"/>
        <w:color w:val="F2F2F2"/>
        <w:sz w:val="22"/>
      </w:rPr>
      <w:tblPr/>
      <w:tcPr>
        <w:shd w:val="clear" w:color="68A2D8" w:fill="5D8AC2" w:themeFill="accent1" w:themeFillTint="EA"/>
      </w:tcPr>
    </w:tblStylePr>
    <w:tblStylePr w:type="lastRow">
      <w:pPr>
        <w:snapToGrid/>
      </w:pPr>
      <w:rPr>
        <w:rFonts w:ascii="Arial" w:hAnsi="Arial"/>
        <w:color w:val="F2F2F2"/>
        <w:sz w:val="22"/>
      </w:rPr>
      <w:tblPr/>
      <w:tcPr>
        <w:shd w:val="clear" w:color="68A2D8" w:fill="5D8AC2" w:themeFill="accent1" w:themeFillTint="EA"/>
      </w:tcPr>
    </w:tblStylePr>
    <w:tblStylePr w:type="firstCol">
      <w:pPr>
        <w:snapToGrid/>
      </w:pPr>
      <w:rPr>
        <w:rFonts w:ascii="Arial" w:hAnsi="Arial"/>
        <w:color w:val="F2F2F2"/>
        <w:sz w:val="22"/>
      </w:rPr>
      <w:tblPr/>
      <w:tcPr>
        <w:shd w:val="clear" w:color="68A2D8" w:fill="5D8AC2" w:themeFill="accent1" w:themeFillTint="EA"/>
      </w:tcPr>
    </w:tblStylePr>
    <w:tblStylePr w:type="lastCol">
      <w:pPr>
        <w:snapToGrid/>
      </w:pPr>
      <w:rPr>
        <w:rFonts w:ascii="Arial" w:hAnsi="Arial"/>
        <w:color w:val="F2F2F2"/>
        <w:sz w:val="22"/>
      </w:rPr>
      <w:tblPr/>
      <w:tcPr>
        <w:shd w:val="clear" w:color="68A2D8" w:fill="5D8AC2" w:themeFill="accent1" w:themeFillTint="EA"/>
      </w:tcPr>
    </w:tblStylePr>
    <w:tblStylePr w:type="band1Vert">
      <w:pPr>
        <w:snapToGrid/>
      </w:pPr>
      <w:rPr>
        <w:rFonts w:ascii="Arial" w:hAnsi="Arial"/>
        <w:color w:val="404040"/>
        <w:sz w:val="22"/>
      </w:rPr>
    </w:tblStylePr>
    <w:tblStylePr w:type="band2Vert">
      <w:pPr>
        <w:snapToGrid/>
      </w:pPr>
      <w:rPr>
        <w:rFonts w:ascii="Arial" w:hAnsi="Arial"/>
        <w:color w:val="404040"/>
        <w:sz w:val="22"/>
      </w:rPr>
      <w:tblPr/>
      <w:tcPr>
        <w:shd w:val="clear" w:color="CBDFF1" w:fill="C7D7EA" w:themeFill="accent1" w:themeFillTint="50"/>
      </w:tcPr>
    </w:tblStylePr>
    <w:tblStylePr w:type="band1Horz">
      <w:pPr>
        <w:snapToGrid/>
      </w:pPr>
      <w:rPr>
        <w:rFonts w:ascii="Arial" w:hAnsi="Arial"/>
        <w:color w:val="404040"/>
        <w:sz w:val="22"/>
      </w:rPr>
    </w:tblStylePr>
    <w:tblStylePr w:type="band2Horz">
      <w:pPr>
        <w:snapToGrid/>
      </w:pPr>
      <w:rPr>
        <w:rFonts w:ascii="Arial" w:hAnsi="Arial"/>
        <w:color w:val="404040"/>
        <w:sz w:val="22"/>
      </w:rPr>
      <w:tblPr/>
      <w:tcPr>
        <w:shd w:val="clear" w:color="CBDFF1" w:fill="C7D7EA" w:themeFill="accent1" w:themeFillTint="50"/>
      </w:tc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Lined-Accent2">
    <w:name w:val="Lined - Accent 2"/>
    <w:basedOn w:val="TableNormal"/>
    <w:uiPriority w:val="99"/>
    <w:qFormat/>
    <w:rPr>
      <w:color w:val="404040"/>
    </w:rPr>
    <w:tblPr/>
    <w:tblStylePr w:type="firstRow">
      <w:pPr>
        <w:snapToGrid/>
      </w:pPr>
      <w:rPr>
        <w:rFonts w:ascii="Arial" w:hAnsi="Arial"/>
        <w:color w:val="F2F2F2"/>
        <w:sz w:val="22"/>
      </w:rPr>
      <w:tblPr/>
      <w:tcPr>
        <w:shd w:val="clear" w:color="F4B184" w:fill="D99695" w:themeFill="accent2" w:themeFillTint="97"/>
      </w:tcPr>
    </w:tblStylePr>
    <w:tblStylePr w:type="lastRow">
      <w:pPr>
        <w:snapToGrid/>
      </w:pPr>
      <w:rPr>
        <w:rFonts w:ascii="Arial" w:hAnsi="Arial"/>
        <w:color w:val="F2F2F2"/>
        <w:sz w:val="22"/>
      </w:rPr>
      <w:tblPr/>
      <w:tcPr>
        <w:shd w:val="clear" w:color="F4B184" w:fill="D99695" w:themeFill="accent2" w:themeFillTint="97"/>
      </w:tcPr>
    </w:tblStylePr>
    <w:tblStylePr w:type="firstCol">
      <w:pPr>
        <w:snapToGrid/>
      </w:pPr>
      <w:rPr>
        <w:rFonts w:ascii="Arial" w:hAnsi="Arial"/>
        <w:color w:val="F2F2F2"/>
        <w:sz w:val="22"/>
      </w:rPr>
      <w:tblPr/>
      <w:tcPr>
        <w:shd w:val="clear" w:color="F4B184" w:fill="D99695" w:themeFill="accent2" w:themeFillTint="97"/>
      </w:tcPr>
    </w:tblStylePr>
    <w:tblStylePr w:type="lastCol">
      <w:pPr>
        <w:snapToGrid/>
      </w:pPr>
      <w:rPr>
        <w:rFonts w:ascii="Arial" w:hAnsi="Arial"/>
        <w:color w:val="F2F2F2"/>
        <w:sz w:val="22"/>
      </w:rPr>
      <w:tblPr/>
      <w:tcPr>
        <w:shd w:val="clear" w:color="F4B184" w:fill="D99695" w:themeFill="accent2" w:themeFillTint="97"/>
      </w:tcPr>
    </w:tblStylePr>
    <w:tblStylePr w:type="band1Vert">
      <w:pPr>
        <w:snapToGrid/>
      </w:pPr>
      <w:rPr>
        <w:rFonts w:ascii="Arial" w:hAnsi="Arial"/>
        <w:color w:val="404040"/>
        <w:sz w:val="22"/>
      </w:rPr>
    </w:tblStylePr>
    <w:tblStylePr w:type="band2Vert">
      <w:pPr>
        <w:snapToGrid/>
      </w:pPr>
      <w:rPr>
        <w:rFonts w:ascii="Arial" w:hAnsi="Arial"/>
        <w:color w:val="404040"/>
        <w:sz w:val="22"/>
      </w:rPr>
      <w:tblPr/>
      <w:tcPr>
        <w:shd w:val="clear" w:color="FBE5D6" w:fill="F2DCDC" w:themeFill="accent2" w:themeFillTint="32"/>
      </w:tcPr>
    </w:tblStylePr>
    <w:tblStylePr w:type="band1Horz">
      <w:pPr>
        <w:snapToGrid/>
      </w:pPr>
      <w:rPr>
        <w:rFonts w:ascii="Arial" w:hAnsi="Arial"/>
        <w:color w:val="404040"/>
        <w:sz w:val="22"/>
      </w:rPr>
    </w:tblStylePr>
    <w:tblStylePr w:type="band2Horz">
      <w:pPr>
        <w:snapToGrid/>
      </w:pPr>
      <w:rPr>
        <w:rFonts w:ascii="Arial" w:hAnsi="Arial"/>
        <w:color w:val="404040"/>
        <w:sz w:val="22"/>
      </w:rPr>
      <w:tblPr/>
      <w:tcPr>
        <w:shd w:val="clear" w:color="FBE5D6" w:fill="F2DCDC" w:themeFill="accent2" w:themeFillTint="32"/>
      </w:tc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Lined-Accent3">
    <w:name w:val="Lined - Accent 3"/>
    <w:basedOn w:val="TableNormal"/>
    <w:uiPriority w:val="99"/>
    <w:qFormat/>
    <w:rPr>
      <w:color w:val="404040"/>
    </w:rPr>
    <w:tblPr/>
    <w:tblStylePr w:type="firstRow">
      <w:pPr>
        <w:snapToGrid/>
      </w:pPr>
      <w:rPr>
        <w:rFonts w:ascii="Arial" w:hAnsi="Arial"/>
        <w:color w:val="F2F2F2"/>
        <w:sz w:val="22"/>
      </w:rPr>
      <w:tblPr/>
      <w:tcPr>
        <w:shd w:val="clear" w:color="A5A5A5" w:fill="9ABB59" w:themeFill="accent3" w:themeFillTint="FE"/>
      </w:tcPr>
    </w:tblStylePr>
    <w:tblStylePr w:type="lastRow">
      <w:pPr>
        <w:snapToGrid/>
      </w:pPr>
      <w:rPr>
        <w:rFonts w:ascii="Arial" w:hAnsi="Arial"/>
        <w:color w:val="F2F2F2"/>
        <w:sz w:val="22"/>
      </w:rPr>
      <w:tblPr/>
      <w:tcPr>
        <w:shd w:val="clear" w:color="A5A5A5" w:fill="9ABB59" w:themeFill="accent3" w:themeFillTint="FE"/>
      </w:tcPr>
    </w:tblStylePr>
    <w:tblStylePr w:type="firstCol">
      <w:pPr>
        <w:snapToGrid/>
      </w:pPr>
      <w:rPr>
        <w:rFonts w:ascii="Arial" w:hAnsi="Arial"/>
        <w:color w:val="F2F2F2"/>
        <w:sz w:val="22"/>
      </w:rPr>
      <w:tblPr/>
      <w:tcPr>
        <w:shd w:val="clear" w:color="A5A5A5" w:fill="9ABB59" w:themeFill="accent3" w:themeFillTint="FE"/>
      </w:tcPr>
    </w:tblStylePr>
    <w:tblStylePr w:type="lastCol">
      <w:pPr>
        <w:snapToGrid/>
      </w:pPr>
      <w:rPr>
        <w:rFonts w:ascii="Arial" w:hAnsi="Arial"/>
        <w:color w:val="F2F2F2"/>
        <w:sz w:val="22"/>
      </w:rPr>
      <w:tblPr/>
      <w:tcPr>
        <w:shd w:val="clear" w:color="A5A5A5" w:fill="9ABB59" w:themeFill="accent3" w:themeFillTint="FE"/>
      </w:tcPr>
    </w:tblStylePr>
    <w:tblStylePr w:type="band1Vert">
      <w:pPr>
        <w:snapToGrid/>
      </w:pPr>
      <w:rPr>
        <w:rFonts w:ascii="Arial" w:hAnsi="Arial"/>
        <w:color w:val="404040"/>
        <w:sz w:val="22"/>
      </w:rPr>
    </w:tblStylePr>
    <w:tblStylePr w:type="band2Vert">
      <w:pPr>
        <w:snapToGrid/>
      </w:pPr>
      <w:rPr>
        <w:rFonts w:ascii="Arial" w:hAnsi="Arial"/>
        <w:color w:val="404040"/>
        <w:sz w:val="22"/>
      </w:rPr>
      <w:tblPr/>
      <w:tcPr>
        <w:shd w:val="clear" w:color="ECECEC" w:fill="EAF1DC" w:themeFill="accent3" w:themeFillTint="34"/>
      </w:tcPr>
    </w:tblStylePr>
    <w:tblStylePr w:type="band1Horz">
      <w:pPr>
        <w:snapToGrid/>
      </w:pPr>
      <w:rPr>
        <w:rFonts w:ascii="Arial" w:hAnsi="Arial"/>
        <w:color w:val="404040"/>
        <w:sz w:val="22"/>
      </w:rPr>
    </w:tblStylePr>
    <w:tblStylePr w:type="band2Horz">
      <w:pPr>
        <w:snapToGrid/>
      </w:pPr>
      <w:rPr>
        <w:rFonts w:ascii="Arial" w:hAnsi="Arial"/>
        <w:color w:val="404040"/>
        <w:sz w:val="22"/>
      </w:rPr>
      <w:tblPr/>
      <w:tcPr>
        <w:shd w:val="clear" w:color="ECECEC" w:fill="EAF1DC" w:themeFill="accent3" w:themeFillTint="34"/>
      </w:tc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Lined-Accent4">
    <w:name w:val="Lined - Accent 4"/>
    <w:basedOn w:val="TableNormal"/>
    <w:uiPriority w:val="99"/>
    <w:qFormat/>
    <w:rPr>
      <w:color w:val="404040"/>
    </w:rPr>
    <w:tblPr/>
    <w:tblStylePr w:type="firstRow">
      <w:pPr>
        <w:snapToGrid/>
      </w:pPr>
      <w:rPr>
        <w:rFonts w:ascii="Arial" w:hAnsi="Arial"/>
        <w:color w:val="F2F2F2"/>
        <w:sz w:val="22"/>
      </w:rPr>
      <w:tblPr/>
      <w:tcPr>
        <w:shd w:val="clear" w:color="FFD865" w:fill="B2A1C6" w:themeFill="accent4" w:themeFillTint="9A"/>
      </w:tcPr>
    </w:tblStylePr>
    <w:tblStylePr w:type="lastRow">
      <w:pPr>
        <w:snapToGrid/>
      </w:pPr>
      <w:rPr>
        <w:rFonts w:ascii="Arial" w:hAnsi="Arial"/>
        <w:color w:val="F2F2F2"/>
        <w:sz w:val="22"/>
      </w:rPr>
      <w:tblPr/>
      <w:tcPr>
        <w:shd w:val="clear" w:color="FFD865" w:fill="B2A1C6" w:themeFill="accent4" w:themeFillTint="9A"/>
      </w:tcPr>
    </w:tblStylePr>
    <w:tblStylePr w:type="firstCol">
      <w:pPr>
        <w:snapToGrid/>
      </w:pPr>
      <w:rPr>
        <w:rFonts w:ascii="Arial" w:hAnsi="Arial"/>
        <w:color w:val="F2F2F2"/>
        <w:sz w:val="22"/>
      </w:rPr>
      <w:tblPr/>
      <w:tcPr>
        <w:shd w:val="clear" w:color="FFD865" w:fill="B2A1C6" w:themeFill="accent4" w:themeFillTint="9A"/>
      </w:tcPr>
    </w:tblStylePr>
    <w:tblStylePr w:type="lastCol">
      <w:pPr>
        <w:snapToGrid/>
      </w:pPr>
      <w:rPr>
        <w:rFonts w:ascii="Arial" w:hAnsi="Arial"/>
        <w:color w:val="F2F2F2"/>
        <w:sz w:val="22"/>
      </w:rPr>
      <w:tblPr/>
      <w:tcPr>
        <w:shd w:val="clear" w:color="FFD865" w:fill="B2A1C6" w:themeFill="accent4" w:themeFillTint="9A"/>
      </w:tcPr>
    </w:tblStylePr>
    <w:tblStylePr w:type="band1Vert">
      <w:pPr>
        <w:snapToGrid/>
      </w:pPr>
      <w:rPr>
        <w:rFonts w:ascii="Arial" w:hAnsi="Arial"/>
        <w:color w:val="404040"/>
        <w:sz w:val="22"/>
      </w:rPr>
    </w:tblStylePr>
    <w:tblStylePr w:type="band2Vert">
      <w:pPr>
        <w:snapToGrid/>
      </w:pPr>
      <w:rPr>
        <w:rFonts w:ascii="Arial" w:hAnsi="Arial"/>
        <w:color w:val="404040"/>
        <w:sz w:val="22"/>
      </w:rPr>
      <w:tblPr/>
      <w:tcPr>
        <w:shd w:val="clear" w:color="FFF2CB" w:fill="E5DFEC" w:themeFill="accent4" w:themeFillTint="34"/>
      </w:tcPr>
    </w:tblStylePr>
    <w:tblStylePr w:type="band1Horz">
      <w:pPr>
        <w:snapToGrid/>
      </w:pPr>
      <w:rPr>
        <w:rFonts w:ascii="Arial" w:hAnsi="Arial"/>
        <w:color w:val="404040"/>
        <w:sz w:val="22"/>
      </w:rPr>
    </w:tblStylePr>
    <w:tblStylePr w:type="band2Horz">
      <w:pPr>
        <w:snapToGrid/>
      </w:pPr>
      <w:rPr>
        <w:rFonts w:ascii="Arial" w:hAnsi="Arial"/>
        <w:color w:val="404040"/>
        <w:sz w:val="22"/>
      </w:rPr>
      <w:tblPr/>
      <w:tcPr>
        <w:shd w:val="clear" w:color="FFF2CB" w:fill="E5DFEC" w:themeFill="accent4" w:themeFillTint="34"/>
      </w:tc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Lined-Accent5">
    <w:name w:val="Lined - Accent 5"/>
    <w:basedOn w:val="TableNormal"/>
    <w:uiPriority w:val="99"/>
    <w:qFormat/>
    <w:rPr>
      <w:color w:val="404040"/>
    </w:rPr>
    <w:tblPr/>
    <w:tblStylePr w:type="firstRow">
      <w:pPr>
        <w:snapToGrid/>
      </w:pPr>
      <w:rPr>
        <w:rFonts w:ascii="Arial" w:hAnsi="Arial"/>
        <w:color w:val="F2F2F2"/>
        <w:sz w:val="22"/>
      </w:rPr>
      <w:tblPr/>
      <w:tcPr>
        <w:shd w:val="clear" w:color="4472C4" w:fill="4BACC6" w:themeFill="accent5"/>
      </w:tcPr>
    </w:tblStylePr>
    <w:tblStylePr w:type="lastRow">
      <w:pPr>
        <w:snapToGrid/>
      </w:pPr>
      <w:rPr>
        <w:rFonts w:ascii="Arial" w:hAnsi="Arial"/>
        <w:color w:val="F2F2F2"/>
        <w:sz w:val="22"/>
      </w:rPr>
      <w:tblPr/>
      <w:tcPr>
        <w:shd w:val="clear" w:color="4472C4" w:fill="4BACC6" w:themeFill="accent5"/>
      </w:tcPr>
    </w:tblStylePr>
    <w:tblStylePr w:type="firstCol">
      <w:pPr>
        <w:snapToGrid/>
      </w:pPr>
      <w:rPr>
        <w:rFonts w:ascii="Arial" w:hAnsi="Arial"/>
        <w:color w:val="F2F2F2"/>
        <w:sz w:val="22"/>
      </w:rPr>
      <w:tblPr/>
      <w:tcPr>
        <w:shd w:val="clear" w:color="4472C4" w:fill="4BACC6" w:themeFill="accent5"/>
      </w:tcPr>
    </w:tblStylePr>
    <w:tblStylePr w:type="lastCol">
      <w:pPr>
        <w:snapToGrid/>
      </w:pPr>
      <w:rPr>
        <w:rFonts w:ascii="Arial" w:hAnsi="Arial"/>
        <w:color w:val="F2F2F2"/>
        <w:sz w:val="22"/>
      </w:rPr>
      <w:tblPr/>
      <w:tcPr>
        <w:shd w:val="clear" w:color="4472C4" w:fill="4BACC6" w:themeFill="accent5"/>
      </w:tcPr>
    </w:tblStylePr>
    <w:tblStylePr w:type="band1Vert">
      <w:pPr>
        <w:snapToGrid/>
      </w:pPr>
      <w:rPr>
        <w:rFonts w:ascii="Arial" w:hAnsi="Arial"/>
        <w:color w:val="404040"/>
        <w:sz w:val="22"/>
      </w:rPr>
    </w:tblStylePr>
    <w:tblStylePr w:type="band2Vert">
      <w:pPr>
        <w:snapToGrid/>
      </w:pPr>
      <w:rPr>
        <w:rFonts w:ascii="Arial" w:hAnsi="Arial"/>
        <w:color w:val="404040"/>
        <w:sz w:val="22"/>
      </w:rPr>
      <w:tblPr/>
      <w:tcPr>
        <w:shd w:val="clear" w:color="D8E2F3" w:fill="DAEEF3" w:themeFill="accent5" w:themeFillTint="34"/>
      </w:tcPr>
    </w:tblStylePr>
    <w:tblStylePr w:type="band1Horz">
      <w:pPr>
        <w:snapToGrid/>
      </w:pPr>
      <w:rPr>
        <w:rFonts w:ascii="Arial" w:hAnsi="Arial"/>
        <w:color w:val="404040"/>
        <w:sz w:val="22"/>
      </w:rPr>
    </w:tblStylePr>
    <w:tblStylePr w:type="band2Horz">
      <w:pPr>
        <w:snapToGrid/>
      </w:pPr>
      <w:rPr>
        <w:rFonts w:ascii="Arial" w:hAnsi="Arial"/>
        <w:color w:val="404040"/>
        <w:sz w:val="22"/>
      </w:rPr>
      <w:tblPr/>
      <w:tcPr>
        <w:shd w:val="clear" w:color="D8E2F3" w:fill="DAEEF3" w:themeFill="accent5" w:themeFillTint="34"/>
      </w:tc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Lined-Accent6">
    <w:name w:val="Lined - Accent 6"/>
    <w:basedOn w:val="TableNormal"/>
    <w:uiPriority w:val="99"/>
    <w:qFormat/>
    <w:rPr>
      <w:color w:val="404040"/>
    </w:rPr>
    <w:tblPr/>
    <w:tblStylePr w:type="firstRow">
      <w:pPr>
        <w:snapToGrid/>
      </w:pPr>
      <w:rPr>
        <w:rFonts w:ascii="Arial" w:hAnsi="Arial"/>
        <w:color w:val="F2F2F2"/>
        <w:sz w:val="22"/>
      </w:rPr>
      <w:tblPr/>
      <w:tcPr>
        <w:shd w:val="clear" w:color="70AD47" w:fill="F79646" w:themeFill="accent6"/>
      </w:tcPr>
    </w:tblStylePr>
    <w:tblStylePr w:type="lastRow">
      <w:pPr>
        <w:snapToGrid/>
      </w:pPr>
      <w:rPr>
        <w:rFonts w:ascii="Arial" w:hAnsi="Arial"/>
        <w:color w:val="F2F2F2"/>
        <w:sz w:val="22"/>
      </w:rPr>
      <w:tblPr/>
      <w:tcPr>
        <w:shd w:val="clear" w:color="70AD47" w:fill="F79646" w:themeFill="accent6"/>
      </w:tcPr>
    </w:tblStylePr>
    <w:tblStylePr w:type="firstCol">
      <w:pPr>
        <w:snapToGrid/>
      </w:pPr>
      <w:rPr>
        <w:rFonts w:ascii="Arial" w:hAnsi="Arial"/>
        <w:color w:val="F2F2F2"/>
        <w:sz w:val="22"/>
      </w:rPr>
      <w:tblPr/>
      <w:tcPr>
        <w:shd w:val="clear" w:color="70AD47" w:fill="F79646" w:themeFill="accent6"/>
      </w:tcPr>
    </w:tblStylePr>
    <w:tblStylePr w:type="lastCol">
      <w:pPr>
        <w:snapToGrid/>
      </w:pPr>
      <w:rPr>
        <w:rFonts w:ascii="Arial" w:hAnsi="Arial"/>
        <w:color w:val="F2F2F2"/>
        <w:sz w:val="22"/>
      </w:rPr>
      <w:tblPr/>
      <w:tcPr>
        <w:shd w:val="clear" w:color="70AD47" w:fill="F79646" w:themeFill="accent6"/>
      </w:tcPr>
    </w:tblStylePr>
    <w:tblStylePr w:type="band1Vert">
      <w:pPr>
        <w:snapToGrid/>
      </w:pPr>
      <w:rPr>
        <w:rFonts w:ascii="Arial" w:hAnsi="Arial"/>
        <w:color w:val="404040"/>
        <w:sz w:val="22"/>
      </w:rPr>
    </w:tblStylePr>
    <w:tblStylePr w:type="band2Vert">
      <w:pPr>
        <w:snapToGrid/>
      </w:pPr>
      <w:rPr>
        <w:rFonts w:ascii="Arial" w:hAnsi="Arial"/>
        <w:color w:val="404040"/>
        <w:sz w:val="22"/>
      </w:rPr>
      <w:tblPr/>
      <w:tcPr>
        <w:shd w:val="clear" w:color="E1EFD8" w:fill="FDE9D8" w:themeFill="accent6" w:themeFillTint="34"/>
      </w:tcPr>
    </w:tblStylePr>
    <w:tblStylePr w:type="band1Horz">
      <w:pPr>
        <w:snapToGrid/>
      </w:pPr>
      <w:rPr>
        <w:rFonts w:ascii="Arial" w:hAnsi="Arial"/>
        <w:color w:val="404040"/>
        <w:sz w:val="22"/>
      </w:rPr>
    </w:tblStylePr>
    <w:tblStylePr w:type="band2Horz">
      <w:pPr>
        <w:snapToGrid/>
      </w:pPr>
      <w:rPr>
        <w:rFonts w:ascii="Arial" w:hAnsi="Arial"/>
        <w:color w:val="404040"/>
        <w:sz w:val="22"/>
      </w:rPr>
      <w:tblPr/>
      <w:tcPr>
        <w:shd w:val="clear" w:color="E1EFD8" w:fill="FDE9D8" w:themeFill="accent6" w:themeFillTint="34"/>
      </w:tc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BorderedLined-Accent">
    <w:name w:val="Bordered &amp; Lined - Accent"/>
    <w:basedOn w:val="TableNormal"/>
    <w:uiPriority w:val="99"/>
    <w:qFormat/>
    <w:rPr>
      <w:color w:val="404040"/>
    </w:rPr>
    <w:tblPr>
      <w:tbl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insideH w:val="single" w:sz="4" w:space="0" w:color="595959" w:themeColor="text1" w:themeTint="A6"/>
        <w:insideV w:val="single" w:sz="4" w:space="0" w:color="595959" w:themeColor="text1" w:themeTint="A6"/>
      </w:tblBorders>
    </w:tblPr>
    <w:tblStylePr w:type="firstRow">
      <w:pPr>
        <w:snapToGrid/>
      </w:pPr>
      <w:rPr>
        <w:rFonts w:ascii="Arial" w:hAnsi="Arial"/>
        <w:color w:val="F2F2F2"/>
        <w:sz w:val="22"/>
      </w:rPr>
      <w:tblPr/>
      <w:tcPr>
        <w:shd w:val="clear" w:color="7F7F7F" w:fill="7F7F7F" w:themeFill="text1" w:themeFillTint="80"/>
      </w:tcPr>
    </w:tblStylePr>
    <w:tblStylePr w:type="lastRow">
      <w:pPr>
        <w:snapToGrid/>
      </w:pPr>
      <w:rPr>
        <w:rFonts w:ascii="Arial" w:hAnsi="Arial"/>
        <w:color w:val="F2F2F2"/>
        <w:sz w:val="22"/>
      </w:rPr>
      <w:tblPr/>
      <w:tcPr>
        <w:shd w:val="clear" w:color="7F7F7F" w:fill="7F7F7F" w:themeFill="text1" w:themeFillTint="80"/>
      </w:tcPr>
    </w:tblStylePr>
    <w:tblStylePr w:type="firstCol">
      <w:pPr>
        <w:snapToGrid/>
      </w:pPr>
      <w:rPr>
        <w:rFonts w:ascii="Arial" w:hAnsi="Arial"/>
        <w:color w:val="F2F2F2"/>
        <w:sz w:val="22"/>
      </w:rPr>
      <w:tblPr/>
      <w:tcPr>
        <w:shd w:val="clear" w:color="7F7F7F" w:fill="7F7F7F" w:themeFill="text1" w:themeFillTint="80"/>
      </w:tcPr>
    </w:tblStylePr>
    <w:tblStylePr w:type="lastCol">
      <w:pPr>
        <w:snapToGrid/>
      </w:pPr>
      <w:rPr>
        <w:rFonts w:ascii="Arial" w:hAnsi="Arial"/>
        <w:color w:val="F2F2F2"/>
        <w:sz w:val="22"/>
      </w:rPr>
      <w:tblPr/>
      <w:tcPr>
        <w:shd w:val="clear" w:color="7F7F7F" w:fill="7F7F7F" w:themeFill="text1" w:themeFillTint="80"/>
      </w:tcPr>
    </w:tblStylePr>
    <w:tblStylePr w:type="band1Vert">
      <w:pPr>
        <w:snapToGrid/>
      </w:pPr>
      <w:rPr>
        <w:rFonts w:ascii="Arial" w:hAnsi="Arial"/>
        <w:color w:val="404040"/>
        <w:sz w:val="22"/>
      </w:rPr>
    </w:tblStylePr>
    <w:tblStylePr w:type="band2Vert">
      <w:pPr>
        <w:snapToGrid/>
      </w:pPr>
      <w:rPr>
        <w:rFonts w:ascii="Arial" w:hAnsi="Arial"/>
        <w:color w:val="404040"/>
        <w:sz w:val="22"/>
      </w:rPr>
      <w:tblPr/>
      <w:tcPr>
        <w:shd w:val="clear" w:color="F2F2F2" w:fill="F2F2F2" w:themeFill="text1" w:themeFillTint="0D"/>
      </w:tcPr>
    </w:tblStylePr>
    <w:tblStylePr w:type="band1Horz">
      <w:pPr>
        <w:snapToGrid/>
      </w:pPr>
      <w:rPr>
        <w:rFonts w:ascii="Arial" w:hAnsi="Arial"/>
        <w:color w:val="404040"/>
        <w:sz w:val="22"/>
      </w:rPr>
    </w:tblStylePr>
    <w:tblStylePr w:type="band2Horz">
      <w:pPr>
        <w:snapToGrid/>
      </w:pPr>
      <w:rPr>
        <w:rFonts w:ascii="Arial" w:hAnsi="Arial"/>
        <w:color w:val="404040"/>
        <w:sz w:val="22"/>
      </w:rPr>
      <w:tblPr/>
      <w:tcPr>
        <w:shd w:val="clear" w:color="F2F2F2" w:fill="F2F2F2" w:themeFill="text1" w:themeFillTint="0D"/>
      </w:tc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BorderedLined-Accent1">
    <w:name w:val="Bordered &amp; Lined - Accent 1"/>
    <w:basedOn w:val="TableNormal"/>
    <w:uiPriority w:val="99"/>
    <w:qFormat/>
    <w:rPr>
      <w:color w:val="404040"/>
    </w:rPr>
    <w:tblPr>
      <w:tblBorders>
        <w:top w:val="single" w:sz="4" w:space="0" w:color="2A4A71" w:themeColor="accent1" w:themeShade="95"/>
        <w:left w:val="single" w:sz="4" w:space="0" w:color="2A4A71" w:themeColor="accent1" w:themeShade="95"/>
        <w:bottom w:val="single" w:sz="4" w:space="0" w:color="2A4A71" w:themeColor="accent1" w:themeShade="95"/>
        <w:right w:val="single" w:sz="4" w:space="0" w:color="2A4A71" w:themeColor="accent1" w:themeShade="95"/>
        <w:insideH w:val="single" w:sz="4" w:space="0" w:color="2A4A71" w:themeColor="accent1" w:themeShade="95"/>
        <w:insideV w:val="single" w:sz="4" w:space="0" w:color="2A4A71" w:themeColor="accent1" w:themeShade="95"/>
      </w:tblBorders>
    </w:tblPr>
    <w:tblStylePr w:type="firstRow">
      <w:pPr>
        <w:snapToGrid/>
      </w:pPr>
      <w:rPr>
        <w:rFonts w:ascii="Arial" w:hAnsi="Arial"/>
        <w:color w:val="F2F2F2"/>
        <w:sz w:val="22"/>
      </w:rPr>
      <w:tblPr/>
      <w:tcPr>
        <w:shd w:val="clear" w:color="68A2D8" w:fill="5D8AC2" w:themeFill="accent1" w:themeFillTint="EA"/>
      </w:tcPr>
    </w:tblStylePr>
    <w:tblStylePr w:type="lastRow">
      <w:pPr>
        <w:snapToGrid/>
      </w:pPr>
      <w:rPr>
        <w:rFonts w:ascii="Arial" w:hAnsi="Arial"/>
        <w:color w:val="F2F2F2"/>
        <w:sz w:val="22"/>
      </w:rPr>
      <w:tblPr/>
      <w:tcPr>
        <w:shd w:val="clear" w:color="68A2D8" w:fill="5D8AC2" w:themeFill="accent1" w:themeFillTint="EA"/>
      </w:tcPr>
    </w:tblStylePr>
    <w:tblStylePr w:type="firstCol">
      <w:pPr>
        <w:snapToGrid/>
      </w:pPr>
      <w:rPr>
        <w:rFonts w:ascii="Arial" w:hAnsi="Arial"/>
        <w:color w:val="F2F2F2"/>
        <w:sz w:val="22"/>
      </w:rPr>
      <w:tblPr/>
      <w:tcPr>
        <w:shd w:val="clear" w:color="68A2D8" w:fill="5D8AC2" w:themeFill="accent1" w:themeFillTint="EA"/>
      </w:tcPr>
    </w:tblStylePr>
    <w:tblStylePr w:type="lastCol">
      <w:pPr>
        <w:snapToGrid/>
      </w:pPr>
      <w:rPr>
        <w:rFonts w:ascii="Arial" w:hAnsi="Arial"/>
        <w:color w:val="F2F2F2"/>
        <w:sz w:val="22"/>
      </w:rPr>
      <w:tblPr/>
      <w:tcPr>
        <w:shd w:val="clear" w:color="68A2D8" w:fill="5D8AC2" w:themeFill="accent1" w:themeFillTint="EA"/>
      </w:tcPr>
    </w:tblStylePr>
    <w:tblStylePr w:type="band1Vert">
      <w:pPr>
        <w:snapToGrid/>
      </w:pPr>
      <w:rPr>
        <w:rFonts w:ascii="Arial" w:hAnsi="Arial"/>
        <w:color w:val="404040"/>
        <w:sz w:val="22"/>
      </w:rPr>
    </w:tblStylePr>
    <w:tblStylePr w:type="band2Vert">
      <w:pPr>
        <w:snapToGrid/>
      </w:pPr>
      <w:rPr>
        <w:rFonts w:ascii="Arial" w:hAnsi="Arial"/>
        <w:color w:val="404040"/>
        <w:sz w:val="22"/>
      </w:rPr>
      <w:tblPr/>
      <w:tcPr>
        <w:shd w:val="clear" w:color="CBDFF1" w:fill="C7D7EA" w:themeFill="accent1" w:themeFillTint="50"/>
      </w:tcPr>
    </w:tblStylePr>
    <w:tblStylePr w:type="band1Horz">
      <w:pPr>
        <w:snapToGrid/>
      </w:pPr>
      <w:rPr>
        <w:rFonts w:ascii="Arial" w:hAnsi="Arial"/>
        <w:color w:val="404040"/>
        <w:sz w:val="22"/>
      </w:rPr>
    </w:tblStylePr>
    <w:tblStylePr w:type="band2Horz">
      <w:pPr>
        <w:snapToGrid/>
      </w:pPr>
      <w:rPr>
        <w:rFonts w:ascii="Arial" w:hAnsi="Arial"/>
        <w:color w:val="404040"/>
        <w:sz w:val="22"/>
      </w:rPr>
      <w:tblPr/>
      <w:tcPr>
        <w:shd w:val="clear" w:color="CBDFF1" w:fill="C7D7EA" w:themeFill="accent1" w:themeFillTint="50"/>
      </w:tc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BorderedLined-Accent2">
    <w:name w:val="Bordered &amp; Lined - Accent 2"/>
    <w:basedOn w:val="TableNormal"/>
    <w:uiPriority w:val="99"/>
    <w:qFormat/>
    <w:rPr>
      <w:color w:val="404040"/>
    </w:rPr>
    <w:tblPr>
      <w:tblBorders>
        <w:top w:val="single" w:sz="4" w:space="0" w:color="732A29" w:themeColor="accent2" w:themeShade="95"/>
        <w:left w:val="single" w:sz="4" w:space="0" w:color="732A29" w:themeColor="accent2" w:themeShade="95"/>
        <w:bottom w:val="single" w:sz="4" w:space="0" w:color="732A29" w:themeColor="accent2" w:themeShade="95"/>
        <w:right w:val="single" w:sz="4" w:space="0" w:color="732A29" w:themeColor="accent2" w:themeShade="95"/>
        <w:insideH w:val="single" w:sz="4" w:space="0" w:color="732A29" w:themeColor="accent2" w:themeShade="95"/>
        <w:insideV w:val="single" w:sz="4" w:space="0" w:color="732A29" w:themeColor="accent2" w:themeShade="95"/>
      </w:tblBorders>
    </w:tblPr>
    <w:tblStylePr w:type="firstRow">
      <w:pPr>
        <w:snapToGrid/>
      </w:pPr>
      <w:rPr>
        <w:rFonts w:ascii="Arial" w:hAnsi="Arial"/>
        <w:color w:val="F2F2F2"/>
        <w:sz w:val="22"/>
      </w:rPr>
      <w:tblPr/>
      <w:tcPr>
        <w:shd w:val="clear" w:color="F4B184" w:fill="D99695" w:themeFill="accent2" w:themeFillTint="97"/>
      </w:tcPr>
    </w:tblStylePr>
    <w:tblStylePr w:type="lastRow">
      <w:pPr>
        <w:snapToGrid/>
      </w:pPr>
      <w:rPr>
        <w:rFonts w:ascii="Arial" w:hAnsi="Arial"/>
        <w:color w:val="F2F2F2"/>
        <w:sz w:val="22"/>
      </w:rPr>
      <w:tblPr/>
      <w:tcPr>
        <w:shd w:val="clear" w:color="F4B184" w:fill="D99695" w:themeFill="accent2" w:themeFillTint="97"/>
      </w:tcPr>
    </w:tblStylePr>
    <w:tblStylePr w:type="firstCol">
      <w:pPr>
        <w:snapToGrid/>
      </w:pPr>
      <w:rPr>
        <w:rFonts w:ascii="Arial" w:hAnsi="Arial"/>
        <w:color w:val="F2F2F2"/>
        <w:sz w:val="22"/>
      </w:rPr>
      <w:tblPr/>
      <w:tcPr>
        <w:shd w:val="clear" w:color="F4B184" w:fill="D99695" w:themeFill="accent2" w:themeFillTint="97"/>
      </w:tcPr>
    </w:tblStylePr>
    <w:tblStylePr w:type="lastCol">
      <w:pPr>
        <w:snapToGrid/>
      </w:pPr>
      <w:rPr>
        <w:rFonts w:ascii="Arial" w:hAnsi="Arial"/>
        <w:color w:val="F2F2F2"/>
        <w:sz w:val="22"/>
      </w:rPr>
      <w:tblPr/>
      <w:tcPr>
        <w:shd w:val="clear" w:color="F4B184" w:fill="D99695" w:themeFill="accent2" w:themeFillTint="97"/>
      </w:tcPr>
    </w:tblStylePr>
    <w:tblStylePr w:type="band1Vert">
      <w:pPr>
        <w:snapToGrid/>
      </w:pPr>
      <w:rPr>
        <w:rFonts w:ascii="Arial" w:hAnsi="Arial"/>
        <w:color w:val="404040"/>
        <w:sz w:val="22"/>
      </w:rPr>
    </w:tblStylePr>
    <w:tblStylePr w:type="band2Vert">
      <w:pPr>
        <w:snapToGrid/>
      </w:pPr>
      <w:rPr>
        <w:rFonts w:ascii="Arial" w:hAnsi="Arial"/>
        <w:color w:val="404040"/>
        <w:sz w:val="22"/>
      </w:rPr>
      <w:tblPr/>
      <w:tcPr>
        <w:shd w:val="clear" w:color="FBE5D6" w:fill="F2DCDC" w:themeFill="accent2" w:themeFillTint="32"/>
      </w:tcPr>
    </w:tblStylePr>
    <w:tblStylePr w:type="band1Horz">
      <w:pPr>
        <w:snapToGrid/>
      </w:pPr>
      <w:rPr>
        <w:rFonts w:ascii="Arial" w:hAnsi="Arial"/>
        <w:color w:val="404040"/>
        <w:sz w:val="22"/>
      </w:rPr>
    </w:tblStylePr>
    <w:tblStylePr w:type="band2Horz">
      <w:pPr>
        <w:snapToGrid/>
      </w:pPr>
      <w:rPr>
        <w:rFonts w:ascii="Arial" w:hAnsi="Arial"/>
        <w:color w:val="404040"/>
        <w:sz w:val="22"/>
      </w:rPr>
      <w:tblPr/>
      <w:tcPr>
        <w:shd w:val="clear" w:color="FBE5D6" w:fill="F2DCDC" w:themeFill="accent2" w:themeFillTint="32"/>
      </w:tc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BorderedLined-Accent3">
    <w:name w:val="Bordered &amp; Lined - Accent 3"/>
    <w:basedOn w:val="TableNormal"/>
    <w:uiPriority w:val="99"/>
    <w:qFormat/>
    <w:rPr>
      <w:color w:val="404040"/>
    </w:rPr>
    <w:tblPr>
      <w:tblBorders>
        <w:top w:val="single" w:sz="4" w:space="0" w:color="5B722E" w:themeColor="accent3" w:themeShade="95"/>
        <w:left w:val="single" w:sz="4" w:space="0" w:color="5B722E" w:themeColor="accent3" w:themeShade="95"/>
        <w:bottom w:val="single" w:sz="4" w:space="0" w:color="5B722E" w:themeColor="accent3" w:themeShade="95"/>
        <w:right w:val="single" w:sz="4" w:space="0" w:color="5B722E" w:themeColor="accent3" w:themeShade="95"/>
        <w:insideH w:val="single" w:sz="4" w:space="0" w:color="5B722E" w:themeColor="accent3" w:themeShade="95"/>
        <w:insideV w:val="single" w:sz="4" w:space="0" w:color="5B722E" w:themeColor="accent3" w:themeShade="95"/>
      </w:tblBorders>
    </w:tblPr>
    <w:tblStylePr w:type="firstRow">
      <w:pPr>
        <w:snapToGrid/>
      </w:pPr>
      <w:rPr>
        <w:rFonts w:ascii="Arial" w:hAnsi="Arial"/>
        <w:color w:val="F2F2F2"/>
        <w:sz w:val="22"/>
      </w:rPr>
      <w:tblPr/>
      <w:tcPr>
        <w:shd w:val="clear" w:color="A5A5A5" w:fill="9ABB59" w:themeFill="accent3" w:themeFillTint="FE"/>
      </w:tcPr>
    </w:tblStylePr>
    <w:tblStylePr w:type="lastRow">
      <w:pPr>
        <w:snapToGrid/>
      </w:pPr>
      <w:rPr>
        <w:rFonts w:ascii="Arial" w:hAnsi="Arial"/>
        <w:color w:val="F2F2F2"/>
        <w:sz w:val="22"/>
      </w:rPr>
      <w:tblPr/>
      <w:tcPr>
        <w:shd w:val="clear" w:color="A5A5A5" w:fill="9ABB59" w:themeFill="accent3" w:themeFillTint="FE"/>
      </w:tcPr>
    </w:tblStylePr>
    <w:tblStylePr w:type="firstCol">
      <w:pPr>
        <w:snapToGrid/>
      </w:pPr>
      <w:rPr>
        <w:rFonts w:ascii="Arial" w:hAnsi="Arial"/>
        <w:color w:val="F2F2F2"/>
        <w:sz w:val="22"/>
      </w:rPr>
      <w:tblPr/>
      <w:tcPr>
        <w:shd w:val="clear" w:color="A5A5A5" w:fill="9ABB59" w:themeFill="accent3" w:themeFillTint="FE"/>
      </w:tcPr>
    </w:tblStylePr>
    <w:tblStylePr w:type="lastCol">
      <w:pPr>
        <w:snapToGrid/>
      </w:pPr>
      <w:rPr>
        <w:rFonts w:ascii="Arial" w:hAnsi="Arial"/>
        <w:color w:val="F2F2F2"/>
        <w:sz w:val="22"/>
      </w:rPr>
      <w:tblPr/>
      <w:tcPr>
        <w:shd w:val="clear" w:color="A5A5A5" w:fill="9ABB59" w:themeFill="accent3" w:themeFillTint="FE"/>
      </w:tcPr>
    </w:tblStylePr>
    <w:tblStylePr w:type="band1Vert">
      <w:pPr>
        <w:snapToGrid/>
      </w:pPr>
      <w:rPr>
        <w:rFonts w:ascii="Arial" w:hAnsi="Arial"/>
        <w:color w:val="404040"/>
        <w:sz w:val="22"/>
      </w:rPr>
    </w:tblStylePr>
    <w:tblStylePr w:type="band2Vert">
      <w:pPr>
        <w:snapToGrid/>
      </w:pPr>
      <w:rPr>
        <w:rFonts w:ascii="Arial" w:hAnsi="Arial"/>
        <w:color w:val="404040"/>
        <w:sz w:val="22"/>
      </w:rPr>
      <w:tblPr/>
      <w:tcPr>
        <w:shd w:val="clear" w:color="ECECEC" w:fill="EAF1DC" w:themeFill="accent3" w:themeFillTint="34"/>
      </w:tcPr>
    </w:tblStylePr>
    <w:tblStylePr w:type="band1Horz">
      <w:pPr>
        <w:snapToGrid/>
      </w:pPr>
      <w:rPr>
        <w:rFonts w:ascii="Arial" w:hAnsi="Arial"/>
        <w:color w:val="404040"/>
        <w:sz w:val="22"/>
      </w:rPr>
    </w:tblStylePr>
    <w:tblStylePr w:type="band2Horz">
      <w:pPr>
        <w:snapToGrid/>
      </w:pPr>
      <w:rPr>
        <w:rFonts w:ascii="Arial" w:hAnsi="Arial"/>
        <w:color w:val="404040"/>
        <w:sz w:val="22"/>
      </w:rPr>
      <w:tblPr/>
      <w:tcPr>
        <w:shd w:val="clear" w:color="ECECEC" w:fill="EAF1DC" w:themeFill="accent3" w:themeFillTint="34"/>
      </w:tc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BorderedLined-Accent4">
    <w:name w:val="Bordered &amp; Lined - Accent 4"/>
    <w:basedOn w:val="TableNormal"/>
    <w:uiPriority w:val="99"/>
    <w:qFormat/>
    <w:rPr>
      <w:color w:val="404040"/>
    </w:rPr>
    <w:tblPr>
      <w:tblBorders>
        <w:top w:val="single" w:sz="4" w:space="0" w:color="4A395F" w:themeColor="accent4" w:themeShade="95"/>
        <w:left w:val="single" w:sz="4" w:space="0" w:color="4A395F" w:themeColor="accent4" w:themeShade="95"/>
        <w:bottom w:val="single" w:sz="4" w:space="0" w:color="4A395F" w:themeColor="accent4" w:themeShade="95"/>
        <w:right w:val="single" w:sz="4" w:space="0" w:color="4A395F" w:themeColor="accent4" w:themeShade="95"/>
        <w:insideH w:val="single" w:sz="4" w:space="0" w:color="4A395F" w:themeColor="accent4" w:themeShade="95"/>
        <w:insideV w:val="single" w:sz="4" w:space="0" w:color="4A395F" w:themeColor="accent4" w:themeShade="95"/>
      </w:tblBorders>
    </w:tblPr>
    <w:tblStylePr w:type="firstRow">
      <w:pPr>
        <w:snapToGrid/>
      </w:pPr>
      <w:rPr>
        <w:rFonts w:ascii="Arial" w:hAnsi="Arial"/>
        <w:color w:val="F2F2F2"/>
        <w:sz w:val="22"/>
      </w:rPr>
      <w:tblPr/>
      <w:tcPr>
        <w:shd w:val="clear" w:color="FFD865" w:fill="B2A1C6" w:themeFill="accent4" w:themeFillTint="9A"/>
      </w:tcPr>
    </w:tblStylePr>
    <w:tblStylePr w:type="lastRow">
      <w:pPr>
        <w:snapToGrid/>
      </w:pPr>
      <w:rPr>
        <w:rFonts w:ascii="Arial" w:hAnsi="Arial"/>
        <w:color w:val="F2F2F2"/>
        <w:sz w:val="22"/>
      </w:rPr>
      <w:tblPr/>
      <w:tcPr>
        <w:shd w:val="clear" w:color="FFD865" w:fill="B2A1C6" w:themeFill="accent4" w:themeFillTint="9A"/>
      </w:tcPr>
    </w:tblStylePr>
    <w:tblStylePr w:type="firstCol">
      <w:pPr>
        <w:snapToGrid/>
      </w:pPr>
      <w:rPr>
        <w:rFonts w:ascii="Arial" w:hAnsi="Arial"/>
        <w:color w:val="F2F2F2"/>
        <w:sz w:val="22"/>
      </w:rPr>
      <w:tblPr/>
      <w:tcPr>
        <w:shd w:val="clear" w:color="FFD865" w:fill="B2A1C6" w:themeFill="accent4" w:themeFillTint="9A"/>
      </w:tcPr>
    </w:tblStylePr>
    <w:tblStylePr w:type="lastCol">
      <w:pPr>
        <w:snapToGrid/>
      </w:pPr>
      <w:rPr>
        <w:rFonts w:ascii="Arial" w:hAnsi="Arial"/>
        <w:color w:val="F2F2F2"/>
        <w:sz w:val="22"/>
      </w:rPr>
      <w:tblPr/>
      <w:tcPr>
        <w:shd w:val="clear" w:color="FFD865" w:fill="B2A1C6" w:themeFill="accent4" w:themeFillTint="9A"/>
      </w:tcPr>
    </w:tblStylePr>
    <w:tblStylePr w:type="band1Vert">
      <w:pPr>
        <w:snapToGrid/>
      </w:pPr>
      <w:rPr>
        <w:rFonts w:ascii="Arial" w:hAnsi="Arial"/>
        <w:color w:val="404040"/>
        <w:sz w:val="22"/>
      </w:rPr>
    </w:tblStylePr>
    <w:tblStylePr w:type="band2Vert">
      <w:pPr>
        <w:snapToGrid/>
      </w:pPr>
      <w:rPr>
        <w:rFonts w:ascii="Arial" w:hAnsi="Arial"/>
        <w:color w:val="404040"/>
        <w:sz w:val="22"/>
      </w:rPr>
      <w:tblPr/>
      <w:tcPr>
        <w:shd w:val="clear" w:color="FFF2CB" w:fill="E5DFEC" w:themeFill="accent4" w:themeFillTint="34"/>
      </w:tcPr>
    </w:tblStylePr>
    <w:tblStylePr w:type="band1Horz">
      <w:pPr>
        <w:snapToGrid/>
      </w:pPr>
      <w:rPr>
        <w:rFonts w:ascii="Arial" w:hAnsi="Arial"/>
        <w:color w:val="404040"/>
        <w:sz w:val="22"/>
      </w:rPr>
    </w:tblStylePr>
    <w:tblStylePr w:type="band2Horz">
      <w:pPr>
        <w:snapToGrid/>
      </w:pPr>
      <w:rPr>
        <w:rFonts w:ascii="Arial" w:hAnsi="Arial"/>
        <w:color w:val="404040"/>
        <w:sz w:val="22"/>
      </w:rPr>
      <w:tblPr/>
      <w:tcPr>
        <w:shd w:val="clear" w:color="FFF2CB" w:fill="E5DFEC" w:themeFill="accent4" w:themeFillTint="34"/>
      </w:tc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BorderedLined-Accent5">
    <w:name w:val="Bordered &amp; Lined - Accent 5"/>
    <w:basedOn w:val="TableNormal"/>
    <w:uiPriority w:val="99"/>
    <w:qFormat/>
    <w:rPr>
      <w:color w:val="404040"/>
    </w:rPr>
    <w:tblPr>
      <w:tblBorders>
        <w:top w:val="single" w:sz="4" w:space="0" w:color="266779" w:themeColor="accent5" w:themeShade="95"/>
        <w:left w:val="single" w:sz="4" w:space="0" w:color="266779" w:themeColor="accent5" w:themeShade="95"/>
        <w:bottom w:val="single" w:sz="4" w:space="0" w:color="266779" w:themeColor="accent5" w:themeShade="95"/>
        <w:right w:val="single" w:sz="4" w:space="0" w:color="266779" w:themeColor="accent5" w:themeShade="95"/>
        <w:insideH w:val="single" w:sz="4" w:space="0" w:color="266779" w:themeColor="accent5" w:themeShade="95"/>
        <w:insideV w:val="single" w:sz="4" w:space="0" w:color="266779" w:themeColor="accent5" w:themeShade="95"/>
      </w:tblBorders>
    </w:tblPr>
    <w:tblStylePr w:type="firstRow">
      <w:pPr>
        <w:snapToGrid/>
      </w:pPr>
      <w:rPr>
        <w:rFonts w:ascii="Arial" w:hAnsi="Arial"/>
        <w:color w:val="F2F2F2"/>
        <w:sz w:val="22"/>
      </w:rPr>
      <w:tblPr/>
      <w:tcPr>
        <w:shd w:val="clear" w:color="4472C4" w:fill="4BACC6" w:themeFill="accent5"/>
      </w:tcPr>
    </w:tblStylePr>
    <w:tblStylePr w:type="lastRow">
      <w:pPr>
        <w:snapToGrid/>
      </w:pPr>
      <w:rPr>
        <w:rFonts w:ascii="Arial" w:hAnsi="Arial"/>
        <w:color w:val="F2F2F2"/>
        <w:sz w:val="22"/>
      </w:rPr>
      <w:tblPr/>
      <w:tcPr>
        <w:shd w:val="clear" w:color="4472C4" w:fill="4BACC6" w:themeFill="accent5"/>
      </w:tcPr>
    </w:tblStylePr>
    <w:tblStylePr w:type="firstCol">
      <w:pPr>
        <w:snapToGrid/>
      </w:pPr>
      <w:rPr>
        <w:rFonts w:ascii="Arial" w:hAnsi="Arial"/>
        <w:color w:val="F2F2F2"/>
        <w:sz w:val="22"/>
      </w:rPr>
      <w:tblPr/>
      <w:tcPr>
        <w:shd w:val="clear" w:color="4472C4" w:fill="4BACC6" w:themeFill="accent5"/>
      </w:tcPr>
    </w:tblStylePr>
    <w:tblStylePr w:type="lastCol">
      <w:pPr>
        <w:snapToGrid/>
      </w:pPr>
      <w:rPr>
        <w:rFonts w:ascii="Arial" w:hAnsi="Arial"/>
        <w:color w:val="F2F2F2"/>
        <w:sz w:val="22"/>
      </w:rPr>
      <w:tblPr/>
      <w:tcPr>
        <w:shd w:val="clear" w:color="4472C4" w:fill="4BACC6" w:themeFill="accent5"/>
      </w:tcPr>
    </w:tblStylePr>
    <w:tblStylePr w:type="band1Vert">
      <w:pPr>
        <w:snapToGrid/>
      </w:pPr>
      <w:rPr>
        <w:rFonts w:ascii="Arial" w:hAnsi="Arial"/>
        <w:color w:val="404040"/>
        <w:sz w:val="22"/>
      </w:rPr>
    </w:tblStylePr>
    <w:tblStylePr w:type="band2Vert">
      <w:pPr>
        <w:snapToGrid/>
      </w:pPr>
      <w:rPr>
        <w:rFonts w:ascii="Arial" w:hAnsi="Arial"/>
        <w:color w:val="404040"/>
        <w:sz w:val="22"/>
      </w:rPr>
      <w:tblPr/>
      <w:tcPr>
        <w:shd w:val="clear" w:color="D8E2F3" w:fill="DAEEF3" w:themeFill="accent5" w:themeFillTint="34"/>
      </w:tcPr>
    </w:tblStylePr>
    <w:tblStylePr w:type="band1Horz">
      <w:pPr>
        <w:snapToGrid/>
      </w:pPr>
      <w:rPr>
        <w:rFonts w:ascii="Arial" w:hAnsi="Arial"/>
        <w:color w:val="404040"/>
        <w:sz w:val="22"/>
      </w:rPr>
    </w:tblStylePr>
    <w:tblStylePr w:type="band2Horz">
      <w:pPr>
        <w:snapToGrid/>
      </w:pPr>
      <w:rPr>
        <w:rFonts w:ascii="Arial" w:hAnsi="Arial"/>
        <w:color w:val="404040"/>
        <w:sz w:val="22"/>
      </w:rPr>
      <w:tblPr/>
      <w:tcPr>
        <w:shd w:val="clear" w:color="D8E2F3" w:fill="DAEEF3" w:themeFill="accent5" w:themeFillTint="34"/>
      </w:tc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BorderedLined-Accent6">
    <w:name w:val="Bordered &amp; Lined - Accent 6"/>
    <w:basedOn w:val="TableNormal"/>
    <w:uiPriority w:val="99"/>
    <w:qFormat/>
    <w:rPr>
      <w:color w:val="404040"/>
    </w:rPr>
    <w:tblPr>
      <w:tblBorders>
        <w:top w:val="single" w:sz="4" w:space="0" w:color="B15407" w:themeColor="accent6" w:themeShade="95"/>
        <w:left w:val="single" w:sz="4" w:space="0" w:color="B15407" w:themeColor="accent6" w:themeShade="95"/>
        <w:bottom w:val="single" w:sz="4" w:space="0" w:color="B15407" w:themeColor="accent6" w:themeShade="95"/>
        <w:right w:val="single" w:sz="4" w:space="0" w:color="B15407" w:themeColor="accent6" w:themeShade="95"/>
        <w:insideH w:val="single" w:sz="4" w:space="0" w:color="B15407" w:themeColor="accent6" w:themeShade="95"/>
        <w:insideV w:val="single" w:sz="4" w:space="0" w:color="B15407" w:themeColor="accent6" w:themeShade="95"/>
      </w:tblBorders>
    </w:tblPr>
    <w:tblStylePr w:type="firstRow">
      <w:pPr>
        <w:snapToGrid/>
      </w:pPr>
      <w:rPr>
        <w:rFonts w:ascii="Arial" w:hAnsi="Arial"/>
        <w:color w:val="F2F2F2"/>
        <w:sz w:val="22"/>
      </w:rPr>
      <w:tblPr/>
      <w:tcPr>
        <w:shd w:val="clear" w:color="70AD47" w:fill="F79646" w:themeFill="accent6"/>
      </w:tcPr>
    </w:tblStylePr>
    <w:tblStylePr w:type="lastRow">
      <w:pPr>
        <w:snapToGrid/>
      </w:pPr>
      <w:rPr>
        <w:rFonts w:ascii="Arial" w:hAnsi="Arial"/>
        <w:color w:val="F2F2F2"/>
        <w:sz w:val="22"/>
      </w:rPr>
      <w:tblPr/>
      <w:tcPr>
        <w:shd w:val="clear" w:color="70AD47" w:fill="F79646" w:themeFill="accent6"/>
      </w:tcPr>
    </w:tblStylePr>
    <w:tblStylePr w:type="firstCol">
      <w:pPr>
        <w:snapToGrid/>
      </w:pPr>
      <w:rPr>
        <w:rFonts w:ascii="Arial" w:hAnsi="Arial"/>
        <w:color w:val="F2F2F2"/>
        <w:sz w:val="22"/>
      </w:rPr>
      <w:tblPr/>
      <w:tcPr>
        <w:shd w:val="clear" w:color="70AD47" w:fill="F79646" w:themeFill="accent6"/>
      </w:tcPr>
    </w:tblStylePr>
    <w:tblStylePr w:type="lastCol">
      <w:pPr>
        <w:snapToGrid/>
      </w:pPr>
      <w:rPr>
        <w:rFonts w:ascii="Arial" w:hAnsi="Arial"/>
        <w:color w:val="F2F2F2"/>
        <w:sz w:val="22"/>
      </w:rPr>
      <w:tblPr/>
      <w:tcPr>
        <w:shd w:val="clear" w:color="70AD47" w:fill="F79646" w:themeFill="accent6"/>
      </w:tcPr>
    </w:tblStylePr>
    <w:tblStylePr w:type="band1Vert">
      <w:pPr>
        <w:snapToGrid/>
      </w:pPr>
      <w:rPr>
        <w:rFonts w:ascii="Arial" w:hAnsi="Arial"/>
        <w:color w:val="404040"/>
        <w:sz w:val="22"/>
      </w:rPr>
    </w:tblStylePr>
    <w:tblStylePr w:type="band2Vert">
      <w:pPr>
        <w:snapToGrid/>
      </w:pPr>
      <w:rPr>
        <w:rFonts w:ascii="Arial" w:hAnsi="Arial"/>
        <w:color w:val="404040"/>
        <w:sz w:val="22"/>
      </w:rPr>
      <w:tblPr/>
      <w:tcPr>
        <w:shd w:val="clear" w:color="E1EFD8" w:fill="FDE9D8" w:themeFill="accent6" w:themeFillTint="34"/>
      </w:tcPr>
    </w:tblStylePr>
    <w:tblStylePr w:type="band1Horz">
      <w:pPr>
        <w:snapToGrid/>
      </w:pPr>
      <w:rPr>
        <w:rFonts w:ascii="Arial" w:hAnsi="Arial"/>
        <w:color w:val="404040"/>
        <w:sz w:val="22"/>
      </w:rPr>
    </w:tblStylePr>
    <w:tblStylePr w:type="band2Horz">
      <w:pPr>
        <w:snapToGrid/>
      </w:pPr>
      <w:rPr>
        <w:rFonts w:ascii="Arial" w:hAnsi="Arial"/>
        <w:color w:val="404040"/>
        <w:sz w:val="22"/>
      </w:rPr>
      <w:tblPr/>
      <w:tcPr>
        <w:shd w:val="clear" w:color="E1EFD8" w:fill="FDE9D8" w:themeFill="accent6" w:themeFillTint="34"/>
      </w:tc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Bordered">
    <w:name w:val="Bordered"/>
    <w:basedOn w:val="TableNormal"/>
    <w:uiPriority w:val="99"/>
    <w:qFormat/>
    <w:tblPr>
      <w:tbl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insideH w:val="single" w:sz="4" w:space="0" w:color="D9D9D9" w:themeColor="text1" w:themeTint="26"/>
        <w:insideV w:val="single" w:sz="4" w:space="0" w:color="D9D9D9" w:themeColor="text1" w:themeTint="26"/>
      </w:tblBorders>
    </w:tblPr>
    <w:tblStylePr w:type="firstRow">
      <w:pPr>
        <w:snapToGrid/>
      </w:pPr>
      <w:rPr>
        <w:rFonts w:ascii="Arial" w:hAnsi="Arial"/>
        <w:color w:val="404040"/>
        <w:sz w:val="22"/>
      </w:rPr>
      <w:tblPr/>
      <w:tcPr>
        <w:tcBorders>
          <w:bottom w:val="single" w:sz="12" w:space="0" w:color="7F7F7F" w:themeColor="text1" w:themeTint="80"/>
        </w:tcBorders>
      </w:tcPr>
    </w:tblStylePr>
    <w:tblStylePr w:type="lastRow">
      <w:pPr>
        <w:snapToGrid/>
      </w:pPr>
      <w:rPr>
        <w:rFonts w:ascii="Arial" w:hAnsi="Arial"/>
        <w:color w:val="404040"/>
        <w:sz w:val="22"/>
      </w:rPr>
      <w:tblPr/>
      <w:tcPr>
        <w:tcBorders>
          <w:top w:val="single" w:sz="12" w:space="0" w:color="7F7F7F" w:themeColor="text1" w:themeTint="80"/>
        </w:tcBorders>
      </w:tcPr>
    </w:tblStylePr>
    <w:tblStylePr w:type="firstCol">
      <w:pPr>
        <w:snapToGrid/>
      </w:pPr>
      <w:rPr>
        <w:rFonts w:ascii="Arial" w:hAnsi="Arial"/>
        <w:color w:val="404040"/>
        <w:sz w:val="22"/>
      </w:rPr>
    </w:tblStylePr>
    <w:tblStylePr w:type="lastCol">
      <w:pPr>
        <w:snapToGrid/>
      </w:pPr>
      <w:rPr>
        <w:rFonts w:ascii="Arial" w:hAnsi="Arial"/>
        <w:color w:val="404040"/>
        <w:sz w:val="22"/>
      </w:rPr>
      <w:tblPr/>
      <w:tcPr>
        <w:tcBorders>
          <w:left w:val="single" w:sz="12" w:space="0" w:color="7F7F7F" w:themeColor="text1" w:themeTint="80"/>
        </w:tcBorders>
      </w:tcPr>
    </w:tblStylePr>
    <w:tblStylePr w:type="band1Vert">
      <w:pPr>
        <w:snapToGrid/>
      </w:pPr>
    </w:tblStylePr>
    <w:tblStylePr w:type="band2Vert">
      <w:pPr>
        <w:snapToGrid/>
      </w:pPr>
    </w:tblStylePr>
    <w:tblStylePr w:type="band1Horz">
      <w:pPr>
        <w:snapToGrid/>
      </w:pPr>
      <w:rPr>
        <w:rFonts w:ascii="Arial" w:hAnsi="Arial"/>
        <w:color w:val="404040"/>
        <w:sz w:val="22"/>
      </w:rPr>
      <w:tblPr/>
      <w:tcPr>
        <w:tc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tcBorders>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Bordered-Accent1">
    <w:name w:val="Bordered - Accent 1"/>
    <w:basedOn w:val="TableNormal"/>
    <w:uiPriority w:val="99"/>
    <w:qFormat/>
    <w:tblPr>
      <w:tbl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insideH w:val="single" w:sz="4" w:space="0" w:color="B7CBE4" w:themeColor="accent1" w:themeTint="67"/>
        <w:insideV w:val="single" w:sz="4" w:space="0" w:color="B7CBE4" w:themeColor="accent1" w:themeTint="67"/>
      </w:tblBorders>
    </w:tblPr>
    <w:tblStylePr w:type="firstRow">
      <w:pPr>
        <w:snapToGrid/>
      </w:pPr>
      <w:rPr>
        <w:rFonts w:ascii="Arial" w:hAnsi="Arial"/>
        <w:color w:val="404040"/>
        <w:sz w:val="22"/>
      </w:rPr>
      <w:tblPr/>
      <w:tcPr>
        <w:tcBorders>
          <w:bottom w:val="single" w:sz="12" w:space="0" w:color="4F81BD" w:themeColor="accent1"/>
        </w:tcBorders>
      </w:tcPr>
    </w:tblStylePr>
    <w:tblStylePr w:type="lastRow">
      <w:pPr>
        <w:snapToGrid/>
      </w:pPr>
      <w:rPr>
        <w:rFonts w:ascii="Arial" w:hAnsi="Arial"/>
        <w:color w:val="404040"/>
        <w:sz w:val="22"/>
      </w:rPr>
      <w:tblPr/>
      <w:tcPr>
        <w:tcBorders>
          <w:top w:val="single" w:sz="12" w:space="0" w:color="4F81BD" w:themeColor="accent1"/>
        </w:tcBorders>
      </w:tcPr>
    </w:tblStylePr>
    <w:tblStylePr w:type="firstCol">
      <w:pPr>
        <w:snapToGrid/>
      </w:pPr>
      <w:rPr>
        <w:rFonts w:ascii="Arial" w:hAnsi="Arial"/>
        <w:color w:val="404040"/>
        <w:sz w:val="22"/>
      </w:rPr>
    </w:tblStylePr>
    <w:tblStylePr w:type="lastCol">
      <w:pPr>
        <w:snapToGrid/>
      </w:pPr>
      <w:rPr>
        <w:rFonts w:ascii="Arial" w:hAnsi="Arial"/>
        <w:color w:val="404040"/>
        <w:sz w:val="22"/>
      </w:rPr>
      <w:tblPr/>
      <w:tcPr>
        <w:tcBorders>
          <w:left w:val="single" w:sz="12" w:space="0" w:color="4F81BD" w:themeColor="accent1"/>
        </w:tcBorders>
      </w:tcPr>
    </w:tblStylePr>
    <w:tblStylePr w:type="band1Vert">
      <w:pPr>
        <w:snapToGrid/>
      </w:pPr>
    </w:tblStylePr>
    <w:tblStylePr w:type="band2Vert">
      <w:pPr>
        <w:snapToGrid/>
      </w:pPr>
    </w:tblStylePr>
    <w:tblStylePr w:type="band1Horz">
      <w:pPr>
        <w:snapToGrid/>
      </w:pPr>
      <w:rPr>
        <w:rFonts w:ascii="Arial" w:hAnsi="Arial"/>
        <w:color w:val="404040"/>
        <w:sz w:val="22"/>
      </w:rPr>
      <w:tblPr/>
      <w:tcPr>
        <w:tc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tcBorders>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Bordered-Accent2">
    <w:name w:val="Bordered - Accent 2"/>
    <w:basedOn w:val="TableNormal"/>
    <w:uiPriority w:val="99"/>
    <w:qFormat/>
    <w:tblPr>
      <w:tbl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insideH w:val="single" w:sz="4" w:space="0" w:color="E5B7B6" w:themeColor="accent2" w:themeTint="67"/>
        <w:insideV w:val="single" w:sz="4" w:space="0" w:color="E5B7B6" w:themeColor="accent2" w:themeTint="67"/>
      </w:tblBorders>
    </w:tblPr>
    <w:tblStylePr w:type="firstRow">
      <w:pPr>
        <w:snapToGrid/>
      </w:pPr>
      <w:rPr>
        <w:rFonts w:ascii="Arial" w:hAnsi="Arial"/>
        <w:color w:val="404040"/>
        <w:sz w:val="22"/>
      </w:rPr>
      <w:tblPr/>
      <w:tcPr>
        <w:tcBorders>
          <w:bottom w:val="single" w:sz="12" w:space="0" w:color="D99695" w:themeColor="accent2" w:themeTint="97"/>
        </w:tcBorders>
      </w:tcPr>
    </w:tblStylePr>
    <w:tblStylePr w:type="lastRow">
      <w:pPr>
        <w:snapToGrid/>
      </w:pPr>
      <w:rPr>
        <w:rFonts w:ascii="Arial" w:hAnsi="Arial"/>
        <w:color w:val="404040"/>
        <w:sz w:val="22"/>
      </w:rPr>
      <w:tblPr/>
      <w:tcPr>
        <w:tcBorders>
          <w:top w:val="single" w:sz="12" w:space="0" w:color="D99695" w:themeColor="accent2" w:themeTint="97"/>
        </w:tcBorders>
      </w:tcPr>
    </w:tblStylePr>
    <w:tblStylePr w:type="firstCol">
      <w:pPr>
        <w:snapToGrid/>
      </w:pPr>
      <w:rPr>
        <w:rFonts w:ascii="Arial" w:hAnsi="Arial"/>
        <w:color w:val="404040"/>
        <w:sz w:val="22"/>
      </w:rPr>
    </w:tblStylePr>
    <w:tblStylePr w:type="lastCol">
      <w:pPr>
        <w:snapToGrid/>
      </w:pPr>
      <w:rPr>
        <w:rFonts w:ascii="Arial" w:hAnsi="Arial"/>
        <w:color w:val="404040"/>
        <w:sz w:val="22"/>
      </w:rPr>
      <w:tblPr/>
      <w:tcPr>
        <w:tcBorders>
          <w:left w:val="single" w:sz="12" w:space="0" w:color="D99695" w:themeColor="accent2" w:themeTint="97"/>
        </w:tcBorders>
      </w:tcPr>
    </w:tblStylePr>
    <w:tblStylePr w:type="band1Vert">
      <w:pPr>
        <w:snapToGrid/>
      </w:pPr>
    </w:tblStylePr>
    <w:tblStylePr w:type="band2Vert">
      <w:pPr>
        <w:snapToGrid/>
      </w:pPr>
    </w:tblStylePr>
    <w:tblStylePr w:type="band1Horz">
      <w:pPr>
        <w:snapToGrid/>
      </w:pPr>
      <w:rPr>
        <w:rFonts w:ascii="Arial" w:hAnsi="Arial"/>
        <w:color w:val="404040"/>
        <w:sz w:val="22"/>
      </w:rPr>
      <w:tblPr/>
      <w:tcPr>
        <w:tc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tcBorders>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Bordered-Accent3">
    <w:name w:val="Bordered - Accent 3"/>
    <w:basedOn w:val="TableNormal"/>
    <w:uiPriority w:val="99"/>
    <w:qFormat/>
    <w:tblPr>
      <w:tbl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insideH w:val="single" w:sz="4" w:space="0" w:color="D6E3BB" w:themeColor="accent3" w:themeTint="67"/>
        <w:insideV w:val="single" w:sz="4" w:space="0" w:color="D6E3BB" w:themeColor="accent3" w:themeTint="67"/>
      </w:tblBorders>
    </w:tblPr>
    <w:tblStylePr w:type="firstRow">
      <w:pPr>
        <w:snapToGrid/>
      </w:pPr>
      <w:rPr>
        <w:rFonts w:ascii="Arial" w:hAnsi="Arial"/>
        <w:color w:val="404040"/>
        <w:sz w:val="22"/>
      </w:rPr>
      <w:tblPr/>
      <w:tcPr>
        <w:tcBorders>
          <w:bottom w:val="single" w:sz="12" w:space="0" w:color="C3D69B" w:themeColor="accent3" w:themeTint="98"/>
        </w:tcBorders>
      </w:tcPr>
    </w:tblStylePr>
    <w:tblStylePr w:type="lastRow">
      <w:pPr>
        <w:snapToGrid/>
      </w:pPr>
      <w:rPr>
        <w:rFonts w:ascii="Arial" w:hAnsi="Arial"/>
        <w:color w:val="404040"/>
        <w:sz w:val="22"/>
      </w:rPr>
      <w:tblPr/>
      <w:tcPr>
        <w:tcBorders>
          <w:top w:val="single" w:sz="12" w:space="0" w:color="C3D69B" w:themeColor="accent3" w:themeTint="98"/>
        </w:tcBorders>
      </w:tcPr>
    </w:tblStylePr>
    <w:tblStylePr w:type="firstCol">
      <w:pPr>
        <w:snapToGrid/>
      </w:pPr>
      <w:rPr>
        <w:rFonts w:ascii="Arial" w:hAnsi="Arial"/>
        <w:color w:val="404040"/>
        <w:sz w:val="22"/>
      </w:rPr>
    </w:tblStylePr>
    <w:tblStylePr w:type="lastCol">
      <w:pPr>
        <w:snapToGrid/>
      </w:pPr>
      <w:rPr>
        <w:rFonts w:ascii="Arial" w:hAnsi="Arial"/>
        <w:color w:val="404040"/>
        <w:sz w:val="22"/>
      </w:rPr>
      <w:tblPr/>
      <w:tcPr>
        <w:tcBorders>
          <w:left w:val="single" w:sz="12" w:space="0" w:color="C3D69B" w:themeColor="accent3" w:themeTint="98"/>
        </w:tcBorders>
      </w:tcPr>
    </w:tblStylePr>
    <w:tblStylePr w:type="band1Vert">
      <w:pPr>
        <w:snapToGrid/>
      </w:pPr>
    </w:tblStylePr>
    <w:tblStylePr w:type="band2Vert">
      <w:pPr>
        <w:snapToGrid/>
      </w:pPr>
    </w:tblStylePr>
    <w:tblStylePr w:type="band1Horz">
      <w:pPr>
        <w:snapToGrid/>
      </w:pPr>
      <w:rPr>
        <w:rFonts w:ascii="Arial" w:hAnsi="Arial"/>
        <w:color w:val="404040"/>
        <w:sz w:val="22"/>
      </w:rPr>
      <w:tblPr/>
      <w:tcPr>
        <w:tc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tcBorders>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Bordered-Accent4">
    <w:name w:val="Bordered - Accent 4"/>
    <w:basedOn w:val="TableNormal"/>
    <w:uiPriority w:val="99"/>
    <w:qFormat/>
    <w:tblPr>
      <w:tbl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insideH w:val="single" w:sz="4" w:space="0" w:color="CBC0D9" w:themeColor="accent4" w:themeTint="67"/>
        <w:insideV w:val="single" w:sz="4" w:space="0" w:color="CBC0D9" w:themeColor="accent4" w:themeTint="67"/>
      </w:tblBorders>
    </w:tblPr>
    <w:tblStylePr w:type="firstRow">
      <w:pPr>
        <w:snapToGrid/>
      </w:pPr>
      <w:rPr>
        <w:rFonts w:ascii="Arial" w:hAnsi="Arial"/>
        <w:color w:val="404040"/>
        <w:sz w:val="22"/>
      </w:rPr>
      <w:tblPr/>
      <w:tcPr>
        <w:tcBorders>
          <w:bottom w:val="single" w:sz="12" w:space="0" w:color="B2A1C6" w:themeColor="accent4" w:themeTint="9A"/>
        </w:tcBorders>
      </w:tcPr>
    </w:tblStylePr>
    <w:tblStylePr w:type="lastRow">
      <w:pPr>
        <w:snapToGrid/>
      </w:pPr>
      <w:rPr>
        <w:rFonts w:ascii="Arial" w:hAnsi="Arial"/>
        <w:color w:val="404040"/>
        <w:sz w:val="22"/>
      </w:rPr>
      <w:tblPr/>
      <w:tcPr>
        <w:tcBorders>
          <w:top w:val="single" w:sz="12" w:space="0" w:color="B2A1C6" w:themeColor="accent4" w:themeTint="9A"/>
        </w:tcBorders>
      </w:tcPr>
    </w:tblStylePr>
    <w:tblStylePr w:type="firstCol">
      <w:pPr>
        <w:snapToGrid/>
      </w:pPr>
      <w:rPr>
        <w:rFonts w:ascii="Arial" w:hAnsi="Arial"/>
        <w:color w:val="404040"/>
        <w:sz w:val="22"/>
      </w:rPr>
    </w:tblStylePr>
    <w:tblStylePr w:type="lastCol">
      <w:pPr>
        <w:snapToGrid/>
      </w:pPr>
      <w:rPr>
        <w:rFonts w:ascii="Arial" w:hAnsi="Arial"/>
        <w:color w:val="404040"/>
        <w:sz w:val="22"/>
      </w:rPr>
      <w:tblPr/>
      <w:tcPr>
        <w:tcBorders>
          <w:left w:val="single" w:sz="12" w:space="0" w:color="B2A1C6" w:themeColor="accent4" w:themeTint="9A"/>
        </w:tcBorders>
      </w:tcPr>
    </w:tblStylePr>
    <w:tblStylePr w:type="band1Vert">
      <w:pPr>
        <w:snapToGrid/>
      </w:pPr>
    </w:tblStylePr>
    <w:tblStylePr w:type="band2Vert">
      <w:pPr>
        <w:snapToGrid/>
      </w:pPr>
    </w:tblStylePr>
    <w:tblStylePr w:type="band1Horz">
      <w:pPr>
        <w:snapToGrid/>
      </w:pPr>
      <w:rPr>
        <w:rFonts w:ascii="Arial" w:hAnsi="Arial"/>
        <w:color w:val="404040"/>
        <w:sz w:val="22"/>
      </w:rPr>
      <w:tblPr/>
      <w:tcPr>
        <w:tc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tcBorders>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Bordered-Accent5">
    <w:name w:val="Bordered - Accent 5"/>
    <w:basedOn w:val="TableNormal"/>
    <w:uiPriority w:val="99"/>
    <w:qFormat/>
    <w:tblPr>
      <w:tbl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insideH w:val="single" w:sz="4" w:space="0" w:color="B6DDE8" w:themeColor="accent5" w:themeTint="67"/>
        <w:insideV w:val="single" w:sz="4" w:space="0" w:color="B6DDE8" w:themeColor="accent5" w:themeTint="67"/>
      </w:tblBorders>
    </w:tblPr>
    <w:tblStylePr w:type="firstRow">
      <w:pPr>
        <w:snapToGrid/>
      </w:pPr>
      <w:rPr>
        <w:rFonts w:ascii="Arial" w:hAnsi="Arial"/>
        <w:color w:val="404040"/>
        <w:sz w:val="22"/>
      </w:rPr>
      <w:tblPr/>
      <w:tcPr>
        <w:tcBorders>
          <w:bottom w:val="single" w:sz="12" w:space="0" w:color="92CCDC" w:themeColor="accent5" w:themeTint="9A"/>
        </w:tcBorders>
      </w:tcPr>
    </w:tblStylePr>
    <w:tblStylePr w:type="lastRow">
      <w:pPr>
        <w:snapToGrid/>
      </w:pPr>
      <w:rPr>
        <w:rFonts w:ascii="Arial" w:hAnsi="Arial"/>
        <w:color w:val="404040"/>
        <w:sz w:val="22"/>
      </w:rPr>
      <w:tblPr/>
      <w:tcPr>
        <w:tcBorders>
          <w:top w:val="single" w:sz="12" w:space="0" w:color="92CCDC" w:themeColor="accent5" w:themeTint="9A"/>
        </w:tcBorders>
      </w:tcPr>
    </w:tblStylePr>
    <w:tblStylePr w:type="firstCol">
      <w:pPr>
        <w:snapToGrid/>
      </w:pPr>
      <w:rPr>
        <w:rFonts w:ascii="Arial" w:hAnsi="Arial"/>
        <w:color w:val="404040"/>
        <w:sz w:val="22"/>
      </w:rPr>
    </w:tblStylePr>
    <w:tblStylePr w:type="lastCol">
      <w:pPr>
        <w:snapToGrid/>
      </w:pPr>
      <w:rPr>
        <w:rFonts w:ascii="Arial" w:hAnsi="Arial"/>
        <w:color w:val="404040"/>
        <w:sz w:val="22"/>
      </w:rPr>
      <w:tblPr/>
      <w:tcPr>
        <w:tcBorders>
          <w:left w:val="single" w:sz="12" w:space="0" w:color="92CCDC" w:themeColor="accent5" w:themeTint="9A"/>
        </w:tcBorders>
      </w:tcPr>
    </w:tblStylePr>
    <w:tblStylePr w:type="band1Vert">
      <w:pPr>
        <w:snapToGrid/>
      </w:pPr>
    </w:tblStylePr>
    <w:tblStylePr w:type="band2Vert">
      <w:pPr>
        <w:snapToGrid/>
      </w:pPr>
    </w:tblStylePr>
    <w:tblStylePr w:type="band1Horz">
      <w:pPr>
        <w:snapToGrid/>
      </w:pPr>
      <w:rPr>
        <w:rFonts w:ascii="Arial" w:hAnsi="Arial"/>
        <w:color w:val="404040"/>
        <w:sz w:val="22"/>
      </w:rPr>
      <w:tblPr/>
      <w:tcPr>
        <w:tc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tcBorders>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Bordered-Accent6">
    <w:name w:val="Bordered - Accent 6"/>
    <w:basedOn w:val="TableNormal"/>
    <w:uiPriority w:val="99"/>
    <w:qFormat/>
    <w:tblPr>
      <w:tbl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insideH w:val="single" w:sz="4" w:space="0" w:color="FBD4B4" w:themeColor="accent6" w:themeTint="67"/>
        <w:insideV w:val="single" w:sz="4" w:space="0" w:color="FBD4B4" w:themeColor="accent6" w:themeTint="67"/>
      </w:tblBorders>
    </w:tblPr>
    <w:tblStylePr w:type="firstRow">
      <w:pPr>
        <w:snapToGrid/>
      </w:pPr>
      <w:rPr>
        <w:rFonts w:ascii="Arial" w:hAnsi="Arial"/>
        <w:color w:val="404040"/>
        <w:sz w:val="22"/>
      </w:rPr>
      <w:tblPr/>
      <w:tcPr>
        <w:tcBorders>
          <w:bottom w:val="single" w:sz="12" w:space="0" w:color="FAC090" w:themeColor="accent6" w:themeTint="98"/>
        </w:tcBorders>
      </w:tcPr>
    </w:tblStylePr>
    <w:tblStylePr w:type="lastRow">
      <w:pPr>
        <w:snapToGrid/>
      </w:pPr>
      <w:rPr>
        <w:rFonts w:ascii="Arial" w:hAnsi="Arial"/>
        <w:color w:val="404040"/>
        <w:sz w:val="22"/>
      </w:rPr>
      <w:tblPr/>
      <w:tcPr>
        <w:tcBorders>
          <w:top w:val="single" w:sz="12" w:space="0" w:color="FAC090" w:themeColor="accent6" w:themeTint="98"/>
        </w:tcBorders>
      </w:tcPr>
    </w:tblStylePr>
    <w:tblStylePr w:type="firstCol">
      <w:pPr>
        <w:snapToGrid/>
      </w:pPr>
      <w:rPr>
        <w:rFonts w:ascii="Arial" w:hAnsi="Arial"/>
        <w:color w:val="404040"/>
        <w:sz w:val="22"/>
      </w:rPr>
    </w:tblStylePr>
    <w:tblStylePr w:type="lastCol">
      <w:pPr>
        <w:snapToGrid/>
      </w:pPr>
      <w:rPr>
        <w:rFonts w:ascii="Arial" w:hAnsi="Arial"/>
        <w:color w:val="404040"/>
        <w:sz w:val="22"/>
      </w:rPr>
      <w:tblPr/>
      <w:tcPr>
        <w:tcBorders>
          <w:left w:val="single" w:sz="12" w:space="0" w:color="FAC090" w:themeColor="accent6" w:themeTint="98"/>
        </w:tcBorders>
      </w:tcPr>
    </w:tblStylePr>
    <w:tblStylePr w:type="band1Vert">
      <w:pPr>
        <w:snapToGrid/>
      </w:pPr>
    </w:tblStylePr>
    <w:tblStylePr w:type="band2Vert">
      <w:pPr>
        <w:snapToGrid/>
      </w:pPr>
    </w:tblStylePr>
    <w:tblStylePr w:type="band1Horz">
      <w:pPr>
        <w:snapToGrid/>
      </w:pPr>
      <w:rPr>
        <w:rFonts w:ascii="Arial" w:hAnsi="Arial"/>
        <w:color w:val="404040"/>
        <w:sz w:val="22"/>
      </w:rPr>
      <w:tblPr/>
      <w:tcPr>
        <w:tc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tcBorders>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character" w:customStyle="1" w:styleId="a3">
    <w:name w:val="脚注文本 字符"/>
    <w:link w:val="FootnoteText"/>
    <w:uiPriority w:val="99"/>
    <w:qFormat/>
    <w:rPr>
      <w:sz w:val="18"/>
    </w:rPr>
  </w:style>
  <w:style w:type="paragraph" w:customStyle="1" w:styleId="TOC100">
    <w:name w:val="TOC 标题1_0"/>
    <w:uiPriority w:val="39"/>
    <w:unhideWhenUsed/>
    <w:qFormat/>
    <w:pPr>
      <w:shd w:val="clear" w:color="FFFFFF" w:fill="FFFFFF"/>
    </w:pPr>
    <w:rPr>
      <w:rFonts w:ascii="Times New Roman" w:hAnsi="Times New Roman" w:cs="Times New Roman"/>
      <w:szCs w:val="22"/>
    </w:rPr>
  </w:style>
  <w:style w:type="paragraph" w:customStyle="1" w:styleId="wz1">
    <w:name w:val="wz1"/>
    <w:basedOn w:val="Normal"/>
    <w:qFormat/>
    <w:pPr>
      <w:widowControl/>
      <w:spacing w:before="100" w:beforeAutospacing="1" w:after="100" w:afterAutospacing="1" w:line="245" w:lineRule="atLeast"/>
      <w:jc w:val="left"/>
    </w:pPr>
    <w:rPr>
      <w:rFonts w:ascii="Arial Unicode MS" w:hAnsi="Arial Unicode MS" w:cs="Arial Unicode MS"/>
      <w:color w:val="CC0000"/>
      <w:sz w:val="22"/>
      <w:szCs w:val="22"/>
    </w:rPr>
  </w:style>
  <w:style w:type="character" w:customStyle="1" w:styleId="read">
    <w:name w:val="read"/>
    <w:basedOn w:val="DefaultParagraphFont"/>
    <w:qFormat/>
  </w:style>
  <w:style w:type="character" w:customStyle="1" w:styleId="13">
    <w:name w:val="已访问的超链接1"/>
    <w:qFormat/>
    <w:rPr>
      <w:color w:val="800080"/>
      <w:u w:val="single"/>
    </w:rPr>
  </w:style>
  <w:style w:type="paragraph" w:customStyle="1" w:styleId="Char">
    <w:name w:val="Char"/>
    <w:basedOn w:val="Normal"/>
    <w:qFormat/>
  </w:style>
  <w:style w:type="paragraph" w:customStyle="1" w:styleId="Char1">
    <w:name w:val="Char1"/>
    <w:basedOn w:val="Normal"/>
    <w:qFormat/>
    <w:pPr>
      <w:tabs>
        <w:tab w:val="left" w:pos="832"/>
      </w:tabs>
      <w:ind w:left="832" w:hanging="420"/>
      <w:jc w:val="center"/>
    </w:pPr>
    <w:rPr>
      <w:rFonts w:ascii="楷体_GB2312" w:eastAsia="楷体_GB2312"/>
      <w:b/>
      <w:color w:val="000080"/>
      <w:sz w:val="30"/>
      <w:szCs w:val="30"/>
    </w:rPr>
  </w:style>
  <w:style w:type="paragraph" w:customStyle="1" w:styleId="Char2">
    <w:name w:val="Char2"/>
    <w:basedOn w:val="Normal"/>
    <w:qFormat/>
  </w:style>
  <w:style w:type="paragraph" w:customStyle="1" w:styleId="CharCharCharCharCharCharChar">
    <w:name w:val="Char Char Char Char Char Char Char"/>
    <w:basedOn w:val="Normal"/>
    <w:qFormat/>
  </w:style>
  <w:style w:type="paragraph" w:customStyle="1" w:styleId="Default">
    <w:name w:val="Default"/>
    <w:qFormat/>
    <w:pPr>
      <w:widowControl w:val="0"/>
      <w:shd w:val="clear" w:color="FFFFFF" w:fill="FFFFFF"/>
    </w:pPr>
    <w:rPr>
      <w:rFonts w:ascii="宋体" w:hAnsi="Times New Roman" w:cs="Times New Roman"/>
      <w:color w:val="000000"/>
      <w:sz w:val="24"/>
      <w:szCs w:val="24"/>
    </w:rPr>
  </w:style>
  <w:style w:type="character" w:customStyle="1" w:styleId="a4">
    <w:name w:val="批注文字 字符"/>
    <w:link w:val="CommentText"/>
    <w:qFormat/>
    <w:rPr>
      <w:rFonts w:eastAsia="宋体"/>
      <w:sz w:val="21"/>
      <w:szCs w:val="24"/>
      <w:lang w:val="en-US" w:eastAsia="zh-CN" w:bidi="ar-SA"/>
    </w:rPr>
  </w:style>
  <w:style w:type="paragraph" w:customStyle="1" w:styleId="14">
    <w:name w:val="修订1"/>
    <w:hidden/>
    <w:uiPriority w:val="99"/>
    <w:semiHidden/>
    <w:qFormat/>
    <w:pPr>
      <w:shd w:val="clear" w:color="FFFFFF" w:fill="FFFFFF"/>
    </w:pPr>
    <w:rPr>
      <w:rFonts w:ascii="Times New Roman" w:hAnsi="Times New Roman" w:cs="Times New Roman"/>
      <w:sz w:val="21"/>
      <w:szCs w:val="24"/>
    </w:rPr>
  </w:style>
  <w:style w:type="character" w:customStyle="1" w:styleId="a5">
    <w:name w:val="标题 字符"/>
    <w:link w:val="Title"/>
    <w:qFormat/>
    <w:rPr>
      <w:rFonts w:ascii="Arial" w:hAnsi="Arial" w:cs="Arial"/>
      <w:b/>
      <w:bCs/>
      <w:sz w:val="32"/>
      <w:szCs w:val="32"/>
    </w:rPr>
  </w:style>
  <w:style w:type="character" w:customStyle="1" w:styleId="a6">
    <w:name w:val="页脚 字符"/>
    <w:link w:val="10"/>
    <w:uiPriority w:val="99"/>
    <w:qFormat/>
    <w:rPr>
      <w:sz w:val="18"/>
      <w:szCs w:val="18"/>
    </w:rPr>
  </w:style>
  <w:style w:type="character" w:customStyle="1" w:styleId="a7">
    <w:name w:val="页眉 字符"/>
    <w:link w:val="12"/>
    <w:uiPriority w:val="99"/>
    <w:qFormat/>
    <w:rPr>
      <w:sz w:val="18"/>
      <w:szCs w:val="18"/>
    </w:rPr>
  </w:style>
  <w:style w:type="character" w:customStyle="1" w:styleId="15">
    <w:name w:val="标题 1 字符"/>
    <w:link w:val="11"/>
    <w:qFormat/>
    <w:rPr>
      <w:b/>
      <w:bCs/>
      <w:sz w:val="44"/>
      <w:szCs w:val="44"/>
    </w:rPr>
  </w:style>
  <w:style w:type="paragraph" w:customStyle="1" w:styleId="Char3">
    <w:name w:val="Char3"/>
    <w:basedOn w:val="Normal"/>
    <w:qFormat/>
  </w:style>
  <w:style w:type="paragraph" w:customStyle="1" w:styleId="Char11">
    <w:name w:val="Char11"/>
    <w:basedOn w:val="Normal"/>
    <w:qFormat/>
    <w:pPr>
      <w:tabs>
        <w:tab w:val="left" w:pos="832"/>
      </w:tabs>
      <w:ind w:left="832" w:hanging="420"/>
      <w:jc w:val="center"/>
    </w:pPr>
    <w:rPr>
      <w:rFonts w:ascii="楷体_GB2312" w:eastAsia="楷体_GB2312"/>
      <w:b/>
      <w:color w:val="000080"/>
      <w:sz w:val="30"/>
      <w:szCs w:val="30"/>
    </w:rPr>
  </w:style>
  <w:style w:type="paragraph" w:customStyle="1" w:styleId="CharCharCharCharCharCharChar1">
    <w:name w:val="Char Char Char Char Char Char Char1"/>
    <w:basedOn w:val="Normal"/>
  </w:style>
  <w:style w:type="character" w:customStyle="1" w:styleId="enlinefeed">
    <w:name w:val="enlinefeed"/>
    <w:basedOn w:val="DefaultParagraphFont"/>
  </w:style>
  <w:style w:type="paragraph" w:customStyle="1" w:styleId="20">
    <w:name w:val="修订2"/>
    <w:hidden/>
    <w:uiPriority w:val="99"/>
    <w:semiHidden/>
    <w:rPr>
      <w:rFonts w:ascii="Times New Roman" w:hAnsi="Times New Roman" w:cs="Times New Roman"/>
      <w:sz w:val="21"/>
      <w:szCs w:val="24"/>
    </w:rPr>
  </w:style>
  <w:style w:type="character" w:customStyle="1" w:styleId="16">
    <w:name w:val="页眉 字符1"/>
    <w:basedOn w:val="DefaultParagraphFont"/>
    <w:link w:val="Header"/>
    <w:uiPriority w:val="99"/>
    <w:rPr>
      <w:rFonts w:ascii="Times New Roman" w:hAnsi="Times New Roman" w:cs="Times New Roman"/>
      <w:sz w:val="18"/>
      <w:szCs w:val="18"/>
      <w:shd w:val="clear" w:color="FFFFFF" w:fill="FFFFFF"/>
      <w:lang w:eastAsia="zh-CN"/>
    </w:rPr>
  </w:style>
  <w:style w:type="character" w:customStyle="1" w:styleId="17">
    <w:name w:val="页脚 字符1"/>
    <w:basedOn w:val="DefaultParagraphFont"/>
    <w:link w:val="Footer"/>
    <w:uiPriority w:val="99"/>
    <w:rPr>
      <w:rFonts w:ascii="Times New Roman" w:hAnsi="Times New Roman" w:cs="Times New Roman"/>
      <w:sz w:val="18"/>
      <w:szCs w:val="18"/>
      <w:shd w:val="clear" w:color="FFFFFF" w:fill="FFFFFF"/>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microsoft.com/office/2011/relationships/people" Target="people.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footer" Target="footer1.xml" /><Relationship Id="rId6" Type="http://schemas.openxmlformats.org/officeDocument/2006/relationships/footer" Target="footer2.xml" /><Relationship Id="rId7" Type="http://schemas.openxmlformats.org/officeDocument/2006/relationships/header" Target="header1.xml" /><Relationship Id="rId8" Type="http://schemas.openxmlformats.org/officeDocument/2006/relationships/theme" Target="theme/theme1.xml" /><Relationship Id="rId9" Type="http://schemas.openxmlformats.org/officeDocument/2006/relationships/styles" Target="styles.xml" /></Relationships>
</file>

<file path=word/theme/theme1.xml><?xml version="1.0" encoding="utf-8"?>
<a:theme xmlns:a="http://schemas.openxmlformats.org/drawingml/2006/main" name="Office">
  <a:themeElements>
    <a:clrScheme nam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
      <a:majorFont>
        <a:latin typeface="Arial"/>
        <a:ea typeface="黑体"/>
        <a:cs typeface="Arial"/>
      </a:majorFont>
      <a:minorFont>
        <a:latin typeface="Arial"/>
        <a:ea typeface="宋体"/>
        <a:cs typeface="Arial"/>
      </a:minorFont>
    </a:fontScheme>
    <a:fmtScheme>
      <a:fillStyleLst>
        <a:solidFill>
          <a:schemeClr val="phClr"/>
        </a:solidFill>
        <a:solidFill>
          <a:srgbClr val="FFFFFF"/>
        </a:solidFill>
        <a:solidFill>
          <a:srgbClr val="FFFFFF"/>
        </a:solidFill>
      </a:fillStyleLst>
      <a:lnStyleLst>
        <a:ln w="9525">
          <a:solidFill>
            <a:schemeClr val="phClr">
              <a:shade val="95000"/>
              <a:satMod val="105000"/>
            </a:schemeClr>
          </a:solidFill>
        </a:ln>
        <a:ln w="25400">
          <a:solidFill>
            <a:schemeClr val="phClr"/>
          </a:solidFill>
        </a:ln>
        <a:ln w="38100">
          <a:solidFill>
            <a:schemeClr val="phClr"/>
          </a:solidFill>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solidFill>
          <a:srgbClr val="000000"/>
        </a:solidFill>
        <a:solidFill>
          <a:srgbClr val="000000"/>
        </a:soli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s:customData xmlns="http://www.wps.cn/officeDocument/2013/wpsCustomData" xmlns:s="http://www.wps.cn/officeDocument/2013/wpsCustomData">
  <customSectProps>
    <customSectPr/>
    <customSectPr/>
    <customSectPr/>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otalTime>0</TotalTime>
  <Pages>36</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2052-0.0.0.0</vt:lpwstr>
  </property>
</Properties>
</file>