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2.0 -->
  <w:body>
    <w:p w:rsidR="004A090B">
      <w:pPr>
        <w:snapToGrid w:val="0"/>
        <w:spacing w:line="360" w:lineRule="auto"/>
        <w:jc w:val="left"/>
        <w:rPr>
          <w:rFonts w:ascii="宋体" w:hAnsi="Calibri" w:cs="宋体"/>
          <w:szCs w:val="21"/>
        </w:rPr>
      </w:pPr>
    </w:p>
    <w:p w:rsidR="004A090B">
      <w:pPr>
        <w:tabs>
          <w:tab w:val="left" w:pos="1890"/>
        </w:tabs>
        <w:rPr>
          <w:rFonts w:ascii="宋体" w:hAnsi="Calibri" w:cs="宋体"/>
          <w:i/>
          <w:iCs/>
          <w:sz w:val="28"/>
          <w:szCs w:val="28"/>
        </w:rPr>
      </w:pPr>
    </w:p>
    <w:p w:rsidR="004A090B">
      <w:pPr>
        <w:spacing w:line="360" w:lineRule="auto"/>
        <w:ind w:firstLine="881"/>
        <w:jc w:val="center"/>
        <w:rPr>
          <w:rFonts w:ascii="宋体" w:hAnsi="Calibri" w:cs="宋体"/>
          <w:b/>
          <w:sz w:val="44"/>
        </w:rPr>
      </w:pPr>
    </w:p>
    <w:p w:rsidR="004A090B">
      <w:pPr>
        <w:spacing w:line="360" w:lineRule="auto"/>
        <w:ind w:firstLine="881"/>
        <w:jc w:val="center"/>
        <w:rPr>
          <w:rFonts w:ascii="宋体" w:hAnsi="Calibri" w:cs="宋体"/>
          <w:b/>
          <w:sz w:val="44"/>
        </w:rPr>
      </w:pPr>
    </w:p>
    <w:p w:rsidR="004A090B">
      <w:pPr>
        <w:spacing w:line="360" w:lineRule="auto"/>
        <w:ind w:firstLine="881"/>
        <w:jc w:val="center"/>
        <w:rPr>
          <w:rFonts w:ascii="宋体" w:hAnsi="Calibri" w:cs="宋体"/>
          <w:b/>
          <w:sz w:val="44"/>
        </w:rPr>
      </w:pPr>
    </w:p>
    <w:p w:rsidR="004A090B">
      <w:pPr>
        <w:spacing w:line="360" w:lineRule="auto"/>
        <w:ind w:firstLine="881"/>
        <w:jc w:val="center"/>
        <w:rPr>
          <w:rFonts w:ascii="宋体" w:hAnsi="Calibri" w:cs="宋体"/>
          <w:b/>
          <w:sz w:val="44"/>
        </w:rPr>
      </w:pPr>
    </w:p>
    <w:p w:rsidR="004A090B">
      <w:pPr>
        <w:spacing w:line="360" w:lineRule="auto"/>
        <w:ind w:hanging="141"/>
        <w:jc w:val="center"/>
        <w:rPr>
          <w:rFonts w:ascii="宋体" w:hAnsi="Calibri" w:cs="宋体"/>
          <w:b/>
          <w:sz w:val="44"/>
          <w:lang w:eastAsia="zh-CN"/>
        </w:rPr>
      </w:pPr>
      <w:r>
        <w:rPr>
          <w:rFonts w:ascii="宋体" w:hAnsi="Calibri" w:cs="宋体" w:hint="eastAsia"/>
          <w:b/>
          <w:sz w:val="44"/>
          <w:szCs w:val="44"/>
          <w:lang w:eastAsia="zh-CN"/>
        </w:rPr>
        <w:t>易方达中证科创创业人工智能交易型开放式指数证券投资基金发起式联接基金招募说明书</w:t>
      </w:r>
    </w:p>
    <w:p w:rsidR="004A090B">
      <w:pPr>
        <w:spacing w:line="360" w:lineRule="auto"/>
        <w:ind w:left="1680" w:firstLine="181"/>
        <w:rPr>
          <w:rFonts w:ascii="宋体" w:hAnsi="Calibri" w:cs="宋体"/>
          <w:sz w:val="30"/>
          <w:szCs w:val="30"/>
          <w:lang w:eastAsia="zh-CN"/>
        </w:rPr>
      </w:pPr>
    </w:p>
    <w:p w:rsidR="004A090B">
      <w:pPr>
        <w:spacing w:line="360" w:lineRule="auto"/>
        <w:ind w:left="1680" w:firstLine="181"/>
        <w:rPr>
          <w:rFonts w:ascii="宋体" w:hAnsi="Calibri" w:cs="宋体"/>
          <w:sz w:val="30"/>
          <w:szCs w:val="30"/>
          <w:lang w:eastAsia="zh-CN"/>
        </w:rPr>
      </w:pPr>
    </w:p>
    <w:p w:rsidR="004A090B">
      <w:pPr>
        <w:spacing w:line="360" w:lineRule="auto"/>
        <w:ind w:left="1680"/>
        <w:rPr>
          <w:rFonts w:ascii="宋体" w:hAnsi="Calibri" w:cs="宋体"/>
          <w:sz w:val="30"/>
          <w:szCs w:val="30"/>
          <w:lang w:eastAsia="zh-CN"/>
        </w:rPr>
      </w:pPr>
    </w:p>
    <w:p w:rsidR="004A090B">
      <w:pPr>
        <w:spacing w:line="360" w:lineRule="auto"/>
        <w:ind w:left="1680"/>
        <w:rPr>
          <w:rFonts w:ascii="宋体" w:hAnsi="Calibri" w:cs="宋体"/>
          <w:sz w:val="30"/>
          <w:szCs w:val="30"/>
          <w:lang w:eastAsia="zh-CN"/>
        </w:rPr>
      </w:pPr>
    </w:p>
    <w:p w:rsidR="004A090B">
      <w:pPr>
        <w:spacing w:line="360" w:lineRule="auto"/>
        <w:ind w:left="1680"/>
        <w:rPr>
          <w:rFonts w:ascii="宋体" w:hAnsi="Calibri" w:cs="宋体"/>
          <w:sz w:val="30"/>
          <w:szCs w:val="30"/>
          <w:lang w:eastAsia="zh-CN"/>
        </w:rPr>
      </w:pPr>
    </w:p>
    <w:p w:rsidR="004A090B">
      <w:pPr>
        <w:spacing w:line="360" w:lineRule="auto"/>
        <w:ind w:left="1680"/>
        <w:rPr>
          <w:rFonts w:ascii="宋体" w:hAnsi="Calibri" w:cs="宋体"/>
          <w:sz w:val="30"/>
          <w:szCs w:val="30"/>
          <w:lang w:eastAsia="zh-CN"/>
        </w:rPr>
      </w:pPr>
    </w:p>
    <w:p w:rsidR="004A090B">
      <w:pPr>
        <w:spacing w:line="360" w:lineRule="auto"/>
        <w:ind w:left="1679" w:hanging="238"/>
        <w:rPr>
          <w:rFonts w:ascii="宋体" w:hAnsi="Calibri" w:cs="宋体"/>
          <w:b/>
          <w:sz w:val="32"/>
          <w:szCs w:val="32"/>
          <w:lang w:eastAsia="zh-CN"/>
        </w:rPr>
      </w:pPr>
      <w:r>
        <w:rPr>
          <w:rFonts w:ascii="宋体" w:hAnsi="Calibri" w:cs="宋体" w:hint="eastAsia"/>
          <w:b/>
          <w:sz w:val="32"/>
          <w:szCs w:val="32"/>
          <w:lang w:eastAsia="zh-CN"/>
        </w:rPr>
        <w:t>基金管理人：易方达基金管理有限公司</w:t>
      </w:r>
    </w:p>
    <w:p w:rsidR="004A090B">
      <w:pPr>
        <w:spacing w:line="360" w:lineRule="auto"/>
        <w:ind w:left="1438"/>
        <w:rPr>
          <w:rFonts w:ascii="宋体" w:hAnsi="Calibri" w:cs="宋体"/>
          <w:b/>
          <w:sz w:val="32"/>
          <w:szCs w:val="32"/>
          <w:lang w:eastAsia="zh-CN"/>
        </w:rPr>
      </w:pPr>
      <w:r>
        <w:rPr>
          <w:rFonts w:ascii="宋体" w:hAnsi="Calibri" w:cs="宋体" w:hint="eastAsia"/>
          <w:b/>
          <w:sz w:val="32"/>
          <w:szCs w:val="32"/>
          <w:lang w:eastAsia="zh-CN"/>
        </w:rPr>
        <w:t>基金托管人：招商银行股份有限公司</w:t>
      </w:r>
    </w:p>
    <w:p w:rsidR="004A090B">
      <w:pPr>
        <w:jc w:val="center"/>
        <w:rPr>
          <w:rFonts w:ascii="宋体" w:hAnsi="Calibri"/>
          <w:lang w:eastAsia="zh-CN"/>
        </w:rPr>
      </w:pPr>
      <w:r>
        <w:rPr>
          <w:rFonts w:ascii="宋体" w:hAnsi="Calibri" w:cs="宋体"/>
          <w:color w:val="000000"/>
          <w:sz w:val="32"/>
          <w:lang w:eastAsia="zh-CN"/>
        </w:rPr>
        <w:t>二〇二</w:t>
      </w:r>
      <w:r w:rsidR="008A73F2">
        <w:rPr>
          <w:rFonts w:ascii="宋体" w:hAnsi="Calibri" w:cs="Calibri" w:hint="eastAsia"/>
          <w:color w:val="000000"/>
          <w:sz w:val="32"/>
          <w:lang w:eastAsia="zh-CN"/>
        </w:rPr>
        <w:t>六</w:t>
      </w:r>
      <w:r>
        <w:rPr>
          <w:rFonts w:ascii="宋体" w:hAnsi="Calibri" w:cs="宋体"/>
          <w:color w:val="000000"/>
          <w:sz w:val="32"/>
          <w:lang w:eastAsia="zh-CN"/>
        </w:rPr>
        <w:t>年</w:t>
      </w:r>
      <w:r w:rsidR="00FB6A88">
        <w:rPr>
          <w:rFonts w:ascii="宋体" w:hAnsi="Calibri" w:cs="Calibri" w:hint="eastAsia"/>
          <w:color w:val="000000"/>
          <w:sz w:val="32"/>
          <w:lang w:eastAsia="zh-CN"/>
        </w:rPr>
        <w:t>九</w:t>
      </w:r>
      <w:r>
        <w:rPr>
          <w:rFonts w:ascii="宋体" w:hAnsi="Calibri" w:cs="宋体"/>
          <w:color w:val="000000"/>
          <w:sz w:val="32"/>
          <w:lang w:eastAsia="zh-CN"/>
        </w:rPr>
        <w:t>月</w:t>
      </w:r>
    </w:p>
    <w:p w:rsidR="004A090B">
      <w:pPr>
        <w:jc w:val="center"/>
        <w:rPr>
          <w:rFonts w:ascii="宋体" w:hAnsi="Calibri" w:cs="宋体"/>
          <w:sz w:val="22"/>
          <w:szCs w:val="32"/>
          <w:lang w:eastAsia="zh-CN"/>
        </w:rPr>
      </w:pPr>
    </w:p>
    <w:p w:rsidR="004A090B">
      <w:pPr>
        <w:spacing w:line="360" w:lineRule="auto"/>
        <w:rPr>
          <w:rFonts w:ascii="宋体" w:hAnsi="Calibri" w:cs="宋体"/>
          <w:b/>
          <w:sz w:val="24"/>
          <w:lang w:eastAsia="zh-CN"/>
        </w:rPr>
        <w:sectPr>
          <w:headerReference w:type="even" r:id="rId5"/>
          <w:headerReference w:type="default" r:id="rId6"/>
          <w:footerReference w:type="even" r:id="rId7"/>
          <w:footerReference w:type="default" r:id="rId8"/>
          <w:headerReference w:type="first" r:id="rId9"/>
          <w:footerReference w:type="first" r:id="rId10"/>
          <w:pgSz w:w="11906" w:h="16838"/>
          <w:pgMar w:top="1440" w:right="1803" w:bottom="1440" w:left="1803" w:header="1134" w:footer="1247" w:gutter="0"/>
          <w:pgNumType w:start="1"/>
          <w:cols w:space="720"/>
          <w:docGrid w:type="lines" w:linePitch="447"/>
        </w:sectPr>
      </w:pPr>
    </w:p>
    <w:p w:rsidR="004A090B">
      <w:pPr>
        <w:spacing w:before="447" w:after="447" w:line="320" w:lineRule="exact"/>
        <w:jc w:val="center"/>
        <w:rPr>
          <w:rFonts w:ascii="宋体" w:hAnsi="Calibri" w:cs="宋体"/>
          <w:sz w:val="30"/>
          <w:lang w:eastAsia="zh-CN"/>
        </w:rPr>
      </w:pPr>
      <w:r>
        <w:rPr>
          <w:rFonts w:ascii="宋体" w:hAnsi="Calibri" w:cs="宋体" w:hint="eastAsia"/>
          <w:sz w:val="30"/>
          <w:lang w:eastAsia="zh-CN"/>
        </w:rPr>
        <w:t>易方达中证科创创业人工智能交易型开放式指数证券投资基金发起式联接基金招募说明书</w:t>
      </w:r>
    </w:p>
    <w:p w:rsidR="004A090B">
      <w:pPr>
        <w:spacing w:before="447" w:after="447" w:line="320" w:lineRule="exact"/>
        <w:jc w:val="center"/>
        <w:rPr>
          <w:rFonts w:ascii="宋体" w:hAnsi="Calibri" w:cs="宋体"/>
          <w:sz w:val="30"/>
          <w:lang w:eastAsia="zh-CN"/>
        </w:rPr>
      </w:pPr>
    </w:p>
    <w:p w:rsidR="004A090B">
      <w:pPr>
        <w:spacing w:line="288" w:lineRule="auto"/>
        <w:jc w:val="center"/>
        <w:rPr>
          <w:rFonts w:ascii="宋体" w:hAnsi="Calibri" w:cs="宋体"/>
          <w:b/>
          <w:sz w:val="28"/>
          <w:szCs w:val="28"/>
          <w:lang w:eastAsia="zh-CN"/>
        </w:rPr>
      </w:pPr>
      <w:r>
        <w:rPr>
          <w:rFonts w:ascii="宋体" w:hAnsi="Calibri" w:cs="宋体" w:hint="eastAsia"/>
          <w:b/>
          <w:sz w:val="28"/>
          <w:szCs w:val="28"/>
          <w:lang w:eastAsia="zh-CN"/>
        </w:rPr>
        <w:t>重要提示</w:t>
      </w:r>
    </w:p>
    <w:p w:rsidR="004A090B">
      <w:pPr>
        <w:snapToGrid w:val="0"/>
        <w:spacing w:line="360" w:lineRule="auto"/>
        <w:ind w:firstLine="422"/>
        <w:rPr>
          <w:rFonts w:ascii="宋体" w:hAnsi="Calibri" w:cs="宋体"/>
          <w:b/>
          <w:szCs w:val="21"/>
          <w:lang w:eastAsia="zh-CN"/>
        </w:rPr>
      </w:pPr>
      <w:r>
        <w:rPr>
          <w:rFonts w:ascii="宋体" w:hAnsi="Calibri" w:cs="宋体" w:hint="eastAsia"/>
          <w:b/>
          <w:szCs w:val="21"/>
          <w:lang w:eastAsia="zh-CN"/>
        </w:rPr>
        <w:t>1</w:t>
      </w:r>
      <w:r>
        <w:rPr>
          <w:rFonts w:ascii="宋体" w:hAnsi="Calibri" w:cs="宋体" w:hint="eastAsia"/>
          <w:b/>
          <w:szCs w:val="21"/>
          <w:lang w:eastAsia="zh-CN"/>
        </w:rPr>
        <w:t>、本基金根据</w:t>
      </w:r>
      <w:r w:rsidR="008A73F2">
        <w:rPr>
          <w:rFonts w:ascii="宋体" w:hAnsi="Calibri" w:cs="宋体"/>
          <w:b/>
          <w:szCs w:val="21"/>
          <w:lang w:eastAsia="zh-CN"/>
        </w:rPr>
        <w:t>2026</w:t>
      </w:r>
      <w:r>
        <w:rPr>
          <w:rFonts w:ascii="宋体" w:hAnsi="Calibri" w:cs="宋体" w:hint="eastAsia"/>
          <w:b/>
          <w:szCs w:val="21"/>
          <w:lang w:eastAsia="zh-CN"/>
        </w:rPr>
        <w:t>年</w:t>
      </w:r>
      <w:r w:rsidR="008A73F2">
        <w:rPr>
          <w:rFonts w:ascii="宋体" w:hAnsi="Calibri" w:cs="宋体"/>
          <w:b/>
          <w:szCs w:val="21"/>
          <w:lang w:eastAsia="zh-CN"/>
        </w:rPr>
        <w:t>8</w:t>
      </w:r>
      <w:r>
        <w:rPr>
          <w:rFonts w:ascii="宋体" w:hAnsi="Calibri" w:cs="宋体" w:hint="eastAsia"/>
          <w:b/>
          <w:szCs w:val="21"/>
          <w:lang w:eastAsia="zh-CN"/>
        </w:rPr>
        <w:t>月</w:t>
      </w:r>
      <w:r w:rsidR="008A73F2">
        <w:rPr>
          <w:rFonts w:ascii="宋体" w:hAnsi="Calibri" w:cs="宋体" w:hint="eastAsia"/>
          <w:b/>
          <w:szCs w:val="21"/>
          <w:lang w:eastAsia="zh-CN"/>
        </w:rPr>
        <w:t>2</w:t>
      </w:r>
      <w:r w:rsidR="008A73F2">
        <w:rPr>
          <w:rFonts w:ascii="宋体" w:hAnsi="Calibri" w:cs="宋体"/>
          <w:b/>
          <w:szCs w:val="21"/>
          <w:lang w:eastAsia="zh-CN"/>
        </w:rPr>
        <w:t>4</w:t>
      </w:r>
      <w:r>
        <w:rPr>
          <w:rFonts w:ascii="宋体" w:hAnsi="Calibri" w:cs="宋体" w:hint="eastAsia"/>
          <w:b/>
          <w:szCs w:val="21"/>
          <w:lang w:eastAsia="zh-CN"/>
        </w:rPr>
        <w:t>日中国证券监督管理委员会《关于准予</w:t>
      </w:r>
      <w:r>
        <w:rPr>
          <w:rFonts w:ascii="宋体" w:hAnsi="Calibri" w:cs="宋体"/>
          <w:b/>
          <w:szCs w:val="21"/>
          <w:lang w:eastAsia="zh-CN"/>
        </w:rPr>
        <w:t>易方达中证科创创业人工智能交易型开放式指数证券投资基金发起式联接基金注册的批复》（证监许可</w:t>
      </w:r>
      <w:r>
        <w:rPr>
          <w:rFonts w:ascii="宋体" w:hAnsi="Calibri" w:cs="宋体"/>
          <w:b/>
          <w:szCs w:val="21"/>
          <w:lang w:eastAsia="zh-CN"/>
        </w:rPr>
        <w:t>[202</w:t>
      </w:r>
      <w:r w:rsidR="008A73F2">
        <w:rPr>
          <w:rFonts w:ascii="宋体" w:hAnsi="Calibri" w:cs="宋体"/>
          <w:b/>
          <w:szCs w:val="21"/>
          <w:lang w:eastAsia="zh-CN"/>
        </w:rPr>
        <w:t>6</w:t>
      </w:r>
      <w:r>
        <w:rPr>
          <w:rFonts w:ascii="宋体" w:hAnsi="Calibri" w:cs="宋体" w:hint="eastAsia"/>
          <w:b/>
          <w:szCs w:val="21"/>
          <w:lang w:eastAsia="zh-CN"/>
        </w:rPr>
        <w:t>]</w:t>
      </w:r>
      <w:r w:rsidR="008A73F2">
        <w:rPr>
          <w:rFonts w:ascii="宋体" w:hAnsi="Calibri" w:cs="宋体"/>
          <w:b/>
          <w:szCs w:val="21"/>
          <w:lang w:eastAsia="zh-CN"/>
        </w:rPr>
        <w:t>2221</w:t>
      </w:r>
      <w:r>
        <w:rPr>
          <w:rFonts w:ascii="宋体" w:hAnsi="Calibri" w:cs="宋体" w:hint="eastAsia"/>
          <w:b/>
          <w:szCs w:val="21"/>
          <w:lang w:eastAsia="zh-CN"/>
        </w:rPr>
        <w:t>号）进行募集。</w:t>
      </w:r>
    </w:p>
    <w:p w:rsidR="004A090B">
      <w:pPr>
        <w:snapToGrid w:val="0"/>
        <w:spacing w:line="360" w:lineRule="auto"/>
        <w:ind w:firstLine="422"/>
        <w:rPr>
          <w:rFonts w:ascii="宋体" w:hAnsi="Calibri" w:cs="宋体"/>
          <w:b/>
          <w:szCs w:val="21"/>
          <w:lang w:eastAsia="zh-CN"/>
        </w:rPr>
      </w:pPr>
      <w:r>
        <w:rPr>
          <w:rFonts w:ascii="宋体" w:hAnsi="Calibri" w:cs="宋体" w:hint="eastAsia"/>
          <w:b/>
          <w:szCs w:val="21"/>
          <w:lang w:eastAsia="zh-CN"/>
        </w:rPr>
        <w:t>2</w:t>
      </w:r>
      <w:r>
        <w:rPr>
          <w:rFonts w:ascii="宋体" w:hAnsi="Calibri" w:cs="宋体" w:hint="eastAsia"/>
          <w:b/>
          <w:szCs w:val="21"/>
          <w:lang w:eastAsia="zh-CN"/>
        </w:rPr>
        <w:t>、基金管理人保证《招募说明书》的内容真实、准确、完整。本基金经中国证监会注册，但中国证监会对本基金募集的注册，并不表明其对本基金的投资价值、市场前景和收益作出实质性判断或保证，也不表明投资于本基金没有风险。</w:t>
      </w:r>
    </w:p>
    <w:p w:rsidR="004A090B">
      <w:pPr>
        <w:snapToGrid w:val="0"/>
        <w:spacing w:line="360" w:lineRule="auto"/>
        <w:ind w:firstLine="422"/>
        <w:rPr>
          <w:rFonts w:ascii="宋体" w:hAnsi="Calibri" w:cs="宋体"/>
          <w:b/>
          <w:szCs w:val="21"/>
          <w:lang w:eastAsia="zh-CN"/>
        </w:rPr>
      </w:pPr>
      <w:r>
        <w:rPr>
          <w:rFonts w:ascii="宋体" w:hAnsi="Calibri" w:cs="宋体" w:hint="eastAsia"/>
          <w:b/>
          <w:szCs w:val="21"/>
          <w:lang w:eastAsia="zh-CN"/>
        </w:rPr>
        <w:t>基金管理人依照恪尽职守、诚实信用、谨慎勤勉的原则管理和运用基金财产，但不保证基金一定盈利，也不保证最低收益。</w:t>
      </w:r>
    </w:p>
    <w:p w:rsidR="004A090B">
      <w:pPr>
        <w:spacing w:line="360" w:lineRule="auto"/>
        <w:ind w:firstLine="422"/>
        <w:rPr>
          <w:rFonts w:ascii="宋体" w:hAnsi="Calibri" w:cs="宋体"/>
          <w:b/>
          <w:szCs w:val="21"/>
          <w:lang w:eastAsia="zh-CN"/>
        </w:rPr>
      </w:pPr>
      <w:r>
        <w:rPr>
          <w:rFonts w:ascii="宋体" w:hAnsi="Calibri" w:cs="宋体" w:hint="eastAsia"/>
          <w:b/>
          <w:szCs w:val="21"/>
          <w:lang w:eastAsia="zh-CN"/>
        </w:rPr>
        <w:t>3</w:t>
      </w:r>
      <w:r>
        <w:rPr>
          <w:rFonts w:ascii="宋体" w:hAnsi="Calibri" w:cs="宋体" w:hint="eastAsia"/>
          <w:b/>
          <w:szCs w:val="21"/>
          <w:lang w:eastAsia="zh-CN"/>
        </w:rPr>
        <w:t>、本基金标的指数为中证科创创业人工智能指数。</w:t>
      </w:r>
    </w:p>
    <w:p w:rsidR="004A090B">
      <w:pPr>
        <w:spacing w:line="360" w:lineRule="auto"/>
        <w:ind w:firstLine="420"/>
        <w:rPr>
          <w:rFonts w:ascii="宋体" w:hAnsi="Calibri" w:cs="宋体"/>
          <w:b/>
          <w:szCs w:val="21"/>
          <w:lang w:eastAsia="zh-CN"/>
        </w:rPr>
      </w:pPr>
      <w:r>
        <w:rPr>
          <w:rFonts w:ascii="宋体" w:hAnsi="Calibri" w:cs="宋体" w:hint="eastAsia"/>
          <w:b/>
          <w:szCs w:val="21"/>
          <w:lang w:eastAsia="zh-CN"/>
        </w:rPr>
        <w:t>（</w:t>
      </w:r>
      <w:r>
        <w:rPr>
          <w:rFonts w:ascii="宋体" w:hAnsi="Calibri" w:cs="宋体" w:hint="eastAsia"/>
          <w:b/>
          <w:szCs w:val="21"/>
          <w:lang w:eastAsia="zh-CN"/>
        </w:rPr>
        <w:t>1</w:t>
      </w:r>
      <w:r>
        <w:rPr>
          <w:rFonts w:ascii="宋体" w:hAnsi="Calibri" w:cs="宋体" w:hint="eastAsia"/>
          <w:b/>
          <w:szCs w:val="21"/>
          <w:lang w:eastAsia="zh-CN"/>
        </w:rPr>
        <w:t>）样本空间</w:t>
      </w:r>
    </w:p>
    <w:p w:rsidR="004A090B">
      <w:pPr>
        <w:spacing w:line="360" w:lineRule="auto"/>
        <w:ind w:firstLine="420"/>
        <w:rPr>
          <w:rFonts w:ascii="宋体" w:hAnsi="Calibri" w:cs="宋体"/>
          <w:b/>
          <w:szCs w:val="21"/>
          <w:lang w:eastAsia="zh-CN"/>
        </w:rPr>
      </w:pPr>
      <w:r>
        <w:rPr>
          <w:rFonts w:ascii="宋体" w:hAnsi="Calibri" w:cs="宋体" w:hint="eastAsia"/>
          <w:b/>
          <w:szCs w:val="21"/>
          <w:lang w:eastAsia="zh-CN"/>
        </w:rPr>
        <w:t>指数样本空间由满足以下条件的科创板和创业板上市的股票和红筹企业发行的存托凭证组成：</w:t>
      </w:r>
    </w:p>
    <w:p w:rsidR="004A090B">
      <w:pPr>
        <w:spacing w:line="360" w:lineRule="auto"/>
        <w:ind w:firstLine="420"/>
        <w:rPr>
          <w:rFonts w:ascii="宋体" w:hAnsi="Calibri" w:cs="宋体"/>
          <w:b/>
          <w:szCs w:val="21"/>
          <w:lang w:eastAsia="zh-CN"/>
        </w:rPr>
      </w:pPr>
      <w:r>
        <w:rPr>
          <w:rFonts w:ascii="宋体" w:hAnsi="Calibri" w:cs="宋体" w:hint="eastAsia"/>
          <w:b/>
          <w:szCs w:val="21"/>
          <w:lang w:eastAsia="zh-CN"/>
        </w:rPr>
        <w:t>1</w:t>
      </w:r>
      <w:r>
        <w:rPr>
          <w:rFonts w:ascii="宋体" w:hAnsi="Calibri" w:cs="宋体" w:hint="eastAsia"/>
          <w:b/>
          <w:szCs w:val="21"/>
          <w:lang w:eastAsia="zh-CN"/>
        </w:rPr>
        <w:t>）上市时间超过</w:t>
      </w:r>
      <w:r>
        <w:rPr>
          <w:rFonts w:ascii="宋体" w:hAnsi="Calibri" w:cs="宋体" w:hint="eastAsia"/>
          <w:b/>
          <w:szCs w:val="21"/>
          <w:lang w:eastAsia="zh-CN"/>
        </w:rPr>
        <w:t>6</w:t>
      </w:r>
      <w:r>
        <w:rPr>
          <w:rFonts w:ascii="宋体" w:hAnsi="Calibri" w:cs="宋体" w:hint="eastAsia"/>
          <w:b/>
          <w:szCs w:val="21"/>
          <w:lang w:eastAsia="zh-CN"/>
        </w:rPr>
        <w:t>个月，除非该证券自上市以来的日均总市值在沪深市场中排名前</w:t>
      </w:r>
      <w:r>
        <w:rPr>
          <w:rFonts w:ascii="宋体" w:hAnsi="Calibri" w:cs="宋体" w:hint="eastAsia"/>
          <w:b/>
          <w:szCs w:val="21"/>
          <w:lang w:eastAsia="zh-CN"/>
        </w:rPr>
        <w:t>30</w:t>
      </w:r>
      <w:r>
        <w:rPr>
          <w:rFonts w:ascii="宋体" w:hAnsi="Calibri" w:cs="宋体" w:hint="eastAsia"/>
          <w:b/>
          <w:szCs w:val="21"/>
          <w:lang w:eastAsia="zh-CN"/>
        </w:rPr>
        <w:t>位。</w:t>
      </w:r>
    </w:p>
    <w:p w:rsidR="004A090B">
      <w:pPr>
        <w:spacing w:line="360" w:lineRule="auto"/>
        <w:ind w:firstLine="420"/>
        <w:rPr>
          <w:rFonts w:ascii="宋体" w:hAnsi="Calibri" w:cs="宋体"/>
          <w:b/>
          <w:szCs w:val="21"/>
          <w:lang w:eastAsia="zh-CN"/>
        </w:rPr>
      </w:pPr>
      <w:r>
        <w:rPr>
          <w:rFonts w:ascii="宋体" w:hAnsi="Calibri" w:cs="宋体" w:hint="eastAsia"/>
          <w:b/>
          <w:szCs w:val="21"/>
          <w:lang w:eastAsia="zh-CN"/>
        </w:rPr>
        <w:t>2</w:t>
      </w:r>
      <w:r>
        <w:rPr>
          <w:rFonts w:ascii="宋体" w:hAnsi="Calibri" w:cs="宋体" w:hint="eastAsia"/>
          <w:b/>
          <w:szCs w:val="21"/>
          <w:lang w:eastAsia="zh-CN"/>
        </w:rPr>
        <w:t>）非</w:t>
      </w:r>
      <w:r>
        <w:rPr>
          <w:rFonts w:ascii="宋体" w:hAnsi="Calibri" w:cs="宋体" w:hint="eastAsia"/>
          <w:b/>
          <w:szCs w:val="21"/>
          <w:lang w:eastAsia="zh-CN"/>
        </w:rPr>
        <w:t>ST</w:t>
      </w:r>
      <w:r>
        <w:rPr>
          <w:rFonts w:ascii="宋体" w:hAnsi="Calibri" w:cs="宋体" w:hint="eastAsia"/>
          <w:b/>
          <w:szCs w:val="21"/>
          <w:lang w:eastAsia="zh-CN"/>
        </w:rPr>
        <w:t>、</w:t>
      </w:r>
      <w:r>
        <w:rPr>
          <w:rFonts w:ascii="宋体" w:hAnsi="Calibri" w:cs="宋体" w:hint="eastAsia"/>
          <w:b/>
          <w:szCs w:val="21"/>
          <w:lang w:eastAsia="zh-CN"/>
        </w:rPr>
        <w:t>*ST</w:t>
      </w:r>
      <w:r>
        <w:rPr>
          <w:rFonts w:ascii="宋体" w:hAnsi="Calibri" w:cs="宋体" w:hint="eastAsia"/>
          <w:b/>
          <w:szCs w:val="21"/>
          <w:lang w:eastAsia="zh-CN"/>
        </w:rPr>
        <w:t>证券。</w:t>
      </w:r>
    </w:p>
    <w:p w:rsidR="004A090B">
      <w:pPr>
        <w:spacing w:line="360" w:lineRule="auto"/>
        <w:ind w:firstLine="420"/>
        <w:rPr>
          <w:rFonts w:ascii="宋体" w:hAnsi="Calibri" w:cs="宋体"/>
          <w:b/>
          <w:szCs w:val="21"/>
          <w:lang w:eastAsia="zh-CN"/>
        </w:rPr>
      </w:pPr>
      <w:r>
        <w:rPr>
          <w:rFonts w:ascii="宋体" w:hAnsi="Calibri" w:cs="宋体" w:hint="eastAsia"/>
          <w:b/>
          <w:szCs w:val="21"/>
          <w:lang w:eastAsia="zh-CN"/>
        </w:rPr>
        <w:t>（</w:t>
      </w:r>
      <w:r>
        <w:rPr>
          <w:rFonts w:ascii="宋体" w:hAnsi="Calibri" w:cs="宋体" w:hint="eastAsia"/>
          <w:b/>
          <w:szCs w:val="21"/>
          <w:lang w:eastAsia="zh-CN"/>
        </w:rPr>
        <w:t>2</w:t>
      </w:r>
      <w:r>
        <w:rPr>
          <w:rFonts w:ascii="宋体" w:hAnsi="Calibri" w:cs="宋体" w:hint="eastAsia"/>
          <w:b/>
          <w:szCs w:val="21"/>
          <w:lang w:eastAsia="zh-CN"/>
        </w:rPr>
        <w:t>）可投资性筛选</w:t>
      </w:r>
    </w:p>
    <w:p w:rsidR="004A090B">
      <w:pPr>
        <w:spacing w:line="360" w:lineRule="auto"/>
        <w:ind w:firstLine="420"/>
        <w:rPr>
          <w:rFonts w:ascii="宋体" w:hAnsi="Calibri" w:cs="宋体"/>
          <w:b/>
          <w:szCs w:val="21"/>
          <w:lang w:eastAsia="zh-CN"/>
        </w:rPr>
      </w:pPr>
      <w:r>
        <w:rPr>
          <w:rFonts w:ascii="宋体" w:hAnsi="Calibri" w:cs="宋体" w:hint="eastAsia"/>
          <w:b/>
          <w:szCs w:val="21"/>
          <w:lang w:eastAsia="zh-CN"/>
        </w:rPr>
        <w:t>过去一年日均成交金额排名位于样本空间前</w:t>
      </w:r>
      <w:r>
        <w:rPr>
          <w:rFonts w:ascii="宋体" w:hAnsi="Calibri" w:cs="宋体" w:hint="eastAsia"/>
          <w:b/>
          <w:szCs w:val="21"/>
          <w:lang w:eastAsia="zh-CN"/>
        </w:rPr>
        <w:t>90%</w:t>
      </w:r>
      <w:r>
        <w:rPr>
          <w:rFonts w:ascii="宋体" w:hAnsi="Calibri" w:cs="宋体" w:hint="eastAsia"/>
          <w:b/>
          <w:szCs w:val="21"/>
          <w:lang w:eastAsia="zh-CN"/>
        </w:rPr>
        <w:t>。</w:t>
      </w:r>
    </w:p>
    <w:p w:rsidR="004A090B">
      <w:pPr>
        <w:spacing w:line="360" w:lineRule="auto"/>
        <w:ind w:firstLine="420"/>
        <w:rPr>
          <w:rFonts w:ascii="宋体" w:hAnsi="Calibri" w:cs="宋体"/>
          <w:b/>
          <w:szCs w:val="21"/>
          <w:lang w:eastAsia="zh-CN"/>
        </w:rPr>
      </w:pPr>
      <w:r>
        <w:rPr>
          <w:rFonts w:ascii="宋体" w:hAnsi="Calibri" w:cs="宋体" w:hint="eastAsia"/>
          <w:b/>
          <w:szCs w:val="21"/>
          <w:lang w:eastAsia="zh-CN"/>
        </w:rPr>
        <w:t>（</w:t>
      </w:r>
      <w:r>
        <w:rPr>
          <w:rFonts w:ascii="宋体" w:hAnsi="Calibri" w:cs="宋体" w:hint="eastAsia"/>
          <w:b/>
          <w:szCs w:val="21"/>
          <w:lang w:eastAsia="zh-CN"/>
        </w:rPr>
        <w:t>3</w:t>
      </w:r>
      <w:r>
        <w:rPr>
          <w:rFonts w:ascii="宋体" w:hAnsi="Calibri" w:cs="宋体" w:hint="eastAsia"/>
          <w:b/>
          <w:szCs w:val="21"/>
          <w:lang w:eastAsia="zh-CN"/>
        </w:rPr>
        <w:t>）选样方法</w:t>
      </w:r>
    </w:p>
    <w:p w:rsidR="004A090B">
      <w:pPr>
        <w:spacing w:line="360" w:lineRule="auto"/>
        <w:ind w:firstLine="420"/>
        <w:rPr>
          <w:rFonts w:ascii="宋体" w:hAnsi="Calibri" w:cs="宋体"/>
          <w:b/>
          <w:szCs w:val="21"/>
          <w:lang w:eastAsia="zh-CN"/>
        </w:rPr>
      </w:pPr>
      <w:r>
        <w:rPr>
          <w:rFonts w:ascii="宋体" w:hAnsi="Calibri" w:cs="宋体" w:hint="eastAsia"/>
          <w:b/>
          <w:szCs w:val="21"/>
          <w:lang w:eastAsia="zh-CN"/>
        </w:rPr>
        <w:t>1</w:t>
      </w:r>
      <w:r>
        <w:rPr>
          <w:rFonts w:ascii="宋体" w:hAnsi="Calibri" w:cs="宋体" w:hint="eastAsia"/>
          <w:b/>
          <w:szCs w:val="21"/>
          <w:lang w:eastAsia="zh-CN"/>
        </w:rPr>
        <w:t>）对于样本空间内符合可投资性筛选条件的证券，选取涉及以下人工智能业务的上市公司证券作为待选样本：</w:t>
      </w:r>
    </w:p>
    <w:p w:rsidR="004A090B">
      <w:pPr>
        <w:spacing w:line="360" w:lineRule="auto"/>
        <w:ind w:firstLine="420"/>
        <w:rPr>
          <w:rFonts w:ascii="宋体" w:hAnsi="Calibri" w:cs="宋体"/>
          <w:b/>
          <w:szCs w:val="21"/>
          <w:lang w:eastAsia="zh-CN"/>
        </w:rPr>
      </w:pPr>
      <w:r>
        <w:rPr>
          <w:rFonts w:ascii="宋体" w:hAnsi="Calibri" w:cs="宋体" w:hint="eastAsia"/>
          <w:b/>
          <w:szCs w:val="21"/>
          <w:lang w:eastAsia="zh-CN"/>
        </w:rPr>
        <w:t>A.</w:t>
      </w:r>
      <w:r>
        <w:rPr>
          <w:rFonts w:ascii="宋体" w:hAnsi="Calibri" w:cs="宋体" w:hint="eastAsia"/>
          <w:b/>
          <w:szCs w:val="21"/>
          <w:lang w:eastAsia="zh-CN"/>
        </w:rPr>
        <w:t>人工智能基础资源：专用计算芯片、高性能计算机等设备；</w:t>
      </w:r>
    </w:p>
    <w:p w:rsidR="004A090B">
      <w:pPr>
        <w:spacing w:line="360" w:lineRule="auto"/>
        <w:ind w:firstLine="420"/>
        <w:rPr>
          <w:rFonts w:ascii="宋体" w:hAnsi="Calibri" w:cs="宋体"/>
          <w:b/>
          <w:szCs w:val="21"/>
          <w:lang w:eastAsia="zh-CN"/>
        </w:rPr>
      </w:pPr>
      <w:r>
        <w:rPr>
          <w:rFonts w:ascii="宋体" w:hAnsi="Calibri" w:cs="宋体" w:hint="eastAsia"/>
          <w:b/>
          <w:szCs w:val="21"/>
          <w:lang w:eastAsia="zh-CN"/>
        </w:rPr>
        <w:t>B.</w:t>
      </w:r>
      <w:r>
        <w:rPr>
          <w:rFonts w:ascii="宋体" w:hAnsi="Calibri" w:cs="宋体" w:hint="eastAsia"/>
          <w:b/>
          <w:szCs w:val="21"/>
          <w:lang w:eastAsia="zh-CN"/>
        </w:rPr>
        <w:t>人工智能技术：云计算、大数据、机器视觉、语音语义识别等技术或服务；</w:t>
      </w:r>
    </w:p>
    <w:p w:rsidR="004A090B">
      <w:pPr>
        <w:spacing w:line="360" w:lineRule="auto"/>
        <w:ind w:firstLine="420"/>
        <w:rPr>
          <w:rFonts w:ascii="宋体" w:hAnsi="Calibri" w:cs="宋体"/>
          <w:b/>
          <w:szCs w:val="21"/>
          <w:lang w:eastAsia="zh-CN"/>
        </w:rPr>
      </w:pPr>
      <w:r>
        <w:rPr>
          <w:rFonts w:ascii="宋体" w:hAnsi="Calibri" w:cs="宋体" w:hint="eastAsia"/>
          <w:b/>
          <w:szCs w:val="21"/>
          <w:lang w:eastAsia="zh-CN"/>
        </w:rPr>
        <w:t>C.</w:t>
      </w:r>
      <w:r>
        <w:rPr>
          <w:rFonts w:ascii="宋体" w:hAnsi="Calibri" w:cs="宋体" w:hint="eastAsia"/>
          <w:b/>
          <w:szCs w:val="21"/>
          <w:lang w:eastAsia="zh-CN"/>
        </w:rPr>
        <w:t>人工智能应用领域：智能安防、智能交通、智能家居、智能医疗、智能穿戴等领域。</w:t>
      </w:r>
    </w:p>
    <w:p w:rsidR="004A090B">
      <w:pPr>
        <w:spacing w:line="360" w:lineRule="auto"/>
        <w:ind w:firstLine="420"/>
        <w:rPr>
          <w:rFonts w:ascii="宋体" w:hAnsi="Calibri" w:cs="宋体"/>
          <w:b/>
          <w:szCs w:val="21"/>
          <w:lang w:eastAsia="zh-CN"/>
        </w:rPr>
      </w:pPr>
      <w:r>
        <w:rPr>
          <w:rFonts w:ascii="宋体" w:hAnsi="Calibri" w:cs="宋体" w:hint="eastAsia"/>
          <w:b/>
          <w:szCs w:val="21"/>
          <w:lang w:eastAsia="zh-CN"/>
        </w:rPr>
        <w:t>2</w:t>
      </w:r>
      <w:r>
        <w:rPr>
          <w:rFonts w:ascii="宋体" w:hAnsi="Calibri" w:cs="宋体" w:hint="eastAsia"/>
          <w:b/>
          <w:szCs w:val="21"/>
          <w:lang w:eastAsia="zh-CN"/>
        </w:rPr>
        <w:t>）在待选样本中，按照过去一年日均总市值由高到低排序，选取排名靠前</w:t>
      </w:r>
      <w:r>
        <w:rPr>
          <w:rFonts w:ascii="宋体" w:hAnsi="Calibri" w:cs="宋体" w:hint="eastAsia"/>
          <w:b/>
          <w:szCs w:val="21"/>
          <w:lang w:eastAsia="zh-CN"/>
        </w:rPr>
        <w:t>50</w:t>
      </w:r>
      <w:r>
        <w:rPr>
          <w:rFonts w:ascii="宋体" w:hAnsi="Calibri" w:cs="宋体" w:hint="eastAsia"/>
          <w:b/>
          <w:szCs w:val="21"/>
          <w:lang w:eastAsia="zh-CN"/>
        </w:rPr>
        <w:t>只证券作为指数样本。</w:t>
      </w:r>
    </w:p>
    <w:p w:rsidR="004A090B">
      <w:pPr>
        <w:spacing w:line="360" w:lineRule="auto"/>
        <w:ind w:firstLine="420"/>
        <w:rPr>
          <w:rFonts w:ascii="宋体" w:hAnsi="Calibri" w:cs="宋体"/>
          <w:b/>
          <w:szCs w:val="21"/>
          <w:lang w:eastAsia="zh-CN"/>
        </w:rPr>
      </w:pPr>
      <w:r>
        <w:rPr>
          <w:rFonts w:ascii="宋体" w:hAnsi="Calibri" w:cs="宋体" w:hint="eastAsia"/>
          <w:b/>
          <w:szCs w:val="21"/>
          <w:lang w:eastAsia="zh-CN"/>
        </w:rPr>
        <w:t>（</w:t>
      </w:r>
      <w:r w:rsidR="00D9135C">
        <w:rPr>
          <w:rFonts w:ascii="宋体" w:hAnsi="Calibri" w:cs="宋体"/>
          <w:b/>
          <w:szCs w:val="21"/>
          <w:lang w:eastAsia="zh-CN"/>
        </w:rPr>
        <w:t>4</w:t>
      </w:r>
      <w:r>
        <w:rPr>
          <w:rFonts w:ascii="宋体" w:hAnsi="Calibri" w:cs="宋体" w:hint="eastAsia"/>
          <w:b/>
          <w:szCs w:val="21"/>
          <w:lang w:eastAsia="zh-CN"/>
        </w:rPr>
        <w:t>）指数计算</w:t>
      </w:r>
    </w:p>
    <w:p w:rsidR="004A090B">
      <w:pPr>
        <w:spacing w:line="360" w:lineRule="auto"/>
        <w:ind w:firstLine="420"/>
        <w:rPr>
          <w:rFonts w:ascii="宋体" w:hAnsi="Calibri" w:cs="宋体"/>
          <w:b/>
          <w:szCs w:val="21"/>
          <w:lang w:eastAsia="zh-CN"/>
        </w:rPr>
      </w:pPr>
      <w:r>
        <w:rPr>
          <w:rFonts w:ascii="宋体" w:hAnsi="Calibri" w:cs="宋体" w:hint="eastAsia"/>
          <w:b/>
          <w:szCs w:val="21"/>
          <w:lang w:eastAsia="zh-CN"/>
        </w:rPr>
        <w:t>指数计算公式为：报告期指数</w:t>
      </w:r>
      <w:r>
        <w:rPr>
          <w:rFonts w:ascii="宋体" w:hAnsi="Calibri" w:cs="宋体" w:hint="eastAsia"/>
          <w:b/>
          <w:szCs w:val="21"/>
          <w:lang w:eastAsia="zh-CN"/>
        </w:rPr>
        <w:t>=</w:t>
      </w:r>
      <w:r>
        <w:rPr>
          <w:rFonts w:ascii="宋体" w:hAnsi="Calibri" w:cs="宋体" w:hint="eastAsia"/>
          <w:b/>
          <w:szCs w:val="21"/>
          <w:lang w:eastAsia="zh-CN"/>
        </w:rPr>
        <w:t>报告期样本的调整市值</w:t>
      </w:r>
      <w:r>
        <w:rPr>
          <w:rFonts w:ascii="宋体" w:hAnsi="Calibri" w:cs="宋体" w:hint="eastAsia"/>
          <w:b/>
          <w:szCs w:val="21"/>
          <w:lang w:eastAsia="zh-CN"/>
        </w:rPr>
        <w:t>/</w:t>
      </w:r>
      <w:r>
        <w:rPr>
          <w:rFonts w:ascii="宋体" w:hAnsi="Calibri" w:cs="宋体" w:hint="eastAsia"/>
          <w:b/>
          <w:szCs w:val="21"/>
          <w:lang w:eastAsia="zh-CN"/>
        </w:rPr>
        <w:t>除数×</w:t>
      </w:r>
      <w:r>
        <w:rPr>
          <w:rFonts w:ascii="宋体" w:hAnsi="Calibri" w:cs="宋体" w:hint="eastAsia"/>
          <w:b/>
          <w:szCs w:val="21"/>
          <w:lang w:eastAsia="zh-CN"/>
        </w:rPr>
        <w:t>1000</w:t>
      </w:r>
      <w:r>
        <w:rPr>
          <w:rFonts w:ascii="宋体" w:hAnsi="Calibri" w:cs="宋体" w:hint="eastAsia"/>
          <w:b/>
          <w:szCs w:val="21"/>
          <w:lang w:eastAsia="zh-CN"/>
        </w:rPr>
        <w:t>。其中，调整市值＝∑</w:t>
      </w:r>
      <w:r>
        <w:rPr>
          <w:rFonts w:ascii="宋体" w:hAnsi="Calibri" w:cs="宋体" w:hint="eastAsia"/>
          <w:b/>
          <w:szCs w:val="21"/>
          <w:lang w:eastAsia="zh-CN"/>
        </w:rPr>
        <w:t>(</w:t>
      </w:r>
      <w:r>
        <w:rPr>
          <w:rFonts w:ascii="宋体" w:hAnsi="Calibri" w:cs="宋体" w:hint="eastAsia"/>
          <w:b/>
          <w:szCs w:val="21"/>
          <w:lang w:eastAsia="zh-CN"/>
        </w:rPr>
        <w:t>证券价</w:t>
      </w:r>
      <w:r>
        <w:rPr>
          <w:rFonts w:ascii="宋体" w:hAnsi="Calibri" w:cs="宋体" w:hint="eastAsia"/>
          <w:b/>
          <w:szCs w:val="21"/>
          <w:lang w:eastAsia="zh-CN"/>
        </w:rPr>
        <w:t>格×调整股本数×权重因子</w:t>
      </w:r>
      <w:r>
        <w:rPr>
          <w:rFonts w:ascii="宋体" w:hAnsi="Calibri" w:cs="宋体" w:hint="eastAsia"/>
          <w:b/>
          <w:szCs w:val="21"/>
          <w:lang w:eastAsia="zh-CN"/>
        </w:rPr>
        <w:t>)</w:t>
      </w:r>
      <w:r>
        <w:rPr>
          <w:rFonts w:ascii="宋体" w:hAnsi="Calibri" w:cs="宋体" w:hint="eastAsia"/>
          <w:b/>
          <w:szCs w:val="21"/>
          <w:lang w:eastAsia="zh-CN"/>
        </w:rPr>
        <w:t>。调整股本数的计算方法、除数修正方法参见中证指数有限公司网站发布的计算与维护细则。权重因子介于</w:t>
      </w:r>
      <w:r>
        <w:rPr>
          <w:rFonts w:ascii="宋体" w:hAnsi="Calibri" w:cs="宋体" w:hint="eastAsia"/>
          <w:b/>
          <w:szCs w:val="21"/>
          <w:lang w:eastAsia="zh-CN"/>
        </w:rPr>
        <w:t>0</w:t>
      </w:r>
      <w:r>
        <w:rPr>
          <w:rFonts w:ascii="宋体" w:hAnsi="Calibri" w:cs="宋体" w:hint="eastAsia"/>
          <w:b/>
          <w:szCs w:val="21"/>
          <w:lang w:eastAsia="zh-CN"/>
        </w:rPr>
        <w:t>和</w:t>
      </w:r>
      <w:r>
        <w:rPr>
          <w:rFonts w:ascii="宋体" w:hAnsi="Calibri" w:cs="宋体" w:hint="eastAsia"/>
          <w:b/>
          <w:szCs w:val="21"/>
          <w:lang w:eastAsia="zh-CN"/>
        </w:rPr>
        <w:t>1</w:t>
      </w:r>
      <w:r>
        <w:rPr>
          <w:rFonts w:ascii="宋体" w:hAnsi="Calibri" w:cs="宋体" w:hint="eastAsia"/>
          <w:b/>
          <w:szCs w:val="21"/>
          <w:lang w:eastAsia="zh-CN"/>
        </w:rPr>
        <w:t>之间，以使单个样本权重不超过</w:t>
      </w:r>
      <w:r>
        <w:rPr>
          <w:rFonts w:ascii="宋体" w:hAnsi="Calibri" w:cs="宋体" w:hint="eastAsia"/>
          <w:b/>
          <w:szCs w:val="21"/>
          <w:lang w:eastAsia="zh-CN"/>
        </w:rPr>
        <w:t>10%</w:t>
      </w:r>
      <w:r>
        <w:rPr>
          <w:rFonts w:ascii="宋体" w:hAnsi="Calibri" w:cs="宋体" w:hint="eastAsia"/>
          <w:b/>
          <w:szCs w:val="21"/>
          <w:lang w:eastAsia="zh-CN"/>
        </w:rPr>
        <w:t>，单个板块权重占比不超过</w:t>
      </w:r>
      <w:r>
        <w:rPr>
          <w:rFonts w:ascii="宋体" w:hAnsi="Calibri" w:cs="宋体" w:hint="eastAsia"/>
          <w:b/>
          <w:szCs w:val="21"/>
          <w:lang w:eastAsia="zh-CN"/>
        </w:rPr>
        <w:t>80%</w:t>
      </w:r>
      <w:r>
        <w:rPr>
          <w:rFonts w:ascii="宋体" w:hAnsi="Calibri" w:cs="宋体" w:hint="eastAsia"/>
          <w:b/>
          <w:szCs w:val="21"/>
          <w:lang w:eastAsia="zh-CN"/>
        </w:rPr>
        <w:t>。</w:t>
      </w:r>
    </w:p>
    <w:p w:rsidR="004A090B">
      <w:pPr>
        <w:spacing w:line="360" w:lineRule="auto"/>
        <w:ind w:firstLine="420"/>
        <w:rPr>
          <w:rFonts w:ascii="宋体" w:hAnsi="Calibri"/>
          <w:b/>
          <w:szCs w:val="21"/>
        </w:rPr>
      </w:pPr>
      <w:r>
        <w:rPr>
          <w:rFonts w:ascii="宋体" w:hAnsi="Calibri" w:hint="eastAsia"/>
          <w:b/>
          <w:szCs w:val="21"/>
        </w:rPr>
        <w:t>有关标的指数具体编制方案等指数信息详见中证指数有限公司网站，网址：</w:t>
      </w:r>
      <w:r>
        <w:rPr>
          <w:rFonts w:ascii="宋体" w:hAnsi="Calibri" w:hint="eastAsia"/>
          <w:b/>
          <w:szCs w:val="21"/>
        </w:rPr>
        <w:t>www.csindex.com.cn</w:t>
      </w:r>
      <w:r>
        <w:rPr>
          <w:rFonts w:ascii="宋体" w:hAnsi="Calibri" w:hint="eastAsia"/>
          <w:b/>
          <w:szCs w:val="21"/>
        </w:rPr>
        <w:t>。</w:t>
      </w:r>
    </w:p>
    <w:p w:rsidR="004A090B">
      <w:pPr>
        <w:spacing w:line="360" w:lineRule="auto"/>
        <w:ind w:firstLine="422"/>
        <w:rPr>
          <w:rFonts w:ascii="宋体" w:hAnsi="Calibri" w:cs="宋体"/>
          <w:b/>
          <w:szCs w:val="21"/>
          <w:lang w:eastAsia="zh-CN"/>
        </w:rPr>
      </w:pPr>
      <w:r>
        <w:rPr>
          <w:rFonts w:ascii="宋体" w:hAnsi="Calibri" w:cs="宋体"/>
          <w:b/>
          <w:szCs w:val="21"/>
          <w:lang w:eastAsia="zh-CN"/>
        </w:rPr>
        <w:t>4</w:t>
      </w:r>
      <w:r>
        <w:rPr>
          <w:rFonts w:ascii="宋体" w:hAnsi="Calibri" w:cs="宋体"/>
          <w:b/>
          <w:szCs w:val="21"/>
          <w:lang w:eastAsia="zh-CN"/>
        </w:rPr>
        <w:t>、</w:t>
      </w:r>
      <w:r>
        <w:rPr>
          <w:rFonts w:ascii="宋体" w:hAnsi="Calibri" w:hint="eastAsia"/>
          <w:b/>
          <w:lang w:eastAsia="zh-CN"/>
        </w:rPr>
        <w:t>本基金为易方达中证科创创业人工智能交易型开放式指数证券投资基金（以下简称“目标</w:t>
      </w:r>
      <w:r>
        <w:rPr>
          <w:rFonts w:ascii="宋体" w:hAnsi="Calibri" w:hint="eastAsia"/>
          <w:b/>
          <w:lang w:eastAsia="zh-CN"/>
        </w:rPr>
        <w:t>ETF</w:t>
      </w:r>
      <w:r>
        <w:rPr>
          <w:rFonts w:ascii="宋体" w:hAnsi="Calibri" w:hint="eastAsia"/>
          <w:b/>
          <w:lang w:eastAsia="zh-CN"/>
        </w:rPr>
        <w:t>”）的联接基金，投资于目标</w:t>
      </w:r>
      <w:r>
        <w:rPr>
          <w:rFonts w:ascii="宋体" w:hAnsi="Calibri" w:hint="eastAsia"/>
          <w:b/>
          <w:lang w:eastAsia="zh-CN"/>
        </w:rPr>
        <w:t>ETF</w:t>
      </w:r>
      <w:r>
        <w:rPr>
          <w:rFonts w:ascii="宋体" w:hAnsi="Calibri" w:hint="eastAsia"/>
          <w:b/>
          <w:lang w:eastAsia="zh-CN"/>
        </w:rPr>
        <w:t>的资产不低于基金资产净值的</w:t>
      </w:r>
      <w:r>
        <w:rPr>
          <w:rFonts w:ascii="宋体" w:hAnsi="Calibri" w:hint="eastAsia"/>
          <w:b/>
          <w:lang w:eastAsia="zh-CN"/>
        </w:rPr>
        <w:t>90%</w:t>
      </w:r>
      <w:r>
        <w:rPr>
          <w:rFonts w:ascii="宋体" w:hAnsi="Calibri" w:hint="eastAsia"/>
          <w:b/>
          <w:lang w:eastAsia="zh-CN"/>
        </w:rPr>
        <w:t>，其投资目标是紧密跟踪业绩比较基准，追求跟踪偏离度和跟踪误差</w:t>
      </w:r>
      <w:r>
        <w:rPr>
          <w:rFonts w:ascii="宋体" w:hAnsi="Calibri" w:hint="eastAsia"/>
          <w:b/>
          <w:lang w:eastAsia="zh-CN"/>
        </w:rPr>
        <w:t>的最小化。</w:t>
      </w:r>
      <w:r>
        <w:rPr>
          <w:rFonts w:ascii="宋体" w:hAnsi="Calibri" w:cs="宋体" w:hint="eastAsia"/>
          <w:b/>
          <w:szCs w:val="21"/>
          <w:lang w:eastAsia="zh-CN"/>
        </w:rPr>
        <w:t>本基金投资于证券市场，基金净值会因为证券市场波动等因素产生波动。投资有风险，投资者在投资本基金前，请认真阅读本基金的招募说明书、基金合同、基金产品资料概要等信息披露文件，全面认识本基金产品的风险收益特征和产品特性，充分考虑自身的风险承受能力，理性判断市场，自主判断基金的投资价值，对投资基金的意愿、时机、数量等投资行为作出独立决策，承担基金投资中出现的各类风险。</w:t>
      </w:r>
    </w:p>
    <w:p w:rsidR="004A090B">
      <w:pPr>
        <w:spacing w:line="360" w:lineRule="auto"/>
        <w:ind w:firstLine="422"/>
        <w:rPr>
          <w:rFonts w:ascii="宋体" w:hAnsi="Calibri" w:cs="宋体"/>
          <w:b/>
          <w:szCs w:val="21"/>
          <w:lang w:eastAsia="zh-CN"/>
        </w:rPr>
      </w:pPr>
      <w:r>
        <w:rPr>
          <w:rFonts w:ascii="宋体" w:hAnsi="Calibri" w:cs="宋体"/>
          <w:b/>
          <w:szCs w:val="21"/>
          <w:lang w:eastAsia="zh-CN"/>
        </w:rPr>
        <w:t>投资</w:t>
      </w:r>
      <w:r>
        <w:rPr>
          <w:rFonts w:ascii="宋体" w:hAnsi="Calibri"/>
          <w:b/>
          <w:lang w:eastAsia="zh-CN"/>
        </w:rPr>
        <w:t>本基金可能遇到的主要风险包括：本基金特有风险、市场风险、流动性风险、管理风险、</w:t>
      </w:r>
      <w:r>
        <w:rPr>
          <w:rFonts w:ascii="宋体" w:hAnsi="Calibri" w:hint="eastAsia"/>
          <w:b/>
          <w:lang w:eastAsia="zh-CN"/>
        </w:rPr>
        <w:t>税收风险、</w:t>
      </w:r>
      <w:r>
        <w:rPr>
          <w:rFonts w:ascii="宋体" w:hAnsi="Calibri"/>
          <w:b/>
          <w:lang w:eastAsia="zh-CN"/>
        </w:rPr>
        <w:t>本基金法律文件中涉及基金风险特征的表述与销售机</w:t>
      </w:r>
      <w:r>
        <w:rPr>
          <w:rFonts w:ascii="宋体" w:hAnsi="Calibri"/>
          <w:b/>
          <w:lang w:eastAsia="zh-CN"/>
        </w:rPr>
        <w:t>构对基金的风险评级可能不一致的风险及其他风险等。</w:t>
      </w:r>
      <w:r>
        <w:rPr>
          <w:rFonts w:ascii="宋体" w:hAnsi="Calibri" w:hint="eastAsia"/>
          <w:b/>
          <w:lang w:eastAsia="zh-CN"/>
        </w:rPr>
        <w:t>本基金特有风险包括：</w:t>
      </w:r>
      <w:r>
        <w:rPr>
          <w:rFonts w:ascii="宋体" w:hAnsi="宋体" w:cs="宋体"/>
          <w:b/>
          <w:color w:val="000000"/>
          <w:highlight w:val="white"/>
          <w:lang w:eastAsia="zh-CN"/>
        </w:rPr>
        <w:t>（</w:t>
      </w:r>
      <w:r>
        <w:rPr>
          <w:rFonts w:ascii="宋体" w:hAnsi="宋体" w:cs="宋体"/>
          <w:b/>
          <w:color w:val="000000"/>
          <w:highlight w:val="white"/>
          <w:lang w:eastAsia="zh-CN"/>
        </w:rPr>
        <w:t>1</w:t>
      </w:r>
      <w:r>
        <w:rPr>
          <w:rFonts w:ascii="宋体" w:hAnsi="宋体" w:cs="宋体"/>
          <w:b/>
          <w:color w:val="000000"/>
          <w:highlight w:val="white"/>
          <w:lang w:eastAsia="zh-CN"/>
        </w:rPr>
        <w:t>）投资科创板股票的风险</w:t>
      </w:r>
      <w:r>
        <w:rPr>
          <w:rFonts w:ascii="宋体" w:hAnsi="宋体" w:cs="宋体" w:hint="eastAsia"/>
          <w:b/>
          <w:color w:val="000000"/>
          <w:highlight w:val="white"/>
          <w:lang w:eastAsia="zh-CN"/>
        </w:rPr>
        <w:t>，</w:t>
      </w:r>
      <w:r>
        <w:rPr>
          <w:rFonts w:ascii="宋体" w:hAnsi="宋体" w:cs="宋体"/>
          <w:b/>
          <w:color w:val="000000"/>
          <w:highlight w:val="white"/>
          <w:lang w:eastAsia="zh-CN"/>
        </w:rPr>
        <w:t>包括科创板企业退市风险、市场风险、流动性风险、监管规则变化的风险等；</w:t>
      </w:r>
      <w:r>
        <w:rPr>
          <w:rFonts w:ascii="宋体" w:hAnsi="Calibri" w:hint="eastAsia"/>
          <w:b/>
          <w:lang w:eastAsia="zh-CN"/>
        </w:rPr>
        <w:t>（</w:t>
      </w:r>
      <w:r>
        <w:rPr>
          <w:rFonts w:ascii="宋体" w:hAnsi="Calibri" w:hint="eastAsia"/>
          <w:b/>
          <w:lang w:eastAsia="zh-CN"/>
        </w:rPr>
        <w:t>2</w:t>
      </w:r>
      <w:r>
        <w:rPr>
          <w:rFonts w:ascii="宋体" w:hAnsi="Calibri" w:hint="eastAsia"/>
          <w:b/>
          <w:lang w:eastAsia="zh-CN"/>
        </w:rPr>
        <w:t>）投资创业板股票的风险。包括无法盈利甚至出现较大亏损的风险、股价大幅波动的风险、创业板企业退市风险、红筹企业的投资风险、监管规则变化的风险等；（</w:t>
      </w:r>
      <w:r>
        <w:rPr>
          <w:rFonts w:ascii="宋体" w:hAnsi="Calibri" w:hint="eastAsia"/>
          <w:b/>
          <w:lang w:eastAsia="zh-CN"/>
        </w:rPr>
        <w:t>3</w:t>
      </w:r>
      <w:r>
        <w:rPr>
          <w:rFonts w:ascii="宋体" w:hAnsi="Calibri" w:hint="eastAsia"/>
          <w:b/>
          <w:lang w:eastAsia="zh-CN"/>
        </w:rPr>
        <w:t>）指数化投资的风险，包括标的指数回报与股票市场平均回报偏离的风险、标的指数波动的风险、指数成份股主要集中于人工智能主题公司的集中度风险、部分成份股权重较大的风险、标的指数发布时间较短的风险、成份股停</w:t>
      </w:r>
      <w:r>
        <w:rPr>
          <w:rFonts w:ascii="宋体" w:hAnsi="Calibri" w:hint="eastAsia"/>
          <w:b/>
          <w:lang w:eastAsia="zh-CN"/>
        </w:rPr>
        <w:t>牌的风险、基金分红特殊安排的风险、基金收益率与业绩比较基准收益率偏离的风险、跟踪误差控制未达约定目标的风险、标的指数值计算出错的风险、标的指数编制方案带来的风险、指数编制机构停止服务的风险；（</w:t>
      </w:r>
      <w:r>
        <w:rPr>
          <w:rFonts w:ascii="宋体" w:hAnsi="Calibri" w:hint="eastAsia"/>
          <w:b/>
          <w:lang w:eastAsia="zh-CN"/>
        </w:rPr>
        <w:t>4</w:t>
      </w:r>
      <w:r>
        <w:rPr>
          <w:rFonts w:ascii="宋体" w:hAnsi="Calibri" w:hint="eastAsia"/>
          <w:b/>
          <w:lang w:eastAsia="zh-CN"/>
        </w:rPr>
        <w:t>）联接基金的特殊风险，包括可能具有与目标</w:t>
      </w:r>
      <w:r>
        <w:rPr>
          <w:rFonts w:ascii="宋体" w:hAnsi="Calibri" w:hint="eastAsia"/>
          <w:b/>
          <w:lang w:eastAsia="zh-CN"/>
        </w:rPr>
        <w:t>ETF</w:t>
      </w:r>
      <w:r>
        <w:rPr>
          <w:rFonts w:ascii="宋体" w:hAnsi="Calibri" w:hint="eastAsia"/>
          <w:b/>
          <w:lang w:eastAsia="zh-CN"/>
        </w:rPr>
        <w:t>不同的风险收益特征及净值增长率的风险、目标</w:t>
      </w:r>
      <w:r>
        <w:rPr>
          <w:rFonts w:ascii="宋体" w:hAnsi="Calibri" w:hint="eastAsia"/>
          <w:b/>
          <w:lang w:eastAsia="zh-CN"/>
        </w:rPr>
        <w:t>ETF</w:t>
      </w:r>
      <w:r>
        <w:rPr>
          <w:rFonts w:ascii="宋体" w:hAnsi="Calibri" w:hint="eastAsia"/>
          <w:b/>
          <w:lang w:eastAsia="zh-CN"/>
        </w:rPr>
        <w:t>面临的风险可能直接或间接成为本基金的风险、由目标</w:t>
      </w:r>
      <w:r>
        <w:rPr>
          <w:rFonts w:ascii="宋体" w:hAnsi="Calibri" w:hint="eastAsia"/>
          <w:b/>
          <w:lang w:eastAsia="zh-CN"/>
        </w:rPr>
        <w:t>ETF</w:t>
      </w:r>
      <w:r>
        <w:rPr>
          <w:rFonts w:ascii="宋体" w:hAnsi="Calibri" w:hint="eastAsia"/>
          <w:b/>
          <w:lang w:eastAsia="zh-CN"/>
        </w:rPr>
        <w:t>的联接基金变更为直接投资目标</w:t>
      </w:r>
      <w:r>
        <w:rPr>
          <w:rFonts w:ascii="宋体" w:hAnsi="Calibri" w:hint="eastAsia"/>
          <w:b/>
          <w:lang w:eastAsia="zh-CN"/>
        </w:rPr>
        <w:t>ETF</w:t>
      </w:r>
      <w:r>
        <w:rPr>
          <w:rFonts w:ascii="宋体" w:hAnsi="Calibri" w:hint="eastAsia"/>
          <w:b/>
          <w:lang w:eastAsia="zh-CN"/>
        </w:rPr>
        <w:t>标的指数成份股及备选成份股的指数基金的风险；</w:t>
      </w:r>
      <w:r>
        <w:rPr>
          <w:rFonts w:ascii="宋体" w:hAnsi="Calibri"/>
          <w:b/>
          <w:lang w:eastAsia="zh-CN"/>
        </w:rPr>
        <w:t>（</w:t>
      </w:r>
      <w:r>
        <w:rPr>
          <w:rFonts w:ascii="宋体" w:hAnsi="Calibri"/>
          <w:b/>
          <w:lang w:eastAsia="zh-CN"/>
        </w:rPr>
        <w:t>5</w:t>
      </w:r>
      <w:r>
        <w:rPr>
          <w:rFonts w:ascii="宋体" w:hAnsi="Calibri"/>
          <w:b/>
          <w:lang w:eastAsia="zh-CN"/>
        </w:rPr>
        <w:t>）</w:t>
      </w:r>
      <w:r>
        <w:rPr>
          <w:rFonts w:ascii="宋体" w:hAnsi="Calibri" w:hint="eastAsia"/>
          <w:b/>
          <w:lang w:eastAsia="zh-CN"/>
        </w:rPr>
        <w:t>投资特定品种（包括股指期货、国债期货、股票期权等金融衍生品、</w:t>
      </w:r>
      <w:r>
        <w:rPr>
          <w:rFonts w:ascii="宋体" w:hAnsi="Calibri" w:cs="宋体" w:hint="eastAsia"/>
          <w:b/>
          <w:szCs w:val="21"/>
          <w:lang w:eastAsia="zh-CN"/>
        </w:rPr>
        <w:t>北交所股票、</w:t>
      </w:r>
      <w:r>
        <w:rPr>
          <w:rFonts w:ascii="宋体" w:hAnsi="Calibri" w:hint="eastAsia"/>
          <w:b/>
          <w:lang w:eastAsia="zh-CN"/>
        </w:rPr>
        <w:t>资产支持证券、存托凭证等）的特有风险；（</w:t>
      </w:r>
      <w:r>
        <w:rPr>
          <w:rFonts w:ascii="宋体" w:hAnsi="Calibri"/>
          <w:b/>
          <w:lang w:eastAsia="zh-CN"/>
        </w:rPr>
        <w:t>6</w:t>
      </w:r>
      <w:r>
        <w:rPr>
          <w:rFonts w:ascii="宋体" w:hAnsi="Calibri" w:hint="eastAsia"/>
          <w:b/>
          <w:lang w:eastAsia="zh-CN"/>
        </w:rPr>
        <w:t>）参与转融通证券出借业务的风险；（</w:t>
      </w:r>
      <w:r>
        <w:rPr>
          <w:rFonts w:ascii="宋体" w:hAnsi="Calibri"/>
          <w:b/>
          <w:lang w:eastAsia="zh-CN"/>
        </w:rPr>
        <w:t>7</w:t>
      </w:r>
      <w:r>
        <w:rPr>
          <w:rFonts w:ascii="宋体" w:hAnsi="Calibri" w:hint="eastAsia"/>
          <w:b/>
          <w:lang w:eastAsia="zh-CN"/>
        </w:rPr>
        <w:t>）基金合同终止的风险等</w:t>
      </w:r>
      <w:r>
        <w:rPr>
          <w:rFonts w:ascii="宋体" w:hAnsi="Calibri" w:cs="宋体"/>
          <w:b/>
          <w:szCs w:val="21"/>
          <w:lang w:eastAsia="zh-CN"/>
        </w:rPr>
        <w:t>。</w:t>
      </w:r>
    </w:p>
    <w:p w:rsidR="004A090B">
      <w:pPr>
        <w:snapToGrid w:val="0"/>
        <w:spacing w:line="360" w:lineRule="auto"/>
        <w:ind w:firstLine="422"/>
        <w:rPr>
          <w:rFonts w:ascii="宋体" w:hAnsi="Calibri" w:cs="宋体"/>
          <w:b/>
          <w:szCs w:val="21"/>
          <w:lang w:eastAsia="zh-CN"/>
        </w:rPr>
      </w:pPr>
      <w:r>
        <w:rPr>
          <w:rFonts w:ascii="宋体" w:hAnsi="Calibri" w:cs="宋体" w:hint="eastAsia"/>
          <w:b/>
          <w:szCs w:val="21"/>
          <w:lang w:eastAsia="zh-CN"/>
        </w:rPr>
        <w:t>本基金的具体运作特点详见基金合同和招募说明书的约定。</w:t>
      </w:r>
      <w:r>
        <w:rPr>
          <w:rFonts w:ascii="宋体" w:hAnsi="Calibri" w:cs="宋体"/>
          <w:b/>
          <w:szCs w:val="21"/>
          <w:lang w:eastAsia="zh-CN"/>
        </w:rPr>
        <w:t>投资本基金可能面临的风险详见招募说明书的</w:t>
      </w:r>
      <w:r>
        <w:rPr>
          <w:rFonts w:ascii="宋体" w:hAnsi="Calibri" w:cs="宋体"/>
          <w:b/>
          <w:szCs w:val="21"/>
          <w:lang w:eastAsia="zh-CN"/>
        </w:rPr>
        <w:t>“</w:t>
      </w:r>
      <w:r>
        <w:rPr>
          <w:rFonts w:ascii="宋体" w:hAnsi="Calibri" w:cs="宋体"/>
          <w:b/>
          <w:szCs w:val="21"/>
          <w:lang w:eastAsia="zh-CN"/>
        </w:rPr>
        <w:t>风险揭示</w:t>
      </w:r>
      <w:r>
        <w:rPr>
          <w:rFonts w:ascii="宋体" w:hAnsi="Calibri" w:cs="宋体"/>
          <w:b/>
          <w:szCs w:val="21"/>
          <w:lang w:eastAsia="zh-CN"/>
        </w:rPr>
        <w:t>”</w:t>
      </w:r>
      <w:r>
        <w:rPr>
          <w:rFonts w:ascii="宋体" w:hAnsi="Calibri" w:cs="宋体"/>
          <w:b/>
          <w:szCs w:val="21"/>
          <w:lang w:eastAsia="zh-CN"/>
        </w:rPr>
        <w:t>部分。</w:t>
      </w:r>
    </w:p>
    <w:p w:rsidR="004A090B">
      <w:pPr>
        <w:snapToGrid w:val="0"/>
        <w:spacing w:line="360" w:lineRule="auto"/>
        <w:ind w:firstLine="422"/>
        <w:rPr>
          <w:rFonts w:ascii="宋体" w:hAnsi="Calibri" w:cs="宋体"/>
          <w:b/>
          <w:szCs w:val="21"/>
          <w:lang w:eastAsia="zh-CN"/>
        </w:rPr>
      </w:pPr>
      <w:r>
        <w:rPr>
          <w:rFonts w:ascii="宋体" w:hAnsi="Calibri" w:cs="宋体" w:hint="eastAsia"/>
          <w:b/>
          <w:szCs w:val="21"/>
          <w:lang w:eastAsia="zh-CN"/>
        </w:rPr>
        <w:t>5</w:t>
      </w:r>
      <w:r>
        <w:rPr>
          <w:rFonts w:ascii="宋体" w:hAnsi="Calibri" w:cs="宋体" w:hint="eastAsia"/>
          <w:b/>
          <w:szCs w:val="21"/>
          <w:lang w:eastAsia="zh-CN"/>
        </w:rPr>
        <w:t>、</w:t>
      </w:r>
      <w:r>
        <w:rPr>
          <w:rFonts w:ascii="宋体" w:hAnsi="Calibri" w:cs="宋体"/>
          <w:b/>
          <w:szCs w:val="21"/>
          <w:lang w:eastAsia="zh-CN"/>
        </w:rPr>
        <w:t>本基金为</w:t>
      </w:r>
      <w:r>
        <w:rPr>
          <w:rFonts w:ascii="宋体" w:hAnsi="Calibri" w:cs="宋体"/>
          <w:b/>
          <w:szCs w:val="21"/>
          <w:lang w:eastAsia="zh-CN"/>
        </w:rPr>
        <w:t>ETF</w:t>
      </w:r>
      <w:r>
        <w:rPr>
          <w:rFonts w:ascii="宋体" w:hAnsi="Calibri" w:cs="宋体"/>
          <w:b/>
          <w:szCs w:val="21"/>
          <w:lang w:eastAsia="zh-CN"/>
        </w:rPr>
        <w:t>联接基金，预期风险与预期收益水平高于混合型基金、债券型基金与货币市场基金。本基金主要通过投资于目标</w:t>
      </w:r>
      <w:r>
        <w:rPr>
          <w:rFonts w:ascii="宋体" w:hAnsi="Calibri" w:cs="宋体"/>
          <w:b/>
          <w:szCs w:val="21"/>
          <w:lang w:eastAsia="zh-CN"/>
        </w:rPr>
        <w:t>ETF</w:t>
      </w:r>
      <w:r>
        <w:rPr>
          <w:rFonts w:ascii="宋体" w:hAnsi="Calibri" w:cs="宋体"/>
          <w:b/>
          <w:szCs w:val="21"/>
          <w:lang w:eastAsia="zh-CN"/>
        </w:rPr>
        <w:t>实现对业绩比较基准的紧密跟踪。因此，本基金的业绩表现与标的指数的表现密切相关。</w:t>
      </w:r>
    </w:p>
    <w:p w:rsidR="004A090B">
      <w:pPr>
        <w:spacing w:line="360" w:lineRule="auto"/>
        <w:ind w:firstLine="420" w:firstLineChars="200"/>
        <w:rPr>
          <w:rFonts w:ascii="宋体" w:hAnsi="Calibri"/>
          <w:b/>
          <w:szCs w:val="21"/>
          <w:lang w:eastAsia="zh-CN"/>
        </w:rPr>
      </w:pPr>
      <w:r>
        <w:rPr>
          <w:rFonts w:ascii="宋体" w:hAnsi="Calibri"/>
          <w:b/>
          <w:szCs w:val="21"/>
          <w:lang w:eastAsia="zh-CN"/>
        </w:rPr>
        <w:t>6</w:t>
      </w:r>
      <w:r>
        <w:rPr>
          <w:rFonts w:ascii="宋体" w:hAnsi="Calibri" w:hint="eastAsia"/>
          <w:b/>
          <w:szCs w:val="21"/>
          <w:lang w:eastAsia="zh-CN"/>
        </w:rPr>
        <w:t>、</w:t>
      </w:r>
      <w:r>
        <w:rPr>
          <w:rFonts w:ascii="宋体" w:hAnsi="Calibri"/>
          <w:b/>
          <w:szCs w:val="21"/>
          <w:lang w:eastAsia="zh-CN"/>
        </w:rPr>
        <w:t>本基金为发起式基金，本基金发起资金来源</w:t>
      </w:r>
      <w:r>
        <w:rPr>
          <w:rFonts w:ascii="宋体" w:hAnsi="Calibri" w:hint="eastAsia"/>
          <w:b/>
          <w:szCs w:val="21"/>
          <w:lang w:eastAsia="zh-CN"/>
        </w:rPr>
        <w:t>范围</w:t>
      </w:r>
      <w:r>
        <w:rPr>
          <w:rFonts w:ascii="宋体" w:hAnsi="Calibri"/>
          <w:b/>
          <w:szCs w:val="21"/>
          <w:lang w:eastAsia="zh-CN"/>
        </w:rPr>
        <w:t>为基金管理人固有资金</w:t>
      </w:r>
      <w:r>
        <w:rPr>
          <w:rFonts w:ascii="宋体" w:hAnsi="Calibri" w:hint="eastAsia"/>
          <w:b/>
          <w:szCs w:val="21"/>
          <w:lang w:eastAsia="zh-CN"/>
        </w:rPr>
        <w:t>，本基金发起资金的认购情况详</w:t>
      </w:r>
      <w:r>
        <w:rPr>
          <w:rFonts w:ascii="宋体" w:hAnsi="Calibri" w:hint="eastAsia"/>
          <w:b/>
          <w:szCs w:val="21"/>
          <w:lang w:eastAsia="zh-CN"/>
        </w:rPr>
        <w:t>见管理人届时发布的基金合同生效公告</w:t>
      </w:r>
      <w:r>
        <w:rPr>
          <w:rFonts w:ascii="宋体" w:hAnsi="Calibri"/>
          <w:b/>
          <w:szCs w:val="21"/>
          <w:lang w:eastAsia="zh-CN"/>
        </w:rPr>
        <w:t>。发起资金提供方认购基金的金额不少于</w:t>
      </w:r>
      <w:r>
        <w:rPr>
          <w:rFonts w:ascii="宋体" w:hAnsi="Calibri"/>
          <w:b/>
          <w:szCs w:val="21"/>
          <w:lang w:eastAsia="zh-CN"/>
        </w:rPr>
        <w:t>1000</w:t>
      </w:r>
      <w:r>
        <w:rPr>
          <w:rFonts w:ascii="宋体" w:hAnsi="Calibri"/>
          <w:b/>
          <w:szCs w:val="21"/>
          <w:lang w:eastAsia="zh-CN"/>
        </w:rPr>
        <w:t>万元人民币，且持有认购份额的期限不少于</w:t>
      </w:r>
      <w:r>
        <w:rPr>
          <w:rFonts w:ascii="宋体" w:hAnsi="Calibri"/>
          <w:b/>
          <w:szCs w:val="21"/>
          <w:lang w:eastAsia="zh-CN"/>
        </w:rPr>
        <w:t>3</w:t>
      </w:r>
      <w:r>
        <w:rPr>
          <w:rFonts w:ascii="宋体" w:hAnsi="Calibri"/>
          <w:b/>
          <w:szCs w:val="21"/>
          <w:lang w:eastAsia="zh-CN"/>
        </w:rPr>
        <w:t>年。本基金发起资金提供方对本基金的发起认购，并不代表对本基金的风险或收益的任何判断、预测、推荐和保证，发起资金也并不用于对投资人投资亏损的补偿，投资人及发起资金认购人均自行承担投资风险。本基金发起资金认购的本基金份额持有期限自基金合同生效日起满</w:t>
      </w:r>
      <w:r>
        <w:rPr>
          <w:rFonts w:ascii="宋体" w:hAnsi="Calibri"/>
          <w:b/>
          <w:szCs w:val="21"/>
          <w:lang w:eastAsia="zh-CN"/>
        </w:rPr>
        <w:t>3</w:t>
      </w:r>
      <w:r>
        <w:rPr>
          <w:rFonts w:ascii="宋体" w:hAnsi="Calibri"/>
          <w:b/>
          <w:szCs w:val="21"/>
          <w:lang w:eastAsia="zh-CN"/>
        </w:rPr>
        <w:t>年后，发起资金提供方将根据自身情况决定是否继续持有，届时发起资金提供方有可能赎回认购的本基金份额。</w:t>
      </w:r>
    </w:p>
    <w:p w:rsidR="004A090B">
      <w:pPr>
        <w:spacing w:line="360" w:lineRule="auto"/>
        <w:ind w:firstLine="422"/>
        <w:rPr>
          <w:rFonts w:ascii="宋体" w:hAnsi="Calibri" w:cs="宋体"/>
          <w:b/>
          <w:szCs w:val="21"/>
          <w:lang w:eastAsia="zh-CN"/>
        </w:rPr>
      </w:pPr>
      <w:r>
        <w:rPr>
          <w:rFonts w:ascii="宋体" w:hAnsi="Calibri" w:cs="宋体"/>
          <w:b/>
          <w:szCs w:val="21"/>
          <w:lang w:eastAsia="zh-CN"/>
        </w:rPr>
        <w:t>7</w:t>
      </w:r>
      <w:r>
        <w:rPr>
          <w:rFonts w:ascii="宋体" w:hAnsi="Calibri" w:cs="宋体"/>
          <w:b/>
          <w:szCs w:val="21"/>
          <w:lang w:eastAsia="zh-CN"/>
        </w:rPr>
        <w:t>、本基金将基金份额分为</w:t>
      </w:r>
      <w:r>
        <w:rPr>
          <w:rFonts w:ascii="宋体" w:hAnsi="Calibri" w:cs="宋体"/>
          <w:b/>
          <w:szCs w:val="21"/>
          <w:lang w:eastAsia="zh-CN"/>
        </w:rPr>
        <w:t>A</w:t>
      </w:r>
      <w:r>
        <w:rPr>
          <w:rFonts w:ascii="宋体" w:hAnsi="Calibri" w:cs="宋体"/>
          <w:b/>
          <w:szCs w:val="21"/>
          <w:lang w:eastAsia="zh-CN"/>
        </w:rPr>
        <w:t>类基金份额和</w:t>
      </w:r>
      <w:r>
        <w:rPr>
          <w:rFonts w:ascii="宋体" w:hAnsi="Calibri" w:cs="宋体"/>
          <w:b/>
          <w:szCs w:val="21"/>
          <w:lang w:eastAsia="zh-CN"/>
        </w:rPr>
        <w:t>C</w:t>
      </w:r>
      <w:r>
        <w:rPr>
          <w:rFonts w:ascii="宋体" w:hAnsi="Calibri" w:cs="宋体"/>
          <w:b/>
          <w:szCs w:val="21"/>
          <w:lang w:eastAsia="zh-CN"/>
        </w:rPr>
        <w:t>类基金份</w:t>
      </w:r>
      <w:r>
        <w:rPr>
          <w:rFonts w:ascii="宋体" w:hAnsi="Calibri" w:cs="宋体"/>
          <w:b/>
          <w:szCs w:val="21"/>
          <w:lang w:eastAsia="zh-CN"/>
        </w:rPr>
        <w:t>额。</w:t>
      </w:r>
      <w:r>
        <w:rPr>
          <w:rFonts w:ascii="宋体" w:hAnsi="Calibri" w:cs="宋体"/>
          <w:b/>
          <w:szCs w:val="21"/>
          <w:lang w:eastAsia="zh-CN"/>
        </w:rPr>
        <w:t>A</w:t>
      </w:r>
      <w:r>
        <w:rPr>
          <w:rFonts w:ascii="宋体" w:hAnsi="Calibri" w:cs="宋体"/>
          <w:b/>
          <w:szCs w:val="21"/>
          <w:lang w:eastAsia="zh-CN"/>
        </w:rPr>
        <w:t>类基金份额在投资人认购</w:t>
      </w:r>
      <w:r>
        <w:rPr>
          <w:rFonts w:ascii="宋体" w:hAnsi="Calibri" w:cs="宋体"/>
          <w:b/>
          <w:szCs w:val="21"/>
          <w:lang w:eastAsia="zh-CN"/>
        </w:rPr>
        <w:t>/</w:t>
      </w:r>
      <w:r>
        <w:rPr>
          <w:rFonts w:ascii="宋体" w:hAnsi="Calibri" w:cs="宋体"/>
          <w:b/>
          <w:szCs w:val="21"/>
          <w:lang w:eastAsia="zh-CN"/>
        </w:rPr>
        <w:t>申购时</w:t>
      </w:r>
      <w:r>
        <w:rPr>
          <w:rFonts w:ascii="宋体" w:hAnsi="宋体" w:cs="宋体" w:hint="eastAsia"/>
          <w:b/>
          <w:highlight w:val="white"/>
          <w:lang w:eastAsia="zh-CN"/>
        </w:rPr>
        <w:t>按规定</w:t>
      </w:r>
      <w:r>
        <w:rPr>
          <w:rFonts w:ascii="宋体" w:hAnsi="Calibri" w:cs="宋体"/>
          <w:b/>
          <w:szCs w:val="21"/>
          <w:lang w:eastAsia="zh-CN"/>
        </w:rPr>
        <w:t>收取认购</w:t>
      </w:r>
      <w:r>
        <w:rPr>
          <w:rFonts w:ascii="宋体" w:hAnsi="Calibri" w:cs="宋体"/>
          <w:b/>
          <w:szCs w:val="21"/>
          <w:lang w:eastAsia="zh-CN"/>
        </w:rPr>
        <w:t>/</w:t>
      </w:r>
      <w:r>
        <w:rPr>
          <w:rFonts w:ascii="宋体" w:hAnsi="Calibri" w:cs="宋体"/>
          <w:b/>
          <w:szCs w:val="21"/>
          <w:lang w:eastAsia="zh-CN"/>
        </w:rPr>
        <w:t>申购费用，在持有期间不收取销售服务费；</w:t>
      </w:r>
      <w:r>
        <w:rPr>
          <w:rFonts w:ascii="宋体" w:hAnsi="Calibri" w:cs="宋体"/>
          <w:b/>
          <w:szCs w:val="21"/>
          <w:lang w:eastAsia="zh-CN"/>
        </w:rPr>
        <w:t>C</w:t>
      </w:r>
      <w:r>
        <w:rPr>
          <w:rFonts w:ascii="宋体" w:hAnsi="Calibri" w:cs="宋体"/>
          <w:b/>
          <w:szCs w:val="21"/>
          <w:lang w:eastAsia="zh-CN"/>
        </w:rPr>
        <w:t>类基金份额在投资人认购</w:t>
      </w:r>
      <w:r>
        <w:rPr>
          <w:rFonts w:ascii="宋体" w:hAnsi="Calibri" w:cs="宋体"/>
          <w:b/>
          <w:szCs w:val="21"/>
          <w:lang w:eastAsia="zh-CN"/>
        </w:rPr>
        <w:t>/</w:t>
      </w:r>
      <w:r>
        <w:rPr>
          <w:rFonts w:ascii="宋体" w:hAnsi="Calibri" w:cs="宋体"/>
          <w:b/>
          <w:szCs w:val="21"/>
          <w:lang w:eastAsia="zh-CN"/>
        </w:rPr>
        <w:t>申购时不收取认购</w:t>
      </w:r>
      <w:r>
        <w:rPr>
          <w:rFonts w:ascii="宋体" w:hAnsi="Calibri" w:cs="宋体"/>
          <w:b/>
          <w:szCs w:val="21"/>
          <w:lang w:eastAsia="zh-CN"/>
        </w:rPr>
        <w:t>/</w:t>
      </w:r>
      <w:r>
        <w:rPr>
          <w:rFonts w:ascii="宋体" w:hAnsi="Calibri" w:cs="宋体"/>
          <w:b/>
          <w:szCs w:val="21"/>
          <w:lang w:eastAsia="zh-CN"/>
        </w:rPr>
        <w:t>申购费用，在持有期间</w:t>
      </w:r>
      <w:r>
        <w:rPr>
          <w:rFonts w:ascii="宋体" w:hAnsi="宋体" w:cs="宋体"/>
          <w:b/>
          <w:highlight w:val="white"/>
          <w:lang w:eastAsia="zh-CN"/>
        </w:rPr>
        <w:t>计提销售服务费</w:t>
      </w:r>
      <w:r>
        <w:rPr>
          <w:rFonts w:ascii="宋体" w:hAnsi="宋体" w:cs="宋体" w:hint="eastAsia"/>
          <w:b/>
          <w:highlight w:val="white"/>
          <w:lang w:eastAsia="zh-CN"/>
        </w:rPr>
        <w:t>并按规定收取或返还</w:t>
      </w:r>
      <w:r>
        <w:rPr>
          <w:rFonts w:ascii="宋体" w:hAnsi="Calibri" w:cs="宋体"/>
          <w:b/>
          <w:szCs w:val="21"/>
          <w:lang w:eastAsia="zh-CN"/>
        </w:rPr>
        <w:t>。</w:t>
      </w:r>
    </w:p>
    <w:p w:rsidR="004A090B">
      <w:pPr>
        <w:spacing w:line="360" w:lineRule="auto"/>
        <w:ind w:firstLine="422"/>
        <w:rPr>
          <w:rFonts w:ascii="宋体" w:hAnsi="Calibri" w:cs="宋体"/>
          <w:b/>
          <w:szCs w:val="21"/>
          <w:lang w:eastAsia="zh-CN"/>
        </w:rPr>
      </w:pPr>
      <w:r>
        <w:rPr>
          <w:rFonts w:ascii="宋体" w:hAnsi="Calibri" w:cs="宋体"/>
          <w:b/>
          <w:szCs w:val="21"/>
          <w:lang w:eastAsia="zh-CN"/>
        </w:rPr>
        <w:t>8</w:t>
      </w:r>
      <w:r>
        <w:rPr>
          <w:rFonts w:ascii="宋体" w:hAnsi="Calibri" w:cs="宋体" w:hint="eastAsia"/>
          <w:b/>
          <w:szCs w:val="21"/>
          <w:lang w:eastAsia="zh-CN"/>
        </w:rPr>
        <w:t>、基金管理人提醒投资者基金投资的“买者自负”原则，在投资者作出投资决策后，基金运营状况与基金净值变化引致的投资风险，由投资者自行负责。此外，本基金以</w:t>
      </w:r>
      <w:r>
        <w:rPr>
          <w:rFonts w:ascii="宋体" w:hAnsi="Calibri" w:cs="宋体" w:hint="eastAsia"/>
          <w:b/>
          <w:szCs w:val="21"/>
          <w:lang w:eastAsia="zh-CN"/>
        </w:rPr>
        <w:t>1</w:t>
      </w:r>
      <w:r>
        <w:rPr>
          <w:rFonts w:ascii="宋体" w:hAnsi="Calibri" w:cs="宋体" w:hint="eastAsia"/>
          <w:b/>
          <w:szCs w:val="21"/>
          <w:lang w:eastAsia="zh-CN"/>
        </w:rPr>
        <w:t>元初始面值进行募集，在市场波动等因素的影响下，存在单位份额净值跌破</w:t>
      </w:r>
      <w:r>
        <w:rPr>
          <w:rFonts w:ascii="宋体" w:hAnsi="Calibri" w:cs="宋体" w:hint="eastAsia"/>
          <w:b/>
          <w:szCs w:val="21"/>
          <w:lang w:eastAsia="zh-CN"/>
        </w:rPr>
        <w:t>1</w:t>
      </w:r>
      <w:r>
        <w:rPr>
          <w:rFonts w:ascii="宋体" w:hAnsi="Calibri" w:cs="宋体" w:hint="eastAsia"/>
          <w:b/>
          <w:szCs w:val="21"/>
          <w:lang w:eastAsia="zh-CN"/>
        </w:rPr>
        <w:t>元初始面值的风险。</w:t>
      </w:r>
    </w:p>
    <w:p w:rsidR="004A090B">
      <w:pPr>
        <w:spacing w:line="360" w:lineRule="auto"/>
        <w:ind w:firstLine="422"/>
        <w:rPr>
          <w:rFonts w:ascii="宋体" w:hAnsi="Calibri" w:cs="宋体"/>
          <w:b/>
          <w:szCs w:val="21"/>
          <w:lang w:eastAsia="zh-CN"/>
        </w:rPr>
      </w:pPr>
      <w:r>
        <w:rPr>
          <w:rFonts w:ascii="宋体" w:hAnsi="Calibri" w:cs="宋体"/>
          <w:b/>
          <w:szCs w:val="21"/>
          <w:lang w:eastAsia="zh-CN"/>
        </w:rPr>
        <w:t>9</w:t>
      </w:r>
      <w:r>
        <w:rPr>
          <w:rFonts w:ascii="宋体" w:hAnsi="Calibri" w:cs="宋体" w:hint="eastAsia"/>
          <w:b/>
          <w:szCs w:val="21"/>
          <w:lang w:eastAsia="zh-CN"/>
        </w:rPr>
        <w:t>、基金不同于银行储蓄，基金投资人投资于基金有可能获得较高的收益，也有可能损失本金</w:t>
      </w:r>
      <w:r>
        <w:rPr>
          <w:rFonts w:ascii="宋体" w:hAnsi="Calibri" w:cs="宋体" w:hint="eastAsia"/>
          <w:b/>
          <w:szCs w:val="21"/>
          <w:lang w:eastAsia="zh-CN"/>
        </w:rPr>
        <w:t>。投资有风险，投资人在进行投资决策前，请仔细阅读本基金的《招募说明书》及《基金合同》。</w:t>
      </w:r>
    </w:p>
    <w:p w:rsidR="004A090B">
      <w:pPr>
        <w:spacing w:line="360" w:lineRule="auto"/>
        <w:ind w:firstLine="422"/>
        <w:rPr>
          <w:rFonts w:ascii="宋体" w:hAnsi="Calibri" w:cs="宋体"/>
          <w:b/>
          <w:szCs w:val="21"/>
          <w:lang w:eastAsia="zh-CN"/>
        </w:rPr>
      </w:pPr>
      <w:r>
        <w:rPr>
          <w:rFonts w:ascii="宋体" w:hAnsi="Calibri" w:cs="宋体"/>
          <w:b/>
          <w:szCs w:val="21"/>
          <w:lang w:eastAsia="zh-CN"/>
        </w:rPr>
        <w:t>10</w:t>
      </w:r>
      <w:r>
        <w:rPr>
          <w:rFonts w:ascii="宋体" w:hAnsi="Calibri" w:cs="宋体" w:hint="eastAsia"/>
          <w:b/>
          <w:szCs w:val="21"/>
          <w:lang w:eastAsia="zh-CN"/>
        </w:rPr>
        <w:t>、基金的过往业绩并不预示其未来表现，基金管理人管理的其他基金的业绩并不构成对本基金表现的保证。</w:t>
      </w:r>
    </w:p>
    <w:p w:rsidR="004A090B">
      <w:pPr>
        <w:spacing w:line="360" w:lineRule="auto"/>
        <w:ind w:firstLine="420" w:firstLineChars="200"/>
        <w:rPr>
          <w:rFonts w:ascii="宋体" w:hAnsi="Calibri"/>
          <w:b/>
          <w:lang w:eastAsia="zh-CN"/>
        </w:rPr>
      </w:pPr>
      <w:r>
        <w:rPr>
          <w:rFonts w:ascii="宋体" w:hAnsi="Calibri" w:hint="eastAsia"/>
          <w:b/>
          <w:lang w:eastAsia="zh-CN"/>
        </w:rPr>
        <w:t>11</w:t>
      </w:r>
      <w:r>
        <w:rPr>
          <w:rFonts w:ascii="宋体" w:hAnsi="Calibri" w:hint="eastAsia"/>
          <w:b/>
          <w:lang w:eastAsia="zh-CN"/>
        </w:rPr>
        <w:t>、本基金与目标</w:t>
      </w:r>
      <w:r>
        <w:rPr>
          <w:rFonts w:ascii="宋体" w:hAnsi="Calibri" w:hint="eastAsia"/>
          <w:b/>
          <w:lang w:eastAsia="zh-CN"/>
        </w:rPr>
        <w:t>ETF</w:t>
      </w:r>
      <w:r>
        <w:rPr>
          <w:rFonts w:ascii="宋体" w:hAnsi="Calibri" w:hint="eastAsia"/>
          <w:b/>
          <w:lang w:eastAsia="zh-CN"/>
        </w:rPr>
        <w:t>的联系与区别</w:t>
      </w:r>
    </w:p>
    <w:p w:rsidR="004A090B">
      <w:pPr>
        <w:spacing w:line="360" w:lineRule="auto"/>
        <w:ind w:firstLine="420" w:firstLineChars="200"/>
        <w:rPr>
          <w:rFonts w:ascii="宋体" w:hAnsi="Calibri"/>
          <w:b/>
          <w:lang w:eastAsia="zh-CN"/>
        </w:rPr>
      </w:pPr>
      <w:r>
        <w:rPr>
          <w:rFonts w:ascii="宋体" w:hAnsi="Calibri" w:hint="eastAsia"/>
          <w:b/>
          <w:highlight w:val="white"/>
          <w:lang w:eastAsia="zh-CN"/>
        </w:rPr>
        <w:t>本基金与目标</w:t>
      </w:r>
      <w:r>
        <w:rPr>
          <w:rFonts w:ascii="宋体" w:hAnsi="Calibri" w:hint="eastAsia"/>
          <w:b/>
          <w:highlight w:val="white"/>
          <w:lang w:eastAsia="zh-CN"/>
        </w:rPr>
        <w:t>ETF</w:t>
      </w:r>
      <w:r>
        <w:rPr>
          <w:rFonts w:ascii="宋体" w:hAnsi="Calibri" w:hint="eastAsia"/>
          <w:b/>
          <w:highlight w:val="white"/>
          <w:lang w:eastAsia="zh-CN"/>
        </w:rPr>
        <w:t>之间的联系：（</w:t>
      </w:r>
      <w:r>
        <w:rPr>
          <w:rFonts w:ascii="宋体" w:hAnsi="Calibri" w:hint="eastAsia"/>
          <w:b/>
          <w:highlight w:val="white"/>
          <w:lang w:eastAsia="zh-CN"/>
        </w:rPr>
        <w:t>1</w:t>
      </w:r>
      <w:r>
        <w:rPr>
          <w:rFonts w:ascii="宋体" w:hAnsi="Calibri" w:hint="eastAsia"/>
          <w:b/>
          <w:highlight w:val="white"/>
          <w:lang w:eastAsia="zh-CN"/>
        </w:rPr>
        <w:t>）两只基金的投资目标均为紧密跟踪业绩比较基准；（</w:t>
      </w:r>
      <w:r>
        <w:rPr>
          <w:rFonts w:ascii="宋体" w:hAnsi="Calibri" w:hint="eastAsia"/>
          <w:b/>
          <w:highlight w:val="white"/>
          <w:lang w:eastAsia="zh-CN"/>
        </w:rPr>
        <w:t>2</w:t>
      </w:r>
      <w:r>
        <w:rPr>
          <w:rFonts w:ascii="宋体" w:hAnsi="Calibri" w:hint="eastAsia"/>
          <w:b/>
          <w:highlight w:val="white"/>
          <w:lang w:eastAsia="zh-CN"/>
        </w:rPr>
        <w:t>）两只基金具有相似的风险收益特征；（</w:t>
      </w:r>
      <w:r>
        <w:rPr>
          <w:rFonts w:ascii="宋体" w:hAnsi="Calibri" w:hint="eastAsia"/>
          <w:b/>
          <w:highlight w:val="white"/>
          <w:lang w:eastAsia="zh-CN"/>
        </w:rPr>
        <w:t>3</w:t>
      </w:r>
      <w:r>
        <w:rPr>
          <w:rFonts w:ascii="宋体" w:hAnsi="Calibri" w:hint="eastAsia"/>
          <w:b/>
          <w:highlight w:val="white"/>
          <w:lang w:eastAsia="zh-CN"/>
        </w:rPr>
        <w:t>）目标</w:t>
      </w:r>
      <w:r>
        <w:rPr>
          <w:rFonts w:ascii="宋体" w:hAnsi="Calibri" w:hint="eastAsia"/>
          <w:b/>
          <w:highlight w:val="white"/>
          <w:lang w:eastAsia="zh-CN"/>
        </w:rPr>
        <w:t>ETF</w:t>
      </w:r>
      <w:r>
        <w:rPr>
          <w:rFonts w:ascii="宋体" w:hAnsi="Calibri" w:hint="eastAsia"/>
          <w:b/>
          <w:highlight w:val="white"/>
          <w:lang w:eastAsia="zh-CN"/>
        </w:rPr>
        <w:t>是本基金的主要投资对象。</w:t>
      </w:r>
    </w:p>
    <w:p w:rsidR="004A090B">
      <w:pPr>
        <w:spacing w:line="360" w:lineRule="auto"/>
        <w:ind w:firstLine="420" w:firstLineChars="200"/>
        <w:rPr>
          <w:rFonts w:ascii="宋体" w:hAnsi="Calibri"/>
          <w:b/>
          <w:lang w:eastAsia="zh-CN"/>
        </w:rPr>
      </w:pPr>
      <w:r>
        <w:rPr>
          <w:rFonts w:ascii="宋体" w:hAnsi="Calibri" w:hint="eastAsia"/>
          <w:b/>
          <w:highlight w:val="white"/>
          <w:lang w:eastAsia="zh-CN"/>
        </w:rPr>
        <w:t>本基金与目标</w:t>
      </w:r>
      <w:r>
        <w:rPr>
          <w:rFonts w:ascii="宋体" w:hAnsi="Calibri" w:hint="eastAsia"/>
          <w:b/>
          <w:highlight w:val="white"/>
          <w:lang w:eastAsia="zh-CN"/>
        </w:rPr>
        <w:t>ETF</w:t>
      </w:r>
      <w:r>
        <w:rPr>
          <w:rFonts w:ascii="宋体" w:hAnsi="Calibri" w:hint="eastAsia"/>
          <w:b/>
          <w:highlight w:val="white"/>
          <w:lang w:eastAsia="zh-CN"/>
        </w:rPr>
        <w:t>之间的区别：（</w:t>
      </w:r>
      <w:r>
        <w:rPr>
          <w:rFonts w:ascii="宋体" w:hAnsi="Calibri" w:hint="eastAsia"/>
          <w:b/>
          <w:highlight w:val="white"/>
          <w:lang w:eastAsia="zh-CN"/>
        </w:rPr>
        <w:t>1</w:t>
      </w:r>
      <w:r>
        <w:rPr>
          <w:rFonts w:ascii="宋体" w:hAnsi="Calibri" w:hint="eastAsia"/>
          <w:b/>
          <w:highlight w:val="white"/>
          <w:lang w:eastAsia="zh-CN"/>
        </w:rPr>
        <w:t>）在基金的投资方法方面，目标</w:t>
      </w:r>
      <w:r>
        <w:rPr>
          <w:rFonts w:ascii="宋体" w:hAnsi="Calibri" w:hint="eastAsia"/>
          <w:b/>
          <w:highlight w:val="white"/>
          <w:lang w:eastAsia="zh-CN"/>
        </w:rPr>
        <w:t>ETF</w:t>
      </w:r>
      <w:r>
        <w:rPr>
          <w:rFonts w:ascii="宋体" w:hAnsi="Calibri" w:hint="eastAsia"/>
          <w:b/>
          <w:highlight w:val="white"/>
          <w:lang w:eastAsia="zh-CN"/>
        </w:rPr>
        <w:t>主要采取完全复制法，直接投资于标的指数的成份股、备选成份股；而本基金则采取间接的方法，通过将绝大部分基金财产投资于目标</w:t>
      </w:r>
      <w:r>
        <w:rPr>
          <w:rFonts w:ascii="宋体" w:hAnsi="Calibri" w:hint="eastAsia"/>
          <w:b/>
          <w:highlight w:val="white"/>
          <w:lang w:eastAsia="zh-CN"/>
        </w:rPr>
        <w:t>ETF</w:t>
      </w:r>
      <w:r>
        <w:rPr>
          <w:rFonts w:ascii="宋体" w:hAnsi="Calibri" w:hint="eastAsia"/>
          <w:b/>
          <w:highlight w:val="white"/>
          <w:lang w:eastAsia="zh-CN"/>
        </w:rPr>
        <w:t>，实现对业绩比较基准的紧密跟踪。（</w:t>
      </w:r>
      <w:r>
        <w:rPr>
          <w:rFonts w:ascii="宋体" w:hAnsi="Calibri" w:hint="eastAsia"/>
          <w:b/>
          <w:highlight w:val="white"/>
          <w:lang w:eastAsia="zh-CN"/>
        </w:rPr>
        <w:t>2</w:t>
      </w:r>
      <w:r>
        <w:rPr>
          <w:rFonts w:ascii="宋体" w:hAnsi="Calibri" w:hint="eastAsia"/>
          <w:b/>
          <w:highlight w:val="white"/>
          <w:lang w:eastAsia="zh-CN"/>
        </w:rPr>
        <w:t>）在交易方式方面，投资者既可以像买卖股票一样在交易所买卖目标</w:t>
      </w:r>
      <w:r>
        <w:rPr>
          <w:rFonts w:ascii="宋体" w:hAnsi="Calibri" w:hint="eastAsia"/>
          <w:b/>
          <w:highlight w:val="white"/>
          <w:lang w:eastAsia="zh-CN"/>
        </w:rPr>
        <w:t>ETF</w:t>
      </w:r>
      <w:r>
        <w:rPr>
          <w:rFonts w:ascii="宋体" w:hAnsi="Calibri" w:hint="eastAsia"/>
          <w:b/>
          <w:highlight w:val="white"/>
          <w:lang w:eastAsia="zh-CN"/>
        </w:rPr>
        <w:t>的基金份额，也可以按照最小申购、赎回单位和申购、赎回清单的要求申赎目标</w:t>
      </w:r>
      <w:r>
        <w:rPr>
          <w:rFonts w:ascii="宋体" w:hAnsi="Calibri" w:hint="eastAsia"/>
          <w:b/>
          <w:highlight w:val="white"/>
          <w:lang w:eastAsia="zh-CN"/>
        </w:rPr>
        <w:t>ETF</w:t>
      </w:r>
      <w:r>
        <w:rPr>
          <w:rFonts w:ascii="宋体" w:hAnsi="Calibri" w:hint="eastAsia"/>
          <w:b/>
          <w:highlight w:val="white"/>
          <w:lang w:eastAsia="zh-CN"/>
        </w:rPr>
        <w:t>；而本基金则像普通的开放式基金一样，投资者可以通过基金管理人及非直销销售机构按未知价法进行基金的申购与赎回。</w:t>
      </w:r>
    </w:p>
    <w:p w:rsidR="004A090B">
      <w:pPr>
        <w:spacing w:line="360" w:lineRule="auto"/>
        <w:ind w:firstLine="420" w:firstLineChars="200"/>
        <w:rPr>
          <w:rFonts w:ascii="宋体" w:hAnsi="Calibri"/>
          <w:b/>
          <w:lang w:eastAsia="zh-CN"/>
        </w:rPr>
      </w:pPr>
      <w:r>
        <w:rPr>
          <w:rFonts w:ascii="宋体" w:hAnsi="Calibri" w:hint="eastAsia"/>
          <w:b/>
          <w:highlight w:val="white"/>
          <w:lang w:eastAsia="zh-CN"/>
        </w:rPr>
        <w:t>本基金与目标</w:t>
      </w:r>
      <w:r>
        <w:rPr>
          <w:rFonts w:ascii="宋体" w:hAnsi="Calibri" w:hint="eastAsia"/>
          <w:b/>
          <w:highlight w:val="white"/>
          <w:lang w:eastAsia="zh-CN"/>
        </w:rPr>
        <w:t>ETF</w:t>
      </w:r>
      <w:r>
        <w:rPr>
          <w:rFonts w:ascii="宋体" w:hAnsi="Calibri" w:hint="eastAsia"/>
          <w:b/>
          <w:highlight w:val="white"/>
          <w:lang w:eastAsia="zh-CN"/>
        </w:rPr>
        <w:t>业绩表现仍可能</w:t>
      </w:r>
      <w:r>
        <w:rPr>
          <w:rFonts w:ascii="宋体" w:hAnsi="Calibri" w:hint="eastAsia"/>
          <w:b/>
          <w:highlight w:val="white"/>
          <w:lang w:eastAsia="zh-CN"/>
        </w:rPr>
        <w:t>出现差异。可能引发差异的因素主要包括：（</w:t>
      </w:r>
      <w:r>
        <w:rPr>
          <w:rFonts w:ascii="宋体" w:hAnsi="Calibri" w:hint="eastAsia"/>
          <w:b/>
          <w:highlight w:val="white"/>
          <w:lang w:eastAsia="zh-CN"/>
        </w:rPr>
        <w:t>1</w:t>
      </w:r>
      <w:r>
        <w:rPr>
          <w:rFonts w:ascii="宋体" w:hAnsi="Calibri" w:hint="eastAsia"/>
          <w:b/>
          <w:highlight w:val="white"/>
          <w:lang w:eastAsia="zh-CN"/>
        </w:rPr>
        <w:t>）法规对投资比例的要求。目标</w:t>
      </w:r>
      <w:r>
        <w:rPr>
          <w:rFonts w:ascii="宋体" w:hAnsi="Calibri" w:hint="eastAsia"/>
          <w:b/>
          <w:highlight w:val="white"/>
          <w:lang w:eastAsia="zh-CN"/>
        </w:rPr>
        <w:t>ETF</w:t>
      </w:r>
      <w:r>
        <w:rPr>
          <w:rFonts w:ascii="宋体" w:hAnsi="Calibri" w:hint="eastAsia"/>
          <w:b/>
          <w:highlight w:val="white"/>
          <w:lang w:eastAsia="zh-CN"/>
        </w:rPr>
        <w:t>作为一种特殊的基金品种，可将全部或接近全部的基金资产，用于跟踪标的指数的表现；而本基金作为普通的开放式基金，仍需将不低于基金资产净值</w:t>
      </w:r>
      <w:r>
        <w:rPr>
          <w:rFonts w:ascii="宋体" w:hAnsi="Calibri" w:hint="eastAsia"/>
          <w:b/>
          <w:highlight w:val="white"/>
          <w:lang w:eastAsia="zh-CN"/>
        </w:rPr>
        <w:t>5%</w:t>
      </w:r>
      <w:r>
        <w:rPr>
          <w:rFonts w:ascii="宋体" w:hAnsi="Calibri" w:hint="eastAsia"/>
          <w:b/>
          <w:highlight w:val="white"/>
          <w:lang w:eastAsia="zh-CN"/>
        </w:rPr>
        <w:t>的资产投资于现金或者到期日在一年以内的政府债券。（</w:t>
      </w:r>
      <w:r>
        <w:rPr>
          <w:rFonts w:ascii="宋体" w:hAnsi="Calibri" w:hint="eastAsia"/>
          <w:b/>
          <w:highlight w:val="white"/>
          <w:lang w:eastAsia="zh-CN"/>
        </w:rPr>
        <w:t>2</w:t>
      </w:r>
      <w:r>
        <w:rPr>
          <w:rFonts w:ascii="宋体" w:hAnsi="Calibri" w:hint="eastAsia"/>
          <w:b/>
          <w:highlight w:val="white"/>
          <w:lang w:eastAsia="zh-CN"/>
        </w:rPr>
        <w:t>）申购赎回的影响。目标</w:t>
      </w:r>
      <w:r>
        <w:rPr>
          <w:rFonts w:ascii="宋体" w:hAnsi="Calibri" w:hint="eastAsia"/>
          <w:b/>
          <w:highlight w:val="white"/>
          <w:lang w:eastAsia="zh-CN"/>
        </w:rPr>
        <w:t>ETF</w:t>
      </w:r>
      <w:r>
        <w:rPr>
          <w:rFonts w:ascii="宋体" w:hAnsi="Calibri" w:hint="eastAsia"/>
          <w:b/>
          <w:highlight w:val="white"/>
          <w:lang w:eastAsia="zh-CN"/>
        </w:rPr>
        <w:t>采取按照最小申购、赎回单位和申购、赎回清单要求进行申赎的方式，申购赎回对基金净值影响较小；而本基金采取按照未知价法进行申赎的方式，大额申赎可能会对基金资产净值产生一定影响。</w:t>
      </w:r>
    </w:p>
    <w:p w:rsidR="004A090B">
      <w:pPr>
        <w:spacing w:line="360" w:lineRule="auto"/>
        <w:ind w:firstLine="422"/>
        <w:rPr>
          <w:rFonts w:ascii="宋体" w:hAnsi="Calibri" w:cs="宋体"/>
          <w:b/>
          <w:szCs w:val="21"/>
          <w:lang w:eastAsia="zh-CN"/>
        </w:rPr>
      </w:pPr>
    </w:p>
    <w:p w:rsidR="004A090B">
      <w:pPr>
        <w:spacing w:line="360" w:lineRule="auto"/>
        <w:ind w:firstLine="422"/>
        <w:rPr>
          <w:rFonts w:ascii="宋体" w:hAnsi="Calibri" w:cs="宋体"/>
          <w:b/>
          <w:szCs w:val="21"/>
          <w:lang w:eastAsia="zh-CN"/>
        </w:rPr>
      </w:pPr>
    </w:p>
    <w:p w:rsidR="004A090B">
      <w:pPr>
        <w:snapToGrid w:val="0"/>
        <w:spacing w:before="100" w:after="100" w:line="360" w:lineRule="auto"/>
        <w:jc w:val="center"/>
        <w:rPr>
          <w:rFonts w:ascii="宋体" w:hAnsi="Calibri" w:cs="宋体"/>
          <w:sz w:val="30"/>
        </w:rPr>
      </w:pPr>
      <w:r>
        <w:rPr>
          <w:rFonts w:ascii="宋体" w:hAnsi="Calibri" w:cs="宋体" w:hint="eastAsia"/>
          <w:b/>
          <w:szCs w:val="21"/>
          <w:lang w:eastAsia="zh-CN"/>
        </w:rPr>
        <w:br w:type="column"/>
      </w:r>
      <w:r>
        <w:rPr>
          <w:rFonts w:ascii="宋体" w:hAnsi="Calibri" w:cs="宋体" w:hint="eastAsia"/>
          <w:sz w:val="30"/>
        </w:rPr>
        <w:t>目</w:t>
      </w:r>
      <w:r>
        <w:rPr>
          <w:rFonts w:ascii="宋体" w:hAnsi="Calibri" w:cs="宋体" w:hint="eastAsia"/>
          <w:sz w:val="30"/>
        </w:rPr>
        <w:t xml:space="preserve">     </w:t>
      </w:r>
      <w:r>
        <w:rPr>
          <w:rFonts w:ascii="宋体" w:hAnsi="Calibri" w:cs="宋体" w:hint="eastAsia"/>
          <w:sz w:val="30"/>
        </w:rPr>
        <w:t>录</w:t>
      </w:r>
    </w:p>
    <w:p w:rsidR="004A090B">
      <w:pPr>
        <w:snapToGrid w:val="0"/>
        <w:spacing w:before="100" w:after="100" w:line="320" w:lineRule="exact"/>
        <w:ind w:firstLine="480"/>
        <w:jc w:val="center"/>
        <w:rPr>
          <w:rFonts w:ascii="宋体" w:hAnsi="Calibri" w:cs="宋体"/>
          <w:b/>
        </w:rPr>
      </w:pPr>
    </w:p>
    <w:p w:rsidR="004A090B">
      <w:pPr>
        <w:pStyle w:val="TOC1"/>
        <w:rPr>
          <w:rFonts w:eastAsia="宋体" w:hAnsi="Calibri" w:cs="Calibri"/>
          <w:caps w:val="0"/>
          <w:noProof/>
          <w:color w:val="auto"/>
          <w:sz w:val="21"/>
          <w:szCs w:val="22"/>
        </w:rPr>
      </w:pPr>
      <w:r>
        <w:rPr>
          <w:rFonts w:eastAsia="宋体" w:hAnsi="Calibri" w:cs="宋体"/>
          <w:b/>
          <w:color w:val="auto"/>
        </w:rPr>
        <w:fldChar w:fldCharType="begin"/>
      </w:r>
      <w:r>
        <w:rPr>
          <w:rFonts w:eastAsia="宋体" w:hAnsi="Calibri" w:cs="宋体"/>
          <w:b/>
          <w:color w:val="auto"/>
        </w:rPr>
        <w:instrText xml:space="preserve"> TOC \o "1-</w:instrText>
      </w:r>
      <w:r>
        <w:rPr>
          <w:rFonts w:eastAsia="宋体" w:hAnsi="Calibri" w:cs="宋体"/>
          <w:b/>
          <w:color w:val="auto"/>
        </w:rPr>
        <w:instrText xml:space="preserve">1" \h \z \u </w:instrText>
      </w:r>
      <w:r>
        <w:rPr>
          <w:rFonts w:eastAsia="宋体" w:hAnsi="Calibri" w:cs="宋体"/>
          <w:b/>
          <w:color w:val="auto"/>
        </w:rPr>
        <w:fldChar w:fldCharType="separate"/>
      </w:r>
      <w:hyperlink w:anchor="_Toc129511523" w:tooltip="Current Document" w:history="1">
        <w:r>
          <w:rPr>
            <w:rStyle w:val="Hyperlink"/>
            <w:rFonts w:eastAsia="宋体" w:hAnsi="Calibri" w:cs="宋体" w:hint="eastAsia"/>
            <w:noProof/>
          </w:rPr>
          <w:t>第一部分</w:t>
        </w:r>
        <w:r>
          <w:rPr>
            <w:rStyle w:val="Hyperlink"/>
            <w:rFonts w:eastAsia="宋体" w:hAnsi="Calibri" w:cs="宋体"/>
            <w:noProof/>
          </w:rPr>
          <w:t xml:space="preserve"> </w:t>
        </w:r>
        <w:r>
          <w:rPr>
            <w:rStyle w:val="Hyperlink"/>
            <w:rFonts w:eastAsia="宋体" w:hAnsi="Calibri" w:cs="宋体" w:hint="eastAsia"/>
            <w:noProof/>
          </w:rPr>
          <w:t>绪</w:t>
        </w:r>
        <w:r>
          <w:rPr>
            <w:rStyle w:val="Hyperlink"/>
            <w:rFonts w:eastAsia="宋体" w:hAnsi="Calibri" w:cs="宋体"/>
            <w:noProof/>
          </w:rPr>
          <w:t xml:space="preserve">  </w:t>
        </w:r>
        <w:r>
          <w:rPr>
            <w:rStyle w:val="Hyperlink"/>
            <w:rFonts w:eastAsia="宋体" w:hAnsi="Calibri" w:cs="宋体" w:hint="eastAsia"/>
            <w:noProof/>
          </w:rPr>
          <w:t>言</w:t>
        </w:r>
        <w:r>
          <w:rPr>
            <w:rFonts w:eastAsia="宋体" w:hAnsi="Calibri"/>
            <w:noProof/>
          </w:rPr>
          <w:tab/>
        </w:r>
        <w:r>
          <w:rPr>
            <w:rFonts w:eastAsia="宋体" w:hAnsi="Calibri"/>
            <w:noProof/>
          </w:rPr>
          <w:fldChar w:fldCharType="begin"/>
        </w:r>
        <w:r>
          <w:rPr>
            <w:rFonts w:eastAsia="宋体" w:hAnsi="Calibri"/>
            <w:noProof/>
          </w:rPr>
          <w:instrText xml:space="preserve"> PAGEREF _Toc129511523 \h </w:instrText>
        </w:r>
        <w:r>
          <w:rPr>
            <w:rFonts w:eastAsia="宋体" w:hAnsi="Calibri"/>
            <w:noProof/>
          </w:rPr>
          <w:fldChar w:fldCharType="separate"/>
        </w:r>
        <w:r w:rsidR="00FB6A88">
          <w:rPr>
            <w:rFonts w:eastAsia="宋体" w:hAnsi="Calibri"/>
            <w:noProof/>
          </w:rPr>
          <w:t>1</w:t>
        </w:r>
        <w:r>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24" w:tooltip="Current Document" w:history="1">
        <w:r w:rsidR="00753E4D">
          <w:rPr>
            <w:rStyle w:val="Hyperlink"/>
            <w:rFonts w:eastAsia="宋体" w:hAnsi="Calibri" w:cs="宋体" w:hint="eastAsia"/>
            <w:noProof/>
          </w:rPr>
          <w:t>第二部分</w:t>
        </w:r>
        <w:r w:rsidR="00753E4D">
          <w:rPr>
            <w:rStyle w:val="Hyperlink"/>
            <w:rFonts w:eastAsia="宋体" w:hAnsi="Calibri" w:cs="宋体"/>
            <w:noProof/>
          </w:rPr>
          <w:t xml:space="preserve"> </w:t>
        </w:r>
        <w:r w:rsidR="00753E4D">
          <w:rPr>
            <w:rStyle w:val="Hyperlink"/>
            <w:rFonts w:eastAsia="宋体" w:hAnsi="Calibri" w:cs="宋体" w:hint="eastAsia"/>
            <w:noProof/>
          </w:rPr>
          <w:t>释</w:t>
        </w:r>
        <w:r w:rsidR="00753E4D">
          <w:rPr>
            <w:rStyle w:val="Hyperlink"/>
            <w:rFonts w:eastAsia="宋体" w:hAnsi="Calibri" w:cs="宋体"/>
            <w:noProof/>
          </w:rPr>
          <w:t xml:space="preserve">  </w:t>
        </w:r>
        <w:r w:rsidR="00753E4D">
          <w:rPr>
            <w:rStyle w:val="Hyperlink"/>
            <w:rFonts w:eastAsia="宋体" w:hAnsi="Calibri" w:cs="宋体" w:hint="eastAsia"/>
            <w:noProof/>
          </w:rPr>
          <w:t>义</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_Toc129511524 \h </w:instrText>
        </w:r>
        <w:r w:rsidR="00753E4D">
          <w:rPr>
            <w:rFonts w:eastAsia="宋体" w:hAnsi="Calibri"/>
            <w:noProof/>
          </w:rPr>
          <w:fldChar w:fldCharType="separate"/>
        </w:r>
        <w:r w:rsidR="00FB6A88">
          <w:rPr>
            <w:rFonts w:eastAsia="宋体" w:hAnsi="Calibri"/>
            <w:noProof/>
          </w:rPr>
          <w:t>2</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25" w:tooltip="Current Document" w:history="1">
        <w:r w:rsidR="00753E4D">
          <w:rPr>
            <w:rStyle w:val="Hyperlink"/>
            <w:rFonts w:eastAsia="宋体" w:hAnsi="Calibri" w:cs="宋体" w:hint="eastAsia"/>
            <w:noProof/>
          </w:rPr>
          <w:t>第三部分</w:t>
        </w:r>
        <w:r w:rsidR="00753E4D">
          <w:rPr>
            <w:rStyle w:val="Hyperlink"/>
            <w:rFonts w:eastAsia="宋体" w:hAnsi="Calibri" w:cs="宋体"/>
            <w:noProof/>
          </w:rPr>
          <w:t xml:space="preserve"> </w:t>
        </w:r>
        <w:r w:rsidR="00753E4D">
          <w:rPr>
            <w:rStyle w:val="Hyperlink"/>
            <w:rFonts w:eastAsia="宋体" w:hAnsi="Calibri" w:cs="宋体" w:hint="eastAsia"/>
            <w:noProof/>
          </w:rPr>
          <w:t>基金管理人</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_Toc129511525 \h </w:instrText>
        </w:r>
        <w:r w:rsidR="00753E4D">
          <w:rPr>
            <w:rFonts w:eastAsia="宋体" w:hAnsi="Calibri"/>
            <w:noProof/>
          </w:rPr>
          <w:fldChar w:fldCharType="separate"/>
        </w:r>
        <w:r>
          <w:rPr>
            <w:rFonts w:eastAsia="宋体" w:hAnsi="Calibri"/>
            <w:noProof/>
          </w:rPr>
          <w:t>8</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26" w:tooltip="Current Document" w:history="1">
        <w:r w:rsidR="00753E4D">
          <w:rPr>
            <w:rStyle w:val="Hyperlink"/>
            <w:rFonts w:eastAsia="宋体" w:hAnsi="Calibri" w:cs="宋体" w:hint="eastAsia"/>
            <w:noProof/>
          </w:rPr>
          <w:t>第四部分</w:t>
        </w:r>
        <w:r w:rsidR="00753E4D">
          <w:rPr>
            <w:rStyle w:val="Hyperlink"/>
            <w:rFonts w:eastAsia="宋体" w:hAnsi="Calibri" w:cs="宋体"/>
            <w:noProof/>
          </w:rPr>
          <w:t xml:space="preserve"> </w:t>
        </w:r>
        <w:r w:rsidR="00753E4D">
          <w:rPr>
            <w:rStyle w:val="Hyperlink"/>
            <w:rFonts w:eastAsia="宋体" w:hAnsi="Calibri" w:cs="宋体" w:hint="eastAsia"/>
            <w:noProof/>
          </w:rPr>
          <w:t>基金托管人</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_Toc129511526 \h </w:instrText>
        </w:r>
        <w:r w:rsidR="00753E4D">
          <w:rPr>
            <w:rFonts w:eastAsia="宋体" w:hAnsi="Calibri"/>
            <w:noProof/>
          </w:rPr>
          <w:fldChar w:fldCharType="separate"/>
        </w:r>
        <w:r>
          <w:rPr>
            <w:rFonts w:eastAsia="宋体" w:hAnsi="Calibri"/>
            <w:noProof/>
          </w:rPr>
          <w:t>20</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27" w:tooltip="Current Document" w:history="1">
        <w:r w:rsidR="00753E4D">
          <w:rPr>
            <w:rStyle w:val="Hyperlink"/>
            <w:rFonts w:eastAsia="宋体" w:hAnsi="Calibri" w:cs="宋体" w:hint="eastAsia"/>
            <w:noProof/>
          </w:rPr>
          <w:t>第五部分</w:t>
        </w:r>
        <w:r w:rsidR="00753E4D">
          <w:rPr>
            <w:rStyle w:val="Hyperlink"/>
            <w:rFonts w:eastAsia="宋体" w:hAnsi="Calibri" w:cs="宋体"/>
            <w:noProof/>
          </w:rPr>
          <w:t xml:space="preserve"> </w:t>
        </w:r>
        <w:r w:rsidR="00753E4D">
          <w:rPr>
            <w:rStyle w:val="Hyperlink"/>
            <w:rFonts w:eastAsia="宋体" w:hAnsi="Calibri" w:cs="宋体" w:hint="eastAsia"/>
            <w:noProof/>
          </w:rPr>
          <w:t>相关服务机构</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_Toc129511527 \h </w:instrText>
        </w:r>
        <w:r w:rsidR="00753E4D">
          <w:rPr>
            <w:rFonts w:eastAsia="宋体" w:hAnsi="Calibri"/>
            <w:noProof/>
          </w:rPr>
          <w:fldChar w:fldCharType="separate"/>
        </w:r>
        <w:r>
          <w:rPr>
            <w:rFonts w:eastAsia="宋体" w:hAnsi="Calibri"/>
            <w:noProof/>
          </w:rPr>
          <w:t>27</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28" w:tooltip="Current Document" w:history="1">
        <w:r w:rsidR="00753E4D">
          <w:rPr>
            <w:rStyle w:val="Hyperlink"/>
            <w:rFonts w:eastAsia="宋体" w:hAnsi="Calibri" w:cs="宋体" w:hint="eastAsia"/>
            <w:bCs/>
            <w:noProof/>
          </w:rPr>
          <w:t>第六部分</w:t>
        </w:r>
        <w:r w:rsidR="00753E4D">
          <w:rPr>
            <w:rStyle w:val="Hyperlink"/>
            <w:rFonts w:eastAsia="宋体" w:hAnsi="Calibri" w:cs="宋体"/>
            <w:bCs/>
            <w:noProof/>
          </w:rPr>
          <w:t xml:space="preserve"> </w:t>
        </w:r>
        <w:r w:rsidR="00753E4D">
          <w:rPr>
            <w:rStyle w:val="Hyperlink"/>
            <w:rFonts w:eastAsia="宋体" w:hAnsi="Calibri" w:cs="宋体" w:hint="eastAsia"/>
            <w:bCs/>
            <w:noProof/>
          </w:rPr>
          <w:t>基金份额的分类</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_Toc129511528 \h </w:instrText>
        </w:r>
        <w:r w:rsidR="00753E4D">
          <w:rPr>
            <w:rFonts w:eastAsia="宋体" w:hAnsi="Calibri"/>
            <w:noProof/>
          </w:rPr>
          <w:fldChar w:fldCharType="separate"/>
        </w:r>
        <w:r>
          <w:rPr>
            <w:rFonts w:eastAsia="宋体" w:hAnsi="Calibri"/>
            <w:noProof/>
          </w:rPr>
          <w:t>29</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29" w:tooltip="Current Document" w:history="1">
        <w:r w:rsidR="00753E4D">
          <w:rPr>
            <w:rStyle w:val="Hyperlink"/>
            <w:rFonts w:eastAsia="宋体" w:hAnsi="Calibri" w:cs="宋体" w:hint="eastAsia"/>
            <w:bCs/>
            <w:noProof/>
          </w:rPr>
          <w:t>第七部分</w:t>
        </w:r>
        <w:r w:rsidR="00753E4D">
          <w:rPr>
            <w:rStyle w:val="Hyperlink"/>
            <w:rFonts w:eastAsia="宋体" w:hAnsi="Calibri" w:cs="宋体"/>
            <w:bCs/>
            <w:noProof/>
          </w:rPr>
          <w:t xml:space="preserve"> </w:t>
        </w:r>
        <w:r w:rsidR="00753E4D">
          <w:rPr>
            <w:rStyle w:val="Hyperlink"/>
            <w:rFonts w:eastAsia="宋体" w:hAnsi="Calibri" w:cs="宋体" w:hint="eastAsia"/>
            <w:bCs/>
            <w:noProof/>
          </w:rPr>
          <w:t>基金的募集安排</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_Toc129511529 \h </w:instrText>
        </w:r>
        <w:r w:rsidR="00753E4D">
          <w:rPr>
            <w:rFonts w:eastAsia="宋体" w:hAnsi="Calibri"/>
            <w:noProof/>
          </w:rPr>
          <w:fldChar w:fldCharType="separate"/>
        </w:r>
        <w:r>
          <w:rPr>
            <w:rFonts w:eastAsia="宋体" w:hAnsi="Calibri"/>
            <w:noProof/>
          </w:rPr>
          <w:t>30</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30" w:tooltip="Current Document" w:history="1">
        <w:r w:rsidR="00753E4D">
          <w:rPr>
            <w:rStyle w:val="Hyperlink"/>
            <w:rFonts w:eastAsia="宋体" w:hAnsi="Calibri" w:cs="宋体" w:hint="eastAsia"/>
            <w:bCs/>
            <w:noProof/>
          </w:rPr>
          <w:t>第八部分</w:t>
        </w:r>
        <w:r w:rsidR="00753E4D">
          <w:rPr>
            <w:rStyle w:val="Hyperlink"/>
            <w:rFonts w:eastAsia="宋体" w:hAnsi="Calibri" w:cs="宋体"/>
            <w:bCs/>
            <w:noProof/>
          </w:rPr>
          <w:t xml:space="preserve"> </w:t>
        </w:r>
        <w:r w:rsidR="00753E4D">
          <w:rPr>
            <w:rStyle w:val="Hyperlink"/>
            <w:rFonts w:eastAsia="宋体" w:hAnsi="Calibri" w:cs="宋体" w:hint="eastAsia"/>
            <w:bCs/>
            <w:noProof/>
          </w:rPr>
          <w:t>基金合同的生效</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_Toc129511530 \h </w:instrText>
        </w:r>
        <w:r w:rsidR="00753E4D">
          <w:rPr>
            <w:rFonts w:eastAsia="宋体" w:hAnsi="Calibri"/>
            <w:noProof/>
          </w:rPr>
          <w:fldChar w:fldCharType="separate"/>
        </w:r>
        <w:r>
          <w:rPr>
            <w:rFonts w:eastAsia="宋体" w:hAnsi="Calibri"/>
            <w:noProof/>
          </w:rPr>
          <w:t>34</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31" w:tooltip="Current Document" w:history="1">
        <w:r w:rsidR="00753E4D">
          <w:rPr>
            <w:rStyle w:val="Hyperlink"/>
            <w:rFonts w:eastAsia="宋体" w:hAnsi="Calibri" w:cs="宋体" w:hint="eastAsia"/>
            <w:bCs/>
            <w:noProof/>
          </w:rPr>
          <w:t>第九部分</w:t>
        </w:r>
        <w:r w:rsidR="00753E4D">
          <w:rPr>
            <w:rStyle w:val="Hyperlink"/>
            <w:rFonts w:eastAsia="宋体" w:hAnsi="Calibri" w:cs="宋体"/>
            <w:bCs/>
            <w:noProof/>
          </w:rPr>
          <w:t xml:space="preserve"> </w:t>
        </w:r>
        <w:r w:rsidR="00753E4D">
          <w:rPr>
            <w:rStyle w:val="Hyperlink"/>
            <w:rFonts w:eastAsia="宋体" w:hAnsi="Calibri" w:cs="宋体" w:hint="eastAsia"/>
            <w:bCs/>
            <w:noProof/>
          </w:rPr>
          <w:t>基金份额的申购、赎回</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_Toc129511531 \h </w:instrText>
        </w:r>
        <w:r w:rsidR="00753E4D">
          <w:rPr>
            <w:rFonts w:eastAsia="宋体" w:hAnsi="Calibri"/>
            <w:noProof/>
          </w:rPr>
          <w:fldChar w:fldCharType="separate"/>
        </w:r>
        <w:r>
          <w:rPr>
            <w:rFonts w:eastAsia="宋体" w:hAnsi="Calibri"/>
            <w:noProof/>
          </w:rPr>
          <w:t>36</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32" w:tooltip="Current Document" w:history="1">
        <w:r w:rsidR="00753E4D">
          <w:rPr>
            <w:rStyle w:val="Hyperlink"/>
            <w:rFonts w:eastAsia="宋体" w:hAnsi="Calibri" w:cs="宋体" w:hint="eastAsia"/>
            <w:noProof/>
          </w:rPr>
          <w:t>第十部分</w:t>
        </w:r>
        <w:r w:rsidR="00753E4D">
          <w:rPr>
            <w:rStyle w:val="Hyperlink"/>
            <w:rFonts w:eastAsia="宋体" w:hAnsi="Calibri" w:cs="宋体"/>
            <w:noProof/>
          </w:rPr>
          <w:t xml:space="preserve"> </w:t>
        </w:r>
        <w:r w:rsidR="00753E4D">
          <w:rPr>
            <w:rStyle w:val="Hyperlink"/>
            <w:rFonts w:eastAsia="宋体" w:hAnsi="Calibri" w:cs="宋体" w:hint="eastAsia"/>
            <w:noProof/>
          </w:rPr>
          <w:t>基金转换和定期定额投资计划</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_Toc129511532 \h </w:instrText>
        </w:r>
        <w:r w:rsidR="00753E4D">
          <w:rPr>
            <w:rFonts w:eastAsia="宋体" w:hAnsi="Calibri"/>
            <w:noProof/>
          </w:rPr>
          <w:fldChar w:fldCharType="separate"/>
        </w:r>
        <w:r>
          <w:rPr>
            <w:rFonts w:eastAsia="宋体" w:hAnsi="Calibri"/>
            <w:noProof/>
          </w:rPr>
          <w:t>46</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33" w:tooltip="Current Document" w:history="1">
        <w:r w:rsidR="00753E4D">
          <w:rPr>
            <w:rStyle w:val="Hyperlink"/>
            <w:rFonts w:eastAsia="宋体" w:hAnsi="Calibri" w:cs="宋体" w:hint="eastAsia"/>
            <w:noProof/>
          </w:rPr>
          <w:t>第十一部分</w:t>
        </w:r>
        <w:r w:rsidR="00753E4D">
          <w:rPr>
            <w:rStyle w:val="Hyperlink"/>
            <w:rFonts w:eastAsia="宋体" w:hAnsi="Calibri" w:cs="宋体"/>
            <w:noProof/>
          </w:rPr>
          <w:t xml:space="preserve"> </w:t>
        </w:r>
        <w:r w:rsidR="00753E4D">
          <w:rPr>
            <w:rStyle w:val="Hyperlink"/>
            <w:rFonts w:eastAsia="宋体" w:hAnsi="Calibri" w:cs="宋体" w:hint="eastAsia"/>
            <w:noProof/>
          </w:rPr>
          <w:t>基金的转托管、质押、非交易过户、冻结与解冻</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_Toc129511533 \h </w:instrText>
        </w:r>
        <w:r w:rsidR="00753E4D">
          <w:rPr>
            <w:rFonts w:eastAsia="宋体" w:hAnsi="Calibri"/>
            <w:noProof/>
          </w:rPr>
          <w:fldChar w:fldCharType="separate"/>
        </w:r>
        <w:r>
          <w:rPr>
            <w:rFonts w:eastAsia="宋体" w:hAnsi="Calibri"/>
            <w:noProof/>
          </w:rPr>
          <w:t>47</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34" w:tooltip="Current Document" w:history="1">
        <w:r w:rsidR="00753E4D">
          <w:rPr>
            <w:rStyle w:val="Hyperlink"/>
            <w:rFonts w:eastAsia="宋体" w:hAnsi="Calibri" w:cs="宋体" w:hint="eastAsia"/>
            <w:noProof/>
          </w:rPr>
          <w:t>第十二部分</w:t>
        </w:r>
        <w:r w:rsidR="00753E4D">
          <w:rPr>
            <w:rStyle w:val="Hyperlink"/>
            <w:rFonts w:eastAsia="宋体" w:hAnsi="Calibri" w:cs="宋体"/>
            <w:noProof/>
          </w:rPr>
          <w:t xml:space="preserve"> </w:t>
        </w:r>
        <w:r w:rsidR="00753E4D">
          <w:rPr>
            <w:rStyle w:val="Hyperlink"/>
            <w:rFonts w:eastAsia="宋体" w:hAnsi="Calibri" w:cs="宋体" w:hint="eastAsia"/>
            <w:noProof/>
          </w:rPr>
          <w:t>基金的投资</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_Toc129511534 \h </w:instrText>
        </w:r>
        <w:r w:rsidR="00753E4D">
          <w:rPr>
            <w:rFonts w:eastAsia="宋体" w:hAnsi="Calibri"/>
            <w:noProof/>
          </w:rPr>
          <w:fldChar w:fldCharType="separate"/>
        </w:r>
        <w:r>
          <w:rPr>
            <w:rFonts w:eastAsia="宋体" w:hAnsi="Calibri"/>
            <w:noProof/>
          </w:rPr>
          <w:t>48</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35" w:tooltip="Current Document" w:history="1">
        <w:r w:rsidR="00753E4D">
          <w:rPr>
            <w:rStyle w:val="Hyperlink"/>
            <w:rFonts w:eastAsia="宋体" w:hAnsi="Calibri" w:cs="宋体" w:hint="eastAsia"/>
            <w:noProof/>
          </w:rPr>
          <w:t>第十三部分</w:t>
        </w:r>
        <w:r w:rsidR="00753E4D">
          <w:rPr>
            <w:rStyle w:val="Hyperlink"/>
            <w:rFonts w:eastAsia="宋体" w:hAnsi="Calibri" w:cs="宋体"/>
            <w:noProof/>
          </w:rPr>
          <w:t xml:space="preserve"> </w:t>
        </w:r>
        <w:r w:rsidR="00753E4D">
          <w:rPr>
            <w:rStyle w:val="Hyperlink"/>
            <w:rFonts w:eastAsia="宋体" w:hAnsi="Calibri" w:cs="宋体" w:hint="eastAsia"/>
            <w:noProof/>
          </w:rPr>
          <w:t>基金的财产</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_Toc129511535 \h </w:instrText>
        </w:r>
        <w:r w:rsidR="00753E4D">
          <w:rPr>
            <w:rFonts w:eastAsia="宋体" w:hAnsi="Calibri"/>
            <w:noProof/>
          </w:rPr>
          <w:fldChar w:fldCharType="separate"/>
        </w:r>
        <w:r>
          <w:rPr>
            <w:rFonts w:eastAsia="宋体" w:hAnsi="Calibri"/>
            <w:noProof/>
          </w:rPr>
          <w:t>56</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36" w:tooltip="Current Document" w:history="1">
        <w:r w:rsidR="00753E4D">
          <w:rPr>
            <w:rStyle w:val="Hyperlink"/>
            <w:rFonts w:eastAsia="宋体" w:hAnsi="Calibri" w:cs="宋体" w:hint="eastAsia"/>
            <w:noProof/>
          </w:rPr>
          <w:t>第十四部分</w:t>
        </w:r>
        <w:r w:rsidR="00753E4D">
          <w:rPr>
            <w:rStyle w:val="Hyperlink"/>
            <w:rFonts w:eastAsia="宋体" w:hAnsi="Calibri" w:cs="宋体"/>
            <w:noProof/>
          </w:rPr>
          <w:t xml:space="preserve"> </w:t>
        </w:r>
        <w:r w:rsidR="00753E4D">
          <w:rPr>
            <w:rStyle w:val="Hyperlink"/>
            <w:rFonts w:eastAsia="宋体" w:hAnsi="Calibri" w:cs="宋体" w:hint="eastAsia"/>
            <w:noProof/>
          </w:rPr>
          <w:t>基金资产的估值</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_Toc129511536 \h </w:instrText>
        </w:r>
        <w:r w:rsidR="00753E4D">
          <w:rPr>
            <w:rFonts w:eastAsia="宋体" w:hAnsi="Calibri"/>
            <w:noProof/>
          </w:rPr>
          <w:fldChar w:fldCharType="separate"/>
        </w:r>
        <w:r>
          <w:rPr>
            <w:rFonts w:eastAsia="宋体" w:hAnsi="Calibri"/>
            <w:noProof/>
          </w:rPr>
          <w:t>57</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37" w:tooltip="Current Document" w:history="1">
        <w:r w:rsidR="00753E4D">
          <w:rPr>
            <w:rStyle w:val="Hyperlink"/>
            <w:rFonts w:eastAsia="宋体" w:hAnsi="Calibri" w:cs="宋体" w:hint="eastAsia"/>
            <w:noProof/>
          </w:rPr>
          <w:t>第十五部分</w:t>
        </w:r>
        <w:r w:rsidR="00753E4D">
          <w:rPr>
            <w:rStyle w:val="Hyperlink"/>
            <w:rFonts w:eastAsia="宋体" w:hAnsi="Calibri" w:cs="宋体"/>
            <w:noProof/>
          </w:rPr>
          <w:t xml:space="preserve"> </w:t>
        </w:r>
        <w:r w:rsidR="00753E4D">
          <w:rPr>
            <w:rStyle w:val="Hyperlink"/>
            <w:rFonts w:eastAsia="宋体" w:hAnsi="Calibri" w:cs="宋体" w:hint="eastAsia"/>
            <w:noProof/>
          </w:rPr>
          <w:t>基金的收益分配</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_Toc129511537 \h </w:instrText>
        </w:r>
        <w:r w:rsidR="00753E4D">
          <w:rPr>
            <w:rFonts w:eastAsia="宋体" w:hAnsi="Calibri"/>
            <w:noProof/>
          </w:rPr>
          <w:fldChar w:fldCharType="separate"/>
        </w:r>
        <w:r>
          <w:rPr>
            <w:rFonts w:eastAsia="宋体" w:hAnsi="Calibri"/>
            <w:noProof/>
          </w:rPr>
          <w:t>63</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38" w:tooltip="Current Document" w:history="1">
        <w:r w:rsidR="00753E4D">
          <w:rPr>
            <w:rStyle w:val="Hyperlink"/>
            <w:rFonts w:eastAsia="宋体" w:hAnsi="Calibri" w:cs="宋体" w:hint="eastAsia"/>
            <w:noProof/>
          </w:rPr>
          <w:t>第十六部分</w:t>
        </w:r>
        <w:r w:rsidR="00753E4D">
          <w:rPr>
            <w:rStyle w:val="Hyperlink"/>
            <w:rFonts w:eastAsia="宋体" w:hAnsi="Calibri" w:cs="宋体"/>
            <w:noProof/>
          </w:rPr>
          <w:t xml:space="preserve"> </w:t>
        </w:r>
        <w:r w:rsidR="00753E4D">
          <w:rPr>
            <w:rStyle w:val="Hyperlink"/>
            <w:rFonts w:eastAsia="宋体" w:hAnsi="Calibri" w:cs="宋体" w:hint="eastAsia"/>
            <w:noProof/>
          </w:rPr>
          <w:t>基金的费用与税收</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_Toc129511538 \h </w:instrText>
        </w:r>
        <w:r w:rsidR="00753E4D">
          <w:rPr>
            <w:rFonts w:eastAsia="宋体" w:hAnsi="Calibri"/>
            <w:noProof/>
          </w:rPr>
          <w:fldChar w:fldCharType="separate"/>
        </w:r>
        <w:r>
          <w:rPr>
            <w:rFonts w:eastAsia="宋体" w:hAnsi="Calibri"/>
            <w:noProof/>
          </w:rPr>
          <w:t>65</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39" w:tooltip="Current Document" w:history="1">
        <w:r w:rsidR="00753E4D">
          <w:rPr>
            <w:rStyle w:val="Hyperlink"/>
            <w:rFonts w:eastAsia="宋体" w:hAnsi="Calibri" w:cs="宋体" w:hint="eastAsia"/>
            <w:noProof/>
          </w:rPr>
          <w:t>第十七部分</w:t>
        </w:r>
        <w:r w:rsidR="00753E4D">
          <w:rPr>
            <w:rStyle w:val="Hyperlink"/>
            <w:rFonts w:eastAsia="宋体" w:hAnsi="Calibri" w:cs="宋体"/>
            <w:noProof/>
          </w:rPr>
          <w:t xml:space="preserve"> </w:t>
        </w:r>
        <w:r w:rsidR="00753E4D">
          <w:rPr>
            <w:rStyle w:val="Hyperlink"/>
            <w:rFonts w:eastAsia="宋体" w:hAnsi="Calibri" w:cs="宋体" w:hint="eastAsia"/>
            <w:noProof/>
          </w:rPr>
          <w:t>基金的会计与审计</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_Toc129511539 \h </w:instrText>
        </w:r>
        <w:r w:rsidR="00753E4D">
          <w:rPr>
            <w:rFonts w:eastAsia="宋体" w:hAnsi="Calibri"/>
            <w:noProof/>
          </w:rPr>
          <w:fldChar w:fldCharType="separate"/>
        </w:r>
        <w:r>
          <w:rPr>
            <w:rFonts w:eastAsia="宋体" w:hAnsi="Calibri"/>
            <w:noProof/>
          </w:rPr>
          <w:t>68</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40" w:tooltip="Current Document" w:history="1">
        <w:r w:rsidR="00753E4D">
          <w:rPr>
            <w:rStyle w:val="Hyperlink"/>
            <w:rFonts w:eastAsia="宋体" w:hAnsi="Calibri" w:cs="宋体" w:hint="eastAsia"/>
            <w:noProof/>
          </w:rPr>
          <w:t>第十八部分</w:t>
        </w:r>
        <w:r w:rsidR="00753E4D">
          <w:rPr>
            <w:rStyle w:val="Hyperlink"/>
            <w:rFonts w:eastAsia="宋体" w:hAnsi="Calibri" w:cs="宋体"/>
            <w:noProof/>
          </w:rPr>
          <w:t xml:space="preserve"> </w:t>
        </w:r>
        <w:r w:rsidR="00753E4D">
          <w:rPr>
            <w:rStyle w:val="Hyperlink"/>
            <w:rFonts w:eastAsia="宋体" w:hAnsi="Calibri" w:cs="宋体" w:hint="eastAsia"/>
            <w:noProof/>
          </w:rPr>
          <w:t>基金的信息披露</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_Toc129511540 \h </w:instrText>
        </w:r>
        <w:r w:rsidR="00753E4D">
          <w:rPr>
            <w:rFonts w:eastAsia="宋体" w:hAnsi="Calibri"/>
            <w:noProof/>
          </w:rPr>
          <w:fldChar w:fldCharType="separate"/>
        </w:r>
        <w:r>
          <w:rPr>
            <w:rFonts w:eastAsia="宋体" w:hAnsi="Calibri"/>
            <w:noProof/>
          </w:rPr>
          <w:t>69</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41" w:tooltip="Current Document" w:history="1">
        <w:r w:rsidR="00753E4D">
          <w:rPr>
            <w:rStyle w:val="Hyperlink"/>
            <w:rFonts w:eastAsia="宋体" w:hAnsi="Calibri" w:cs="宋体" w:hint="eastAsia"/>
            <w:noProof/>
          </w:rPr>
          <w:t>第十九部分</w:t>
        </w:r>
        <w:r w:rsidR="00753E4D">
          <w:rPr>
            <w:rStyle w:val="Hyperlink"/>
            <w:rFonts w:eastAsia="宋体" w:hAnsi="Calibri" w:cs="宋体"/>
            <w:noProof/>
          </w:rPr>
          <w:t xml:space="preserve"> </w:t>
        </w:r>
        <w:r w:rsidR="00753E4D">
          <w:rPr>
            <w:rStyle w:val="Hyperlink"/>
            <w:rFonts w:eastAsia="宋体" w:hAnsi="Calibri" w:cs="宋体" w:hint="eastAsia"/>
            <w:noProof/>
          </w:rPr>
          <w:t>侧袋机制</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_Toc129511541 \h </w:instrText>
        </w:r>
        <w:r w:rsidR="00753E4D">
          <w:rPr>
            <w:rFonts w:eastAsia="宋体" w:hAnsi="Calibri"/>
            <w:noProof/>
          </w:rPr>
          <w:fldChar w:fldCharType="separate"/>
        </w:r>
        <w:r>
          <w:rPr>
            <w:rFonts w:eastAsia="宋体" w:hAnsi="Calibri"/>
            <w:noProof/>
          </w:rPr>
          <w:t>75</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42" w:tooltip="Current Document" w:history="1">
        <w:r w:rsidR="00753E4D">
          <w:rPr>
            <w:rStyle w:val="Hyperlink"/>
            <w:rFonts w:eastAsia="宋体" w:hAnsi="Calibri" w:cs="宋体" w:hint="eastAsia"/>
            <w:noProof/>
          </w:rPr>
          <w:t>第二十部分</w:t>
        </w:r>
        <w:r w:rsidR="00753E4D">
          <w:rPr>
            <w:rStyle w:val="Hyperlink"/>
            <w:rFonts w:eastAsia="宋体" w:hAnsi="Calibri" w:cs="宋体"/>
            <w:noProof/>
          </w:rPr>
          <w:t xml:space="preserve"> </w:t>
        </w:r>
        <w:r w:rsidR="00753E4D">
          <w:rPr>
            <w:rStyle w:val="Hyperlink"/>
            <w:rFonts w:eastAsia="宋体" w:hAnsi="Calibri" w:cs="宋体" w:hint="eastAsia"/>
            <w:noProof/>
          </w:rPr>
          <w:t>风险揭示</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_Toc129511542 \h </w:instrText>
        </w:r>
        <w:r w:rsidR="00753E4D">
          <w:rPr>
            <w:rFonts w:eastAsia="宋体" w:hAnsi="Calibri"/>
            <w:noProof/>
          </w:rPr>
          <w:fldChar w:fldCharType="separate"/>
        </w:r>
        <w:r>
          <w:rPr>
            <w:rFonts w:eastAsia="宋体" w:hAnsi="Calibri"/>
            <w:noProof/>
          </w:rPr>
          <w:t>77</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43" w:tooltip="Current Document" w:history="1">
        <w:r w:rsidR="00753E4D">
          <w:rPr>
            <w:rStyle w:val="Hyperlink"/>
            <w:rFonts w:eastAsia="宋体" w:hAnsi="Calibri" w:cs="宋体" w:hint="eastAsia"/>
            <w:noProof/>
          </w:rPr>
          <w:t>第二十一部分</w:t>
        </w:r>
        <w:r w:rsidR="00753E4D">
          <w:rPr>
            <w:rStyle w:val="Hyperlink"/>
            <w:rFonts w:eastAsia="宋体" w:hAnsi="Calibri" w:cs="宋体"/>
            <w:noProof/>
          </w:rPr>
          <w:t xml:space="preserve"> </w:t>
        </w:r>
        <w:r w:rsidR="00753E4D">
          <w:rPr>
            <w:rStyle w:val="Hyperlink"/>
            <w:rFonts w:eastAsia="宋体" w:hAnsi="Calibri" w:cs="宋体" w:hint="eastAsia"/>
            <w:noProof/>
          </w:rPr>
          <w:t>基金合同的变更、终止与基金财产的清算</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_Toc129511543 \h </w:instrText>
        </w:r>
        <w:r w:rsidR="00753E4D">
          <w:rPr>
            <w:rFonts w:eastAsia="宋体" w:hAnsi="Calibri"/>
            <w:noProof/>
          </w:rPr>
          <w:fldChar w:fldCharType="separate"/>
        </w:r>
        <w:r>
          <w:rPr>
            <w:rFonts w:eastAsia="宋体" w:hAnsi="Calibri"/>
            <w:noProof/>
          </w:rPr>
          <w:t>88</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44" w:tooltip="Current Document" w:history="1">
        <w:r w:rsidR="00753E4D">
          <w:rPr>
            <w:rStyle w:val="Hyperlink"/>
            <w:rFonts w:eastAsia="宋体" w:hAnsi="Calibri" w:cs="宋体" w:hint="eastAsia"/>
            <w:noProof/>
          </w:rPr>
          <w:t>第二十二部分</w:t>
        </w:r>
        <w:r w:rsidR="00753E4D">
          <w:rPr>
            <w:rStyle w:val="Hyperlink"/>
            <w:rFonts w:eastAsia="宋体" w:hAnsi="Calibri" w:cs="宋体"/>
            <w:noProof/>
          </w:rPr>
          <w:t xml:space="preserve"> </w:t>
        </w:r>
        <w:r w:rsidR="00753E4D">
          <w:rPr>
            <w:rStyle w:val="Hyperlink"/>
            <w:rFonts w:eastAsia="宋体" w:hAnsi="Calibri" w:cs="宋体" w:hint="eastAsia"/>
            <w:noProof/>
          </w:rPr>
          <w:t>基金合同的内容摘要</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_Toc129511544 \h </w:instrText>
        </w:r>
        <w:r w:rsidR="00753E4D">
          <w:rPr>
            <w:rFonts w:eastAsia="宋体" w:hAnsi="Calibri"/>
            <w:noProof/>
          </w:rPr>
          <w:fldChar w:fldCharType="separate"/>
        </w:r>
        <w:r>
          <w:rPr>
            <w:rFonts w:eastAsia="宋体" w:hAnsi="Calibri"/>
            <w:noProof/>
          </w:rPr>
          <w:t>90</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45" w:tooltip="Current Document" w:history="1">
        <w:r w:rsidR="00753E4D">
          <w:rPr>
            <w:rStyle w:val="Hyperlink"/>
            <w:rFonts w:eastAsia="宋体" w:hAnsi="Calibri" w:cs="宋体" w:hint="eastAsia"/>
            <w:noProof/>
          </w:rPr>
          <w:t>第二十三部分</w:t>
        </w:r>
        <w:r w:rsidR="00753E4D">
          <w:rPr>
            <w:rStyle w:val="Hyperlink"/>
            <w:rFonts w:eastAsia="宋体" w:hAnsi="Calibri" w:cs="宋体"/>
            <w:noProof/>
          </w:rPr>
          <w:t xml:space="preserve"> </w:t>
        </w:r>
        <w:r w:rsidR="00753E4D">
          <w:rPr>
            <w:rStyle w:val="Hyperlink"/>
            <w:rFonts w:eastAsia="宋体" w:hAnsi="Calibri" w:cs="宋体" w:hint="eastAsia"/>
            <w:noProof/>
          </w:rPr>
          <w:t>基金托管协议的内容摘要</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_Toc129511545 \h </w:instrText>
        </w:r>
        <w:r w:rsidR="00753E4D">
          <w:rPr>
            <w:rFonts w:eastAsia="宋体" w:hAnsi="Calibri"/>
            <w:noProof/>
          </w:rPr>
          <w:fldChar w:fldCharType="separate"/>
        </w:r>
        <w:r>
          <w:rPr>
            <w:rFonts w:eastAsia="宋体" w:hAnsi="Calibri"/>
            <w:noProof/>
          </w:rPr>
          <w:t>107</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46" w:tooltip="Current Document" w:history="1">
        <w:r w:rsidR="00753E4D">
          <w:rPr>
            <w:rStyle w:val="Hyperlink"/>
            <w:rFonts w:eastAsia="宋体" w:hAnsi="Calibri" w:cs="宋体" w:hint="eastAsia"/>
            <w:noProof/>
          </w:rPr>
          <w:t>第二十四部分</w:t>
        </w:r>
        <w:r w:rsidR="00753E4D">
          <w:rPr>
            <w:rStyle w:val="Hyperlink"/>
            <w:rFonts w:eastAsia="宋体" w:hAnsi="Calibri" w:cs="宋体"/>
            <w:noProof/>
          </w:rPr>
          <w:t xml:space="preserve"> </w:t>
        </w:r>
        <w:r w:rsidR="00753E4D">
          <w:rPr>
            <w:rStyle w:val="Hyperlink"/>
            <w:rFonts w:eastAsia="宋体" w:hAnsi="Calibri" w:cs="宋体" w:hint="eastAsia"/>
            <w:noProof/>
          </w:rPr>
          <w:t>对基金份额持有人的服务</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_Toc129511546 \h </w:instrText>
        </w:r>
        <w:r w:rsidR="00753E4D">
          <w:rPr>
            <w:rFonts w:eastAsia="宋体" w:hAnsi="Calibri"/>
            <w:noProof/>
          </w:rPr>
          <w:fldChar w:fldCharType="separate"/>
        </w:r>
        <w:r>
          <w:rPr>
            <w:rFonts w:eastAsia="宋体" w:hAnsi="Calibri"/>
            <w:noProof/>
          </w:rPr>
          <w:t>125</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47" w:tooltip="Current Document" w:history="1">
        <w:r w:rsidR="00753E4D">
          <w:rPr>
            <w:rStyle w:val="Hyperlink"/>
            <w:rFonts w:eastAsia="宋体" w:hAnsi="Calibri" w:cs="宋体" w:hint="eastAsia"/>
            <w:noProof/>
          </w:rPr>
          <w:t>第二十五部分</w:t>
        </w:r>
        <w:r w:rsidR="00753E4D">
          <w:rPr>
            <w:rStyle w:val="Hyperlink"/>
            <w:rFonts w:eastAsia="宋体" w:hAnsi="Calibri" w:cs="宋体"/>
            <w:noProof/>
          </w:rPr>
          <w:t xml:space="preserve"> </w:t>
        </w:r>
        <w:r w:rsidR="00753E4D">
          <w:rPr>
            <w:rStyle w:val="Hyperlink"/>
            <w:rFonts w:eastAsia="宋体" w:hAnsi="Calibri" w:cs="宋体" w:hint="eastAsia"/>
            <w:noProof/>
          </w:rPr>
          <w:t>其他应披露事项</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_Toc129511547 \h </w:instrText>
        </w:r>
        <w:r w:rsidR="00753E4D">
          <w:rPr>
            <w:rFonts w:eastAsia="宋体" w:hAnsi="Calibri"/>
            <w:noProof/>
          </w:rPr>
          <w:fldChar w:fldCharType="separate"/>
        </w:r>
        <w:r>
          <w:rPr>
            <w:rFonts w:eastAsia="宋体" w:hAnsi="Calibri"/>
            <w:noProof/>
          </w:rPr>
          <w:t>126</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48" w:tooltip="Current Document" w:history="1">
        <w:r w:rsidR="00753E4D">
          <w:rPr>
            <w:rStyle w:val="Hyperlink"/>
            <w:rFonts w:eastAsia="宋体" w:hAnsi="Calibri" w:cs="宋体" w:hint="eastAsia"/>
            <w:noProof/>
          </w:rPr>
          <w:t>第二十六部分</w:t>
        </w:r>
        <w:r w:rsidR="00753E4D">
          <w:rPr>
            <w:rStyle w:val="Hyperlink"/>
            <w:rFonts w:eastAsia="宋体" w:hAnsi="Calibri" w:cs="宋体"/>
            <w:noProof/>
          </w:rPr>
          <w:t xml:space="preserve"> </w:t>
        </w:r>
        <w:r w:rsidR="00753E4D">
          <w:rPr>
            <w:rStyle w:val="Hyperlink"/>
            <w:rFonts w:eastAsia="宋体" w:hAnsi="Calibri" w:cs="宋体" w:hint="eastAsia"/>
            <w:noProof/>
          </w:rPr>
          <w:t>招募说明书的存放及查阅方式</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_Toc129511548 \h </w:instrText>
        </w:r>
        <w:r w:rsidR="00753E4D">
          <w:rPr>
            <w:rFonts w:eastAsia="宋体" w:hAnsi="Calibri"/>
            <w:noProof/>
          </w:rPr>
          <w:fldChar w:fldCharType="separate"/>
        </w:r>
        <w:r>
          <w:rPr>
            <w:rFonts w:eastAsia="宋体" w:hAnsi="Calibri"/>
            <w:noProof/>
          </w:rPr>
          <w:t>127</w:t>
        </w:r>
        <w:r w:rsidR="00753E4D">
          <w:rPr>
            <w:rFonts w:eastAsia="宋体" w:hAnsi="Calibri"/>
            <w:noProof/>
          </w:rPr>
          <w:fldChar w:fldCharType="end"/>
        </w:r>
      </w:hyperlink>
    </w:p>
    <w:p w:rsidR="004A090B">
      <w:pPr>
        <w:pStyle w:val="TOC1"/>
        <w:rPr>
          <w:rFonts w:eastAsia="宋体" w:hAnsi="Calibri" w:cs="Calibri"/>
          <w:caps w:val="0"/>
          <w:noProof/>
          <w:color w:val="auto"/>
          <w:sz w:val="21"/>
          <w:szCs w:val="22"/>
        </w:rPr>
      </w:pPr>
      <w:hyperlink w:anchor="_Toc129511549" w:tooltip="Current Document" w:history="1">
        <w:r w:rsidR="00753E4D">
          <w:rPr>
            <w:rStyle w:val="Hyperlink"/>
            <w:rFonts w:eastAsia="宋体" w:hAnsi="Calibri" w:cs="宋体" w:hint="eastAsia"/>
            <w:noProof/>
          </w:rPr>
          <w:t>第二十七部分</w:t>
        </w:r>
        <w:r w:rsidR="00753E4D">
          <w:rPr>
            <w:rStyle w:val="Hyperlink"/>
            <w:rFonts w:eastAsia="宋体" w:hAnsi="Calibri" w:cs="宋体"/>
            <w:noProof/>
          </w:rPr>
          <w:t xml:space="preserve"> </w:t>
        </w:r>
        <w:r w:rsidR="00753E4D">
          <w:rPr>
            <w:rStyle w:val="Hyperlink"/>
            <w:rFonts w:eastAsia="宋体" w:hAnsi="Calibri" w:cs="宋体" w:hint="eastAsia"/>
            <w:noProof/>
          </w:rPr>
          <w:t>备查文件</w:t>
        </w:r>
        <w:r w:rsidR="00753E4D">
          <w:rPr>
            <w:rFonts w:eastAsia="宋体" w:hAnsi="Calibri"/>
            <w:noProof/>
          </w:rPr>
          <w:tab/>
        </w:r>
        <w:r w:rsidR="00753E4D">
          <w:rPr>
            <w:rFonts w:eastAsia="宋体" w:hAnsi="Calibri"/>
            <w:noProof/>
          </w:rPr>
          <w:fldChar w:fldCharType="begin"/>
        </w:r>
        <w:r w:rsidR="00753E4D">
          <w:rPr>
            <w:rFonts w:eastAsia="宋体" w:hAnsi="Calibri"/>
            <w:noProof/>
          </w:rPr>
          <w:instrText xml:space="preserve"> PAGEREF _Toc129511549 \h </w:instrText>
        </w:r>
        <w:r w:rsidR="00753E4D">
          <w:rPr>
            <w:rFonts w:eastAsia="宋体" w:hAnsi="Calibri"/>
            <w:noProof/>
          </w:rPr>
          <w:fldChar w:fldCharType="separate"/>
        </w:r>
        <w:r>
          <w:rPr>
            <w:rFonts w:eastAsia="宋体" w:hAnsi="Calibri"/>
            <w:noProof/>
          </w:rPr>
          <w:t>128</w:t>
        </w:r>
        <w:r w:rsidR="00753E4D">
          <w:rPr>
            <w:rFonts w:eastAsia="宋体" w:hAnsi="Calibri"/>
            <w:noProof/>
          </w:rPr>
          <w:fldChar w:fldCharType="end"/>
        </w:r>
      </w:hyperlink>
    </w:p>
    <w:p w:rsidR="004A090B">
      <w:pPr>
        <w:ind w:firstLine="560"/>
        <w:jc w:val="center"/>
        <w:rPr>
          <w:rFonts w:ascii="宋体" w:hAnsi="Calibri" w:cs="宋体"/>
          <w:b/>
          <w:caps/>
          <w:sz w:val="24"/>
          <w:szCs w:val="28"/>
        </w:rPr>
      </w:pPr>
      <w:r>
        <w:rPr>
          <w:rFonts w:ascii="宋体" w:hAnsi="Calibri" w:cs="宋体"/>
          <w:b/>
          <w:caps/>
          <w:sz w:val="24"/>
          <w:szCs w:val="28"/>
        </w:rPr>
        <w:fldChar w:fldCharType="end"/>
      </w:r>
    </w:p>
    <w:p w:rsidR="004A090B">
      <w:pPr>
        <w:ind w:firstLine="560"/>
        <w:jc w:val="center"/>
        <w:rPr>
          <w:rFonts w:ascii="宋体" w:hAnsi="Calibri" w:cs="宋体"/>
          <w:b/>
          <w:caps/>
          <w:sz w:val="24"/>
          <w:szCs w:val="28"/>
        </w:rPr>
        <w:sectPr>
          <w:headerReference w:type="even" r:id="rId11"/>
          <w:headerReference w:type="default" r:id="rId12"/>
          <w:footerReference w:type="even" r:id="rId13"/>
          <w:footerReference w:type="default" r:id="rId14"/>
          <w:pgSz w:w="11906" w:h="16838"/>
          <w:pgMar w:top="1440" w:right="1803" w:bottom="1440" w:left="1803" w:header="851" w:footer="992" w:gutter="0"/>
          <w:pgNumType w:start="1"/>
          <w:cols w:space="720"/>
          <w:docGrid w:type="lines" w:linePitch="317"/>
        </w:sectPr>
      </w:pPr>
    </w:p>
    <w:p w:rsidR="004A090B">
      <w:pPr>
        <w:pStyle w:val="10"/>
        <w:spacing w:before="317" w:after="317" w:line="320" w:lineRule="exact"/>
        <w:ind w:firstLine="600"/>
        <w:rPr>
          <w:rFonts w:ascii="宋体" w:eastAsia="宋体" w:hAnsi="Calibri" w:cs="宋体"/>
          <w:b w:val="0"/>
          <w:sz w:val="30"/>
          <w:szCs w:val="30"/>
          <w:lang w:eastAsia="zh-CN"/>
        </w:rPr>
      </w:pPr>
      <w:bookmarkStart w:id="0" w:name="_Toc332373444"/>
      <w:bookmarkStart w:id="1" w:name="_Toc129511523"/>
      <w:r>
        <w:rPr>
          <w:rFonts w:ascii="宋体" w:eastAsia="宋体" w:hAnsi="Calibri" w:cs="宋体" w:hint="eastAsia"/>
          <w:b w:val="0"/>
          <w:sz w:val="30"/>
          <w:szCs w:val="30"/>
          <w:lang w:eastAsia="zh-CN"/>
        </w:rPr>
        <w:t>第一部分</w:t>
      </w:r>
      <w:r>
        <w:rPr>
          <w:rFonts w:ascii="宋体" w:eastAsia="宋体" w:hAnsi="Calibri" w:cs="宋体"/>
          <w:b w:val="0"/>
          <w:sz w:val="30"/>
          <w:szCs w:val="30"/>
          <w:lang w:eastAsia="zh-CN"/>
        </w:rPr>
        <w:t xml:space="preserve"> </w:t>
      </w:r>
      <w:r>
        <w:rPr>
          <w:rFonts w:ascii="宋体" w:eastAsia="宋体" w:hAnsi="Calibri" w:cs="宋体" w:hint="eastAsia"/>
          <w:b w:val="0"/>
          <w:sz w:val="30"/>
          <w:szCs w:val="30"/>
          <w:lang w:eastAsia="zh-CN"/>
        </w:rPr>
        <w:t>绪</w:t>
      </w:r>
      <w:r>
        <w:rPr>
          <w:rFonts w:ascii="宋体" w:eastAsia="宋体" w:hAnsi="Calibri" w:cs="宋体"/>
          <w:b w:val="0"/>
          <w:sz w:val="30"/>
          <w:szCs w:val="30"/>
          <w:lang w:eastAsia="zh-CN"/>
        </w:rPr>
        <w:t xml:space="preserve">  </w:t>
      </w:r>
      <w:r>
        <w:rPr>
          <w:rFonts w:ascii="宋体" w:eastAsia="宋体" w:hAnsi="Calibri" w:cs="宋体"/>
          <w:b w:val="0"/>
          <w:sz w:val="30"/>
          <w:szCs w:val="30"/>
          <w:lang w:eastAsia="zh-CN"/>
        </w:rPr>
        <w:t>言</w:t>
      </w:r>
      <w:bookmarkEnd w:id="0"/>
      <w:bookmarkEnd w:id="1"/>
    </w:p>
    <w:p w:rsidR="004A090B">
      <w:pPr>
        <w:spacing w:line="360" w:lineRule="auto"/>
        <w:ind w:firstLine="420"/>
        <w:rPr>
          <w:rFonts w:ascii="宋体" w:hAnsi="Calibri" w:cs="宋体"/>
          <w:szCs w:val="21"/>
          <w:lang w:eastAsia="zh-CN"/>
        </w:rPr>
      </w:pPr>
    </w:p>
    <w:p w:rsidR="004A090B">
      <w:pPr>
        <w:spacing w:line="360" w:lineRule="auto"/>
        <w:ind w:firstLine="420"/>
        <w:rPr>
          <w:rFonts w:ascii="宋体" w:hAnsi="Calibri" w:cs="宋体"/>
          <w:szCs w:val="21"/>
          <w:lang w:eastAsia="zh-CN"/>
        </w:rPr>
      </w:pPr>
      <w:r>
        <w:rPr>
          <w:rFonts w:ascii="宋体" w:hAnsi="Calibri" w:cs="宋体" w:hint="eastAsia"/>
          <w:szCs w:val="21"/>
          <w:lang w:eastAsia="zh-CN"/>
        </w:rPr>
        <w:t>本招募说明书依据《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证券投资基金信息披露内容与格式准则第</w:t>
      </w:r>
      <w:r>
        <w:rPr>
          <w:rFonts w:ascii="宋体" w:hAnsi="Calibri" w:cs="宋体" w:hint="eastAsia"/>
          <w:szCs w:val="21"/>
          <w:lang w:eastAsia="zh-CN"/>
        </w:rPr>
        <w:t>5</w:t>
      </w:r>
      <w:r>
        <w:rPr>
          <w:rFonts w:ascii="宋体" w:hAnsi="Calibri" w:cs="宋体" w:hint="eastAsia"/>
          <w:szCs w:val="21"/>
          <w:lang w:eastAsia="zh-CN"/>
        </w:rPr>
        <w:t>号</w:t>
      </w:r>
      <w:r>
        <w:rPr>
          <w:rFonts w:ascii="宋体" w:hAnsi="Calibri" w:cs="宋体" w:hint="eastAsia"/>
          <w:szCs w:val="21"/>
          <w:lang w:eastAsia="zh-CN"/>
        </w:rPr>
        <w:t>&lt;</w:t>
      </w:r>
      <w:r>
        <w:rPr>
          <w:rFonts w:ascii="宋体" w:hAnsi="Calibri" w:cs="宋体" w:hint="eastAsia"/>
          <w:szCs w:val="21"/>
          <w:lang w:eastAsia="zh-CN"/>
        </w:rPr>
        <w:t>招募说明书的内容与格式</w:t>
      </w:r>
      <w:r>
        <w:rPr>
          <w:rFonts w:ascii="宋体" w:hAnsi="Calibri" w:cs="宋体" w:hint="eastAsia"/>
          <w:szCs w:val="21"/>
          <w:lang w:eastAsia="zh-CN"/>
        </w:rPr>
        <w:t>&gt;</w:t>
      </w:r>
      <w:r>
        <w:rPr>
          <w:rFonts w:ascii="宋体" w:hAnsi="Calibri" w:cs="宋体" w:hint="eastAsia"/>
          <w:szCs w:val="21"/>
          <w:lang w:eastAsia="zh-CN"/>
        </w:rPr>
        <w:t>》《公开募集开放式证券投资基金流动性风险管理规定》（以下简称《</w:t>
      </w:r>
      <w:r>
        <w:rPr>
          <w:rStyle w:val="da"/>
          <w:rFonts w:ascii="宋体" w:hAnsi="Calibri" w:cs="宋体" w:hint="eastAsia"/>
          <w:szCs w:val="21"/>
          <w:lang w:eastAsia="zh-CN"/>
        </w:rPr>
        <w:t>流动性风险</w:t>
      </w:r>
      <w:r>
        <w:rPr>
          <w:rFonts w:ascii="宋体" w:hAnsi="Calibri" w:cs="宋体" w:hint="eastAsia"/>
          <w:szCs w:val="21"/>
          <w:lang w:eastAsia="zh-CN"/>
        </w:rPr>
        <w:t>管理规定》）、</w:t>
      </w:r>
      <w:r>
        <w:rPr>
          <w:rFonts w:ascii="宋体" w:hAnsi="Calibri" w:cs="宋体"/>
          <w:color w:val="000000"/>
          <w:szCs w:val="21"/>
          <w:lang w:eastAsia="zh-CN"/>
        </w:rPr>
        <w:t>《公开募集</w:t>
      </w:r>
      <w:r>
        <w:rPr>
          <w:rFonts w:ascii="宋体" w:hAnsi="Calibri" w:cs="宋体"/>
          <w:color w:val="000000"/>
          <w:szCs w:val="21"/>
          <w:lang w:eastAsia="zh-CN"/>
        </w:rPr>
        <w:t>证券投资基金运作指引第</w:t>
      </w:r>
      <w:r>
        <w:rPr>
          <w:rFonts w:ascii="宋体" w:hAnsi="Calibri" w:cs="宋体"/>
          <w:color w:val="000000"/>
          <w:szCs w:val="21"/>
          <w:lang w:eastAsia="zh-CN"/>
        </w:rPr>
        <w:t>3</w:t>
      </w:r>
      <w:r>
        <w:rPr>
          <w:rFonts w:ascii="宋体" w:hAnsi="Calibri" w:cs="宋体"/>
          <w:color w:val="000000"/>
          <w:szCs w:val="21"/>
          <w:lang w:eastAsia="zh-CN"/>
        </w:rPr>
        <w:t>号</w:t>
      </w:r>
      <w:r>
        <w:rPr>
          <w:rFonts w:ascii="宋体" w:hAnsi="Calibri" w:cs="宋体"/>
          <w:color w:val="000000"/>
          <w:szCs w:val="21"/>
          <w:lang w:eastAsia="zh-CN"/>
        </w:rPr>
        <w:t>——</w:t>
      </w:r>
      <w:r>
        <w:rPr>
          <w:rFonts w:ascii="宋体" w:hAnsi="Calibri" w:cs="宋体"/>
          <w:color w:val="000000"/>
          <w:szCs w:val="21"/>
          <w:lang w:eastAsia="zh-CN"/>
        </w:rPr>
        <w:t>指数基金指引》（以下简称《指数基金指引》）、</w:t>
      </w:r>
      <w:r>
        <w:rPr>
          <w:rFonts w:ascii="宋体" w:hAnsi="Calibri" w:cs="宋体"/>
          <w:szCs w:val="21"/>
          <w:lang w:eastAsia="zh-CN"/>
        </w:rPr>
        <w:t>《</w:t>
      </w:r>
      <w:r>
        <w:rPr>
          <w:rFonts w:ascii="宋体" w:hAnsi="Calibri" w:cs="宋体" w:hint="eastAsia"/>
          <w:szCs w:val="21"/>
          <w:lang w:eastAsia="zh-CN"/>
        </w:rPr>
        <w:t>易方达中证科创创业人工智能交易型开放式指数证券投资基金发起式联接基金基金合同》（以下简称基金合同）及其它有关规定等编写。</w:t>
      </w:r>
    </w:p>
    <w:p w:rsidR="004A090B">
      <w:pPr>
        <w:spacing w:line="360" w:lineRule="auto"/>
        <w:ind w:firstLine="420"/>
        <w:rPr>
          <w:rFonts w:ascii="宋体" w:hAnsi="Calibri" w:cs="宋体"/>
          <w:szCs w:val="21"/>
          <w:lang w:eastAsia="zh-CN"/>
        </w:rPr>
      </w:pPr>
      <w:r>
        <w:rPr>
          <w:rStyle w:val="da"/>
          <w:rFonts w:ascii="宋体" w:hAnsi="Calibri" w:cs="宋体" w:hint="eastAsia"/>
          <w:szCs w:val="21"/>
          <w:lang w:eastAsia="zh-CN"/>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本招募说明书根据本基金的基金合同编写，并经中国</w:t>
      </w:r>
      <w:r>
        <w:rPr>
          <w:rStyle w:val="da"/>
          <w:rFonts w:ascii="宋体" w:hAnsi="Calibri" w:cs="宋体" w:hint="eastAsia"/>
          <w:szCs w:val="21"/>
          <w:lang w:eastAsia="zh-CN"/>
        </w:rPr>
        <w:t>证监会注册。基金合同是约定基金当事人之间权利、义务的法律文件。基金投资人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rsidR="004A090B">
      <w:pPr>
        <w:spacing w:line="360" w:lineRule="auto"/>
        <w:ind w:firstLine="482"/>
        <w:rPr>
          <w:rFonts w:ascii="宋体" w:hAnsi="Calibri" w:cs="宋体"/>
          <w:szCs w:val="21"/>
          <w:lang w:eastAsia="zh-CN"/>
        </w:rPr>
      </w:pPr>
      <w:r>
        <w:rPr>
          <w:rFonts w:ascii="宋体" w:hAnsi="Calibri" w:cs="宋体" w:hint="eastAsia"/>
          <w:szCs w:val="21"/>
          <w:lang w:eastAsia="zh-CN"/>
        </w:rPr>
        <w:t>本基金按照中国法律法规成立并运作，若基金合同、招募说明书等基金法律文件的内容与届时有效的法律法规的强制性规定不一致，应当以届时有效的法律法规的规定为准。</w:t>
      </w:r>
    </w:p>
    <w:p w:rsidR="004A090B">
      <w:pPr>
        <w:spacing w:line="360" w:lineRule="auto"/>
        <w:ind w:firstLine="482"/>
        <w:rPr>
          <w:rFonts w:ascii="宋体" w:hAnsi="Calibri" w:cs="宋体"/>
          <w:szCs w:val="21"/>
          <w:lang w:eastAsia="zh-CN"/>
        </w:rPr>
      </w:pPr>
    </w:p>
    <w:p w:rsidR="004A090B">
      <w:pPr>
        <w:widowControl/>
        <w:jc w:val="left"/>
        <w:rPr>
          <w:rFonts w:ascii="宋体" w:hAnsi="Calibri" w:cs="宋体"/>
          <w:sz w:val="30"/>
          <w:szCs w:val="20"/>
          <w:lang w:eastAsia="zh-CN"/>
        </w:rPr>
      </w:pPr>
      <w:bookmarkStart w:id="2" w:name="_Toc332373445"/>
      <w:r>
        <w:rPr>
          <w:rFonts w:ascii="宋体" w:hAnsi="Calibri" w:cs="宋体"/>
          <w:sz w:val="30"/>
          <w:lang w:eastAsia="zh-CN"/>
        </w:rPr>
        <w:br w:type="page"/>
      </w:r>
    </w:p>
    <w:p w:rsidR="004A090B">
      <w:pPr>
        <w:pStyle w:val="1110"/>
        <w:pageBreakBefore w:val="0"/>
        <w:spacing w:before="317" w:after="317" w:line="320" w:lineRule="exact"/>
        <w:ind w:firstLine="600"/>
        <w:rPr>
          <w:rFonts w:ascii="宋体" w:eastAsia="宋体" w:hAnsi="Calibri" w:cs="宋体"/>
          <w:sz w:val="30"/>
          <w:szCs w:val="30"/>
          <w:lang w:eastAsia="zh-CN"/>
        </w:rPr>
      </w:pPr>
      <w:bookmarkStart w:id="3" w:name="_Toc129511524"/>
      <w:r>
        <w:rPr>
          <w:rFonts w:ascii="宋体" w:eastAsia="宋体" w:hAnsi="Calibri" w:cs="宋体"/>
          <w:sz w:val="30"/>
          <w:szCs w:val="30"/>
          <w:lang w:eastAsia="zh-CN"/>
        </w:rPr>
        <w:t>第二部分</w:t>
      </w:r>
      <w:r>
        <w:rPr>
          <w:rFonts w:ascii="宋体" w:eastAsia="宋体" w:hAnsi="Calibri" w:cs="宋体"/>
          <w:sz w:val="30"/>
          <w:szCs w:val="30"/>
          <w:lang w:eastAsia="zh-CN"/>
        </w:rPr>
        <w:t xml:space="preserve"> </w:t>
      </w:r>
      <w:r>
        <w:rPr>
          <w:rFonts w:ascii="宋体" w:eastAsia="宋体" w:hAnsi="Calibri" w:cs="宋体"/>
          <w:sz w:val="30"/>
          <w:szCs w:val="30"/>
          <w:lang w:eastAsia="zh-CN"/>
        </w:rPr>
        <w:t>释</w:t>
      </w:r>
      <w:r>
        <w:rPr>
          <w:rFonts w:ascii="宋体" w:eastAsia="宋体" w:hAnsi="Calibri" w:cs="宋体"/>
          <w:sz w:val="30"/>
          <w:szCs w:val="30"/>
          <w:lang w:eastAsia="zh-CN"/>
        </w:rPr>
        <w:t xml:space="preserve">  </w:t>
      </w:r>
      <w:r>
        <w:rPr>
          <w:rFonts w:ascii="宋体" w:eastAsia="宋体" w:hAnsi="Calibri" w:cs="宋体"/>
          <w:sz w:val="30"/>
          <w:szCs w:val="30"/>
          <w:lang w:eastAsia="zh-CN"/>
        </w:rPr>
        <w:t>义</w:t>
      </w:r>
      <w:bookmarkEnd w:id="2"/>
      <w:bookmarkEnd w:id="3"/>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本招募说明书中除非文意另有所指，下列词语或</w:t>
      </w:r>
      <w:r>
        <w:rPr>
          <w:rStyle w:val="da"/>
          <w:rFonts w:ascii="宋体" w:hAnsi="Calibri" w:cs="宋体"/>
          <w:szCs w:val="21"/>
          <w:lang w:eastAsia="zh-CN"/>
        </w:rPr>
        <w:t>简称</w:t>
      </w:r>
      <w:r>
        <w:rPr>
          <w:rStyle w:val="da"/>
          <w:rFonts w:ascii="宋体" w:hAnsi="Calibri" w:cs="宋体" w:hint="eastAsia"/>
          <w:szCs w:val="21"/>
          <w:lang w:eastAsia="zh-CN"/>
        </w:rPr>
        <w:t>具有如下含义：</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1</w:t>
      </w:r>
      <w:r>
        <w:rPr>
          <w:rStyle w:val="da"/>
          <w:rFonts w:ascii="宋体" w:hAnsi="Calibri" w:cs="宋体" w:hint="eastAsia"/>
          <w:szCs w:val="21"/>
          <w:lang w:eastAsia="zh-CN"/>
        </w:rPr>
        <w:t>、基金或本基金：指易方达中证科创创业人工智能交易型开放式指数证券投资基金发起式联接基金</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2</w:t>
      </w:r>
      <w:r>
        <w:rPr>
          <w:rStyle w:val="da"/>
          <w:rFonts w:ascii="宋体" w:hAnsi="Calibri" w:cs="宋体" w:hint="eastAsia"/>
          <w:szCs w:val="21"/>
          <w:lang w:eastAsia="zh-CN"/>
        </w:rPr>
        <w:t>、基金管理人：指易方达基金管理有限公司</w:t>
      </w:r>
      <w:r>
        <w:rPr>
          <w:rStyle w:val="da"/>
          <w:rFonts w:ascii="宋体" w:hAnsi="Calibri" w:cs="宋体" w:hint="eastAsia"/>
          <w:szCs w:val="21"/>
          <w:lang w:eastAsia="zh-CN"/>
        </w:rPr>
        <w:t xml:space="preserve">          </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3</w:t>
      </w:r>
      <w:r>
        <w:rPr>
          <w:rStyle w:val="da"/>
          <w:rFonts w:ascii="宋体" w:hAnsi="Calibri" w:cs="宋体" w:hint="eastAsia"/>
          <w:szCs w:val="21"/>
          <w:lang w:eastAsia="zh-CN"/>
        </w:rPr>
        <w:t>、基金托管人：指招商银行股份有限公司</w:t>
      </w:r>
      <w:r>
        <w:rPr>
          <w:rStyle w:val="da"/>
          <w:rFonts w:ascii="宋体" w:hAnsi="Calibri" w:cs="宋体" w:hint="eastAsia"/>
          <w:szCs w:val="21"/>
          <w:lang w:eastAsia="zh-CN"/>
        </w:rPr>
        <w:t xml:space="preserve"> </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4</w:t>
      </w:r>
      <w:r>
        <w:rPr>
          <w:rStyle w:val="da"/>
          <w:rFonts w:ascii="宋体" w:hAnsi="Calibri" w:cs="宋体" w:hint="eastAsia"/>
          <w:szCs w:val="21"/>
          <w:lang w:eastAsia="zh-CN"/>
        </w:rPr>
        <w:t>、基金合同：指《易方达中证科创创业人工智能交易型开放式指数证券投资基金发起式联接基金基金合同》及对基金合同的任何有效修订和补充</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5</w:t>
      </w:r>
      <w:r>
        <w:rPr>
          <w:rStyle w:val="da"/>
          <w:rFonts w:ascii="宋体" w:hAnsi="Calibri" w:cs="宋体" w:hint="eastAsia"/>
          <w:szCs w:val="21"/>
          <w:lang w:eastAsia="zh-CN"/>
        </w:rPr>
        <w:t>、托管协议：指基金管理人与基金托管人就本基金签订之《易方达中证科创创业人工智能交易型开放式指数证券投资基金发起式联接基金托管</w:t>
      </w:r>
      <w:r>
        <w:rPr>
          <w:rStyle w:val="da"/>
          <w:rFonts w:ascii="宋体" w:hAnsi="Calibri" w:cs="宋体" w:hint="eastAsia"/>
          <w:szCs w:val="21"/>
          <w:lang w:eastAsia="zh-CN"/>
        </w:rPr>
        <w:t>协议》及对该托管协议的任何有效修订和补充</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6</w:t>
      </w:r>
      <w:r>
        <w:rPr>
          <w:rStyle w:val="da"/>
          <w:rFonts w:ascii="宋体" w:hAnsi="Calibri" w:cs="宋体" w:hint="eastAsia"/>
          <w:szCs w:val="21"/>
          <w:lang w:eastAsia="zh-CN"/>
        </w:rPr>
        <w:t>、招募说明书或本招募说明书：指《易方达中证科创创业人工智能交易型开放式指数证券投资基金发起式联接基金招募说明书》及其更新</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7</w:t>
      </w:r>
      <w:r>
        <w:rPr>
          <w:rStyle w:val="da"/>
          <w:rFonts w:ascii="宋体" w:hAnsi="Calibri" w:cs="宋体"/>
          <w:szCs w:val="21"/>
          <w:highlight w:val="white"/>
          <w:lang w:eastAsia="zh-CN"/>
        </w:rPr>
        <w:t>、基金产品资料概要：指《易方达中证科创创业人工智能交易型开放式指数证券投资基金发起式联接基金基金产品资料概要》及其更新</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8</w:t>
      </w:r>
      <w:r>
        <w:rPr>
          <w:rStyle w:val="da"/>
          <w:rFonts w:ascii="宋体" w:hAnsi="Calibri" w:cs="宋体"/>
          <w:szCs w:val="21"/>
          <w:highlight w:val="white"/>
          <w:lang w:eastAsia="zh-CN"/>
        </w:rPr>
        <w:t>、基金份额发售公告：指《易方达中证科创创业人工智能交易型开放式指数证券投资基金发起式联接基金基金份额发售公告》</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9</w:t>
      </w:r>
      <w:r>
        <w:rPr>
          <w:rStyle w:val="da"/>
          <w:rFonts w:ascii="宋体" w:hAnsi="Calibri" w:cs="宋体"/>
          <w:szCs w:val="21"/>
          <w:highlight w:val="white"/>
          <w:lang w:eastAsia="zh-CN"/>
        </w:rPr>
        <w:t>、标的指数：指中证科创创业人工智能指数及其未来可能发生的变更</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10</w:t>
      </w:r>
      <w:r>
        <w:rPr>
          <w:rStyle w:val="da"/>
          <w:rFonts w:ascii="宋体" w:hAnsi="Calibri" w:cs="宋体"/>
          <w:szCs w:val="21"/>
          <w:highlight w:val="white"/>
          <w:lang w:eastAsia="zh-CN"/>
        </w:rPr>
        <w:t>、目标</w:t>
      </w:r>
      <w:r>
        <w:rPr>
          <w:rStyle w:val="da"/>
          <w:rFonts w:ascii="宋体" w:hAnsi="Calibri" w:cs="宋体"/>
          <w:szCs w:val="21"/>
          <w:highlight w:val="white"/>
          <w:lang w:eastAsia="zh-CN"/>
        </w:rPr>
        <w:t>ETF</w:t>
      </w:r>
      <w:r>
        <w:rPr>
          <w:rStyle w:val="da"/>
          <w:rFonts w:ascii="宋体" w:hAnsi="Calibri" w:cs="宋体"/>
          <w:szCs w:val="21"/>
          <w:highlight w:val="white"/>
          <w:lang w:eastAsia="zh-CN"/>
        </w:rPr>
        <w:t>：指易方达中证科创创业人工智能</w:t>
      </w:r>
      <w:r>
        <w:rPr>
          <w:rStyle w:val="da"/>
          <w:rFonts w:ascii="宋体" w:hAnsi="Calibri" w:cs="宋体"/>
          <w:szCs w:val="21"/>
          <w:highlight w:val="white"/>
          <w:lang w:eastAsia="zh-CN"/>
        </w:rPr>
        <w:t>交易型开放式指数证券投资基金</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11</w:t>
      </w:r>
      <w:r>
        <w:rPr>
          <w:rStyle w:val="da"/>
          <w:rFonts w:ascii="宋体" w:hAnsi="Calibri" w:cs="宋体"/>
          <w:szCs w:val="21"/>
          <w:highlight w:val="white"/>
          <w:lang w:eastAsia="zh-CN"/>
        </w:rPr>
        <w:t>、</w:t>
      </w:r>
      <w:r>
        <w:rPr>
          <w:rStyle w:val="da"/>
          <w:rFonts w:ascii="宋体" w:hAnsi="Calibri" w:cs="宋体"/>
          <w:szCs w:val="21"/>
          <w:highlight w:val="white"/>
          <w:lang w:eastAsia="zh-CN"/>
        </w:rPr>
        <w:t>ETF</w:t>
      </w:r>
      <w:r>
        <w:rPr>
          <w:rStyle w:val="da"/>
          <w:rFonts w:ascii="宋体" w:hAnsi="Calibri" w:cs="宋体"/>
          <w:szCs w:val="21"/>
          <w:highlight w:val="white"/>
          <w:lang w:eastAsia="zh-CN"/>
        </w:rPr>
        <w:t>联接基金：指将绝大部分基金财产投资于跟踪同一标的指数的</w:t>
      </w:r>
      <w:r>
        <w:rPr>
          <w:rStyle w:val="da"/>
          <w:rFonts w:ascii="宋体" w:hAnsi="Calibri" w:cs="宋体"/>
          <w:szCs w:val="21"/>
          <w:highlight w:val="white"/>
          <w:lang w:eastAsia="zh-CN"/>
        </w:rPr>
        <w:t>ETF</w:t>
      </w:r>
      <w:r>
        <w:rPr>
          <w:rStyle w:val="da"/>
          <w:rFonts w:ascii="宋体" w:hAnsi="Calibri" w:cs="宋体"/>
          <w:szCs w:val="21"/>
          <w:highlight w:val="white"/>
          <w:lang w:eastAsia="zh-CN"/>
        </w:rPr>
        <w:t>（以下简称目标</w:t>
      </w:r>
      <w:r>
        <w:rPr>
          <w:rStyle w:val="da"/>
          <w:rFonts w:ascii="宋体" w:hAnsi="Calibri" w:cs="宋体"/>
          <w:szCs w:val="21"/>
          <w:highlight w:val="white"/>
          <w:lang w:eastAsia="zh-CN"/>
        </w:rPr>
        <w:t>ETF</w:t>
      </w:r>
      <w:r>
        <w:rPr>
          <w:rStyle w:val="da"/>
          <w:rFonts w:ascii="宋体" w:hAnsi="Calibri" w:cs="宋体"/>
          <w:szCs w:val="21"/>
          <w:highlight w:val="white"/>
          <w:lang w:eastAsia="zh-CN"/>
        </w:rPr>
        <w:t>），紧密跟踪标的指数表现，追求跟踪偏离度和跟踪误差最小化，采用开放式运作方式的基金，简称联接基金</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12</w:t>
      </w:r>
      <w:r>
        <w:rPr>
          <w:rStyle w:val="da"/>
          <w:rFonts w:ascii="宋体" w:hAnsi="Calibri" w:cs="宋体"/>
          <w:szCs w:val="21"/>
          <w:highlight w:val="white"/>
          <w:lang w:eastAsia="zh-CN"/>
        </w:rPr>
        <w:t>、法律法规：指中国现行有效并公布实施的法律、行政法规、规范性文件、司法解释、行政规章以及其他对基金合同当事人有约束力的决定、决议、通知等</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13</w:t>
      </w:r>
      <w:r>
        <w:rPr>
          <w:rStyle w:val="da"/>
          <w:rFonts w:ascii="宋体" w:hAnsi="Calibri" w:cs="宋体"/>
          <w:szCs w:val="21"/>
          <w:highlight w:val="white"/>
          <w:lang w:eastAsia="zh-CN"/>
        </w:rPr>
        <w:t>、《基金法》：指</w:t>
      </w:r>
      <w:r>
        <w:rPr>
          <w:rStyle w:val="da"/>
          <w:rFonts w:ascii="宋体" w:hAnsi="Calibri" w:cs="宋体"/>
          <w:szCs w:val="21"/>
          <w:highlight w:val="white"/>
          <w:lang w:eastAsia="zh-CN"/>
        </w:rPr>
        <w:t>2003</w:t>
      </w:r>
      <w:r>
        <w:rPr>
          <w:rStyle w:val="da"/>
          <w:rFonts w:ascii="宋体" w:hAnsi="Calibri" w:cs="宋体"/>
          <w:szCs w:val="21"/>
          <w:highlight w:val="white"/>
          <w:lang w:eastAsia="zh-CN"/>
        </w:rPr>
        <w:t>年</w:t>
      </w:r>
      <w:r>
        <w:rPr>
          <w:rStyle w:val="da"/>
          <w:rFonts w:ascii="宋体" w:hAnsi="Calibri" w:cs="宋体"/>
          <w:szCs w:val="21"/>
          <w:highlight w:val="white"/>
          <w:lang w:eastAsia="zh-CN"/>
        </w:rPr>
        <w:t>10</w:t>
      </w:r>
      <w:r>
        <w:rPr>
          <w:rStyle w:val="da"/>
          <w:rFonts w:ascii="宋体" w:hAnsi="Calibri" w:cs="宋体"/>
          <w:szCs w:val="21"/>
          <w:highlight w:val="white"/>
          <w:lang w:eastAsia="zh-CN"/>
        </w:rPr>
        <w:t>月</w:t>
      </w:r>
      <w:r>
        <w:rPr>
          <w:rStyle w:val="da"/>
          <w:rFonts w:ascii="宋体" w:hAnsi="Calibri" w:cs="宋体"/>
          <w:szCs w:val="21"/>
          <w:highlight w:val="white"/>
          <w:lang w:eastAsia="zh-CN"/>
        </w:rPr>
        <w:t>28</w:t>
      </w:r>
      <w:r>
        <w:rPr>
          <w:rStyle w:val="da"/>
          <w:rFonts w:ascii="宋体" w:hAnsi="Calibri" w:cs="宋体"/>
          <w:szCs w:val="21"/>
          <w:highlight w:val="white"/>
          <w:lang w:eastAsia="zh-CN"/>
        </w:rPr>
        <w:t>日经第十届全国人民代表大会常务委员会第五次会议通过，经</w:t>
      </w:r>
      <w:r>
        <w:rPr>
          <w:rStyle w:val="da"/>
          <w:rFonts w:ascii="宋体" w:hAnsi="Calibri" w:cs="宋体"/>
          <w:szCs w:val="21"/>
          <w:highlight w:val="white"/>
          <w:lang w:eastAsia="zh-CN"/>
        </w:rPr>
        <w:t>2012</w:t>
      </w:r>
      <w:r>
        <w:rPr>
          <w:rStyle w:val="da"/>
          <w:rFonts w:ascii="宋体" w:hAnsi="Calibri" w:cs="宋体"/>
          <w:szCs w:val="21"/>
          <w:highlight w:val="white"/>
          <w:lang w:eastAsia="zh-CN"/>
        </w:rPr>
        <w:t>年</w:t>
      </w:r>
      <w:r>
        <w:rPr>
          <w:rStyle w:val="da"/>
          <w:rFonts w:ascii="宋体" w:hAnsi="Calibri" w:cs="宋体"/>
          <w:szCs w:val="21"/>
          <w:highlight w:val="white"/>
          <w:lang w:eastAsia="zh-CN"/>
        </w:rPr>
        <w:t>12</w:t>
      </w:r>
      <w:r>
        <w:rPr>
          <w:rStyle w:val="da"/>
          <w:rFonts w:ascii="宋体" w:hAnsi="Calibri" w:cs="宋体"/>
          <w:szCs w:val="21"/>
          <w:highlight w:val="white"/>
          <w:lang w:eastAsia="zh-CN"/>
        </w:rPr>
        <w:t>月</w:t>
      </w:r>
      <w:r>
        <w:rPr>
          <w:rStyle w:val="da"/>
          <w:rFonts w:ascii="宋体" w:hAnsi="Calibri" w:cs="宋体"/>
          <w:szCs w:val="21"/>
          <w:highlight w:val="white"/>
          <w:lang w:eastAsia="zh-CN"/>
        </w:rPr>
        <w:t>28</w:t>
      </w:r>
      <w:r>
        <w:rPr>
          <w:rStyle w:val="da"/>
          <w:rFonts w:ascii="宋体" w:hAnsi="Calibri" w:cs="宋体"/>
          <w:szCs w:val="21"/>
          <w:highlight w:val="white"/>
          <w:lang w:eastAsia="zh-CN"/>
        </w:rPr>
        <w:t>日第十一届全国人民代表大会常务委员会</w:t>
      </w:r>
      <w:r>
        <w:rPr>
          <w:rStyle w:val="da"/>
          <w:rFonts w:ascii="宋体" w:hAnsi="Calibri" w:cs="宋体"/>
          <w:szCs w:val="21"/>
          <w:highlight w:val="white"/>
          <w:lang w:eastAsia="zh-CN"/>
        </w:rPr>
        <w:t>第三十次会议修订，自</w:t>
      </w:r>
      <w:r>
        <w:rPr>
          <w:rStyle w:val="da"/>
          <w:rFonts w:ascii="宋体" w:hAnsi="Calibri" w:cs="宋体"/>
          <w:szCs w:val="21"/>
          <w:highlight w:val="white"/>
          <w:lang w:eastAsia="zh-CN"/>
        </w:rPr>
        <w:t>2013</w:t>
      </w:r>
      <w:r>
        <w:rPr>
          <w:rStyle w:val="da"/>
          <w:rFonts w:ascii="宋体" w:hAnsi="Calibri" w:cs="宋体"/>
          <w:szCs w:val="21"/>
          <w:highlight w:val="white"/>
          <w:lang w:eastAsia="zh-CN"/>
        </w:rPr>
        <w:t>年</w:t>
      </w:r>
      <w:r>
        <w:rPr>
          <w:rStyle w:val="da"/>
          <w:rFonts w:ascii="宋体" w:hAnsi="Calibri" w:cs="宋体"/>
          <w:szCs w:val="21"/>
          <w:highlight w:val="white"/>
          <w:lang w:eastAsia="zh-CN"/>
        </w:rPr>
        <w:t>6</w:t>
      </w:r>
      <w:r>
        <w:rPr>
          <w:rStyle w:val="da"/>
          <w:rFonts w:ascii="宋体" w:hAnsi="Calibri" w:cs="宋体"/>
          <w:szCs w:val="21"/>
          <w:highlight w:val="white"/>
          <w:lang w:eastAsia="zh-CN"/>
        </w:rPr>
        <w:t>月</w:t>
      </w:r>
      <w:r>
        <w:rPr>
          <w:rStyle w:val="da"/>
          <w:rFonts w:ascii="宋体" w:hAnsi="Calibri" w:cs="宋体"/>
          <w:szCs w:val="21"/>
          <w:highlight w:val="white"/>
          <w:lang w:eastAsia="zh-CN"/>
        </w:rPr>
        <w:t>1</w:t>
      </w:r>
      <w:r>
        <w:rPr>
          <w:rStyle w:val="da"/>
          <w:rFonts w:ascii="宋体" w:hAnsi="Calibri" w:cs="宋体"/>
          <w:szCs w:val="21"/>
          <w:highlight w:val="white"/>
          <w:lang w:eastAsia="zh-CN"/>
        </w:rPr>
        <w:t>日起实施，并经</w:t>
      </w:r>
      <w:r>
        <w:rPr>
          <w:rStyle w:val="da"/>
          <w:rFonts w:ascii="宋体" w:hAnsi="Calibri" w:cs="宋体"/>
          <w:szCs w:val="21"/>
          <w:highlight w:val="white"/>
          <w:lang w:eastAsia="zh-CN"/>
        </w:rPr>
        <w:t>2015</w:t>
      </w:r>
      <w:r>
        <w:rPr>
          <w:rStyle w:val="da"/>
          <w:rFonts w:ascii="宋体" w:hAnsi="Calibri" w:cs="宋体"/>
          <w:szCs w:val="21"/>
          <w:highlight w:val="white"/>
          <w:lang w:eastAsia="zh-CN"/>
        </w:rPr>
        <w:t>年</w:t>
      </w:r>
      <w:r>
        <w:rPr>
          <w:rStyle w:val="da"/>
          <w:rFonts w:ascii="宋体" w:hAnsi="Calibri" w:cs="宋体"/>
          <w:szCs w:val="21"/>
          <w:highlight w:val="white"/>
          <w:lang w:eastAsia="zh-CN"/>
        </w:rPr>
        <w:t>4</w:t>
      </w:r>
      <w:r>
        <w:rPr>
          <w:rStyle w:val="da"/>
          <w:rFonts w:ascii="宋体" w:hAnsi="Calibri" w:cs="宋体"/>
          <w:szCs w:val="21"/>
          <w:highlight w:val="white"/>
          <w:lang w:eastAsia="zh-CN"/>
        </w:rPr>
        <w:t>月</w:t>
      </w:r>
      <w:r>
        <w:rPr>
          <w:rStyle w:val="da"/>
          <w:rFonts w:ascii="宋体" w:hAnsi="Calibri" w:cs="宋体"/>
          <w:szCs w:val="21"/>
          <w:highlight w:val="white"/>
          <w:lang w:eastAsia="zh-CN"/>
        </w:rPr>
        <w:t>24</w:t>
      </w:r>
      <w:r>
        <w:rPr>
          <w:rStyle w:val="da"/>
          <w:rFonts w:ascii="宋体" w:hAnsi="Calibri" w:cs="宋体"/>
          <w:szCs w:val="21"/>
          <w:highlight w:val="white"/>
          <w:lang w:eastAsia="zh-CN"/>
        </w:rPr>
        <w:t>日第十二届全国人民代表大会常务委员会第十四次会议《全国人民代表大会常务委员会关于修改</w:t>
      </w:r>
      <w:r>
        <w:rPr>
          <w:rStyle w:val="da"/>
          <w:rFonts w:ascii="宋体" w:hAnsi="Calibri" w:cs="宋体"/>
          <w:szCs w:val="21"/>
          <w:highlight w:val="white"/>
          <w:lang w:eastAsia="zh-CN"/>
        </w:rPr>
        <w:t>&lt;</w:t>
      </w:r>
      <w:r>
        <w:rPr>
          <w:rStyle w:val="da"/>
          <w:rFonts w:ascii="宋体" w:hAnsi="Calibri" w:cs="宋体"/>
          <w:szCs w:val="21"/>
          <w:highlight w:val="white"/>
          <w:lang w:eastAsia="zh-CN"/>
        </w:rPr>
        <w:t>中华人民共和国港口法</w:t>
      </w:r>
      <w:r>
        <w:rPr>
          <w:rStyle w:val="da"/>
          <w:rFonts w:ascii="宋体" w:hAnsi="Calibri" w:cs="宋体"/>
          <w:szCs w:val="21"/>
          <w:highlight w:val="white"/>
          <w:lang w:eastAsia="zh-CN"/>
        </w:rPr>
        <w:t>&gt;</w:t>
      </w:r>
      <w:r>
        <w:rPr>
          <w:rStyle w:val="da"/>
          <w:rFonts w:ascii="宋体" w:hAnsi="Calibri" w:cs="宋体"/>
          <w:szCs w:val="21"/>
          <w:highlight w:val="white"/>
          <w:lang w:eastAsia="zh-CN"/>
        </w:rPr>
        <w:t>等七部法律的决定》修正的《中华人民共和国证券投资基金法》及颁布机关对其不时做出的修订</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14</w:t>
      </w:r>
      <w:r>
        <w:rPr>
          <w:rStyle w:val="da"/>
          <w:rFonts w:ascii="宋体" w:hAnsi="Calibri" w:cs="宋体"/>
          <w:szCs w:val="21"/>
          <w:highlight w:val="white"/>
          <w:lang w:eastAsia="zh-CN"/>
        </w:rPr>
        <w:t>、《销售办法》：指中国证监会</w:t>
      </w:r>
      <w:r>
        <w:rPr>
          <w:rStyle w:val="da"/>
          <w:rFonts w:ascii="宋体" w:hAnsi="Calibri" w:cs="宋体"/>
          <w:szCs w:val="21"/>
          <w:highlight w:val="white"/>
          <w:lang w:eastAsia="zh-CN"/>
        </w:rPr>
        <w:t>2020</w:t>
      </w:r>
      <w:r>
        <w:rPr>
          <w:rStyle w:val="da"/>
          <w:rFonts w:ascii="宋体" w:hAnsi="Calibri" w:cs="宋体"/>
          <w:szCs w:val="21"/>
          <w:highlight w:val="white"/>
          <w:lang w:eastAsia="zh-CN"/>
        </w:rPr>
        <w:t>年</w:t>
      </w:r>
      <w:r>
        <w:rPr>
          <w:rStyle w:val="da"/>
          <w:rFonts w:ascii="宋体" w:hAnsi="Calibri" w:cs="宋体"/>
          <w:szCs w:val="21"/>
          <w:highlight w:val="white"/>
          <w:lang w:eastAsia="zh-CN"/>
        </w:rPr>
        <w:t>8</w:t>
      </w:r>
      <w:r>
        <w:rPr>
          <w:rStyle w:val="da"/>
          <w:rFonts w:ascii="宋体" w:hAnsi="Calibri" w:cs="宋体"/>
          <w:szCs w:val="21"/>
          <w:highlight w:val="white"/>
          <w:lang w:eastAsia="zh-CN"/>
        </w:rPr>
        <w:t>月</w:t>
      </w:r>
      <w:r>
        <w:rPr>
          <w:rStyle w:val="da"/>
          <w:rFonts w:ascii="宋体" w:hAnsi="Calibri" w:cs="宋体"/>
          <w:szCs w:val="21"/>
          <w:highlight w:val="white"/>
          <w:lang w:eastAsia="zh-CN"/>
        </w:rPr>
        <w:t>28</w:t>
      </w:r>
      <w:r>
        <w:rPr>
          <w:rStyle w:val="da"/>
          <w:rFonts w:ascii="宋体" w:hAnsi="Calibri" w:cs="宋体"/>
          <w:szCs w:val="21"/>
          <w:highlight w:val="white"/>
          <w:lang w:eastAsia="zh-CN"/>
        </w:rPr>
        <w:t>日颁布、同年</w:t>
      </w:r>
      <w:r>
        <w:rPr>
          <w:rStyle w:val="da"/>
          <w:rFonts w:ascii="宋体" w:hAnsi="Calibri" w:cs="宋体"/>
          <w:szCs w:val="21"/>
          <w:highlight w:val="white"/>
          <w:lang w:eastAsia="zh-CN"/>
        </w:rPr>
        <w:t>10</w:t>
      </w:r>
      <w:r>
        <w:rPr>
          <w:rStyle w:val="da"/>
          <w:rFonts w:ascii="宋体" w:hAnsi="Calibri" w:cs="宋体"/>
          <w:szCs w:val="21"/>
          <w:highlight w:val="white"/>
          <w:lang w:eastAsia="zh-CN"/>
        </w:rPr>
        <w:t>月</w:t>
      </w:r>
      <w:r>
        <w:rPr>
          <w:rStyle w:val="da"/>
          <w:rFonts w:ascii="宋体" w:hAnsi="Calibri" w:cs="宋体"/>
          <w:szCs w:val="21"/>
          <w:highlight w:val="white"/>
          <w:lang w:eastAsia="zh-CN"/>
        </w:rPr>
        <w:t>1</w:t>
      </w:r>
      <w:r>
        <w:rPr>
          <w:rStyle w:val="da"/>
          <w:rFonts w:ascii="宋体" w:hAnsi="Calibri" w:cs="宋体"/>
          <w:szCs w:val="21"/>
          <w:highlight w:val="white"/>
          <w:lang w:eastAsia="zh-CN"/>
        </w:rPr>
        <w:t>日实施的《公开募集证券投资基金销售机构监督管理办法》及颁布机关对其不时做出的修订</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15</w:t>
      </w:r>
      <w:r>
        <w:rPr>
          <w:rStyle w:val="da"/>
          <w:rFonts w:ascii="宋体" w:hAnsi="Calibri" w:cs="宋体"/>
          <w:szCs w:val="21"/>
          <w:highlight w:val="white"/>
          <w:lang w:eastAsia="zh-CN"/>
        </w:rPr>
        <w:t>、《信息披露办法》：指中国证监会</w:t>
      </w:r>
      <w:r>
        <w:rPr>
          <w:rStyle w:val="da"/>
          <w:rFonts w:ascii="宋体" w:hAnsi="Calibri" w:cs="宋体"/>
          <w:szCs w:val="21"/>
          <w:highlight w:val="white"/>
          <w:lang w:eastAsia="zh-CN"/>
        </w:rPr>
        <w:t>2019</w:t>
      </w:r>
      <w:r>
        <w:rPr>
          <w:rStyle w:val="da"/>
          <w:rFonts w:ascii="宋体" w:hAnsi="Calibri" w:cs="宋体"/>
          <w:szCs w:val="21"/>
          <w:highlight w:val="white"/>
          <w:lang w:eastAsia="zh-CN"/>
        </w:rPr>
        <w:t>年</w:t>
      </w:r>
      <w:r>
        <w:rPr>
          <w:rStyle w:val="da"/>
          <w:rFonts w:ascii="宋体" w:hAnsi="Calibri" w:cs="宋体"/>
          <w:szCs w:val="21"/>
          <w:highlight w:val="white"/>
          <w:lang w:eastAsia="zh-CN"/>
        </w:rPr>
        <w:t>7</w:t>
      </w:r>
      <w:r>
        <w:rPr>
          <w:rStyle w:val="da"/>
          <w:rFonts w:ascii="宋体" w:hAnsi="Calibri" w:cs="宋体"/>
          <w:szCs w:val="21"/>
          <w:highlight w:val="white"/>
          <w:lang w:eastAsia="zh-CN"/>
        </w:rPr>
        <w:t>月</w:t>
      </w:r>
      <w:r>
        <w:rPr>
          <w:rStyle w:val="da"/>
          <w:rFonts w:ascii="宋体" w:hAnsi="Calibri" w:cs="宋体"/>
          <w:szCs w:val="21"/>
          <w:highlight w:val="white"/>
          <w:lang w:eastAsia="zh-CN"/>
        </w:rPr>
        <w:t>26</w:t>
      </w:r>
      <w:r>
        <w:rPr>
          <w:rStyle w:val="da"/>
          <w:rFonts w:ascii="宋体" w:hAnsi="Calibri" w:cs="宋体"/>
          <w:szCs w:val="21"/>
          <w:highlight w:val="white"/>
          <w:lang w:eastAsia="zh-CN"/>
        </w:rPr>
        <w:t>日颁布、同年</w:t>
      </w:r>
      <w:r>
        <w:rPr>
          <w:rStyle w:val="da"/>
          <w:rFonts w:ascii="宋体" w:hAnsi="Calibri" w:cs="宋体"/>
          <w:szCs w:val="21"/>
          <w:highlight w:val="white"/>
          <w:lang w:eastAsia="zh-CN"/>
        </w:rPr>
        <w:t>9</w:t>
      </w:r>
      <w:r>
        <w:rPr>
          <w:rStyle w:val="da"/>
          <w:rFonts w:ascii="宋体" w:hAnsi="Calibri" w:cs="宋体"/>
          <w:szCs w:val="21"/>
          <w:highlight w:val="white"/>
          <w:lang w:eastAsia="zh-CN"/>
        </w:rPr>
        <w:t>月</w:t>
      </w:r>
      <w:r>
        <w:rPr>
          <w:rStyle w:val="da"/>
          <w:rFonts w:ascii="宋体" w:hAnsi="Calibri" w:cs="宋体"/>
          <w:szCs w:val="21"/>
          <w:highlight w:val="white"/>
          <w:lang w:eastAsia="zh-CN"/>
        </w:rPr>
        <w:t>1</w:t>
      </w:r>
      <w:r>
        <w:rPr>
          <w:rStyle w:val="da"/>
          <w:rFonts w:ascii="宋体" w:hAnsi="Calibri" w:cs="宋体"/>
          <w:szCs w:val="21"/>
          <w:highlight w:val="white"/>
          <w:lang w:eastAsia="zh-CN"/>
        </w:rPr>
        <w:t>日实施的《公开募集证券投资</w:t>
      </w:r>
      <w:r>
        <w:rPr>
          <w:rStyle w:val="da"/>
          <w:rFonts w:ascii="宋体" w:hAnsi="Calibri" w:cs="宋体"/>
          <w:szCs w:val="21"/>
          <w:highlight w:val="white"/>
          <w:lang w:eastAsia="zh-CN"/>
        </w:rPr>
        <w:t>基金信息披露管理办法》及颁布机关对其不时做出的修订</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16</w:t>
      </w:r>
      <w:r>
        <w:rPr>
          <w:rStyle w:val="da"/>
          <w:rFonts w:ascii="宋体" w:hAnsi="Calibri" w:cs="宋体"/>
          <w:szCs w:val="21"/>
          <w:highlight w:val="white"/>
          <w:lang w:eastAsia="zh-CN"/>
        </w:rPr>
        <w:t>、《运作办法》：指中国证监会</w:t>
      </w:r>
      <w:r>
        <w:rPr>
          <w:rStyle w:val="da"/>
          <w:rFonts w:ascii="宋体" w:hAnsi="Calibri" w:cs="宋体"/>
          <w:szCs w:val="21"/>
          <w:highlight w:val="white"/>
          <w:lang w:eastAsia="zh-CN"/>
        </w:rPr>
        <w:t>2014</w:t>
      </w:r>
      <w:r>
        <w:rPr>
          <w:rStyle w:val="da"/>
          <w:rFonts w:ascii="宋体" w:hAnsi="Calibri" w:cs="宋体"/>
          <w:szCs w:val="21"/>
          <w:highlight w:val="white"/>
          <w:lang w:eastAsia="zh-CN"/>
        </w:rPr>
        <w:t>年</w:t>
      </w:r>
      <w:r>
        <w:rPr>
          <w:rStyle w:val="da"/>
          <w:rFonts w:ascii="宋体" w:hAnsi="Calibri" w:cs="宋体"/>
          <w:szCs w:val="21"/>
          <w:highlight w:val="white"/>
          <w:lang w:eastAsia="zh-CN"/>
        </w:rPr>
        <w:t>7</w:t>
      </w:r>
      <w:r>
        <w:rPr>
          <w:rStyle w:val="da"/>
          <w:rFonts w:ascii="宋体" w:hAnsi="Calibri" w:cs="宋体"/>
          <w:szCs w:val="21"/>
          <w:highlight w:val="white"/>
          <w:lang w:eastAsia="zh-CN"/>
        </w:rPr>
        <w:t>月</w:t>
      </w:r>
      <w:r>
        <w:rPr>
          <w:rStyle w:val="da"/>
          <w:rFonts w:ascii="宋体" w:hAnsi="Calibri" w:cs="宋体"/>
          <w:szCs w:val="21"/>
          <w:highlight w:val="white"/>
          <w:lang w:eastAsia="zh-CN"/>
        </w:rPr>
        <w:t>7</w:t>
      </w:r>
      <w:r>
        <w:rPr>
          <w:rStyle w:val="da"/>
          <w:rFonts w:ascii="宋体" w:hAnsi="Calibri" w:cs="宋体"/>
          <w:szCs w:val="21"/>
          <w:highlight w:val="white"/>
          <w:lang w:eastAsia="zh-CN"/>
        </w:rPr>
        <w:t>日颁布、同年</w:t>
      </w:r>
      <w:r>
        <w:rPr>
          <w:rStyle w:val="da"/>
          <w:rFonts w:ascii="宋体" w:hAnsi="Calibri" w:cs="宋体"/>
          <w:szCs w:val="21"/>
          <w:highlight w:val="white"/>
          <w:lang w:eastAsia="zh-CN"/>
        </w:rPr>
        <w:t>8</w:t>
      </w:r>
      <w:r>
        <w:rPr>
          <w:rStyle w:val="da"/>
          <w:rFonts w:ascii="宋体" w:hAnsi="Calibri" w:cs="宋体"/>
          <w:szCs w:val="21"/>
          <w:highlight w:val="white"/>
          <w:lang w:eastAsia="zh-CN"/>
        </w:rPr>
        <w:t>月</w:t>
      </w:r>
      <w:r>
        <w:rPr>
          <w:rStyle w:val="da"/>
          <w:rFonts w:ascii="宋体" w:hAnsi="Calibri" w:cs="宋体"/>
          <w:szCs w:val="21"/>
          <w:highlight w:val="white"/>
          <w:lang w:eastAsia="zh-CN"/>
        </w:rPr>
        <w:t>8</w:t>
      </w:r>
      <w:r>
        <w:rPr>
          <w:rStyle w:val="da"/>
          <w:rFonts w:ascii="宋体" w:hAnsi="Calibri" w:cs="宋体"/>
          <w:szCs w:val="21"/>
          <w:highlight w:val="white"/>
          <w:lang w:eastAsia="zh-CN"/>
        </w:rPr>
        <w:t>日实施的《公开募集证券投资基金运作管理办法》及颁布机关对其不时做出的修订</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17</w:t>
      </w:r>
      <w:r>
        <w:rPr>
          <w:rStyle w:val="da"/>
          <w:rFonts w:ascii="宋体" w:hAnsi="Calibri" w:cs="宋体"/>
          <w:szCs w:val="21"/>
          <w:highlight w:val="white"/>
          <w:lang w:eastAsia="zh-CN"/>
        </w:rPr>
        <w:t>、《流动性风险管理规定》：指中国证监会</w:t>
      </w:r>
      <w:r>
        <w:rPr>
          <w:rStyle w:val="da"/>
          <w:rFonts w:ascii="宋体" w:hAnsi="Calibri" w:cs="宋体"/>
          <w:szCs w:val="21"/>
          <w:highlight w:val="white"/>
          <w:lang w:eastAsia="zh-CN"/>
        </w:rPr>
        <w:t>2017</w:t>
      </w:r>
      <w:r>
        <w:rPr>
          <w:rStyle w:val="da"/>
          <w:rFonts w:ascii="宋体" w:hAnsi="Calibri" w:cs="宋体"/>
          <w:szCs w:val="21"/>
          <w:highlight w:val="white"/>
          <w:lang w:eastAsia="zh-CN"/>
        </w:rPr>
        <w:t>年</w:t>
      </w:r>
      <w:r>
        <w:rPr>
          <w:rStyle w:val="da"/>
          <w:rFonts w:ascii="宋体" w:hAnsi="Calibri" w:cs="宋体"/>
          <w:szCs w:val="21"/>
          <w:highlight w:val="white"/>
          <w:lang w:eastAsia="zh-CN"/>
        </w:rPr>
        <w:t>8</w:t>
      </w:r>
      <w:r>
        <w:rPr>
          <w:rStyle w:val="da"/>
          <w:rFonts w:ascii="宋体" w:hAnsi="Calibri" w:cs="宋体"/>
          <w:szCs w:val="21"/>
          <w:highlight w:val="white"/>
          <w:lang w:eastAsia="zh-CN"/>
        </w:rPr>
        <w:t>月</w:t>
      </w:r>
      <w:r>
        <w:rPr>
          <w:rStyle w:val="da"/>
          <w:rFonts w:ascii="宋体" w:hAnsi="Calibri" w:cs="宋体"/>
          <w:szCs w:val="21"/>
          <w:highlight w:val="white"/>
          <w:lang w:eastAsia="zh-CN"/>
        </w:rPr>
        <w:t>31</w:t>
      </w:r>
      <w:r>
        <w:rPr>
          <w:rStyle w:val="da"/>
          <w:rFonts w:ascii="宋体" w:hAnsi="Calibri" w:cs="宋体"/>
          <w:szCs w:val="21"/>
          <w:highlight w:val="white"/>
          <w:lang w:eastAsia="zh-CN"/>
        </w:rPr>
        <w:t>日颁布、同年</w:t>
      </w:r>
      <w:r>
        <w:rPr>
          <w:rStyle w:val="da"/>
          <w:rFonts w:ascii="宋体" w:hAnsi="Calibri" w:cs="宋体"/>
          <w:szCs w:val="21"/>
          <w:highlight w:val="white"/>
          <w:lang w:eastAsia="zh-CN"/>
        </w:rPr>
        <w:t>10</w:t>
      </w:r>
      <w:r>
        <w:rPr>
          <w:rStyle w:val="da"/>
          <w:rFonts w:ascii="宋体" w:hAnsi="Calibri" w:cs="宋体"/>
          <w:szCs w:val="21"/>
          <w:highlight w:val="white"/>
          <w:lang w:eastAsia="zh-CN"/>
        </w:rPr>
        <w:t>月</w:t>
      </w:r>
      <w:r>
        <w:rPr>
          <w:rStyle w:val="da"/>
          <w:rFonts w:ascii="宋体" w:hAnsi="Calibri" w:cs="宋体"/>
          <w:szCs w:val="21"/>
          <w:highlight w:val="white"/>
          <w:lang w:eastAsia="zh-CN"/>
        </w:rPr>
        <w:t>1</w:t>
      </w:r>
      <w:r>
        <w:rPr>
          <w:rStyle w:val="da"/>
          <w:rFonts w:ascii="宋体" w:hAnsi="Calibri" w:cs="宋体"/>
          <w:szCs w:val="21"/>
          <w:highlight w:val="white"/>
          <w:lang w:eastAsia="zh-CN"/>
        </w:rPr>
        <w:t>日实施的《公开募集开放式证券投资基金流动性风险管理规定》及颁布机关对其不时做出的修订</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18</w:t>
      </w:r>
      <w:r>
        <w:rPr>
          <w:rStyle w:val="da"/>
          <w:rFonts w:ascii="宋体" w:hAnsi="Calibri" w:cs="宋体"/>
          <w:szCs w:val="21"/>
          <w:highlight w:val="white"/>
          <w:lang w:eastAsia="zh-CN"/>
        </w:rPr>
        <w:t>、《指数基金指引》：指中国证监会</w:t>
      </w:r>
      <w:r>
        <w:rPr>
          <w:rStyle w:val="da"/>
          <w:rFonts w:ascii="宋体" w:hAnsi="Calibri" w:cs="宋体"/>
          <w:szCs w:val="21"/>
          <w:highlight w:val="white"/>
          <w:lang w:eastAsia="zh-CN"/>
        </w:rPr>
        <w:t>2021</w:t>
      </w:r>
      <w:r>
        <w:rPr>
          <w:rStyle w:val="da"/>
          <w:rFonts w:ascii="宋体" w:hAnsi="Calibri" w:cs="宋体"/>
          <w:szCs w:val="21"/>
          <w:highlight w:val="white"/>
          <w:lang w:eastAsia="zh-CN"/>
        </w:rPr>
        <w:t>年</w:t>
      </w:r>
      <w:r>
        <w:rPr>
          <w:rStyle w:val="da"/>
          <w:rFonts w:ascii="宋体" w:hAnsi="Calibri" w:cs="宋体"/>
          <w:szCs w:val="21"/>
          <w:highlight w:val="white"/>
          <w:lang w:eastAsia="zh-CN"/>
        </w:rPr>
        <w:t>1</w:t>
      </w:r>
      <w:r>
        <w:rPr>
          <w:rStyle w:val="da"/>
          <w:rFonts w:ascii="宋体" w:hAnsi="Calibri" w:cs="宋体"/>
          <w:szCs w:val="21"/>
          <w:highlight w:val="white"/>
          <w:lang w:eastAsia="zh-CN"/>
        </w:rPr>
        <w:t>月</w:t>
      </w:r>
      <w:r>
        <w:rPr>
          <w:rStyle w:val="da"/>
          <w:rFonts w:ascii="宋体" w:hAnsi="Calibri" w:cs="宋体"/>
          <w:szCs w:val="21"/>
          <w:highlight w:val="white"/>
          <w:lang w:eastAsia="zh-CN"/>
        </w:rPr>
        <w:t>22</w:t>
      </w:r>
      <w:r>
        <w:rPr>
          <w:rStyle w:val="da"/>
          <w:rFonts w:ascii="宋体" w:hAnsi="Calibri" w:cs="宋体"/>
          <w:szCs w:val="21"/>
          <w:highlight w:val="white"/>
          <w:lang w:eastAsia="zh-CN"/>
        </w:rPr>
        <w:t>日颁布、同年</w:t>
      </w:r>
      <w:r>
        <w:rPr>
          <w:rStyle w:val="da"/>
          <w:rFonts w:ascii="宋体" w:hAnsi="Calibri" w:cs="宋体"/>
          <w:szCs w:val="21"/>
          <w:highlight w:val="white"/>
          <w:lang w:eastAsia="zh-CN"/>
        </w:rPr>
        <w:t>2</w:t>
      </w:r>
      <w:r>
        <w:rPr>
          <w:rStyle w:val="da"/>
          <w:rFonts w:ascii="宋体" w:hAnsi="Calibri" w:cs="宋体"/>
          <w:szCs w:val="21"/>
          <w:highlight w:val="white"/>
          <w:lang w:eastAsia="zh-CN"/>
        </w:rPr>
        <w:t>月</w:t>
      </w:r>
      <w:r>
        <w:rPr>
          <w:rStyle w:val="da"/>
          <w:rFonts w:ascii="宋体" w:hAnsi="Calibri" w:cs="宋体"/>
          <w:szCs w:val="21"/>
          <w:highlight w:val="white"/>
          <w:lang w:eastAsia="zh-CN"/>
        </w:rPr>
        <w:t>1</w:t>
      </w:r>
      <w:r>
        <w:rPr>
          <w:rStyle w:val="da"/>
          <w:rFonts w:ascii="宋体" w:hAnsi="Calibri" w:cs="宋体"/>
          <w:szCs w:val="21"/>
          <w:highlight w:val="white"/>
          <w:lang w:eastAsia="zh-CN"/>
        </w:rPr>
        <w:t>日实施的《公开募集证券投资基金运作指引第</w:t>
      </w:r>
      <w:r>
        <w:rPr>
          <w:rStyle w:val="da"/>
          <w:rFonts w:ascii="宋体" w:hAnsi="Calibri" w:cs="宋体"/>
          <w:szCs w:val="21"/>
          <w:highlight w:val="white"/>
          <w:lang w:eastAsia="zh-CN"/>
        </w:rPr>
        <w:t>3</w:t>
      </w:r>
      <w:r>
        <w:rPr>
          <w:rStyle w:val="da"/>
          <w:rFonts w:ascii="宋体" w:hAnsi="Calibri" w:cs="宋体"/>
          <w:szCs w:val="21"/>
          <w:highlight w:val="white"/>
          <w:lang w:eastAsia="zh-CN"/>
        </w:rPr>
        <w:t>号</w:t>
      </w:r>
      <w:r>
        <w:rPr>
          <w:rStyle w:val="da"/>
          <w:rFonts w:ascii="宋体" w:hAnsi="Calibri" w:cs="宋体"/>
          <w:szCs w:val="21"/>
          <w:highlight w:val="white"/>
          <w:lang w:eastAsia="zh-CN"/>
        </w:rPr>
        <w:t>——</w:t>
      </w:r>
      <w:r>
        <w:rPr>
          <w:rStyle w:val="da"/>
          <w:rFonts w:ascii="宋体" w:hAnsi="Calibri" w:cs="宋体"/>
          <w:szCs w:val="21"/>
          <w:highlight w:val="white"/>
          <w:lang w:eastAsia="zh-CN"/>
        </w:rPr>
        <w:t>指数基金指引》及颁布机关对其不时做出的修订</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19</w:t>
      </w:r>
      <w:r>
        <w:rPr>
          <w:rStyle w:val="da"/>
          <w:rFonts w:ascii="宋体" w:hAnsi="Calibri" w:cs="宋体"/>
          <w:szCs w:val="21"/>
          <w:highlight w:val="white"/>
          <w:lang w:eastAsia="zh-CN"/>
        </w:rPr>
        <w:t>、中国证监会：指中国证券监督管理委员会</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20</w:t>
      </w:r>
      <w:r>
        <w:rPr>
          <w:rStyle w:val="da"/>
          <w:rFonts w:ascii="宋体" w:hAnsi="Calibri" w:cs="宋体"/>
          <w:szCs w:val="21"/>
          <w:highlight w:val="white"/>
          <w:lang w:eastAsia="zh-CN"/>
        </w:rPr>
        <w:t>、银行业监督管理机构：指中国人民银行和</w:t>
      </w:r>
      <w:r>
        <w:rPr>
          <w:rStyle w:val="da"/>
          <w:rFonts w:ascii="宋体" w:hAnsi="Calibri" w:cs="宋体"/>
          <w:szCs w:val="21"/>
          <w:highlight w:val="white"/>
          <w:lang w:eastAsia="zh-CN"/>
        </w:rPr>
        <w:t>/</w:t>
      </w:r>
      <w:r>
        <w:rPr>
          <w:rStyle w:val="da"/>
          <w:rFonts w:ascii="宋体" w:hAnsi="Calibri" w:cs="宋体"/>
          <w:szCs w:val="21"/>
          <w:highlight w:val="white"/>
          <w:lang w:eastAsia="zh-CN"/>
        </w:rPr>
        <w:t>或国家金融监督管理总局</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21</w:t>
      </w:r>
      <w:r>
        <w:rPr>
          <w:rStyle w:val="da"/>
          <w:rFonts w:ascii="宋体" w:hAnsi="Calibri" w:cs="宋体"/>
          <w:szCs w:val="21"/>
          <w:highlight w:val="white"/>
          <w:lang w:eastAsia="zh-CN"/>
        </w:rPr>
        <w:t>、基金合同当事人：指受基金合同约束，根据基金合同享有权利并承担义务的法律主体，包括基金管理人、基金托管人和基金份额持有人</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22</w:t>
      </w:r>
      <w:r>
        <w:rPr>
          <w:rStyle w:val="da"/>
          <w:rFonts w:ascii="宋体" w:hAnsi="Calibri" w:cs="宋体"/>
          <w:szCs w:val="21"/>
          <w:highlight w:val="white"/>
          <w:lang w:eastAsia="zh-CN"/>
        </w:rPr>
        <w:t>、个人投资者：指依据有关法律法规规定可投资于证券投资基金的自然人</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23</w:t>
      </w:r>
      <w:r>
        <w:rPr>
          <w:rStyle w:val="da"/>
          <w:rFonts w:ascii="宋体" w:hAnsi="Calibri" w:cs="宋体"/>
          <w:szCs w:val="21"/>
          <w:highlight w:val="white"/>
          <w:lang w:eastAsia="zh-CN"/>
        </w:rPr>
        <w:t>、机构投资者：指依法可以投资证券投资基金的、在中华人民共和国境内合法登记并存续或经有关政府部门批准设立并存续的企业法人、事业法人、社会团体或其他组织</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24</w:t>
      </w:r>
      <w:r>
        <w:rPr>
          <w:rStyle w:val="da"/>
          <w:rFonts w:ascii="宋体" w:hAnsi="Calibri" w:cs="宋体"/>
          <w:szCs w:val="21"/>
          <w:highlight w:val="white"/>
          <w:lang w:eastAsia="zh-CN"/>
        </w:rPr>
        <w:t>、合格境外投资者：指符合相关法律法规规定使用来自境外的资金进行境内证券期货投资的境外机构投资者，包括合格境外机构投资者和人民币合格境外机构投资者</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25</w:t>
      </w:r>
      <w:r>
        <w:rPr>
          <w:rStyle w:val="da"/>
          <w:rFonts w:ascii="宋体" w:hAnsi="Calibri" w:cs="宋体"/>
          <w:szCs w:val="21"/>
          <w:highlight w:val="white"/>
          <w:lang w:eastAsia="zh-CN"/>
        </w:rPr>
        <w:t>、投资人、投资者：指个人投资者、机构投资者、合格境外投资者以及法律法规或中国证监会允许购买证券投资基金的其他投资人的合称</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26</w:t>
      </w:r>
      <w:r>
        <w:rPr>
          <w:rStyle w:val="da"/>
          <w:rFonts w:ascii="宋体" w:hAnsi="Calibri" w:cs="宋体"/>
          <w:szCs w:val="21"/>
          <w:highlight w:val="white"/>
          <w:lang w:eastAsia="zh-CN"/>
        </w:rPr>
        <w:t>、基金份额持有人：指依基金合同和招募说明书合法取得基金份额的投资人</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27</w:t>
      </w:r>
      <w:r>
        <w:rPr>
          <w:rStyle w:val="da"/>
          <w:rFonts w:ascii="宋体" w:hAnsi="Calibri" w:cs="宋体"/>
          <w:szCs w:val="21"/>
          <w:highlight w:val="white"/>
          <w:lang w:eastAsia="zh-CN"/>
        </w:rPr>
        <w:t>、基金销售业务：指基金管理人或销售机构宣传推介基金，发售基金份额，办理基金份额的申购、赎回、转换、转托管及定期定额投资等业务</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28</w:t>
      </w:r>
      <w:r>
        <w:rPr>
          <w:rStyle w:val="da"/>
          <w:rFonts w:ascii="宋体" w:hAnsi="Calibri" w:cs="宋体"/>
          <w:szCs w:val="21"/>
          <w:highlight w:val="white"/>
          <w:lang w:eastAsia="zh-CN"/>
        </w:rPr>
        <w:t>、销售机构：指易方达基金管理有</w:t>
      </w:r>
      <w:r>
        <w:rPr>
          <w:rStyle w:val="da"/>
          <w:rFonts w:ascii="宋体" w:hAnsi="Calibri" w:cs="宋体"/>
          <w:szCs w:val="21"/>
          <w:highlight w:val="white"/>
          <w:lang w:eastAsia="zh-CN"/>
        </w:rPr>
        <w:t>限公司以及符合《销售办法》和中国证监会规定的其他条件，取得基金销售业务资格并与基金管理人签订了基金销售服务协议，办理基金销售业务的机构</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29</w:t>
      </w:r>
      <w:r>
        <w:rPr>
          <w:rStyle w:val="da"/>
          <w:rFonts w:ascii="宋体" w:hAnsi="Calibri" w:cs="宋体"/>
          <w:szCs w:val="21"/>
          <w:highlight w:val="white"/>
          <w:lang w:eastAsia="zh-CN"/>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30</w:t>
      </w:r>
      <w:r>
        <w:rPr>
          <w:rStyle w:val="da"/>
          <w:rFonts w:ascii="宋体" w:hAnsi="Calibri" w:cs="宋体"/>
          <w:szCs w:val="21"/>
          <w:highlight w:val="white"/>
          <w:lang w:eastAsia="zh-CN"/>
        </w:rPr>
        <w:t>、登记机构：指办理登记业务的机构。基金的登记机构为易方达基金管理有限公司或接受易方达基金管理有限公司委托代为办理登记业务的机构</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31</w:t>
      </w:r>
      <w:r>
        <w:rPr>
          <w:rStyle w:val="da"/>
          <w:rFonts w:ascii="宋体" w:hAnsi="Calibri" w:cs="宋体"/>
          <w:szCs w:val="21"/>
          <w:highlight w:val="white"/>
          <w:lang w:eastAsia="zh-CN"/>
        </w:rPr>
        <w:t>、基金账户：指登记机构为投资人开立的</w:t>
      </w:r>
      <w:r>
        <w:rPr>
          <w:rStyle w:val="da"/>
          <w:rFonts w:ascii="宋体" w:hAnsi="Calibri" w:cs="宋体"/>
          <w:szCs w:val="21"/>
          <w:highlight w:val="white"/>
          <w:lang w:eastAsia="zh-CN"/>
        </w:rPr>
        <w:t>、记录其持有的、基金管理人所管理的基金份额余额及其变动情况的账户</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32</w:t>
      </w:r>
      <w:r>
        <w:rPr>
          <w:rStyle w:val="da"/>
          <w:rFonts w:ascii="宋体" w:hAnsi="Calibri" w:cs="宋体"/>
          <w:szCs w:val="21"/>
          <w:highlight w:val="white"/>
          <w:lang w:eastAsia="zh-CN"/>
        </w:rPr>
        <w:t>、基金交易账户：指销售机构为投资人开立的、记录投资人通过该销售机构办理认购、申购、赎回、转换、转托管及定期定额投资等业务而引起的基金份额变动及结余情况的账户</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33</w:t>
      </w:r>
      <w:r>
        <w:rPr>
          <w:rStyle w:val="da"/>
          <w:rFonts w:ascii="宋体" w:hAnsi="Calibri" w:cs="宋体"/>
          <w:szCs w:val="21"/>
          <w:highlight w:val="white"/>
          <w:lang w:eastAsia="zh-CN"/>
        </w:rPr>
        <w:t>、基金合同生效日：指基金募集达到法律法规规定及基金合同规定的条件，基金管理人向中国证监会办理基金备案手续完毕，并获得中国证监会书面确认的日期</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34</w:t>
      </w:r>
      <w:r>
        <w:rPr>
          <w:rStyle w:val="da"/>
          <w:rFonts w:ascii="宋体" w:hAnsi="Calibri" w:cs="宋体"/>
          <w:szCs w:val="21"/>
          <w:highlight w:val="white"/>
          <w:lang w:eastAsia="zh-CN"/>
        </w:rPr>
        <w:t>、基金合同终止日：指基金合同规定的基金合同终止事由出现后，基金财产清算完毕，清算结果报中国证监会备案并予以公告的日期</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35</w:t>
      </w:r>
      <w:r>
        <w:rPr>
          <w:rStyle w:val="da"/>
          <w:rFonts w:ascii="宋体" w:hAnsi="Calibri" w:cs="宋体"/>
          <w:szCs w:val="21"/>
          <w:highlight w:val="white"/>
          <w:lang w:eastAsia="zh-CN"/>
        </w:rPr>
        <w:t>、基金募集期</w:t>
      </w:r>
      <w:r>
        <w:rPr>
          <w:rStyle w:val="da"/>
          <w:rFonts w:ascii="宋体" w:hAnsi="Calibri" w:cs="宋体"/>
          <w:szCs w:val="21"/>
          <w:highlight w:val="white"/>
          <w:lang w:eastAsia="zh-CN"/>
        </w:rPr>
        <w:t>：指自基金份额发售之日起至发售结束之日止的期间，最长不得超过</w:t>
      </w:r>
      <w:r>
        <w:rPr>
          <w:rStyle w:val="da"/>
          <w:rFonts w:ascii="宋体" w:hAnsi="Calibri" w:cs="宋体"/>
          <w:szCs w:val="21"/>
          <w:highlight w:val="white"/>
          <w:lang w:eastAsia="zh-CN"/>
        </w:rPr>
        <w:t>3</w:t>
      </w:r>
      <w:r>
        <w:rPr>
          <w:rStyle w:val="da"/>
          <w:rFonts w:ascii="宋体" w:hAnsi="Calibri" w:cs="宋体"/>
          <w:szCs w:val="21"/>
          <w:highlight w:val="white"/>
          <w:lang w:eastAsia="zh-CN"/>
        </w:rPr>
        <w:t>个月</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36</w:t>
      </w:r>
      <w:r>
        <w:rPr>
          <w:rStyle w:val="da"/>
          <w:rFonts w:ascii="宋体" w:hAnsi="Calibri" w:cs="宋体"/>
          <w:szCs w:val="21"/>
          <w:highlight w:val="white"/>
          <w:lang w:eastAsia="zh-CN"/>
        </w:rPr>
        <w:t>、存续期：指基金合同生效日至终止日之间的不定期期限</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37</w:t>
      </w:r>
      <w:r>
        <w:rPr>
          <w:rStyle w:val="da"/>
          <w:rFonts w:ascii="宋体" w:hAnsi="Calibri" w:cs="宋体"/>
          <w:szCs w:val="21"/>
          <w:highlight w:val="white"/>
          <w:lang w:eastAsia="zh-CN"/>
        </w:rPr>
        <w:t>、工作日：指上海证券交易所、深圳证券交易所的交易日</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38</w:t>
      </w:r>
      <w:r>
        <w:rPr>
          <w:rStyle w:val="da"/>
          <w:rFonts w:ascii="宋体" w:hAnsi="Calibri" w:cs="宋体"/>
          <w:szCs w:val="21"/>
          <w:highlight w:val="white"/>
          <w:lang w:eastAsia="zh-CN"/>
        </w:rPr>
        <w:t>、</w:t>
      </w:r>
      <w:r>
        <w:rPr>
          <w:rStyle w:val="da"/>
          <w:rFonts w:ascii="宋体" w:hAnsi="Calibri" w:cs="宋体"/>
          <w:szCs w:val="21"/>
          <w:highlight w:val="white"/>
          <w:lang w:eastAsia="zh-CN"/>
        </w:rPr>
        <w:t>T</w:t>
      </w:r>
      <w:r>
        <w:rPr>
          <w:rStyle w:val="da"/>
          <w:rFonts w:ascii="宋体" w:hAnsi="Calibri" w:cs="宋体"/>
          <w:szCs w:val="21"/>
          <w:highlight w:val="white"/>
          <w:lang w:eastAsia="zh-CN"/>
        </w:rPr>
        <w:t>日：指销售机构在规定时间受理投资人申购、赎回或其他业务申请的开放日</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39</w:t>
      </w:r>
      <w:r>
        <w:rPr>
          <w:rStyle w:val="da"/>
          <w:rFonts w:ascii="宋体" w:hAnsi="Calibri" w:cs="宋体"/>
          <w:szCs w:val="21"/>
          <w:highlight w:val="white"/>
          <w:lang w:eastAsia="zh-CN"/>
        </w:rPr>
        <w:t>、</w:t>
      </w:r>
      <w:r>
        <w:rPr>
          <w:rStyle w:val="da"/>
          <w:rFonts w:ascii="宋体" w:hAnsi="Calibri" w:cs="宋体"/>
          <w:szCs w:val="21"/>
          <w:highlight w:val="white"/>
          <w:lang w:eastAsia="zh-CN"/>
        </w:rPr>
        <w:t>T+n</w:t>
      </w:r>
      <w:r>
        <w:rPr>
          <w:rStyle w:val="da"/>
          <w:rFonts w:ascii="宋体" w:hAnsi="Calibri" w:cs="宋体"/>
          <w:szCs w:val="21"/>
          <w:highlight w:val="white"/>
          <w:lang w:eastAsia="zh-CN"/>
        </w:rPr>
        <w:t>日：指自</w:t>
      </w:r>
      <w:r>
        <w:rPr>
          <w:rStyle w:val="da"/>
          <w:rFonts w:ascii="宋体" w:hAnsi="Calibri" w:cs="宋体"/>
          <w:szCs w:val="21"/>
          <w:highlight w:val="white"/>
          <w:lang w:eastAsia="zh-CN"/>
        </w:rPr>
        <w:t>T</w:t>
      </w:r>
      <w:r>
        <w:rPr>
          <w:rStyle w:val="da"/>
          <w:rFonts w:ascii="宋体" w:hAnsi="Calibri" w:cs="宋体"/>
          <w:szCs w:val="21"/>
          <w:highlight w:val="white"/>
          <w:lang w:eastAsia="zh-CN"/>
        </w:rPr>
        <w:t>日起第</w:t>
      </w:r>
      <w:r>
        <w:rPr>
          <w:rStyle w:val="da"/>
          <w:rFonts w:ascii="宋体" w:hAnsi="Calibri" w:cs="宋体"/>
          <w:szCs w:val="21"/>
          <w:highlight w:val="white"/>
          <w:lang w:eastAsia="zh-CN"/>
        </w:rPr>
        <w:t>n</w:t>
      </w:r>
      <w:r>
        <w:rPr>
          <w:rStyle w:val="da"/>
          <w:rFonts w:ascii="宋体" w:hAnsi="Calibri" w:cs="宋体"/>
          <w:szCs w:val="21"/>
          <w:highlight w:val="white"/>
          <w:lang w:eastAsia="zh-CN"/>
        </w:rPr>
        <w:t>个工作日（不包含</w:t>
      </w:r>
      <w:r>
        <w:rPr>
          <w:rStyle w:val="da"/>
          <w:rFonts w:ascii="宋体" w:hAnsi="Calibri" w:cs="宋体"/>
          <w:szCs w:val="21"/>
          <w:highlight w:val="white"/>
          <w:lang w:eastAsia="zh-CN"/>
        </w:rPr>
        <w:t>T</w:t>
      </w:r>
      <w:r>
        <w:rPr>
          <w:rStyle w:val="da"/>
          <w:rFonts w:ascii="宋体" w:hAnsi="Calibri" w:cs="宋体"/>
          <w:szCs w:val="21"/>
          <w:highlight w:val="white"/>
          <w:lang w:eastAsia="zh-CN"/>
        </w:rPr>
        <w:t>日），</w:t>
      </w:r>
      <w:r>
        <w:rPr>
          <w:rStyle w:val="da"/>
          <w:rFonts w:ascii="宋体" w:hAnsi="Calibri" w:cs="宋体"/>
          <w:szCs w:val="21"/>
          <w:highlight w:val="white"/>
          <w:lang w:eastAsia="zh-CN"/>
        </w:rPr>
        <w:t>n</w:t>
      </w:r>
      <w:r>
        <w:rPr>
          <w:rStyle w:val="da"/>
          <w:rFonts w:ascii="宋体" w:hAnsi="Calibri" w:cs="宋体"/>
          <w:szCs w:val="21"/>
          <w:highlight w:val="white"/>
          <w:lang w:eastAsia="zh-CN"/>
        </w:rPr>
        <w:t>为自然数</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40</w:t>
      </w:r>
      <w:r>
        <w:rPr>
          <w:rStyle w:val="da"/>
          <w:rFonts w:ascii="宋体" w:hAnsi="Calibri" w:cs="宋体"/>
          <w:szCs w:val="21"/>
          <w:highlight w:val="white"/>
          <w:lang w:eastAsia="zh-CN"/>
        </w:rPr>
        <w:t>、开放日：指为投资人办理基金份额申购、赎回或其他业务的工作日</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41</w:t>
      </w:r>
      <w:r>
        <w:rPr>
          <w:rStyle w:val="da"/>
          <w:rFonts w:ascii="宋体" w:hAnsi="Calibri" w:cs="宋体"/>
          <w:szCs w:val="21"/>
          <w:highlight w:val="white"/>
          <w:lang w:eastAsia="zh-CN"/>
        </w:rPr>
        <w:t>、开放时间：指开放日基金接受申购、赎回或其他交易的时间段</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42</w:t>
      </w:r>
      <w:r>
        <w:rPr>
          <w:rStyle w:val="da"/>
          <w:rFonts w:ascii="宋体" w:hAnsi="Calibri" w:cs="宋体"/>
          <w:szCs w:val="21"/>
          <w:highlight w:val="white"/>
          <w:lang w:eastAsia="zh-CN"/>
        </w:rPr>
        <w:t>、《业务规则》：指《易方达基金管理有限公司开放式基金业务规</w:t>
      </w:r>
      <w:r>
        <w:rPr>
          <w:rStyle w:val="da"/>
          <w:rFonts w:ascii="宋体" w:hAnsi="Calibri" w:cs="宋体"/>
          <w:szCs w:val="21"/>
          <w:highlight w:val="white"/>
          <w:lang w:eastAsia="zh-CN"/>
        </w:rPr>
        <w:t>则》，是规范基金管理人所管理的开放式证券投资基金登记方面的业务规则，由基金管理人和投资人共同遵守</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43</w:t>
      </w:r>
      <w:r>
        <w:rPr>
          <w:rStyle w:val="da"/>
          <w:rFonts w:ascii="宋体" w:hAnsi="Calibri" w:cs="宋体"/>
          <w:szCs w:val="21"/>
          <w:highlight w:val="white"/>
          <w:lang w:eastAsia="zh-CN"/>
        </w:rPr>
        <w:t>、认购：指在基金募集期内，投资人根据基金合同和招募说明书的规定申请购买基金份额的行为</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44</w:t>
      </w:r>
      <w:r>
        <w:rPr>
          <w:rStyle w:val="da"/>
          <w:rFonts w:ascii="宋体" w:hAnsi="Calibri" w:cs="宋体"/>
          <w:szCs w:val="21"/>
          <w:highlight w:val="white"/>
          <w:lang w:eastAsia="zh-CN"/>
        </w:rPr>
        <w:t>、申购：指基金合同生效后，投资人根据基金合同和招募说明书的规定申请购买基金份额的行为</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45</w:t>
      </w:r>
      <w:r>
        <w:rPr>
          <w:rStyle w:val="da"/>
          <w:rFonts w:ascii="宋体" w:hAnsi="Calibri" w:cs="宋体"/>
          <w:szCs w:val="21"/>
          <w:highlight w:val="white"/>
          <w:lang w:eastAsia="zh-CN"/>
        </w:rPr>
        <w:t>、赎回：指基金合同生效后，基金份额持有人按基金合同和招募说明书规定的条件要求将基金份额兑换为现金的行为</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46</w:t>
      </w:r>
      <w:r>
        <w:rPr>
          <w:rStyle w:val="da"/>
          <w:rFonts w:ascii="宋体" w:hAnsi="Calibri" w:cs="宋体"/>
          <w:szCs w:val="21"/>
          <w:highlight w:val="white"/>
          <w:lang w:eastAsia="zh-CN"/>
        </w:rPr>
        <w:t>、基金转换：指基金份额持有人按照基金合同和基金管理人届时有效公告规定的条件，申请将其持有基金管理人管理的、某一基金的基金份</w:t>
      </w:r>
      <w:r>
        <w:rPr>
          <w:rStyle w:val="da"/>
          <w:rFonts w:ascii="宋体" w:hAnsi="Calibri" w:cs="宋体"/>
          <w:szCs w:val="21"/>
          <w:highlight w:val="white"/>
          <w:lang w:eastAsia="zh-CN"/>
        </w:rPr>
        <w:t>额转换为基金管理人管理的其他基金基金份额的行为</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47</w:t>
      </w:r>
      <w:r>
        <w:rPr>
          <w:rStyle w:val="da"/>
          <w:rFonts w:ascii="宋体" w:hAnsi="Calibri" w:cs="宋体"/>
          <w:szCs w:val="21"/>
          <w:highlight w:val="white"/>
          <w:lang w:eastAsia="zh-CN"/>
        </w:rPr>
        <w:t>、转托管：指基金份额持有人在本基金的不同销售机构之间实施的变更所持基金份额销售机构的操作</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48</w:t>
      </w:r>
      <w:r>
        <w:rPr>
          <w:rStyle w:val="da"/>
          <w:rFonts w:ascii="宋体" w:hAnsi="Calibri" w:cs="宋体"/>
          <w:szCs w:val="21"/>
          <w:highlight w:val="white"/>
          <w:lang w:eastAsia="zh-CN"/>
        </w:rPr>
        <w:t>、定期定额投资计划：指投资人通过有关销售机构提出申请，约定每期申购日、扣款金额及扣款方式，由销售机构于每期约定扣款日在投资人指定银行账户内自动完成扣款及受理基金申购申请的一种投资方式</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49</w:t>
      </w:r>
      <w:r>
        <w:rPr>
          <w:rStyle w:val="da"/>
          <w:rFonts w:ascii="宋体" w:hAnsi="Calibri" w:cs="宋体"/>
          <w:szCs w:val="21"/>
          <w:highlight w:val="white"/>
          <w:lang w:eastAsia="zh-CN"/>
        </w:rPr>
        <w:t>、巨额赎回：指本基金单个开放日，基金净赎回申请（赎回申请份额总数加上基金转换中转出申请份额总数后扣除申购申请份额总数及基金转换中转入申请份额总数后的余额）超过上一开放日基金总份额的</w:t>
      </w:r>
      <w:r>
        <w:rPr>
          <w:rStyle w:val="da"/>
          <w:rFonts w:ascii="宋体" w:hAnsi="Calibri" w:cs="宋体"/>
          <w:szCs w:val="21"/>
          <w:highlight w:val="white"/>
          <w:lang w:eastAsia="zh-CN"/>
        </w:rPr>
        <w:t>10%</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50</w:t>
      </w:r>
      <w:r>
        <w:rPr>
          <w:rStyle w:val="da"/>
          <w:rFonts w:ascii="宋体" w:hAnsi="Calibri" w:cs="宋体"/>
          <w:szCs w:val="21"/>
          <w:highlight w:val="white"/>
          <w:lang w:eastAsia="zh-CN"/>
        </w:rPr>
        <w:t>、元：指人民币元</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51</w:t>
      </w:r>
      <w:r>
        <w:rPr>
          <w:rStyle w:val="da"/>
          <w:rFonts w:ascii="宋体" w:hAnsi="Calibri" w:cs="宋体"/>
          <w:szCs w:val="21"/>
          <w:highlight w:val="white"/>
          <w:lang w:eastAsia="zh-CN"/>
        </w:rPr>
        <w:t>、基金收益：指基金投资所得红利、股息、债券利息、买卖证券价差、银行存款利息、已实现的其他合法收入及因运用基金财产带来的成本和费用的节约</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52</w:t>
      </w:r>
      <w:r>
        <w:rPr>
          <w:rStyle w:val="da"/>
          <w:rFonts w:ascii="宋体" w:hAnsi="Calibri" w:cs="宋体"/>
          <w:szCs w:val="21"/>
          <w:highlight w:val="white"/>
          <w:lang w:eastAsia="zh-CN"/>
        </w:rPr>
        <w:t>、基金资产总值：指基金拥有的目标</w:t>
      </w:r>
      <w:r>
        <w:rPr>
          <w:rStyle w:val="da"/>
          <w:rFonts w:ascii="宋体" w:hAnsi="Calibri" w:cs="宋体"/>
          <w:szCs w:val="21"/>
          <w:highlight w:val="white"/>
          <w:lang w:eastAsia="zh-CN"/>
        </w:rPr>
        <w:t>ETF</w:t>
      </w:r>
      <w:r>
        <w:rPr>
          <w:rStyle w:val="da"/>
          <w:rFonts w:ascii="宋体" w:hAnsi="Calibri" w:cs="宋体"/>
          <w:szCs w:val="21"/>
          <w:highlight w:val="white"/>
          <w:lang w:eastAsia="zh-CN"/>
        </w:rPr>
        <w:t>基金份额、各类有价证券、银行存款本息、基金应收申购款及其他资产的价值总和</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53</w:t>
      </w:r>
      <w:r>
        <w:rPr>
          <w:rStyle w:val="da"/>
          <w:rFonts w:ascii="宋体" w:hAnsi="Calibri" w:cs="宋体"/>
          <w:szCs w:val="21"/>
          <w:highlight w:val="white"/>
          <w:lang w:eastAsia="zh-CN"/>
        </w:rPr>
        <w:t>、基金资产净值：指基金资产总值减去基金</w:t>
      </w:r>
      <w:r>
        <w:rPr>
          <w:rStyle w:val="da"/>
          <w:rFonts w:ascii="宋体" w:hAnsi="Calibri" w:cs="宋体"/>
          <w:szCs w:val="21"/>
          <w:highlight w:val="white"/>
          <w:lang w:eastAsia="zh-CN"/>
        </w:rPr>
        <w:t>负债后的价值</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54</w:t>
      </w:r>
      <w:r>
        <w:rPr>
          <w:rStyle w:val="da"/>
          <w:rFonts w:ascii="宋体" w:hAnsi="Calibri" w:cs="宋体"/>
          <w:szCs w:val="21"/>
          <w:highlight w:val="white"/>
          <w:lang w:eastAsia="zh-CN"/>
        </w:rPr>
        <w:t>、基金份额净值：指计算日基金资产净值除以计算日基金份额总数</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55</w:t>
      </w:r>
      <w:r>
        <w:rPr>
          <w:rStyle w:val="da"/>
          <w:rFonts w:ascii="宋体" w:hAnsi="Calibri" w:cs="宋体"/>
          <w:szCs w:val="21"/>
          <w:highlight w:val="white"/>
          <w:lang w:eastAsia="zh-CN"/>
        </w:rPr>
        <w:t>、基金资产估值：指计算评估基金资产和负债的价值，以确定基金资产净值和基金份额净值的过程</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56</w:t>
      </w:r>
      <w:r>
        <w:rPr>
          <w:rStyle w:val="da"/>
          <w:rFonts w:ascii="宋体" w:hAnsi="Calibri" w:cs="宋体"/>
          <w:szCs w:val="21"/>
          <w:highlight w:val="white"/>
          <w:lang w:eastAsia="zh-CN"/>
        </w:rPr>
        <w:t>、基金份额折算：指基金管理人根据基金运作的需要，在基金资产净值不变的前提下，按照一定比例调整基金份额总额及基金份额净值</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57</w:t>
      </w:r>
      <w:r>
        <w:rPr>
          <w:rStyle w:val="da"/>
          <w:rFonts w:ascii="宋体" w:hAnsi="Calibri" w:cs="宋体"/>
          <w:szCs w:val="21"/>
          <w:highlight w:val="white"/>
          <w:lang w:eastAsia="zh-CN"/>
        </w:rPr>
        <w:t>、规定媒介：指符合中国证监会规定条件的全国性报刊（以下简称规定报刊）及《信息披露办法》规定的互联网网站（以下简称规定网站，包括基金管理人网站、基金托管人网站、中国证监会基金电子披露网站）等媒介</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58</w:t>
      </w:r>
      <w:r>
        <w:rPr>
          <w:rStyle w:val="da"/>
          <w:rFonts w:ascii="宋体" w:hAnsi="Calibri" w:cs="宋体"/>
          <w:szCs w:val="21"/>
          <w:highlight w:val="white"/>
          <w:lang w:eastAsia="zh-CN"/>
        </w:rPr>
        <w:t>、发起式基金：指</w:t>
      </w:r>
      <w:r>
        <w:rPr>
          <w:rStyle w:val="da"/>
          <w:rFonts w:ascii="宋体" w:hAnsi="Calibri" w:cs="宋体"/>
          <w:szCs w:val="21"/>
          <w:highlight w:val="white"/>
          <w:lang w:eastAsia="zh-CN"/>
        </w:rPr>
        <w:t>符合中国证监会有关规定，由基金管理人、基金管理人股东、基金管理人高级管理人员或基金经理等人员承诺认购一定金额并持有一定期限的证券投资基金</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59</w:t>
      </w:r>
      <w:r>
        <w:rPr>
          <w:rStyle w:val="da"/>
          <w:rFonts w:ascii="宋体" w:hAnsi="Calibri" w:cs="宋体"/>
          <w:szCs w:val="21"/>
          <w:highlight w:val="white"/>
          <w:lang w:eastAsia="zh-CN"/>
        </w:rPr>
        <w:t>、发起资金：指用于认购发起式基金且资金来源于基金管理人的股东资金、基金管理人固有资金、基金管理人高级管理人员或基金经理等人员的资金</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60</w:t>
      </w:r>
      <w:r>
        <w:rPr>
          <w:rStyle w:val="da"/>
          <w:rFonts w:ascii="宋体" w:hAnsi="Calibri" w:cs="宋体"/>
          <w:szCs w:val="21"/>
          <w:highlight w:val="white"/>
          <w:lang w:eastAsia="zh-CN"/>
        </w:rPr>
        <w:t>、年度对应日：指某一特定日期在后续日历年度中的对应日期，若该日历年度中不存在对应日期的，则该年度对日为该特定日期在后续日历年度中的对应月度的最后一日。如该年度对日为非工作日的，则顺延至下一个工作日</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61</w:t>
      </w:r>
      <w:r>
        <w:rPr>
          <w:rStyle w:val="da"/>
          <w:rFonts w:ascii="宋体" w:hAnsi="Calibri" w:cs="宋体"/>
          <w:szCs w:val="21"/>
          <w:highlight w:val="white"/>
          <w:lang w:eastAsia="zh-CN"/>
        </w:rPr>
        <w:t>、销售服务费：指从基金财产中计提的，用于本基金市场推广、销售以及基金份额持有人服务的费用</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62</w:t>
      </w:r>
      <w:r>
        <w:rPr>
          <w:rStyle w:val="da"/>
          <w:rFonts w:ascii="宋体" w:hAnsi="Calibri" w:cs="宋体"/>
          <w:szCs w:val="21"/>
          <w:highlight w:val="white"/>
          <w:lang w:eastAsia="zh-CN"/>
        </w:rPr>
        <w:t>、</w:t>
      </w:r>
      <w:r>
        <w:rPr>
          <w:rStyle w:val="da"/>
          <w:rFonts w:ascii="宋体" w:hAnsi="Calibri" w:cs="宋体"/>
          <w:szCs w:val="21"/>
          <w:highlight w:val="white"/>
          <w:lang w:eastAsia="zh-CN"/>
        </w:rPr>
        <w:t>A</w:t>
      </w:r>
      <w:r>
        <w:rPr>
          <w:rStyle w:val="da"/>
          <w:rFonts w:ascii="宋体" w:hAnsi="Calibri" w:cs="宋体"/>
          <w:szCs w:val="21"/>
          <w:highlight w:val="white"/>
          <w:lang w:eastAsia="zh-CN"/>
        </w:rPr>
        <w:t>类基金份额：在投资人认购</w:t>
      </w:r>
      <w:r>
        <w:rPr>
          <w:rStyle w:val="da"/>
          <w:rFonts w:ascii="宋体" w:hAnsi="Calibri" w:cs="宋体"/>
          <w:szCs w:val="21"/>
          <w:highlight w:val="white"/>
          <w:lang w:eastAsia="zh-CN"/>
        </w:rPr>
        <w:t>/</w:t>
      </w:r>
      <w:r>
        <w:rPr>
          <w:rStyle w:val="da"/>
          <w:rFonts w:ascii="宋体" w:hAnsi="Calibri" w:cs="宋体"/>
          <w:szCs w:val="21"/>
          <w:highlight w:val="white"/>
          <w:lang w:eastAsia="zh-CN"/>
        </w:rPr>
        <w:t>申购基金时按规定收取认购</w:t>
      </w:r>
      <w:r>
        <w:rPr>
          <w:rStyle w:val="da"/>
          <w:rFonts w:ascii="宋体" w:hAnsi="Calibri" w:cs="宋体"/>
          <w:szCs w:val="21"/>
          <w:highlight w:val="white"/>
          <w:lang w:eastAsia="zh-CN"/>
        </w:rPr>
        <w:t>/</w:t>
      </w:r>
      <w:r>
        <w:rPr>
          <w:rStyle w:val="da"/>
          <w:rFonts w:ascii="宋体" w:hAnsi="Calibri" w:cs="宋体"/>
          <w:szCs w:val="21"/>
          <w:highlight w:val="white"/>
          <w:lang w:eastAsia="zh-CN"/>
        </w:rPr>
        <w:t>申购费用，并不再从本类别基金资产中计提销售服务费的基金份额，称为</w:t>
      </w:r>
      <w:r>
        <w:rPr>
          <w:rStyle w:val="da"/>
          <w:rFonts w:ascii="宋体" w:hAnsi="Calibri" w:cs="宋体"/>
          <w:szCs w:val="21"/>
          <w:highlight w:val="white"/>
          <w:lang w:eastAsia="zh-CN"/>
        </w:rPr>
        <w:t>A</w:t>
      </w:r>
      <w:r>
        <w:rPr>
          <w:rStyle w:val="da"/>
          <w:rFonts w:ascii="宋体" w:hAnsi="Calibri" w:cs="宋体"/>
          <w:szCs w:val="21"/>
          <w:highlight w:val="white"/>
          <w:lang w:eastAsia="zh-CN"/>
        </w:rPr>
        <w:t>类基金份额</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63</w:t>
      </w:r>
      <w:r>
        <w:rPr>
          <w:rStyle w:val="da"/>
          <w:rFonts w:ascii="宋体" w:hAnsi="Calibri" w:cs="宋体"/>
          <w:szCs w:val="21"/>
          <w:highlight w:val="white"/>
          <w:lang w:eastAsia="zh-CN"/>
        </w:rPr>
        <w:t>、</w:t>
      </w:r>
      <w:r>
        <w:rPr>
          <w:rStyle w:val="da"/>
          <w:rFonts w:ascii="宋体" w:hAnsi="Calibri" w:cs="宋体"/>
          <w:szCs w:val="21"/>
          <w:highlight w:val="white"/>
          <w:lang w:eastAsia="zh-CN"/>
        </w:rPr>
        <w:t>C</w:t>
      </w:r>
      <w:r>
        <w:rPr>
          <w:rStyle w:val="da"/>
          <w:rFonts w:ascii="宋体" w:hAnsi="Calibri" w:cs="宋体"/>
          <w:szCs w:val="21"/>
          <w:highlight w:val="white"/>
          <w:lang w:eastAsia="zh-CN"/>
        </w:rPr>
        <w:t>类基金份额：从本类别基金资产中计提销售服务费并按规定收取或返还，不收取认购</w:t>
      </w:r>
      <w:r>
        <w:rPr>
          <w:rStyle w:val="da"/>
          <w:rFonts w:ascii="宋体" w:hAnsi="Calibri" w:cs="宋体"/>
          <w:szCs w:val="21"/>
          <w:highlight w:val="white"/>
          <w:lang w:eastAsia="zh-CN"/>
        </w:rPr>
        <w:t>/</w:t>
      </w:r>
      <w:r>
        <w:rPr>
          <w:rStyle w:val="da"/>
          <w:rFonts w:ascii="宋体" w:hAnsi="Calibri" w:cs="宋体"/>
          <w:szCs w:val="21"/>
          <w:highlight w:val="white"/>
          <w:lang w:eastAsia="zh-CN"/>
        </w:rPr>
        <w:t>申购费用的基金份额，称为</w:t>
      </w:r>
      <w:r>
        <w:rPr>
          <w:rStyle w:val="da"/>
          <w:rFonts w:ascii="宋体" w:hAnsi="Calibri" w:cs="宋体"/>
          <w:szCs w:val="21"/>
          <w:highlight w:val="white"/>
          <w:lang w:eastAsia="zh-CN"/>
        </w:rPr>
        <w:t>C</w:t>
      </w:r>
      <w:r>
        <w:rPr>
          <w:rStyle w:val="da"/>
          <w:rFonts w:ascii="宋体" w:hAnsi="Calibri" w:cs="宋体"/>
          <w:szCs w:val="21"/>
          <w:highlight w:val="white"/>
          <w:lang w:eastAsia="zh-CN"/>
        </w:rPr>
        <w:t>类基金份额</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64</w:t>
      </w:r>
      <w:r>
        <w:rPr>
          <w:rStyle w:val="da"/>
          <w:rFonts w:ascii="宋体" w:hAnsi="Calibri" w:cs="宋体"/>
          <w:szCs w:val="21"/>
          <w:highlight w:val="white"/>
          <w:lang w:eastAsia="zh-CN"/>
        </w:rPr>
        <w:t>、流动性受限资产：指由于法律法规、监管、合同或操作障碍等原因无法以合理价格予以变现的资产，包括但不限于到期日在</w:t>
      </w:r>
      <w:r>
        <w:rPr>
          <w:rStyle w:val="da"/>
          <w:rFonts w:ascii="宋体" w:hAnsi="Calibri" w:cs="宋体"/>
          <w:szCs w:val="21"/>
          <w:highlight w:val="white"/>
          <w:lang w:eastAsia="zh-CN"/>
        </w:rPr>
        <w:t>10</w:t>
      </w:r>
      <w:r>
        <w:rPr>
          <w:rStyle w:val="da"/>
          <w:rFonts w:ascii="宋体" w:hAnsi="Calibri" w:cs="宋体"/>
          <w:szCs w:val="21"/>
          <w:highlight w:val="white"/>
          <w:lang w:eastAsia="zh-CN"/>
        </w:rPr>
        <w:t>个交易日以上的逆回购与银行定期存款（含协</w:t>
      </w:r>
      <w:r>
        <w:rPr>
          <w:rStyle w:val="da"/>
          <w:rFonts w:ascii="宋体" w:hAnsi="Calibri" w:cs="宋体"/>
          <w:szCs w:val="21"/>
          <w:highlight w:val="white"/>
          <w:lang w:eastAsia="zh-CN"/>
        </w:rPr>
        <w:t>议约定有条件提前支取的银行存款）、停牌股票、流通受限的新股及非公开发行股票、资产支持证券、因发行人债务违约无法进行转让或交易的债券等</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65</w:t>
      </w:r>
      <w:r>
        <w:rPr>
          <w:rStyle w:val="da"/>
          <w:rFonts w:ascii="宋体" w:hAnsi="Calibri" w:cs="宋体"/>
          <w:szCs w:val="21"/>
          <w:highlight w:val="white"/>
          <w:lang w:eastAsia="zh-CN"/>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66</w:t>
      </w:r>
      <w:r>
        <w:rPr>
          <w:rStyle w:val="da"/>
          <w:rFonts w:ascii="宋体" w:hAnsi="Calibri" w:cs="宋体"/>
          <w:szCs w:val="21"/>
          <w:highlight w:val="white"/>
          <w:lang w:eastAsia="zh-CN"/>
        </w:rPr>
        <w:t>、侧袋机制：指将基金投资组合中的特定资产从原有账户分离至一个专门账户进行处置清算，目的在于有效隔离并化解风险，确保投资者得到公平对待，属于流动</w:t>
      </w:r>
      <w:r>
        <w:rPr>
          <w:rStyle w:val="da"/>
          <w:rFonts w:ascii="宋体" w:hAnsi="Calibri" w:cs="宋体"/>
          <w:szCs w:val="21"/>
          <w:highlight w:val="white"/>
          <w:lang w:eastAsia="zh-CN"/>
        </w:rPr>
        <w:t>性风险管理工具。侧袋机制实施期间，原有账户称为主袋账户，专门账户称为侧袋账户</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67</w:t>
      </w:r>
      <w:r>
        <w:rPr>
          <w:rStyle w:val="da"/>
          <w:rFonts w:ascii="宋体" w:hAnsi="Calibri" w:cs="宋体"/>
          <w:szCs w:val="21"/>
          <w:highlight w:val="white"/>
          <w:lang w:eastAsia="zh-CN"/>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68</w:t>
      </w:r>
      <w:r>
        <w:rPr>
          <w:rStyle w:val="da"/>
          <w:rFonts w:ascii="宋体" w:hAnsi="Calibri" w:cs="宋体"/>
          <w:szCs w:val="21"/>
          <w:highlight w:val="white"/>
          <w:lang w:eastAsia="zh-CN"/>
        </w:rPr>
        <w:t>、转融通证券出借业务：指本基金以一定费率通过证券交易所综合业务平台向中国证券金融股份有限公司出借证券，中国证券金融股份有限公司到期归还所借证券及相应权益补偿并支付费用的业务</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69</w:t>
      </w:r>
      <w:r>
        <w:rPr>
          <w:rStyle w:val="da"/>
          <w:rFonts w:ascii="宋体" w:hAnsi="Calibri" w:cs="宋体"/>
          <w:szCs w:val="21"/>
          <w:highlight w:val="white"/>
          <w:lang w:eastAsia="zh-CN"/>
        </w:rPr>
        <w:t>、不可抗力：指基金合同当事人不能</w:t>
      </w:r>
      <w:r>
        <w:rPr>
          <w:rStyle w:val="da"/>
          <w:rFonts w:ascii="宋体" w:hAnsi="Calibri" w:cs="宋体"/>
          <w:szCs w:val="21"/>
          <w:highlight w:val="white"/>
          <w:lang w:eastAsia="zh-CN"/>
        </w:rPr>
        <w:t>预见、不能避免且不能克服的客观事件</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70</w:t>
      </w:r>
      <w:r>
        <w:rPr>
          <w:rStyle w:val="da"/>
          <w:rFonts w:ascii="宋体" w:hAnsi="Calibri" w:cs="宋体" w:hint="eastAsia"/>
          <w:szCs w:val="21"/>
          <w:lang w:eastAsia="zh-CN"/>
        </w:rPr>
        <w:t>、直销机构：指易方达基金管理有限公司</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71</w:t>
      </w:r>
      <w:r>
        <w:rPr>
          <w:rStyle w:val="da"/>
          <w:rFonts w:ascii="宋体" w:hAnsi="Calibri" w:cs="宋体" w:hint="eastAsia"/>
          <w:szCs w:val="21"/>
          <w:lang w:eastAsia="zh-CN"/>
        </w:rPr>
        <w:t>、非直销销售机构：指符合《销售办法》和中国证监会规定的其他条件，取得基金销售业务资格并与基金管理人签订了基金销售服务协议，办理基金销售业务的机构</w:t>
      </w:r>
    </w:p>
    <w:p w:rsidR="004A090B">
      <w:pPr>
        <w:pStyle w:val="1110"/>
        <w:pageBreakBefore w:val="0"/>
        <w:spacing w:before="317" w:after="317" w:line="320" w:lineRule="exact"/>
        <w:ind w:firstLine="640"/>
        <w:rPr>
          <w:rFonts w:ascii="宋体" w:eastAsia="宋体" w:hAnsi="Calibri" w:cs="宋体"/>
          <w:sz w:val="30"/>
          <w:szCs w:val="30"/>
          <w:lang w:eastAsia="zh-CN"/>
        </w:rPr>
      </w:pPr>
      <w:r>
        <w:rPr>
          <w:rFonts w:ascii="宋体" w:eastAsia="宋体" w:hAnsi="Calibri" w:cs="宋体" w:hint="eastAsia"/>
          <w:lang w:eastAsia="zh-CN"/>
        </w:rPr>
        <w:br w:type="column"/>
      </w:r>
      <w:bookmarkStart w:id="4" w:name="_Toc332373446"/>
      <w:bookmarkStart w:id="5" w:name="_Toc129511525"/>
      <w:r>
        <w:rPr>
          <w:rFonts w:ascii="宋体" w:eastAsia="宋体" w:hAnsi="Calibri" w:cs="宋体"/>
          <w:sz w:val="30"/>
          <w:szCs w:val="30"/>
          <w:lang w:eastAsia="zh-CN"/>
        </w:rPr>
        <w:t>第</w:t>
      </w:r>
      <w:r>
        <w:rPr>
          <w:rFonts w:ascii="宋体" w:eastAsia="宋体" w:hAnsi="Calibri" w:cs="宋体" w:hint="eastAsia"/>
          <w:sz w:val="30"/>
          <w:szCs w:val="30"/>
          <w:lang w:eastAsia="zh-CN"/>
        </w:rPr>
        <w:t>三部分</w:t>
      </w:r>
      <w:r>
        <w:rPr>
          <w:rFonts w:ascii="宋体" w:eastAsia="宋体" w:hAnsi="Calibri" w:cs="宋体"/>
          <w:sz w:val="30"/>
          <w:szCs w:val="30"/>
          <w:lang w:eastAsia="zh-CN"/>
        </w:rPr>
        <w:t xml:space="preserve"> </w:t>
      </w:r>
      <w:r>
        <w:rPr>
          <w:rFonts w:ascii="宋体" w:eastAsia="宋体" w:hAnsi="Calibri" w:cs="宋体" w:hint="eastAsia"/>
          <w:sz w:val="30"/>
          <w:szCs w:val="30"/>
          <w:lang w:eastAsia="zh-CN"/>
        </w:rPr>
        <w:t>基金管理人</w:t>
      </w:r>
      <w:bookmarkEnd w:id="4"/>
      <w:bookmarkEnd w:id="5"/>
    </w:p>
    <w:p w:rsidR="004A090B">
      <w:pPr>
        <w:spacing w:line="360" w:lineRule="auto"/>
        <w:ind w:firstLine="420"/>
        <w:rPr>
          <w:rFonts w:ascii="宋体" w:hAnsi="Calibri" w:cs="宋体"/>
          <w:bCs/>
          <w:szCs w:val="21"/>
          <w:lang w:eastAsia="zh-CN"/>
        </w:rPr>
      </w:pPr>
      <w:bookmarkStart w:id="6" w:name="_Toc332373447"/>
      <w:r>
        <w:rPr>
          <w:rFonts w:ascii="宋体" w:hAnsi="Calibri" w:cs="宋体" w:hint="eastAsia"/>
          <w:bCs/>
          <w:szCs w:val="21"/>
          <w:lang w:eastAsia="zh-CN"/>
        </w:rPr>
        <w:t>一、基金管理人基本情况</w:t>
      </w:r>
      <w:bookmarkEnd w:id="6"/>
    </w:p>
    <w:p w:rsidR="004A090B">
      <w:pPr>
        <w:spacing w:line="360" w:lineRule="auto"/>
        <w:ind w:firstLine="420"/>
        <w:rPr>
          <w:rFonts w:ascii="宋体" w:hAnsi="Calibri" w:cs="宋体"/>
          <w:bCs/>
          <w:szCs w:val="21"/>
          <w:lang w:eastAsia="zh-CN"/>
        </w:rPr>
      </w:pPr>
      <w:r>
        <w:rPr>
          <w:rFonts w:ascii="宋体" w:hAnsi="Calibri" w:cs="宋体"/>
          <w:bCs/>
          <w:szCs w:val="21"/>
          <w:lang w:eastAsia="zh-CN"/>
        </w:rPr>
        <w:t>1</w:t>
      </w:r>
      <w:r>
        <w:rPr>
          <w:rFonts w:ascii="宋体" w:hAnsi="Calibri" w:cs="宋体"/>
          <w:bCs/>
          <w:szCs w:val="21"/>
          <w:lang w:eastAsia="zh-CN"/>
        </w:rPr>
        <w:t>、基金管理人：易方达基金管理有限公司</w:t>
      </w:r>
    </w:p>
    <w:p w:rsidR="004A090B">
      <w:pPr>
        <w:spacing w:line="360" w:lineRule="auto"/>
        <w:ind w:firstLine="420"/>
        <w:rPr>
          <w:rFonts w:ascii="宋体" w:hAnsi="Calibri" w:cs="宋体"/>
          <w:bCs/>
          <w:szCs w:val="21"/>
          <w:lang w:eastAsia="zh-CN"/>
        </w:rPr>
      </w:pPr>
      <w:r>
        <w:rPr>
          <w:rFonts w:ascii="宋体" w:hAnsi="Calibri" w:cs="宋体"/>
          <w:bCs/>
          <w:szCs w:val="21"/>
          <w:lang w:eastAsia="zh-CN"/>
        </w:rPr>
        <w:t>注册地址：广东省珠海市横琴新区荣粤道</w:t>
      </w:r>
      <w:r>
        <w:rPr>
          <w:rFonts w:ascii="宋体" w:hAnsi="Calibri" w:cs="宋体"/>
          <w:bCs/>
          <w:szCs w:val="21"/>
          <w:lang w:eastAsia="zh-CN"/>
        </w:rPr>
        <w:t>188</w:t>
      </w:r>
      <w:r>
        <w:rPr>
          <w:rFonts w:ascii="宋体" w:hAnsi="Calibri" w:cs="宋体"/>
          <w:bCs/>
          <w:szCs w:val="21"/>
          <w:lang w:eastAsia="zh-CN"/>
        </w:rPr>
        <w:t>号</w:t>
      </w:r>
      <w:r>
        <w:rPr>
          <w:rFonts w:ascii="宋体" w:hAnsi="Calibri" w:cs="宋体"/>
          <w:bCs/>
          <w:szCs w:val="21"/>
          <w:lang w:eastAsia="zh-CN"/>
        </w:rPr>
        <w:t>6</w:t>
      </w:r>
      <w:r>
        <w:rPr>
          <w:rFonts w:ascii="宋体" w:hAnsi="Calibri" w:cs="宋体"/>
          <w:bCs/>
          <w:szCs w:val="21"/>
          <w:lang w:eastAsia="zh-CN"/>
        </w:rPr>
        <w:t>层</w:t>
      </w:r>
    </w:p>
    <w:p w:rsidR="004A090B">
      <w:pPr>
        <w:spacing w:line="360" w:lineRule="auto"/>
        <w:ind w:firstLine="420"/>
        <w:rPr>
          <w:rFonts w:ascii="宋体" w:hAnsi="Calibri" w:cs="宋体"/>
          <w:bCs/>
          <w:szCs w:val="21"/>
          <w:lang w:eastAsia="zh-CN"/>
        </w:rPr>
      </w:pPr>
      <w:r>
        <w:rPr>
          <w:rFonts w:ascii="宋体" w:hAnsi="Calibri" w:cs="宋体"/>
          <w:bCs/>
          <w:szCs w:val="21"/>
          <w:lang w:eastAsia="zh-CN"/>
        </w:rPr>
        <w:t>办公地址：广东省广州市天河区珠江西路</w:t>
      </w:r>
      <w:r>
        <w:rPr>
          <w:rFonts w:ascii="宋体" w:hAnsi="Calibri" w:cs="宋体"/>
          <w:bCs/>
          <w:szCs w:val="21"/>
          <w:lang w:eastAsia="zh-CN"/>
        </w:rPr>
        <w:t>21</w:t>
      </w:r>
      <w:r>
        <w:rPr>
          <w:rFonts w:ascii="宋体" w:hAnsi="Calibri" w:cs="宋体"/>
          <w:bCs/>
          <w:szCs w:val="21"/>
          <w:lang w:eastAsia="zh-CN"/>
        </w:rPr>
        <w:t>号</w:t>
      </w:r>
      <w:r>
        <w:rPr>
          <w:rFonts w:ascii="宋体" w:hAnsi="Calibri" w:cs="宋体"/>
          <w:bCs/>
          <w:szCs w:val="21"/>
          <w:lang w:eastAsia="zh-CN"/>
        </w:rPr>
        <w:t>52</w:t>
      </w:r>
      <w:r>
        <w:rPr>
          <w:rFonts w:ascii="宋体" w:hAnsi="Calibri" w:cs="宋体"/>
          <w:bCs/>
          <w:szCs w:val="21"/>
          <w:lang w:eastAsia="zh-CN"/>
        </w:rPr>
        <w:t>层；广东省广州市天河区珠江东路</w:t>
      </w:r>
      <w:r>
        <w:rPr>
          <w:rFonts w:ascii="宋体" w:hAnsi="Calibri" w:cs="宋体"/>
          <w:bCs/>
          <w:szCs w:val="21"/>
          <w:lang w:eastAsia="zh-CN"/>
        </w:rPr>
        <w:t>30</w:t>
      </w:r>
      <w:r>
        <w:rPr>
          <w:rFonts w:ascii="宋体" w:hAnsi="Calibri" w:cs="宋体"/>
          <w:bCs/>
          <w:szCs w:val="21"/>
          <w:lang w:eastAsia="zh-CN"/>
        </w:rPr>
        <w:t>号</w:t>
      </w:r>
      <w:r>
        <w:rPr>
          <w:rFonts w:ascii="宋体" w:hAnsi="Calibri" w:cs="宋体"/>
          <w:bCs/>
          <w:szCs w:val="21"/>
          <w:lang w:eastAsia="zh-CN"/>
        </w:rPr>
        <w:t>42</w:t>
      </w:r>
      <w:r>
        <w:rPr>
          <w:rFonts w:ascii="宋体" w:hAnsi="Calibri" w:cs="宋体"/>
          <w:bCs/>
          <w:szCs w:val="21"/>
          <w:lang w:eastAsia="zh-CN"/>
        </w:rPr>
        <w:t>层；广东省珠海市横琴新区荣粤道</w:t>
      </w:r>
      <w:r>
        <w:rPr>
          <w:rFonts w:ascii="宋体" w:hAnsi="Calibri" w:cs="宋体"/>
          <w:bCs/>
          <w:szCs w:val="21"/>
          <w:lang w:eastAsia="zh-CN"/>
        </w:rPr>
        <w:t>188</w:t>
      </w:r>
      <w:r>
        <w:rPr>
          <w:rFonts w:ascii="宋体" w:hAnsi="Calibri" w:cs="宋体"/>
          <w:bCs/>
          <w:szCs w:val="21"/>
          <w:lang w:eastAsia="zh-CN"/>
        </w:rPr>
        <w:t>号</w:t>
      </w:r>
      <w:r>
        <w:rPr>
          <w:rFonts w:ascii="宋体" w:hAnsi="Calibri" w:cs="宋体"/>
          <w:bCs/>
          <w:szCs w:val="21"/>
          <w:lang w:eastAsia="zh-CN"/>
        </w:rPr>
        <w:t>6</w:t>
      </w:r>
      <w:r>
        <w:rPr>
          <w:rFonts w:ascii="宋体" w:hAnsi="Calibri" w:cs="宋体"/>
          <w:bCs/>
          <w:szCs w:val="21"/>
          <w:lang w:eastAsia="zh-CN"/>
        </w:rPr>
        <w:t>层</w:t>
      </w:r>
    </w:p>
    <w:p w:rsidR="004A090B">
      <w:pPr>
        <w:spacing w:line="360" w:lineRule="auto"/>
        <w:ind w:firstLine="420"/>
        <w:rPr>
          <w:rFonts w:ascii="宋体" w:hAnsi="Calibri" w:cs="宋体"/>
          <w:bCs/>
          <w:szCs w:val="21"/>
          <w:lang w:eastAsia="zh-CN"/>
        </w:rPr>
      </w:pPr>
      <w:r>
        <w:rPr>
          <w:rFonts w:ascii="宋体" w:hAnsi="Calibri" w:cs="宋体"/>
          <w:bCs/>
          <w:szCs w:val="21"/>
          <w:lang w:eastAsia="zh-CN"/>
        </w:rPr>
        <w:t>设立日期：</w:t>
      </w:r>
      <w:r>
        <w:rPr>
          <w:rFonts w:ascii="宋体" w:hAnsi="Calibri" w:cs="宋体"/>
          <w:bCs/>
          <w:szCs w:val="21"/>
          <w:lang w:eastAsia="zh-CN"/>
        </w:rPr>
        <w:t>2001</w:t>
      </w:r>
      <w:r>
        <w:rPr>
          <w:rFonts w:ascii="宋体" w:hAnsi="Calibri" w:cs="宋体"/>
          <w:bCs/>
          <w:szCs w:val="21"/>
          <w:lang w:eastAsia="zh-CN"/>
        </w:rPr>
        <w:t>年</w:t>
      </w:r>
      <w:r>
        <w:rPr>
          <w:rFonts w:ascii="宋体" w:hAnsi="Calibri" w:cs="宋体"/>
          <w:bCs/>
          <w:szCs w:val="21"/>
          <w:lang w:eastAsia="zh-CN"/>
        </w:rPr>
        <w:t>4</w:t>
      </w:r>
      <w:r>
        <w:rPr>
          <w:rFonts w:ascii="宋体" w:hAnsi="Calibri" w:cs="宋体"/>
          <w:bCs/>
          <w:szCs w:val="21"/>
          <w:lang w:eastAsia="zh-CN"/>
        </w:rPr>
        <w:t>月</w:t>
      </w:r>
      <w:r>
        <w:rPr>
          <w:rFonts w:ascii="宋体" w:hAnsi="Calibri" w:cs="宋体"/>
          <w:bCs/>
          <w:szCs w:val="21"/>
          <w:lang w:eastAsia="zh-CN"/>
        </w:rPr>
        <w:t>17</w:t>
      </w:r>
      <w:r>
        <w:rPr>
          <w:rFonts w:ascii="宋体" w:hAnsi="Calibri" w:cs="宋体"/>
          <w:bCs/>
          <w:szCs w:val="21"/>
          <w:lang w:eastAsia="zh-CN"/>
        </w:rPr>
        <w:t>日</w:t>
      </w:r>
    </w:p>
    <w:p w:rsidR="004A090B">
      <w:pPr>
        <w:spacing w:line="360" w:lineRule="auto"/>
        <w:ind w:firstLine="420"/>
        <w:rPr>
          <w:rFonts w:ascii="宋体" w:hAnsi="Calibri" w:cs="宋体"/>
          <w:bCs/>
          <w:szCs w:val="21"/>
          <w:lang w:eastAsia="zh-CN"/>
        </w:rPr>
      </w:pPr>
      <w:r>
        <w:rPr>
          <w:rFonts w:ascii="宋体" w:hAnsi="Calibri" w:cs="宋体"/>
          <w:bCs/>
          <w:szCs w:val="21"/>
          <w:lang w:eastAsia="zh-CN"/>
        </w:rPr>
        <w:t>法定代表人：吴欣荣</w:t>
      </w:r>
      <w:r>
        <w:rPr>
          <w:rFonts w:ascii="宋体" w:hAnsi="Calibri" w:cs="宋体"/>
          <w:bCs/>
          <w:szCs w:val="21"/>
          <w:lang w:eastAsia="zh-CN"/>
        </w:rPr>
        <w:t xml:space="preserve"> </w:t>
      </w:r>
    </w:p>
    <w:p w:rsidR="004A090B">
      <w:pPr>
        <w:spacing w:line="360" w:lineRule="auto"/>
        <w:ind w:firstLine="420"/>
        <w:rPr>
          <w:rFonts w:ascii="宋体" w:hAnsi="Calibri" w:cs="宋体"/>
          <w:bCs/>
          <w:szCs w:val="21"/>
          <w:lang w:eastAsia="zh-CN"/>
        </w:rPr>
      </w:pPr>
      <w:r>
        <w:rPr>
          <w:rFonts w:ascii="宋体" w:hAnsi="Calibri" w:cs="宋体"/>
          <w:bCs/>
          <w:szCs w:val="21"/>
          <w:lang w:eastAsia="zh-CN"/>
        </w:rPr>
        <w:t>联系电话：</w:t>
      </w:r>
      <w:r>
        <w:rPr>
          <w:rFonts w:ascii="宋体" w:hAnsi="Calibri" w:cs="宋体"/>
          <w:bCs/>
          <w:szCs w:val="21"/>
          <w:lang w:eastAsia="zh-CN"/>
        </w:rPr>
        <w:t>400 881 8088</w:t>
      </w:r>
    </w:p>
    <w:p w:rsidR="004A090B">
      <w:pPr>
        <w:spacing w:line="360" w:lineRule="auto"/>
        <w:ind w:firstLine="420"/>
        <w:rPr>
          <w:rFonts w:ascii="宋体" w:hAnsi="Calibri" w:cs="宋体"/>
          <w:bCs/>
          <w:szCs w:val="21"/>
          <w:lang w:eastAsia="zh-CN"/>
        </w:rPr>
      </w:pPr>
      <w:r>
        <w:rPr>
          <w:rFonts w:ascii="宋体" w:hAnsi="Calibri" w:cs="宋体"/>
          <w:bCs/>
          <w:szCs w:val="21"/>
          <w:lang w:eastAsia="zh-CN"/>
        </w:rPr>
        <w:t>联系人：李红枫</w:t>
      </w:r>
    </w:p>
    <w:p w:rsidR="004A090B">
      <w:pPr>
        <w:spacing w:line="360" w:lineRule="auto"/>
        <w:ind w:firstLine="420"/>
        <w:rPr>
          <w:rFonts w:ascii="宋体" w:hAnsi="Calibri" w:cs="宋体"/>
          <w:bCs/>
          <w:szCs w:val="21"/>
          <w:lang w:eastAsia="zh-CN"/>
        </w:rPr>
      </w:pPr>
      <w:r>
        <w:rPr>
          <w:rFonts w:ascii="宋体" w:hAnsi="Calibri" w:cs="宋体"/>
          <w:bCs/>
          <w:szCs w:val="21"/>
          <w:lang w:eastAsia="zh-CN"/>
        </w:rPr>
        <w:t>注册资本：</w:t>
      </w:r>
      <w:r>
        <w:rPr>
          <w:rFonts w:ascii="宋体" w:hAnsi="Calibri" w:cs="宋体"/>
          <w:bCs/>
          <w:szCs w:val="21"/>
          <w:lang w:eastAsia="zh-CN"/>
        </w:rPr>
        <w:t>13,244.2</w:t>
      </w:r>
      <w:r>
        <w:rPr>
          <w:rFonts w:ascii="宋体" w:hAnsi="Calibri" w:cs="宋体"/>
          <w:bCs/>
          <w:szCs w:val="21"/>
          <w:lang w:eastAsia="zh-CN"/>
        </w:rPr>
        <w:t>万元人民币</w:t>
      </w:r>
    </w:p>
    <w:p w:rsidR="004A090B">
      <w:pPr>
        <w:spacing w:line="360" w:lineRule="auto"/>
        <w:ind w:firstLine="420"/>
        <w:rPr>
          <w:rFonts w:ascii="宋体" w:hAnsi="Calibri" w:cs="宋体"/>
          <w:bCs/>
          <w:szCs w:val="21"/>
          <w:lang w:eastAsia="zh-CN"/>
        </w:rPr>
      </w:pPr>
      <w:r>
        <w:rPr>
          <w:rFonts w:ascii="宋体" w:hAnsi="Calibri" w:cs="宋体"/>
          <w:bCs/>
          <w:szCs w:val="21"/>
          <w:lang w:eastAsia="zh-CN"/>
        </w:rPr>
        <w:t>批准设立机关及文号：中国证券监督管理委员会，证监基金字</w:t>
      </w:r>
      <w:r>
        <w:rPr>
          <w:rFonts w:ascii="宋体" w:hAnsi="Calibri" w:cs="宋体"/>
          <w:bCs/>
          <w:szCs w:val="21"/>
          <w:lang w:eastAsia="zh-CN"/>
        </w:rPr>
        <w:t>[2001]4</w:t>
      </w:r>
      <w:r>
        <w:rPr>
          <w:rFonts w:ascii="宋体" w:hAnsi="Calibri" w:cs="宋体"/>
          <w:bCs/>
          <w:szCs w:val="21"/>
          <w:lang w:eastAsia="zh-CN"/>
        </w:rPr>
        <w:t>号</w:t>
      </w:r>
    </w:p>
    <w:p w:rsidR="004A090B">
      <w:pPr>
        <w:spacing w:line="360" w:lineRule="auto"/>
        <w:ind w:firstLine="420"/>
        <w:rPr>
          <w:rFonts w:ascii="宋体" w:hAnsi="Calibri" w:cs="宋体"/>
          <w:bCs/>
          <w:szCs w:val="21"/>
          <w:lang w:eastAsia="zh-CN"/>
        </w:rPr>
      </w:pPr>
      <w:r>
        <w:rPr>
          <w:rFonts w:ascii="宋体" w:hAnsi="Calibri" w:cs="宋体"/>
          <w:bCs/>
          <w:szCs w:val="21"/>
          <w:lang w:eastAsia="zh-CN"/>
        </w:rPr>
        <w:t>经营范围：公开募集证券投资基金管理、基金销售、特定客户资产管理</w:t>
      </w:r>
    </w:p>
    <w:p w:rsidR="004A090B">
      <w:pPr>
        <w:spacing w:line="360" w:lineRule="auto"/>
        <w:ind w:firstLine="420"/>
        <w:rPr>
          <w:rFonts w:ascii="宋体" w:hAnsi="Calibri" w:cs="宋体"/>
          <w:bCs/>
          <w:szCs w:val="21"/>
        </w:rPr>
      </w:pPr>
      <w:r>
        <w:rPr>
          <w:rFonts w:ascii="宋体" w:hAnsi="Calibri" w:cs="宋体" w:hint="eastAsia"/>
          <w:bCs/>
          <w:szCs w:val="21"/>
        </w:rPr>
        <w:t>2</w:t>
      </w:r>
      <w:r>
        <w:rPr>
          <w:rFonts w:ascii="宋体" w:hAnsi="Calibri" w:cs="宋体" w:hint="eastAsia"/>
          <w:bCs/>
          <w:szCs w:val="21"/>
        </w:rPr>
        <w:t>、股权结构：</w:t>
      </w: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783"/>
        <w:gridCol w:w="2507"/>
      </w:tblGrid>
      <w:tr>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vAlign w:val="center"/>
          </w:tcPr>
          <w:p w:rsidR="004A090B">
            <w:pPr>
              <w:ind w:firstLine="420"/>
              <w:jc w:val="center"/>
              <w:rPr>
                <w:rFonts w:ascii="宋体" w:hAnsi="宋体"/>
              </w:rPr>
            </w:pPr>
            <w:r>
              <w:rPr>
                <w:rFonts w:ascii="宋体" w:hAnsi="Calibri" w:cs="宋体"/>
                <w:szCs w:val="21"/>
              </w:rPr>
              <w:t>股东名称</w:t>
            </w:r>
          </w:p>
        </w:tc>
        <w:tc>
          <w:tcPr>
            <w:tcW w:w="2507" w:type="dxa"/>
            <w:tcBorders>
              <w:top w:val="single" w:sz="4" w:space="0" w:color="000000"/>
              <w:left w:val="single" w:sz="4" w:space="0" w:color="000000"/>
              <w:bottom w:val="single" w:sz="4" w:space="0" w:color="000000"/>
              <w:right w:val="single" w:sz="4" w:space="0" w:color="000000"/>
            </w:tcBorders>
            <w:vAlign w:val="center"/>
          </w:tcPr>
          <w:p w:rsidR="004A090B">
            <w:pPr>
              <w:ind w:firstLine="420"/>
              <w:jc w:val="center"/>
              <w:rPr>
                <w:rFonts w:ascii="宋体" w:hAnsi="宋体"/>
              </w:rPr>
            </w:pPr>
            <w:r>
              <w:rPr>
                <w:rFonts w:ascii="宋体" w:hAnsi="Calibri" w:cs="宋体"/>
                <w:szCs w:val="21"/>
              </w:rPr>
              <w:t>出资比例</w:t>
            </w:r>
          </w:p>
        </w:tc>
      </w:tr>
      <w:tr>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vAlign w:val="center"/>
          </w:tcPr>
          <w:p w:rsidR="004A090B">
            <w:pPr>
              <w:ind w:firstLine="420"/>
              <w:rPr>
                <w:rFonts w:ascii="宋体" w:hAnsi="宋体"/>
                <w:lang w:eastAsia="zh-CN"/>
              </w:rPr>
            </w:pPr>
            <w:r>
              <w:rPr>
                <w:rFonts w:ascii="宋体" w:hAnsi="Calibri" w:cs="宋体"/>
                <w:szCs w:val="21"/>
                <w:lang w:eastAsia="zh-CN"/>
              </w:rPr>
              <w:t>广东粤财信托有限公司</w:t>
            </w:r>
          </w:p>
        </w:tc>
        <w:tc>
          <w:tcPr>
            <w:tcW w:w="2507" w:type="dxa"/>
            <w:tcBorders>
              <w:top w:val="single" w:sz="4" w:space="0" w:color="000000"/>
              <w:left w:val="single" w:sz="4" w:space="0" w:color="000000"/>
              <w:bottom w:val="single" w:sz="4" w:space="0" w:color="000000"/>
              <w:right w:val="single" w:sz="4" w:space="0" w:color="000000"/>
            </w:tcBorders>
            <w:vAlign w:val="center"/>
          </w:tcPr>
          <w:p w:rsidR="004A090B">
            <w:pPr>
              <w:ind w:firstLine="420"/>
              <w:jc w:val="center"/>
              <w:rPr>
                <w:rFonts w:ascii="宋体" w:hAnsi="宋体"/>
              </w:rPr>
            </w:pPr>
            <w:r>
              <w:rPr>
                <w:rFonts w:ascii="宋体" w:hAnsi="Calibri" w:cs="宋体"/>
                <w:szCs w:val="21"/>
              </w:rPr>
              <w:t>22.6514</w:t>
            </w:r>
            <w:r>
              <w:rPr>
                <w:rFonts w:ascii="宋体" w:hAnsi="Calibri" w:cs="宋体"/>
                <w:szCs w:val="21"/>
              </w:rPr>
              <w:t>％</w:t>
            </w:r>
          </w:p>
        </w:tc>
      </w:tr>
      <w:tr>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vAlign w:val="center"/>
          </w:tcPr>
          <w:p w:rsidR="004A090B">
            <w:pPr>
              <w:ind w:firstLine="420"/>
              <w:rPr>
                <w:rFonts w:ascii="宋体" w:hAnsi="宋体"/>
                <w:lang w:eastAsia="zh-CN"/>
              </w:rPr>
            </w:pPr>
            <w:r>
              <w:rPr>
                <w:rFonts w:ascii="宋体" w:hAnsi="Calibri" w:cs="宋体"/>
                <w:szCs w:val="21"/>
                <w:lang w:eastAsia="zh-CN"/>
              </w:rPr>
              <w:t>广发证券股份有限公司</w:t>
            </w:r>
          </w:p>
        </w:tc>
        <w:tc>
          <w:tcPr>
            <w:tcW w:w="2507" w:type="dxa"/>
            <w:tcBorders>
              <w:top w:val="single" w:sz="4" w:space="0" w:color="000000"/>
              <w:left w:val="single" w:sz="4" w:space="0" w:color="000000"/>
              <w:bottom w:val="single" w:sz="4" w:space="0" w:color="000000"/>
              <w:right w:val="single" w:sz="4" w:space="0" w:color="000000"/>
            </w:tcBorders>
            <w:vAlign w:val="center"/>
          </w:tcPr>
          <w:p w:rsidR="004A090B">
            <w:pPr>
              <w:ind w:firstLine="420"/>
              <w:jc w:val="center"/>
              <w:rPr>
                <w:rFonts w:ascii="宋体" w:hAnsi="宋体"/>
              </w:rPr>
            </w:pPr>
            <w:r>
              <w:rPr>
                <w:rFonts w:ascii="宋体" w:hAnsi="Calibri" w:cs="宋体"/>
                <w:szCs w:val="21"/>
              </w:rPr>
              <w:t>22.6514</w:t>
            </w:r>
            <w:r>
              <w:rPr>
                <w:rFonts w:ascii="宋体" w:hAnsi="Calibri" w:cs="宋体"/>
                <w:szCs w:val="21"/>
              </w:rPr>
              <w:t>％</w:t>
            </w:r>
          </w:p>
        </w:tc>
      </w:tr>
      <w:tr>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vAlign w:val="center"/>
          </w:tcPr>
          <w:p w:rsidR="004A090B">
            <w:pPr>
              <w:ind w:firstLine="420"/>
              <w:rPr>
                <w:rFonts w:ascii="宋体" w:hAnsi="宋体"/>
              </w:rPr>
            </w:pPr>
            <w:r>
              <w:rPr>
                <w:rFonts w:ascii="宋体" w:hAnsi="Calibri" w:cs="宋体"/>
                <w:szCs w:val="21"/>
              </w:rPr>
              <w:t>盈峰集团有限公司</w:t>
            </w:r>
          </w:p>
        </w:tc>
        <w:tc>
          <w:tcPr>
            <w:tcW w:w="2507" w:type="dxa"/>
            <w:tcBorders>
              <w:top w:val="single" w:sz="4" w:space="0" w:color="000000"/>
              <w:left w:val="single" w:sz="4" w:space="0" w:color="000000"/>
              <w:bottom w:val="single" w:sz="4" w:space="0" w:color="000000"/>
              <w:right w:val="single" w:sz="4" w:space="0" w:color="000000"/>
            </w:tcBorders>
            <w:vAlign w:val="center"/>
          </w:tcPr>
          <w:p w:rsidR="004A090B">
            <w:pPr>
              <w:ind w:firstLine="420"/>
              <w:jc w:val="center"/>
              <w:rPr>
                <w:rFonts w:ascii="宋体" w:hAnsi="宋体"/>
              </w:rPr>
            </w:pPr>
            <w:r>
              <w:rPr>
                <w:rFonts w:ascii="宋体" w:hAnsi="Calibri" w:cs="宋体"/>
                <w:szCs w:val="21"/>
              </w:rPr>
              <w:t>22.6514</w:t>
            </w:r>
            <w:r>
              <w:rPr>
                <w:rFonts w:ascii="宋体" w:hAnsi="Calibri" w:cs="宋体"/>
                <w:szCs w:val="21"/>
              </w:rPr>
              <w:t>％</w:t>
            </w:r>
          </w:p>
        </w:tc>
      </w:tr>
      <w:tr>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vAlign w:val="center"/>
          </w:tcPr>
          <w:p w:rsidR="004A090B">
            <w:pPr>
              <w:ind w:firstLine="420"/>
              <w:rPr>
                <w:rFonts w:ascii="宋体" w:hAnsi="宋体"/>
                <w:lang w:eastAsia="zh-CN"/>
              </w:rPr>
            </w:pPr>
            <w:r>
              <w:rPr>
                <w:rFonts w:ascii="宋体" w:hAnsi="Calibri" w:cs="宋体"/>
                <w:szCs w:val="21"/>
                <w:lang w:eastAsia="zh-CN"/>
              </w:rPr>
              <w:t>广东省广晟控股集团有限公司</w:t>
            </w:r>
          </w:p>
        </w:tc>
        <w:tc>
          <w:tcPr>
            <w:tcW w:w="2507" w:type="dxa"/>
            <w:tcBorders>
              <w:top w:val="single" w:sz="4" w:space="0" w:color="000000"/>
              <w:left w:val="single" w:sz="4" w:space="0" w:color="000000"/>
              <w:bottom w:val="single" w:sz="4" w:space="0" w:color="000000"/>
              <w:right w:val="single" w:sz="4" w:space="0" w:color="000000"/>
            </w:tcBorders>
            <w:vAlign w:val="center"/>
          </w:tcPr>
          <w:p w:rsidR="004A090B">
            <w:pPr>
              <w:ind w:firstLine="420"/>
              <w:jc w:val="center"/>
              <w:rPr>
                <w:rFonts w:ascii="宋体" w:hAnsi="宋体"/>
              </w:rPr>
            </w:pPr>
            <w:r>
              <w:rPr>
                <w:rFonts w:ascii="宋体" w:hAnsi="Calibri" w:cs="宋体"/>
                <w:szCs w:val="21"/>
              </w:rPr>
              <w:t>15.1010</w:t>
            </w:r>
            <w:r>
              <w:rPr>
                <w:rFonts w:ascii="宋体" w:hAnsi="Calibri" w:cs="宋体"/>
                <w:szCs w:val="21"/>
              </w:rPr>
              <w:t>％</w:t>
            </w:r>
          </w:p>
        </w:tc>
      </w:tr>
      <w:tr>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vAlign w:val="center"/>
          </w:tcPr>
          <w:p w:rsidR="004A090B">
            <w:pPr>
              <w:ind w:firstLine="420"/>
              <w:rPr>
                <w:rFonts w:ascii="宋体" w:hAnsi="宋体"/>
                <w:lang w:eastAsia="zh-CN"/>
              </w:rPr>
            </w:pPr>
            <w:r>
              <w:rPr>
                <w:rFonts w:ascii="宋体" w:hAnsi="Calibri" w:cs="宋体"/>
                <w:szCs w:val="21"/>
                <w:lang w:eastAsia="zh-CN"/>
              </w:rPr>
              <w:t>广州市广永国有资产经营有限公司</w:t>
            </w:r>
          </w:p>
        </w:tc>
        <w:tc>
          <w:tcPr>
            <w:tcW w:w="2507" w:type="dxa"/>
            <w:tcBorders>
              <w:top w:val="single" w:sz="4" w:space="0" w:color="000000"/>
              <w:left w:val="single" w:sz="4" w:space="0" w:color="000000"/>
              <w:bottom w:val="single" w:sz="4" w:space="0" w:color="000000"/>
              <w:right w:val="single" w:sz="4" w:space="0" w:color="000000"/>
            </w:tcBorders>
            <w:vAlign w:val="center"/>
          </w:tcPr>
          <w:p w:rsidR="004A090B">
            <w:pPr>
              <w:ind w:firstLine="420"/>
              <w:jc w:val="center"/>
              <w:rPr>
                <w:rFonts w:ascii="宋体" w:hAnsi="宋体"/>
              </w:rPr>
            </w:pPr>
            <w:r>
              <w:rPr>
                <w:rFonts w:ascii="宋体" w:hAnsi="Calibri" w:cs="宋体"/>
                <w:szCs w:val="21"/>
              </w:rPr>
              <w:t>7.5505</w:t>
            </w:r>
            <w:r>
              <w:rPr>
                <w:rFonts w:ascii="宋体" w:hAnsi="Calibri" w:cs="宋体"/>
                <w:szCs w:val="21"/>
              </w:rPr>
              <w:t>％</w:t>
            </w:r>
          </w:p>
        </w:tc>
      </w:tr>
      <w:tr>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vAlign w:val="center"/>
          </w:tcPr>
          <w:p w:rsidR="004A090B">
            <w:pPr>
              <w:ind w:firstLine="420"/>
              <w:rPr>
                <w:rFonts w:ascii="宋体" w:hAnsi="宋体"/>
                <w:lang w:eastAsia="zh-CN"/>
              </w:rPr>
            </w:pPr>
            <w:r>
              <w:rPr>
                <w:rFonts w:ascii="宋体" w:hAnsi="Calibri" w:cs="宋体"/>
                <w:szCs w:val="21"/>
                <w:lang w:eastAsia="zh-CN"/>
              </w:rPr>
              <w:t>珠海祺荣宝投资合伙企业（有限合伙）</w:t>
            </w:r>
          </w:p>
        </w:tc>
        <w:tc>
          <w:tcPr>
            <w:tcW w:w="2507" w:type="dxa"/>
            <w:tcBorders>
              <w:top w:val="single" w:sz="4" w:space="0" w:color="000000"/>
              <w:left w:val="single" w:sz="4" w:space="0" w:color="000000"/>
              <w:bottom w:val="single" w:sz="4" w:space="0" w:color="000000"/>
              <w:right w:val="single" w:sz="4" w:space="0" w:color="000000"/>
            </w:tcBorders>
            <w:vAlign w:val="center"/>
          </w:tcPr>
          <w:p w:rsidR="004A090B">
            <w:pPr>
              <w:ind w:firstLine="420"/>
              <w:jc w:val="center"/>
              <w:rPr>
                <w:rFonts w:ascii="宋体" w:hAnsi="宋体"/>
              </w:rPr>
            </w:pPr>
            <w:r>
              <w:rPr>
                <w:rFonts w:ascii="宋体" w:hAnsi="Calibri" w:cs="宋体"/>
                <w:szCs w:val="21"/>
              </w:rPr>
              <w:t>1.5087</w:t>
            </w:r>
            <w:r>
              <w:rPr>
                <w:rFonts w:ascii="宋体" w:hAnsi="Calibri" w:cs="宋体"/>
                <w:szCs w:val="21"/>
              </w:rPr>
              <w:t>％</w:t>
            </w:r>
          </w:p>
        </w:tc>
      </w:tr>
      <w:tr>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tcPr>
          <w:p w:rsidR="004A090B">
            <w:pPr>
              <w:ind w:firstLine="420"/>
              <w:rPr>
                <w:rFonts w:ascii="宋体" w:hAnsi="宋体"/>
                <w:lang w:eastAsia="zh-CN"/>
              </w:rPr>
            </w:pPr>
            <w:r>
              <w:rPr>
                <w:rFonts w:ascii="宋体" w:hAnsi="Calibri" w:cs="宋体"/>
                <w:szCs w:val="21"/>
                <w:lang w:eastAsia="zh-CN"/>
              </w:rPr>
              <w:t>珠海祺泰宝投资合伙企业（有限合伙）</w:t>
            </w:r>
          </w:p>
        </w:tc>
        <w:tc>
          <w:tcPr>
            <w:tcW w:w="2507" w:type="dxa"/>
            <w:tcBorders>
              <w:top w:val="single" w:sz="4" w:space="0" w:color="000000"/>
              <w:left w:val="single" w:sz="4" w:space="0" w:color="000000"/>
              <w:bottom w:val="single" w:sz="4" w:space="0" w:color="000000"/>
              <w:right w:val="single" w:sz="4" w:space="0" w:color="000000"/>
            </w:tcBorders>
            <w:vAlign w:val="center"/>
          </w:tcPr>
          <w:p w:rsidR="004A090B">
            <w:pPr>
              <w:ind w:firstLine="420"/>
              <w:jc w:val="center"/>
              <w:rPr>
                <w:rFonts w:ascii="宋体" w:hAnsi="宋体"/>
              </w:rPr>
            </w:pPr>
            <w:r>
              <w:rPr>
                <w:rFonts w:ascii="宋体" w:hAnsi="Calibri" w:cs="宋体"/>
                <w:szCs w:val="21"/>
              </w:rPr>
              <w:t>1.6205</w:t>
            </w:r>
            <w:r>
              <w:rPr>
                <w:rFonts w:ascii="宋体" w:hAnsi="Calibri" w:cs="宋体"/>
                <w:szCs w:val="21"/>
              </w:rPr>
              <w:t>％</w:t>
            </w:r>
          </w:p>
        </w:tc>
      </w:tr>
      <w:tr>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tcPr>
          <w:p w:rsidR="004A090B">
            <w:pPr>
              <w:ind w:firstLine="420"/>
              <w:rPr>
                <w:rFonts w:ascii="宋体" w:hAnsi="宋体"/>
                <w:lang w:eastAsia="zh-CN"/>
              </w:rPr>
            </w:pPr>
            <w:r>
              <w:rPr>
                <w:rFonts w:ascii="宋体" w:hAnsi="Calibri" w:cs="宋体"/>
                <w:szCs w:val="21"/>
                <w:lang w:eastAsia="zh-CN"/>
              </w:rPr>
              <w:t>珠海祺丰宝投资合伙企业（有限合伙）</w:t>
            </w:r>
          </w:p>
        </w:tc>
        <w:tc>
          <w:tcPr>
            <w:tcW w:w="2507" w:type="dxa"/>
            <w:tcBorders>
              <w:top w:val="single" w:sz="4" w:space="0" w:color="000000"/>
              <w:left w:val="single" w:sz="4" w:space="0" w:color="000000"/>
              <w:bottom w:val="single" w:sz="4" w:space="0" w:color="000000"/>
              <w:right w:val="single" w:sz="4" w:space="0" w:color="000000"/>
            </w:tcBorders>
            <w:vAlign w:val="center"/>
          </w:tcPr>
          <w:p w:rsidR="004A090B">
            <w:pPr>
              <w:ind w:firstLine="420"/>
              <w:jc w:val="center"/>
              <w:rPr>
                <w:rFonts w:ascii="宋体" w:hAnsi="宋体"/>
              </w:rPr>
            </w:pPr>
            <w:r>
              <w:rPr>
                <w:rFonts w:ascii="宋体" w:hAnsi="Calibri" w:cs="宋体"/>
                <w:szCs w:val="21"/>
              </w:rPr>
              <w:t>1.5309</w:t>
            </w:r>
            <w:r>
              <w:rPr>
                <w:rFonts w:ascii="宋体" w:hAnsi="Calibri" w:cs="宋体"/>
                <w:szCs w:val="21"/>
              </w:rPr>
              <w:t>％</w:t>
            </w:r>
          </w:p>
        </w:tc>
      </w:tr>
      <w:tr>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tcPr>
          <w:p w:rsidR="004A090B">
            <w:pPr>
              <w:ind w:firstLine="420"/>
              <w:rPr>
                <w:rFonts w:ascii="宋体" w:hAnsi="宋体"/>
                <w:lang w:eastAsia="zh-CN"/>
              </w:rPr>
            </w:pPr>
            <w:r>
              <w:rPr>
                <w:rFonts w:ascii="宋体" w:hAnsi="Calibri" w:cs="宋体"/>
                <w:szCs w:val="21"/>
                <w:lang w:eastAsia="zh-CN"/>
              </w:rPr>
              <w:t>珠海聚莱康投资合伙企业（有限合伙）</w:t>
            </w:r>
          </w:p>
        </w:tc>
        <w:tc>
          <w:tcPr>
            <w:tcW w:w="2507" w:type="dxa"/>
            <w:tcBorders>
              <w:top w:val="single" w:sz="4" w:space="0" w:color="000000"/>
              <w:left w:val="single" w:sz="4" w:space="0" w:color="000000"/>
              <w:bottom w:val="single" w:sz="4" w:space="0" w:color="000000"/>
              <w:right w:val="single" w:sz="4" w:space="0" w:color="000000"/>
            </w:tcBorders>
            <w:vAlign w:val="center"/>
          </w:tcPr>
          <w:p w:rsidR="004A090B">
            <w:pPr>
              <w:ind w:firstLine="420"/>
              <w:jc w:val="center"/>
              <w:rPr>
                <w:rFonts w:ascii="宋体" w:hAnsi="宋体"/>
              </w:rPr>
            </w:pPr>
            <w:r>
              <w:rPr>
                <w:rFonts w:ascii="宋体" w:hAnsi="Calibri" w:cs="宋体"/>
                <w:szCs w:val="21"/>
              </w:rPr>
              <w:t>1.7558</w:t>
            </w:r>
            <w:r>
              <w:rPr>
                <w:rFonts w:ascii="宋体" w:hAnsi="Calibri" w:cs="宋体"/>
                <w:szCs w:val="21"/>
              </w:rPr>
              <w:t>％</w:t>
            </w:r>
          </w:p>
        </w:tc>
      </w:tr>
      <w:tr>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tcPr>
          <w:p w:rsidR="004A090B">
            <w:pPr>
              <w:ind w:firstLine="420"/>
              <w:rPr>
                <w:rFonts w:ascii="宋体" w:hAnsi="宋体"/>
                <w:lang w:eastAsia="zh-CN"/>
              </w:rPr>
            </w:pPr>
            <w:r>
              <w:rPr>
                <w:rFonts w:ascii="宋体" w:hAnsi="Calibri" w:cs="宋体"/>
                <w:szCs w:val="21"/>
                <w:lang w:eastAsia="zh-CN"/>
              </w:rPr>
              <w:t>珠海聚宁康投资合伙企业（有限合伙）</w:t>
            </w:r>
          </w:p>
        </w:tc>
        <w:tc>
          <w:tcPr>
            <w:tcW w:w="2507" w:type="dxa"/>
            <w:tcBorders>
              <w:top w:val="single" w:sz="4" w:space="0" w:color="000000"/>
              <w:left w:val="single" w:sz="4" w:space="0" w:color="000000"/>
              <w:bottom w:val="single" w:sz="4" w:space="0" w:color="000000"/>
              <w:right w:val="single" w:sz="4" w:space="0" w:color="000000"/>
            </w:tcBorders>
            <w:vAlign w:val="center"/>
          </w:tcPr>
          <w:p w:rsidR="004A090B">
            <w:pPr>
              <w:ind w:firstLine="420"/>
              <w:jc w:val="center"/>
              <w:rPr>
                <w:rFonts w:ascii="宋体" w:hAnsi="宋体"/>
              </w:rPr>
            </w:pPr>
            <w:r>
              <w:rPr>
                <w:rFonts w:ascii="宋体" w:hAnsi="Calibri" w:cs="宋体"/>
                <w:szCs w:val="21"/>
              </w:rPr>
              <w:t>1.4396</w:t>
            </w:r>
            <w:r>
              <w:rPr>
                <w:rFonts w:ascii="宋体" w:hAnsi="Calibri" w:cs="宋体"/>
                <w:szCs w:val="21"/>
              </w:rPr>
              <w:t>％</w:t>
            </w:r>
          </w:p>
        </w:tc>
      </w:tr>
      <w:tr>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tcPr>
          <w:p w:rsidR="004A090B">
            <w:pPr>
              <w:ind w:firstLine="420"/>
              <w:rPr>
                <w:rFonts w:ascii="宋体" w:hAnsi="宋体"/>
                <w:lang w:eastAsia="zh-CN"/>
              </w:rPr>
            </w:pPr>
            <w:r>
              <w:rPr>
                <w:rFonts w:ascii="宋体" w:hAnsi="Calibri" w:cs="宋体"/>
                <w:szCs w:val="21"/>
                <w:lang w:eastAsia="zh-CN"/>
              </w:rPr>
              <w:t>珠海聚弘康投资合伙企业（有限合伙）</w:t>
            </w:r>
          </w:p>
        </w:tc>
        <w:tc>
          <w:tcPr>
            <w:tcW w:w="2507" w:type="dxa"/>
            <w:tcBorders>
              <w:top w:val="single" w:sz="4" w:space="0" w:color="000000"/>
              <w:left w:val="single" w:sz="4" w:space="0" w:color="000000"/>
              <w:bottom w:val="single" w:sz="4" w:space="0" w:color="000000"/>
              <w:right w:val="single" w:sz="4" w:space="0" w:color="000000"/>
            </w:tcBorders>
            <w:vAlign w:val="center"/>
          </w:tcPr>
          <w:p w:rsidR="004A090B">
            <w:pPr>
              <w:ind w:firstLine="420"/>
              <w:jc w:val="center"/>
              <w:rPr>
                <w:rFonts w:ascii="宋体" w:hAnsi="宋体"/>
              </w:rPr>
            </w:pPr>
            <w:r>
              <w:rPr>
                <w:rFonts w:ascii="宋体" w:hAnsi="Calibri" w:cs="宋体"/>
                <w:szCs w:val="21"/>
              </w:rPr>
              <w:t>1.5388</w:t>
            </w:r>
            <w:r>
              <w:rPr>
                <w:rFonts w:ascii="宋体" w:hAnsi="Calibri" w:cs="宋体"/>
                <w:szCs w:val="21"/>
              </w:rPr>
              <w:t>％</w:t>
            </w:r>
          </w:p>
        </w:tc>
      </w:tr>
      <w:tr>
        <w:tblPrEx>
          <w:tblW w:w="8290" w:type="dxa"/>
          <w:jc w:val="center"/>
          <w:tblLayout w:type="fixed"/>
          <w:tblLook w:val="04A0"/>
        </w:tblPrEx>
        <w:trPr>
          <w:jc w:val="center"/>
        </w:trPr>
        <w:tc>
          <w:tcPr>
            <w:tcW w:w="5783" w:type="dxa"/>
            <w:tcBorders>
              <w:top w:val="single" w:sz="4" w:space="0" w:color="000000"/>
              <w:left w:val="single" w:sz="4" w:space="0" w:color="000000"/>
              <w:bottom w:val="single" w:sz="4" w:space="0" w:color="000000"/>
              <w:right w:val="single" w:sz="4" w:space="0" w:color="000000"/>
            </w:tcBorders>
            <w:vAlign w:val="center"/>
          </w:tcPr>
          <w:p w:rsidR="004A090B">
            <w:pPr>
              <w:ind w:firstLine="420"/>
              <w:rPr>
                <w:rFonts w:ascii="宋体" w:hAnsi="宋体"/>
              </w:rPr>
            </w:pPr>
            <w:r>
              <w:rPr>
                <w:rFonts w:ascii="宋体" w:hAnsi="Calibri" w:cs="宋体"/>
                <w:szCs w:val="21"/>
              </w:rPr>
              <w:t>总</w:t>
            </w:r>
            <w:r>
              <w:rPr>
                <w:rFonts w:ascii="宋体" w:hAnsi="Calibri" w:cs="宋体"/>
                <w:szCs w:val="21"/>
              </w:rPr>
              <w:t xml:space="preserve">   </w:t>
            </w:r>
            <w:r>
              <w:rPr>
                <w:rFonts w:ascii="宋体" w:hAnsi="Calibri" w:cs="宋体"/>
                <w:szCs w:val="21"/>
              </w:rPr>
              <w:t>计</w:t>
            </w:r>
          </w:p>
        </w:tc>
        <w:tc>
          <w:tcPr>
            <w:tcW w:w="2507" w:type="dxa"/>
            <w:tcBorders>
              <w:top w:val="single" w:sz="4" w:space="0" w:color="000000"/>
              <w:left w:val="single" w:sz="4" w:space="0" w:color="000000"/>
              <w:bottom w:val="single" w:sz="4" w:space="0" w:color="000000"/>
              <w:right w:val="single" w:sz="4" w:space="0" w:color="000000"/>
            </w:tcBorders>
            <w:vAlign w:val="center"/>
          </w:tcPr>
          <w:p w:rsidR="004A090B">
            <w:pPr>
              <w:ind w:firstLine="420"/>
              <w:jc w:val="center"/>
              <w:rPr>
                <w:rFonts w:ascii="宋体" w:hAnsi="宋体"/>
              </w:rPr>
            </w:pPr>
            <w:r>
              <w:rPr>
                <w:rFonts w:ascii="宋体" w:hAnsi="Calibri" w:cs="宋体"/>
                <w:szCs w:val="21"/>
              </w:rPr>
              <w:t>100</w:t>
            </w:r>
            <w:r>
              <w:rPr>
                <w:rFonts w:ascii="宋体" w:hAnsi="Calibri" w:cs="宋体"/>
                <w:szCs w:val="21"/>
              </w:rPr>
              <w:t>％</w:t>
            </w:r>
          </w:p>
        </w:tc>
      </w:tr>
    </w:tbl>
    <w:p w:rsidR="004A090B"/>
    <w:p w:rsidR="004A090B">
      <w:pPr>
        <w:spacing w:line="360" w:lineRule="auto"/>
        <w:ind w:firstLine="420"/>
        <w:rPr>
          <w:rFonts w:ascii="宋体" w:hAnsi="Calibri" w:cs="宋体"/>
          <w:bCs/>
          <w:szCs w:val="21"/>
        </w:rPr>
      </w:pPr>
      <w:r>
        <w:rPr>
          <w:rFonts w:ascii="宋体" w:hAnsi="Calibri" w:cs="宋体" w:hint="eastAsia"/>
          <w:bCs/>
          <w:szCs w:val="21"/>
        </w:rPr>
        <w:t>二、主要人员情况</w:t>
      </w:r>
    </w:p>
    <w:p w:rsidR="004A090B">
      <w:pPr>
        <w:spacing w:line="360" w:lineRule="auto"/>
        <w:ind w:firstLine="420"/>
        <w:rPr>
          <w:bCs/>
          <w:lang w:eastAsia="zh-CN"/>
        </w:rPr>
      </w:pPr>
      <w:r>
        <w:rPr>
          <w:bCs/>
          <w:lang w:eastAsia="zh-CN"/>
        </w:rPr>
        <w:t>1</w:t>
      </w:r>
      <w:r>
        <w:rPr>
          <w:rFonts w:hint="eastAsia"/>
          <w:bCs/>
          <w:lang w:eastAsia="zh-CN"/>
        </w:rPr>
        <w:t>、董事、监事及高级管理人员</w:t>
      </w:r>
    </w:p>
    <w:p w:rsidR="004B0C13" w:rsidRPr="004B0C13" w:rsidP="004B0C13">
      <w:pPr>
        <w:spacing w:line="360" w:lineRule="auto"/>
        <w:ind w:firstLine="420"/>
        <w:rPr>
          <w:bCs/>
          <w:lang w:eastAsia="zh-CN"/>
        </w:rPr>
      </w:pPr>
      <w:r w:rsidRPr="004B0C13">
        <w:rPr>
          <w:rFonts w:hint="eastAsia"/>
          <w:bCs/>
          <w:lang w:eastAsia="zh-CN"/>
        </w:rPr>
        <w:t>刘晓艳女士，经济学博士。现任易方达基金管理有限公司董事长，广州投资顾问学院管理有限公司董事。曾任广发证券有限责任公司投资理财部副经理、基金经理、基金投资理财部副总经理，易方达基金管理有限公司督察员、监察部总经理、总裁助理、市场总监、副总经理、总经理、副董事长、董事长（联席），易方达资产管理有限公司董事，易方达资产管理（香港）有限公司董事长，易方达国际控股有限公司董事，易方达资产管理（新加坡）有限公司董事长。</w:t>
      </w:r>
    </w:p>
    <w:p w:rsidR="004B0C13" w:rsidRPr="004B0C13" w:rsidP="004B0C13">
      <w:pPr>
        <w:spacing w:line="360" w:lineRule="auto"/>
        <w:ind w:firstLine="420"/>
        <w:rPr>
          <w:bCs/>
          <w:lang w:val="x-none" w:eastAsia="zh-CN"/>
        </w:rPr>
      </w:pPr>
      <w:r w:rsidRPr="004B0C13">
        <w:rPr>
          <w:rFonts w:hint="eastAsia"/>
          <w:bCs/>
          <w:lang w:val="x-none" w:eastAsia="zh-CN"/>
        </w:rPr>
        <w:t>吴欣荣先生，工学硕士。现任易方达基金管理有限公司董事、总经理，易方达资产管理（香港）有限公司董事长，</w:t>
      </w:r>
      <w:r w:rsidRPr="004B0C13">
        <w:rPr>
          <w:rFonts w:hint="eastAsia"/>
          <w:bCs/>
          <w:lang w:val="x-none" w:eastAsia="zh-CN"/>
        </w:rPr>
        <w:t>易方达私募基金管理有限公司董事长。曾任易方达基金管理有限公司研究员、投资管理部经理、基金经理、基金投资部副总经理、研究部副总经理、研究部总经理、基金投资部总经理、总裁助理、公募基金投资部总经理、权益投资总部总经理、权益投资总监、权益投资决策委员会委员、副总经理级高级管理人员、执行总经理，易方达国际控股有限公司董事。</w:t>
      </w:r>
    </w:p>
    <w:p w:rsidR="004B0C13" w:rsidRPr="004B0C13" w:rsidP="004B0C13">
      <w:pPr>
        <w:spacing w:line="360" w:lineRule="auto"/>
        <w:ind w:firstLine="420"/>
        <w:rPr>
          <w:bCs/>
          <w:lang w:eastAsia="zh-CN"/>
        </w:rPr>
      </w:pPr>
      <w:r w:rsidRPr="004B0C13">
        <w:rPr>
          <w:rFonts w:hint="eastAsia"/>
          <w:bCs/>
          <w:lang w:eastAsia="zh-CN"/>
        </w:rPr>
        <w:t>王麒麟先生，管理学、法学学士。现任易方</w:t>
      </w:r>
      <w:r w:rsidRPr="004B0C13">
        <w:rPr>
          <w:rFonts w:hint="eastAsia"/>
          <w:bCs/>
          <w:lang w:val="x-none" w:eastAsia="zh-CN"/>
        </w:rPr>
        <w:t>达基金管理有限公司董事，广东粤财信托有限公司党委副书记、董事、总经理</w:t>
      </w:r>
      <w:r w:rsidRPr="004B0C13">
        <w:rPr>
          <w:rFonts w:hint="eastAsia"/>
          <w:bCs/>
          <w:lang w:eastAsia="zh-CN"/>
        </w:rPr>
        <w:t>。曾任广东粤财投资控股有限公司资产管理部业务员、农业项目部经理助理；广东粤财信托有限公司信托管理二部经理助理、副经理，信托管理部副经理、经理、副总经理，信托管理一部副总经理、总经理，机构业务部总经理；广东粤财金融租赁股份有限公司副总经理、总经理。</w:t>
      </w:r>
    </w:p>
    <w:p w:rsidR="004B0C13" w:rsidRPr="004B0C13" w:rsidP="004B0C13">
      <w:pPr>
        <w:spacing w:line="360" w:lineRule="auto"/>
        <w:ind w:firstLine="420"/>
        <w:rPr>
          <w:bCs/>
          <w:lang w:eastAsia="zh-CN"/>
        </w:rPr>
      </w:pPr>
      <w:r w:rsidRPr="004B0C13">
        <w:rPr>
          <w:rFonts w:hint="eastAsia"/>
          <w:bCs/>
          <w:lang w:eastAsia="zh-CN"/>
        </w:rPr>
        <w:t>徐佑军先生，经济学硕士。现任易方达基金管理有限公司董事，广发证券股份有限公司副总经理。曾任广州交通房地产公司开发部员工，广东珠江投资公司企管部员工，广州证券有限责任公司投资银行部经理，广发证券股份有限公司投资银行部业务经理、湖北总部总经理助理、投资银行部总经理助理</w:t>
      </w:r>
      <w:r w:rsidRPr="004B0C13">
        <w:rPr>
          <w:rFonts w:hint="eastAsia"/>
          <w:bCs/>
          <w:lang w:eastAsia="zh-CN"/>
        </w:rPr>
        <w:t>、投行综合管理部总经理助理、兼并收购部执行董事、董事会办公室总经理、公司董事会秘书、联席公司秘书、证券事务代表、公司合规总监、合规与法律事务部总经理。</w:t>
      </w:r>
    </w:p>
    <w:p w:rsidR="004B0C13" w:rsidRPr="004B0C13" w:rsidP="004B0C13">
      <w:pPr>
        <w:spacing w:line="360" w:lineRule="auto"/>
        <w:ind w:firstLine="420"/>
        <w:rPr>
          <w:bCs/>
          <w:lang w:eastAsia="zh-CN"/>
        </w:rPr>
      </w:pPr>
      <w:r w:rsidRPr="004B0C13">
        <w:rPr>
          <w:rFonts w:hint="eastAsia"/>
          <w:bCs/>
          <w:lang w:eastAsia="zh-CN"/>
        </w:rPr>
        <w:t>邝广雄先生，工商管理硕士。现任易方达基金管理有限公司董事，盈峰集团有限公司董事、执行总裁，顾家家居股份有限公司董事长，盈峰环境科技集团股份有限公司董事，广东盈峰普惠互联小额贷款股份有限公司董事，盈合（深圳）机器人与自动化科技有限公司董事长，广东盈峰材料技术股份有限公司董事长，佛山市盈峰贸易有限公司执行董事兼总经理，宁波盈峰睿和投资管理有限公司执行董事、经理，</w:t>
      </w:r>
      <w:r w:rsidRPr="004B0C13">
        <w:rPr>
          <w:rFonts w:hint="eastAsia"/>
          <w:bCs/>
          <w:lang w:eastAsia="zh-CN"/>
        </w:rPr>
        <w:t>宁波盈峰捭阖文化产业投资有限公司执行董事、经理，宁波盈峰资产管理有限公司执行董事、经理。曾任美的日电集团财务经理，美的美国公司财务经理，美的厨房电器财务总监，美的中央空调财务总监，美的库卡中国合资公司财务总监。</w:t>
      </w:r>
    </w:p>
    <w:p w:rsidR="004B0C13" w:rsidRPr="004B0C13" w:rsidP="004B0C13">
      <w:pPr>
        <w:spacing w:line="360" w:lineRule="auto"/>
        <w:ind w:firstLine="420"/>
        <w:rPr>
          <w:bCs/>
          <w:lang w:val="x-none" w:eastAsia="zh-CN"/>
        </w:rPr>
      </w:pPr>
      <w:r w:rsidRPr="004B0C13">
        <w:rPr>
          <w:rFonts w:hint="eastAsia"/>
          <w:bCs/>
          <w:lang w:eastAsia="zh-CN"/>
        </w:rPr>
        <w:t>范裕先生，工学硕士。现任易方达基金管理有限公司董事，</w:t>
      </w:r>
      <w:r w:rsidRPr="004B0C13">
        <w:rPr>
          <w:rFonts w:hint="eastAsia"/>
          <w:bCs/>
          <w:lang w:val="x-none" w:eastAsia="zh-CN"/>
        </w:rPr>
        <w:t>广东省广晟控股集团有限公司</w:t>
      </w:r>
      <w:r w:rsidRPr="004B0C13">
        <w:rPr>
          <w:rFonts w:hint="eastAsia"/>
          <w:bCs/>
          <w:lang w:eastAsia="zh-CN"/>
        </w:rPr>
        <w:t>资本运营部负责人</w:t>
      </w:r>
      <w:r w:rsidRPr="004B0C13">
        <w:rPr>
          <w:rFonts w:hint="eastAsia"/>
          <w:bCs/>
          <w:lang w:val="x-none" w:eastAsia="zh-CN"/>
        </w:rPr>
        <w:t>。曾任美国摩根大通银行上海分行投行部分析师、香港分行投行部经理；中信证券股份有限公司投行部副总裁；中德证券有限责任公司投行部副总裁；光大理财有限责任公司股票投资部执行总监；平安银行股份有限公司投行部资本市场</w:t>
      </w:r>
      <w:r w:rsidRPr="004B0C13">
        <w:rPr>
          <w:rFonts w:hint="eastAsia"/>
          <w:bCs/>
          <w:lang w:val="x-none" w:eastAsia="zh-CN"/>
        </w:rPr>
        <w:t>室负责人、投行部产品总监；广东省广晟控股集团有限公司资本运营部副部长。</w:t>
      </w:r>
    </w:p>
    <w:p w:rsidR="004B0C13" w:rsidRPr="004B0C13" w:rsidP="004B0C13">
      <w:pPr>
        <w:spacing w:line="360" w:lineRule="auto"/>
        <w:ind w:firstLine="420"/>
        <w:rPr>
          <w:bCs/>
          <w:lang w:eastAsia="zh-CN"/>
        </w:rPr>
      </w:pPr>
      <w:r w:rsidRPr="004B0C13">
        <w:rPr>
          <w:rFonts w:hint="eastAsia"/>
          <w:bCs/>
          <w:lang w:val="x-none" w:eastAsia="zh-CN"/>
        </w:rPr>
        <w:t>王承志先生，法学博士。现任易方达基金管理有限公司独立董事，中山大学法学院副教授、博士生导师，广东省法学会国际法学研究会秘书长，中国国际私法学会理事，</w:t>
      </w:r>
      <w:r w:rsidRPr="004B0C13">
        <w:rPr>
          <w:rFonts w:hint="eastAsia"/>
          <w:bCs/>
          <w:lang w:eastAsia="zh-CN"/>
        </w:rPr>
        <w:t>广东神朗律师事务所兼职律师，深圳市美之高科技股份有限公司独立董事，祥鑫科技股份有限公司独立</w:t>
      </w:r>
      <w:r w:rsidRPr="004B0C13">
        <w:rPr>
          <w:rFonts w:hint="eastAsia"/>
          <w:bCs/>
          <w:lang w:val="x-none" w:eastAsia="zh-CN"/>
        </w:rPr>
        <w:t>董事，广州恒运企业集团股份有限公司独立董事。曾任美国天普大学法学院访问副教</w:t>
      </w:r>
      <w:r w:rsidRPr="004B0C13">
        <w:rPr>
          <w:rFonts w:hint="eastAsia"/>
          <w:bCs/>
          <w:lang w:eastAsia="zh-CN"/>
        </w:rPr>
        <w:t>授，广东凯金新能源科技股份有限公司独立董事，</w:t>
      </w:r>
      <w:r w:rsidRPr="004B0C13">
        <w:rPr>
          <w:rFonts w:hint="eastAsia"/>
          <w:bCs/>
          <w:lang w:val="x-none" w:eastAsia="zh-CN"/>
        </w:rPr>
        <w:t>江苏凯强医学检验有限公司董事，广东茉莉数字科技集团股份有</w:t>
      </w:r>
      <w:r w:rsidRPr="004B0C13">
        <w:rPr>
          <w:rFonts w:hint="eastAsia"/>
          <w:bCs/>
          <w:lang w:eastAsia="zh-CN"/>
        </w:rPr>
        <w:t>限公司独立董事，艾尔玛科技股</w:t>
      </w:r>
      <w:r w:rsidRPr="004B0C13">
        <w:rPr>
          <w:rFonts w:hint="eastAsia"/>
          <w:bCs/>
          <w:lang w:eastAsia="zh-CN"/>
        </w:rPr>
        <w:t>份有限公司独立董事。</w:t>
      </w:r>
    </w:p>
    <w:p w:rsidR="004B0C13" w:rsidRPr="004B0C13" w:rsidP="004B0C13">
      <w:pPr>
        <w:spacing w:line="360" w:lineRule="auto"/>
        <w:ind w:firstLine="420"/>
        <w:rPr>
          <w:bCs/>
          <w:lang w:eastAsia="zh-CN"/>
        </w:rPr>
      </w:pPr>
      <w:r w:rsidRPr="004B0C13">
        <w:rPr>
          <w:rFonts w:hint="eastAsia"/>
          <w:bCs/>
          <w:lang w:eastAsia="zh-CN"/>
        </w:rPr>
        <w:t>高建先生，工学博士。现任易方达基金管理有限公司独立董事，清华大学经济管理学院教授、博士生导师、学术委员会副主任，南通苏锡通控股集团有限公司创业投资决策委员会外聘专家委员。曾任重庆建筑工程学院建筑管理工程系助教、讲师、教研室副主任，清华大学经济管理学院讲师、副教授、技术经济与管理系主任、创新创业与战略系主任、院长助理、副院长、党委书记，山东新北洋信息技术股份有限公司独立董事，中融人寿保险股份有限公司独立董事</w:t>
      </w:r>
      <w:r w:rsidRPr="004B0C13">
        <w:rPr>
          <w:rFonts w:hint="eastAsia"/>
          <w:bCs/>
          <w:lang w:eastAsia="zh-CN"/>
        </w:rPr>
        <w:t>,</w:t>
      </w:r>
      <w:r w:rsidRPr="004B0C13">
        <w:rPr>
          <w:rFonts w:hint="eastAsia"/>
          <w:bCs/>
          <w:lang w:eastAsia="zh-CN"/>
        </w:rPr>
        <w:t>深圳市力合科创股份有限公司独立董事，固生堂控股有限公司非执行董事。</w:t>
      </w:r>
    </w:p>
    <w:p w:rsidR="004B0C13" w:rsidRPr="004B0C13" w:rsidP="004B0C13">
      <w:pPr>
        <w:spacing w:line="360" w:lineRule="auto"/>
        <w:ind w:firstLine="420"/>
        <w:rPr>
          <w:bCs/>
          <w:lang w:val="x-none" w:eastAsia="zh-CN"/>
        </w:rPr>
      </w:pPr>
      <w:r w:rsidRPr="004B0C13">
        <w:rPr>
          <w:rFonts w:hint="eastAsia"/>
          <w:bCs/>
          <w:lang w:eastAsia="zh-CN"/>
        </w:rPr>
        <w:t>刘劲先生，工</w:t>
      </w:r>
      <w:r w:rsidRPr="004B0C13">
        <w:rPr>
          <w:rFonts w:hint="eastAsia"/>
          <w:bCs/>
          <w:lang w:eastAsia="zh-CN"/>
        </w:rPr>
        <w:t>商管理博士。现任易方达基金管理有限公司独立董事，长江商学院会计与金融教授、投资研究中心主任、教授管理委员会主席，闪送必应有限公司独立董事。曾任哥伦比亚大学经济学讲师，加州大学洛杉矶分校安德森管理学院助理教授、副教授、终身教授，长江商学院行政副院长、</w:t>
      </w:r>
      <w:r w:rsidRPr="004B0C13">
        <w:rPr>
          <w:rFonts w:hint="eastAsia"/>
          <w:bCs/>
          <w:lang w:eastAsia="zh-CN"/>
        </w:rPr>
        <w:t>DBA</w:t>
      </w:r>
      <w:r w:rsidRPr="004B0C13">
        <w:rPr>
          <w:rFonts w:hint="eastAsia"/>
          <w:bCs/>
          <w:lang w:eastAsia="zh-CN"/>
        </w:rPr>
        <w:t>项目副院长、创创社区项目发起人兼副院长，云南白药集团股份有限公司独立董事，瑞士银行（中国）有限公司独立董事，秦川机床工具集团股份公司独立董事，浙江红蜻蜓鞋业股份有限公司独立董事，中国天伦燃气控股有限公司独立非执行董事。</w:t>
      </w:r>
    </w:p>
    <w:p w:rsidR="004B0C13" w:rsidRPr="004B0C13" w:rsidP="004B0C13">
      <w:pPr>
        <w:spacing w:line="360" w:lineRule="auto"/>
        <w:ind w:firstLine="420"/>
        <w:rPr>
          <w:bCs/>
          <w:lang w:val="x-none" w:eastAsia="zh-CN"/>
        </w:rPr>
      </w:pPr>
      <w:r w:rsidRPr="004B0C13">
        <w:rPr>
          <w:rFonts w:hint="eastAsia"/>
          <w:bCs/>
          <w:lang w:val="x-none" w:eastAsia="zh-CN"/>
        </w:rPr>
        <w:t>陈能先生，经济学学士。现任易方达基金管</w:t>
      </w:r>
      <w:r w:rsidRPr="004B0C13">
        <w:rPr>
          <w:rFonts w:hint="eastAsia"/>
          <w:bCs/>
          <w:lang w:eastAsia="zh-CN"/>
        </w:rPr>
        <w:t>理有限公司监事会主席，广东粤财投资控股有限公司职工董事、审计部总经理。曾任广东省轻工业品进出口（集团）塑胶公司财务部员工，广州对外经济贸易信托投资公司财务部副经理</w:t>
      </w:r>
      <w:r w:rsidRPr="004B0C13">
        <w:rPr>
          <w:rFonts w:hint="eastAsia"/>
          <w:bCs/>
          <w:lang w:val="x-none" w:eastAsia="zh-CN"/>
        </w:rPr>
        <w:t>，</w:t>
      </w:r>
      <w:r w:rsidRPr="004B0C13">
        <w:rPr>
          <w:rFonts w:hint="eastAsia"/>
          <w:bCs/>
          <w:lang w:eastAsia="zh-CN"/>
        </w:rPr>
        <w:t>广东粤财信托投资公司计划财务部业务经理</w:t>
      </w:r>
      <w:r w:rsidRPr="004B0C13">
        <w:rPr>
          <w:rFonts w:hint="eastAsia"/>
          <w:bCs/>
          <w:lang w:val="x-none" w:eastAsia="zh-CN"/>
        </w:rPr>
        <w:t>，</w:t>
      </w:r>
      <w:r w:rsidRPr="004B0C13">
        <w:rPr>
          <w:rFonts w:hint="eastAsia"/>
          <w:bCs/>
          <w:lang w:eastAsia="zh-CN"/>
        </w:rPr>
        <w:t>广东粤财实业发展公司</w:t>
      </w:r>
      <w:r w:rsidRPr="004B0C13">
        <w:rPr>
          <w:rFonts w:hint="eastAsia"/>
          <w:bCs/>
          <w:lang w:val="x-none" w:eastAsia="zh-CN"/>
        </w:rPr>
        <w:t>财务部经理，</w:t>
      </w:r>
      <w:r w:rsidRPr="004B0C13">
        <w:rPr>
          <w:rFonts w:hint="eastAsia"/>
          <w:bCs/>
          <w:lang w:eastAsia="zh-CN"/>
        </w:rPr>
        <w:t>广东粤财信托有限公司信托财务部副总经理</w:t>
      </w:r>
      <w:r w:rsidRPr="004B0C13">
        <w:rPr>
          <w:rFonts w:hint="eastAsia"/>
          <w:bCs/>
          <w:lang w:val="x-none" w:eastAsia="zh-CN"/>
        </w:rPr>
        <w:t>、财务部总经理、审计部总经理，</w:t>
      </w:r>
      <w:r w:rsidRPr="004B0C13">
        <w:rPr>
          <w:rFonts w:hint="eastAsia"/>
          <w:bCs/>
          <w:lang w:eastAsia="zh-CN"/>
        </w:rPr>
        <w:t>广东粤财投资控股有限公司审计部副总经理（主持工作）</w:t>
      </w:r>
      <w:r w:rsidRPr="004B0C13">
        <w:rPr>
          <w:rFonts w:hint="eastAsia"/>
          <w:bCs/>
          <w:lang w:val="x-none" w:eastAsia="zh-CN"/>
        </w:rPr>
        <w:t>。</w:t>
      </w:r>
    </w:p>
    <w:p w:rsidR="004B0C13" w:rsidRPr="004B0C13" w:rsidP="004B0C13">
      <w:pPr>
        <w:spacing w:line="360" w:lineRule="auto"/>
        <w:ind w:firstLine="420"/>
        <w:rPr>
          <w:bCs/>
          <w:lang w:val="x-none" w:eastAsia="zh-CN"/>
        </w:rPr>
      </w:pPr>
      <w:r w:rsidRPr="004B0C13">
        <w:rPr>
          <w:rFonts w:hint="eastAsia"/>
          <w:bCs/>
          <w:lang w:eastAsia="zh-CN"/>
        </w:rPr>
        <w:t>危勇先生，经济学博士。现任易方达基金管理有限公司监事，广州市广永国有资产经营有限公司董事长，广州广永科技发展有限公司董事长、总经理</w:t>
      </w:r>
      <w:r w:rsidRPr="004B0C13">
        <w:rPr>
          <w:rFonts w:hint="eastAsia"/>
          <w:bCs/>
          <w:lang w:val="x-none" w:eastAsia="zh-CN"/>
        </w:rPr>
        <w:t>。</w:t>
      </w:r>
      <w:r w:rsidRPr="004B0C13">
        <w:rPr>
          <w:rFonts w:hint="eastAsia"/>
          <w:bCs/>
          <w:lang w:eastAsia="zh-CN"/>
        </w:rPr>
        <w:t>曾任中国水利水电第八工</w:t>
      </w:r>
      <w:r w:rsidRPr="004B0C13">
        <w:rPr>
          <w:rFonts w:hint="eastAsia"/>
          <w:bCs/>
          <w:lang w:eastAsia="zh-CN"/>
        </w:rPr>
        <w:t>程局三产实业开发部秘书，中国人民银行广州分行统计研究处干部、货币信贷管理处主任科员、营管部综合处助理调研员，广州金融控股集团有限公司行政办公室主任，广州市广永国有资产经营有限公司总裁，广州金融资产交易中心有限公司董事，广州股权交易中心有限公司董事，广州广永丽都酒店有限公司董事长，万联证券股份有限公司监事，广州广永股权投资基金管理有限公司董事长，广州赛马娱乐总公司董事，广州广永投资管理有限公司董事长，广州银行股份有限公司董事。</w:t>
      </w:r>
    </w:p>
    <w:p w:rsidR="004B0C13" w:rsidRPr="004B0C13" w:rsidP="004B0C13">
      <w:pPr>
        <w:spacing w:line="360" w:lineRule="auto"/>
        <w:ind w:firstLine="420"/>
        <w:rPr>
          <w:bCs/>
          <w:lang w:val="x-none" w:eastAsia="zh-CN"/>
        </w:rPr>
      </w:pPr>
      <w:r w:rsidRPr="004B0C13">
        <w:rPr>
          <w:rFonts w:hint="eastAsia"/>
          <w:bCs/>
          <w:lang w:val="x-none" w:eastAsia="zh-CN"/>
        </w:rPr>
        <w:t>廖智先生，经济学硕士。现任易方达基金管理有限公司</w:t>
      </w:r>
      <w:r w:rsidRPr="004B0C13">
        <w:rPr>
          <w:rFonts w:hint="eastAsia"/>
          <w:bCs/>
          <w:lang w:eastAsia="zh-CN"/>
        </w:rPr>
        <w:t>监事、总裁助理、党群工作部联席总经</w:t>
      </w:r>
      <w:r w:rsidRPr="004B0C13">
        <w:rPr>
          <w:rFonts w:hint="eastAsia"/>
          <w:bCs/>
          <w:lang w:eastAsia="zh-CN"/>
        </w:rPr>
        <w:t>理</w:t>
      </w:r>
      <w:r w:rsidRPr="004B0C13">
        <w:rPr>
          <w:rFonts w:hint="eastAsia"/>
          <w:bCs/>
          <w:lang w:val="x-none" w:eastAsia="zh-CN"/>
        </w:rPr>
        <w:t>，易方达资产管理有限公司监事，易方达私募基金管理有限公司监事，易方达财富管理基金销售（广州）有限公司监事。曾任广东证券股份有限公司基金部主管，易方达基金管理有限公司综合管理部副总经理、人力资源部副总经理、市场部总经理、互联网金融部总经理、综合管理部总经理</w:t>
      </w:r>
      <w:r w:rsidRPr="004B0C13">
        <w:rPr>
          <w:rFonts w:hint="eastAsia"/>
          <w:bCs/>
          <w:lang w:eastAsia="zh-CN"/>
        </w:rPr>
        <w:t>、行政管理部总经理</w:t>
      </w:r>
      <w:r w:rsidRPr="004B0C13">
        <w:rPr>
          <w:rFonts w:hint="eastAsia"/>
          <w:bCs/>
          <w:lang w:val="x-none" w:eastAsia="zh-CN"/>
        </w:rPr>
        <w:t>，广东粤财互联网金融股份有限公司董事。</w:t>
      </w:r>
    </w:p>
    <w:p w:rsidR="004B0C13" w:rsidRPr="004B0C13" w:rsidP="004B0C13">
      <w:pPr>
        <w:spacing w:line="360" w:lineRule="auto"/>
        <w:ind w:firstLine="420"/>
        <w:rPr>
          <w:bCs/>
          <w:lang w:eastAsia="zh-CN"/>
        </w:rPr>
      </w:pPr>
      <w:r w:rsidRPr="004B0C13">
        <w:rPr>
          <w:rFonts w:hint="eastAsia"/>
          <w:bCs/>
          <w:lang w:eastAsia="zh-CN"/>
        </w:rPr>
        <w:t>吴镝先生，经济学硕士。现任易方达基金管理有限公司监事、人力资源部总经理、办公室总经理，</w:t>
      </w:r>
      <w:r w:rsidRPr="004B0C13">
        <w:rPr>
          <w:rFonts w:hint="eastAsia"/>
          <w:bCs/>
          <w:lang w:val="x-none" w:eastAsia="zh-CN"/>
        </w:rPr>
        <w:t>易方达资产管理有限公司董事，易方达私募基金管理有限公司董事，易方达财富管理基金销售（广州）有限公司董事，易方达资</w:t>
      </w:r>
      <w:r w:rsidRPr="004B0C13">
        <w:rPr>
          <w:rFonts w:hint="eastAsia"/>
          <w:bCs/>
          <w:lang w:val="x-none" w:eastAsia="zh-CN"/>
        </w:rPr>
        <w:t>产管理（香港）有限公司董事，易方达资产管理（新加坡）有限公司董事</w:t>
      </w:r>
      <w:r w:rsidRPr="004B0C13">
        <w:rPr>
          <w:rFonts w:hint="eastAsia"/>
          <w:bCs/>
          <w:lang w:eastAsia="zh-CN"/>
        </w:rPr>
        <w:t>。曾任江南证券有限责任公司职员，金鹰基金管理有限公司投资管理部交易员，易方达基金管理有限公司集中交易室交易员、总经理助理、副总经理，研究部总经理助理、副总经理，权益运作支持部总经理。</w:t>
      </w:r>
    </w:p>
    <w:p w:rsidR="004B0C13" w:rsidRPr="004B0C13" w:rsidP="004B0C13">
      <w:pPr>
        <w:spacing w:line="360" w:lineRule="auto"/>
        <w:ind w:firstLine="420"/>
        <w:rPr>
          <w:bCs/>
          <w:lang w:eastAsia="zh-CN"/>
        </w:rPr>
      </w:pPr>
      <w:r w:rsidRPr="004B0C13">
        <w:rPr>
          <w:rFonts w:hint="eastAsia"/>
          <w:bCs/>
          <w:lang w:eastAsia="zh-CN"/>
        </w:rPr>
        <w:t>唐永鹏先生，工学硕士。现任易方达基金管理有限公司监事、智能投研技术部总经理、智能运营技术部总经理，易方达资产管理有限公司董事。曾任易方达基金管理有限公司系统管理工程师，信息技术部总经理助理，技术运营部总经理助理、副总经理，金融科技部总经理，创新研究中心总经理，系统</w:t>
      </w:r>
      <w:r w:rsidRPr="004B0C13">
        <w:rPr>
          <w:rFonts w:hint="eastAsia"/>
          <w:bCs/>
          <w:lang w:eastAsia="zh-CN"/>
        </w:rPr>
        <w:t>研发中心总经理。</w:t>
      </w:r>
    </w:p>
    <w:p w:rsidR="004B0C13" w:rsidRPr="004B0C13" w:rsidP="004B0C13">
      <w:pPr>
        <w:spacing w:line="360" w:lineRule="auto"/>
        <w:ind w:firstLine="420"/>
        <w:rPr>
          <w:bCs/>
          <w:lang w:val="x-none" w:eastAsia="zh-CN"/>
        </w:rPr>
      </w:pPr>
      <w:r w:rsidRPr="004B0C13">
        <w:rPr>
          <w:rFonts w:hint="eastAsia"/>
          <w:bCs/>
          <w:lang w:val="x-none" w:eastAsia="zh-CN"/>
        </w:rPr>
        <w:t>娄利舟女士，工商管理硕士（</w:t>
      </w:r>
      <w:r w:rsidRPr="004B0C13">
        <w:rPr>
          <w:rFonts w:hint="eastAsia"/>
          <w:bCs/>
          <w:lang w:val="x-none" w:eastAsia="zh-CN"/>
        </w:rPr>
        <w:t>EMBA</w:t>
      </w:r>
      <w:r w:rsidRPr="004B0C13">
        <w:rPr>
          <w:rFonts w:hint="eastAsia"/>
          <w:bCs/>
          <w:lang w:val="x-none" w:eastAsia="zh-CN"/>
        </w:rPr>
        <w:t>）、经济学硕士。现任易方达基金管理有限公司副总经理级高级管理人员，易方达私募基金管理有限公司董事，易方达国际控股有限公司董事长，易方达资产管理（香港）有限公司董事。曾任联合证券有限责任公司证券营业部分析师、研究所策略研究员、经纪业务部高级经理，易方达基金管理有限公司销售支持中心经理、市场部总经理助理、市场部副总经理、广州分公司总经理、北京分公司总经理、总裁助理、</w:t>
      </w:r>
      <w:r w:rsidRPr="004B0C13">
        <w:rPr>
          <w:rFonts w:hint="eastAsia"/>
          <w:bCs/>
          <w:lang w:val="x-none" w:eastAsia="zh-CN"/>
        </w:rPr>
        <w:t>FOF</w:t>
      </w:r>
      <w:r w:rsidRPr="004B0C13">
        <w:rPr>
          <w:rFonts w:hint="eastAsia"/>
          <w:bCs/>
          <w:lang w:val="x-none" w:eastAsia="zh-CN"/>
        </w:rPr>
        <w:t>投资决策委员会委员，易方达资产管理有限公司总经理、董事长。</w:t>
      </w:r>
    </w:p>
    <w:p w:rsidR="004B0C13" w:rsidRPr="004B0C13" w:rsidP="004B0C13">
      <w:pPr>
        <w:spacing w:line="360" w:lineRule="auto"/>
        <w:ind w:firstLine="420"/>
        <w:rPr>
          <w:bCs/>
          <w:lang w:val="x-none" w:eastAsia="zh-CN"/>
        </w:rPr>
      </w:pPr>
      <w:r w:rsidRPr="004B0C13">
        <w:rPr>
          <w:rFonts w:hint="eastAsia"/>
          <w:bCs/>
          <w:lang w:val="x-none" w:eastAsia="zh-CN"/>
        </w:rPr>
        <w:t>陈彤先生，经济学博士。现任易方达基金管理有限公司副总经理级高级管理人员，易方达财富管理基金销售（广州）有限公司董事长。曾任中国经济开发信托投资公司成都营业部研发部副经理、交易部经理、研发部经理、证券总部研究部行业研究员，易方达基金管理有限公司市场拓展部主管、基金经理、市场部华东区大区销售经理、市场部总经理助理、南京分公司总经理、成都分公司总经理、上海分公司总经理、总裁助理、市场总监，易方达国际控股有限公司董事。</w:t>
      </w:r>
    </w:p>
    <w:p w:rsidR="004B0C13" w:rsidRPr="004B0C13" w:rsidP="004B0C13">
      <w:pPr>
        <w:spacing w:line="360" w:lineRule="auto"/>
        <w:ind w:firstLine="420"/>
        <w:rPr>
          <w:bCs/>
          <w:lang w:val="x-none" w:eastAsia="zh-CN"/>
        </w:rPr>
      </w:pPr>
      <w:r w:rsidRPr="004B0C13">
        <w:rPr>
          <w:rFonts w:hint="eastAsia"/>
          <w:bCs/>
          <w:lang w:val="x-none" w:eastAsia="zh-CN"/>
        </w:rPr>
        <w:t>范岳先生，工商管理硕士。现任易方达基金管理有限公司副总经理级高级管理人员、</w:t>
      </w:r>
      <w:r w:rsidRPr="004B0C13">
        <w:rPr>
          <w:rFonts w:hint="eastAsia"/>
          <w:bCs/>
          <w:lang w:val="x-none" w:eastAsia="zh-CN"/>
        </w:rPr>
        <w:t>REITs</w:t>
      </w:r>
      <w:r w:rsidRPr="004B0C13">
        <w:rPr>
          <w:rFonts w:hint="eastAsia"/>
          <w:bCs/>
          <w:lang w:val="x-none" w:eastAsia="zh-CN"/>
        </w:rPr>
        <w:t>投资管理委员</w:t>
      </w:r>
      <w:r w:rsidRPr="004B0C13">
        <w:rPr>
          <w:rFonts w:hint="eastAsia"/>
          <w:bCs/>
          <w:lang w:val="x-none" w:eastAsia="zh-CN"/>
        </w:rPr>
        <w:t>会委员，易方达资产管理有限公司董事，易方达财富管理基金销售（广州）有限公司董事，易方达资产管理（香港）有限公司董事。曾任中国工商银行深圳分行国际业务部科员，深圳证券登记结算公司办公室经理、国际部经理，深圳证券交易所北京中心助理主任、上市部副总监、基金债券部副总监、基金管理部总监，易方达资产管理有限公司副董事长。</w:t>
      </w:r>
    </w:p>
    <w:p w:rsidR="004B0C13" w:rsidRPr="004B0C13" w:rsidP="004B0C13">
      <w:pPr>
        <w:spacing w:line="360" w:lineRule="auto"/>
        <w:ind w:firstLine="420"/>
        <w:rPr>
          <w:bCs/>
          <w:lang w:eastAsia="zh-CN"/>
        </w:rPr>
      </w:pPr>
      <w:r w:rsidRPr="004B0C13">
        <w:rPr>
          <w:rFonts w:hint="eastAsia"/>
          <w:bCs/>
          <w:lang w:eastAsia="zh-CN"/>
        </w:rPr>
        <w:t>陈荣女士，经济学博士。现任易方达基金管理有限公司副总经理级高级管理人员，易方达财富管理基金销售（广州）有限公司董事，易方达国际控股有限公司董事，易方达投资基金管理（澳门）股份有限公司董事。曾任中国人</w:t>
      </w:r>
      <w:r w:rsidRPr="004B0C13">
        <w:rPr>
          <w:rFonts w:hint="eastAsia"/>
          <w:bCs/>
          <w:lang w:eastAsia="zh-CN"/>
        </w:rPr>
        <w:t>民银行广州分行统计研究处科员，易方达基金管理有限公司运作支持部经理、核算部总经理助理、核算部副总经理、核算部总经理、投资风险管理部总经理、总裁助理、董事会秘书、公司财务中心主任，易方达资产管理（香港）有限公司董事，易方达私募基金管理有限公司监事，易方达资产管理有限公司监事。</w:t>
      </w:r>
    </w:p>
    <w:p w:rsidR="004B0C13" w:rsidRPr="004B0C13" w:rsidP="004B0C13">
      <w:pPr>
        <w:spacing w:line="360" w:lineRule="auto"/>
        <w:ind w:firstLine="420"/>
        <w:rPr>
          <w:bCs/>
          <w:lang w:eastAsia="zh-CN"/>
        </w:rPr>
      </w:pPr>
      <w:r w:rsidRPr="004B0C13">
        <w:rPr>
          <w:rFonts w:hint="eastAsia"/>
          <w:bCs/>
          <w:lang w:eastAsia="zh-CN"/>
        </w:rPr>
        <w:t>陈丽园女士，管理学硕士、法律硕士。现任易方达基金管理有限公司副总经理级高级管理人员，易方达财富管理基金销售（广州）有限公司董事，易方达国际控股有限公司董事，易方达资产管理（新加坡）有限公司董事，易方达投资基金管理（澳门）股份有限公司董事</w:t>
      </w:r>
      <w:r w:rsidRPr="004B0C13">
        <w:rPr>
          <w:rFonts w:hint="eastAsia"/>
          <w:bCs/>
          <w:lang w:eastAsia="zh-CN"/>
        </w:rPr>
        <w:t>长。曾任易方达基金管理有限公司监察部监察员、总经理助理、副总经理、总经理，监察与合规管理总部总经理兼合规内审部总经理，首席营运官，易方达资产管理有限公司董事，易方达资产管理（香港）有限公司董事。</w:t>
      </w:r>
    </w:p>
    <w:p w:rsidR="004B0C13" w:rsidRPr="004B0C13" w:rsidP="004B0C13">
      <w:pPr>
        <w:spacing w:line="360" w:lineRule="auto"/>
        <w:ind w:firstLine="420"/>
        <w:rPr>
          <w:bCs/>
          <w:lang w:eastAsia="zh-CN"/>
        </w:rPr>
      </w:pPr>
      <w:r w:rsidRPr="004B0C13">
        <w:rPr>
          <w:rFonts w:hint="eastAsia"/>
          <w:bCs/>
          <w:lang w:eastAsia="zh-CN"/>
        </w:rPr>
        <w:t>冯波先生，经济学硕士。现任易方达基金管理有限公司副总经理级高级管理人员、权益投资决策委员会委员。曾任广东发展银行行员，易方达基金管理有限公司市场拓展部研究员、市场拓展部副经理、市场部大区销售经理、北京分公司副总经理、行业研究员、基金经理助理、研究部总经理助理、研究部副总经理、研究部总经理、基金经理。</w:t>
      </w:r>
    </w:p>
    <w:p w:rsidR="004B0C13" w:rsidRPr="004B0C13" w:rsidP="004B0C13">
      <w:pPr>
        <w:spacing w:line="360" w:lineRule="auto"/>
        <w:ind w:firstLine="420"/>
        <w:rPr>
          <w:bCs/>
          <w:lang w:eastAsia="zh-CN"/>
        </w:rPr>
      </w:pPr>
      <w:r w:rsidRPr="004B0C13">
        <w:rPr>
          <w:rFonts w:hint="eastAsia"/>
          <w:bCs/>
          <w:lang w:eastAsia="zh-CN"/>
        </w:rPr>
        <w:t>杨冬梅女士，工</w:t>
      </w:r>
      <w:r w:rsidRPr="004B0C13">
        <w:rPr>
          <w:rFonts w:hint="eastAsia"/>
          <w:bCs/>
          <w:lang w:eastAsia="zh-CN"/>
        </w:rPr>
        <w:t>商管理博士。现任易方达基金管理有限公司副总经理级高级管理人员、董事会秘书，易方达财富管理基金销售（广州）有限公司董事，易方达国际控股有限公司董事，易方达资产管理（新加坡）有限公司董事，易方达投资基金管理（澳门）股份有限公司董事。曾任广发证券有限责任公司投资理财部职员、发展研究中心市场研究部负责人，南方证券股份有限公司研究所高级研究员，招商基金管理有限公司机构理财部高级经理、股票投资部高级经理，易方达基金管理有限公司宣传策划专员、市场部总经理助理、市场部副总经理、全球投资客户部总经理、宣传策划部总经理，易方达</w:t>
      </w:r>
      <w:r w:rsidRPr="004B0C13">
        <w:rPr>
          <w:rFonts w:hint="eastAsia"/>
          <w:bCs/>
          <w:lang w:eastAsia="zh-CN"/>
        </w:rPr>
        <w:t>资产管理（香港）有限公司董事。</w:t>
      </w:r>
    </w:p>
    <w:p w:rsidR="004B0C13" w:rsidRPr="004B0C13" w:rsidP="004B0C13">
      <w:pPr>
        <w:spacing w:line="360" w:lineRule="auto"/>
        <w:ind w:firstLine="420"/>
        <w:rPr>
          <w:bCs/>
          <w:lang w:eastAsia="zh-CN"/>
        </w:rPr>
      </w:pPr>
      <w:r w:rsidRPr="004B0C13">
        <w:rPr>
          <w:rFonts w:hint="eastAsia"/>
          <w:bCs/>
          <w:lang w:eastAsia="zh-CN"/>
        </w:rPr>
        <w:t>刘世军先生，理学硕士。现任易方达基金管理有限公司副总经理级高级管理人员（首席数据与风险监测官）、投资风险管理部总经理。曾任易方达基金管理有限公司金融工程研究员、绩效与风险评估研究员、投资发展部总经理助理、投资风险管理部总经理助理、投资风险管理部副总经理、投资风险管理与数据服务总部总经理。</w:t>
      </w:r>
    </w:p>
    <w:p w:rsidR="004B0C13" w:rsidRPr="004B0C13" w:rsidP="004B0C13">
      <w:pPr>
        <w:spacing w:line="360" w:lineRule="auto"/>
        <w:ind w:firstLine="420"/>
        <w:rPr>
          <w:bCs/>
          <w:lang w:eastAsia="zh-CN"/>
        </w:rPr>
      </w:pPr>
      <w:r w:rsidRPr="004B0C13">
        <w:rPr>
          <w:rFonts w:hint="eastAsia"/>
          <w:bCs/>
          <w:lang w:eastAsia="zh-CN"/>
        </w:rPr>
        <w:t>王玉女士，法学硕士。现任易方达基金管理有限公司督察长、内审稽核部总经理、发展研究中心总经理，易方达财富管理基金销售（广州）有限公司董事，易方达国际控股有限公司董事。曾在北京市国枫律师事务所、</w:t>
      </w:r>
      <w:r w:rsidRPr="004B0C13">
        <w:rPr>
          <w:rFonts w:hint="eastAsia"/>
          <w:bCs/>
          <w:lang w:eastAsia="zh-CN"/>
        </w:rPr>
        <w:t>中国证监会工作，曾任易方达基金管理有限公司公司法律事务部总经理，易方达资产管理有限公司董事。</w:t>
      </w:r>
    </w:p>
    <w:p w:rsidR="004B0C13" w:rsidRPr="004B0C13" w:rsidP="004B0C13">
      <w:pPr>
        <w:spacing w:line="360" w:lineRule="auto"/>
        <w:ind w:firstLine="420"/>
        <w:rPr>
          <w:bCs/>
          <w:lang w:eastAsia="zh-CN"/>
        </w:rPr>
      </w:pPr>
      <w:r w:rsidRPr="004B0C13">
        <w:rPr>
          <w:rFonts w:hint="eastAsia"/>
          <w:bCs/>
          <w:lang w:eastAsia="zh-CN"/>
        </w:rPr>
        <w:t>王骏先生，会计硕士。现任易方达基金管理有限公司副总经理级高级管理人员（首席市场官）、渠道与营销管理部总经理、产品设计与业务创新部总经理。曾在普华永道中天会计师事务所、证监会广东监管局工作，曾任易方达资产管理有限公司副总经理、合规风控负责人、常务副总经理、董事。</w:t>
      </w:r>
    </w:p>
    <w:p w:rsidR="004B0C13" w:rsidRPr="004B0C13" w:rsidP="004B0C13">
      <w:pPr>
        <w:spacing w:line="360" w:lineRule="auto"/>
        <w:ind w:firstLine="420"/>
        <w:rPr>
          <w:bCs/>
          <w:lang w:eastAsia="zh-CN"/>
        </w:rPr>
      </w:pPr>
      <w:r w:rsidRPr="004B0C13">
        <w:rPr>
          <w:rFonts w:hint="eastAsia"/>
          <w:bCs/>
          <w:lang w:eastAsia="zh-CN"/>
        </w:rPr>
        <w:t>刘硕凌先生，工学博士。现任易方达基金管理有限公司首席信息官、前沿科技研究部总经理、</w:t>
      </w:r>
      <w:r w:rsidRPr="004B0C13">
        <w:rPr>
          <w:bCs/>
          <w:lang w:eastAsia="zh-CN"/>
        </w:rPr>
        <w:t>AI</w:t>
      </w:r>
      <w:r w:rsidRPr="004B0C13">
        <w:rPr>
          <w:rFonts w:hint="eastAsia"/>
          <w:bCs/>
          <w:lang w:eastAsia="zh-CN"/>
        </w:rPr>
        <w:t>平台与数据工程部总经理，易方达私募基金管理有限公司董事，易方达资产管理（香港）有限公司董事，易方达投资基金管理（澳门）股份有限公司董事。曾任嘉实基金管理有限公司信息技术部高级项目经理、科技子公司副总经理，天弘基金管理有限公司智能投资部总经理助理，易方达基金管理有限公司金融科技部副总经理、创新研究中心副总经理、系统研发中心副总经理、创新研究中心总经理、智能应用研究部总经理。</w:t>
      </w:r>
    </w:p>
    <w:p w:rsidR="004B0C13" w:rsidRPr="004B0C13" w:rsidP="004B0C13">
      <w:pPr>
        <w:spacing w:line="360" w:lineRule="auto"/>
        <w:ind w:firstLine="420"/>
        <w:rPr>
          <w:bCs/>
          <w:lang w:eastAsia="zh-CN"/>
        </w:rPr>
      </w:pPr>
      <w:r w:rsidRPr="004B0C13">
        <w:rPr>
          <w:rFonts w:hint="eastAsia"/>
          <w:bCs/>
          <w:lang w:eastAsia="zh-CN"/>
        </w:rPr>
        <w:t>付浩先生，经济学硕士。现任易方达基金管理有限公司副总经理级高级管理人员、多资产投资决策委员会委员、</w:t>
      </w:r>
      <w:r w:rsidRPr="004B0C13">
        <w:rPr>
          <w:bCs/>
          <w:lang w:eastAsia="zh-CN"/>
        </w:rPr>
        <w:t>REITs</w:t>
      </w:r>
      <w:r w:rsidRPr="004B0C13">
        <w:rPr>
          <w:rFonts w:hint="eastAsia"/>
          <w:bCs/>
          <w:lang w:eastAsia="zh-CN"/>
        </w:rPr>
        <w:t>投资管理委员会委员。曾任广东</w:t>
      </w:r>
      <w:r w:rsidRPr="004B0C13">
        <w:rPr>
          <w:rFonts w:hint="eastAsia"/>
          <w:bCs/>
          <w:lang w:eastAsia="zh-CN"/>
        </w:rPr>
        <w:t>粤财信托投资有限公司国际金融部职员，湖南证券投资银行总部项目经理，融通基金管理有限公司研究策划部研究员，易方达基金管理有限公司基金经理助理、投资经理、基金经理、权益投资总部副总经理、养老金与专户权益投资部副总经理、公募基金投资部总经理、公司监事、权益投资管理部总经理、权益投资决策委员会委员。</w:t>
      </w:r>
    </w:p>
    <w:p w:rsidR="004A090B">
      <w:pPr>
        <w:spacing w:line="360" w:lineRule="auto"/>
        <w:ind w:firstLine="420"/>
        <w:rPr>
          <w:bCs/>
          <w:lang w:eastAsia="zh-CN"/>
        </w:rPr>
      </w:pPr>
      <w:r w:rsidRPr="004B0C13">
        <w:rPr>
          <w:rFonts w:hint="eastAsia"/>
          <w:bCs/>
          <w:lang w:eastAsia="zh-CN"/>
        </w:rPr>
        <w:t>岳新宇先生，法学硕士。现任易方达基金管理有限公司副总经理级高级管理人员、社保业务部总经理。曾在北京市法制办、中国证监会、腾讯科技（北京）有限公司工作，曾任易方达基金管理有限公司实体经济服务部总经理、机构客户总部联席总经</w:t>
      </w:r>
      <w:r w:rsidRPr="004B0C13">
        <w:rPr>
          <w:rFonts w:hint="eastAsia"/>
          <w:bCs/>
          <w:lang w:eastAsia="zh-CN"/>
        </w:rPr>
        <w:t>理、机构客户部总经理、总裁助理。</w:t>
      </w:r>
    </w:p>
    <w:p w:rsidR="004A090B">
      <w:pPr>
        <w:spacing w:line="360" w:lineRule="auto"/>
        <w:ind w:firstLine="420"/>
        <w:rPr>
          <w:bCs/>
          <w:lang w:eastAsia="zh-CN"/>
        </w:rPr>
      </w:pPr>
      <w:r>
        <w:rPr>
          <w:bCs/>
          <w:lang w:eastAsia="zh-CN"/>
        </w:rPr>
        <w:t>2</w:t>
      </w:r>
      <w:r>
        <w:rPr>
          <w:rFonts w:hint="eastAsia"/>
          <w:bCs/>
          <w:lang w:eastAsia="zh-CN"/>
        </w:rPr>
        <w:t>、基金经理</w:t>
      </w:r>
    </w:p>
    <w:p w:rsidR="005A1FC3">
      <w:pPr>
        <w:spacing w:line="360" w:lineRule="auto"/>
        <w:ind w:firstLine="420"/>
        <w:rPr>
          <w:bCs/>
          <w:lang w:eastAsia="zh-CN"/>
        </w:rPr>
      </w:pPr>
      <w:r>
        <w:rPr>
          <w:rFonts w:hint="eastAsia"/>
          <w:bCs/>
          <w:lang w:eastAsia="zh-CN"/>
        </w:rPr>
        <w:t>张泽峰先生，工学博士，本基金的基金经理。现任易方达基金管理有限公司基金经理、基金经理助理。曾任易方达基金管理有限公司研究员。张泽峰历任基金经理及现任基金经理助理的基金如下：</w:t>
      </w:r>
    </w:p>
    <w:tbl>
      <w:tblPr>
        <w:tblStyle w:val="TableGrid"/>
        <w:tblW w:w="0" w:type="auto"/>
        <w:jc w:val="center"/>
        <w:tblLayout w:type="fixed"/>
        <w:tblLook w:val="04A0"/>
      </w:tblPr>
      <w:tblGrid>
        <w:gridCol w:w="4626"/>
        <w:gridCol w:w="1835"/>
        <w:gridCol w:w="1835"/>
      </w:tblGrid>
      <w:tr>
        <w:tblPrEx>
          <w:tblW w:w="0" w:type="auto"/>
          <w:jc w:val="center"/>
          <w:tblLayout w:type="fixed"/>
          <w:tblLook w:val="04A0"/>
        </w:tblPrEx>
        <w:trPr>
          <w:jc w:val="center"/>
        </w:trPr>
        <w:tc>
          <w:tcPr>
            <w:tcW w:w="4626" w:type="dxa"/>
          </w:tcPr>
          <w:p w:rsidR="005A1FC3">
            <w:r>
              <w:rPr>
                <w:rFonts w:hint="eastAsia"/>
                <w:b/>
                <w:szCs w:val="21"/>
              </w:rPr>
              <w:t>历任基金经理的基金</w:t>
            </w:r>
          </w:p>
        </w:tc>
        <w:tc>
          <w:tcPr>
            <w:tcW w:w="1835" w:type="dxa"/>
          </w:tcPr>
          <w:p w:rsidR="005A1FC3">
            <w:pPr>
              <w:jc w:val="center"/>
            </w:pPr>
            <w:r>
              <w:rPr>
                <w:rFonts w:hint="eastAsia"/>
                <w:b/>
                <w:szCs w:val="21"/>
              </w:rPr>
              <w:t>任职时间</w:t>
            </w:r>
          </w:p>
        </w:tc>
        <w:tc>
          <w:tcPr>
            <w:tcW w:w="1835" w:type="dxa"/>
          </w:tcPr>
          <w:p w:rsidR="005A1FC3">
            <w:pPr>
              <w:jc w:val="center"/>
            </w:pPr>
            <w:r>
              <w:rPr>
                <w:rFonts w:hint="eastAsia"/>
                <w:b/>
                <w:szCs w:val="21"/>
              </w:rPr>
              <w:t>离任时间</w:t>
            </w:r>
          </w:p>
        </w:tc>
      </w:tr>
      <w:tr>
        <w:tblPrEx>
          <w:tblW w:w="0" w:type="auto"/>
          <w:jc w:val="center"/>
          <w:tblLayout w:type="fixed"/>
          <w:tblLook w:val="04A0"/>
        </w:tblPrEx>
        <w:trPr>
          <w:trHeight w:val="360"/>
          <w:jc w:val="center"/>
        </w:trPr>
        <w:tc>
          <w:tcPr>
            <w:tcW w:w="4626" w:type="dxa"/>
          </w:tcPr>
          <w:p w:rsidR="005A1FC3">
            <w:pPr>
              <w:rPr>
                <w:lang w:eastAsia="zh-CN"/>
              </w:rPr>
            </w:pPr>
            <w:r>
              <w:rPr>
                <w:rFonts w:hint="eastAsia"/>
                <w:szCs w:val="21"/>
                <w:lang w:eastAsia="zh-CN"/>
              </w:rPr>
              <w:t>易方达中证港股通互联网</w:t>
            </w:r>
            <w:r>
              <w:rPr>
                <w:rFonts w:hint="eastAsia"/>
                <w:szCs w:val="21"/>
                <w:lang w:eastAsia="zh-CN"/>
              </w:rPr>
              <w:t>ETF</w:t>
            </w:r>
          </w:p>
        </w:tc>
        <w:tc>
          <w:tcPr>
            <w:tcW w:w="1835" w:type="dxa"/>
          </w:tcPr>
          <w:p w:rsidR="005A1FC3">
            <w:pPr>
              <w:rPr>
                <w:lang w:eastAsia="zh-CN"/>
              </w:rPr>
            </w:pPr>
            <w:r>
              <w:rPr>
                <w:rFonts w:hint="eastAsia"/>
                <w:szCs w:val="21"/>
                <w:lang w:eastAsia="zh-CN"/>
              </w:rPr>
              <w:t>2024-11-27</w:t>
            </w:r>
          </w:p>
        </w:tc>
        <w:tc>
          <w:tcPr>
            <w:tcW w:w="1835" w:type="dxa"/>
          </w:tcPr>
          <w:p w:rsidR="005A1FC3">
            <w:pPr>
              <w:rPr>
                <w:lang w:eastAsia="zh-CN"/>
              </w:rPr>
            </w:pPr>
            <w:r>
              <w:rPr>
                <w:rFonts w:hint="eastAsia"/>
                <w:szCs w:val="21"/>
                <w:lang w:eastAsia="zh-CN"/>
              </w:rPr>
              <w:t>-</w:t>
            </w:r>
          </w:p>
        </w:tc>
      </w:tr>
      <w:tr>
        <w:tblPrEx>
          <w:tblW w:w="0" w:type="auto"/>
          <w:jc w:val="center"/>
          <w:tblLayout w:type="fixed"/>
          <w:tblLook w:val="04A0"/>
        </w:tblPrEx>
        <w:trPr>
          <w:trHeight w:val="360"/>
          <w:jc w:val="center"/>
        </w:trPr>
        <w:tc>
          <w:tcPr>
            <w:tcW w:w="4626" w:type="dxa"/>
          </w:tcPr>
          <w:p w:rsidR="005A1FC3">
            <w:pPr>
              <w:rPr>
                <w:lang w:eastAsia="zh-CN"/>
              </w:rPr>
            </w:pPr>
            <w:r>
              <w:rPr>
                <w:rFonts w:hint="eastAsia"/>
                <w:szCs w:val="21"/>
                <w:lang w:eastAsia="zh-CN"/>
              </w:rPr>
              <w:t>易方达中证港股通互联网</w:t>
            </w:r>
            <w:r>
              <w:rPr>
                <w:rFonts w:hint="eastAsia"/>
                <w:szCs w:val="21"/>
                <w:lang w:eastAsia="zh-CN"/>
              </w:rPr>
              <w:t>ETF</w:t>
            </w:r>
            <w:r>
              <w:rPr>
                <w:rFonts w:hint="eastAsia"/>
                <w:szCs w:val="21"/>
                <w:lang w:eastAsia="zh-CN"/>
              </w:rPr>
              <w:t>联接发起式</w:t>
            </w:r>
          </w:p>
        </w:tc>
        <w:tc>
          <w:tcPr>
            <w:tcW w:w="1835" w:type="dxa"/>
          </w:tcPr>
          <w:p w:rsidR="005A1FC3">
            <w:pPr>
              <w:rPr>
                <w:lang w:eastAsia="zh-CN"/>
              </w:rPr>
            </w:pPr>
            <w:r>
              <w:rPr>
                <w:rFonts w:hint="eastAsia"/>
                <w:szCs w:val="21"/>
                <w:lang w:eastAsia="zh-CN"/>
              </w:rPr>
              <w:t>2024-11-27</w:t>
            </w:r>
          </w:p>
        </w:tc>
        <w:tc>
          <w:tcPr>
            <w:tcW w:w="1835" w:type="dxa"/>
          </w:tcPr>
          <w:p w:rsidR="005A1FC3">
            <w:pPr>
              <w:rPr>
                <w:lang w:eastAsia="zh-CN"/>
              </w:rPr>
            </w:pPr>
            <w:r>
              <w:rPr>
                <w:rFonts w:hint="eastAsia"/>
                <w:szCs w:val="21"/>
                <w:lang w:eastAsia="zh-CN"/>
              </w:rPr>
              <w:t>-</w:t>
            </w:r>
          </w:p>
        </w:tc>
      </w:tr>
      <w:tr>
        <w:tblPrEx>
          <w:tblW w:w="0" w:type="auto"/>
          <w:jc w:val="center"/>
          <w:tblLayout w:type="fixed"/>
          <w:tblLook w:val="04A0"/>
        </w:tblPrEx>
        <w:trPr>
          <w:trHeight w:val="360"/>
          <w:jc w:val="center"/>
        </w:trPr>
        <w:tc>
          <w:tcPr>
            <w:tcW w:w="4626" w:type="dxa"/>
          </w:tcPr>
          <w:p w:rsidR="005A1FC3">
            <w:pPr>
              <w:rPr>
                <w:lang w:eastAsia="zh-CN"/>
              </w:rPr>
            </w:pPr>
            <w:r>
              <w:rPr>
                <w:rFonts w:hint="eastAsia"/>
                <w:szCs w:val="21"/>
                <w:lang w:eastAsia="zh-CN"/>
              </w:rPr>
              <w:t>易方达中证长江保护主题</w:t>
            </w:r>
            <w:r>
              <w:rPr>
                <w:rFonts w:hint="eastAsia"/>
                <w:szCs w:val="21"/>
                <w:lang w:eastAsia="zh-CN"/>
              </w:rPr>
              <w:t>ETF</w:t>
            </w:r>
          </w:p>
        </w:tc>
        <w:tc>
          <w:tcPr>
            <w:tcW w:w="1835" w:type="dxa"/>
          </w:tcPr>
          <w:p w:rsidR="005A1FC3">
            <w:pPr>
              <w:rPr>
                <w:lang w:eastAsia="zh-CN"/>
              </w:rPr>
            </w:pPr>
            <w:r>
              <w:rPr>
                <w:rFonts w:hint="eastAsia"/>
                <w:szCs w:val="21"/>
                <w:lang w:eastAsia="zh-CN"/>
              </w:rPr>
              <w:t>2025-04-03</w:t>
            </w:r>
          </w:p>
        </w:tc>
        <w:tc>
          <w:tcPr>
            <w:tcW w:w="1835" w:type="dxa"/>
          </w:tcPr>
          <w:p w:rsidR="005A1FC3">
            <w:pPr>
              <w:rPr>
                <w:lang w:eastAsia="zh-CN"/>
              </w:rPr>
            </w:pPr>
            <w:r>
              <w:rPr>
                <w:rFonts w:hint="eastAsia"/>
                <w:szCs w:val="21"/>
                <w:lang w:eastAsia="zh-CN"/>
              </w:rPr>
              <w:t>-</w:t>
            </w:r>
          </w:p>
        </w:tc>
      </w:tr>
      <w:tr>
        <w:tblPrEx>
          <w:tblW w:w="0" w:type="auto"/>
          <w:jc w:val="center"/>
          <w:tblLayout w:type="fixed"/>
          <w:tblLook w:val="04A0"/>
        </w:tblPrEx>
        <w:trPr>
          <w:trHeight w:val="360"/>
          <w:jc w:val="center"/>
        </w:trPr>
        <w:tc>
          <w:tcPr>
            <w:tcW w:w="4626" w:type="dxa"/>
          </w:tcPr>
          <w:p w:rsidR="005A1FC3">
            <w:pPr>
              <w:rPr>
                <w:lang w:eastAsia="zh-CN"/>
              </w:rPr>
            </w:pPr>
            <w:r>
              <w:rPr>
                <w:rFonts w:hint="eastAsia"/>
                <w:szCs w:val="21"/>
                <w:lang w:eastAsia="zh-CN"/>
              </w:rPr>
              <w:t>易方达国证自由现金流</w:t>
            </w:r>
            <w:r>
              <w:rPr>
                <w:rFonts w:hint="eastAsia"/>
                <w:szCs w:val="21"/>
                <w:lang w:eastAsia="zh-CN"/>
              </w:rPr>
              <w:t>ETF</w:t>
            </w:r>
          </w:p>
        </w:tc>
        <w:tc>
          <w:tcPr>
            <w:tcW w:w="1835" w:type="dxa"/>
          </w:tcPr>
          <w:p w:rsidR="005A1FC3">
            <w:pPr>
              <w:rPr>
                <w:lang w:eastAsia="zh-CN"/>
              </w:rPr>
            </w:pPr>
            <w:r>
              <w:rPr>
                <w:rFonts w:hint="eastAsia"/>
                <w:szCs w:val="21"/>
                <w:lang w:eastAsia="zh-CN"/>
              </w:rPr>
              <w:t>2025-04-09</w:t>
            </w:r>
          </w:p>
        </w:tc>
        <w:tc>
          <w:tcPr>
            <w:tcW w:w="1835" w:type="dxa"/>
          </w:tcPr>
          <w:p w:rsidR="005A1FC3">
            <w:pPr>
              <w:rPr>
                <w:lang w:eastAsia="zh-CN"/>
              </w:rPr>
            </w:pPr>
            <w:r>
              <w:rPr>
                <w:rFonts w:hint="eastAsia"/>
                <w:szCs w:val="21"/>
                <w:lang w:eastAsia="zh-CN"/>
              </w:rPr>
              <w:t>-</w:t>
            </w:r>
          </w:p>
        </w:tc>
      </w:tr>
      <w:tr>
        <w:tblPrEx>
          <w:tblW w:w="0" w:type="auto"/>
          <w:jc w:val="center"/>
          <w:tblLayout w:type="fixed"/>
          <w:tblLook w:val="04A0"/>
        </w:tblPrEx>
        <w:trPr>
          <w:trHeight w:val="360"/>
          <w:jc w:val="center"/>
        </w:trPr>
        <w:tc>
          <w:tcPr>
            <w:tcW w:w="4626" w:type="dxa"/>
          </w:tcPr>
          <w:p w:rsidR="005A1FC3">
            <w:pPr>
              <w:rPr>
                <w:lang w:eastAsia="zh-CN"/>
              </w:rPr>
            </w:pPr>
            <w:r>
              <w:rPr>
                <w:rFonts w:hint="eastAsia"/>
                <w:szCs w:val="21"/>
                <w:lang w:eastAsia="zh-CN"/>
              </w:rPr>
              <w:t>易方达国证通用航空产业</w:t>
            </w:r>
            <w:r>
              <w:rPr>
                <w:rFonts w:hint="eastAsia"/>
                <w:szCs w:val="21"/>
                <w:lang w:eastAsia="zh-CN"/>
              </w:rPr>
              <w:t>ETF</w:t>
            </w:r>
          </w:p>
        </w:tc>
        <w:tc>
          <w:tcPr>
            <w:tcW w:w="1835" w:type="dxa"/>
          </w:tcPr>
          <w:p w:rsidR="005A1FC3">
            <w:pPr>
              <w:rPr>
                <w:lang w:eastAsia="zh-CN"/>
              </w:rPr>
            </w:pPr>
            <w:r>
              <w:rPr>
                <w:rFonts w:hint="eastAsia"/>
                <w:szCs w:val="21"/>
                <w:lang w:eastAsia="zh-CN"/>
              </w:rPr>
              <w:t>2025-07-25</w:t>
            </w:r>
          </w:p>
        </w:tc>
        <w:tc>
          <w:tcPr>
            <w:tcW w:w="1835" w:type="dxa"/>
          </w:tcPr>
          <w:p w:rsidR="005A1FC3">
            <w:pPr>
              <w:rPr>
                <w:lang w:eastAsia="zh-CN"/>
              </w:rPr>
            </w:pPr>
            <w:r>
              <w:rPr>
                <w:rFonts w:hint="eastAsia"/>
                <w:szCs w:val="21"/>
                <w:lang w:eastAsia="zh-CN"/>
              </w:rPr>
              <w:t>-</w:t>
            </w:r>
          </w:p>
        </w:tc>
      </w:tr>
      <w:tr>
        <w:tblPrEx>
          <w:tblW w:w="0" w:type="auto"/>
          <w:jc w:val="center"/>
          <w:tblLayout w:type="fixed"/>
          <w:tblLook w:val="04A0"/>
        </w:tblPrEx>
        <w:trPr>
          <w:trHeight w:val="360"/>
          <w:jc w:val="center"/>
        </w:trPr>
        <w:tc>
          <w:tcPr>
            <w:tcW w:w="4626" w:type="dxa"/>
          </w:tcPr>
          <w:p w:rsidR="005A1FC3">
            <w:pPr>
              <w:rPr>
                <w:lang w:eastAsia="zh-CN"/>
              </w:rPr>
            </w:pPr>
            <w:r>
              <w:rPr>
                <w:rFonts w:hint="eastAsia"/>
                <w:szCs w:val="21"/>
                <w:lang w:eastAsia="zh-CN"/>
              </w:rPr>
              <w:t>易方达上证</w:t>
            </w:r>
            <w:r>
              <w:rPr>
                <w:rFonts w:hint="eastAsia"/>
                <w:szCs w:val="21"/>
                <w:lang w:eastAsia="zh-CN"/>
              </w:rPr>
              <w:t>380ETF</w:t>
            </w:r>
          </w:p>
        </w:tc>
        <w:tc>
          <w:tcPr>
            <w:tcW w:w="1835" w:type="dxa"/>
          </w:tcPr>
          <w:p w:rsidR="005A1FC3">
            <w:pPr>
              <w:rPr>
                <w:lang w:eastAsia="zh-CN"/>
              </w:rPr>
            </w:pPr>
            <w:r>
              <w:rPr>
                <w:rFonts w:hint="eastAsia"/>
                <w:szCs w:val="21"/>
                <w:lang w:eastAsia="zh-CN"/>
              </w:rPr>
              <w:t>2025-09-22</w:t>
            </w:r>
          </w:p>
        </w:tc>
        <w:tc>
          <w:tcPr>
            <w:tcW w:w="1835" w:type="dxa"/>
          </w:tcPr>
          <w:p w:rsidR="005A1FC3">
            <w:pPr>
              <w:rPr>
                <w:lang w:eastAsia="zh-CN"/>
              </w:rPr>
            </w:pPr>
            <w:r>
              <w:rPr>
                <w:rFonts w:hint="eastAsia"/>
                <w:szCs w:val="21"/>
                <w:lang w:eastAsia="zh-CN"/>
              </w:rPr>
              <w:t>-</w:t>
            </w:r>
          </w:p>
        </w:tc>
      </w:tr>
      <w:tr>
        <w:tblPrEx>
          <w:tblW w:w="0" w:type="auto"/>
          <w:jc w:val="center"/>
          <w:tblLayout w:type="fixed"/>
          <w:tblLook w:val="04A0"/>
        </w:tblPrEx>
        <w:trPr>
          <w:trHeight w:val="360"/>
          <w:jc w:val="center"/>
        </w:trPr>
        <w:tc>
          <w:tcPr>
            <w:tcW w:w="4626" w:type="dxa"/>
          </w:tcPr>
          <w:p w:rsidR="005A1FC3">
            <w:pPr>
              <w:rPr>
                <w:lang w:eastAsia="zh-CN"/>
              </w:rPr>
            </w:pPr>
            <w:r>
              <w:rPr>
                <w:rFonts w:hint="eastAsia"/>
                <w:szCs w:val="21"/>
                <w:lang w:eastAsia="zh-CN"/>
              </w:rPr>
              <w:t>易方达上证</w:t>
            </w:r>
            <w:r>
              <w:rPr>
                <w:rFonts w:hint="eastAsia"/>
                <w:szCs w:val="21"/>
                <w:lang w:eastAsia="zh-CN"/>
              </w:rPr>
              <w:t>380ETF</w:t>
            </w:r>
            <w:r>
              <w:rPr>
                <w:rFonts w:hint="eastAsia"/>
                <w:szCs w:val="21"/>
                <w:lang w:eastAsia="zh-CN"/>
              </w:rPr>
              <w:t>联接</w:t>
            </w:r>
          </w:p>
        </w:tc>
        <w:tc>
          <w:tcPr>
            <w:tcW w:w="1835" w:type="dxa"/>
          </w:tcPr>
          <w:p w:rsidR="005A1FC3">
            <w:pPr>
              <w:rPr>
                <w:lang w:eastAsia="zh-CN"/>
              </w:rPr>
            </w:pPr>
            <w:r>
              <w:rPr>
                <w:rFonts w:hint="eastAsia"/>
                <w:szCs w:val="21"/>
                <w:lang w:eastAsia="zh-CN"/>
              </w:rPr>
              <w:t>2025-10-31</w:t>
            </w:r>
          </w:p>
        </w:tc>
        <w:tc>
          <w:tcPr>
            <w:tcW w:w="1835" w:type="dxa"/>
          </w:tcPr>
          <w:p w:rsidR="005A1FC3">
            <w:pPr>
              <w:rPr>
                <w:lang w:eastAsia="zh-CN"/>
              </w:rPr>
            </w:pPr>
            <w:r>
              <w:rPr>
                <w:rFonts w:hint="eastAsia"/>
                <w:szCs w:val="21"/>
                <w:lang w:eastAsia="zh-CN"/>
              </w:rPr>
              <w:t>-</w:t>
            </w:r>
          </w:p>
        </w:tc>
      </w:tr>
      <w:tr>
        <w:tblPrEx>
          <w:tblW w:w="0" w:type="auto"/>
          <w:jc w:val="center"/>
          <w:tblLayout w:type="fixed"/>
          <w:tblLook w:val="04A0"/>
        </w:tblPrEx>
        <w:trPr>
          <w:trHeight w:val="360"/>
          <w:jc w:val="center"/>
        </w:trPr>
        <w:tc>
          <w:tcPr>
            <w:tcW w:w="4626" w:type="dxa"/>
          </w:tcPr>
          <w:p w:rsidR="005A1FC3">
            <w:pPr>
              <w:rPr>
                <w:lang w:eastAsia="zh-CN"/>
              </w:rPr>
            </w:pPr>
            <w:r>
              <w:rPr>
                <w:rFonts w:hint="eastAsia"/>
                <w:szCs w:val="21"/>
                <w:lang w:eastAsia="zh-CN"/>
              </w:rPr>
              <w:t>易方达中证卫星产业</w:t>
            </w:r>
            <w:r>
              <w:rPr>
                <w:rFonts w:hint="eastAsia"/>
                <w:szCs w:val="21"/>
                <w:lang w:eastAsia="zh-CN"/>
              </w:rPr>
              <w:t>ETF</w:t>
            </w:r>
          </w:p>
        </w:tc>
        <w:tc>
          <w:tcPr>
            <w:tcW w:w="1835" w:type="dxa"/>
          </w:tcPr>
          <w:p w:rsidR="005A1FC3">
            <w:pPr>
              <w:rPr>
                <w:lang w:eastAsia="zh-CN"/>
              </w:rPr>
            </w:pPr>
            <w:r>
              <w:rPr>
                <w:rFonts w:hint="eastAsia"/>
                <w:szCs w:val="21"/>
                <w:lang w:eastAsia="zh-CN"/>
              </w:rPr>
              <w:t>2025-11-05</w:t>
            </w:r>
          </w:p>
        </w:tc>
        <w:tc>
          <w:tcPr>
            <w:tcW w:w="1835" w:type="dxa"/>
          </w:tcPr>
          <w:p w:rsidR="005A1FC3">
            <w:pPr>
              <w:rPr>
                <w:lang w:eastAsia="zh-CN"/>
              </w:rPr>
            </w:pPr>
            <w:r>
              <w:rPr>
                <w:rFonts w:hint="eastAsia"/>
                <w:szCs w:val="21"/>
                <w:lang w:eastAsia="zh-CN"/>
              </w:rPr>
              <w:t>-</w:t>
            </w:r>
          </w:p>
        </w:tc>
      </w:tr>
      <w:tr>
        <w:tblPrEx>
          <w:tblW w:w="0" w:type="auto"/>
          <w:jc w:val="center"/>
          <w:tblLayout w:type="fixed"/>
          <w:tblLook w:val="04A0"/>
        </w:tblPrEx>
        <w:trPr>
          <w:trHeight w:val="360"/>
          <w:jc w:val="center"/>
        </w:trPr>
        <w:tc>
          <w:tcPr>
            <w:tcW w:w="4626" w:type="dxa"/>
          </w:tcPr>
          <w:p w:rsidR="005A1FC3">
            <w:pPr>
              <w:rPr>
                <w:lang w:eastAsia="zh-CN"/>
              </w:rPr>
            </w:pPr>
            <w:r>
              <w:rPr>
                <w:rFonts w:hint="eastAsia"/>
                <w:szCs w:val="21"/>
                <w:lang w:eastAsia="zh-CN"/>
              </w:rPr>
              <w:t>易方达中证</w:t>
            </w:r>
            <w:r>
              <w:rPr>
                <w:rFonts w:hint="eastAsia"/>
                <w:szCs w:val="21"/>
                <w:lang w:eastAsia="zh-CN"/>
              </w:rPr>
              <w:t>A500</w:t>
            </w:r>
            <w:r>
              <w:rPr>
                <w:rFonts w:hint="eastAsia"/>
                <w:szCs w:val="21"/>
                <w:lang w:eastAsia="zh-CN"/>
              </w:rPr>
              <w:t>红利低波动</w:t>
            </w:r>
            <w:r>
              <w:rPr>
                <w:rFonts w:hint="eastAsia"/>
                <w:szCs w:val="21"/>
                <w:lang w:eastAsia="zh-CN"/>
              </w:rPr>
              <w:t>ETF</w:t>
            </w:r>
          </w:p>
        </w:tc>
        <w:tc>
          <w:tcPr>
            <w:tcW w:w="1835" w:type="dxa"/>
          </w:tcPr>
          <w:p w:rsidR="005A1FC3">
            <w:pPr>
              <w:rPr>
                <w:lang w:eastAsia="zh-CN"/>
              </w:rPr>
            </w:pPr>
            <w:r>
              <w:rPr>
                <w:rFonts w:hint="eastAsia"/>
                <w:szCs w:val="21"/>
                <w:lang w:eastAsia="zh-CN"/>
              </w:rPr>
              <w:t>2025-11-17</w:t>
            </w:r>
          </w:p>
        </w:tc>
        <w:tc>
          <w:tcPr>
            <w:tcW w:w="1835" w:type="dxa"/>
          </w:tcPr>
          <w:p w:rsidR="005A1FC3">
            <w:pPr>
              <w:rPr>
                <w:lang w:eastAsia="zh-CN"/>
              </w:rPr>
            </w:pPr>
            <w:r>
              <w:rPr>
                <w:rFonts w:hint="eastAsia"/>
                <w:szCs w:val="21"/>
                <w:lang w:eastAsia="zh-CN"/>
              </w:rPr>
              <w:t>-</w:t>
            </w:r>
          </w:p>
        </w:tc>
      </w:tr>
      <w:tr>
        <w:tblPrEx>
          <w:tblW w:w="0" w:type="auto"/>
          <w:jc w:val="center"/>
          <w:tblLayout w:type="fixed"/>
          <w:tblLook w:val="04A0"/>
        </w:tblPrEx>
        <w:trPr>
          <w:trHeight w:val="360"/>
          <w:jc w:val="center"/>
        </w:trPr>
        <w:tc>
          <w:tcPr>
            <w:tcW w:w="4626" w:type="dxa"/>
          </w:tcPr>
          <w:p w:rsidR="005A1FC3">
            <w:pPr>
              <w:rPr>
                <w:lang w:eastAsia="zh-CN"/>
              </w:rPr>
            </w:pPr>
            <w:r>
              <w:rPr>
                <w:rFonts w:hint="eastAsia"/>
                <w:szCs w:val="21"/>
                <w:lang w:eastAsia="zh-CN"/>
              </w:rPr>
              <w:t>易方达中证科创创业人工智能</w:t>
            </w:r>
            <w:r>
              <w:rPr>
                <w:rFonts w:hint="eastAsia"/>
                <w:szCs w:val="21"/>
                <w:lang w:eastAsia="zh-CN"/>
              </w:rPr>
              <w:t>ETF</w:t>
            </w:r>
          </w:p>
        </w:tc>
        <w:tc>
          <w:tcPr>
            <w:tcW w:w="1835" w:type="dxa"/>
          </w:tcPr>
          <w:p w:rsidR="005A1FC3">
            <w:pPr>
              <w:rPr>
                <w:lang w:eastAsia="zh-CN"/>
              </w:rPr>
            </w:pPr>
            <w:r>
              <w:rPr>
                <w:rFonts w:hint="eastAsia"/>
                <w:szCs w:val="21"/>
                <w:lang w:eastAsia="zh-CN"/>
              </w:rPr>
              <w:t>2025-12-10</w:t>
            </w:r>
          </w:p>
        </w:tc>
        <w:tc>
          <w:tcPr>
            <w:tcW w:w="1835" w:type="dxa"/>
          </w:tcPr>
          <w:p w:rsidR="005A1FC3">
            <w:pPr>
              <w:rPr>
                <w:lang w:eastAsia="zh-CN"/>
              </w:rPr>
            </w:pPr>
            <w:r>
              <w:rPr>
                <w:rFonts w:hint="eastAsia"/>
                <w:szCs w:val="21"/>
                <w:lang w:eastAsia="zh-CN"/>
              </w:rPr>
              <w:t>-</w:t>
            </w:r>
          </w:p>
        </w:tc>
      </w:tr>
      <w:tr>
        <w:tblPrEx>
          <w:tblW w:w="0" w:type="auto"/>
          <w:jc w:val="center"/>
          <w:tblLayout w:type="fixed"/>
          <w:tblLook w:val="04A0"/>
        </w:tblPrEx>
        <w:trPr>
          <w:trHeight w:val="360"/>
          <w:jc w:val="center"/>
        </w:trPr>
        <w:tc>
          <w:tcPr>
            <w:tcW w:w="4626" w:type="dxa"/>
          </w:tcPr>
          <w:p w:rsidR="005A1FC3">
            <w:pPr>
              <w:rPr>
                <w:lang w:eastAsia="zh-CN"/>
              </w:rPr>
            </w:pPr>
            <w:r>
              <w:rPr>
                <w:rFonts w:hint="eastAsia"/>
                <w:szCs w:val="21"/>
                <w:lang w:eastAsia="zh-CN"/>
              </w:rPr>
              <w:t>易方达黄金</w:t>
            </w:r>
            <w:r>
              <w:rPr>
                <w:rFonts w:hint="eastAsia"/>
                <w:szCs w:val="21"/>
                <w:lang w:eastAsia="zh-CN"/>
              </w:rPr>
              <w:t>ETF</w:t>
            </w:r>
          </w:p>
        </w:tc>
        <w:tc>
          <w:tcPr>
            <w:tcW w:w="1835" w:type="dxa"/>
          </w:tcPr>
          <w:p w:rsidR="005A1FC3">
            <w:pPr>
              <w:rPr>
                <w:lang w:eastAsia="zh-CN"/>
              </w:rPr>
            </w:pPr>
            <w:r>
              <w:rPr>
                <w:rFonts w:hint="eastAsia"/>
                <w:szCs w:val="21"/>
                <w:lang w:eastAsia="zh-CN"/>
              </w:rPr>
              <w:t>2025-12-20</w:t>
            </w:r>
          </w:p>
        </w:tc>
        <w:tc>
          <w:tcPr>
            <w:tcW w:w="1835" w:type="dxa"/>
          </w:tcPr>
          <w:p w:rsidR="005A1FC3">
            <w:pPr>
              <w:rPr>
                <w:lang w:eastAsia="zh-CN"/>
              </w:rPr>
            </w:pPr>
            <w:r>
              <w:rPr>
                <w:rFonts w:hint="eastAsia"/>
                <w:szCs w:val="21"/>
                <w:lang w:eastAsia="zh-CN"/>
              </w:rPr>
              <w:t>-</w:t>
            </w:r>
          </w:p>
        </w:tc>
      </w:tr>
      <w:tr>
        <w:tblPrEx>
          <w:tblW w:w="0" w:type="auto"/>
          <w:jc w:val="center"/>
          <w:tblLayout w:type="fixed"/>
          <w:tblLook w:val="04A0"/>
        </w:tblPrEx>
        <w:trPr>
          <w:trHeight w:val="360"/>
          <w:jc w:val="center"/>
        </w:trPr>
        <w:tc>
          <w:tcPr>
            <w:tcW w:w="4626" w:type="dxa"/>
          </w:tcPr>
          <w:p w:rsidR="005A1FC3">
            <w:pPr>
              <w:rPr>
                <w:lang w:eastAsia="zh-CN"/>
              </w:rPr>
            </w:pPr>
            <w:r>
              <w:rPr>
                <w:rFonts w:hint="eastAsia"/>
                <w:szCs w:val="21"/>
                <w:lang w:eastAsia="zh-CN"/>
              </w:rPr>
              <w:t>易方达国证自由现金流</w:t>
            </w:r>
            <w:r>
              <w:rPr>
                <w:rFonts w:hint="eastAsia"/>
                <w:szCs w:val="21"/>
                <w:lang w:eastAsia="zh-CN"/>
              </w:rPr>
              <w:t>ETF</w:t>
            </w:r>
            <w:r>
              <w:rPr>
                <w:rFonts w:hint="eastAsia"/>
                <w:szCs w:val="21"/>
                <w:lang w:eastAsia="zh-CN"/>
              </w:rPr>
              <w:t>联接</w:t>
            </w:r>
          </w:p>
        </w:tc>
        <w:tc>
          <w:tcPr>
            <w:tcW w:w="1835" w:type="dxa"/>
          </w:tcPr>
          <w:p w:rsidR="005A1FC3">
            <w:pPr>
              <w:rPr>
                <w:lang w:eastAsia="zh-CN"/>
              </w:rPr>
            </w:pPr>
            <w:r>
              <w:rPr>
                <w:rFonts w:hint="eastAsia"/>
                <w:szCs w:val="21"/>
                <w:lang w:eastAsia="zh-CN"/>
              </w:rPr>
              <w:t>2025-12-29</w:t>
            </w:r>
          </w:p>
        </w:tc>
        <w:tc>
          <w:tcPr>
            <w:tcW w:w="1835" w:type="dxa"/>
          </w:tcPr>
          <w:p w:rsidR="005A1FC3">
            <w:pPr>
              <w:rPr>
                <w:lang w:eastAsia="zh-CN"/>
              </w:rPr>
            </w:pPr>
            <w:r>
              <w:rPr>
                <w:rFonts w:hint="eastAsia"/>
                <w:szCs w:val="21"/>
                <w:lang w:eastAsia="zh-CN"/>
              </w:rPr>
              <w:t>-</w:t>
            </w:r>
          </w:p>
        </w:tc>
      </w:tr>
      <w:tr>
        <w:tblPrEx>
          <w:tblW w:w="0" w:type="auto"/>
          <w:jc w:val="center"/>
          <w:tblLayout w:type="fixed"/>
          <w:tblLook w:val="04A0"/>
        </w:tblPrEx>
        <w:trPr>
          <w:trHeight w:val="360"/>
          <w:jc w:val="center"/>
        </w:trPr>
        <w:tc>
          <w:tcPr>
            <w:tcW w:w="4626" w:type="dxa"/>
          </w:tcPr>
          <w:p w:rsidR="005A1FC3">
            <w:pPr>
              <w:rPr>
                <w:lang w:eastAsia="zh-CN"/>
              </w:rPr>
            </w:pPr>
            <w:r>
              <w:rPr>
                <w:rFonts w:hint="eastAsia"/>
                <w:szCs w:val="21"/>
                <w:lang w:eastAsia="zh-CN"/>
              </w:rPr>
              <w:t>易方达中证长江保护主题</w:t>
            </w:r>
            <w:r>
              <w:rPr>
                <w:rFonts w:hint="eastAsia"/>
                <w:szCs w:val="21"/>
                <w:lang w:eastAsia="zh-CN"/>
              </w:rPr>
              <w:t>ETF</w:t>
            </w:r>
            <w:r>
              <w:rPr>
                <w:rFonts w:hint="eastAsia"/>
                <w:szCs w:val="21"/>
                <w:lang w:eastAsia="zh-CN"/>
              </w:rPr>
              <w:t>联接发起式</w:t>
            </w:r>
          </w:p>
        </w:tc>
        <w:tc>
          <w:tcPr>
            <w:tcW w:w="1835" w:type="dxa"/>
          </w:tcPr>
          <w:p w:rsidR="005A1FC3">
            <w:pPr>
              <w:rPr>
                <w:lang w:eastAsia="zh-CN"/>
              </w:rPr>
            </w:pPr>
            <w:r>
              <w:rPr>
                <w:rFonts w:hint="eastAsia"/>
                <w:szCs w:val="21"/>
                <w:lang w:eastAsia="zh-CN"/>
              </w:rPr>
              <w:t>2025-04-03</w:t>
            </w:r>
          </w:p>
        </w:tc>
        <w:tc>
          <w:tcPr>
            <w:tcW w:w="1835" w:type="dxa"/>
          </w:tcPr>
          <w:p w:rsidR="005A1FC3">
            <w:pPr>
              <w:rPr>
                <w:lang w:eastAsia="zh-CN"/>
              </w:rPr>
            </w:pPr>
            <w:r>
              <w:rPr>
                <w:rFonts w:hint="eastAsia"/>
                <w:szCs w:val="21"/>
                <w:lang w:eastAsia="zh-CN"/>
              </w:rPr>
              <w:t>2026-05-12</w:t>
            </w:r>
          </w:p>
        </w:tc>
      </w:tr>
    </w:tbl>
    <w:p w:rsidR="005A1FC3">
      <w:pPr>
        <w:spacing w:line="360" w:lineRule="auto"/>
        <w:ind w:firstLine="420"/>
        <w:rPr>
          <w:bCs/>
          <w:lang w:eastAsia="zh-CN"/>
        </w:rPr>
      </w:pPr>
    </w:p>
    <w:tbl>
      <w:tblPr>
        <w:tblStyle w:val="TableGrid"/>
        <w:tblW w:w="8296" w:type="dxa"/>
        <w:jc w:val="center"/>
        <w:tblLayout w:type="fixed"/>
        <w:tblLook w:val="04A0"/>
      </w:tblPr>
      <w:tblGrid>
        <w:gridCol w:w="4148"/>
        <w:gridCol w:w="4148"/>
      </w:tblGrid>
      <w:tr w:rsidTr="000C1F9B">
        <w:tblPrEx>
          <w:tblW w:w="8296" w:type="dxa"/>
          <w:jc w:val="center"/>
          <w:tblLayout w:type="fixed"/>
          <w:tblLook w:val="04A0"/>
        </w:tblPrEx>
        <w:trPr>
          <w:jc w:val="center"/>
        </w:trPr>
        <w:tc>
          <w:tcPr>
            <w:tcW w:w="8296" w:type="dxa"/>
            <w:gridSpan w:val="2"/>
          </w:tcPr>
          <w:p w:rsidR="005A1FC3">
            <w:pPr>
              <w:rPr>
                <w:lang w:eastAsia="zh-CN"/>
              </w:rPr>
            </w:pPr>
            <w:r>
              <w:rPr>
                <w:rFonts w:hint="eastAsia"/>
                <w:b/>
                <w:szCs w:val="21"/>
                <w:lang w:eastAsia="zh-CN"/>
              </w:rPr>
              <w:t>现任基金经理助理的基金</w:t>
            </w:r>
          </w:p>
        </w:tc>
      </w:tr>
      <w:tr w:rsidTr="000C1F9B">
        <w:tblPrEx>
          <w:tblW w:w="8296" w:type="dxa"/>
          <w:jc w:val="center"/>
          <w:tblLayout w:type="fixed"/>
          <w:tblLook w:val="04A0"/>
        </w:tblPrEx>
        <w:trPr>
          <w:trHeight w:val="360"/>
          <w:jc w:val="center"/>
        </w:trPr>
        <w:tc>
          <w:tcPr>
            <w:tcW w:w="4148" w:type="dxa"/>
          </w:tcPr>
          <w:p w:rsidR="005A1FC3">
            <w:pPr>
              <w:rPr>
                <w:lang w:eastAsia="zh-CN"/>
              </w:rPr>
            </w:pPr>
            <w:r>
              <w:rPr>
                <w:rFonts w:hint="eastAsia"/>
                <w:szCs w:val="21"/>
                <w:lang w:eastAsia="zh-CN"/>
              </w:rPr>
              <w:t>易方达中证</w:t>
            </w:r>
            <w:r>
              <w:rPr>
                <w:rFonts w:hint="eastAsia"/>
                <w:szCs w:val="21"/>
                <w:lang w:eastAsia="zh-CN"/>
              </w:rPr>
              <w:t>A100ETF</w:t>
            </w:r>
          </w:p>
        </w:tc>
        <w:tc>
          <w:tcPr>
            <w:tcW w:w="4148" w:type="dxa"/>
          </w:tcPr>
          <w:p w:rsidR="005A1FC3">
            <w:pPr>
              <w:rPr>
                <w:lang w:eastAsia="zh-CN"/>
              </w:rPr>
            </w:pPr>
            <w:r>
              <w:rPr>
                <w:rFonts w:hint="eastAsia"/>
                <w:szCs w:val="21"/>
                <w:lang w:eastAsia="zh-CN"/>
              </w:rPr>
              <w:t>易方达国证价值</w:t>
            </w:r>
            <w:r>
              <w:rPr>
                <w:rFonts w:hint="eastAsia"/>
                <w:szCs w:val="21"/>
                <w:lang w:eastAsia="zh-CN"/>
              </w:rPr>
              <w:t>100ETF</w:t>
            </w:r>
          </w:p>
        </w:tc>
      </w:tr>
      <w:tr w:rsidTr="000C1F9B">
        <w:tblPrEx>
          <w:tblW w:w="8296" w:type="dxa"/>
          <w:jc w:val="center"/>
          <w:tblLayout w:type="fixed"/>
          <w:tblLook w:val="04A0"/>
        </w:tblPrEx>
        <w:trPr>
          <w:trHeight w:val="360"/>
          <w:jc w:val="center"/>
        </w:trPr>
        <w:tc>
          <w:tcPr>
            <w:tcW w:w="4148" w:type="dxa"/>
          </w:tcPr>
          <w:p w:rsidR="005A1FC3">
            <w:pPr>
              <w:rPr>
                <w:lang w:eastAsia="zh-CN"/>
              </w:rPr>
            </w:pPr>
            <w:r>
              <w:rPr>
                <w:rFonts w:hint="eastAsia"/>
                <w:szCs w:val="21"/>
                <w:lang w:eastAsia="zh-CN"/>
              </w:rPr>
              <w:t>易方达中证</w:t>
            </w:r>
            <w:r>
              <w:rPr>
                <w:rFonts w:hint="eastAsia"/>
                <w:szCs w:val="21"/>
                <w:lang w:eastAsia="zh-CN"/>
              </w:rPr>
              <w:t>A100ETF</w:t>
            </w:r>
            <w:r>
              <w:rPr>
                <w:rFonts w:hint="eastAsia"/>
                <w:szCs w:val="21"/>
                <w:lang w:eastAsia="zh-CN"/>
              </w:rPr>
              <w:t>联接发起式</w:t>
            </w:r>
          </w:p>
        </w:tc>
        <w:tc>
          <w:tcPr>
            <w:tcW w:w="4148" w:type="dxa"/>
          </w:tcPr>
          <w:p w:rsidR="005A1FC3">
            <w:pPr>
              <w:rPr>
                <w:lang w:eastAsia="zh-CN"/>
              </w:rPr>
            </w:pPr>
            <w:r>
              <w:rPr>
                <w:rFonts w:hint="eastAsia"/>
                <w:szCs w:val="21"/>
                <w:lang w:eastAsia="zh-CN"/>
              </w:rPr>
              <w:t>易方达国证成长</w:t>
            </w:r>
            <w:r>
              <w:rPr>
                <w:rFonts w:hint="eastAsia"/>
                <w:szCs w:val="21"/>
                <w:lang w:eastAsia="zh-CN"/>
              </w:rPr>
              <w:t>100ETF</w:t>
            </w:r>
          </w:p>
        </w:tc>
      </w:tr>
      <w:tr w:rsidTr="000C1F9B">
        <w:tblPrEx>
          <w:tblW w:w="8296" w:type="dxa"/>
          <w:jc w:val="center"/>
          <w:tblLayout w:type="fixed"/>
          <w:tblLook w:val="04A0"/>
        </w:tblPrEx>
        <w:trPr>
          <w:trHeight w:val="360"/>
          <w:jc w:val="center"/>
        </w:trPr>
        <w:tc>
          <w:tcPr>
            <w:tcW w:w="4148" w:type="dxa"/>
          </w:tcPr>
          <w:p w:rsidR="005A1FC3">
            <w:pPr>
              <w:rPr>
                <w:lang w:eastAsia="zh-CN"/>
              </w:rPr>
            </w:pPr>
            <w:r>
              <w:rPr>
                <w:rFonts w:hint="eastAsia"/>
                <w:szCs w:val="21"/>
                <w:lang w:eastAsia="zh-CN"/>
              </w:rPr>
              <w:t>易方达中证国企一带一路</w:t>
            </w:r>
            <w:r>
              <w:rPr>
                <w:rFonts w:hint="eastAsia"/>
                <w:szCs w:val="21"/>
                <w:lang w:eastAsia="zh-CN"/>
              </w:rPr>
              <w:t>ETF</w:t>
            </w:r>
          </w:p>
        </w:tc>
        <w:tc>
          <w:tcPr>
            <w:tcW w:w="4148" w:type="dxa"/>
          </w:tcPr>
          <w:p w:rsidR="005A1FC3">
            <w:pPr>
              <w:rPr>
                <w:lang w:eastAsia="zh-CN"/>
              </w:rPr>
            </w:pPr>
            <w:r>
              <w:rPr>
                <w:rFonts w:hint="eastAsia"/>
                <w:szCs w:val="21"/>
                <w:lang w:eastAsia="zh-CN"/>
              </w:rPr>
              <w:t>易方达国证价值</w:t>
            </w:r>
            <w:r>
              <w:rPr>
                <w:rFonts w:hint="eastAsia"/>
                <w:szCs w:val="21"/>
                <w:lang w:eastAsia="zh-CN"/>
              </w:rPr>
              <w:t>100ETF</w:t>
            </w:r>
            <w:r>
              <w:rPr>
                <w:rFonts w:hint="eastAsia"/>
                <w:szCs w:val="21"/>
                <w:lang w:eastAsia="zh-CN"/>
              </w:rPr>
              <w:t>联接发起式</w:t>
            </w:r>
          </w:p>
        </w:tc>
      </w:tr>
      <w:tr w:rsidTr="000C1F9B">
        <w:tblPrEx>
          <w:tblW w:w="8296" w:type="dxa"/>
          <w:jc w:val="center"/>
          <w:tblLayout w:type="fixed"/>
          <w:tblLook w:val="04A0"/>
        </w:tblPrEx>
        <w:trPr>
          <w:trHeight w:val="360"/>
          <w:jc w:val="center"/>
        </w:trPr>
        <w:tc>
          <w:tcPr>
            <w:tcW w:w="4148" w:type="dxa"/>
          </w:tcPr>
          <w:p w:rsidR="005A1FC3">
            <w:pPr>
              <w:rPr>
                <w:lang w:eastAsia="zh-CN"/>
              </w:rPr>
            </w:pPr>
            <w:r>
              <w:rPr>
                <w:rFonts w:hint="eastAsia"/>
                <w:szCs w:val="21"/>
                <w:lang w:eastAsia="zh-CN"/>
              </w:rPr>
              <w:t>易方</w:t>
            </w:r>
            <w:r>
              <w:rPr>
                <w:rFonts w:hint="eastAsia"/>
                <w:szCs w:val="21"/>
                <w:lang w:eastAsia="zh-CN"/>
              </w:rPr>
              <w:t>达国证成长</w:t>
            </w:r>
            <w:r>
              <w:rPr>
                <w:rFonts w:hint="eastAsia"/>
                <w:szCs w:val="21"/>
                <w:lang w:eastAsia="zh-CN"/>
              </w:rPr>
              <w:t>100ETF</w:t>
            </w:r>
            <w:r>
              <w:rPr>
                <w:rFonts w:hint="eastAsia"/>
                <w:szCs w:val="21"/>
                <w:lang w:eastAsia="zh-CN"/>
              </w:rPr>
              <w:t>联接发起式</w:t>
            </w:r>
          </w:p>
        </w:tc>
        <w:tc>
          <w:tcPr>
            <w:tcW w:w="4148" w:type="dxa"/>
          </w:tcPr>
          <w:p w:rsidR="005A1FC3">
            <w:pPr>
              <w:rPr>
                <w:lang w:eastAsia="zh-CN"/>
              </w:rPr>
            </w:pPr>
            <w:r>
              <w:rPr>
                <w:rFonts w:hint="eastAsia"/>
                <w:szCs w:val="21"/>
                <w:lang w:eastAsia="zh-CN"/>
              </w:rPr>
              <w:t>易方达黄金</w:t>
            </w:r>
            <w:r>
              <w:rPr>
                <w:rFonts w:hint="eastAsia"/>
                <w:szCs w:val="21"/>
                <w:lang w:eastAsia="zh-CN"/>
              </w:rPr>
              <w:t>ETF</w:t>
            </w:r>
            <w:r>
              <w:rPr>
                <w:rFonts w:hint="eastAsia"/>
                <w:szCs w:val="21"/>
                <w:lang w:eastAsia="zh-CN"/>
              </w:rPr>
              <w:t>联接</w:t>
            </w:r>
          </w:p>
        </w:tc>
      </w:tr>
      <w:bookmarkStart w:id="7" w:name="_GoBack"/>
      <w:bookmarkEnd w:id="7"/>
    </w:tbl>
    <w:p w:rsidR="004A090B">
      <w:pPr>
        <w:spacing w:line="360" w:lineRule="auto"/>
        <w:ind w:firstLine="420"/>
        <w:rPr>
          <w:bCs/>
          <w:lang w:eastAsia="zh-CN"/>
        </w:rPr>
      </w:pPr>
      <w:r>
        <w:rPr>
          <w:rFonts w:hint="eastAsia"/>
          <w:bCs/>
          <w:lang w:eastAsia="zh-CN"/>
        </w:rPr>
        <w:t>3</w:t>
      </w:r>
      <w:r>
        <w:rPr>
          <w:rFonts w:hint="eastAsia"/>
          <w:bCs/>
          <w:lang w:eastAsia="zh-CN"/>
        </w:rPr>
        <w:t>、指数投资决策委员会成员</w:t>
      </w:r>
    </w:p>
    <w:p w:rsidR="005A1FC3">
      <w:pPr>
        <w:spacing w:line="360" w:lineRule="auto"/>
        <w:ind w:firstLine="420"/>
        <w:rPr>
          <w:bCs/>
          <w:lang w:eastAsia="zh-CN"/>
        </w:rPr>
      </w:pPr>
      <w:r>
        <w:rPr>
          <w:rFonts w:hint="eastAsia"/>
          <w:bCs/>
          <w:lang w:eastAsia="zh-CN"/>
        </w:rPr>
        <w:t>本公司指数投资决策委员会成员包括：林伟斌先生、庞亚平先生、余海燕女士。</w:t>
      </w:r>
    </w:p>
    <w:p w:rsidR="005A1FC3">
      <w:pPr>
        <w:spacing w:line="360" w:lineRule="auto"/>
        <w:ind w:firstLine="420"/>
        <w:rPr>
          <w:bCs/>
          <w:lang w:eastAsia="zh-CN"/>
        </w:rPr>
      </w:pPr>
      <w:r>
        <w:rPr>
          <w:rFonts w:hint="eastAsia"/>
          <w:bCs/>
          <w:lang w:eastAsia="zh-CN"/>
        </w:rPr>
        <w:t>林伟斌先生，易方达基金管理有限公司指数投资部总经理、国际指数部总经理、基金经理，易方达资产管理（香港）有限公司投资决策委员会委员、国际指数部总经理。</w:t>
      </w:r>
    </w:p>
    <w:p w:rsidR="005A1FC3">
      <w:pPr>
        <w:spacing w:line="360" w:lineRule="auto"/>
        <w:ind w:firstLine="420"/>
        <w:rPr>
          <w:bCs/>
          <w:lang w:eastAsia="zh-CN"/>
        </w:rPr>
      </w:pPr>
      <w:r>
        <w:rPr>
          <w:rFonts w:hint="eastAsia"/>
          <w:bCs/>
          <w:lang w:eastAsia="zh-CN"/>
        </w:rPr>
        <w:t>庞亚平先生，易方达基金管理有限公司指数研究发展部总经理、基金经理。</w:t>
      </w:r>
    </w:p>
    <w:p w:rsidR="005A1FC3">
      <w:pPr>
        <w:spacing w:line="360" w:lineRule="auto"/>
        <w:ind w:firstLine="420"/>
        <w:rPr>
          <w:bCs/>
          <w:lang w:eastAsia="zh-CN"/>
        </w:rPr>
      </w:pPr>
      <w:r>
        <w:rPr>
          <w:rFonts w:hint="eastAsia"/>
          <w:bCs/>
          <w:lang w:eastAsia="zh-CN"/>
        </w:rPr>
        <w:t>余海燕女士，易方达基金管理有限公司指数投资部副总经理、基金经理。</w:t>
      </w:r>
    </w:p>
    <w:p w:rsidR="004A090B">
      <w:pPr>
        <w:spacing w:line="360" w:lineRule="auto"/>
        <w:ind w:firstLine="420"/>
        <w:rPr>
          <w:bCs/>
          <w:lang w:eastAsia="zh-CN"/>
        </w:rPr>
      </w:pPr>
      <w:bookmarkStart w:id="8" w:name="_Toc332373449"/>
      <w:r>
        <w:rPr>
          <w:rFonts w:hint="eastAsia"/>
          <w:bCs/>
          <w:lang w:eastAsia="zh-CN"/>
        </w:rPr>
        <w:t>4</w:t>
      </w:r>
      <w:bookmarkEnd w:id="8"/>
      <w:r>
        <w:rPr>
          <w:rFonts w:hint="eastAsia"/>
          <w:bCs/>
          <w:lang w:eastAsia="zh-CN"/>
        </w:rPr>
        <w:t>、上述人员之间均不存在近亲属关系。</w:t>
      </w:r>
    </w:p>
    <w:p w:rsidR="004A090B">
      <w:pPr>
        <w:spacing w:line="360" w:lineRule="auto"/>
        <w:ind w:firstLine="420"/>
        <w:rPr>
          <w:rFonts w:ascii="宋体" w:hAnsi="Calibri" w:cs="宋体"/>
          <w:szCs w:val="21"/>
          <w:lang w:eastAsia="zh-CN"/>
        </w:rPr>
      </w:pPr>
      <w:bookmarkStart w:id="9" w:name="_Toc332373451"/>
      <w:r>
        <w:rPr>
          <w:rFonts w:ascii="宋体" w:hAnsi="Calibri" w:cs="宋体" w:hint="eastAsia"/>
          <w:szCs w:val="21"/>
          <w:lang w:eastAsia="zh-CN"/>
        </w:rPr>
        <w:t>三、基金管理人的职责</w:t>
      </w:r>
      <w:bookmarkEnd w:id="9"/>
    </w:p>
    <w:p w:rsidR="004A090B">
      <w:pPr>
        <w:spacing w:line="360" w:lineRule="auto"/>
        <w:ind w:firstLine="420"/>
        <w:rPr>
          <w:rFonts w:ascii="宋体" w:hAnsi="Calibri" w:cs="宋体"/>
          <w:szCs w:val="21"/>
          <w:lang w:eastAsia="zh-CN"/>
        </w:rPr>
      </w:pPr>
      <w:bookmarkStart w:id="10" w:name="_Toc332373455"/>
      <w:r>
        <w:rPr>
          <w:rFonts w:ascii="宋体" w:hAnsi="Calibri" w:cs="宋体"/>
          <w:szCs w:val="21"/>
          <w:lang w:eastAsia="zh-CN"/>
        </w:rPr>
        <w:t>1</w:t>
      </w:r>
      <w:r>
        <w:rPr>
          <w:rFonts w:ascii="宋体" w:hAnsi="Calibri" w:cs="宋体"/>
          <w:szCs w:val="21"/>
          <w:lang w:eastAsia="zh-CN"/>
        </w:rPr>
        <w:t>、依法募集资金，办理基金份额的发售和登记事宜；</w:t>
      </w:r>
    </w:p>
    <w:p w:rsidR="004A090B">
      <w:pPr>
        <w:spacing w:line="360" w:lineRule="auto"/>
        <w:ind w:firstLine="420"/>
        <w:rPr>
          <w:rFonts w:ascii="宋体" w:hAnsi="Calibri" w:cs="宋体"/>
          <w:szCs w:val="21"/>
          <w:lang w:eastAsia="zh-CN"/>
        </w:rPr>
      </w:pPr>
      <w:bookmarkStart w:id="11" w:name="_Toc332373452"/>
      <w:r>
        <w:rPr>
          <w:rFonts w:ascii="宋体" w:hAnsi="Calibri" w:cs="宋体"/>
          <w:szCs w:val="21"/>
          <w:lang w:eastAsia="zh-CN"/>
        </w:rPr>
        <w:t>2</w:t>
      </w:r>
      <w:r>
        <w:rPr>
          <w:rFonts w:ascii="宋体" w:hAnsi="Calibri" w:cs="宋体"/>
          <w:szCs w:val="21"/>
          <w:lang w:eastAsia="zh-CN"/>
        </w:rPr>
        <w:t>、办理基金备案手续；</w:t>
      </w:r>
      <w:bookmarkEnd w:id="11"/>
    </w:p>
    <w:p w:rsidR="004A090B">
      <w:pPr>
        <w:spacing w:line="360" w:lineRule="auto"/>
        <w:ind w:firstLine="420"/>
        <w:rPr>
          <w:rFonts w:ascii="宋体" w:hAnsi="Calibri" w:cs="宋体"/>
          <w:szCs w:val="21"/>
          <w:lang w:eastAsia="zh-CN"/>
        </w:rPr>
      </w:pPr>
      <w:r>
        <w:rPr>
          <w:rFonts w:ascii="宋体" w:hAnsi="Calibri" w:cs="宋体"/>
          <w:szCs w:val="21"/>
          <w:lang w:eastAsia="zh-CN"/>
        </w:rPr>
        <w:t>3</w:t>
      </w:r>
      <w:r>
        <w:rPr>
          <w:rFonts w:ascii="宋体" w:hAnsi="Calibri" w:cs="宋体"/>
          <w:szCs w:val="21"/>
          <w:lang w:eastAsia="zh-CN"/>
        </w:rPr>
        <w:t>、对所管理的不同基金财产分别管理、分别记账，进行证券投资；</w:t>
      </w:r>
    </w:p>
    <w:p w:rsidR="004A090B">
      <w:pPr>
        <w:spacing w:line="360" w:lineRule="auto"/>
        <w:ind w:firstLine="420"/>
        <w:rPr>
          <w:rFonts w:ascii="宋体" w:hAnsi="Calibri" w:cs="宋体"/>
          <w:szCs w:val="21"/>
          <w:lang w:eastAsia="zh-CN"/>
        </w:rPr>
      </w:pPr>
      <w:r>
        <w:rPr>
          <w:rFonts w:ascii="宋体" w:hAnsi="Calibri" w:cs="宋体"/>
          <w:szCs w:val="21"/>
          <w:lang w:eastAsia="zh-CN"/>
        </w:rPr>
        <w:t>4</w:t>
      </w:r>
      <w:r>
        <w:rPr>
          <w:rFonts w:ascii="宋体" w:hAnsi="Calibri" w:cs="宋体"/>
          <w:szCs w:val="21"/>
          <w:lang w:eastAsia="zh-CN"/>
        </w:rPr>
        <w:t>、按照基金合同的约定及时向基金份额持有人分配收益；</w:t>
      </w:r>
    </w:p>
    <w:p w:rsidR="004A090B">
      <w:pPr>
        <w:spacing w:line="360" w:lineRule="auto"/>
        <w:ind w:firstLine="420"/>
        <w:rPr>
          <w:rFonts w:ascii="宋体" w:hAnsi="Calibri" w:cs="宋体"/>
          <w:szCs w:val="21"/>
          <w:lang w:eastAsia="zh-CN"/>
        </w:rPr>
      </w:pPr>
      <w:r>
        <w:rPr>
          <w:rFonts w:ascii="宋体" w:hAnsi="Calibri" w:cs="宋体"/>
          <w:szCs w:val="21"/>
          <w:lang w:eastAsia="zh-CN"/>
        </w:rPr>
        <w:t>5</w:t>
      </w:r>
      <w:r>
        <w:rPr>
          <w:rFonts w:ascii="宋体" w:hAnsi="Calibri" w:cs="宋体"/>
          <w:szCs w:val="21"/>
          <w:lang w:eastAsia="zh-CN"/>
        </w:rPr>
        <w:t>、进行基金会计核算并编制基金财务会计报告；</w:t>
      </w:r>
    </w:p>
    <w:p w:rsidR="004A090B">
      <w:pPr>
        <w:spacing w:line="360" w:lineRule="auto"/>
        <w:ind w:firstLine="420"/>
        <w:rPr>
          <w:rFonts w:ascii="宋体" w:hAnsi="Calibri" w:cs="宋体"/>
          <w:szCs w:val="21"/>
          <w:lang w:eastAsia="zh-CN"/>
        </w:rPr>
      </w:pPr>
      <w:r>
        <w:rPr>
          <w:rFonts w:ascii="宋体" w:hAnsi="Calibri" w:cs="宋体"/>
          <w:szCs w:val="21"/>
          <w:lang w:eastAsia="zh-CN"/>
        </w:rPr>
        <w:t>6</w:t>
      </w:r>
      <w:r>
        <w:rPr>
          <w:rFonts w:ascii="宋体" w:hAnsi="Calibri" w:cs="宋体"/>
          <w:szCs w:val="21"/>
          <w:lang w:eastAsia="zh-CN"/>
        </w:rPr>
        <w:t>、编制</w:t>
      </w:r>
      <w:r>
        <w:rPr>
          <w:rFonts w:ascii="宋体" w:hAnsi="Calibri" w:cs="宋体" w:hint="eastAsia"/>
          <w:szCs w:val="21"/>
          <w:lang w:eastAsia="zh-CN"/>
        </w:rPr>
        <w:t>季度报告、中期报告和年度报告；</w:t>
      </w:r>
    </w:p>
    <w:p w:rsidR="004A090B">
      <w:pPr>
        <w:spacing w:line="360" w:lineRule="auto"/>
        <w:ind w:firstLine="420"/>
        <w:rPr>
          <w:rFonts w:ascii="宋体" w:hAnsi="Calibri" w:cs="宋体"/>
          <w:szCs w:val="21"/>
          <w:lang w:eastAsia="zh-CN"/>
        </w:rPr>
      </w:pPr>
      <w:r>
        <w:rPr>
          <w:rFonts w:ascii="宋体" w:hAnsi="Calibri" w:cs="宋体"/>
          <w:szCs w:val="21"/>
          <w:lang w:eastAsia="zh-CN"/>
        </w:rPr>
        <w:t>7</w:t>
      </w:r>
      <w:r>
        <w:rPr>
          <w:rFonts w:ascii="宋体" w:hAnsi="Calibri" w:cs="宋体"/>
          <w:szCs w:val="21"/>
          <w:lang w:eastAsia="zh-CN"/>
        </w:rPr>
        <w:t>、计算并公告</w:t>
      </w:r>
      <w:r>
        <w:rPr>
          <w:rFonts w:ascii="宋体" w:hAnsi="Calibri" w:cs="宋体" w:hint="eastAsia"/>
          <w:szCs w:val="21"/>
          <w:lang w:eastAsia="zh-CN"/>
        </w:rPr>
        <w:t>基金净值信息，确定基金份额申购、赎回价格；</w:t>
      </w:r>
    </w:p>
    <w:p w:rsidR="004A090B">
      <w:pPr>
        <w:spacing w:line="360" w:lineRule="auto"/>
        <w:ind w:firstLine="420"/>
        <w:rPr>
          <w:rFonts w:ascii="宋体" w:hAnsi="Calibri" w:cs="宋体"/>
          <w:szCs w:val="21"/>
          <w:lang w:eastAsia="zh-CN"/>
        </w:rPr>
      </w:pPr>
      <w:bookmarkStart w:id="12" w:name="_Toc332373453"/>
      <w:r>
        <w:rPr>
          <w:rFonts w:ascii="宋体" w:hAnsi="Calibri" w:cs="宋体"/>
          <w:szCs w:val="21"/>
          <w:lang w:eastAsia="zh-CN"/>
        </w:rPr>
        <w:t>8</w:t>
      </w:r>
      <w:r>
        <w:rPr>
          <w:rFonts w:ascii="宋体" w:hAnsi="Calibri" w:cs="宋体"/>
          <w:szCs w:val="21"/>
          <w:lang w:eastAsia="zh-CN"/>
        </w:rPr>
        <w:t>、办理与基金财产管理业务活动有关的信息披露事项；</w:t>
      </w:r>
      <w:bookmarkEnd w:id="12"/>
    </w:p>
    <w:p w:rsidR="004A090B">
      <w:pPr>
        <w:spacing w:line="360" w:lineRule="auto"/>
        <w:ind w:firstLine="420"/>
        <w:rPr>
          <w:rFonts w:ascii="宋体" w:hAnsi="Calibri" w:cs="宋体"/>
          <w:szCs w:val="21"/>
          <w:lang w:eastAsia="zh-CN"/>
        </w:rPr>
      </w:pPr>
      <w:r>
        <w:rPr>
          <w:rFonts w:ascii="宋体" w:hAnsi="Calibri" w:cs="宋体"/>
          <w:szCs w:val="21"/>
          <w:lang w:eastAsia="zh-CN"/>
        </w:rPr>
        <w:t>9</w:t>
      </w:r>
      <w:r>
        <w:rPr>
          <w:rFonts w:ascii="宋体" w:hAnsi="Calibri" w:cs="宋体"/>
          <w:szCs w:val="21"/>
          <w:lang w:eastAsia="zh-CN"/>
        </w:rPr>
        <w:t>、按照规定召集基金份额持有人大会；</w:t>
      </w:r>
    </w:p>
    <w:p w:rsidR="004A090B">
      <w:pPr>
        <w:spacing w:line="360" w:lineRule="auto"/>
        <w:ind w:firstLine="420"/>
        <w:rPr>
          <w:rFonts w:ascii="宋体" w:hAnsi="Calibri" w:cs="宋体"/>
          <w:szCs w:val="21"/>
          <w:lang w:eastAsia="zh-CN"/>
        </w:rPr>
      </w:pPr>
      <w:bookmarkStart w:id="13" w:name="_Toc332373454"/>
      <w:r>
        <w:rPr>
          <w:rFonts w:ascii="宋体" w:hAnsi="Calibri" w:cs="宋体"/>
          <w:szCs w:val="21"/>
          <w:lang w:eastAsia="zh-CN"/>
        </w:rPr>
        <w:t>10</w:t>
      </w:r>
      <w:r>
        <w:rPr>
          <w:rFonts w:ascii="宋体" w:hAnsi="Calibri" w:cs="宋体"/>
          <w:szCs w:val="21"/>
          <w:lang w:eastAsia="zh-CN"/>
        </w:rPr>
        <w:t>、保存基金财产管理业务活动的记录、账册、报表和其他相关资料；</w:t>
      </w:r>
      <w:bookmarkEnd w:id="13"/>
    </w:p>
    <w:p w:rsidR="004A090B">
      <w:pPr>
        <w:spacing w:line="360" w:lineRule="auto"/>
        <w:ind w:firstLine="420"/>
        <w:rPr>
          <w:rFonts w:ascii="宋体" w:hAnsi="Calibri" w:cs="宋体"/>
          <w:szCs w:val="21"/>
          <w:lang w:eastAsia="zh-CN"/>
        </w:rPr>
      </w:pPr>
      <w:r>
        <w:rPr>
          <w:rFonts w:ascii="宋体" w:hAnsi="Calibri" w:cs="宋体"/>
          <w:szCs w:val="21"/>
          <w:lang w:eastAsia="zh-CN"/>
        </w:rPr>
        <w:t>11</w:t>
      </w:r>
      <w:r>
        <w:rPr>
          <w:rFonts w:ascii="宋体" w:hAnsi="Calibri" w:cs="宋体"/>
          <w:szCs w:val="21"/>
          <w:lang w:eastAsia="zh-CN"/>
        </w:rPr>
        <w:t>、以基金管理人名义，代表基金份额持有人利益行使诉讼权利或者实施其他法律行为；</w:t>
      </w:r>
    </w:p>
    <w:p w:rsidR="004A090B">
      <w:pPr>
        <w:spacing w:line="360" w:lineRule="auto"/>
        <w:ind w:firstLine="420"/>
        <w:rPr>
          <w:rFonts w:ascii="宋体" w:hAnsi="Calibri" w:cs="宋体"/>
          <w:szCs w:val="21"/>
          <w:lang w:eastAsia="zh-CN"/>
        </w:rPr>
      </w:pPr>
      <w:r>
        <w:rPr>
          <w:rFonts w:ascii="宋体" w:hAnsi="Calibri" w:cs="宋体"/>
          <w:szCs w:val="21"/>
          <w:lang w:eastAsia="zh-CN"/>
        </w:rPr>
        <w:t>12</w:t>
      </w:r>
      <w:r>
        <w:rPr>
          <w:rFonts w:ascii="宋体" w:hAnsi="Calibri" w:cs="宋体"/>
          <w:szCs w:val="21"/>
          <w:lang w:eastAsia="zh-CN"/>
        </w:rPr>
        <w:t>、中国证监会规定的其他职责。</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四、基金管理人的承诺</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1</w:t>
      </w:r>
      <w:r>
        <w:rPr>
          <w:rFonts w:ascii="宋体" w:hAnsi="Calibri" w:cs="宋体" w:hint="eastAsia"/>
          <w:szCs w:val="21"/>
          <w:lang w:eastAsia="zh-CN"/>
        </w:rPr>
        <w:t>、本基金管理人承诺严格遵守现行有效的相关法律、法规、规章、基金合同和中国证监会的有关规定，建立健全内部控制制度，采取有效措施，防止违反现行有效的有关法律、法规、规章、基金合同和中国证监会有关规定的行为发生。</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2</w:t>
      </w:r>
      <w:r>
        <w:rPr>
          <w:rFonts w:ascii="宋体" w:hAnsi="Calibri" w:cs="宋体" w:hint="eastAsia"/>
          <w:szCs w:val="21"/>
          <w:lang w:eastAsia="zh-CN"/>
        </w:rPr>
        <w:t>、本基金管理人承诺严格遵守《证券法》、《基金法》及有关法律法规，建立健全内部控制制度，采取有效措施，防止下列行为发生：</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1</w:t>
      </w:r>
      <w:r>
        <w:rPr>
          <w:rFonts w:ascii="宋体" w:hAnsi="Calibri" w:cs="宋体" w:hint="eastAsia"/>
          <w:szCs w:val="21"/>
          <w:lang w:eastAsia="zh-CN"/>
        </w:rPr>
        <w:t>）将其固有财产或者他人财产混同于基金财产从事证券投资；</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2</w:t>
      </w:r>
      <w:r>
        <w:rPr>
          <w:rFonts w:ascii="宋体" w:hAnsi="Calibri" w:cs="宋体" w:hint="eastAsia"/>
          <w:szCs w:val="21"/>
          <w:lang w:eastAsia="zh-CN"/>
        </w:rPr>
        <w:t>）不公平地对待其管理的不同基金财产；</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3</w:t>
      </w:r>
      <w:r>
        <w:rPr>
          <w:rFonts w:ascii="宋体" w:hAnsi="Calibri" w:cs="宋体" w:hint="eastAsia"/>
          <w:szCs w:val="21"/>
          <w:lang w:eastAsia="zh-CN"/>
        </w:rPr>
        <w:t>）利用基金财产或职务之便为基金份额持有人以外的人谋取利益；</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4</w:t>
      </w:r>
      <w:r>
        <w:rPr>
          <w:rFonts w:ascii="宋体" w:hAnsi="Calibri" w:cs="宋体" w:hint="eastAsia"/>
          <w:szCs w:val="21"/>
          <w:lang w:eastAsia="zh-CN"/>
        </w:rPr>
        <w:t>）向基金份</w:t>
      </w:r>
      <w:r>
        <w:rPr>
          <w:rFonts w:ascii="宋体" w:hAnsi="Calibri" w:cs="宋体" w:hint="eastAsia"/>
          <w:szCs w:val="21"/>
          <w:lang w:eastAsia="zh-CN"/>
        </w:rPr>
        <w:t>额持有人违规承诺收益或者承担损失；</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5</w:t>
      </w:r>
      <w:r>
        <w:rPr>
          <w:rFonts w:ascii="宋体" w:hAnsi="Calibri" w:cs="宋体" w:hint="eastAsia"/>
          <w:szCs w:val="21"/>
          <w:lang w:eastAsia="zh-CN"/>
        </w:rPr>
        <w:t>）侵占、挪用基金财产；</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6</w:t>
      </w:r>
      <w:r>
        <w:rPr>
          <w:rFonts w:ascii="宋体" w:hAnsi="Calibri" w:cs="宋体" w:hint="eastAsia"/>
          <w:szCs w:val="21"/>
          <w:lang w:eastAsia="zh-CN"/>
        </w:rPr>
        <w:t>）泄露因职务便利获取的未公开信息、利用该信息从事或者明示、暗示他人从事相关的交易活动；</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7</w:t>
      </w:r>
      <w:r>
        <w:rPr>
          <w:rFonts w:ascii="宋体" w:hAnsi="Calibri" w:cs="宋体" w:hint="eastAsia"/>
          <w:szCs w:val="21"/>
          <w:lang w:eastAsia="zh-CN"/>
        </w:rPr>
        <w:t>）玩忽职守，不按照规定履行职责；</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8</w:t>
      </w:r>
      <w:r>
        <w:rPr>
          <w:rFonts w:ascii="宋体" w:hAnsi="Calibri" w:cs="宋体" w:hint="eastAsia"/>
          <w:szCs w:val="21"/>
          <w:lang w:eastAsia="zh-CN"/>
        </w:rPr>
        <w:t>）法律、行政法规和中国证监会禁止的其他行为。</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3</w:t>
      </w:r>
      <w:r>
        <w:rPr>
          <w:rFonts w:ascii="宋体" w:hAnsi="Calibri" w:cs="宋体" w:hint="eastAsia"/>
          <w:szCs w:val="21"/>
          <w:lang w:eastAsia="zh-CN"/>
        </w:rPr>
        <w:t>、本基金管理人承诺加强人员管理，强化职业操守，督促和约束员工遵守国家有关法律、法规及行业规范，诚实信用、勤勉尽责，不从事以下活动：</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1</w:t>
      </w:r>
      <w:r>
        <w:rPr>
          <w:rFonts w:ascii="宋体" w:hAnsi="Calibri" w:cs="宋体" w:hint="eastAsia"/>
          <w:szCs w:val="21"/>
          <w:lang w:eastAsia="zh-CN"/>
        </w:rPr>
        <w:t>）越权或违规经营；</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2</w:t>
      </w:r>
      <w:r>
        <w:rPr>
          <w:rFonts w:ascii="宋体" w:hAnsi="Calibri" w:cs="宋体" w:hint="eastAsia"/>
          <w:szCs w:val="21"/>
          <w:lang w:eastAsia="zh-CN"/>
        </w:rPr>
        <w:t>）违反基金合同或托管协议；</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3</w:t>
      </w:r>
      <w:r>
        <w:rPr>
          <w:rFonts w:ascii="宋体" w:hAnsi="Calibri" w:cs="宋体" w:hint="eastAsia"/>
          <w:szCs w:val="21"/>
          <w:lang w:eastAsia="zh-CN"/>
        </w:rPr>
        <w:t>）故意损害基金份额持有人或其他基金相关机构的合法利益；</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4</w:t>
      </w:r>
      <w:r>
        <w:rPr>
          <w:rFonts w:ascii="宋体" w:hAnsi="Calibri" w:cs="宋体" w:hint="eastAsia"/>
          <w:szCs w:val="21"/>
          <w:lang w:eastAsia="zh-CN"/>
        </w:rPr>
        <w:t>）在向中国证监</w:t>
      </w:r>
      <w:r>
        <w:rPr>
          <w:rFonts w:ascii="宋体" w:hAnsi="Calibri" w:cs="宋体" w:hint="eastAsia"/>
          <w:szCs w:val="21"/>
          <w:lang w:eastAsia="zh-CN"/>
        </w:rPr>
        <w:t>会报送的资料中弄虚作假；</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5</w:t>
      </w:r>
      <w:r>
        <w:rPr>
          <w:rFonts w:ascii="宋体" w:hAnsi="Calibri" w:cs="宋体" w:hint="eastAsia"/>
          <w:szCs w:val="21"/>
          <w:lang w:eastAsia="zh-CN"/>
        </w:rPr>
        <w:t>）拒绝、干扰、阻挠或严重影响中国证监会依法监管；</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6</w:t>
      </w:r>
      <w:r>
        <w:rPr>
          <w:rFonts w:ascii="宋体" w:hAnsi="Calibri" w:cs="宋体" w:hint="eastAsia"/>
          <w:szCs w:val="21"/>
          <w:lang w:eastAsia="zh-CN"/>
        </w:rPr>
        <w:t>）玩忽职守、滥用职权；</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7</w:t>
      </w:r>
      <w:r>
        <w:rPr>
          <w:rFonts w:ascii="宋体" w:hAnsi="Calibri" w:cs="宋体" w:hint="eastAsia"/>
          <w:szCs w:val="21"/>
          <w:lang w:eastAsia="zh-CN"/>
        </w:rPr>
        <w:t>）违反现行有效的有关法律、法规、规章、基金合同和中国证监会的有关规定，泄露在任职期间知悉的有关证券、基金的商业秘密，尚未依法公开的基金投资内容、基金投资计划等信息；</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8</w:t>
      </w:r>
      <w:r>
        <w:rPr>
          <w:rFonts w:ascii="宋体" w:hAnsi="Calibri" w:cs="宋体" w:hint="eastAsia"/>
          <w:szCs w:val="21"/>
          <w:lang w:eastAsia="zh-CN"/>
        </w:rPr>
        <w:t>）违反证券交易场所业务规则，利用对敲、倒仓等手段操纵市场价格，扰乱市场秩序；</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9</w:t>
      </w:r>
      <w:r>
        <w:rPr>
          <w:rFonts w:ascii="宋体" w:hAnsi="Calibri" w:cs="宋体" w:hint="eastAsia"/>
          <w:szCs w:val="21"/>
          <w:lang w:eastAsia="zh-CN"/>
        </w:rPr>
        <w:t>）贬损同行，以抬高自己；</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10</w:t>
      </w:r>
      <w:r>
        <w:rPr>
          <w:rFonts w:ascii="宋体" w:hAnsi="Calibri" w:cs="宋体" w:hint="eastAsia"/>
          <w:szCs w:val="21"/>
          <w:lang w:eastAsia="zh-CN"/>
        </w:rPr>
        <w:t>）以不正当手段谋求业务发展；</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11</w:t>
      </w:r>
      <w:r>
        <w:rPr>
          <w:rFonts w:ascii="宋体" w:hAnsi="Calibri" w:cs="宋体" w:hint="eastAsia"/>
          <w:szCs w:val="21"/>
          <w:lang w:eastAsia="zh-CN"/>
        </w:rPr>
        <w:t>）有悖社会公德，损害证券投资基金从业人员形象；</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12</w:t>
      </w:r>
      <w:r>
        <w:rPr>
          <w:rFonts w:ascii="宋体" w:hAnsi="Calibri" w:cs="宋体" w:hint="eastAsia"/>
          <w:szCs w:val="21"/>
          <w:lang w:eastAsia="zh-CN"/>
        </w:rPr>
        <w:t>）在公开信息披露和广告中故</w:t>
      </w:r>
      <w:r>
        <w:rPr>
          <w:rFonts w:ascii="宋体" w:hAnsi="Calibri" w:cs="宋体" w:hint="eastAsia"/>
          <w:szCs w:val="21"/>
          <w:lang w:eastAsia="zh-CN"/>
        </w:rPr>
        <w:t>意含有虚假、误导、欺诈成分；</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13</w:t>
      </w:r>
      <w:r>
        <w:rPr>
          <w:rFonts w:ascii="宋体" w:hAnsi="Calibri" w:cs="宋体" w:hint="eastAsia"/>
          <w:szCs w:val="21"/>
          <w:lang w:eastAsia="zh-CN"/>
        </w:rPr>
        <w:t>）其他法律、行政法规以及中国证监会禁止的行为。</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4</w:t>
      </w:r>
      <w:r>
        <w:rPr>
          <w:rFonts w:ascii="宋体" w:hAnsi="Calibri" w:cs="宋体" w:hint="eastAsia"/>
          <w:szCs w:val="21"/>
          <w:lang w:eastAsia="zh-CN"/>
        </w:rPr>
        <w:t>、基金经理承诺</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1</w:t>
      </w:r>
      <w:r>
        <w:rPr>
          <w:rFonts w:ascii="宋体" w:hAnsi="Calibri" w:cs="宋体" w:hint="eastAsia"/>
          <w:szCs w:val="21"/>
          <w:lang w:eastAsia="zh-CN"/>
        </w:rPr>
        <w:t>）依照有关法律、法规和基金合同的规定，本着谨慎的原则为基金份额持有人谋取最大利益；</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2</w:t>
      </w:r>
      <w:r>
        <w:rPr>
          <w:rFonts w:ascii="宋体" w:hAnsi="Calibri" w:cs="宋体" w:hint="eastAsia"/>
          <w:szCs w:val="21"/>
          <w:lang w:eastAsia="zh-CN"/>
        </w:rPr>
        <w:t>）不利用职务之便为自己及其代理人、受雇人或任何第三人谋取利益；</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3</w:t>
      </w:r>
      <w:r>
        <w:rPr>
          <w:rFonts w:ascii="宋体" w:hAnsi="Calibri" w:cs="宋体" w:hint="eastAsia"/>
          <w:szCs w:val="21"/>
          <w:lang w:eastAsia="zh-CN"/>
        </w:rPr>
        <w:t>）不违反现行有效的有关法律、法规、规章、基金合同和中国证监会的有关规定，泄露在任职期间知悉的有关证券、基金的商业秘密、尚未依法公开的基金投资内容、基金投资计划等信息；</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4</w:t>
      </w:r>
      <w:r>
        <w:rPr>
          <w:rFonts w:ascii="宋体" w:hAnsi="Calibri" w:cs="宋体" w:hint="eastAsia"/>
          <w:szCs w:val="21"/>
          <w:lang w:eastAsia="zh-CN"/>
        </w:rPr>
        <w:t>）不从事损害基金财产和基金份额持有人利益的证券交易及其他活动。</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五、基金管理人的内部控制制度</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为保证公司规范化运作，有效地防范和化解经营风险，促进公司诚信、合法、有效经营，保障基金份额持有人利益，维护公司及公司股东的合法权益，本基金管理人建立了科学、严密、高效的内部控制体系。</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1</w:t>
      </w:r>
      <w:r>
        <w:rPr>
          <w:rFonts w:ascii="宋体" w:hAnsi="Calibri" w:cs="宋体" w:hint="eastAsia"/>
          <w:szCs w:val="21"/>
          <w:lang w:eastAsia="zh-CN"/>
        </w:rPr>
        <w:t>、公司内部控制的总体目标</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1</w:t>
      </w:r>
      <w:r>
        <w:rPr>
          <w:rFonts w:ascii="宋体" w:hAnsi="Calibri" w:cs="宋体" w:hint="eastAsia"/>
          <w:szCs w:val="21"/>
          <w:lang w:eastAsia="zh-CN"/>
        </w:rPr>
        <w:t>）保证公司经营管理活动的合法合规性；</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2</w:t>
      </w:r>
      <w:r>
        <w:rPr>
          <w:rFonts w:ascii="宋体" w:hAnsi="Calibri" w:cs="宋体" w:hint="eastAsia"/>
          <w:szCs w:val="21"/>
          <w:lang w:eastAsia="zh-CN"/>
        </w:rPr>
        <w:t>）保证各类基金份额持有人及委托人的合法权益不受侵犯；</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3</w:t>
      </w:r>
      <w:r>
        <w:rPr>
          <w:rFonts w:ascii="宋体" w:hAnsi="Calibri" w:cs="宋体" w:hint="eastAsia"/>
          <w:szCs w:val="21"/>
          <w:lang w:eastAsia="zh-CN"/>
        </w:rPr>
        <w:t>）防范和化解经营风险，提高经营管理效率，确保业务稳健经营运行和受托资产安全完整，实现公司的持续、健康发展，促进公司实现发展战略；</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4</w:t>
      </w:r>
      <w:r>
        <w:rPr>
          <w:rFonts w:ascii="宋体" w:hAnsi="Calibri" w:cs="宋体" w:hint="eastAsia"/>
          <w:szCs w:val="21"/>
          <w:lang w:eastAsia="zh-CN"/>
        </w:rPr>
        <w:t>）督促公司全体员工恪守职业操守，</w:t>
      </w:r>
      <w:r>
        <w:rPr>
          <w:rFonts w:ascii="宋体" w:hAnsi="Calibri" w:cs="宋体" w:hint="eastAsia"/>
          <w:szCs w:val="21"/>
          <w:lang w:eastAsia="zh-CN"/>
        </w:rPr>
        <w:t>正直诚信，廉洁自律，勤勉尽责；</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5</w:t>
      </w:r>
      <w:r>
        <w:rPr>
          <w:rFonts w:ascii="宋体" w:hAnsi="Calibri" w:cs="宋体" w:hint="eastAsia"/>
          <w:szCs w:val="21"/>
          <w:lang w:eastAsia="zh-CN"/>
        </w:rPr>
        <w:t>）维护公司的声誉，保持公司的良好形象。</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2</w:t>
      </w:r>
      <w:r>
        <w:rPr>
          <w:rFonts w:ascii="宋体" w:hAnsi="Calibri" w:cs="宋体" w:hint="eastAsia"/>
          <w:szCs w:val="21"/>
          <w:lang w:eastAsia="zh-CN"/>
        </w:rPr>
        <w:t>、公司内部控制遵循的原则</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1</w:t>
      </w:r>
      <w:r>
        <w:rPr>
          <w:rFonts w:ascii="宋体" w:hAnsi="Calibri" w:cs="宋体" w:hint="eastAsia"/>
          <w:szCs w:val="21"/>
          <w:lang w:eastAsia="zh-CN"/>
        </w:rPr>
        <w:t>）健全性原则。内部控制应当包括公司的各项业务、各个部门或机构和各级人员，并涵盖到决策、执行、监督、反馈等各个环节。</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2</w:t>
      </w:r>
      <w:r>
        <w:rPr>
          <w:rFonts w:ascii="宋体" w:hAnsi="Calibri" w:cs="宋体" w:hint="eastAsia"/>
          <w:szCs w:val="21"/>
          <w:lang w:eastAsia="zh-CN"/>
        </w:rPr>
        <w:t>）有效性原则。通过科学的内控手段和方法，建立合理的内控程序，维护内控制度的有效执行。</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3</w:t>
      </w:r>
      <w:r>
        <w:rPr>
          <w:rFonts w:ascii="宋体" w:hAnsi="Calibri" w:cs="宋体" w:hint="eastAsia"/>
          <w:szCs w:val="21"/>
          <w:lang w:eastAsia="zh-CN"/>
        </w:rPr>
        <w:t>）独立性原则。公司机构、部门和岗位职责应当保持相对独立，除非法律法规另有规定，公司基金资产、自有资产、其他资产的运作应当分离。</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4</w:t>
      </w:r>
      <w:r>
        <w:rPr>
          <w:rFonts w:ascii="宋体" w:hAnsi="Calibri" w:cs="宋体" w:hint="eastAsia"/>
          <w:szCs w:val="21"/>
          <w:lang w:eastAsia="zh-CN"/>
        </w:rPr>
        <w:t>）相互制约原则。公司内部部门和岗位的设置应当体现权责分明、相互</w:t>
      </w:r>
      <w:r>
        <w:rPr>
          <w:rFonts w:ascii="宋体" w:hAnsi="Calibri" w:cs="宋体" w:hint="eastAsia"/>
          <w:szCs w:val="21"/>
          <w:lang w:eastAsia="zh-CN"/>
        </w:rPr>
        <w:t>制衡。</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5</w:t>
      </w:r>
      <w:r>
        <w:rPr>
          <w:rFonts w:ascii="宋体" w:hAnsi="Calibri" w:cs="宋体" w:hint="eastAsia"/>
          <w:szCs w:val="21"/>
          <w:lang w:eastAsia="zh-CN"/>
        </w:rPr>
        <w:t>）成本效益原则。公司运用科学化的经营管理方法降低运作成本，提高经济效益，力争以合理的控制成本达到最佳的内部控制效果。</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3</w:t>
      </w:r>
      <w:r>
        <w:rPr>
          <w:rFonts w:ascii="宋体" w:hAnsi="Calibri" w:cs="宋体" w:hint="eastAsia"/>
          <w:szCs w:val="21"/>
          <w:lang w:eastAsia="zh-CN"/>
        </w:rPr>
        <w:t>、内部控制的制度体系</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公司制定了合理、完备、有效并易于执行的制度体系。公司制度体系由不同层面的制度构成。按照其效力大小分为四个层面：第一个层面是公司章程；第二个层面是公司内部控制大纲，它是公司制定各项规章制度的基础和依据；第三个层面是公司基本管理制度；第四个层面是部门和业务管理制度。它们的制订、修改、实施、废止应该遵循相应的程序，每一层面的内容不得与其以上层面的内容相违背。公司</w:t>
      </w:r>
      <w:r>
        <w:rPr>
          <w:rFonts w:ascii="宋体" w:hAnsi="Calibri" w:cs="宋体" w:hint="eastAsia"/>
          <w:szCs w:val="21"/>
          <w:lang w:eastAsia="zh-CN"/>
        </w:rPr>
        <w:t>重视对制度的持续检验，结合业务的发展、法规及监管环境的变化以及公司风险控制的要求，不断检讨和增强公司制度的完备性、有效性。</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4</w:t>
      </w:r>
      <w:r>
        <w:rPr>
          <w:rFonts w:ascii="宋体" w:hAnsi="Calibri" w:cs="宋体" w:hint="eastAsia"/>
          <w:szCs w:val="21"/>
          <w:lang w:eastAsia="zh-CN"/>
        </w:rPr>
        <w:t>、关于授权、研究、投资、交易等方面的控制点</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1</w:t>
      </w:r>
      <w:r>
        <w:rPr>
          <w:rFonts w:ascii="宋体" w:hAnsi="Calibri" w:cs="宋体" w:hint="eastAsia"/>
          <w:szCs w:val="21"/>
          <w:lang w:eastAsia="zh-CN"/>
        </w:rPr>
        <w:t>）授权制度</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公司的授权制度贯穿于整个公司活动。股东会、董事会、监事会和管理层必须充分履行各自的职权，健全公司逐级授权制度，确保公司各项规章制度的贯彻执行；各项经营业务和管理程序必须遵从管理层制定的操作规程，经办人员的每一项工作必须是在业务授权范围内进行。公司重大业务的授权必须采取书面形式，授权书应当明确授权内容。公司授权应适当，对已获授</w:t>
      </w:r>
      <w:r>
        <w:rPr>
          <w:rFonts w:ascii="宋体" w:hAnsi="Calibri" w:cs="宋体" w:hint="eastAsia"/>
          <w:szCs w:val="21"/>
          <w:lang w:eastAsia="zh-CN"/>
        </w:rPr>
        <w:t>权的部门和人员应建立有效的评价和反馈机制，对已不适用的授权应及时修改或取消授权。</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2</w:t>
      </w:r>
      <w:r>
        <w:rPr>
          <w:rFonts w:ascii="宋体" w:hAnsi="Calibri" w:cs="宋体" w:hint="eastAsia"/>
          <w:szCs w:val="21"/>
          <w:lang w:eastAsia="zh-CN"/>
        </w:rPr>
        <w:t>）公司研究业务</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研究工作应保持独立、客观，不受任何部门及个人的不正当影响；建立严谨的研究工作业务流程，形成科学、有效的研究方法；建立投资产品备选库制度，研究部门根据投资产品的特征，在充分研究的基础上建立和维护备选库。建立研究与投资的业务交流制度，保持畅通的交流渠道；建立研究报告质量评价体系，不断提高研究水平。</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3</w:t>
      </w:r>
      <w:r>
        <w:rPr>
          <w:rFonts w:ascii="宋体" w:hAnsi="Calibri" w:cs="宋体" w:hint="eastAsia"/>
          <w:szCs w:val="21"/>
          <w:lang w:eastAsia="zh-CN"/>
        </w:rPr>
        <w:t>）基金投资业务</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基金投资应确立科学的投资理念，根据风险防范原则和效率性原则制定合理的决策程序；在进行投资时应有</w:t>
      </w:r>
      <w:r>
        <w:rPr>
          <w:rFonts w:ascii="宋体" w:hAnsi="Calibri" w:cs="宋体" w:hint="eastAsia"/>
          <w:szCs w:val="21"/>
          <w:lang w:eastAsia="zh-CN"/>
        </w:rPr>
        <w:t>明确的投资授权制度，并应建立与所授权限相应的约束制度和考核制度。建立严格的投资禁止和投资限制制度，保证基金投资的合法合规性。建立投资风险评估与管理制度，将重点投资限制在规定的风险权限范围内；建立科学的投资业绩评价体系，及时回顾分析和评估投资结果。</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4</w:t>
      </w:r>
      <w:r>
        <w:rPr>
          <w:rFonts w:ascii="宋体" w:hAnsi="Calibri" w:cs="宋体" w:hint="eastAsia"/>
          <w:szCs w:val="21"/>
          <w:lang w:eastAsia="zh-CN"/>
        </w:rPr>
        <w:t>）交易业务</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建立集中交易部门和集中交易制度，投资指令通过集中交易部门完成；建立交易监测系统、预警系统和交易反馈系统，完善相关的安全设施；集中交易部门应对交易指令进行审核，建立公平的交易分配制度，确保公平对待不同基金；完善交易记录，并及时进行反馈、核对和存档保管；建立科学的投资交易绩效评价体系。</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5</w:t>
      </w:r>
      <w:r>
        <w:rPr>
          <w:rFonts w:ascii="宋体" w:hAnsi="Calibri" w:cs="宋体" w:hint="eastAsia"/>
          <w:szCs w:val="21"/>
          <w:lang w:eastAsia="zh-CN"/>
        </w:rPr>
        <w:t>）基金会计核算</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公司根据法律法规及业务的要求建立会计制度，并根据风险控制点建立健全规范的系统和流程，以基金为会计核算主体，独立建账、独立核算。通过合理的估值方法和估值程序等会计措施，真实、完整、及时地记载每一笔业务并正确进行</w:t>
      </w:r>
      <w:r>
        <w:rPr>
          <w:rFonts w:ascii="宋体" w:hAnsi="Calibri" w:cs="宋体" w:hint="eastAsia"/>
          <w:szCs w:val="21"/>
          <w:lang w:eastAsia="zh-CN"/>
        </w:rPr>
        <w:t>会计核算和业务核算。同时建立会计档案保管制度，确保档案真实完整。</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6</w:t>
      </w:r>
      <w:r>
        <w:rPr>
          <w:rFonts w:ascii="宋体" w:hAnsi="Calibri" w:cs="宋体" w:hint="eastAsia"/>
          <w:szCs w:val="21"/>
          <w:lang w:eastAsia="zh-CN"/>
        </w:rPr>
        <w:t>）信息披露</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公司建立了完备的信息披露制度，指定了信息披露负责人，并建立了相应的制度流程规范相关信息的收集、组织、审核和发布，努力确保公开披露的信息真实、准确、完整、及时。</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7</w:t>
      </w:r>
      <w:r>
        <w:rPr>
          <w:rFonts w:ascii="宋体" w:hAnsi="Calibri" w:cs="宋体" w:hint="eastAsia"/>
          <w:szCs w:val="21"/>
          <w:lang w:eastAsia="zh-CN"/>
        </w:rPr>
        <w:t>）监察与合规管理</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公司设立督察长，由董事会聘任，向董事会负责。根据公司监察与合规管理工作的需要和董事会授权，督察长可以列席公司相关会议，调阅公司相关档案资料，就内部控制制度的执行情况独立地履行检查、评价、报告、建议职能。督察长定期和不定期向董事会报告公司内部控制执行</w:t>
      </w:r>
      <w:r>
        <w:rPr>
          <w:rFonts w:ascii="宋体" w:hAnsi="Calibri" w:cs="宋体" w:hint="eastAsia"/>
          <w:szCs w:val="21"/>
          <w:lang w:eastAsia="zh-CN"/>
        </w:rPr>
        <w:t>情况，董事会对督察长的报告进行审议。</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公司设立监察合规管理部门，并保障其独立性。监察合规管理部门按照公司规定和督察长的安排履行监察与合规管理职责。</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监察合规管理部门通过定期或不定期检查内部控制制度的执行情况，督促公司和旗下基金的管理运作规范进行。</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公司董事会和管理层充分重视和支持监察与合规管理工作，对违反法律、法规和公司内部控制制度的，追究有关部门和人员的责任。</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5</w:t>
      </w:r>
      <w:r>
        <w:rPr>
          <w:rFonts w:ascii="宋体" w:hAnsi="Calibri" w:cs="宋体" w:hint="eastAsia"/>
          <w:szCs w:val="21"/>
          <w:lang w:eastAsia="zh-CN"/>
        </w:rPr>
        <w:t>、基金管理人关于内部控制制度声明书</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1</w:t>
      </w:r>
      <w:r>
        <w:rPr>
          <w:rFonts w:ascii="宋体" w:hAnsi="Calibri" w:cs="宋体" w:hint="eastAsia"/>
          <w:szCs w:val="21"/>
          <w:lang w:eastAsia="zh-CN"/>
        </w:rPr>
        <w:t>）本公司承诺以上关于内部控制制度的披露真实、准确；</w:t>
      </w:r>
    </w:p>
    <w:p w:rsidR="004A090B">
      <w:pPr>
        <w:spacing w:line="360" w:lineRule="auto"/>
        <w:ind w:firstLine="420"/>
        <w:rPr>
          <w:rFonts w:ascii="宋体" w:hAnsi="Calibri" w:cs="宋体"/>
          <w:lang w:eastAsia="zh-CN"/>
        </w:rPr>
      </w:pPr>
      <w:r>
        <w:rPr>
          <w:rFonts w:ascii="宋体" w:hAnsi="Calibri" w:cs="宋体" w:hint="eastAsia"/>
          <w:szCs w:val="21"/>
          <w:lang w:eastAsia="zh-CN"/>
        </w:rPr>
        <w:t>（</w:t>
      </w:r>
      <w:r>
        <w:rPr>
          <w:rFonts w:ascii="宋体" w:hAnsi="Calibri" w:cs="宋体" w:hint="eastAsia"/>
          <w:szCs w:val="21"/>
          <w:lang w:eastAsia="zh-CN"/>
        </w:rPr>
        <w:t>2</w:t>
      </w:r>
      <w:r>
        <w:rPr>
          <w:rFonts w:ascii="宋体" w:hAnsi="Calibri" w:cs="宋体" w:hint="eastAsia"/>
          <w:szCs w:val="21"/>
          <w:lang w:eastAsia="zh-CN"/>
        </w:rPr>
        <w:t>）本公司承诺根据市场变化和公司业务发展不断完善内</w:t>
      </w:r>
      <w:r>
        <w:rPr>
          <w:rFonts w:ascii="宋体" w:hAnsi="Calibri" w:cs="宋体" w:hint="eastAsia"/>
          <w:szCs w:val="21"/>
          <w:lang w:eastAsia="zh-CN"/>
        </w:rPr>
        <w:t>部控制制度。</w:t>
      </w:r>
      <w:bookmarkStart w:id="14" w:name="_Toc272569766"/>
      <w:bookmarkStart w:id="15" w:name="_Toc272569767"/>
      <w:bookmarkStart w:id="16" w:name="_Toc272569768"/>
      <w:bookmarkStart w:id="17" w:name="_Toc272569765"/>
      <w:bookmarkStart w:id="18" w:name="_Toc296526931"/>
      <w:bookmarkStart w:id="19" w:name="_Toc308697506"/>
      <w:bookmarkStart w:id="20" w:name="_Toc309286028"/>
      <w:bookmarkStart w:id="21" w:name="_Toc296526926"/>
      <w:bookmarkStart w:id="22" w:name="_Toc296526927"/>
      <w:bookmarkStart w:id="23" w:name="_Toc296526928"/>
      <w:bookmarkStart w:id="24" w:name="_Toc296526929"/>
      <w:bookmarkStart w:id="25" w:name="_Toc296526963"/>
      <w:bookmarkStart w:id="26" w:name="_Toc296526974"/>
      <w:bookmarkStart w:id="27" w:name="_Toc296526932"/>
      <w:bookmarkStart w:id="28" w:name="_Toc296526933"/>
      <w:bookmarkStart w:id="29" w:name="_Toc296526934"/>
      <w:bookmarkStart w:id="30" w:name="_Toc296526936"/>
      <w:bookmarkStart w:id="31" w:name="_Toc296526958"/>
      <w:bookmarkStart w:id="32" w:name="_Toc308697497"/>
      <w:bookmarkStart w:id="33" w:name="_Toc309286019"/>
      <w:bookmarkStart w:id="34" w:name="_Toc308697498"/>
      <w:bookmarkStart w:id="35" w:name="_Toc309286020"/>
      <w:bookmarkStart w:id="36" w:name="_Toc308697499"/>
      <w:bookmarkStart w:id="37" w:name="_Toc309286021"/>
      <w:bookmarkStart w:id="38" w:name="_Toc272569769"/>
      <w:bookmarkStart w:id="39" w:name="_Toc272569770"/>
      <w:bookmarkStart w:id="40" w:name="_Toc272569771"/>
      <w:bookmarkStart w:id="41" w:name="_Toc272569772"/>
      <w:bookmarkStart w:id="42" w:name="_Toc272569773"/>
      <w:bookmarkStart w:id="43" w:name="_Toc296440126"/>
      <w:bookmarkStart w:id="44" w:name="_Toc308697507"/>
      <w:bookmarkStart w:id="45" w:name="_Toc309286029"/>
      <w:bookmarkStart w:id="46" w:name="_Toc308697508"/>
      <w:bookmarkStart w:id="47" w:name="_Toc323051000"/>
      <w:bookmarkStart w:id="48" w:name="_Toc308697488"/>
      <w:bookmarkStart w:id="49" w:name="_Toc309286010"/>
      <w:bookmarkStart w:id="50" w:name="_Toc296526989"/>
      <w:bookmarkStart w:id="51" w:name="_Toc323051008"/>
      <w:bookmarkStart w:id="52" w:name="_Toc296526992"/>
      <w:bookmarkStart w:id="53" w:name="_Toc296526993"/>
      <w:bookmarkStart w:id="54" w:name="_Toc277752499"/>
      <w:bookmarkStart w:id="55" w:name="_Toc277786078"/>
      <w:bookmarkStart w:id="56" w:name="_Toc277787599"/>
      <w:bookmarkStart w:id="57" w:name="_Toc277787873"/>
      <w:bookmarkStart w:id="58" w:name="_Toc278409384"/>
      <w:bookmarkStart w:id="59" w:name="_Toc277786086"/>
      <w:bookmarkStart w:id="60" w:name="_Toc277787607"/>
      <w:bookmarkStart w:id="61" w:name="_Toc277787881"/>
      <w:bookmarkStart w:id="62" w:name="_Toc278409392"/>
      <w:bookmarkStart w:id="63" w:name="_Toc277752508"/>
      <w:bookmarkStart w:id="64" w:name="_Toc277786087"/>
      <w:bookmarkStart w:id="65" w:name="_Toc277787608"/>
      <w:bookmarkStart w:id="66" w:name="_Toc277787882"/>
      <w:bookmarkStart w:id="67" w:name="_Toc278409393"/>
      <w:bookmarkStart w:id="68" w:name="_Toc277752509"/>
      <w:bookmarkStart w:id="69" w:name="_Toc277786088"/>
      <w:bookmarkStart w:id="70" w:name="_Toc277787609"/>
      <w:bookmarkStart w:id="71" w:name="_Toc277787883"/>
      <w:bookmarkStart w:id="72" w:name="_Toc308697500"/>
      <w:bookmarkStart w:id="73" w:name="_Toc309286022"/>
      <w:bookmarkStart w:id="74" w:name="_Toc308697501"/>
      <w:bookmarkStart w:id="75" w:name="_Toc309286023"/>
      <w:bookmarkStart w:id="76" w:name="_Toc308697502"/>
      <w:bookmarkStart w:id="77" w:name="_Toc309286024"/>
      <w:bookmarkStart w:id="78" w:name="_Toc308697503"/>
      <w:bookmarkStart w:id="79" w:name="_Toc309286025"/>
      <w:bookmarkStart w:id="80" w:name="_Toc308697504"/>
      <w:bookmarkStart w:id="81" w:name="_Toc309286026"/>
      <w:bookmarkStart w:id="82" w:name="_Toc308697505"/>
      <w:bookmarkStart w:id="83" w:name="_Toc309286027"/>
      <w:bookmarkStart w:id="84" w:name="_Toc310513348"/>
      <w:bookmarkStart w:id="85" w:name="_Toc323051024"/>
      <w:bookmarkStart w:id="86" w:name="_Toc310512464"/>
      <w:bookmarkStart w:id="87" w:name="_Toc310512628"/>
      <w:bookmarkStart w:id="88" w:name="_Toc310512781"/>
      <w:bookmarkStart w:id="89" w:name="_Toc310512934"/>
      <w:bookmarkStart w:id="90" w:name="_Toc310513074"/>
      <w:bookmarkStart w:id="91" w:name="_Toc310513213"/>
      <w:bookmarkStart w:id="92" w:name="_Toc309286030"/>
      <w:bookmarkStart w:id="93" w:name="_Toc308697509"/>
      <w:bookmarkStart w:id="94" w:name="_Toc309286031"/>
      <w:bookmarkStart w:id="95" w:name="_Toc308697510"/>
      <w:bookmarkStart w:id="96" w:name="_Toc309286032"/>
      <w:bookmarkStart w:id="97" w:name="_Toc308697511"/>
      <w:bookmarkStart w:id="98" w:name="_Toc309286033"/>
      <w:bookmarkStart w:id="99" w:name="_Toc308697512"/>
      <w:bookmarkStart w:id="100" w:name="_Toc309286034"/>
      <w:bookmarkStart w:id="101" w:name="_Toc308697513"/>
      <w:bookmarkStart w:id="102" w:name="_Toc309286035"/>
      <w:bookmarkStart w:id="103" w:name="_Toc277752504"/>
      <w:bookmarkStart w:id="104" w:name="_Toc277786083"/>
      <w:bookmarkStart w:id="105" w:name="_Toc277787604"/>
      <w:bookmarkStart w:id="106" w:name="_Toc277787878"/>
      <w:bookmarkStart w:id="107" w:name="_Toc278409389"/>
      <w:bookmarkStart w:id="108" w:name="_Toc277752505"/>
      <w:bookmarkStart w:id="109" w:name="_Toc277786084"/>
      <w:bookmarkStart w:id="110" w:name="_Toc277787605"/>
      <w:bookmarkStart w:id="111" w:name="_Toc277787879"/>
      <w:bookmarkStart w:id="112" w:name="_Toc278409390"/>
      <w:bookmarkStart w:id="113" w:name="_Toc277752506"/>
      <w:bookmarkStart w:id="114" w:name="_Toc277786085"/>
      <w:bookmarkStart w:id="115" w:name="_Toc277787606"/>
      <w:bookmarkStart w:id="116" w:name="_Toc277787880"/>
      <w:bookmarkStart w:id="117" w:name="_Toc278409391"/>
      <w:bookmarkStart w:id="118" w:name="_Toc277752507"/>
      <w:bookmarkStart w:id="119" w:name="_Toc309286115"/>
      <w:bookmarkStart w:id="120" w:name="_Toc308697594"/>
      <w:bookmarkStart w:id="121" w:name="_Toc309286116"/>
      <w:bookmarkStart w:id="122" w:name="_Toc308697595"/>
      <w:bookmarkStart w:id="123" w:name="_Toc309286117"/>
      <w:bookmarkStart w:id="124" w:name="_Toc308697596"/>
      <w:bookmarkStart w:id="125" w:name="_Toc309286118"/>
      <w:bookmarkStart w:id="126" w:name="_Toc308697597"/>
      <w:bookmarkStart w:id="127" w:name="_Toc309286119"/>
      <w:bookmarkStart w:id="128" w:name="_Toc308697598"/>
      <w:bookmarkStart w:id="129" w:name="_Toc309286120"/>
      <w:bookmarkStart w:id="130" w:name="_Toc308697599"/>
      <w:bookmarkStart w:id="131" w:name="_Toc309286121"/>
      <w:bookmarkStart w:id="132" w:name="_Toc308697600"/>
      <w:bookmarkStart w:id="133" w:name="_Toc309286122"/>
      <w:bookmarkStart w:id="134" w:name="_Toc308697601"/>
      <w:bookmarkStart w:id="135" w:name="_Toc309286123"/>
      <w:bookmarkStart w:id="136" w:name="_Toc308697602"/>
      <w:bookmarkStart w:id="137" w:name="_Toc309286124"/>
      <w:bookmarkStart w:id="138" w:name="_Toc308697603"/>
      <w:bookmarkStart w:id="139" w:name="_Toc309286125"/>
      <w:bookmarkStart w:id="140" w:name="_Toc308697604"/>
      <w:bookmarkStart w:id="141" w:name="_Toc309286126"/>
      <w:bookmarkStart w:id="142" w:name="_Toc308697605"/>
      <w:bookmarkStart w:id="143" w:name="_Toc309286127"/>
      <w:bookmarkStart w:id="144" w:name="_Toc278409394"/>
      <w:bookmarkStart w:id="145" w:name="_Toc308697516"/>
      <w:bookmarkStart w:id="146" w:name="_Toc309286038"/>
      <w:bookmarkStart w:id="147" w:name="_Toc308697517"/>
      <w:bookmarkStart w:id="148" w:name="_Toc309286039"/>
      <w:bookmarkStart w:id="149" w:name="_Toc296527004"/>
      <w:bookmarkStart w:id="150" w:name="_Toc308697541"/>
      <w:bookmarkStart w:id="151" w:name="_Toc309286063"/>
      <w:bookmarkStart w:id="152" w:name="_Toc308697542"/>
      <w:bookmarkStart w:id="153" w:name="_Toc309286064"/>
      <w:bookmarkStart w:id="154" w:name="_Toc308697543"/>
      <w:bookmarkStart w:id="155" w:name="_Toc309286065"/>
      <w:bookmarkStart w:id="156" w:name="_Toc306614238"/>
      <w:bookmarkStart w:id="157" w:name="_Toc310512463"/>
      <w:bookmarkStart w:id="158" w:name="_Toc310512627"/>
      <w:bookmarkStart w:id="159" w:name="_Toc310512780"/>
      <w:bookmarkStart w:id="160" w:name="_Toc310512933"/>
      <w:bookmarkStart w:id="161" w:name="_Toc310513073"/>
      <w:bookmarkStart w:id="162" w:name="_Toc310513212"/>
      <w:bookmarkStart w:id="163" w:name="_Toc309286144"/>
      <w:bookmarkStart w:id="164" w:name="_Toc308697623"/>
      <w:bookmarkStart w:id="165" w:name="_Toc309286145"/>
      <w:bookmarkStart w:id="166" w:name="_Toc308697624"/>
      <w:bookmarkStart w:id="167" w:name="_Toc309286146"/>
      <w:bookmarkStart w:id="168" w:name="_Toc308697625"/>
      <w:bookmarkStart w:id="169" w:name="_Toc309286147"/>
      <w:bookmarkStart w:id="170" w:name="_Toc308697626"/>
      <w:bookmarkStart w:id="171" w:name="_Toc309286148"/>
      <w:bookmarkStart w:id="172" w:name="_Toc308697627"/>
      <w:bookmarkStart w:id="173" w:name="_Toc309286149"/>
      <w:bookmarkStart w:id="174" w:name="_Toc308697628"/>
      <w:bookmarkStart w:id="175" w:name="_Toc309286150"/>
      <w:bookmarkStart w:id="176" w:name="_Toc308697629"/>
      <w:bookmarkStart w:id="177" w:name="_Toc309286151"/>
      <w:bookmarkStart w:id="178" w:name="_Toc308697630"/>
      <w:bookmarkStart w:id="179" w:name="_Toc310513349"/>
      <w:bookmarkStart w:id="180" w:name="_Toc323051025"/>
      <w:bookmarkStart w:id="181" w:name="_Toc310512465"/>
      <w:bookmarkStart w:id="182" w:name="_Toc310512629"/>
      <w:bookmarkStart w:id="183" w:name="_Toc310512782"/>
      <w:bookmarkStart w:id="184" w:name="_Toc310512935"/>
      <w:bookmarkStart w:id="185" w:name="_Toc310513075"/>
      <w:bookmarkStart w:id="186" w:name="_Toc310513214"/>
      <w:bookmarkStart w:id="187" w:name="_Toc310513350"/>
      <w:bookmarkStart w:id="188" w:name="_Toc323051026"/>
      <w:bookmarkStart w:id="189" w:name="_Toc308697560"/>
      <w:bookmarkStart w:id="190" w:name="_Toc309286082"/>
      <w:bookmarkStart w:id="191" w:name="_Toc308697561"/>
      <w:bookmarkStart w:id="192" w:name="_Toc309286083"/>
      <w:bookmarkStart w:id="193" w:name="_Toc308697562"/>
      <w:bookmarkStart w:id="194" w:name="_Toc309286084"/>
      <w:bookmarkStart w:id="195" w:name="_Toc44229106"/>
      <w:bookmarkStart w:id="196" w:name="_Toc44229201"/>
      <w:bookmarkStart w:id="197" w:name="_Toc44229107"/>
      <w:bookmarkStart w:id="198" w:name="_Toc44229202"/>
      <w:bookmarkStart w:id="199" w:name="_Toc44229108"/>
      <w:bookmarkStart w:id="200" w:name="_Toc44229203"/>
      <w:bookmarkStart w:id="201" w:name="_Toc44229109"/>
      <w:bookmarkStart w:id="202" w:name="_Toc44229204"/>
      <w:bookmarkStart w:id="203" w:name="_Toc44229110"/>
      <w:bookmarkStart w:id="204" w:name="_Toc44229205"/>
      <w:bookmarkStart w:id="205" w:name="_Toc44229111"/>
      <w:bookmarkStart w:id="206" w:name="_Toc44229206"/>
      <w:bookmarkStart w:id="207" w:name="_Toc44229112"/>
      <w:bookmarkStart w:id="208" w:name="_Toc44229207"/>
      <w:bookmarkStart w:id="209" w:name="_Toc44229113"/>
      <w:bookmarkStart w:id="210" w:name="_Toc44229208"/>
      <w:bookmarkStart w:id="211" w:name="_Toc185222016"/>
      <w:bookmarkStart w:id="212" w:name="_Toc185222488"/>
      <w:bookmarkStart w:id="213" w:name="_Toc185222591"/>
      <w:bookmarkStart w:id="214" w:name="_Toc185222757"/>
      <w:bookmarkStart w:id="215" w:name="_Hlt80958353"/>
      <w:bookmarkStart w:id="216" w:name="_Toc278409426"/>
      <w:bookmarkStart w:id="217" w:name="_Toc323051053"/>
      <w:bookmarkStart w:id="218" w:name="_Toc323051054"/>
      <w:bookmarkStart w:id="219" w:name="_Toc323051055"/>
      <w:bookmarkStart w:id="220" w:name="_Toc308697583"/>
      <w:bookmarkStart w:id="221" w:name="_Toc309286105"/>
      <w:bookmarkStart w:id="222" w:name="_Toc308697584"/>
      <w:bookmarkStart w:id="223" w:name="_Toc309286106"/>
      <w:bookmarkStart w:id="224" w:name="_Toc308697585"/>
      <w:bookmarkStart w:id="225" w:name="_Toc309286107"/>
      <w:bookmarkStart w:id="226" w:name="_Toc308697586"/>
      <w:bookmarkStart w:id="227" w:name="_Toc309286108"/>
      <w:bookmarkStart w:id="228" w:name="_Toc308697587"/>
      <w:bookmarkStart w:id="229" w:name="_Toc309286109"/>
      <w:bookmarkStart w:id="230" w:name="_Toc308697588"/>
      <w:bookmarkStart w:id="231" w:name="_Toc309286110"/>
      <w:bookmarkStart w:id="232" w:name="_Toc308697589"/>
      <w:bookmarkStart w:id="233" w:name="_Toc309286111"/>
      <w:bookmarkStart w:id="234" w:name="_Toc308697590"/>
      <w:bookmarkStart w:id="235" w:name="_Toc309286112"/>
      <w:bookmarkStart w:id="236" w:name="_Toc308697591"/>
      <w:bookmarkStart w:id="237" w:name="_Toc309286113"/>
      <w:bookmarkStart w:id="238" w:name="_Toc308697592"/>
      <w:bookmarkStart w:id="239" w:name="_Toc309286114"/>
      <w:bookmarkStart w:id="240" w:name="_Toc308697593"/>
      <w:bookmarkStart w:id="241" w:name="_Toc38438334"/>
      <w:bookmarkStart w:id="242" w:name="_Toc38438671"/>
      <w:bookmarkStart w:id="243" w:name="_Toc38439008"/>
      <w:bookmarkStart w:id="244" w:name="_Toc38439345"/>
      <w:bookmarkStart w:id="245" w:name="_Toc38439682"/>
      <w:bookmarkStart w:id="246" w:name="_Toc38440019"/>
      <w:bookmarkStart w:id="247" w:name="_Toc38440356"/>
      <w:bookmarkStart w:id="248" w:name="_Toc38440888"/>
      <w:bookmarkStart w:id="249" w:name="_Toc38441220"/>
      <w:bookmarkStart w:id="250" w:name="_Toc38441552"/>
      <w:bookmarkStart w:id="251" w:name="_Toc38441880"/>
      <w:bookmarkStart w:id="252" w:name="_Toc38442212"/>
      <w:bookmarkStart w:id="253" w:name="_Toc38442544"/>
      <w:bookmarkStart w:id="254" w:name="_Toc38442875"/>
      <w:bookmarkStart w:id="255" w:name="_Toc38443206"/>
      <w:bookmarkStart w:id="256" w:name="_Toc38443537"/>
      <w:bookmarkStart w:id="257" w:name="_Toc38443868"/>
      <w:bookmarkStart w:id="258" w:name="_Toc38438335"/>
      <w:bookmarkStart w:id="259" w:name="_Toc38438672"/>
      <w:bookmarkStart w:id="260" w:name="_Toc38439009"/>
      <w:bookmarkStart w:id="261" w:name="_Toc38439346"/>
      <w:bookmarkStart w:id="262" w:name="_Toc38439683"/>
      <w:bookmarkStart w:id="263" w:name="_Toc38440020"/>
      <w:bookmarkStart w:id="264" w:name="_Toc38440357"/>
      <w:bookmarkStart w:id="265" w:name="_Toc38440889"/>
      <w:bookmarkStart w:id="266" w:name="_Toc38441221"/>
      <w:bookmarkStart w:id="267" w:name="_Toc38441553"/>
      <w:bookmarkStart w:id="268" w:name="_Toc38441881"/>
      <w:bookmarkStart w:id="269" w:name="_Toc38442213"/>
      <w:bookmarkStart w:id="270" w:name="_Toc38442545"/>
      <w:bookmarkStart w:id="271" w:name="_Toc38442876"/>
      <w:bookmarkStart w:id="272" w:name="_Toc38443207"/>
      <w:bookmarkStart w:id="273" w:name="_Toc38443538"/>
      <w:bookmarkStart w:id="274" w:name="_Toc38443869"/>
      <w:bookmarkStart w:id="275" w:name="_Toc38438336"/>
      <w:bookmarkStart w:id="276" w:name="_Toc38438673"/>
      <w:bookmarkStart w:id="277" w:name="_Toc38439010"/>
      <w:bookmarkStart w:id="278" w:name="_Toc38439347"/>
      <w:bookmarkStart w:id="279" w:name="_Toc38439684"/>
      <w:bookmarkStart w:id="280" w:name="_Toc38440021"/>
      <w:bookmarkStart w:id="281" w:name="_Toc38440358"/>
      <w:bookmarkStart w:id="282" w:name="_Toc38440890"/>
      <w:bookmarkStart w:id="283" w:name="_Toc38441222"/>
      <w:bookmarkStart w:id="284" w:name="_Toc38441554"/>
      <w:bookmarkStart w:id="285" w:name="_Toc38441882"/>
      <w:bookmarkStart w:id="286" w:name="_Toc38442214"/>
      <w:bookmarkStart w:id="287" w:name="_Toc38442546"/>
      <w:bookmarkStart w:id="288" w:name="_Toc38442877"/>
      <w:bookmarkStart w:id="289" w:name="_Toc38443208"/>
      <w:bookmarkStart w:id="290" w:name="_Toc38443539"/>
      <w:bookmarkStart w:id="291" w:name="_Toc38443870"/>
      <w:bookmarkStart w:id="292" w:name="_Toc38438337"/>
      <w:bookmarkStart w:id="293" w:name="_Toc308697606"/>
      <w:bookmarkStart w:id="294" w:name="_Toc309286128"/>
      <w:bookmarkStart w:id="295" w:name="_Toc308697607"/>
      <w:bookmarkStart w:id="296" w:name="_Toc309286129"/>
      <w:bookmarkStart w:id="297" w:name="_Toc308697608"/>
      <w:bookmarkStart w:id="298" w:name="_Toc309286130"/>
      <w:bookmarkStart w:id="299" w:name="_Toc308697609"/>
      <w:bookmarkStart w:id="300" w:name="_Toc309286131"/>
      <w:bookmarkStart w:id="301" w:name="_Toc308697610"/>
      <w:bookmarkStart w:id="302" w:name="_Toc309286132"/>
      <w:bookmarkStart w:id="303" w:name="_Toc308697611"/>
      <w:bookmarkStart w:id="304" w:name="_Toc309286133"/>
      <w:bookmarkStart w:id="305" w:name="_Toc308697612"/>
      <w:bookmarkStart w:id="306" w:name="_Toc309286134"/>
      <w:bookmarkStart w:id="307" w:name="_Toc308697613"/>
      <w:bookmarkStart w:id="308" w:name="_Toc309286135"/>
      <w:bookmarkStart w:id="309" w:name="_Toc308697614"/>
      <w:bookmarkStart w:id="310" w:name="_Toc309286136"/>
      <w:bookmarkStart w:id="311" w:name="_Toc308697615"/>
      <w:bookmarkStart w:id="312" w:name="_Toc309286137"/>
      <w:bookmarkStart w:id="313" w:name="_Toc308697616"/>
      <w:bookmarkStart w:id="314" w:name="_Toc309286138"/>
      <w:bookmarkStart w:id="315" w:name="_Toc308697617"/>
      <w:bookmarkStart w:id="316" w:name="_Toc309286139"/>
      <w:bookmarkStart w:id="317" w:name="_Toc308697618"/>
      <w:bookmarkStart w:id="318" w:name="_Toc309286140"/>
      <w:bookmarkStart w:id="319" w:name="_Toc308697619"/>
      <w:bookmarkStart w:id="320" w:name="_Toc309286141"/>
      <w:bookmarkStart w:id="321" w:name="_Toc308697620"/>
      <w:bookmarkStart w:id="322" w:name="_Toc309286142"/>
      <w:bookmarkStart w:id="323" w:name="_Toc308697621"/>
      <w:bookmarkStart w:id="324" w:name="_Toc309286143"/>
      <w:bookmarkStart w:id="325" w:name="_Toc308697622"/>
      <w:bookmarkStart w:id="326" w:name="_Toc38439014"/>
      <w:bookmarkStart w:id="327" w:name="_Toc38439351"/>
      <w:bookmarkStart w:id="328" w:name="_Toc38439688"/>
      <w:bookmarkStart w:id="329" w:name="_Toc38440025"/>
      <w:bookmarkStart w:id="330" w:name="_Toc38440362"/>
      <w:bookmarkStart w:id="331" w:name="_Toc38440894"/>
      <w:bookmarkStart w:id="332" w:name="_Toc38441226"/>
      <w:bookmarkStart w:id="333" w:name="_Toc38441558"/>
      <w:bookmarkStart w:id="334" w:name="_Toc38441886"/>
      <w:bookmarkStart w:id="335" w:name="_Toc38442218"/>
      <w:bookmarkStart w:id="336" w:name="_Toc38442550"/>
      <w:bookmarkStart w:id="337" w:name="_Toc38442881"/>
      <w:bookmarkStart w:id="338" w:name="_Toc38443212"/>
      <w:bookmarkStart w:id="339" w:name="_Toc38443543"/>
      <w:bookmarkStart w:id="340" w:name="_Toc38443874"/>
      <w:bookmarkStart w:id="341" w:name="_Toc38438341"/>
      <w:bookmarkStart w:id="342" w:name="_Toc38438678"/>
      <w:bookmarkStart w:id="343" w:name="_Toc38439015"/>
      <w:bookmarkStart w:id="344" w:name="_Toc38439352"/>
      <w:bookmarkStart w:id="345" w:name="_Toc38439689"/>
      <w:bookmarkStart w:id="346" w:name="_Toc38440026"/>
      <w:bookmarkStart w:id="347" w:name="_Toc38440363"/>
      <w:bookmarkStart w:id="348" w:name="_Toc38440895"/>
      <w:bookmarkStart w:id="349" w:name="_Toc38441227"/>
      <w:bookmarkStart w:id="350" w:name="_Toc38441559"/>
      <w:bookmarkStart w:id="351" w:name="_Toc38441887"/>
      <w:bookmarkStart w:id="352" w:name="_Toc38442219"/>
      <w:bookmarkStart w:id="353" w:name="_Toc38442551"/>
      <w:bookmarkStart w:id="354" w:name="_Toc38442882"/>
      <w:bookmarkStart w:id="355" w:name="_Toc38443213"/>
      <w:bookmarkStart w:id="356" w:name="_Toc38443544"/>
      <w:bookmarkStart w:id="357" w:name="_Toc38443875"/>
      <w:bookmarkStart w:id="358" w:name="_Toc309286152"/>
      <w:bookmarkStart w:id="359" w:name="_Toc308697631"/>
      <w:bookmarkStart w:id="360" w:name="_Toc309286153"/>
      <w:bookmarkStart w:id="361" w:name="_Toc308697632"/>
      <w:bookmarkStart w:id="362" w:name="_Toc309286154"/>
      <w:bookmarkStart w:id="363" w:name="_Toc308697633"/>
      <w:bookmarkStart w:id="364" w:name="_Toc309286155"/>
      <w:bookmarkStart w:id="365" w:name="_Toc308697634"/>
      <w:bookmarkStart w:id="366" w:name="_Toc309286156"/>
      <w:bookmarkStart w:id="367" w:name="_Toc308697635"/>
      <w:bookmarkStart w:id="368" w:name="_Toc309286157"/>
      <w:bookmarkStart w:id="369" w:name="_Toc308697636"/>
      <w:bookmarkStart w:id="370" w:name="_Toc309286158"/>
      <w:bookmarkStart w:id="371" w:name="_Toc308697637"/>
      <w:bookmarkStart w:id="372" w:name="_Toc309286159"/>
      <w:bookmarkStart w:id="373" w:name="_Toc308697638"/>
      <w:bookmarkStart w:id="374" w:name="_Toc309286160"/>
      <w:bookmarkStart w:id="375" w:name="_Toc308697639"/>
      <w:bookmarkStart w:id="376" w:name="_Toc309286161"/>
      <w:bookmarkStart w:id="377" w:name="_Toc308697640"/>
      <w:bookmarkStart w:id="378" w:name="_Toc309286162"/>
      <w:bookmarkStart w:id="379" w:name="_Toc308697641"/>
      <w:bookmarkStart w:id="380" w:name="_Toc309286163"/>
      <w:bookmarkStart w:id="381" w:name="_Toc308697642"/>
      <w:bookmarkStart w:id="382" w:name="_Toc309286164"/>
      <w:bookmarkStart w:id="383" w:name="_Toc308697643"/>
      <w:bookmarkStart w:id="384" w:name="_Toc309286165"/>
      <w:bookmarkStart w:id="385" w:name="_Toc308697644"/>
      <w:bookmarkStart w:id="386" w:name="_Toc309286166"/>
      <w:bookmarkStart w:id="387" w:name="_Toc308697645"/>
      <w:bookmarkStart w:id="388" w:name="_Toc309286167"/>
      <w:bookmarkStart w:id="389" w:name="_Toc308697646"/>
      <w:bookmarkStart w:id="390" w:name="_Toc309286168"/>
      <w:bookmarkStart w:id="391" w:name="_Toc308697647"/>
      <w:bookmarkStart w:id="392" w:name="_Toc309286169"/>
      <w:bookmarkStart w:id="393" w:name="_Toc308697648"/>
      <w:bookmarkStart w:id="394" w:name="_Toc309286170"/>
      <w:bookmarkStart w:id="395" w:name="_Toc308697649"/>
      <w:bookmarkStart w:id="396" w:name="_Toc309286171"/>
      <w:bookmarkStart w:id="397" w:name="_Toc308697650"/>
      <w:bookmarkStart w:id="398" w:name="_Toc309286172"/>
      <w:bookmarkStart w:id="399" w:name="_Toc308697651"/>
      <w:bookmarkStart w:id="400" w:name="_Toc309286173"/>
      <w:bookmarkStart w:id="401" w:name="_Toc308697652"/>
      <w:bookmarkStart w:id="402" w:name="_Toc309286174"/>
      <w:bookmarkStart w:id="403" w:name="_Toc308697653"/>
      <w:bookmarkStart w:id="404" w:name="_Toc309286175"/>
      <w:bookmarkStart w:id="405" w:name="_Toc308697654"/>
      <w:bookmarkStart w:id="406" w:name="_Toc309286176"/>
      <w:bookmarkStart w:id="407" w:name="_Toc308697655"/>
      <w:bookmarkStart w:id="408" w:name="_Toc309286177"/>
      <w:bookmarkStart w:id="409" w:name="_Toc308697656"/>
      <w:bookmarkStart w:id="410" w:name="_Toc309286178"/>
      <w:bookmarkStart w:id="411" w:name="_Toc308697657"/>
      <w:bookmarkStart w:id="412" w:name="_Toc309286179"/>
      <w:bookmarkStart w:id="413" w:name="_Toc308697658"/>
      <w:bookmarkStart w:id="414" w:name="_Toc309286180"/>
      <w:bookmarkStart w:id="415" w:name="_Toc308697659"/>
      <w:bookmarkStart w:id="416" w:name="_Toc309286181"/>
      <w:bookmarkStart w:id="417" w:name="_Toc308697660"/>
      <w:bookmarkStart w:id="418" w:name="_Toc309286182"/>
      <w:bookmarkStart w:id="419" w:name="_Toc308697661"/>
      <w:bookmarkStart w:id="420" w:name="_Toc309286183"/>
      <w:bookmarkStart w:id="421" w:name="_Toc308697662"/>
      <w:bookmarkStart w:id="422" w:name="_Toc309286184"/>
      <w:bookmarkStart w:id="423" w:name="_Toc308697663"/>
      <w:bookmarkStart w:id="424" w:name="_Toc309286185"/>
      <w:bookmarkStart w:id="425" w:name="_Toc308697664"/>
      <w:bookmarkStart w:id="426" w:name="_Toc309286186"/>
      <w:bookmarkStart w:id="427" w:name="_Toc308697665"/>
      <w:bookmarkStart w:id="428" w:name="_Toc309286187"/>
      <w:bookmarkStart w:id="429" w:name="_Toc308697666"/>
      <w:bookmarkStart w:id="430" w:name="_Toc309286188"/>
      <w:bookmarkStart w:id="431" w:name="_Toc308697667"/>
      <w:bookmarkStart w:id="432" w:name="_Toc309286189"/>
      <w:bookmarkStart w:id="433" w:name="_Toc308697668"/>
      <w:bookmarkStart w:id="434" w:name="_Toc309286190"/>
      <w:bookmarkStart w:id="435" w:name="_Toc308697669"/>
      <w:bookmarkStart w:id="436" w:name="_Toc309286191"/>
      <w:bookmarkStart w:id="437" w:name="_Toc308697670"/>
      <w:bookmarkStart w:id="438" w:name="_Toc309286192"/>
      <w:bookmarkStart w:id="439" w:name="_Toc308697671"/>
      <w:bookmarkStart w:id="440" w:name="_Toc309286193"/>
      <w:bookmarkStart w:id="441" w:name="_Toc308697672"/>
      <w:bookmarkStart w:id="442" w:name="_Toc309286194"/>
      <w:bookmarkStart w:id="443" w:name="_Toc308697673"/>
      <w:bookmarkStart w:id="444" w:name="_Toc309286195"/>
      <w:bookmarkStart w:id="445" w:name="_Toc308697674"/>
      <w:bookmarkStart w:id="446" w:name="_Toc309286196"/>
      <w:bookmarkStart w:id="447" w:name="_Toc308697675"/>
      <w:bookmarkStart w:id="448" w:name="_Toc309286197"/>
      <w:bookmarkStart w:id="449" w:name="_Toc308697676"/>
      <w:bookmarkStart w:id="450" w:name="_Toc309286198"/>
      <w:bookmarkStart w:id="451" w:name="_Toc308697677"/>
      <w:bookmarkStart w:id="452" w:name="_Toc309286199"/>
      <w:bookmarkStart w:id="453" w:name="_Toc308697678"/>
      <w:bookmarkStart w:id="454" w:name="_Toc309286200"/>
      <w:bookmarkStart w:id="455" w:name="_Toc308697679"/>
      <w:bookmarkStart w:id="456" w:name="_Toc309286201"/>
      <w:bookmarkStart w:id="457" w:name="_Toc308697680"/>
      <w:bookmarkStart w:id="458" w:name="_Toc309286202"/>
      <w:bookmarkStart w:id="459" w:name="_Toc308697681"/>
      <w:bookmarkStart w:id="460" w:name="_Toc309286203"/>
      <w:bookmarkStart w:id="461" w:name="_Toc308697682"/>
      <w:bookmarkStart w:id="462" w:name="_Toc309286204"/>
      <w:bookmarkStart w:id="463" w:name="_Toc308697683"/>
      <w:bookmarkStart w:id="464" w:name="_Toc309286205"/>
      <w:bookmarkStart w:id="465" w:name="_Toc308697684"/>
      <w:bookmarkStart w:id="466" w:name="_Toc309286206"/>
      <w:bookmarkStart w:id="467" w:name="_Toc308697685"/>
      <w:bookmarkStart w:id="468" w:name="_Toc309286207"/>
      <w:bookmarkStart w:id="469" w:name="_Toc97031319"/>
      <w:bookmarkStart w:id="470" w:name="_Toc97107279"/>
      <w:bookmarkStart w:id="471" w:name="_Toc272569090"/>
      <w:bookmarkStart w:id="472" w:name="_Toc272569242"/>
      <w:bookmarkStart w:id="473" w:name="_Toc272569426"/>
      <w:bookmarkStart w:id="474" w:name="_Toc272569563"/>
      <w:bookmarkStart w:id="475" w:name="_Toc272569699"/>
      <w:bookmarkStart w:id="476" w:name="_Toc272569850"/>
      <w:bookmarkStart w:id="477" w:name="_Toc272570173"/>
      <w:bookmarkStart w:id="478" w:name="_Toc272570307"/>
      <w:bookmarkStart w:id="479" w:name="_Toc272570440"/>
      <w:bookmarkStart w:id="480" w:name="_Toc272570574"/>
      <w:bookmarkStart w:id="481" w:name="_Toc272570707"/>
      <w:bookmarkStart w:id="482" w:name="_Toc272570840"/>
      <w:bookmarkStart w:id="483" w:name="_Toc272569091"/>
      <w:bookmarkStart w:id="484" w:name="_Toc38440887"/>
      <w:bookmarkStart w:id="485" w:name="_Toc38441219"/>
      <w:bookmarkStart w:id="486" w:name="_Toc38441551"/>
      <w:bookmarkStart w:id="487" w:name="_Toc38441879"/>
      <w:bookmarkStart w:id="488" w:name="_Toc38442211"/>
      <w:bookmarkStart w:id="489" w:name="_Toc38442543"/>
      <w:bookmarkStart w:id="490" w:name="_Toc38442874"/>
      <w:bookmarkStart w:id="491" w:name="_Toc38443205"/>
      <w:bookmarkStart w:id="492" w:name="_Toc38443536"/>
      <w:bookmarkStart w:id="493" w:name="_Toc38443867"/>
      <w:bookmarkStart w:id="494" w:name="_Toc272569725"/>
      <w:bookmarkStart w:id="495" w:name="_Toc272569876"/>
      <w:bookmarkStart w:id="496" w:name="_Toc272569117"/>
      <w:bookmarkStart w:id="497" w:name="_Toc272569269"/>
      <w:bookmarkStart w:id="498" w:name="_Toc272569453"/>
      <w:bookmarkStart w:id="499" w:name="_Toc272569590"/>
      <w:bookmarkStart w:id="500" w:name="_Toc272569726"/>
      <w:bookmarkStart w:id="501" w:name="_Toc272569877"/>
      <w:bookmarkStart w:id="502" w:name="_Toc272569118"/>
      <w:bookmarkStart w:id="503" w:name="_Toc272569270"/>
      <w:bookmarkStart w:id="504" w:name="_Toc272569454"/>
      <w:bookmarkStart w:id="505" w:name="_Toc272569591"/>
      <w:bookmarkStart w:id="506" w:name="_Toc272569727"/>
      <w:bookmarkStart w:id="507" w:name="_Toc272569878"/>
      <w:bookmarkStart w:id="508" w:name="_Toc308697714"/>
      <w:bookmarkStart w:id="509" w:name="_Toc309286236"/>
      <w:bookmarkStart w:id="510" w:name="_Hlt133147570"/>
      <w:bookmarkStart w:id="511" w:name="_Hlt133151691"/>
      <w:bookmarkStart w:id="512" w:name="_Toc308697716"/>
      <w:bookmarkStart w:id="513" w:name="_Toc309286238"/>
      <w:bookmarkStart w:id="514" w:name="_Toc308697717"/>
      <w:bookmarkStart w:id="515" w:name="_Toc309286239"/>
      <w:bookmarkStart w:id="516" w:name="_Toc308697718"/>
      <w:bookmarkStart w:id="517" w:name="_Toc309286240"/>
      <w:bookmarkStart w:id="518" w:name="_Toc308697719"/>
      <w:bookmarkStart w:id="519" w:name="_Toc309286241"/>
      <w:bookmarkStart w:id="520" w:name="_Toc308697720"/>
      <w:bookmarkStart w:id="521" w:name="_Toc309286242"/>
      <w:bookmarkStart w:id="522" w:name="_Toc308697721"/>
      <w:bookmarkStart w:id="523" w:name="_Toc309286243"/>
      <w:bookmarkStart w:id="524" w:name="_Toc308697722"/>
      <w:bookmarkStart w:id="525" w:name="_Toc309286244"/>
      <w:bookmarkStart w:id="526" w:name="_Toc308697723"/>
      <w:bookmarkStart w:id="527" w:name="_Toc309286245"/>
      <w:bookmarkStart w:id="528" w:name="_Toc38438275"/>
      <w:bookmarkStart w:id="529" w:name="_Toc38438612"/>
      <w:bookmarkStart w:id="530" w:name="_Toc38438949"/>
      <w:bookmarkStart w:id="531" w:name="_Toc38439286"/>
      <w:bookmarkStart w:id="532" w:name="_Toc38439623"/>
      <w:bookmarkStart w:id="533" w:name="_Toc38439960"/>
      <w:bookmarkStart w:id="534" w:name="_Toc38440297"/>
      <w:bookmarkStart w:id="535" w:name="_Toc38440630"/>
      <w:bookmarkStart w:id="536" w:name="_Toc38440829"/>
      <w:bookmarkStart w:id="537" w:name="_Toc38441161"/>
      <w:bookmarkStart w:id="538" w:name="_Toc38441493"/>
      <w:bookmarkStart w:id="539" w:name="_Toc38441821"/>
      <w:bookmarkStart w:id="540" w:name="_Toc38442153"/>
      <w:bookmarkStart w:id="541" w:name="_Toc38442485"/>
      <w:bookmarkStart w:id="542" w:name="_Toc38442816"/>
      <w:bookmarkStart w:id="543" w:name="_Toc38443147"/>
      <w:bookmarkStart w:id="544" w:name="_Toc38443478"/>
      <w:bookmarkStart w:id="545" w:name="_Toc38443809"/>
      <w:bookmarkStart w:id="546" w:name="_Toc38438277"/>
      <w:bookmarkStart w:id="547" w:name="_Toc38438614"/>
      <w:bookmarkStart w:id="548" w:name="_Toc38438951"/>
      <w:bookmarkStart w:id="549" w:name="_Toc38439288"/>
      <w:bookmarkStart w:id="550" w:name="_Toc38439625"/>
      <w:bookmarkStart w:id="551" w:name="_Toc38439962"/>
      <w:bookmarkStart w:id="552" w:name="_Toc38440299"/>
      <w:bookmarkStart w:id="553" w:name="_Toc38440632"/>
      <w:bookmarkStart w:id="554" w:name="_Toc38440831"/>
      <w:bookmarkStart w:id="555" w:name="_Toc38441163"/>
      <w:bookmarkStart w:id="556" w:name="_Toc38441495"/>
      <w:bookmarkStart w:id="557" w:name="_Toc38441823"/>
      <w:bookmarkStart w:id="558" w:name="_Toc38442155"/>
      <w:bookmarkStart w:id="559" w:name="_Toc38442487"/>
      <w:bookmarkStart w:id="560" w:name="_Toc38442818"/>
      <w:bookmarkStart w:id="561" w:name="_Toc38443149"/>
      <w:bookmarkStart w:id="562" w:name="_Toc38443480"/>
      <w:bookmarkStart w:id="563" w:name="_Toc38443811"/>
      <w:bookmarkStart w:id="564" w:name="_Toc38438278"/>
      <w:bookmarkStart w:id="565" w:name="_Toc38438615"/>
      <w:bookmarkStart w:id="566" w:name="_Toc38438952"/>
      <w:bookmarkStart w:id="567" w:name="_Toc38439289"/>
      <w:bookmarkStart w:id="568" w:name="_Toc38439626"/>
      <w:bookmarkStart w:id="569" w:name="_Toc38439963"/>
      <w:bookmarkStart w:id="570" w:name="_Toc38440300"/>
      <w:bookmarkStart w:id="571" w:name="_Toc38440633"/>
      <w:bookmarkStart w:id="572" w:name="_Toc38440832"/>
      <w:bookmarkStart w:id="573" w:name="_Toc38441164"/>
      <w:bookmarkStart w:id="574" w:name="_Toc38441496"/>
      <w:bookmarkStart w:id="575" w:name="_Toc38441824"/>
      <w:bookmarkStart w:id="576" w:name="_Toc38442156"/>
      <w:bookmarkStart w:id="577" w:name="_Toc38442488"/>
      <w:bookmarkStart w:id="578" w:name="_Toc38442819"/>
      <w:bookmarkStart w:id="579" w:name="_Toc38443150"/>
      <w:bookmarkStart w:id="580" w:name="_Toc38443481"/>
      <w:bookmarkStart w:id="581" w:name="_Toc38443812"/>
      <w:bookmarkStart w:id="582" w:name="_Toc38438279"/>
      <w:bookmarkStart w:id="583" w:name="_Toc38438616"/>
      <w:bookmarkStart w:id="584" w:name="_Toc38438953"/>
      <w:bookmarkStart w:id="585" w:name="_Toc38439290"/>
      <w:bookmarkStart w:id="586" w:name="_Toc38439627"/>
      <w:bookmarkStart w:id="587" w:name="_Toc38439964"/>
      <w:bookmarkStart w:id="588" w:name="_Toc38440301"/>
      <w:bookmarkStart w:id="589" w:name="_Toc38440634"/>
      <w:bookmarkStart w:id="590" w:name="_Toc38440833"/>
      <w:bookmarkStart w:id="591" w:name="_Toc38441165"/>
      <w:bookmarkStart w:id="592" w:name="_Toc38441497"/>
      <w:bookmarkStart w:id="593" w:name="_Toc38441825"/>
      <w:bookmarkStart w:id="594" w:name="_Toc38442157"/>
      <w:bookmarkStart w:id="595" w:name="_Toc38442489"/>
      <w:bookmarkStart w:id="596" w:name="_Toc38442820"/>
      <w:bookmarkStart w:id="597" w:name="_Toc38438674"/>
      <w:bookmarkStart w:id="598" w:name="_Toc38439011"/>
      <w:bookmarkStart w:id="599" w:name="_Toc38439348"/>
      <w:bookmarkStart w:id="600" w:name="_Toc38439685"/>
      <w:bookmarkStart w:id="601" w:name="_Toc38440022"/>
      <w:bookmarkStart w:id="602" w:name="_Toc38440359"/>
      <w:bookmarkStart w:id="603" w:name="_Toc38440891"/>
      <w:bookmarkStart w:id="604" w:name="_Toc38441223"/>
      <w:bookmarkStart w:id="605" w:name="_Toc38441555"/>
      <w:bookmarkStart w:id="606" w:name="_Toc38441883"/>
      <w:bookmarkStart w:id="607" w:name="_Toc38442215"/>
      <w:bookmarkStart w:id="608" w:name="_Toc38442547"/>
      <w:bookmarkStart w:id="609" w:name="_Toc38442878"/>
      <w:bookmarkStart w:id="610" w:name="_Toc38443209"/>
      <w:bookmarkStart w:id="611" w:name="_Toc38443540"/>
      <w:bookmarkStart w:id="612" w:name="_Toc38443871"/>
      <w:bookmarkStart w:id="613" w:name="_Toc38438338"/>
      <w:bookmarkStart w:id="614" w:name="_Toc38438675"/>
      <w:bookmarkStart w:id="615" w:name="_Toc38439012"/>
      <w:bookmarkStart w:id="616" w:name="_Toc38439349"/>
      <w:bookmarkStart w:id="617" w:name="_Toc38439686"/>
      <w:bookmarkStart w:id="618" w:name="_Toc38440023"/>
      <w:bookmarkStart w:id="619" w:name="_Toc38440360"/>
      <w:bookmarkStart w:id="620" w:name="_Toc38440892"/>
      <w:bookmarkStart w:id="621" w:name="_Toc38441224"/>
      <w:bookmarkStart w:id="622" w:name="_Toc38441556"/>
      <w:bookmarkStart w:id="623" w:name="_Toc38441884"/>
      <w:bookmarkStart w:id="624" w:name="_Toc38442216"/>
      <w:bookmarkStart w:id="625" w:name="_Toc38442548"/>
      <w:bookmarkStart w:id="626" w:name="_Toc38442879"/>
      <w:bookmarkStart w:id="627" w:name="_Toc38443210"/>
      <w:bookmarkStart w:id="628" w:name="_Toc38443541"/>
      <w:bookmarkStart w:id="629" w:name="_Toc38443872"/>
      <w:bookmarkStart w:id="630" w:name="_Toc38438339"/>
      <w:bookmarkStart w:id="631" w:name="_Toc38438676"/>
      <w:bookmarkStart w:id="632" w:name="_Toc38439013"/>
      <w:bookmarkStart w:id="633" w:name="_Toc38439350"/>
      <w:bookmarkStart w:id="634" w:name="_Toc38439687"/>
      <w:bookmarkStart w:id="635" w:name="_Toc38440024"/>
      <w:bookmarkStart w:id="636" w:name="_Toc38440361"/>
      <w:bookmarkStart w:id="637" w:name="_Toc38440893"/>
      <w:bookmarkStart w:id="638" w:name="_Toc38441225"/>
      <w:bookmarkStart w:id="639" w:name="_Toc38441557"/>
      <w:bookmarkStart w:id="640" w:name="_Toc38441885"/>
      <w:bookmarkStart w:id="641" w:name="_Toc38442217"/>
      <w:bookmarkStart w:id="642" w:name="_Toc38442549"/>
      <w:bookmarkStart w:id="643" w:name="_Toc38442880"/>
      <w:bookmarkStart w:id="644" w:name="_Toc38443211"/>
      <w:bookmarkStart w:id="645" w:name="_Toc38443542"/>
      <w:bookmarkStart w:id="646" w:name="_Toc38443873"/>
      <w:bookmarkStart w:id="647" w:name="_Toc38438340"/>
      <w:bookmarkStart w:id="648" w:name="_Toc38438677"/>
      <w:bookmarkStart w:id="649" w:name="_Toc38440307"/>
      <w:bookmarkStart w:id="650" w:name="_Toc38440640"/>
      <w:bookmarkStart w:id="651" w:name="_Toc38440839"/>
      <w:bookmarkStart w:id="652" w:name="_Toc38441171"/>
      <w:bookmarkStart w:id="653" w:name="_Toc38441503"/>
      <w:bookmarkStart w:id="654" w:name="_Toc38441831"/>
      <w:bookmarkStart w:id="655" w:name="_Toc38442163"/>
      <w:bookmarkStart w:id="656" w:name="_Toc38442495"/>
      <w:bookmarkStart w:id="657" w:name="_Toc38442826"/>
      <w:bookmarkStart w:id="658" w:name="_Toc38443157"/>
      <w:bookmarkStart w:id="659" w:name="_Toc38443488"/>
      <w:bookmarkStart w:id="660" w:name="_Toc38443819"/>
      <w:bookmarkStart w:id="661" w:name="_Toc38438286"/>
      <w:bookmarkStart w:id="662" w:name="_Toc38438623"/>
      <w:bookmarkStart w:id="663" w:name="_Toc38438960"/>
      <w:bookmarkStart w:id="664" w:name="_Toc38439297"/>
      <w:bookmarkStart w:id="665" w:name="_Toc38439634"/>
      <w:bookmarkStart w:id="666" w:name="_Toc38439971"/>
      <w:bookmarkStart w:id="667" w:name="_Toc38440308"/>
      <w:bookmarkStart w:id="668" w:name="_Toc38440641"/>
      <w:bookmarkStart w:id="669" w:name="_Toc38440840"/>
      <w:bookmarkStart w:id="670" w:name="_Toc38441172"/>
      <w:bookmarkStart w:id="671" w:name="_Toc38441504"/>
      <w:bookmarkStart w:id="672" w:name="_Toc38441832"/>
      <w:bookmarkStart w:id="673" w:name="_Toc38442164"/>
      <w:bookmarkStart w:id="674" w:name="_Toc38442496"/>
      <w:bookmarkStart w:id="675" w:name="_Toc38442827"/>
      <w:bookmarkStart w:id="676" w:name="_Toc38443158"/>
      <w:bookmarkStart w:id="677" w:name="_Toc38443489"/>
      <w:bookmarkStart w:id="678" w:name="_Toc38443820"/>
      <w:bookmarkStart w:id="679" w:name="_Toc38438287"/>
      <w:bookmarkStart w:id="680" w:name="_Toc38438624"/>
      <w:bookmarkStart w:id="681" w:name="_Toc38438961"/>
      <w:bookmarkStart w:id="682" w:name="_Toc38439298"/>
      <w:bookmarkStart w:id="683" w:name="_Toc38439635"/>
      <w:bookmarkStart w:id="684" w:name="_Toc38439972"/>
      <w:bookmarkStart w:id="685" w:name="_Toc38440309"/>
      <w:bookmarkStart w:id="686" w:name="_Toc38440642"/>
      <w:bookmarkStart w:id="687" w:name="_Toc38440841"/>
      <w:bookmarkStart w:id="688" w:name="_Toc38441173"/>
      <w:bookmarkStart w:id="689" w:name="_Toc38441505"/>
      <w:bookmarkStart w:id="690" w:name="_Toc38441833"/>
      <w:bookmarkStart w:id="691" w:name="_Toc38442165"/>
      <w:bookmarkStart w:id="692" w:name="_Toc38442497"/>
      <w:bookmarkStart w:id="693" w:name="_Toc38442828"/>
      <w:bookmarkStart w:id="694" w:name="_Toc38443159"/>
      <w:bookmarkStart w:id="695" w:name="_Toc38443490"/>
      <w:bookmarkStart w:id="696" w:name="_Toc38443821"/>
      <w:bookmarkStart w:id="697" w:name="_Toc38438288"/>
      <w:bookmarkStart w:id="698" w:name="_Toc38438625"/>
      <w:bookmarkStart w:id="699" w:name="_Toc38438962"/>
      <w:bookmarkStart w:id="700" w:name="_Toc38439299"/>
      <w:bookmarkStart w:id="701" w:name="_Toc38439636"/>
      <w:bookmarkStart w:id="702" w:name="_Toc38439973"/>
      <w:bookmarkStart w:id="703" w:name="_Toc38440310"/>
      <w:bookmarkStart w:id="704" w:name="_Toc38440643"/>
      <w:bookmarkStart w:id="705" w:name="_Toc38440842"/>
      <w:bookmarkStart w:id="706" w:name="_Toc38441174"/>
      <w:bookmarkStart w:id="707" w:name="_Toc38441506"/>
      <w:bookmarkStart w:id="708" w:name="_Toc38441834"/>
      <w:bookmarkStart w:id="709" w:name="_Toc38442166"/>
      <w:bookmarkStart w:id="710" w:name="_Toc38442498"/>
      <w:bookmarkStart w:id="711" w:name="_Toc38442829"/>
      <w:bookmarkStart w:id="712" w:name="_Toc38443160"/>
      <w:bookmarkStart w:id="713" w:name="_Toc38438342"/>
      <w:bookmarkStart w:id="714" w:name="_Toc38438679"/>
      <w:bookmarkStart w:id="715" w:name="_Toc38439016"/>
      <w:bookmarkStart w:id="716" w:name="_Toc38439353"/>
      <w:bookmarkStart w:id="717" w:name="_Toc38439690"/>
      <w:bookmarkStart w:id="718" w:name="_Toc38440027"/>
      <w:bookmarkStart w:id="719" w:name="_Toc38440364"/>
      <w:bookmarkStart w:id="720" w:name="_Toc38440896"/>
      <w:bookmarkStart w:id="721" w:name="_Toc38441228"/>
      <w:bookmarkStart w:id="722" w:name="_Toc38441560"/>
      <w:bookmarkStart w:id="723" w:name="_Toc38441888"/>
      <w:bookmarkStart w:id="724" w:name="_Toc38442220"/>
      <w:bookmarkStart w:id="725" w:name="_Toc38442552"/>
      <w:bookmarkStart w:id="726" w:name="_Toc38442883"/>
      <w:bookmarkStart w:id="727" w:name="_Toc38443214"/>
      <w:bookmarkStart w:id="728" w:name="_Toc38443545"/>
      <w:bookmarkStart w:id="729" w:name="_Toc38443876"/>
      <w:bookmarkStart w:id="730" w:name="_Toc38438343"/>
      <w:bookmarkStart w:id="731" w:name="_Toc38438680"/>
      <w:bookmarkStart w:id="732" w:name="_Toc38439017"/>
      <w:bookmarkStart w:id="733" w:name="_Toc38439354"/>
      <w:bookmarkStart w:id="734" w:name="_Toc38439691"/>
      <w:bookmarkStart w:id="735" w:name="_Toc38440028"/>
      <w:bookmarkStart w:id="736" w:name="_Toc38440365"/>
      <w:bookmarkStart w:id="737" w:name="_Toc38440897"/>
      <w:bookmarkStart w:id="738" w:name="_Toc38441229"/>
      <w:bookmarkStart w:id="739" w:name="_Toc38441561"/>
      <w:bookmarkStart w:id="740" w:name="_Toc38441889"/>
      <w:bookmarkStart w:id="741" w:name="_Toc38442221"/>
      <w:bookmarkStart w:id="742" w:name="_Toc38442553"/>
      <w:bookmarkStart w:id="743" w:name="_Toc38442884"/>
      <w:bookmarkStart w:id="744" w:name="_Toc38443215"/>
      <w:bookmarkStart w:id="745" w:name="_Toc38443546"/>
      <w:bookmarkStart w:id="746" w:name="_Toc38443877"/>
      <w:bookmarkStart w:id="747" w:name="_Toc272569243"/>
      <w:bookmarkStart w:id="748" w:name="_Toc272569427"/>
      <w:bookmarkStart w:id="749" w:name="_Toc272569564"/>
      <w:bookmarkStart w:id="750" w:name="_Toc272569700"/>
      <w:bookmarkStart w:id="751" w:name="_Toc272569851"/>
      <w:bookmarkStart w:id="752" w:name="_Toc272570174"/>
      <w:bookmarkStart w:id="753" w:name="_Toc272570308"/>
      <w:bookmarkStart w:id="754" w:name="_Toc272570441"/>
      <w:bookmarkStart w:id="755" w:name="_Toc272570575"/>
      <w:bookmarkStart w:id="756" w:name="_Toc272570708"/>
      <w:bookmarkStart w:id="757" w:name="_Toc272570841"/>
      <w:bookmarkStart w:id="758" w:name="_Toc272569093"/>
      <w:bookmarkStart w:id="759" w:name="_Toc272569245"/>
      <w:bookmarkStart w:id="760" w:name="_Toc272569429"/>
      <w:bookmarkStart w:id="761" w:name="_Toc272569566"/>
      <w:bookmarkStart w:id="762" w:name="_Toc272569702"/>
      <w:bookmarkStart w:id="763" w:name="_Toc272569853"/>
      <w:bookmarkStart w:id="764" w:name="_Toc272570176"/>
      <w:bookmarkStart w:id="765" w:name="_Toc272570310"/>
      <w:bookmarkStart w:id="766" w:name="_Toc272570443"/>
      <w:bookmarkStart w:id="767" w:name="_Toc272570577"/>
      <w:bookmarkStart w:id="768" w:name="_Toc272570710"/>
      <w:bookmarkStart w:id="769" w:name="_Toc272570843"/>
      <w:bookmarkStart w:id="770" w:name="_Toc272569094"/>
      <w:bookmarkStart w:id="771" w:name="_Toc272569246"/>
      <w:bookmarkStart w:id="772" w:name="_Toc272569430"/>
      <w:bookmarkStart w:id="773" w:name="_Toc272569567"/>
      <w:bookmarkStart w:id="774" w:name="_Toc272569703"/>
      <w:bookmarkStart w:id="775" w:name="_Toc272569854"/>
      <w:bookmarkStart w:id="776" w:name="_Toc272570177"/>
      <w:bookmarkStart w:id="777" w:name="_Toc272570311"/>
      <w:bookmarkStart w:id="778" w:name="_Toc272570444"/>
      <w:bookmarkStart w:id="779" w:name="_Toc272570578"/>
      <w:bookmarkStart w:id="780" w:name="_Toc272570711"/>
      <w:bookmarkStart w:id="781" w:name="_Toc272570844"/>
      <w:bookmarkStart w:id="782" w:name="_Toc272569095"/>
      <w:bookmarkStart w:id="783" w:name="_Toc272569247"/>
      <w:bookmarkStart w:id="784" w:name="_Toc272569431"/>
      <w:bookmarkStart w:id="785" w:name="_Toc272569568"/>
      <w:bookmarkStart w:id="786" w:name="_Toc272569704"/>
      <w:bookmarkStart w:id="787" w:name="_Toc272569855"/>
      <w:bookmarkStart w:id="788" w:name="_Toc272570178"/>
      <w:bookmarkStart w:id="789" w:name="_Toc272570312"/>
      <w:bookmarkStart w:id="790" w:name="_Toc272570445"/>
      <w:bookmarkStart w:id="791" w:name="_Toc272570579"/>
      <w:bookmarkStart w:id="792" w:name="_Toc272570712"/>
      <w:bookmarkStart w:id="793" w:name="_Toc272570845"/>
      <w:bookmarkStart w:id="794" w:name="_Toc272569096"/>
      <w:bookmarkStart w:id="795" w:name="_Toc272569248"/>
      <w:bookmarkStart w:id="796" w:name="_Toc272569432"/>
      <w:bookmarkStart w:id="797" w:name="_Toc272569569"/>
      <w:bookmarkStart w:id="798" w:name="_Toc272569705"/>
      <w:bookmarkStart w:id="799" w:name="_Toc272569856"/>
      <w:bookmarkStart w:id="800" w:name="_Toc272570179"/>
      <w:bookmarkStart w:id="801" w:name="_Toc272570313"/>
      <w:bookmarkStart w:id="802" w:name="_Toc272570446"/>
      <w:bookmarkStart w:id="803" w:name="_Toc272570580"/>
      <w:bookmarkStart w:id="804" w:name="_Toc272570713"/>
      <w:bookmarkStart w:id="805" w:name="_Toc272570846"/>
      <w:bookmarkStart w:id="806" w:name="_Toc272569097"/>
      <w:bookmarkStart w:id="807" w:name="_Toc272569249"/>
      <w:bookmarkStart w:id="808" w:name="_Toc272569433"/>
      <w:bookmarkStart w:id="809" w:name="_Toc272569570"/>
      <w:bookmarkStart w:id="810" w:name="_Toc272569706"/>
      <w:bookmarkStart w:id="811" w:name="_Toc272569857"/>
      <w:bookmarkStart w:id="812" w:name="_Toc272570180"/>
      <w:bookmarkStart w:id="813" w:name="_Toc272570314"/>
      <w:bookmarkStart w:id="814" w:name="_Toc272570447"/>
      <w:bookmarkStart w:id="815" w:name="_Toc272570581"/>
      <w:bookmarkStart w:id="816" w:name="_Toc272570714"/>
      <w:bookmarkStart w:id="817" w:name="_Toc272570847"/>
      <w:bookmarkStart w:id="818" w:name="_Toc272569098"/>
      <w:bookmarkStart w:id="819" w:name="_Toc272569250"/>
      <w:bookmarkStart w:id="820" w:name="_Toc272569434"/>
      <w:bookmarkStart w:id="821" w:name="_Toc272569571"/>
      <w:bookmarkStart w:id="822" w:name="_Toc272569707"/>
      <w:bookmarkStart w:id="823" w:name="_Toc272569858"/>
      <w:bookmarkStart w:id="824" w:name="_Toc272570181"/>
      <w:bookmarkStart w:id="825" w:name="_Toc272570315"/>
      <w:bookmarkStart w:id="826" w:name="_Toc272570448"/>
      <w:bookmarkStart w:id="827" w:name="_Toc272570582"/>
      <w:bookmarkStart w:id="828" w:name="_Toc272570715"/>
      <w:bookmarkStart w:id="829" w:name="_Toc272570848"/>
      <w:bookmarkStart w:id="830" w:name="_Toc272569099"/>
      <w:bookmarkStart w:id="831" w:name="_Toc272569251"/>
      <w:bookmarkStart w:id="832" w:name="_Toc272569435"/>
      <w:bookmarkStart w:id="833" w:name="_Toc272569572"/>
      <w:bookmarkStart w:id="834" w:name="_Toc272569708"/>
      <w:bookmarkStart w:id="835" w:name="_Toc272569859"/>
      <w:bookmarkStart w:id="836" w:name="_Toc272570182"/>
      <w:bookmarkStart w:id="837" w:name="_Toc272570316"/>
      <w:bookmarkStart w:id="838" w:name="_Toc272570449"/>
      <w:bookmarkStart w:id="839" w:name="_Toc272570583"/>
      <w:bookmarkStart w:id="840" w:name="_Toc272570716"/>
      <w:bookmarkStart w:id="841" w:name="_Toc272570849"/>
      <w:bookmarkStart w:id="842" w:name="_Toc272569100"/>
      <w:bookmarkStart w:id="843" w:name="_Toc272569252"/>
      <w:bookmarkStart w:id="844" w:name="_Toc272569436"/>
      <w:bookmarkStart w:id="845" w:name="_Toc272569573"/>
      <w:bookmarkStart w:id="846" w:name="_Toc272569709"/>
      <w:bookmarkStart w:id="847" w:name="_Toc272569860"/>
      <w:bookmarkStart w:id="848" w:name="_Toc272570183"/>
      <w:bookmarkStart w:id="849" w:name="_Toc272570317"/>
      <w:bookmarkStart w:id="850" w:name="_Toc272570450"/>
      <w:bookmarkStart w:id="851" w:name="_Toc272570584"/>
      <w:bookmarkStart w:id="852" w:name="_Toc272570717"/>
      <w:bookmarkStart w:id="853" w:name="_Toc272570850"/>
      <w:bookmarkStart w:id="854" w:name="_Toc272569102"/>
      <w:bookmarkStart w:id="855" w:name="_Toc272569254"/>
      <w:bookmarkStart w:id="856" w:name="_Toc272569438"/>
      <w:bookmarkStart w:id="857" w:name="_Toc272569575"/>
      <w:bookmarkStart w:id="858" w:name="_Toc272569711"/>
      <w:bookmarkStart w:id="859" w:name="_Toc272569862"/>
      <w:bookmarkStart w:id="860" w:name="_Toc272570185"/>
      <w:bookmarkStart w:id="861" w:name="_Toc272570319"/>
      <w:bookmarkStart w:id="862" w:name="_Toc272570452"/>
      <w:bookmarkStart w:id="863" w:name="_Toc272570586"/>
      <w:bookmarkStart w:id="864" w:name="_Toc272570719"/>
      <w:bookmarkStart w:id="865" w:name="_Toc272570852"/>
      <w:bookmarkStart w:id="866" w:name="_Toc272569103"/>
      <w:bookmarkStart w:id="867" w:name="_Toc272569255"/>
      <w:bookmarkStart w:id="868" w:name="_Toc272569439"/>
      <w:bookmarkStart w:id="869" w:name="_Toc272569576"/>
      <w:bookmarkStart w:id="870" w:name="_Toc272569712"/>
      <w:bookmarkStart w:id="871" w:name="_Toc272569863"/>
      <w:bookmarkStart w:id="872" w:name="_Toc272570186"/>
      <w:bookmarkStart w:id="873" w:name="_Toc272570320"/>
      <w:bookmarkStart w:id="874" w:name="_Toc272570453"/>
      <w:bookmarkStart w:id="875" w:name="_Toc272570587"/>
      <w:bookmarkStart w:id="876" w:name="_Toc272570720"/>
      <w:bookmarkStart w:id="877" w:name="_Toc272570853"/>
      <w:bookmarkStart w:id="878" w:name="_Toc272569104"/>
      <w:bookmarkStart w:id="879" w:name="_Toc272569256"/>
      <w:bookmarkStart w:id="880" w:name="_Toc272569440"/>
      <w:bookmarkStart w:id="881" w:name="_Toc272569577"/>
      <w:bookmarkStart w:id="882" w:name="_Toc272569713"/>
      <w:bookmarkStart w:id="883" w:name="_Toc272569864"/>
      <w:bookmarkStart w:id="884" w:name="_Toc272570187"/>
      <w:bookmarkStart w:id="885" w:name="_Toc272570321"/>
      <w:bookmarkStart w:id="886" w:name="_Toc272570454"/>
      <w:bookmarkStart w:id="887" w:name="_Toc272570588"/>
      <w:bookmarkStart w:id="888" w:name="_Toc272570721"/>
      <w:bookmarkStart w:id="889" w:name="_Toc272570854"/>
      <w:bookmarkStart w:id="890" w:name="_Toc272569105"/>
      <w:bookmarkStart w:id="891" w:name="_Toc272569257"/>
      <w:bookmarkStart w:id="892" w:name="_Toc272569441"/>
      <w:bookmarkStart w:id="893" w:name="_Toc272569578"/>
      <w:bookmarkStart w:id="894" w:name="_Toc272569714"/>
      <w:bookmarkStart w:id="895" w:name="_Toc272569865"/>
      <w:bookmarkStart w:id="896" w:name="_Toc272570188"/>
      <w:bookmarkStart w:id="897" w:name="_Toc272570322"/>
      <w:bookmarkStart w:id="898" w:name="_Toc272570455"/>
      <w:bookmarkStart w:id="899" w:name="_Toc272570589"/>
      <w:bookmarkStart w:id="900" w:name="_Toc272570722"/>
      <w:bookmarkStart w:id="901" w:name="_Toc272570855"/>
      <w:bookmarkStart w:id="902" w:name="_Toc272569106"/>
      <w:bookmarkStart w:id="903" w:name="_Toc272569258"/>
      <w:bookmarkStart w:id="904" w:name="_Toc272569442"/>
      <w:bookmarkStart w:id="905" w:name="_Toc272569579"/>
      <w:bookmarkStart w:id="906" w:name="_Toc272569715"/>
      <w:bookmarkStart w:id="907" w:name="_Toc272569866"/>
      <w:bookmarkStart w:id="908" w:name="_Toc272570189"/>
      <w:bookmarkStart w:id="909" w:name="_Toc272570323"/>
      <w:bookmarkStart w:id="910" w:name="_Toc272570456"/>
      <w:bookmarkStart w:id="911" w:name="_Toc272570590"/>
      <w:bookmarkStart w:id="912" w:name="_Toc272570723"/>
      <w:bookmarkStart w:id="913" w:name="_Toc272570856"/>
      <w:bookmarkStart w:id="914" w:name="_Toc272569107"/>
      <w:bookmarkStart w:id="915" w:name="_Toc272569259"/>
      <w:bookmarkStart w:id="916" w:name="_Toc272569443"/>
      <w:bookmarkStart w:id="917" w:name="_Toc272569580"/>
      <w:bookmarkStart w:id="918" w:name="_Toc272569716"/>
      <w:bookmarkStart w:id="919" w:name="_Toc272569867"/>
      <w:bookmarkStart w:id="920" w:name="_Toc272570190"/>
      <w:bookmarkStart w:id="921" w:name="_Toc272570324"/>
      <w:bookmarkStart w:id="922" w:name="_Toc272570457"/>
      <w:bookmarkStart w:id="923" w:name="_Toc272570591"/>
      <w:bookmarkStart w:id="924" w:name="_Toc272570724"/>
      <w:bookmarkStart w:id="925" w:name="_Toc272570857"/>
      <w:bookmarkStart w:id="926" w:name="_Toc272569108"/>
      <w:bookmarkStart w:id="927" w:name="_Toc272569260"/>
      <w:bookmarkStart w:id="928" w:name="_Toc272569444"/>
      <w:bookmarkStart w:id="929" w:name="_Toc272569581"/>
      <w:bookmarkStart w:id="930" w:name="_Toc272569717"/>
      <w:bookmarkStart w:id="931" w:name="_Toc272569868"/>
      <w:bookmarkStart w:id="932" w:name="_Toc272570191"/>
      <w:bookmarkStart w:id="933" w:name="_Toc272570325"/>
      <w:bookmarkStart w:id="934" w:name="_Toc272570458"/>
      <w:bookmarkStart w:id="935" w:name="_Toc272570592"/>
      <w:bookmarkStart w:id="936" w:name="_Toc272570725"/>
      <w:bookmarkStart w:id="937" w:name="_Toc272570858"/>
      <w:bookmarkStart w:id="938" w:name="_Toc272569109"/>
      <w:bookmarkStart w:id="939" w:name="_Toc272569261"/>
      <w:bookmarkStart w:id="940" w:name="_Toc272569445"/>
      <w:bookmarkStart w:id="941" w:name="_Toc272569582"/>
      <w:bookmarkStart w:id="942" w:name="_Toc272569718"/>
      <w:bookmarkStart w:id="943" w:name="_Toc272569869"/>
      <w:bookmarkStart w:id="944" w:name="_Toc272570192"/>
      <w:bookmarkStart w:id="945" w:name="_Toc272570326"/>
      <w:bookmarkStart w:id="946" w:name="_Toc272570459"/>
      <w:bookmarkStart w:id="947" w:name="_Toc272570593"/>
      <w:bookmarkStart w:id="948" w:name="_Toc272570726"/>
      <w:bookmarkStart w:id="949" w:name="_Toc272570859"/>
      <w:bookmarkStart w:id="950" w:name="_Toc308697698"/>
      <w:bookmarkStart w:id="951" w:name="_Toc309286220"/>
      <w:bookmarkStart w:id="952" w:name="_Toc308697699"/>
      <w:bookmarkStart w:id="953" w:name="_Toc309286221"/>
      <w:bookmarkStart w:id="954" w:name="_Toc308697700"/>
      <w:bookmarkStart w:id="955" w:name="_Toc309286222"/>
      <w:bookmarkStart w:id="956" w:name="_Toc308697701"/>
      <w:bookmarkStart w:id="957" w:name="_Toc309286223"/>
      <w:bookmarkStart w:id="958" w:name="_Toc308697702"/>
      <w:bookmarkStart w:id="959" w:name="_Toc309286224"/>
      <w:bookmarkStart w:id="960" w:name="_Toc308697703"/>
      <w:bookmarkStart w:id="961" w:name="_Toc309286225"/>
      <w:bookmarkStart w:id="962" w:name="_Toc308697704"/>
      <w:bookmarkStart w:id="963" w:name="_Toc309286226"/>
      <w:bookmarkStart w:id="964" w:name="_Toc308697705"/>
      <w:bookmarkStart w:id="965" w:name="_Toc309286227"/>
      <w:bookmarkStart w:id="966" w:name="_Toc308697706"/>
      <w:bookmarkStart w:id="967" w:name="_Toc309286228"/>
      <w:bookmarkStart w:id="968" w:name="_Toc296440221"/>
      <w:bookmarkStart w:id="969" w:name="_Toc272569113"/>
      <w:bookmarkStart w:id="970" w:name="_Toc272569265"/>
      <w:bookmarkStart w:id="971" w:name="_Toc272569449"/>
      <w:bookmarkStart w:id="972" w:name="_Toc272569586"/>
      <w:bookmarkStart w:id="973" w:name="_Toc272569722"/>
      <w:bookmarkStart w:id="974" w:name="_Toc272569873"/>
      <w:bookmarkStart w:id="975" w:name="_Toc272569114"/>
      <w:bookmarkStart w:id="976" w:name="_Toc272569266"/>
      <w:bookmarkStart w:id="977" w:name="_Toc272569450"/>
      <w:bookmarkStart w:id="978" w:name="_Toc272569587"/>
      <w:bookmarkStart w:id="979" w:name="_Toc272569723"/>
      <w:bookmarkStart w:id="980" w:name="_Toc272569874"/>
      <w:bookmarkStart w:id="981" w:name="_Toc272569115"/>
      <w:bookmarkStart w:id="982" w:name="_Toc272569267"/>
      <w:bookmarkStart w:id="983" w:name="_Toc272569451"/>
      <w:bookmarkStart w:id="984" w:name="_Toc272569588"/>
      <w:bookmarkStart w:id="985" w:name="_Toc272569724"/>
      <w:bookmarkStart w:id="986" w:name="_Toc272569875"/>
      <w:bookmarkStart w:id="987" w:name="_Toc272569116"/>
      <w:bookmarkStart w:id="988" w:name="_Toc272569268"/>
      <w:bookmarkStart w:id="989" w:name="_Toc272569452"/>
      <w:bookmarkStart w:id="990" w:name="_Toc272569589"/>
      <w:bookmarkStart w:id="991" w:name="_Toc38441217"/>
      <w:bookmarkStart w:id="992" w:name="_Toc38441549"/>
      <w:bookmarkStart w:id="993" w:name="_Toc38441877"/>
      <w:bookmarkStart w:id="994" w:name="_Toc38442209"/>
      <w:bookmarkStart w:id="995" w:name="_Toc38442541"/>
      <w:bookmarkStart w:id="996" w:name="_Toc38442872"/>
      <w:bookmarkStart w:id="997" w:name="_Toc38443203"/>
      <w:bookmarkStart w:id="998" w:name="_Toc38443534"/>
      <w:bookmarkStart w:id="999" w:name="_Toc38443865"/>
      <w:bookmarkStart w:id="1000" w:name="_Toc38438332"/>
      <w:bookmarkStart w:id="1001" w:name="_Toc38438669"/>
      <w:bookmarkStart w:id="1002" w:name="_Toc38439006"/>
      <w:bookmarkStart w:id="1003" w:name="_Toc38439343"/>
      <w:bookmarkStart w:id="1004" w:name="_Toc38439680"/>
      <w:bookmarkStart w:id="1005" w:name="_Toc38440017"/>
      <w:bookmarkStart w:id="1006" w:name="_Toc38440354"/>
      <w:bookmarkStart w:id="1007" w:name="_Toc38440886"/>
      <w:bookmarkStart w:id="1008" w:name="_Toc38441218"/>
      <w:bookmarkStart w:id="1009" w:name="_Toc38441550"/>
      <w:bookmarkStart w:id="1010" w:name="_Toc38441878"/>
      <w:bookmarkStart w:id="1011" w:name="_Toc38442210"/>
      <w:bookmarkStart w:id="1012" w:name="_Toc38442542"/>
      <w:bookmarkStart w:id="1013" w:name="_Toc38442873"/>
      <w:bookmarkStart w:id="1014" w:name="_Toc38443204"/>
      <w:bookmarkStart w:id="1015" w:name="_Toc38443535"/>
      <w:bookmarkStart w:id="1016" w:name="_Toc38443866"/>
      <w:bookmarkStart w:id="1017" w:name="_Toc38438333"/>
      <w:bookmarkStart w:id="1018" w:name="_Toc38438670"/>
      <w:bookmarkStart w:id="1019" w:name="_Toc38439007"/>
      <w:bookmarkStart w:id="1020" w:name="_Toc38439344"/>
      <w:bookmarkStart w:id="1021" w:name="_Toc38439681"/>
      <w:bookmarkStart w:id="1022" w:name="_Toc38440018"/>
      <w:bookmarkStart w:id="1023" w:name="_Toc38440355"/>
      <w:bookmarkStart w:id="1024" w:name="_Toc38443151"/>
      <w:bookmarkStart w:id="1025" w:name="_Toc38443482"/>
      <w:bookmarkStart w:id="1026" w:name="_Toc38443813"/>
      <w:bookmarkStart w:id="1027" w:name="_Toc38438280"/>
      <w:bookmarkStart w:id="1028" w:name="_Toc38438617"/>
      <w:bookmarkStart w:id="1029" w:name="_Toc38438954"/>
      <w:bookmarkStart w:id="1030" w:name="_Toc38439291"/>
      <w:bookmarkStart w:id="1031" w:name="_Toc38439628"/>
      <w:bookmarkStart w:id="1032" w:name="_Toc38439965"/>
      <w:bookmarkStart w:id="1033" w:name="_Toc38440302"/>
      <w:bookmarkStart w:id="1034" w:name="_Toc38440635"/>
      <w:bookmarkStart w:id="1035" w:name="_Toc38440834"/>
      <w:bookmarkStart w:id="1036" w:name="_Toc38441166"/>
      <w:bookmarkStart w:id="1037" w:name="_Toc38441498"/>
      <w:bookmarkStart w:id="1038" w:name="_Toc38441826"/>
      <w:bookmarkStart w:id="1039" w:name="_Toc38442158"/>
      <w:bookmarkStart w:id="1040" w:name="_Toc38442490"/>
      <w:bookmarkStart w:id="1041" w:name="_Toc38442821"/>
      <w:bookmarkStart w:id="1042" w:name="_Toc38443152"/>
      <w:bookmarkStart w:id="1043" w:name="_Toc38443483"/>
      <w:bookmarkStart w:id="1044" w:name="_Toc38443814"/>
      <w:bookmarkStart w:id="1045" w:name="_Toc38438281"/>
      <w:bookmarkStart w:id="1046" w:name="_Toc38438618"/>
      <w:bookmarkStart w:id="1047" w:name="_Toc38438955"/>
      <w:bookmarkStart w:id="1048" w:name="_Toc38439292"/>
      <w:bookmarkStart w:id="1049" w:name="_Toc38439629"/>
      <w:bookmarkStart w:id="1050" w:name="_Toc38439966"/>
      <w:bookmarkStart w:id="1051" w:name="_Toc38440303"/>
      <w:bookmarkStart w:id="1052" w:name="_Toc38440636"/>
      <w:bookmarkStart w:id="1053" w:name="_Toc38440835"/>
      <w:bookmarkStart w:id="1054" w:name="_Toc38441167"/>
      <w:bookmarkStart w:id="1055" w:name="_Toc38441499"/>
      <w:bookmarkStart w:id="1056" w:name="_Toc38441827"/>
      <w:bookmarkStart w:id="1057" w:name="_Toc38442159"/>
      <w:bookmarkStart w:id="1058" w:name="_Toc38442491"/>
      <w:bookmarkStart w:id="1059" w:name="_Toc38442822"/>
      <w:bookmarkStart w:id="1060" w:name="_Toc38443153"/>
      <w:bookmarkStart w:id="1061" w:name="_Toc38443484"/>
      <w:bookmarkStart w:id="1062" w:name="_Toc38443815"/>
      <w:bookmarkStart w:id="1063" w:name="_Toc38438282"/>
      <w:bookmarkStart w:id="1064" w:name="_Toc38438619"/>
      <w:bookmarkStart w:id="1065" w:name="_Toc38438956"/>
      <w:bookmarkStart w:id="1066" w:name="_Toc38439293"/>
      <w:bookmarkStart w:id="1067" w:name="_Toc38439630"/>
      <w:bookmarkStart w:id="1068" w:name="_Toc38439967"/>
      <w:bookmarkStart w:id="1069" w:name="_Toc38440304"/>
      <w:bookmarkStart w:id="1070" w:name="_Toc38440637"/>
      <w:bookmarkStart w:id="1071" w:name="_Toc38440836"/>
      <w:bookmarkStart w:id="1072" w:name="_Toc38441168"/>
      <w:bookmarkStart w:id="1073" w:name="_Toc38441500"/>
      <w:bookmarkStart w:id="1074" w:name="_Toc38441828"/>
      <w:bookmarkStart w:id="1075" w:name="_Toc38442160"/>
      <w:bookmarkStart w:id="1076" w:name="_Toc38442492"/>
      <w:bookmarkStart w:id="1077" w:name="_Toc38442823"/>
      <w:bookmarkStart w:id="1078" w:name="_Toc38443154"/>
      <w:bookmarkStart w:id="1079" w:name="_Toc38443485"/>
      <w:bookmarkStart w:id="1080" w:name="_Toc38443816"/>
      <w:bookmarkStart w:id="1081" w:name="_Toc38438283"/>
      <w:bookmarkStart w:id="1082" w:name="_Toc38438620"/>
      <w:bookmarkStart w:id="1083" w:name="_Toc38438957"/>
      <w:bookmarkStart w:id="1084" w:name="_Toc38439294"/>
      <w:bookmarkStart w:id="1085" w:name="_Toc38439631"/>
      <w:bookmarkStart w:id="1086" w:name="_Toc38439968"/>
      <w:bookmarkStart w:id="1087" w:name="_Toc38440305"/>
      <w:bookmarkStart w:id="1088" w:name="_Toc38440638"/>
      <w:bookmarkStart w:id="1089" w:name="_Toc38440837"/>
      <w:bookmarkStart w:id="1090" w:name="_Toc38441169"/>
      <w:bookmarkStart w:id="1091" w:name="_Toc38441501"/>
      <w:bookmarkStart w:id="1092" w:name="_Toc38441829"/>
      <w:bookmarkStart w:id="1093" w:name="_Toc38442161"/>
      <w:bookmarkStart w:id="1094" w:name="_Toc38442493"/>
      <w:bookmarkStart w:id="1095" w:name="_Toc38442824"/>
      <w:bookmarkStart w:id="1096" w:name="_Toc38443155"/>
      <w:bookmarkStart w:id="1097" w:name="_Toc38443486"/>
      <w:bookmarkStart w:id="1098" w:name="_Toc38443817"/>
      <w:bookmarkStart w:id="1099" w:name="_Toc38438284"/>
      <w:bookmarkStart w:id="1100" w:name="_Toc38438621"/>
      <w:bookmarkStart w:id="1101" w:name="_Toc38438958"/>
      <w:bookmarkStart w:id="1102" w:name="_Toc38439295"/>
      <w:bookmarkStart w:id="1103" w:name="_Toc38439632"/>
      <w:bookmarkStart w:id="1104" w:name="_Toc38439969"/>
      <w:bookmarkStart w:id="1105" w:name="_Toc38440306"/>
      <w:bookmarkStart w:id="1106" w:name="_Toc38440639"/>
      <w:bookmarkStart w:id="1107" w:name="_Toc38440838"/>
      <w:bookmarkStart w:id="1108" w:name="_Toc38441170"/>
      <w:bookmarkStart w:id="1109" w:name="_Toc38441502"/>
      <w:bookmarkStart w:id="1110" w:name="_Toc38441830"/>
      <w:bookmarkStart w:id="1111" w:name="_Toc38442162"/>
      <w:bookmarkStart w:id="1112" w:name="_Toc38442494"/>
      <w:bookmarkStart w:id="1113" w:name="_Toc38442825"/>
      <w:bookmarkStart w:id="1114" w:name="_Toc38443156"/>
      <w:bookmarkStart w:id="1115" w:name="_Toc38443487"/>
      <w:bookmarkStart w:id="1116" w:name="_Toc38443818"/>
      <w:bookmarkStart w:id="1117" w:name="_Toc38438285"/>
      <w:bookmarkStart w:id="1118" w:name="_Toc38438622"/>
      <w:bookmarkStart w:id="1119" w:name="_Toc38438959"/>
      <w:bookmarkStart w:id="1120" w:name="_Toc38439296"/>
      <w:bookmarkStart w:id="1121" w:name="_Toc38439633"/>
      <w:bookmarkStart w:id="1122" w:name="_Toc38439970"/>
      <w:bookmarkStart w:id="1123" w:name="_Toc38443491"/>
      <w:bookmarkStart w:id="1124" w:name="_Toc38443822"/>
      <w:bookmarkStart w:id="1125" w:name="_Toc38438289"/>
      <w:bookmarkStart w:id="1126" w:name="_Toc38438626"/>
      <w:bookmarkStart w:id="1127" w:name="_Toc38438963"/>
      <w:bookmarkStart w:id="1128" w:name="_Toc38439300"/>
      <w:bookmarkStart w:id="1129" w:name="_Toc38439637"/>
      <w:bookmarkStart w:id="1130" w:name="_Toc38439974"/>
      <w:bookmarkStart w:id="1131" w:name="_Toc38440311"/>
      <w:bookmarkStart w:id="1132" w:name="_Toc38440644"/>
      <w:bookmarkStart w:id="1133" w:name="_Toc38440843"/>
      <w:bookmarkStart w:id="1134" w:name="_Toc38441175"/>
      <w:bookmarkStart w:id="1135" w:name="_Toc38441507"/>
      <w:bookmarkStart w:id="1136" w:name="_Toc38441835"/>
      <w:bookmarkStart w:id="1137" w:name="_Toc38442167"/>
      <w:bookmarkStart w:id="1138" w:name="_Toc38442499"/>
      <w:bookmarkStart w:id="1139" w:name="_Toc38442830"/>
      <w:bookmarkStart w:id="1140" w:name="_Toc38443161"/>
      <w:bookmarkStart w:id="1141" w:name="_Toc38443492"/>
      <w:bookmarkStart w:id="1142" w:name="_Toc38443823"/>
      <w:bookmarkStart w:id="1143" w:name="_Toc38438290"/>
      <w:bookmarkStart w:id="1144" w:name="_Toc38438627"/>
      <w:bookmarkStart w:id="1145" w:name="_Toc38438964"/>
      <w:bookmarkStart w:id="1146" w:name="_Toc38439301"/>
      <w:bookmarkStart w:id="1147" w:name="_Toc38439638"/>
      <w:bookmarkStart w:id="1148" w:name="_Toc38439975"/>
      <w:bookmarkStart w:id="1149" w:name="_Toc38440312"/>
      <w:bookmarkStart w:id="1150" w:name="_Toc38440645"/>
      <w:bookmarkStart w:id="1151" w:name="_Toc38440844"/>
      <w:bookmarkStart w:id="1152" w:name="_Toc38441176"/>
      <w:bookmarkStart w:id="1153" w:name="_Toc38441508"/>
      <w:bookmarkStart w:id="1154" w:name="_Toc38441836"/>
      <w:bookmarkStart w:id="1155" w:name="_Toc38442168"/>
      <w:bookmarkStart w:id="1156" w:name="_Toc38442500"/>
      <w:bookmarkStart w:id="1157" w:name="_Toc38442831"/>
      <w:bookmarkStart w:id="1158" w:name="_Toc38443162"/>
      <w:bookmarkStart w:id="1159" w:name="_Toc38443493"/>
      <w:bookmarkStart w:id="1160" w:name="_Toc38443824"/>
      <w:bookmarkStart w:id="1161" w:name="_Toc38438291"/>
      <w:bookmarkStart w:id="1162" w:name="_Toc38438628"/>
      <w:bookmarkStart w:id="1163" w:name="_Toc38438965"/>
      <w:bookmarkStart w:id="1164" w:name="_Toc38439302"/>
      <w:bookmarkStart w:id="1165" w:name="_Toc38439639"/>
      <w:bookmarkStart w:id="1166" w:name="_Toc38439976"/>
      <w:bookmarkStart w:id="1167" w:name="_Toc38440313"/>
      <w:bookmarkStart w:id="1168" w:name="_Toc38440646"/>
      <w:bookmarkStart w:id="1169" w:name="_Toc38440845"/>
      <w:bookmarkStart w:id="1170" w:name="_Toc38441177"/>
      <w:bookmarkStart w:id="1171" w:name="_Toc38441509"/>
      <w:bookmarkStart w:id="1172" w:name="_Toc38441837"/>
      <w:bookmarkStart w:id="1173" w:name="_Toc38442169"/>
      <w:bookmarkStart w:id="1174" w:name="_Toc38442501"/>
      <w:bookmarkStart w:id="1175" w:name="_Toc38442832"/>
      <w:bookmarkStart w:id="1176" w:name="_Toc38443163"/>
      <w:bookmarkStart w:id="1177" w:name="_Toc38443494"/>
      <w:bookmarkStart w:id="1178" w:name="_Toc38443825"/>
      <w:bookmarkStart w:id="1179" w:name="_Toc38438292"/>
      <w:bookmarkStart w:id="1180" w:name="_Toc38438629"/>
      <w:bookmarkStart w:id="1181" w:name="_Toc38438966"/>
      <w:bookmarkStart w:id="1182" w:name="_Toc38439303"/>
      <w:bookmarkStart w:id="1183" w:name="_Toc38439640"/>
      <w:bookmarkStart w:id="1184" w:name="_Toc38439977"/>
      <w:bookmarkStart w:id="1185" w:name="_Toc38440314"/>
      <w:bookmarkStart w:id="1186" w:name="_Toc38440647"/>
      <w:bookmarkStart w:id="1187" w:name="_Toc38440846"/>
      <w:bookmarkStart w:id="1188" w:name="_Toc38441178"/>
      <w:bookmarkStart w:id="1189" w:name="_Toc38441510"/>
      <w:bookmarkStart w:id="1190" w:name="_Toc38441838"/>
      <w:bookmarkStart w:id="1191" w:name="_Toc38442170"/>
      <w:bookmarkStart w:id="1192" w:name="_Toc38442502"/>
      <w:bookmarkStart w:id="1193" w:name="_Toc38442833"/>
      <w:bookmarkStart w:id="1194" w:name="_Toc38443164"/>
      <w:bookmarkStart w:id="1195" w:name="_Toc38443495"/>
      <w:bookmarkStart w:id="1196" w:name="_Toc38443826"/>
      <w:bookmarkStart w:id="1197" w:name="_Toc38438293"/>
      <w:bookmarkStart w:id="1198" w:name="_Toc38438630"/>
      <w:bookmarkStart w:id="1199" w:name="_Toc38438967"/>
      <w:bookmarkStart w:id="1200" w:name="_Toc38439304"/>
      <w:bookmarkStart w:id="1201" w:name="_Toc38439641"/>
      <w:bookmarkStart w:id="1202" w:name="_Toc38439978"/>
      <w:bookmarkStart w:id="1203" w:name="_Toc38440315"/>
      <w:bookmarkStart w:id="1204" w:name="_Toc38440648"/>
      <w:bookmarkStart w:id="1205" w:name="_Toc38440847"/>
      <w:bookmarkStart w:id="1206" w:name="_Toc38441179"/>
      <w:bookmarkStart w:id="1207" w:name="_Toc38441511"/>
      <w:bookmarkStart w:id="1208" w:name="_Toc38441839"/>
      <w:bookmarkStart w:id="1209" w:name="_Toc38442171"/>
      <w:bookmarkStart w:id="1210" w:name="_Toc38442503"/>
      <w:bookmarkStart w:id="1211" w:name="_Toc38442834"/>
      <w:bookmarkStart w:id="1212" w:name="_Toc38443165"/>
      <w:bookmarkStart w:id="1213" w:name="_Toc38443496"/>
      <w:bookmarkStart w:id="1214" w:name="_Toc38443827"/>
      <w:bookmarkStart w:id="1215" w:name="_Toc38438296"/>
      <w:bookmarkStart w:id="1216" w:name="_Toc38438633"/>
      <w:bookmarkStart w:id="1217" w:name="_Toc38438970"/>
      <w:bookmarkStart w:id="1218" w:name="_Toc38439307"/>
      <w:bookmarkStart w:id="1219" w:name="_Toc38439644"/>
      <w:bookmarkStart w:id="1220" w:name="_Toc38439981"/>
      <w:bookmarkStart w:id="1221" w:name="_Toc38440318"/>
      <w:bookmarkStart w:id="1222" w:name="_Toc38440651"/>
      <w:bookmarkStart w:id="1223" w:name="_Toc38440850"/>
      <w:bookmarkStart w:id="1224" w:name="_Toc38441182"/>
      <w:bookmarkStart w:id="1225" w:name="_Toc38441514"/>
      <w:bookmarkStart w:id="1226" w:name="_Toc38441842"/>
      <w:bookmarkStart w:id="1227" w:name="_Toc38442174"/>
      <w:bookmarkStart w:id="1228" w:name="_Toc38442506"/>
      <w:bookmarkStart w:id="1229" w:name="_Toc38442837"/>
      <w:bookmarkStart w:id="1230" w:name="_Toc38443168"/>
      <w:bookmarkStart w:id="1231" w:name="_Toc38443499"/>
      <w:bookmarkStart w:id="1232" w:name="_Toc38443830"/>
      <w:bookmarkStart w:id="1233" w:name="_Toc38438297"/>
      <w:bookmarkStart w:id="1234" w:name="_Toc38438634"/>
      <w:bookmarkStart w:id="1235" w:name="_Toc38438971"/>
      <w:bookmarkStart w:id="1236" w:name="_Toc38439308"/>
      <w:bookmarkStart w:id="1237" w:name="_Toc38439645"/>
      <w:bookmarkStart w:id="1238" w:name="_Toc38439982"/>
      <w:bookmarkStart w:id="1239" w:name="_Toc38440319"/>
      <w:bookmarkStart w:id="1240" w:name="_Toc38440652"/>
      <w:bookmarkStart w:id="1241" w:name="_Toc38440851"/>
      <w:bookmarkStart w:id="1242" w:name="_Toc38441183"/>
      <w:bookmarkStart w:id="1243" w:name="_Toc38441515"/>
      <w:bookmarkStart w:id="1244" w:name="_Toc38441843"/>
      <w:bookmarkStart w:id="1245" w:name="_Toc38442175"/>
      <w:bookmarkStart w:id="1246" w:name="_Toc38442507"/>
      <w:bookmarkStart w:id="1247" w:name="_Toc38442838"/>
      <w:bookmarkStart w:id="1248" w:name="_Toc38443169"/>
      <w:bookmarkStart w:id="1249" w:name="_Toc38443500"/>
      <w:bookmarkStart w:id="1250" w:name="_Toc38443831"/>
      <w:bookmarkStart w:id="1251" w:name="_Toc38438298"/>
      <w:bookmarkStart w:id="1252" w:name="_Toc38438635"/>
      <w:bookmarkStart w:id="1253" w:name="_Toc38438972"/>
      <w:bookmarkStart w:id="1254" w:name="_Toc38439309"/>
      <w:bookmarkStart w:id="1255" w:name="_Toc38439646"/>
      <w:bookmarkStart w:id="1256" w:name="_Toc38439983"/>
      <w:bookmarkStart w:id="1257" w:name="_Toc38440320"/>
      <w:bookmarkStart w:id="1258" w:name="_Toc38440653"/>
      <w:bookmarkStart w:id="1259" w:name="_Toc38440852"/>
      <w:bookmarkStart w:id="1260" w:name="_Toc38441184"/>
      <w:bookmarkStart w:id="1261" w:name="_Toc38441516"/>
      <w:bookmarkStart w:id="1262" w:name="_Toc38441844"/>
      <w:bookmarkStart w:id="1263" w:name="_Toc38442176"/>
      <w:bookmarkStart w:id="1264" w:name="_Toc38442508"/>
      <w:bookmarkStart w:id="1265" w:name="_Toc38442839"/>
      <w:bookmarkStart w:id="1266" w:name="_Toc38443170"/>
      <w:bookmarkStart w:id="1267" w:name="_Toc38443501"/>
      <w:bookmarkStart w:id="1268" w:name="_Toc38443832"/>
      <w:bookmarkStart w:id="1269" w:name="_Toc38438299"/>
      <w:bookmarkStart w:id="1270" w:name="_Toc38438636"/>
      <w:bookmarkStart w:id="1271" w:name="_Toc38438973"/>
      <w:bookmarkStart w:id="1272" w:name="_Toc38439310"/>
      <w:bookmarkStart w:id="1273" w:name="_Toc38439647"/>
      <w:bookmarkStart w:id="1274" w:name="_Toc38439984"/>
      <w:bookmarkStart w:id="1275" w:name="_Toc38440321"/>
      <w:bookmarkStart w:id="1276" w:name="_Toc38440654"/>
      <w:bookmarkStart w:id="1277" w:name="_Toc38440853"/>
      <w:bookmarkStart w:id="1278" w:name="_Toc38441185"/>
      <w:bookmarkStart w:id="1279" w:name="_Toc38441517"/>
      <w:bookmarkStart w:id="1280" w:name="_Toc38441845"/>
      <w:bookmarkStart w:id="1281" w:name="_Toc38442177"/>
      <w:bookmarkStart w:id="1282" w:name="_Toc38442509"/>
      <w:bookmarkStart w:id="1283" w:name="_Toc38442840"/>
      <w:bookmarkStart w:id="1284" w:name="_Toc38443171"/>
      <w:bookmarkStart w:id="1285" w:name="_Toc38443502"/>
      <w:bookmarkStart w:id="1286" w:name="_Toc38443833"/>
      <w:bookmarkStart w:id="1287" w:name="_Toc38438301"/>
      <w:bookmarkStart w:id="1288" w:name="_Toc38438638"/>
      <w:bookmarkStart w:id="1289" w:name="_Toc38438975"/>
      <w:bookmarkStart w:id="1290" w:name="_Toc38439312"/>
      <w:bookmarkStart w:id="1291" w:name="_Toc38439649"/>
      <w:bookmarkStart w:id="1292" w:name="_Toc38439986"/>
      <w:bookmarkStart w:id="1293" w:name="_Toc38440323"/>
      <w:bookmarkStart w:id="1294" w:name="_Toc38440656"/>
      <w:bookmarkStart w:id="1295" w:name="_Toc38440855"/>
      <w:bookmarkStart w:id="1296" w:name="_Toc38441187"/>
      <w:bookmarkStart w:id="1297" w:name="_Toc38441519"/>
      <w:bookmarkStart w:id="1298" w:name="_Toc38441847"/>
      <w:bookmarkStart w:id="1299" w:name="_Toc38442179"/>
      <w:bookmarkStart w:id="1300" w:name="_Toc38442511"/>
      <w:bookmarkStart w:id="1301" w:name="_Toc38442842"/>
      <w:bookmarkStart w:id="1302" w:name="_Toc38443173"/>
      <w:bookmarkStart w:id="1303" w:name="_Toc38443504"/>
      <w:bookmarkStart w:id="1304" w:name="_Toc38443835"/>
      <w:bookmarkStart w:id="1305" w:name="_Toc38438302"/>
      <w:bookmarkStart w:id="1306" w:name="_Toc38438639"/>
      <w:bookmarkStart w:id="1307" w:name="_Toc38438976"/>
      <w:bookmarkStart w:id="1308" w:name="_Toc38439313"/>
      <w:bookmarkStart w:id="1309" w:name="_Toc38439650"/>
      <w:bookmarkStart w:id="1310" w:name="_Toc38439987"/>
      <w:bookmarkStart w:id="1311" w:name="_Toc38440324"/>
      <w:bookmarkStart w:id="1312" w:name="_Toc38440657"/>
      <w:bookmarkStart w:id="1313" w:name="_Toc38440856"/>
      <w:bookmarkStart w:id="1314" w:name="_Toc38441188"/>
      <w:bookmarkStart w:id="1315" w:name="_Toc38441520"/>
      <w:bookmarkStart w:id="1316" w:name="_Toc38441848"/>
      <w:bookmarkStart w:id="1317" w:name="_Toc38442180"/>
      <w:bookmarkStart w:id="1318" w:name="_Toc38442512"/>
      <w:bookmarkStart w:id="1319" w:name="_Toc38442843"/>
      <w:bookmarkStart w:id="1320" w:name="_Toc38443174"/>
      <w:bookmarkStart w:id="1321" w:name="_Toc38443505"/>
      <w:bookmarkStart w:id="1322" w:name="_Toc38443836"/>
      <w:bookmarkStart w:id="1323" w:name="_Toc38438303"/>
      <w:bookmarkStart w:id="1324" w:name="_Toc38438640"/>
      <w:bookmarkStart w:id="1325" w:name="_Toc38438977"/>
      <w:bookmarkStart w:id="1326" w:name="_Toc38439314"/>
      <w:bookmarkStart w:id="1327" w:name="_Toc38439651"/>
      <w:bookmarkStart w:id="1328" w:name="_Toc38439988"/>
      <w:bookmarkStart w:id="1329" w:name="_Toc38440325"/>
      <w:bookmarkStart w:id="1330" w:name="_Toc38440658"/>
      <w:bookmarkStart w:id="1331" w:name="_Toc38440857"/>
      <w:bookmarkStart w:id="1332" w:name="_Toc38441189"/>
      <w:bookmarkStart w:id="1333" w:name="_Toc38441521"/>
      <w:bookmarkStart w:id="1334" w:name="_Toc38441849"/>
      <w:bookmarkStart w:id="1335" w:name="_Toc38442181"/>
      <w:bookmarkStart w:id="1336" w:name="_Toc38442513"/>
      <w:bookmarkStart w:id="1337" w:name="_Toc38442844"/>
      <w:bookmarkStart w:id="1338" w:name="_Toc38443175"/>
      <w:bookmarkStart w:id="1339" w:name="_Toc38443506"/>
      <w:bookmarkStart w:id="1340" w:name="_Toc38443837"/>
      <w:bookmarkStart w:id="1341" w:name="_Toc38438304"/>
      <w:bookmarkStart w:id="1342" w:name="_Toc38438641"/>
      <w:bookmarkStart w:id="1343" w:name="_Toc38438978"/>
      <w:bookmarkStart w:id="1344" w:name="_Toc38439315"/>
      <w:bookmarkStart w:id="1345" w:name="_Toc38439652"/>
      <w:bookmarkStart w:id="1346" w:name="_Toc38439989"/>
      <w:bookmarkStart w:id="1347" w:name="_Toc38440326"/>
      <w:bookmarkStart w:id="1348" w:name="_Toc38440659"/>
      <w:bookmarkStart w:id="1349" w:name="_Toc38440858"/>
      <w:bookmarkStart w:id="1350" w:name="_Toc38441190"/>
      <w:bookmarkStart w:id="1351" w:name="_Toc38441522"/>
      <w:bookmarkStart w:id="1352" w:name="_Toc38441850"/>
      <w:bookmarkStart w:id="1353" w:name="_Toc38442182"/>
      <w:bookmarkStart w:id="1354" w:name="_Toc38442514"/>
      <w:bookmarkStart w:id="1355" w:name="_Toc38442845"/>
      <w:bookmarkStart w:id="1356" w:name="_Toc38443176"/>
      <w:bookmarkStart w:id="1357" w:name="_Toc38443507"/>
      <w:bookmarkStart w:id="1358" w:name="_Toc38443838"/>
      <w:bookmarkStart w:id="1359" w:name="_Toc38438305"/>
      <w:bookmarkStart w:id="1360" w:name="_Toc38438642"/>
      <w:bookmarkStart w:id="1361" w:name="_Toc38438979"/>
      <w:bookmarkStart w:id="1362" w:name="_Toc38439316"/>
      <w:bookmarkStart w:id="1363" w:name="_Toc38439653"/>
      <w:bookmarkStart w:id="1364" w:name="_Toc38439990"/>
      <w:bookmarkStart w:id="1365" w:name="_Toc38440327"/>
      <w:bookmarkStart w:id="1366" w:name="_Toc38440660"/>
      <w:bookmarkStart w:id="1367" w:name="_Toc38440859"/>
      <w:bookmarkStart w:id="1368" w:name="_Toc38441191"/>
      <w:bookmarkStart w:id="1369" w:name="_Toc38441523"/>
      <w:bookmarkStart w:id="1370" w:name="_Toc38441851"/>
      <w:bookmarkStart w:id="1371" w:name="_Toc38442183"/>
      <w:bookmarkStart w:id="1372" w:name="_Toc38442515"/>
      <w:bookmarkStart w:id="1373" w:name="_Toc38442846"/>
      <w:bookmarkStart w:id="1374" w:name="_Toc38443177"/>
      <w:bookmarkStart w:id="1375" w:name="_Toc38443508"/>
      <w:bookmarkStart w:id="1376" w:name="_Toc38443839"/>
      <w:bookmarkStart w:id="1377" w:name="_Toc38438306"/>
      <w:bookmarkStart w:id="1378" w:name="_Toc38438643"/>
      <w:bookmarkStart w:id="1379" w:name="_Toc38438980"/>
      <w:bookmarkStart w:id="1380" w:name="_Toc38439317"/>
      <w:bookmarkStart w:id="1381" w:name="_Toc38439654"/>
      <w:bookmarkStart w:id="1382" w:name="_Toc38439991"/>
      <w:bookmarkStart w:id="1383" w:name="_Toc38440328"/>
      <w:bookmarkStart w:id="1384" w:name="_Toc38440661"/>
      <w:bookmarkStart w:id="1385" w:name="_Toc38440860"/>
      <w:bookmarkStart w:id="1386" w:name="_Toc38441192"/>
      <w:bookmarkStart w:id="1387" w:name="_Toc38441524"/>
      <w:bookmarkStart w:id="1388" w:name="_Toc38441852"/>
      <w:bookmarkStart w:id="1389" w:name="_Toc38442184"/>
      <w:bookmarkStart w:id="1390" w:name="_Toc38442516"/>
      <w:bookmarkStart w:id="1391" w:name="_Toc38442847"/>
      <w:bookmarkStart w:id="1392" w:name="_Toc38443178"/>
      <w:bookmarkStart w:id="1393" w:name="_Toc38443509"/>
      <w:bookmarkStart w:id="1394" w:name="_Toc38443840"/>
      <w:bookmarkStart w:id="1395" w:name="_Toc38438310"/>
      <w:bookmarkStart w:id="1396" w:name="_Toc38438647"/>
      <w:bookmarkStart w:id="1397" w:name="_Toc38438984"/>
      <w:bookmarkStart w:id="1398" w:name="_Toc38439321"/>
      <w:bookmarkStart w:id="1399" w:name="_Toc38439658"/>
      <w:bookmarkStart w:id="1400" w:name="_Toc38439995"/>
      <w:bookmarkStart w:id="1401" w:name="_Toc38440332"/>
      <w:bookmarkStart w:id="1402" w:name="_Toc38440665"/>
      <w:bookmarkStart w:id="1403" w:name="_Toc38440864"/>
      <w:bookmarkStart w:id="1404" w:name="_Toc38441196"/>
      <w:bookmarkStart w:id="1405" w:name="_Toc38441528"/>
      <w:bookmarkStart w:id="1406" w:name="_Toc38441856"/>
      <w:bookmarkStart w:id="1407" w:name="_Toc38442188"/>
      <w:bookmarkStart w:id="1408" w:name="_Toc38442520"/>
      <w:bookmarkStart w:id="1409" w:name="_Toc38442851"/>
      <w:bookmarkStart w:id="1410" w:name="_Toc38443182"/>
      <w:bookmarkStart w:id="1411" w:name="_Toc38443513"/>
      <w:bookmarkStart w:id="1412" w:name="_Toc38443844"/>
      <w:bookmarkStart w:id="1413" w:name="_Toc38438311"/>
      <w:bookmarkStart w:id="1414" w:name="_Toc38438648"/>
      <w:bookmarkStart w:id="1415" w:name="_Toc38438985"/>
      <w:bookmarkStart w:id="1416" w:name="_Toc38439322"/>
      <w:bookmarkStart w:id="1417" w:name="_Toc38439659"/>
      <w:bookmarkStart w:id="1418" w:name="_Toc38439996"/>
      <w:bookmarkStart w:id="1419" w:name="_Toc38440333"/>
      <w:bookmarkStart w:id="1420" w:name="_Toc38440666"/>
      <w:bookmarkStart w:id="1421" w:name="_Toc38440865"/>
      <w:bookmarkStart w:id="1422" w:name="_Toc38441197"/>
      <w:bookmarkStart w:id="1423" w:name="_Toc38441529"/>
      <w:bookmarkStart w:id="1424" w:name="_Toc38441857"/>
      <w:bookmarkStart w:id="1425" w:name="_Toc38442189"/>
      <w:bookmarkStart w:id="1426" w:name="_Toc38442521"/>
      <w:bookmarkStart w:id="1427" w:name="_Toc38442852"/>
      <w:bookmarkStart w:id="1428" w:name="_Toc38443183"/>
      <w:bookmarkStart w:id="1429" w:name="_Toc38443514"/>
      <w:bookmarkStart w:id="1430" w:name="_Toc38443845"/>
      <w:bookmarkStart w:id="1431" w:name="_Toc38438312"/>
      <w:bookmarkStart w:id="1432" w:name="_Toc38438649"/>
      <w:bookmarkStart w:id="1433" w:name="_Toc38438986"/>
      <w:bookmarkStart w:id="1434" w:name="_Toc38439323"/>
      <w:bookmarkStart w:id="1435" w:name="_Toc38439660"/>
      <w:bookmarkStart w:id="1436" w:name="_Toc38439997"/>
      <w:bookmarkStart w:id="1437" w:name="_Toc38440334"/>
      <w:bookmarkStart w:id="1438" w:name="_Toc38440667"/>
      <w:bookmarkStart w:id="1439" w:name="_Toc38440866"/>
      <w:bookmarkStart w:id="1440" w:name="_Toc38441198"/>
      <w:bookmarkStart w:id="1441" w:name="_Toc38441530"/>
      <w:bookmarkStart w:id="1442" w:name="_Toc38441858"/>
      <w:bookmarkStart w:id="1443" w:name="_Toc38442190"/>
      <w:bookmarkStart w:id="1444" w:name="_Toc38442522"/>
      <w:bookmarkStart w:id="1445" w:name="_Toc38442853"/>
      <w:bookmarkStart w:id="1446" w:name="_Toc38443184"/>
      <w:bookmarkStart w:id="1447" w:name="_Toc38443515"/>
      <w:bookmarkStart w:id="1448" w:name="_Toc38443846"/>
      <w:bookmarkStart w:id="1449" w:name="_Toc38438313"/>
      <w:bookmarkStart w:id="1450" w:name="_Toc38438650"/>
      <w:bookmarkStart w:id="1451" w:name="_Toc38438987"/>
      <w:bookmarkStart w:id="1452" w:name="_Toc38439324"/>
      <w:bookmarkStart w:id="1453" w:name="_Toc38439661"/>
      <w:bookmarkStart w:id="1454" w:name="_Toc38439998"/>
      <w:bookmarkStart w:id="1455" w:name="_Toc38440335"/>
      <w:bookmarkStart w:id="1456" w:name="_Toc38440668"/>
      <w:bookmarkStart w:id="1457" w:name="_Toc38440867"/>
      <w:bookmarkStart w:id="1458" w:name="_Toc38441199"/>
      <w:bookmarkStart w:id="1459" w:name="_Toc38441531"/>
      <w:bookmarkStart w:id="1460" w:name="_Toc38441859"/>
      <w:bookmarkStart w:id="1461" w:name="_Toc38442191"/>
      <w:bookmarkStart w:id="1462" w:name="_Toc38442523"/>
      <w:bookmarkStart w:id="1463" w:name="_Toc38442854"/>
      <w:bookmarkStart w:id="1464" w:name="_Toc38443185"/>
      <w:bookmarkStart w:id="1465" w:name="_Toc38443516"/>
      <w:bookmarkStart w:id="1466" w:name="_Toc38443847"/>
      <w:bookmarkStart w:id="1467" w:name="_Toc38438314"/>
      <w:bookmarkStart w:id="1468" w:name="_Toc38438651"/>
      <w:bookmarkStart w:id="1469" w:name="_Toc38438988"/>
      <w:bookmarkStart w:id="1470" w:name="_Toc38439325"/>
      <w:bookmarkStart w:id="1471" w:name="_Toc38439662"/>
      <w:bookmarkStart w:id="1472" w:name="_Toc38439999"/>
      <w:bookmarkStart w:id="1473" w:name="_Toc38440336"/>
      <w:bookmarkStart w:id="1474" w:name="_Toc38440669"/>
      <w:bookmarkStart w:id="1475" w:name="_Toc38440868"/>
      <w:bookmarkStart w:id="1476" w:name="_Toc38441200"/>
      <w:bookmarkStart w:id="1477" w:name="_Toc38441532"/>
      <w:bookmarkStart w:id="1478" w:name="_Toc38441860"/>
      <w:bookmarkStart w:id="1479" w:name="_Toc38442192"/>
      <w:bookmarkStart w:id="1480" w:name="_Toc38442524"/>
      <w:bookmarkStart w:id="1481" w:name="_Toc38442855"/>
      <w:bookmarkStart w:id="1482" w:name="_Toc38443186"/>
      <w:bookmarkStart w:id="1483" w:name="_Toc38443517"/>
      <w:bookmarkStart w:id="1484" w:name="_Toc38443848"/>
      <w:bookmarkStart w:id="1485" w:name="_Toc38438315"/>
      <w:bookmarkStart w:id="1486" w:name="_Toc38438652"/>
      <w:bookmarkStart w:id="1487" w:name="_Toc38438989"/>
      <w:bookmarkStart w:id="1488" w:name="_Toc38439326"/>
      <w:bookmarkStart w:id="1489" w:name="_Toc38439663"/>
      <w:bookmarkStart w:id="1490" w:name="_Toc38440000"/>
      <w:bookmarkStart w:id="1491" w:name="_Toc38440337"/>
      <w:bookmarkStart w:id="1492" w:name="_Toc38440670"/>
      <w:bookmarkStart w:id="1493" w:name="_Toc38440869"/>
      <w:bookmarkStart w:id="1494" w:name="_Toc38441201"/>
      <w:bookmarkStart w:id="1495" w:name="_Toc38441533"/>
      <w:bookmarkStart w:id="1496" w:name="_Toc38441861"/>
      <w:bookmarkStart w:id="1497" w:name="_Toc38442193"/>
      <w:bookmarkStart w:id="1498" w:name="_Toc38442525"/>
      <w:bookmarkStart w:id="1499" w:name="_Toc38442856"/>
      <w:bookmarkStart w:id="1500" w:name="_Toc38443187"/>
      <w:bookmarkStart w:id="1501" w:name="_Toc38443518"/>
      <w:bookmarkStart w:id="1502" w:name="_Toc38443849"/>
      <w:bookmarkStart w:id="1503" w:name="_Toc38438316"/>
      <w:bookmarkStart w:id="1504" w:name="_Toc38438653"/>
      <w:bookmarkStart w:id="1505" w:name="_Toc38438990"/>
      <w:bookmarkStart w:id="1506" w:name="_Toc38439327"/>
      <w:bookmarkStart w:id="1507" w:name="_Toc38439664"/>
      <w:bookmarkStart w:id="1508" w:name="_Toc38440001"/>
      <w:bookmarkStart w:id="1509" w:name="_Toc38440338"/>
      <w:bookmarkStart w:id="1510" w:name="_Toc38440671"/>
      <w:bookmarkStart w:id="1511" w:name="_Toc38440870"/>
      <w:bookmarkStart w:id="1512" w:name="_Toc38441202"/>
      <w:bookmarkStart w:id="1513" w:name="_Toc38441534"/>
      <w:bookmarkStart w:id="1514" w:name="_Toc38441862"/>
      <w:bookmarkStart w:id="1515" w:name="_Toc38442194"/>
      <w:bookmarkStart w:id="1516" w:name="_Toc38442526"/>
      <w:bookmarkStart w:id="1517" w:name="_Toc38442857"/>
      <w:bookmarkStart w:id="1518" w:name="_Toc38443188"/>
      <w:bookmarkStart w:id="1519" w:name="_Toc38443519"/>
      <w:bookmarkStart w:id="1520" w:name="_Toc38443850"/>
      <w:bookmarkStart w:id="1521" w:name="_Toc38438317"/>
      <w:bookmarkStart w:id="1522" w:name="_Toc38438654"/>
      <w:bookmarkStart w:id="1523" w:name="_Toc38438991"/>
      <w:bookmarkStart w:id="1524" w:name="_Toc38439328"/>
      <w:bookmarkStart w:id="1525" w:name="_Toc38439665"/>
      <w:bookmarkStart w:id="1526" w:name="_Toc38440002"/>
      <w:bookmarkStart w:id="1527" w:name="_Toc38440339"/>
      <w:bookmarkStart w:id="1528" w:name="_Toc38440672"/>
      <w:bookmarkStart w:id="1529" w:name="_Toc38440871"/>
      <w:bookmarkStart w:id="1530" w:name="_Toc38441203"/>
      <w:bookmarkStart w:id="1531" w:name="_Toc38441535"/>
      <w:bookmarkStart w:id="1532" w:name="_Toc38441863"/>
      <w:bookmarkStart w:id="1533" w:name="_Toc38442195"/>
      <w:bookmarkStart w:id="1534" w:name="_Toc38442527"/>
      <w:bookmarkStart w:id="1535" w:name="_Toc38442858"/>
      <w:bookmarkStart w:id="1536" w:name="_Toc38443189"/>
      <w:bookmarkStart w:id="1537" w:name="_Toc38443520"/>
      <w:bookmarkStart w:id="1538" w:name="_Toc38443851"/>
      <w:bookmarkStart w:id="1539" w:name="_Toc38438318"/>
      <w:bookmarkStart w:id="1540" w:name="_Toc38438655"/>
      <w:bookmarkStart w:id="1541" w:name="_Toc38438992"/>
      <w:bookmarkStart w:id="1542" w:name="_Toc38439329"/>
      <w:bookmarkStart w:id="1543" w:name="_Toc38439666"/>
      <w:bookmarkStart w:id="1544" w:name="_Toc38440003"/>
      <w:bookmarkStart w:id="1545" w:name="_Toc38440340"/>
      <w:bookmarkStart w:id="1546" w:name="_Toc38440673"/>
      <w:bookmarkStart w:id="1547" w:name="_Toc38440872"/>
      <w:bookmarkStart w:id="1548" w:name="_Toc38441204"/>
      <w:bookmarkStart w:id="1549" w:name="_Toc38441536"/>
      <w:bookmarkStart w:id="1550" w:name="_Toc38441864"/>
      <w:bookmarkStart w:id="1551" w:name="_Toc38442196"/>
      <w:bookmarkStart w:id="1552" w:name="_Toc38442528"/>
      <w:bookmarkStart w:id="1553" w:name="_Toc38442859"/>
      <w:bookmarkStart w:id="1554" w:name="_Toc38443190"/>
      <w:bookmarkStart w:id="1555" w:name="_Toc38443521"/>
      <w:bookmarkStart w:id="1556" w:name="_Toc38443852"/>
      <w:bookmarkStart w:id="1557" w:name="_Toc38438319"/>
      <w:bookmarkStart w:id="1558" w:name="_Toc38438656"/>
      <w:bookmarkStart w:id="1559" w:name="_Toc38438993"/>
      <w:bookmarkStart w:id="1560" w:name="_Toc38439330"/>
      <w:bookmarkStart w:id="1561" w:name="_Toc38439667"/>
      <w:bookmarkStart w:id="1562" w:name="_Toc38440004"/>
      <w:bookmarkStart w:id="1563" w:name="_Toc38440341"/>
      <w:bookmarkStart w:id="1564" w:name="_Toc38440674"/>
      <w:bookmarkStart w:id="1565" w:name="_Toc38440873"/>
      <w:bookmarkStart w:id="1566" w:name="_Toc38441205"/>
      <w:bookmarkStart w:id="1567" w:name="_Toc38441537"/>
      <w:bookmarkStart w:id="1568" w:name="_Toc38441865"/>
      <w:bookmarkStart w:id="1569" w:name="_Toc38442197"/>
      <w:bookmarkStart w:id="1570" w:name="_Toc38442529"/>
      <w:bookmarkStart w:id="1571" w:name="_Toc38442860"/>
      <w:bookmarkStart w:id="1572" w:name="_Toc38443191"/>
      <w:bookmarkStart w:id="1573" w:name="_Toc38443522"/>
      <w:bookmarkStart w:id="1574" w:name="_Toc38443853"/>
      <w:bookmarkStart w:id="1575" w:name="_Toc38438320"/>
      <w:bookmarkStart w:id="1576" w:name="_Toc38438657"/>
      <w:bookmarkStart w:id="1577" w:name="_Toc38438994"/>
      <w:bookmarkStart w:id="1578" w:name="_Toc38439331"/>
      <w:bookmarkStart w:id="1579" w:name="_Toc38439668"/>
      <w:bookmarkStart w:id="1580" w:name="_Toc38440005"/>
      <w:bookmarkStart w:id="1581" w:name="_Toc38440342"/>
      <w:bookmarkStart w:id="1582" w:name="_Toc38440675"/>
      <w:bookmarkStart w:id="1583" w:name="_Toc38440874"/>
      <w:bookmarkStart w:id="1584" w:name="_Toc38441206"/>
      <w:bookmarkStart w:id="1585" w:name="_Toc38441538"/>
      <w:bookmarkStart w:id="1586" w:name="_Toc38441866"/>
      <w:bookmarkStart w:id="1587" w:name="_Toc38442198"/>
      <w:bookmarkStart w:id="1588" w:name="_Toc38442530"/>
      <w:bookmarkStart w:id="1589" w:name="_Toc38442861"/>
      <w:bookmarkStart w:id="1590" w:name="_Toc38443192"/>
      <w:bookmarkStart w:id="1591" w:name="_Toc38443523"/>
      <w:bookmarkStart w:id="1592" w:name="_Toc38443854"/>
      <w:bookmarkStart w:id="1593" w:name="_Toc38438321"/>
      <w:bookmarkStart w:id="1594" w:name="_Toc38438658"/>
      <w:bookmarkStart w:id="1595" w:name="_Toc38438995"/>
      <w:bookmarkStart w:id="1596" w:name="_Toc38439332"/>
      <w:bookmarkStart w:id="1597" w:name="_Toc38439669"/>
      <w:bookmarkStart w:id="1598" w:name="_Toc38440006"/>
      <w:bookmarkStart w:id="1599" w:name="_Toc38440343"/>
      <w:bookmarkStart w:id="1600" w:name="_Toc38440676"/>
      <w:bookmarkStart w:id="1601" w:name="_Toc38440875"/>
      <w:bookmarkStart w:id="1602" w:name="_Toc38441207"/>
      <w:bookmarkStart w:id="1603" w:name="_Toc38441539"/>
      <w:bookmarkStart w:id="1604" w:name="_Toc38441867"/>
      <w:bookmarkStart w:id="1605" w:name="_Toc38442199"/>
      <w:bookmarkStart w:id="1606" w:name="_Toc38442531"/>
      <w:bookmarkStart w:id="1607" w:name="_Toc38442862"/>
      <w:bookmarkStart w:id="1608" w:name="_Toc38443193"/>
      <w:bookmarkStart w:id="1609" w:name="_Toc38443524"/>
      <w:bookmarkStart w:id="1610" w:name="_Toc38443855"/>
      <w:bookmarkStart w:id="1611" w:name="_Toc38438322"/>
      <w:bookmarkStart w:id="1612" w:name="_Toc38438659"/>
      <w:bookmarkStart w:id="1613" w:name="_Toc38438996"/>
      <w:bookmarkStart w:id="1614" w:name="_Toc38439333"/>
      <w:bookmarkStart w:id="1615" w:name="_Toc38439670"/>
      <w:bookmarkStart w:id="1616" w:name="_Toc38440007"/>
      <w:bookmarkStart w:id="1617" w:name="_Toc38440344"/>
      <w:bookmarkStart w:id="1618" w:name="_Toc38440677"/>
      <w:bookmarkStart w:id="1619" w:name="_Toc38440876"/>
      <w:bookmarkStart w:id="1620" w:name="_Toc38441208"/>
      <w:bookmarkStart w:id="1621" w:name="_Toc38441540"/>
      <w:bookmarkStart w:id="1622" w:name="_Toc38441868"/>
      <w:bookmarkStart w:id="1623" w:name="_Toc38442200"/>
      <w:bookmarkStart w:id="1624" w:name="_Toc38442532"/>
      <w:bookmarkStart w:id="1625" w:name="_Toc38442863"/>
      <w:bookmarkStart w:id="1626" w:name="_Toc38443194"/>
      <w:bookmarkStart w:id="1627" w:name="_Toc38443525"/>
      <w:bookmarkStart w:id="1628" w:name="_Toc38443856"/>
      <w:bookmarkStart w:id="1629" w:name="_Toc38438323"/>
      <w:bookmarkStart w:id="1630" w:name="_Toc38438660"/>
      <w:bookmarkStart w:id="1631" w:name="_Toc38438997"/>
      <w:bookmarkStart w:id="1632" w:name="_Toc38439334"/>
      <w:bookmarkStart w:id="1633" w:name="_Toc38439671"/>
      <w:bookmarkStart w:id="1634" w:name="_Toc38440008"/>
      <w:bookmarkStart w:id="1635" w:name="_Toc38440345"/>
      <w:bookmarkStart w:id="1636" w:name="_Toc38440678"/>
      <w:bookmarkStart w:id="1637" w:name="_Toc38440877"/>
      <w:bookmarkStart w:id="1638" w:name="_Toc38441209"/>
      <w:bookmarkStart w:id="1639" w:name="_Toc38441541"/>
      <w:bookmarkStart w:id="1640" w:name="_Toc38441869"/>
      <w:bookmarkStart w:id="1641" w:name="_Toc38442201"/>
      <w:bookmarkStart w:id="1642" w:name="_Toc38442533"/>
      <w:bookmarkStart w:id="1643" w:name="_Toc38442864"/>
      <w:bookmarkStart w:id="1644" w:name="_Toc38443195"/>
      <w:bookmarkStart w:id="1645" w:name="_Toc38443526"/>
      <w:bookmarkStart w:id="1646" w:name="_Toc38443857"/>
      <w:bookmarkStart w:id="1647" w:name="_Toc38438324"/>
      <w:bookmarkStart w:id="1648" w:name="_Toc38438661"/>
      <w:bookmarkStart w:id="1649" w:name="_Toc38438998"/>
      <w:bookmarkStart w:id="1650" w:name="_Toc38439335"/>
      <w:bookmarkStart w:id="1651" w:name="_Toc38439672"/>
      <w:bookmarkStart w:id="1652" w:name="_Toc38440009"/>
      <w:bookmarkStart w:id="1653" w:name="_Toc38440346"/>
      <w:bookmarkStart w:id="1654" w:name="_Toc38440679"/>
      <w:bookmarkStart w:id="1655" w:name="_Toc38440878"/>
      <w:bookmarkStart w:id="1656" w:name="_Toc38441210"/>
      <w:bookmarkStart w:id="1657" w:name="_Toc38441542"/>
      <w:bookmarkStart w:id="1658" w:name="_Toc38441870"/>
      <w:bookmarkStart w:id="1659" w:name="_Toc38442202"/>
      <w:bookmarkStart w:id="1660" w:name="_Toc38442534"/>
      <w:bookmarkStart w:id="1661" w:name="_Toc38442865"/>
      <w:bookmarkStart w:id="1662" w:name="_Toc38443196"/>
      <w:bookmarkStart w:id="1663" w:name="_Toc38443527"/>
      <w:bookmarkStart w:id="1664" w:name="_Toc38443858"/>
      <w:bookmarkStart w:id="1665" w:name="_Toc38438325"/>
      <w:bookmarkStart w:id="1666" w:name="_Toc38438662"/>
      <w:bookmarkStart w:id="1667" w:name="_Toc38438999"/>
      <w:bookmarkStart w:id="1668" w:name="_Toc38439336"/>
      <w:bookmarkStart w:id="1669" w:name="_Toc38439673"/>
      <w:bookmarkStart w:id="1670" w:name="_Toc38440010"/>
      <w:bookmarkStart w:id="1671" w:name="_Toc38440347"/>
      <w:bookmarkStart w:id="1672" w:name="_Toc38440879"/>
      <w:bookmarkStart w:id="1673" w:name="_Toc38441211"/>
      <w:bookmarkStart w:id="1674" w:name="_Toc38441543"/>
      <w:bookmarkStart w:id="1675" w:name="_Toc38441871"/>
      <w:bookmarkStart w:id="1676" w:name="_Toc38442203"/>
      <w:bookmarkStart w:id="1677" w:name="_Toc38442535"/>
      <w:bookmarkStart w:id="1678" w:name="_Toc38442866"/>
      <w:bookmarkStart w:id="1679" w:name="_Toc38443197"/>
      <w:bookmarkStart w:id="1680" w:name="_Toc38443528"/>
      <w:bookmarkStart w:id="1681" w:name="_Toc38443859"/>
      <w:bookmarkStart w:id="1682" w:name="_Toc38438326"/>
      <w:bookmarkStart w:id="1683" w:name="_Toc38438663"/>
      <w:bookmarkStart w:id="1684" w:name="_Toc38439000"/>
      <w:bookmarkStart w:id="1685" w:name="_Toc38439337"/>
      <w:bookmarkStart w:id="1686" w:name="_Toc38439674"/>
      <w:bookmarkStart w:id="1687" w:name="_Toc38440011"/>
      <w:bookmarkStart w:id="1688" w:name="_Toc38440348"/>
      <w:bookmarkStart w:id="1689" w:name="_Toc38440880"/>
      <w:bookmarkStart w:id="1690" w:name="_Toc38441212"/>
      <w:bookmarkStart w:id="1691" w:name="_Toc38441544"/>
      <w:bookmarkStart w:id="1692" w:name="_Toc38441872"/>
      <w:bookmarkStart w:id="1693" w:name="_Toc38442204"/>
      <w:bookmarkStart w:id="1694" w:name="_Toc38442536"/>
      <w:bookmarkStart w:id="1695" w:name="_Toc38442867"/>
      <w:bookmarkStart w:id="1696" w:name="_Toc38443198"/>
      <w:bookmarkStart w:id="1697" w:name="_Toc38443529"/>
      <w:bookmarkStart w:id="1698" w:name="_Toc38443860"/>
      <w:bookmarkStart w:id="1699" w:name="_Toc38438327"/>
      <w:bookmarkStart w:id="1700" w:name="_Toc38438664"/>
      <w:bookmarkStart w:id="1701" w:name="_Toc38439001"/>
      <w:bookmarkStart w:id="1702" w:name="_Toc38439338"/>
      <w:bookmarkStart w:id="1703" w:name="_Toc38439675"/>
      <w:bookmarkStart w:id="1704" w:name="_Toc38440012"/>
      <w:bookmarkStart w:id="1705" w:name="_Toc38440349"/>
      <w:bookmarkStart w:id="1706" w:name="_Toc38440881"/>
      <w:bookmarkStart w:id="1707" w:name="_Toc38441213"/>
      <w:bookmarkStart w:id="1708" w:name="_Toc38441545"/>
      <w:bookmarkStart w:id="1709" w:name="_Toc38441873"/>
      <w:bookmarkStart w:id="1710" w:name="_Toc38442205"/>
      <w:bookmarkStart w:id="1711" w:name="_Toc38442537"/>
      <w:bookmarkStart w:id="1712" w:name="_Toc38442868"/>
      <w:bookmarkStart w:id="1713" w:name="_Toc38443199"/>
      <w:bookmarkStart w:id="1714" w:name="_Toc38443530"/>
      <w:bookmarkStart w:id="1715" w:name="_Toc38443861"/>
      <w:bookmarkStart w:id="1716" w:name="_Toc38438328"/>
      <w:bookmarkStart w:id="1717" w:name="_Toc38438665"/>
      <w:bookmarkStart w:id="1718" w:name="_Toc38439002"/>
      <w:bookmarkStart w:id="1719" w:name="_Toc38439339"/>
      <w:bookmarkStart w:id="1720" w:name="_Toc38439676"/>
      <w:bookmarkStart w:id="1721" w:name="_Toc38440013"/>
      <w:bookmarkStart w:id="1722" w:name="_Toc38440350"/>
      <w:bookmarkStart w:id="1723" w:name="_Toc38440882"/>
      <w:bookmarkStart w:id="1724" w:name="_Toc38441214"/>
      <w:bookmarkStart w:id="1725" w:name="_Toc38441546"/>
      <w:bookmarkStart w:id="1726" w:name="_Toc38441874"/>
      <w:bookmarkStart w:id="1727" w:name="_Toc38442206"/>
      <w:bookmarkStart w:id="1728" w:name="_Toc38442538"/>
      <w:bookmarkStart w:id="1729" w:name="_Toc38442869"/>
      <w:bookmarkStart w:id="1730" w:name="_Toc38443200"/>
      <w:bookmarkStart w:id="1731" w:name="_Toc38443531"/>
      <w:bookmarkStart w:id="1732" w:name="_Toc38443862"/>
      <w:bookmarkStart w:id="1733" w:name="_Toc38438329"/>
      <w:bookmarkStart w:id="1734" w:name="_Toc38438666"/>
      <w:bookmarkStart w:id="1735" w:name="_Toc38439003"/>
      <w:bookmarkStart w:id="1736" w:name="_Toc38439340"/>
      <w:bookmarkStart w:id="1737" w:name="_Toc38439677"/>
      <w:bookmarkStart w:id="1738" w:name="_Toc38440014"/>
      <w:bookmarkStart w:id="1739" w:name="_Toc38440351"/>
      <w:bookmarkStart w:id="1740" w:name="_Toc38440883"/>
      <w:bookmarkStart w:id="1741" w:name="_Toc38441215"/>
      <w:bookmarkStart w:id="1742" w:name="_Toc38441547"/>
      <w:bookmarkStart w:id="1743" w:name="_Toc38441875"/>
      <w:bookmarkStart w:id="1744" w:name="_Toc38442207"/>
      <w:bookmarkStart w:id="1745" w:name="_Toc38442539"/>
      <w:bookmarkStart w:id="1746" w:name="_Toc38442870"/>
      <w:bookmarkStart w:id="1747" w:name="_Toc38443201"/>
      <w:bookmarkStart w:id="1748" w:name="_Toc38443532"/>
      <w:bookmarkStart w:id="1749" w:name="_Toc38443863"/>
      <w:bookmarkStart w:id="1750" w:name="_Toc38438330"/>
      <w:bookmarkStart w:id="1751" w:name="_Toc38438667"/>
      <w:bookmarkStart w:id="1752" w:name="_Toc38439004"/>
      <w:bookmarkStart w:id="1753" w:name="_Toc38439341"/>
      <w:bookmarkStart w:id="1754" w:name="_Toc38439678"/>
      <w:bookmarkStart w:id="1755" w:name="_Toc38440015"/>
      <w:bookmarkStart w:id="1756" w:name="_Toc38440352"/>
      <w:bookmarkStart w:id="1757" w:name="_Toc38440884"/>
      <w:bookmarkStart w:id="1758" w:name="_Toc38441216"/>
      <w:bookmarkStart w:id="1759" w:name="_Toc38441548"/>
      <w:bookmarkStart w:id="1760" w:name="_Toc38441876"/>
      <w:bookmarkStart w:id="1761" w:name="_Toc38442208"/>
      <w:bookmarkStart w:id="1762" w:name="_Toc38442540"/>
      <w:bookmarkStart w:id="1763" w:name="_Toc38442871"/>
      <w:bookmarkStart w:id="1764" w:name="_Toc38443202"/>
      <w:bookmarkStart w:id="1765" w:name="_Toc38443533"/>
      <w:bookmarkStart w:id="1766" w:name="_Toc38443864"/>
      <w:bookmarkStart w:id="1767" w:name="_Toc38438331"/>
      <w:bookmarkStart w:id="1768" w:name="_Toc38438668"/>
      <w:bookmarkStart w:id="1769" w:name="_Toc38439005"/>
      <w:bookmarkStart w:id="1770" w:name="_Toc38439342"/>
      <w:bookmarkStart w:id="1771" w:name="_Toc38439679"/>
      <w:bookmarkStart w:id="1772" w:name="_Toc38440016"/>
      <w:bookmarkStart w:id="1773" w:name="_Toc38440353"/>
      <w:bookmarkStart w:id="1774" w:name="_Toc38440885"/>
      <w:bookmarkEnd w:id="10"/>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rsidR="004A090B">
      <w:pPr>
        <w:pStyle w:val="Heading1"/>
        <w:spacing w:before="317" w:after="317" w:line="360" w:lineRule="auto"/>
        <w:ind w:firstLine="643"/>
        <w:rPr>
          <w:rFonts w:ascii="宋体" w:eastAsia="宋体" w:hAnsi="Calibri" w:cs="宋体"/>
          <w:sz w:val="30"/>
          <w:szCs w:val="30"/>
          <w:lang w:eastAsia="zh-CN"/>
        </w:rPr>
      </w:pPr>
      <w:r>
        <w:rPr>
          <w:rFonts w:ascii="宋体" w:eastAsia="宋体" w:hAnsi="Calibri" w:cs="宋体"/>
          <w:b/>
          <w:bCs/>
          <w:i/>
          <w:lang w:eastAsia="zh-CN"/>
        </w:rPr>
        <w:br w:type="column"/>
      </w:r>
      <w:bookmarkStart w:id="1775" w:name="_Toc332373471"/>
      <w:bookmarkStart w:id="1776" w:name="_Toc129511526"/>
      <w:r>
        <w:rPr>
          <w:rFonts w:ascii="宋体" w:eastAsia="宋体" w:hAnsi="Calibri" w:cs="宋体"/>
          <w:sz w:val="30"/>
          <w:szCs w:val="30"/>
          <w:lang w:eastAsia="zh-CN"/>
        </w:rPr>
        <w:t>第</w:t>
      </w:r>
      <w:r>
        <w:rPr>
          <w:rFonts w:ascii="宋体" w:eastAsia="宋体" w:hAnsi="Calibri" w:cs="宋体" w:hint="eastAsia"/>
          <w:sz w:val="30"/>
          <w:szCs w:val="30"/>
          <w:lang w:eastAsia="zh-CN"/>
        </w:rPr>
        <w:t>四部分</w:t>
      </w:r>
      <w:r>
        <w:rPr>
          <w:rFonts w:ascii="宋体" w:eastAsia="宋体" w:hAnsi="Calibri" w:cs="宋体"/>
          <w:sz w:val="30"/>
          <w:szCs w:val="30"/>
          <w:lang w:eastAsia="zh-CN"/>
        </w:rPr>
        <w:t xml:space="preserve"> </w:t>
      </w:r>
      <w:r>
        <w:rPr>
          <w:rFonts w:ascii="宋体" w:eastAsia="宋体" w:hAnsi="Calibri" w:cs="宋体" w:hint="eastAsia"/>
          <w:sz w:val="30"/>
          <w:szCs w:val="30"/>
          <w:lang w:eastAsia="zh-CN"/>
        </w:rPr>
        <w:t>基金托管人</w:t>
      </w:r>
      <w:bookmarkEnd w:id="1775"/>
      <w:bookmarkEnd w:id="1776"/>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一、基金托管人概况</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1</w:t>
      </w:r>
      <w:r w:rsidRPr="003608B8">
        <w:rPr>
          <w:rFonts w:ascii="宋体" w:hAnsi="Calibri" w:cs="宋体" w:hint="eastAsia"/>
          <w:szCs w:val="21"/>
          <w:lang w:eastAsia="zh-CN"/>
        </w:rPr>
        <w:t>、基本情况</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名称：招商银行股份有限公司（以下简称“招商银行”）</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设立日期：</w:t>
      </w:r>
      <w:r w:rsidRPr="003608B8">
        <w:rPr>
          <w:rFonts w:ascii="宋体" w:hAnsi="Calibri" w:cs="宋体" w:hint="eastAsia"/>
          <w:szCs w:val="21"/>
          <w:lang w:eastAsia="zh-CN"/>
        </w:rPr>
        <w:t>1987</w:t>
      </w:r>
      <w:r w:rsidRPr="003608B8">
        <w:rPr>
          <w:rFonts w:ascii="宋体" w:hAnsi="Calibri" w:cs="宋体" w:hint="eastAsia"/>
          <w:szCs w:val="21"/>
          <w:lang w:eastAsia="zh-CN"/>
        </w:rPr>
        <w:t>年</w:t>
      </w:r>
      <w:r w:rsidRPr="003608B8">
        <w:rPr>
          <w:rFonts w:ascii="宋体" w:hAnsi="Calibri" w:cs="宋体" w:hint="eastAsia"/>
          <w:szCs w:val="21"/>
          <w:lang w:eastAsia="zh-CN"/>
        </w:rPr>
        <w:t>3</w:t>
      </w:r>
      <w:r w:rsidRPr="003608B8">
        <w:rPr>
          <w:rFonts w:ascii="宋体" w:hAnsi="Calibri" w:cs="宋体" w:hint="eastAsia"/>
          <w:szCs w:val="21"/>
          <w:lang w:eastAsia="zh-CN"/>
        </w:rPr>
        <w:t>月</w:t>
      </w:r>
      <w:r w:rsidRPr="003608B8">
        <w:rPr>
          <w:rFonts w:ascii="宋体" w:hAnsi="Calibri" w:cs="宋体" w:hint="eastAsia"/>
          <w:szCs w:val="21"/>
          <w:lang w:eastAsia="zh-CN"/>
        </w:rPr>
        <w:t>31</w:t>
      </w:r>
      <w:r w:rsidRPr="003608B8">
        <w:rPr>
          <w:rFonts w:ascii="宋体" w:hAnsi="Calibri" w:cs="宋体" w:hint="eastAsia"/>
          <w:szCs w:val="21"/>
          <w:lang w:eastAsia="zh-CN"/>
        </w:rPr>
        <w:t>日</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注册地址：深圳市深南大道</w:t>
      </w:r>
      <w:r w:rsidRPr="003608B8">
        <w:rPr>
          <w:rFonts w:ascii="宋体" w:hAnsi="Calibri" w:cs="宋体" w:hint="eastAsia"/>
          <w:szCs w:val="21"/>
          <w:lang w:eastAsia="zh-CN"/>
        </w:rPr>
        <w:t>7088</w:t>
      </w:r>
      <w:r w:rsidRPr="003608B8">
        <w:rPr>
          <w:rFonts w:ascii="宋体" w:hAnsi="Calibri" w:cs="宋体" w:hint="eastAsia"/>
          <w:szCs w:val="21"/>
          <w:lang w:eastAsia="zh-CN"/>
        </w:rPr>
        <w:t>号招商银行大厦</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办公地址：深圳市深南大道</w:t>
      </w:r>
      <w:r w:rsidRPr="003608B8">
        <w:rPr>
          <w:rFonts w:ascii="宋体" w:hAnsi="Calibri" w:cs="宋体" w:hint="eastAsia"/>
          <w:szCs w:val="21"/>
          <w:lang w:eastAsia="zh-CN"/>
        </w:rPr>
        <w:t>7088</w:t>
      </w:r>
      <w:r w:rsidRPr="003608B8">
        <w:rPr>
          <w:rFonts w:ascii="宋体" w:hAnsi="Calibri" w:cs="宋体" w:hint="eastAsia"/>
          <w:szCs w:val="21"/>
          <w:lang w:eastAsia="zh-CN"/>
        </w:rPr>
        <w:t>号招商银行大厦</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注册资本：</w:t>
      </w:r>
      <w:r w:rsidRPr="003608B8">
        <w:rPr>
          <w:rFonts w:ascii="宋体" w:hAnsi="Calibri" w:cs="宋体" w:hint="eastAsia"/>
          <w:szCs w:val="21"/>
          <w:lang w:eastAsia="zh-CN"/>
        </w:rPr>
        <w:t>252.20</w:t>
      </w:r>
      <w:r w:rsidRPr="003608B8">
        <w:rPr>
          <w:rFonts w:ascii="宋体" w:hAnsi="Calibri" w:cs="宋体" w:hint="eastAsia"/>
          <w:szCs w:val="21"/>
          <w:lang w:eastAsia="zh-CN"/>
        </w:rPr>
        <w:t>亿元</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法定代表人：缪建民</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资产托管业务批准文号：证监基金字</w:t>
      </w:r>
      <w:r w:rsidRPr="003608B8">
        <w:rPr>
          <w:rFonts w:ascii="宋体" w:hAnsi="Calibri" w:cs="宋体" w:hint="eastAsia"/>
          <w:szCs w:val="21"/>
          <w:lang w:eastAsia="zh-CN"/>
        </w:rPr>
        <w:t>[2002]83</w:t>
      </w:r>
      <w:r w:rsidRPr="003608B8">
        <w:rPr>
          <w:rFonts w:ascii="宋体" w:hAnsi="Calibri" w:cs="宋体" w:hint="eastAsia"/>
          <w:szCs w:val="21"/>
          <w:lang w:eastAsia="zh-CN"/>
        </w:rPr>
        <w:t>号</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电话：</w:t>
      </w:r>
      <w:r w:rsidRPr="003608B8">
        <w:rPr>
          <w:rFonts w:ascii="宋体" w:hAnsi="Calibri" w:cs="宋体" w:hint="eastAsia"/>
          <w:szCs w:val="21"/>
          <w:lang w:eastAsia="zh-CN"/>
        </w:rPr>
        <w:t>4006195555</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传真：</w:t>
      </w:r>
      <w:r w:rsidRPr="003608B8">
        <w:rPr>
          <w:rFonts w:ascii="宋体" w:hAnsi="Calibri" w:cs="宋体" w:hint="eastAsia"/>
          <w:szCs w:val="21"/>
          <w:lang w:eastAsia="zh-CN"/>
        </w:rPr>
        <w:t>0755-83195201</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资产托管部信息披露负责人：张姗</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 xml:space="preserve"> 2</w:t>
      </w:r>
      <w:r w:rsidRPr="003608B8">
        <w:rPr>
          <w:rFonts w:ascii="宋体" w:hAnsi="Calibri" w:cs="宋体" w:hint="eastAsia"/>
          <w:szCs w:val="21"/>
          <w:lang w:eastAsia="zh-CN"/>
        </w:rPr>
        <w:t>、发展概况</w:t>
      </w:r>
      <w:r w:rsidRPr="003608B8">
        <w:rPr>
          <w:rFonts w:ascii="宋体" w:hAnsi="Calibri" w:cs="宋体" w:hint="eastAsia"/>
          <w:szCs w:val="21"/>
          <w:lang w:eastAsia="zh-CN"/>
        </w:rPr>
        <w:t xml:space="preserve">   </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招商银行于</w:t>
      </w:r>
      <w:r w:rsidRPr="003608B8">
        <w:rPr>
          <w:rFonts w:ascii="宋体" w:hAnsi="Calibri" w:cs="宋体" w:hint="eastAsia"/>
          <w:szCs w:val="21"/>
          <w:lang w:eastAsia="zh-CN"/>
        </w:rPr>
        <w:t>1987</w:t>
      </w:r>
      <w:r w:rsidRPr="003608B8">
        <w:rPr>
          <w:rFonts w:ascii="宋体" w:hAnsi="Calibri" w:cs="宋体" w:hint="eastAsia"/>
          <w:szCs w:val="21"/>
          <w:lang w:eastAsia="zh-CN"/>
        </w:rPr>
        <w:t>年在深圳创建，是中国境内第一家完全由企业法人持股的股份制商业银行，成立</w:t>
      </w:r>
      <w:r w:rsidRPr="003608B8">
        <w:rPr>
          <w:rFonts w:ascii="宋体" w:hAnsi="Calibri" w:cs="宋体" w:hint="eastAsia"/>
          <w:szCs w:val="21"/>
          <w:lang w:eastAsia="zh-CN"/>
        </w:rPr>
        <w:t>38</w:t>
      </w:r>
      <w:r w:rsidRPr="003608B8">
        <w:rPr>
          <w:rFonts w:ascii="宋体" w:hAnsi="Calibri" w:cs="宋体" w:hint="eastAsia"/>
          <w:szCs w:val="21"/>
          <w:lang w:eastAsia="zh-CN"/>
        </w:rPr>
        <w:t>年来逐步发展成为沪港两地上市，拥有商业银行、金融租赁、基金管理、人寿保险、境外投行、消费金融、理财子公司等金融牌照的银行集团。成立以来，招商银行始终坚持服务立行、创新驱动、科技兴行、人才强行，以自身转型发展助力社会经济高质量发展，全力服务居民和企业客户财富增长、资产安全、资金融通。截至</w:t>
      </w:r>
      <w:r w:rsidRPr="003608B8">
        <w:rPr>
          <w:rFonts w:ascii="宋体" w:hAnsi="Calibri" w:cs="宋体" w:hint="eastAsia"/>
          <w:szCs w:val="21"/>
          <w:lang w:eastAsia="zh-CN"/>
        </w:rPr>
        <w:t>2026</w:t>
      </w:r>
      <w:r w:rsidRPr="003608B8">
        <w:rPr>
          <w:rFonts w:ascii="宋体" w:hAnsi="Calibri" w:cs="宋体" w:hint="eastAsia"/>
          <w:szCs w:val="21"/>
          <w:lang w:eastAsia="zh-CN"/>
        </w:rPr>
        <w:t>年</w:t>
      </w:r>
      <w:r w:rsidRPr="003608B8">
        <w:rPr>
          <w:rFonts w:ascii="宋体" w:hAnsi="Calibri" w:cs="宋体" w:hint="eastAsia"/>
          <w:szCs w:val="21"/>
          <w:lang w:eastAsia="zh-CN"/>
        </w:rPr>
        <w:t>3</w:t>
      </w:r>
      <w:r w:rsidRPr="003608B8">
        <w:rPr>
          <w:rFonts w:ascii="宋体" w:hAnsi="Calibri" w:cs="宋体" w:hint="eastAsia"/>
          <w:szCs w:val="21"/>
          <w:lang w:eastAsia="zh-CN"/>
        </w:rPr>
        <w:t>月</w:t>
      </w:r>
      <w:r w:rsidRPr="003608B8">
        <w:rPr>
          <w:rFonts w:ascii="宋体" w:hAnsi="Calibri" w:cs="宋体" w:hint="eastAsia"/>
          <w:szCs w:val="21"/>
          <w:lang w:eastAsia="zh-CN"/>
        </w:rPr>
        <w:t>31</w:t>
      </w:r>
      <w:r w:rsidRPr="003608B8">
        <w:rPr>
          <w:rFonts w:ascii="宋体" w:hAnsi="Calibri" w:cs="宋体" w:hint="eastAsia"/>
          <w:szCs w:val="21"/>
          <w:lang w:eastAsia="zh-CN"/>
        </w:rPr>
        <w:t>日，本集团总资产</w:t>
      </w:r>
      <w:r w:rsidRPr="003608B8">
        <w:rPr>
          <w:rFonts w:ascii="宋体" w:hAnsi="Calibri" w:cs="宋体" w:hint="eastAsia"/>
          <w:szCs w:val="21"/>
          <w:lang w:eastAsia="zh-CN"/>
        </w:rPr>
        <w:t>134,848.82</w:t>
      </w:r>
      <w:r w:rsidRPr="003608B8">
        <w:rPr>
          <w:rFonts w:ascii="宋体" w:hAnsi="Calibri" w:cs="宋体" w:hint="eastAsia"/>
          <w:szCs w:val="21"/>
          <w:lang w:eastAsia="zh-CN"/>
        </w:rPr>
        <w:t>亿元人民币，高级法下资本充足率</w:t>
      </w:r>
      <w:r w:rsidRPr="003608B8">
        <w:rPr>
          <w:rFonts w:ascii="宋体" w:hAnsi="Calibri" w:cs="宋体" w:hint="eastAsia"/>
          <w:szCs w:val="21"/>
          <w:lang w:eastAsia="zh-CN"/>
        </w:rPr>
        <w:t>17.76%</w:t>
      </w:r>
      <w:r w:rsidRPr="003608B8">
        <w:rPr>
          <w:rFonts w:ascii="宋体" w:hAnsi="Calibri" w:cs="宋体" w:hint="eastAsia"/>
          <w:szCs w:val="21"/>
          <w:lang w:eastAsia="zh-CN"/>
        </w:rPr>
        <w:t>，权重法下资本充足率</w:t>
      </w:r>
      <w:r w:rsidRPr="003608B8">
        <w:rPr>
          <w:rFonts w:ascii="宋体" w:hAnsi="Calibri" w:cs="宋体" w:hint="eastAsia"/>
          <w:szCs w:val="21"/>
          <w:lang w:eastAsia="zh-CN"/>
        </w:rPr>
        <w:t>14.60%</w:t>
      </w:r>
      <w:r w:rsidRPr="003608B8">
        <w:rPr>
          <w:rFonts w:ascii="宋体" w:hAnsi="Calibri" w:cs="宋体" w:hint="eastAsia"/>
          <w:szCs w:val="21"/>
          <w:lang w:eastAsia="zh-CN"/>
        </w:rPr>
        <w:t>。</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2</w:t>
      </w:r>
      <w:r w:rsidRPr="003608B8">
        <w:rPr>
          <w:rFonts w:ascii="宋体" w:hAnsi="Calibri" w:cs="宋体" w:hint="eastAsia"/>
          <w:szCs w:val="21"/>
          <w:lang w:eastAsia="zh-CN"/>
        </w:rPr>
        <w:t>002</w:t>
      </w:r>
      <w:r w:rsidRPr="003608B8">
        <w:rPr>
          <w:rFonts w:ascii="宋体" w:hAnsi="Calibri" w:cs="宋体" w:hint="eastAsia"/>
          <w:szCs w:val="21"/>
          <w:lang w:eastAsia="zh-CN"/>
        </w:rPr>
        <w:t>年</w:t>
      </w:r>
      <w:r w:rsidRPr="003608B8">
        <w:rPr>
          <w:rFonts w:ascii="宋体" w:hAnsi="Calibri" w:cs="宋体" w:hint="eastAsia"/>
          <w:szCs w:val="21"/>
          <w:lang w:eastAsia="zh-CN"/>
        </w:rPr>
        <w:t>8</w:t>
      </w:r>
      <w:r w:rsidRPr="003608B8">
        <w:rPr>
          <w:rFonts w:ascii="宋体" w:hAnsi="Calibri" w:cs="宋体" w:hint="eastAsia"/>
          <w:szCs w:val="21"/>
          <w:lang w:eastAsia="zh-CN"/>
        </w:rPr>
        <w:t>月，招商银行成立基金托管部；</w:t>
      </w:r>
      <w:r w:rsidRPr="003608B8">
        <w:rPr>
          <w:rFonts w:ascii="宋体" w:hAnsi="Calibri" w:cs="宋体" w:hint="eastAsia"/>
          <w:szCs w:val="21"/>
          <w:lang w:eastAsia="zh-CN"/>
        </w:rPr>
        <w:t>2005</w:t>
      </w:r>
      <w:r w:rsidRPr="003608B8">
        <w:rPr>
          <w:rFonts w:ascii="宋体" w:hAnsi="Calibri" w:cs="宋体" w:hint="eastAsia"/>
          <w:szCs w:val="21"/>
          <w:lang w:eastAsia="zh-CN"/>
        </w:rPr>
        <w:t>年</w:t>
      </w:r>
      <w:r w:rsidRPr="003608B8">
        <w:rPr>
          <w:rFonts w:ascii="宋体" w:hAnsi="Calibri" w:cs="宋体" w:hint="eastAsia"/>
          <w:szCs w:val="21"/>
          <w:lang w:eastAsia="zh-CN"/>
        </w:rPr>
        <w:t>8</w:t>
      </w:r>
      <w:r w:rsidRPr="003608B8">
        <w:rPr>
          <w:rFonts w:ascii="宋体" w:hAnsi="Calibri" w:cs="宋体" w:hint="eastAsia"/>
          <w:szCs w:val="21"/>
          <w:lang w:eastAsia="zh-CN"/>
        </w:rPr>
        <w:t>月，经报中国证监会同意，更名为资产托管部，现下设基金券商团队、银保信托团队、养老金团队、业务管理团队、产品研发团队、风险管理团队、系统与数据团队、项目支持团队、运营管理团队、基金外包业务团队</w:t>
      </w:r>
      <w:r w:rsidRPr="003608B8">
        <w:rPr>
          <w:rFonts w:ascii="宋体" w:hAnsi="Calibri" w:cs="宋体" w:hint="eastAsia"/>
          <w:szCs w:val="21"/>
          <w:lang w:eastAsia="zh-CN"/>
        </w:rPr>
        <w:t>10</w:t>
      </w:r>
      <w:r w:rsidRPr="003608B8">
        <w:rPr>
          <w:rFonts w:ascii="宋体" w:hAnsi="Calibri" w:cs="宋体" w:hint="eastAsia"/>
          <w:szCs w:val="21"/>
          <w:lang w:eastAsia="zh-CN"/>
        </w:rPr>
        <w:t>个职能团队，现有员工</w:t>
      </w:r>
      <w:r w:rsidRPr="003608B8">
        <w:rPr>
          <w:rFonts w:ascii="宋体" w:hAnsi="Calibri" w:cs="宋体" w:hint="eastAsia"/>
          <w:szCs w:val="21"/>
          <w:lang w:eastAsia="zh-CN"/>
        </w:rPr>
        <w:t>261</w:t>
      </w:r>
      <w:r w:rsidRPr="003608B8">
        <w:rPr>
          <w:rFonts w:ascii="宋体" w:hAnsi="Calibri" w:cs="宋体" w:hint="eastAsia"/>
          <w:szCs w:val="21"/>
          <w:lang w:eastAsia="zh-CN"/>
        </w:rPr>
        <w:t>人。</w:t>
      </w:r>
      <w:r w:rsidRPr="003608B8">
        <w:rPr>
          <w:rFonts w:ascii="宋体" w:hAnsi="Calibri" w:cs="宋体" w:hint="eastAsia"/>
          <w:szCs w:val="21"/>
          <w:lang w:eastAsia="zh-CN"/>
        </w:rPr>
        <w:t>2002</w:t>
      </w:r>
      <w:r w:rsidRPr="003608B8">
        <w:rPr>
          <w:rFonts w:ascii="宋体" w:hAnsi="Calibri" w:cs="宋体" w:hint="eastAsia"/>
          <w:szCs w:val="21"/>
          <w:lang w:eastAsia="zh-CN"/>
        </w:rPr>
        <w:t>年</w:t>
      </w:r>
      <w:r w:rsidRPr="003608B8">
        <w:rPr>
          <w:rFonts w:ascii="宋体" w:hAnsi="Calibri" w:cs="宋体" w:hint="eastAsia"/>
          <w:szCs w:val="21"/>
          <w:lang w:eastAsia="zh-CN"/>
        </w:rPr>
        <w:t>11</w:t>
      </w:r>
      <w:r w:rsidRPr="003608B8">
        <w:rPr>
          <w:rFonts w:ascii="宋体" w:hAnsi="Calibri" w:cs="宋体" w:hint="eastAsia"/>
          <w:szCs w:val="21"/>
          <w:lang w:eastAsia="zh-CN"/>
        </w:rPr>
        <w:t>月，经中国人民银行和中国证监会批准获得证券投资基金托管业务资格，成为国内第一家获得该项业务资格上市银行；</w:t>
      </w:r>
      <w:r w:rsidRPr="003608B8">
        <w:rPr>
          <w:rFonts w:ascii="宋体" w:hAnsi="Calibri" w:cs="宋体" w:hint="eastAsia"/>
          <w:szCs w:val="21"/>
          <w:lang w:eastAsia="zh-CN"/>
        </w:rPr>
        <w:t>2003</w:t>
      </w:r>
      <w:r w:rsidRPr="003608B8">
        <w:rPr>
          <w:rFonts w:ascii="宋体" w:hAnsi="Calibri" w:cs="宋体" w:hint="eastAsia"/>
          <w:szCs w:val="21"/>
          <w:lang w:eastAsia="zh-CN"/>
        </w:rPr>
        <w:t>年</w:t>
      </w:r>
      <w:r w:rsidRPr="003608B8">
        <w:rPr>
          <w:rFonts w:ascii="宋体" w:hAnsi="Calibri" w:cs="宋体" w:hint="eastAsia"/>
          <w:szCs w:val="21"/>
          <w:lang w:eastAsia="zh-CN"/>
        </w:rPr>
        <w:t>4</w:t>
      </w:r>
      <w:r w:rsidRPr="003608B8">
        <w:rPr>
          <w:rFonts w:ascii="宋体" w:hAnsi="Calibri" w:cs="宋体" w:hint="eastAsia"/>
          <w:szCs w:val="21"/>
          <w:lang w:eastAsia="zh-CN"/>
        </w:rPr>
        <w:t>月，正式办理基金托管业务。招商银行作为托管业务资质最全的商业银行之一，拥有证券投资基金托管资格、基本养老保险</w:t>
      </w:r>
      <w:r w:rsidRPr="003608B8">
        <w:rPr>
          <w:rFonts w:ascii="宋体" w:hAnsi="Calibri" w:cs="宋体" w:hint="eastAsia"/>
          <w:szCs w:val="21"/>
          <w:lang w:eastAsia="zh-CN"/>
        </w:rPr>
        <w:t>基金托管机构资格、受托投资管理托管业务托管资格、保险资金托管业务资格、企业年金基金托管业务资格、合格境外机构投资者托管（</w:t>
      </w:r>
      <w:r w:rsidRPr="003608B8">
        <w:rPr>
          <w:rFonts w:ascii="宋体" w:hAnsi="Calibri" w:cs="宋体" w:hint="eastAsia"/>
          <w:szCs w:val="21"/>
          <w:lang w:eastAsia="zh-CN"/>
        </w:rPr>
        <w:t>QFII</w:t>
      </w:r>
      <w:r w:rsidRPr="003608B8">
        <w:rPr>
          <w:rFonts w:ascii="宋体" w:hAnsi="Calibri" w:cs="宋体" w:hint="eastAsia"/>
          <w:szCs w:val="21"/>
          <w:lang w:eastAsia="zh-CN"/>
        </w:rPr>
        <w:t>）资格、合格境内机构投资者托管（</w:t>
      </w:r>
      <w:r w:rsidRPr="003608B8">
        <w:rPr>
          <w:rFonts w:ascii="宋体" w:hAnsi="Calibri" w:cs="宋体" w:hint="eastAsia"/>
          <w:szCs w:val="21"/>
          <w:lang w:eastAsia="zh-CN"/>
        </w:rPr>
        <w:t>QDII</w:t>
      </w:r>
      <w:r w:rsidRPr="003608B8">
        <w:rPr>
          <w:rFonts w:ascii="宋体" w:hAnsi="Calibri" w:cs="宋体" w:hint="eastAsia"/>
          <w:szCs w:val="21"/>
          <w:lang w:eastAsia="zh-CN"/>
        </w:rPr>
        <w:t>）资格、私募基金业务外包服务资格、存托凭证试点存托业务等业务资格。</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招商银行资产托管结合自身在托管行业深耕</w:t>
      </w:r>
      <w:r w:rsidRPr="003608B8">
        <w:rPr>
          <w:rFonts w:ascii="宋体" w:hAnsi="Calibri" w:cs="宋体" w:hint="eastAsia"/>
          <w:szCs w:val="21"/>
          <w:lang w:eastAsia="zh-CN"/>
        </w:rPr>
        <w:t>24</w:t>
      </w:r>
      <w:r w:rsidRPr="003608B8">
        <w:rPr>
          <w:rFonts w:ascii="宋体" w:hAnsi="Calibri" w:cs="宋体" w:hint="eastAsia"/>
          <w:szCs w:val="21"/>
          <w:lang w:eastAsia="zh-CN"/>
        </w:rPr>
        <w:t>年的专业能力和创新精神，推出“招商银行托管</w:t>
      </w:r>
      <w:r w:rsidRPr="003608B8">
        <w:rPr>
          <w:rFonts w:ascii="宋体" w:hAnsi="Calibri" w:cs="宋体" w:hint="eastAsia"/>
          <w:szCs w:val="21"/>
          <w:lang w:eastAsia="zh-CN"/>
        </w:rPr>
        <w:t>+</w:t>
      </w:r>
      <w:r w:rsidRPr="003608B8">
        <w:rPr>
          <w:rFonts w:ascii="宋体" w:hAnsi="Calibri" w:cs="宋体" w:hint="eastAsia"/>
          <w:szCs w:val="21"/>
          <w:lang w:eastAsia="zh-CN"/>
        </w:rPr>
        <w:t>”服务品牌，以“践行价值银行战略，致力于成为专业更精、科技更强、服务更佳的客户首选全球托管银行”品牌愿景为指引，以“值得信赖的专家、贴心服务的管家、让价值持续增加、客户的体验更佳”的“</w:t>
      </w:r>
      <w:r w:rsidRPr="003608B8">
        <w:rPr>
          <w:rFonts w:ascii="宋体" w:hAnsi="Calibri" w:cs="宋体" w:hint="eastAsia"/>
          <w:szCs w:val="21"/>
          <w:lang w:eastAsia="zh-CN"/>
        </w:rPr>
        <w:t>4+</w:t>
      </w:r>
      <w:r w:rsidRPr="003608B8">
        <w:rPr>
          <w:rFonts w:ascii="宋体" w:hAnsi="Calibri" w:cs="宋体" w:hint="eastAsia"/>
          <w:szCs w:val="21"/>
          <w:lang w:eastAsia="zh-CN"/>
        </w:rPr>
        <w:t>目</w:t>
      </w:r>
      <w:r w:rsidRPr="003608B8">
        <w:rPr>
          <w:rFonts w:ascii="宋体" w:hAnsi="Calibri" w:cs="宋体" w:hint="eastAsia"/>
          <w:szCs w:val="21"/>
          <w:lang w:eastAsia="zh-CN"/>
        </w:rPr>
        <w:t>标”，以创新的“服务产品化”为方法论，全方位助力资管机构实现可持续的高质量发展。招商银行资产托管围绕资管全场景，打造了“如风运营”“大观投研”“见微数据”三个服务子品牌，不断创新托管系统、服务和产品：在业内率先推出“网上托管银行系统”、托管业务综合系统和“</w:t>
      </w:r>
      <w:r w:rsidRPr="003608B8">
        <w:rPr>
          <w:rFonts w:ascii="宋体" w:hAnsi="Calibri" w:cs="宋体" w:hint="eastAsia"/>
          <w:szCs w:val="21"/>
          <w:lang w:eastAsia="zh-CN"/>
        </w:rPr>
        <w:t>6S</w:t>
      </w:r>
      <w:r w:rsidRPr="003608B8">
        <w:rPr>
          <w:rFonts w:ascii="宋体" w:hAnsi="Calibri" w:cs="宋体" w:hint="eastAsia"/>
          <w:szCs w:val="21"/>
          <w:lang w:eastAsia="zh-CN"/>
        </w:rPr>
        <w:t>”托管服务标准，首家发布私募基金绩效分析报告，开办国内首个托管银行网站，推出国内首个托管大数据平台，成功托管国内第一只券商集合资产管理计划、第一只</w:t>
      </w:r>
      <w:r w:rsidRPr="003608B8">
        <w:rPr>
          <w:rFonts w:ascii="宋体" w:hAnsi="Calibri" w:cs="宋体" w:hint="eastAsia"/>
          <w:szCs w:val="21"/>
          <w:lang w:eastAsia="zh-CN"/>
        </w:rPr>
        <w:t>FOF</w:t>
      </w:r>
      <w:r w:rsidRPr="003608B8">
        <w:rPr>
          <w:rFonts w:ascii="宋体" w:hAnsi="Calibri" w:cs="宋体" w:hint="eastAsia"/>
          <w:szCs w:val="21"/>
          <w:lang w:eastAsia="zh-CN"/>
        </w:rPr>
        <w:t>、第一只信托资金计划、第一只股权私募基金、第一家实现货币市场基金赎回资金</w:t>
      </w:r>
      <w:r w:rsidRPr="003608B8">
        <w:rPr>
          <w:rFonts w:ascii="宋体" w:hAnsi="Calibri" w:cs="宋体" w:hint="eastAsia"/>
          <w:szCs w:val="21"/>
          <w:lang w:eastAsia="zh-CN"/>
        </w:rPr>
        <w:t>T+1</w:t>
      </w:r>
      <w:r w:rsidRPr="003608B8">
        <w:rPr>
          <w:rFonts w:ascii="宋体" w:hAnsi="Calibri" w:cs="宋体" w:hint="eastAsia"/>
          <w:szCs w:val="21"/>
          <w:lang w:eastAsia="zh-CN"/>
        </w:rPr>
        <w:t>到账、第一只境外银行</w:t>
      </w:r>
      <w:r w:rsidRPr="003608B8">
        <w:rPr>
          <w:rFonts w:ascii="宋体" w:hAnsi="Calibri" w:cs="宋体" w:hint="eastAsia"/>
          <w:szCs w:val="21"/>
          <w:lang w:eastAsia="zh-CN"/>
        </w:rPr>
        <w:t>Q</w:t>
      </w:r>
      <w:r w:rsidRPr="003608B8">
        <w:rPr>
          <w:rFonts w:ascii="宋体" w:hAnsi="Calibri" w:cs="宋体" w:hint="eastAsia"/>
          <w:szCs w:val="21"/>
          <w:lang w:eastAsia="zh-CN"/>
        </w:rPr>
        <w:t>DII</w:t>
      </w:r>
      <w:r w:rsidRPr="003608B8">
        <w:rPr>
          <w:rFonts w:ascii="宋体" w:hAnsi="Calibri" w:cs="宋体" w:hint="eastAsia"/>
          <w:szCs w:val="21"/>
          <w:lang w:eastAsia="zh-CN"/>
        </w:rPr>
        <w:t>基金、第一只红利</w:t>
      </w:r>
      <w:r w:rsidRPr="003608B8">
        <w:rPr>
          <w:rFonts w:ascii="宋体" w:hAnsi="Calibri" w:cs="宋体" w:hint="eastAsia"/>
          <w:szCs w:val="21"/>
          <w:lang w:eastAsia="zh-CN"/>
        </w:rPr>
        <w:t>ETF</w:t>
      </w:r>
      <w:r w:rsidRPr="003608B8">
        <w:rPr>
          <w:rFonts w:ascii="宋体" w:hAnsi="Calibri" w:cs="宋体" w:hint="eastAsia"/>
          <w:szCs w:val="21"/>
          <w:lang w:eastAsia="zh-CN"/>
        </w:rPr>
        <w:t>基金、第一只“</w:t>
      </w:r>
      <w:r w:rsidRPr="003608B8">
        <w:rPr>
          <w:rFonts w:ascii="宋体" w:hAnsi="Calibri" w:cs="宋体" w:hint="eastAsia"/>
          <w:szCs w:val="21"/>
          <w:lang w:eastAsia="zh-CN"/>
        </w:rPr>
        <w:t>1+N</w:t>
      </w:r>
      <w:r w:rsidRPr="003608B8">
        <w:rPr>
          <w:rFonts w:ascii="宋体" w:hAnsi="Calibri" w:cs="宋体" w:hint="eastAsia"/>
          <w:szCs w:val="21"/>
          <w:lang w:eastAsia="zh-CN"/>
        </w:rPr>
        <w:t>”基金专户理财、第一家大小非解禁资产、第一单</w:t>
      </w:r>
      <w:r w:rsidRPr="003608B8">
        <w:rPr>
          <w:rFonts w:ascii="宋体" w:hAnsi="Calibri" w:cs="宋体" w:hint="eastAsia"/>
          <w:szCs w:val="21"/>
          <w:lang w:eastAsia="zh-CN"/>
        </w:rPr>
        <w:t>TOT</w:t>
      </w:r>
      <w:r w:rsidRPr="003608B8">
        <w:rPr>
          <w:rFonts w:ascii="宋体" w:hAnsi="Calibri" w:cs="宋体" w:hint="eastAsia"/>
          <w:szCs w:val="21"/>
          <w:lang w:eastAsia="zh-CN"/>
        </w:rPr>
        <w:t>保管，实现从单一托管服务商向全面投资者服务机构的转变，得到了同业认可。</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招商银行资产托管业务持续稳健发展，社会影响力不断提升，近年来获得业内各类奖项荣誉。</w:t>
      </w:r>
      <w:r w:rsidRPr="003608B8">
        <w:rPr>
          <w:rFonts w:ascii="宋体" w:hAnsi="Calibri" w:cs="宋体" w:hint="eastAsia"/>
          <w:szCs w:val="21"/>
          <w:lang w:eastAsia="zh-CN"/>
        </w:rPr>
        <w:t>2016</w:t>
      </w:r>
      <w:r w:rsidRPr="003608B8">
        <w:rPr>
          <w:rFonts w:ascii="宋体" w:hAnsi="Calibri" w:cs="宋体" w:hint="eastAsia"/>
          <w:szCs w:val="21"/>
          <w:lang w:eastAsia="zh-CN"/>
        </w:rPr>
        <w:t>年</w:t>
      </w:r>
      <w:r w:rsidRPr="003608B8">
        <w:rPr>
          <w:rFonts w:ascii="宋体" w:hAnsi="Calibri" w:cs="宋体" w:hint="eastAsia"/>
          <w:szCs w:val="21"/>
          <w:lang w:eastAsia="zh-CN"/>
        </w:rPr>
        <w:t>5</w:t>
      </w:r>
      <w:r w:rsidRPr="003608B8">
        <w:rPr>
          <w:rFonts w:ascii="宋体" w:hAnsi="Calibri" w:cs="宋体" w:hint="eastAsia"/>
          <w:szCs w:val="21"/>
          <w:lang w:eastAsia="zh-CN"/>
        </w:rPr>
        <w:t>月</w:t>
      </w:r>
      <w:r w:rsidRPr="003608B8">
        <w:rPr>
          <w:rFonts w:ascii="宋体" w:hAnsi="Calibri" w:cs="宋体" w:hint="eastAsia"/>
          <w:szCs w:val="21"/>
          <w:lang w:eastAsia="zh-CN"/>
        </w:rPr>
        <w:t xml:space="preserve"> </w:t>
      </w:r>
      <w:r w:rsidRPr="003608B8">
        <w:rPr>
          <w:rFonts w:ascii="宋体" w:hAnsi="Calibri" w:cs="宋体" w:hint="eastAsia"/>
          <w:szCs w:val="21"/>
          <w:lang w:eastAsia="zh-CN"/>
        </w:rPr>
        <w:t>“托管通”荣获《银行家》</w:t>
      </w:r>
      <w:r w:rsidRPr="003608B8">
        <w:rPr>
          <w:rFonts w:ascii="宋体" w:hAnsi="Calibri" w:cs="宋体" w:hint="eastAsia"/>
          <w:szCs w:val="21"/>
          <w:lang w:eastAsia="zh-CN"/>
        </w:rPr>
        <w:t>2016</w:t>
      </w:r>
      <w:r w:rsidRPr="003608B8">
        <w:rPr>
          <w:rFonts w:ascii="宋体" w:hAnsi="Calibri" w:cs="宋体" w:hint="eastAsia"/>
          <w:szCs w:val="21"/>
          <w:lang w:eastAsia="zh-CN"/>
        </w:rPr>
        <w:t>中国金融创新</w:t>
      </w:r>
      <w:r w:rsidRPr="003608B8">
        <w:rPr>
          <w:rFonts w:ascii="宋体" w:hAnsi="Calibri" w:cs="宋体" w:hint="eastAsia"/>
          <w:szCs w:val="21"/>
          <w:lang w:eastAsia="zh-CN"/>
        </w:rPr>
        <w:t xml:space="preserve"> </w:t>
      </w:r>
      <w:r w:rsidRPr="003608B8">
        <w:rPr>
          <w:rFonts w:ascii="宋体" w:hAnsi="Calibri" w:cs="宋体" w:hint="eastAsia"/>
          <w:szCs w:val="21"/>
          <w:lang w:eastAsia="zh-CN"/>
        </w:rPr>
        <w:t>“十佳金融产品创新奖”；</w:t>
      </w:r>
      <w:r w:rsidRPr="003608B8">
        <w:rPr>
          <w:rFonts w:ascii="宋体" w:hAnsi="Calibri" w:cs="宋体" w:hint="eastAsia"/>
          <w:szCs w:val="21"/>
          <w:lang w:eastAsia="zh-CN"/>
        </w:rPr>
        <w:t xml:space="preserve"> 6</w:t>
      </w:r>
      <w:r w:rsidRPr="003608B8">
        <w:rPr>
          <w:rFonts w:ascii="宋体" w:hAnsi="Calibri" w:cs="宋体" w:hint="eastAsia"/>
          <w:szCs w:val="21"/>
          <w:lang w:eastAsia="zh-CN"/>
        </w:rPr>
        <w:t>月荣获《财资》“中国最佳托管银行奖”，成为国内唯一获得该奖项的托管银行；</w:t>
      </w:r>
      <w:r w:rsidRPr="003608B8">
        <w:rPr>
          <w:rFonts w:ascii="宋体" w:hAnsi="Calibri" w:cs="宋体" w:hint="eastAsia"/>
          <w:szCs w:val="21"/>
          <w:lang w:eastAsia="zh-CN"/>
        </w:rPr>
        <w:t>7</w:t>
      </w:r>
      <w:r w:rsidRPr="003608B8">
        <w:rPr>
          <w:rFonts w:ascii="宋体" w:hAnsi="Calibri" w:cs="宋体" w:hint="eastAsia"/>
          <w:szCs w:val="21"/>
          <w:lang w:eastAsia="zh-CN"/>
        </w:rPr>
        <w:t>月荣获中国资产管理“金贝奖”“最佳资产托管银行”、《</w:t>
      </w:r>
      <w:r w:rsidRPr="003608B8">
        <w:rPr>
          <w:rFonts w:ascii="宋体" w:hAnsi="Calibri" w:cs="宋体" w:hint="eastAsia"/>
          <w:szCs w:val="21"/>
          <w:lang w:eastAsia="zh-CN"/>
        </w:rPr>
        <w:t>21</w:t>
      </w:r>
      <w:r w:rsidRPr="003608B8">
        <w:rPr>
          <w:rFonts w:ascii="宋体" w:hAnsi="Calibri" w:cs="宋体" w:hint="eastAsia"/>
          <w:szCs w:val="21"/>
          <w:lang w:eastAsia="zh-CN"/>
        </w:rPr>
        <w:t>世纪经济报道》“</w:t>
      </w:r>
      <w:r w:rsidRPr="003608B8">
        <w:rPr>
          <w:rFonts w:ascii="宋体" w:hAnsi="Calibri" w:cs="宋体" w:hint="eastAsia"/>
          <w:szCs w:val="21"/>
          <w:lang w:eastAsia="zh-CN"/>
        </w:rPr>
        <w:t>2016</w:t>
      </w:r>
      <w:r w:rsidRPr="003608B8">
        <w:rPr>
          <w:rFonts w:ascii="宋体" w:hAnsi="Calibri" w:cs="宋体" w:hint="eastAsia"/>
          <w:szCs w:val="21"/>
          <w:lang w:eastAsia="zh-CN"/>
        </w:rPr>
        <w:t>最佳资产托管银行</w:t>
      </w:r>
      <w:r w:rsidRPr="003608B8">
        <w:rPr>
          <w:rFonts w:ascii="宋体" w:hAnsi="Calibri" w:cs="宋体" w:hint="eastAsia"/>
          <w:szCs w:val="21"/>
          <w:lang w:eastAsia="zh-CN"/>
        </w:rPr>
        <w:t>”。</w:t>
      </w:r>
      <w:r w:rsidRPr="003608B8">
        <w:rPr>
          <w:rFonts w:ascii="宋体" w:hAnsi="Calibri" w:cs="宋体" w:hint="eastAsia"/>
          <w:szCs w:val="21"/>
          <w:lang w:eastAsia="zh-CN"/>
        </w:rPr>
        <w:t>2017</w:t>
      </w:r>
      <w:r w:rsidRPr="003608B8">
        <w:rPr>
          <w:rFonts w:ascii="宋体" w:hAnsi="Calibri" w:cs="宋体" w:hint="eastAsia"/>
          <w:szCs w:val="21"/>
          <w:lang w:eastAsia="zh-CN"/>
        </w:rPr>
        <w:t>年</w:t>
      </w:r>
      <w:r w:rsidRPr="003608B8">
        <w:rPr>
          <w:rFonts w:ascii="宋体" w:hAnsi="Calibri" w:cs="宋体" w:hint="eastAsia"/>
          <w:szCs w:val="21"/>
          <w:lang w:eastAsia="zh-CN"/>
        </w:rPr>
        <w:t>5</w:t>
      </w:r>
      <w:r w:rsidRPr="003608B8">
        <w:rPr>
          <w:rFonts w:ascii="宋体" w:hAnsi="Calibri" w:cs="宋体" w:hint="eastAsia"/>
          <w:szCs w:val="21"/>
          <w:lang w:eastAsia="zh-CN"/>
        </w:rPr>
        <w:t>月荣获《亚洲银行家》“中国年度托管银行奖”；</w:t>
      </w:r>
      <w:r w:rsidRPr="003608B8">
        <w:rPr>
          <w:rFonts w:ascii="宋体" w:hAnsi="Calibri" w:cs="宋体" w:hint="eastAsia"/>
          <w:szCs w:val="21"/>
          <w:lang w:eastAsia="zh-CN"/>
        </w:rPr>
        <w:t>6</w:t>
      </w:r>
      <w:r w:rsidRPr="003608B8">
        <w:rPr>
          <w:rFonts w:ascii="宋体" w:hAnsi="Calibri" w:cs="宋体" w:hint="eastAsia"/>
          <w:szCs w:val="21"/>
          <w:lang w:eastAsia="zh-CN"/>
        </w:rPr>
        <w:t>月荣获《财资》“中国最佳托管银行奖”；“全功能网上托管银行</w:t>
      </w:r>
      <w:r w:rsidRPr="003608B8">
        <w:rPr>
          <w:rFonts w:ascii="宋体" w:hAnsi="Calibri" w:cs="宋体" w:hint="eastAsia"/>
          <w:szCs w:val="21"/>
          <w:lang w:eastAsia="zh-CN"/>
        </w:rPr>
        <w:t>2.0</w:t>
      </w:r>
      <w:r w:rsidRPr="003608B8">
        <w:rPr>
          <w:rFonts w:ascii="宋体" w:hAnsi="Calibri" w:cs="宋体" w:hint="eastAsia"/>
          <w:szCs w:val="21"/>
          <w:lang w:eastAsia="zh-CN"/>
        </w:rPr>
        <w:t>”荣获《银行家》</w:t>
      </w:r>
      <w:r w:rsidRPr="003608B8">
        <w:rPr>
          <w:rFonts w:ascii="宋体" w:hAnsi="Calibri" w:cs="宋体" w:hint="eastAsia"/>
          <w:szCs w:val="21"/>
          <w:lang w:eastAsia="zh-CN"/>
        </w:rPr>
        <w:t>2017</w:t>
      </w:r>
      <w:r w:rsidRPr="003608B8">
        <w:rPr>
          <w:rFonts w:ascii="宋体" w:hAnsi="Calibri" w:cs="宋体" w:hint="eastAsia"/>
          <w:szCs w:val="21"/>
          <w:lang w:eastAsia="zh-CN"/>
        </w:rPr>
        <w:t>中国金融创新“十佳金融产品创新奖”。</w:t>
      </w:r>
      <w:r w:rsidRPr="003608B8">
        <w:rPr>
          <w:rFonts w:ascii="宋体" w:hAnsi="Calibri" w:cs="宋体" w:hint="eastAsia"/>
          <w:szCs w:val="21"/>
          <w:lang w:eastAsia="zh-CN"/>
        </w:rPr>
        <w:t>2018</w:t>
      </w:r>
      <w:r w:rsidRPr="003608B8">
        <w:rPr>
          <w:rFonts w:ascii="宋体" w:hAnsi="Calibri" w:cs="宋体" w:hint="eastAsia"/>
          <w:szCs w:val="21"/>
          <w:lang w:eastAsia="zh-CN"/>
        </w:rPr>
        <w:t>年</w:t>
      </w:r>
      <w:r w:rsidRPr="003608B8">
        <w:rPr>
          <w:rFonts w:ascii="宋体" w:hAnsi="Calibri" w:cs="宋体" w:hint="eastAsia"/>
          <w:szCs w:val="21"/>
          <w:lang w:eastAsia="zh-CN"/>
        </w:rPr>
        <w:t>1</w:t>
      </w:r>
      <w:r w:rsidRPr="003608B8">
        <w:rPr>
          <w:rFonts w:ascii="宋体" w:hAnsi="Calibri" w:cs="宋体" w:hint="eastAsia"/>
          <w:szCs w:val="21"/>
          <w:lang w:eastAsia="zh-CN"/>
        </w:rPr>
        <w:t>月荣获中央国债登记结算有限责任公司“</w:t>
      </w:r>
      <w:r w:rsidRPr="003608B8">
        <w:rPr>
          <w:rFonts w:ascii="宋体" w:hAnsi="Calibri" w:cs="宋体" w:hint="eastAsia"/>
          <w:szCs w:val="21"/>
          <w:lang w:eastAsia="zh-CN"/>
        </w:rPr>
        <w:t>2017</w:t>
      </w:r>
      <w:r w:rsidRPr="003608B8">
        <w:rPr>
          <w:rFonts w:ascii="宋体" w:hAnsi="Calibri" w:cs="宋体" w:hint="eastAsia"/>
          <w:szCs w:val="21"/>
          <w:lang w:eastAsia="zh-CN"/>
        </w:rPr>
        <w:t>年度优秀资产托管机构”奖；同月，托管大数据平台风险管理系统荣获</w:t>
      </w:r>
      <w:r w:rsidRPr="003608B8">
        <w:rPr>
          <w:rFonts w:ascii="宋体" w:hAnsi="Calibri" w:cs="宋体" w:hint="eastAsia"/>
          <w:szCs w:val="21"/>
          <w:lang w:eastAsia="zh-CN"/>
        </w:rPr>
        <w:t>2016-2017</w:t>
      </w:r>
      <w:r w:rsidRPr="003608B8">
        <w:rPr>
          <w:rFonts w:ascii="宋体" w:hAnsi="Calibri" w:cs="宋体" w:hint="eastAsia"/>
          <w:szCs w:val="21"/>
          <w:lang w:eastAsia="zh-CN"/>
        </w:rPr>
        <w:t>年度银监会系统“金点子”方案一等奖，以及中央金融团工委、全国金融青联第五届“双提升”金点子方案二等奖；</w:t>
      </w:r>
      <w:r w:rsidRPr="003608B8">
        <w:rPr>
          <w:rFonts w:ascii="宋体" w:hAnsi="Calibri" w:cs="宋体" w:hint="eastAsia"/>
          <w:szCs w:val="21"/>
          <w:lang w:eastAsia="zh-CN"/>
        </w:rPr>
        <w:t>3</w:t>
      </w:r>
      <w:r w:rsidRPr="003608B8">
        <w:rPr>
          <w:rFonts w:ascii="宋体" w:hAnsi="Calibri" w:cs="宋体" w:hint="eastAsia"/>
          <w:szCs w:val="21"/>
          <w:lang w:eastAsia="zh-CN"/>
        </w:rPr>
        <w:t>月荣获《中国基金报》</w:t>
      </w:r>
      <w:r w:rsidRPr="003608B8">
        <w:rPr>
          <w:rFonts w:ascii="宋体" w:hAnsi="Calibri" w:cs="宋体" w:hint="eastAsia"/>
          <w:szCs w:val="21"/>
          <w:lang w:eastAsia="zh-CN"/>
        </w:rPr>
        <w:t xml:space="preserve"> </w:t>
      </w:r>
      <w:r w:rsidRPr="003608B8">
        <w:rPr>
          <w:rFonts w:ascii="宋体" w:hAnsi="Calibri" w:cs="宋体" w:hint="eastAsia"/>
          <w:szCs w:val="21"/>
          <w:lang w:eastAsia="zh-CN"/>
        </w:rPr>
        <w:t>“最佳基金托管银行”奖；</w:t>
      </w:r>
      <w:r w:rsidRPr="003608B8">
        <w:rPr>
          <w:rFonts w:ascii="宋体" w:hAnsi="Calibri" w:cs="宋体" w:hint="eastAsia"/>
          <w:szCs w:val="21"/>
          <w:lang w:eastAsia="zh-CN"/>
        </w:rPr>
        <w:t>5</w:t>
      </w:r>
      <w:r w:rsidRPr="003608B8">
        <w:rPr>
          <w:rFonts w:ascii="宋体" w:hAnsi="Calibri" w:cs="宋体" w:hint="eastAsia"/>
          <w:szCs w:val="21"/>
          <w:lang w:eastAsia="zh-CN"/>
        </w:rPr>
        <w:t>月荣获国际财经权威媒体《亚洲银行家》“</w:t>
      </w:r>
      <w:r w:rsidRPr="003608B8">
        <w:rPr>
          <w:rFonts w:ascii="宋体" w:hAnsi="Calibri" w:cs="宋体" w:hint="eastAsia"/>
          <w:szCs w:val="21"/>
          <w:lang w:eastAsia="zh-CN"/>
        </w:rPr>
        <w:t>中国年度托管银行奖”；</w:t>
      </w:r>
      <w:r w:rsidRPr="003608B8">
        <w:rPr>
          <w:rFonts w:ascii="宋体" w:hAnsi="Calibri" w:cs="宋体" w:hint="eastAsia"/>
          <w:szCs w:val="21"/>
          <w:lang w:eastAsia="zh-CN"/>
        </w:rPr>
        <w:t>12</w:t>
      </w:r>
      <w:r w:rsidRPr="003608B8">
        <w:rPr>
          <w:rFonts w:ascii="宋体" w:hAnsi="Calibri" w:cs="宋体" w:hint="eastAsia"/>
          <w:szCs w:val="21"/>
          <w:lang w:eastAsia="zh-CN"/>
        </w:rPr>
        <w:t>月荣获</w:t>
      </w:r>
      <w:r w:rsidRPr="003608B8">
        <w:rPr>
          <w:rFonts w:ascii="宋体" w:hAnsi="Calibri" w:cs="宋体" w:hint="eastAsia"/>
          <w:szCs w:val="21"/>
          <w:lang w:eastAsia="zh-CN"/>
        </w:rPr>
        <w:t>2018</w:t>
      </w:r>
      <w:r w:rsidRPr="003608B8">
        <w:rPr>
          <w:rFonts w:ascii="宋体" w:hAnsi="Calibri" w:cs="宋体" w:hint="eastAsia"/>
          <w:szCs w:val="21"/>
          <w:lang w:eastAsia="zh-CN"/>
        </w:rPr>
        <w:t>东方财富风云榜“</w:t>
      </w:r>
      <w:r w:rsidRPr="003608B8">
        <w:rPr>
          <w:rFonts w:ascii="宋体" w:hAnsi="Calibri" w:cs="宋体" w:hint="eastAsia"/>
          <w:szCs w:val="21"/>
          <w:lang w:eastAsia="zh-CN"/>
        </w:rPr>
        <w:t>2018</w:t>
      </w:r>
      <w:r w:rsidRPr="003608B8">
        <w:rPr>
          <w:rFonts w:ascii="宋体" w:hAnsi="Calibri" w:cs="宋体" w:hint="eastAsia"/>
          <w:szCs w:val="21"/>
          <w:lang w:eastAsia="zh-CN"/>
        </w:rPr>
        <w:t>年度最佳托管银行”、“</w:t>
      </w:r>
      <w:r w:rsidRPr="003608B8">
        <w:rPr>
          <w:rFonts w:ascii="宋体" w:hAnsi="Calibri" w:cs="宋体" w:hint="eastAsia"/>
          <w:szCs w:val="21"/>
          <w:lang w:eastAsia="zh-CN"/>
        </w:rPr>
        <w:t>20</w:t>
      </w:r>
      <w:r w:rsidRPr="003608B8">
        <w:rPr>
          <w:rFonts w:ascii="宋体" w:hAnsi="Calibri" w:cs="宋体" w:hint="eastAsia"/>
          <w:szCs w:val="21"/>
          <w:lang w:eastAsia="zh-CN"/>
        </w:rPr>
        <w:t>年最值得信赖托管银行”奖。</w:t>
      </w:r>
      <w:r w:rsidRPr="003608B8">
        <w:rPr>
          <w:rFonts w:ascii="宋体" w:hAnsi="Calibri" w:cs="宋体" w:hint="eastAsia"/>
          <w:szCs w:val="21"/>
          <w:lang w:eastAsia="zh-CN"/>
        </w:rPr>
        <w:t>2019</w:t>
      </w:r>
      <w:r w:rsidRPr="003608B8">
        <w:rPr>
          <w:rFonts w:ascii="宋体" w:hAnsi="Calibri" w:cs="宋体" w:hint="eastAsia"/>
          <w:szCs w:val="21"/>
          <w:lang w:eastAsia="zh-CN"/>
        </w:rPr>
        <w:t>年</w:t>
      </w:r>
      <w:r w:rsidRPr="003608B8">
        <w:rPr>
          <w:rFonts w:ascii="宋体" w:hAnsi="Calibri" w:cs="宋体" w:hint="eastAsia"/>
          <w:szCs w:val="21"/>
          <w:lang w:eastAsia="zh-CN"/>
        </w:rPr>
        <w:t>3</w:t>
      </w:r>
      <w:r w:rsidRPr="003608B8">
        <w:rPr>
          <w:rFonts w:ascii="宋体" w:hAnsi="Calibri" w:cs="宋体" w:hint="eastAsia"/>
          <w:szCs w:val="21"/>
          <w:lang w:eastAsia="zh-CN"/>
        </w:rPr>
        <w:t>月荣获《中国基金报》“</w:t>
      </w:r>
      <w:r w:rsidRPr="003608B8">
        <w:rPr>
          <w:rFonts w:ascii="宋体" w:hAnsi="Calibri" w:cs="宋体" w:hint="eastAsia"/>
          <w:szCs w:val="21"/>
          <w:lang w:eastAsia="zh-CN"/>
        </w:rPr>
        <w:t>2018</w:t>
      </w:r>
      <w:r w:rsidRPr="003608B8">
        <w:rPr>
          <w:rFonts w:ascii="宋体" w:hAnsi="Calibri" w:cs="宋体" w:hint="eastAsia"/>
          <w:szCs w:val="21"/>
          <w:lang w:eastAsia="zh-CN"/>
        </w:rPr>
        <w:t>年度最佳基金托管银行”奖；</w:t>
      </w:r>
      <w:r w:rsidRPr="003608B8">
        <w:rPr>
          <w:rFonts w:ascii="宋体" w:hAnsi="Calibri" w:cs="宋体" w:hint="eastAsia"/>
          <w:szCs w:val="21"/>
          <w:lang w:eastAsia="zh-CN"/>
        </w:rPr>
        <w:t>6</w:t>
      </w:r>
      <w:r w:rsidRPr="003608B8">
        <w:rPr>
          <w:rFonts w:ascii="宋体" w:hAnsi="Calibri" w:cs="宋体" w:hint="eastAsia"/>
          <w:szCs w:val="21"/>
          <w:lang w:eastAsia="zh-CN"/>
        </w:rPr>
        <w:t>月荣获《财资》“中国最佳托管机构”“中国最佳养老金托管机构”“中国最佳零售基金行政外包”三项大奖；</w:t>
      </w:r>
      <w:r w:rsidRPr="003608B8">
        <w:rPr>
          <w:rFonts w:ascii="宋体" w:hAnsi="Calibri" w:cs="宋体" w:hint="eastAsia"/>
          <w:szCs w:val="21"/>
          <w:lang w:eastAsia="zh-CN"/>
        </w:rPr>
        <w:t>12</w:t>
      </w:r>
      <w:r w:rsidRPr="003608B8">
        <w:rPr>
          <w:rFonts w:ascii="宋体" w:hAnsi="Calibri" w:cs="宋体" w:hint="eastAsia"/>
          <w:szCs w:val="21"/>
          <w:lang w:eastAsia="zh-CN"/>
        </w:rPr>
        <w:t>月荣获</w:t>
      </w:r>
      <w:r w:rsidRPr="003608B8">
        <w:rPr>
          <w:rFonts w:ascii="宋体" w:hAnsi="Calibri" w:cs="宋体" w:hint="eastAsia"/>
          <w:szCs w:val="21"/>
          <w:lang w:eastAsia="zh-CN"/>
        </w:rPr>
        <w:t>2019</w:t>
      </w:r>
      <w:r w:rsidRPr="003608B8">
        <w:rPr>
          <w:rFonts w:ascii="宋体" w:hAnsi="Calibri" w:cs="宋体" w:hint="eastAsia"/>
          <w:szCs w:val="21"/>
          <w:lang w:eastAsia="zh-CN"/>
        </w:rPr>
        <w:t>东方财富风云榜“</w:t>
      </w:r>
      <w:r w:rsidRPr="003608B8">
        <w:rPr>
          <w:rFonts w:ascii="宋体" w:hAnsi="Calibri" w:cs="宋体" w:hint="eastAsia"/>
          <w:szCs w:val="21"/>
          <w:lang w:eastAsia="zh-CN"/>
        </w:rPr>
        <w:t>2019</w:t>
      </w:r>
      <w:r w:rsidRPr="003608B8">
        <w:rPr>
          <w:rFonts w:ascii="宋体" w:hAnsi="Calibri" w:cs="宋体" w:hint="eastAsia"/>
          <w:szCs w:val="21"/>
          <w:lang w:eastAsia="zh-CN"/>
        </w:rPr>
        <w:t>年度最佳托管银行”奖。</w:t>
      </w:r>
      <w:r w:rsidRPr="003608B8">
        <w:rPr>
          <w:rFonts w:ascii="宋体" w:hAnsi="Calibri" w:cs="宋体" w:hint="eastAsia"/>
          <w:szCs w:val="21"/>
          <w:lang w:eastAsia="zh-CN"/>
        </w:rPr>
        <w:t>2020</w:t>
      </w:r>
      <w:r w:rsidRPr="003608B8">
        <w:rPr>
          <w:rFonts w:ascii="宋体" w:hAnsi="Calibri" w:cs="宋体" w:hint="eastAsia"/>
          <w:szCs w:val="21"/>
          <w:lang w:eastAsia="zh-CN"/>
        </w:rPr>
        <w:t>年</w:t>
      </w:r>
      <w:r w:rsidRPr="003608B8">
        <w:rPr>
          <w:rFonts w:ascii="宋体" w:hAnsi="Calibri" w:cs="宋体" w:hint="eastAsia"/>
          <w:szCs w:val="21"/>
          <w:lang w:eastAsia="zh-CN"/>
        </w:rPr>
        <w:t>1</w:t>
      </w:r>
      <w:r w:rsidRPr="003608B8">
        <w:rPr>
          <w:rFonts w:ascii="宋体" w:hAnsi="Calibri" w:cs="宋体" w:hint="eastAsia"/>
          <w:szCs w:val="21"/>
          <w:lang w:eastAsia="zh-CN"/>
        </w:rPr>
        <w:t>月，荣获中央国债登记结算有限责任公司“</w:t>
      </w:r>
      <w:r w:rsidRPr="003608B8">
        <w:rPr>
          <w:rFonts w:ascii="宋体" w:hAnsi="Calibri" w:cs="宋体" w:hint="eastAsia"/>
          <w:szCs w:val="21"/>
          <w:lang w:eastAsia="zh-CN"/>
        </w:rPr>
        <w:t>2019</w:t>
      </w:r>
      <w:r w:rsidRPr="003608B8">
        <w:rPr>
          <w:rFonts w:ascii="宋体" w:hAnsi="Calibri" w:cs="宋体" w:hint="eastAsia"/>
          <w:szCs w:val="21"/>
          <w:lang w:eastAsia="zh-CN"/>
        </w:rPr>
        <w:t>年度优秀资产托管机构”奖项；</w:t>
      </w:r>
      <w:r w:rsidRPr="003608B8">
        <w:rPr>
          <w:rFonts w:ascii="宋体" w:hAnsi="Calibri" w:cs="宋体" w:hint="eastAsia"/>
          <w:szCs w:val="21"/>
          <w:lang w:eastAsia="zh-CN"/>
        </w:rPr>
        <w:t>6</w:t>
      </w:r>
      <w:r w:rsidRPr="003608B8">
        <w:rPr>
          <w:rFonts w:ascii="宋体" w:hAnsi="Calibri" w:cs="宋体" w:hint="eastAsia"/>
          <w:szCs w:val="21"/>
          <w:lang w:eastAsia="zh-CN"/>
        </w:rPr>
        <w:t>月荣获《财资》“中国境内最佳托管机构”“最佳公募基金托管机构”“最佳公募基金</w:t>
      </w:r>
      <w:r w:rsidRPr="003608B8">
        <w:rPr>
          <w:rFonts w:ascii="宋体" w:hAnsi="Calibri" w:cs="宋体" w:hint="eastAsia"/>
          <w:szCs w:val="21"/>
          <w:lang w:eastAsia="zh-CN"/>
        </w:rPr>
        <w:t>行政外包机构”三项大奖；</w:t>
      </w:r>
      <w:r w:rsidRPr="003608B8">
        <w:rPr>
          <w:rFonts w:ascii="宋体" w:hAnsi="Calibri" w:cs="宋体" w:hint="eastAsia"/>
          <w:szCs w:val="21"/>
          <w:lang w:eastAsia="zh-CN"/>
        </w:rPr>
        <w:t>10</w:t>
      </w:r>
      <w:r w:rsidRPr="003608B8">
        <w:rPr>
          <w:rFonts w:ascii="宋体" w:hAnsi="Calibri" w:cs="宋体" w:hint="eastAsia"/>
          <w:szCs w:val="21"/>
          <w:lang w:eastAsia="zh-CN"/>
        </w:rPr>
        <w:t>月荣获《中国基金报》第二届中国公募基金英华奖“</w:t>
      </w:r>
      <w:r w:rsidRPr="003608B8">
        <w:rPr>
          <w:rFonts w:ascii="宋体" w:hAnsi="Calibri" w:cs="宋体" w:hint="eastAsia"/>
          <w:szCs w:val="21"/>
          <w:lang w:eastAsia="zh-CN"/>
        </w:rPr>
        <w:t>2019</w:t>
      </w:r>
      <w:r w:rsidRPr="003608B8">
        <w:rPr>
          <w:rFonts w:ascii="宋体" w:hAnsi="Calibri" w:cs="宋体" w:hint="eastAsia"/>
          <w:szCs w:val="21"/>
          <w:lang w:eastAsia="zh-CN"/>
        </w:rPr>
        <w:t>年度最佳基金托管银行”奖。</w:t>
      </w:r>
      <w:r w:rsidRPr="003608B8">
        <w:rPr>
          <w:rFonts w:ascii="宋体" w:hAnsi="Calibri" w:cs="宋体" w:hint="eastAsia"/>
          <w:szCs w:val="21"/>
          <w:lang w:eastAsia="zh-CN"/>
        </w:rPr>
        <w:t>2021</w:t>
      </w:r>
      <w:r w:rsidRPr="003608B8">
        <w:rPr>
          <w:rFonts w:ascii="宋体" w:hAnsi="Calibri" w:cs="宋体" w:hint="eastAsia"/>
          <w:szCs w:val="21"/>
          <w:lang w:eastAsia="zh-CN"/>
        </w:rPr>
        <w:t>年</w:t>
      </w:r>
      <w:r w:rsidRPr="003608B8">
        <w:rPr>
          <w:rFonts w:ascii="宋体" w:hAnsi="Calibri" w:cs="宋体" w:hint="eastAsia"/>
          <w:szCs w:val="21"/>
          <w:lang w:eastAsia="zh-CN"/>
        </w:rPr>
        <w:t>1</w:t>
      </w:r>
      <w:r w:rsidRPr="003608B8">
        <w:rPr>
          <w:rFonts w:ascii="宋体" w:hAnsi="Calibri" w:cs="宋体" w:hint="eastAsia"/>
          <w:szCs w:val="21"/>
          <w:lang w:eastAsia="zh-CN"/>
        </w:rPr>
        <w:t>月，荣获中央国债登记结算有限责任公司“</w:t>
      </w:r>
      <w:r w:rsidRPr="003608B8">
        <w:rPr>
          <w:rFonts w:ascii="宋体" w:hAnsi="Calibri" w:cs="宋体" w:hint="eastAsia"/>
          <w:szCs w:val="21"/>
          <w:lang w:eastAsia="zh-CN"/>
        </w:rPr>
        <w:t>2020</w:t>
      </w:r>
      <w:r w:rsidRPr="003608B8">
        <w:rPr>
          <w:rFonts w:ascii="宋体" w:hAnsi="Calibri" w:cs="宋体" w:hint="eastAsia"/>
          <w:szCs w:val="21"/>
          <w:lang w:eastAsia="zh-CN"/>
        </w:rPr>
        <w:t>年度优秀资产托管机构”奖项；同月荣获</w:t>
      </w:r>
      <w:r w:rsidRPr="003608B8">
        <w:rPr>
          <w:rFonts w:ascii="宋体" w:hAnsi="Calibri" w:cs="宋体" w:hint="eastAsia"/>
          <w:szCs w:val="21"/>
          <w:lang w:eastAsia="zh-CN"/>
        </w:rPr>
        <w:t>2020</w:t>
      </w:r>
      <w:r w:rsidRPr="003608B8">
        <w:rPr>
          <w:rFonts w:ascii="宋体" w:hAnsi="Calibri" w:cs="宋体" w:hint="eastAsia"/>
          <w:szCs w:val="21"/>
          <w:lang w:eastAsia="zh-CN"/>
        </w:rPr>
        <w:t>东方财富风云榜“</w:t>
      </w:r>
      <w:r w:rsidRPr="003608B8">
        <w:rPr>
          <w:rFonts w:ascii="宋体" w:hAnsi="Calibri" w:cs="宋体" w:hint="eastAsia"/>
          <w:szCs w:val="21"/>
          <w:lang w:eastAsia="zh-CN"/>
        </w:rPr>
        <w:t>2020</w:t>
      </w:r>
      <w:r w:rsidRPr="003608B8">
        <w:rPr>
          <w:rFonts w:ascii="宋体" w:hAnsi="Calibri" w:cs="宋体" w:hint="eastAsia"/>
          <w:szCs w:val="21"/>
          <w:lang w:eastAsia="zh-CN"/>
        </w:rPr>
        <w:t>年度最受欢迎托管银行”奖项；</w:t>
      </w:r>
      <w:r w:rsidRPr="003608B8">
        <w:rPr>
          <w:rFonts w:ascii="宋体" w:hAnsi="Calibri" w:cs="宋体" w:hint="eastAsia"/>
          <w:szCs w:val="21"/>
          <w:lang w:eastAsia="zh-CN"/>
        </w:rPr>
        <w:t>2021</w:t>
      </w:r>
      <w:r w:rsidRPr="003608B8">
        <w:rPr>
          <w:rFonts w:ascii="宋体" w:hAnsi="Calibri" w:cs="宋体" w:hint="eastAsia"/>
          <w:szCs w:val="21"/>
          <w:lang w:eastAsia="zh-CN"/>
        </w:rPr>
        <w:t>年</w:t>
      </w:r>
      <w:r w:rsidRPr="003608B8">
        <w:rPr>
          <w:rFonts w:ascii="宋体" w:hAnsi="Calibri" w:cs="宋体" w:hint="eastAsia"/>
          <w:szCs w:val="21"/>
          <w:lang w:eastAsia="zh-CN"/>
        </w:rPr>
        <w:t>10</w:t>
      </w:r>
      <w:r w:rsidRPr="003608B8">
        <w:rPr>
          <w:rFonts w:ascii="宋体" w:hAnsi="Calibri" w:cs="宋体" w:hint="eastAsia"/>
          <w:szCs w:val="21"/>
          <w:lang w:eastAsia="zh-CN"/>
        </w:rPr>
        <w:t>月，《证券时报》“</w:t>
      </w:r>
      <w:r w:rsidRPr="003608B8">
        <w:rPr>
          <w:rFonts w:ascii="宋体" w:hAnsi="Calibri" w:cs="宋体" w:hint="eastAsia"/>
          <w:szCs w:val="21"/>
          <w:lang w:eastAsia="zh-CN"/>
        </w:rPr>
        <w:t>2021</w:t>
      </w:r>
      <w:r w:rsidRPr="003608B8">
        <w:rPr>
          <w:rFonts w:ascii="宋体" w:hAnsi="Calibri" w:cs="宋体" w:hint="eastAsia"/>
          <w:szCs w:val="21"/>
          <w:lang w:eastAsia="zh-CN"/>
        </w:rPr>
        <w:t>年度杰出资产托管银行天玑奖”；</w:t>
      </w:r>
      <w:r w:rsidRPr="003608B8">
        <w:rPr>
          <w:rFonts w:ascii="宋体" w:hAnsi="Calibri" w:cs="宋体" w:hint="eastAsia"/>
          <w:szCs w:val="21"/>
          <w:lang w:eastAsia="zh-CN"/>
        </w:rPr>
        <w:t>2021</w:t>
      </w:r>
      <w:r w:rsidRPr="003608B8">
        <w:rPr>
          <w:rFonts w:ascii="宋体" w:hAnsi="Calibri" w:cs="宋体" w:hint="eastAsia"/>
          <w:szCs w:val="21"/>
          <w:lang w:eastAsia="zh-CN"/>
        </w:rPr>
        <w:t>年</w:t>
      </w:r>
      <w:r w:rsidRPr="003608B8">
        <w:rPr>
          <w:rFonts w:ascii="宋体" w:hAnsi="Calibri" w:cs="宋体" w:hint="eastAsia"/>
          <w:szCs w:val="21"/>
          <w:lang w:eastAsia="zh-CN"/>
        </w:rPr>
        <w:t>12</w:t>
      </w:r>
      <w:r w:rsidRPr="003608B8">
        <w:rPr>
          <w:rFonts w:ascii="宋体" w:hAnsi="Calibri" w:cs="宋体" w:hint="eastAsia"/>
          <w:szCs w:val="21"/>
          <w:lang w:eastAsia="zh-CN"/>
        </w:rPr>
        <w:t>月，荣获《中国基金报》第三届中国公募基金英华奖“</w:t>
      </w:r>
      <w:r w:rsidRPr="003608B8">
        <w:rPr>
          <w:rFonts w:ascii="宋体" w:hAnsi="Calibri" w:cs="宋体" w:hint="eastAsia"/>
          <w:szCs w:val="21"/>
          <w:lang w:eastAsia="zh-CN"/>
        </w:rPr>
        <w:t>2020</w:t>
      </w:r>
      <w:r w:rsidRPr="003608B8">
        <w:rPr>
          <w:rFonts w:ascii="宋体" w:hAnsi="Calibri" w:cs="宋体" w:hint="eastAsia"/>
          <w:szCs w:val="21"/>
          <w:lang w:eastAsia="zh-CN"/>
        </w:rPr>
        <w:t>年度最佳基金托管银行”；</w:t>
      </w:r>
      <w:r w:rsidRPr="003608B8">
        <w:rPr>
          <w:rFonts w:ascii="宋体" w:hAnsi="Calibri" w:cs="宋体" w:hint="eastAsia"/>
          <w:szCs w:val="21"/>
          <w:lang w:eastAsia="zh-CN"/>
        </w:rPr>
        <w:t>2022</w:t>
      </w:r>
      <w:r w:rsidRPr="003608B8">
        <w:rPr>
          <w:rFonts w:ascii="宋体" w:hAnsi="Calibri" w:cs="宋体" w:hint="eastAsia"/>
          <w:szCs w:val="21"/>
          <w:lang w:eastAsia="zh-CN"/>
        </w:rPr>
        <w:t>年</w:t>
      </w:r>
      <w:r w:rsidRPr="003608B8">
        <w:rPr>
          <w:rFonts w:ascii="宋体" w:hAnsi="Calibri" w:cs="宋体" w:hint="eastAsia"/>
          <w:szCs w:val="21"/>
          <w:lang w:eastAsia="zh-CN"/>
        </w:rPr>
        <w:t>1</w:t>
      </w:r>
      <w:r w:rsidRPr="003608B8">
        <w:rPr>
          <w:rFonts w:ascii="宋体" w:hAnsi="Calibri" w:cs="宋体" w:hint="eastAsia"/>
          <w:szCs w:val="21"/>
          <w:lang w:eastAsia="zh-CN"/>
        </w:rPr>
        <w:t>月荣获中央国债登记结算有限责任公司“</w:t>
      </w:r>
      <w:r w:rsidRPr="003608B8">
        <w:rPr>
          <w:rFonts w:ascii="宋体" w:hAnsi="Calibri" w:cs="宋体" w:hint="eastAsia"/>
          <w:szCs w:val="21"/>
          <w:lang w:eastAsia="zh-CN"/>
        </w:rPr>
        <w:t>2021</w:t>
      </w:r>
      <w:r w:rsidRPr="003608B8">
        <w:rPr>
          <w:rFonts w:ascii="宋体" w:hAnsi="Calibri" w:cs="宋体" w:hint="eastAsia"/>
          <w:szCs w:val="21"/>
          <w:lang w:eastAsia="zh-CN"/>
        </w:rPr>
        <w:t>年度优秀资产托管机构、估值业务</w:t>
      </w:r>
      <w:r w:rsidRPr="003608B8">
        <w:rPr>
          <w:rFonts w:ascii="宋体" w:hAnsi="Calibri" w:cs="宋体" w:hint="eastAsia"/>
          <w:szCs w:val="21"/>
          <w:lang w:eastAsia="zh-CN"/>
        </w:rPr>
        <w:t>杰出机构”奖项；</w:t>
      </w:r>
      <w:r w:rsidRPr="003608B8">
        <w:rPr>
          <w:rFonts w:ascii="宋体" w:hAnsi="Calibri" w:cs="宋体" w:hint="eastAsia"/>
          <w:szCs w:val="21"/>
          <w:lang w:eastAsia="zh-CN"/>
        </w:rPr>
        <w:t>9</w:t>
      </w:r>
      <w:r w:rsidRPr="003608B8">
        <w:rPr>
          <w:rFonts w:ascii="宋体" w:hAnsi="Calibri" w:cs="宋体" w:hint="eastAsia"/>
          <w:szCs w:val="21"/>
          <w:lang w:eastAsia="zh-CN"/>
        </w:rPr>
        <w:t>月荣获《财资》“中国最佳托管银行”“最佳公募基金托管银行”“最佳理财托管银行”三项大奖；</w:t>
      </w:r>
      <w:r w:rsidRPr="003608B8">
        <w:rPr>
          <w:rFonts w:ascii="宋体" w:hAnsi="Calibri" w:cs="宋体" w:hint="eastAsia"/>
          <w:szCs w:val="21"/>
          <w:lang w:eastAsia="zh-CN"/>
        </w:rPr>
        <w:t>12</w:t>
      </w:r>
      <w:r w:rsidRPr="003608B8">
        <w:rPr>
          <w:rFonts w:ascii="宋体" w:hAnsi="Calibri" w:cs="宋体" w:hint="eastAsia"/>
          <w:szCs w:val="21"/>
          <w:lang w:eastAsia="zh-CN"/>
        </w:rPr>
        <w:t>月荣获《证券时报》“</w:t>
      </w:r>
      <w:r w:rsidRPr="003608B8">
        <w:rPr>
          <w:rFonts w:ascii="宋体" w:hAnsi="Calibri" w:cs="宋体" w:hint="eastAsia"/>
          <w:szCs w:val="21"/>
          <w:lang w:eastAsia="zh-CN"/>
        </w:rPr>
        <w:t>2022</w:t>
      </w:r>
      <w:r w:rsidRPr="003608B8">
        <w:rPr>
          <w:rFonts w:ascii="宋体" w:hAnsi="Calibri" w:cs="宋体" w:hint="eastAsia"/>
          <w:szCs w:val="21"/>
          <w:lang w:eastAsia="zh-CN"/>
        </w:rPr>
        <w:t>年度杰出资产托管银行天玑奖”；</w:t>
      </w:r>
      <w:r w:rsidRPr="003608B8">
        <w:rPr>
          <w:rFonts w:ascii="宋体" w:hAnsi="Calibri" w:cs="宋体" w:hint="eastAsia"/>
          <w:szCs w:val="21"/>
          <w:lang w:eastAsia="zh-CN"/>
        </w:rPr>
        <w:t>2023</w:t>
      </w:r>
      <w:r w:rsidRPr="003608B8">
        <w:rPr>
          <w:rFonts w:ascii="宋体" w:hAnsi="Calibri" w:cs="宋体" w:hint="eastAsia"/>
          <w:szCs w:val="21"/>
          <w:lang w:eastAsia="zh-CN"/>
        </w:rPr>
        <w:t>年</w:t>
      </w:r>
      <w:r w:rsidRPr="003608B8">
        <w:rPr>
          <w:rFonts w:ascii="宋体" w:hAnsi="Calibri" w:cs="宋体" w:hint="eastAsia"/>
          <w:szCs w:val="21"/>
          <w:lang w:eastAsia="zh-CN"/>
        </w:rPr>
        <w:t>1</w:t>
      </w:r>
      <w:r w:rsidRPr="003608B8">
        <w:rPr>
          <w:rFonts w:ascii="宋体" w:hAnsi="Calibri" w:cs="宋体" w:hint="eastAsia"/>
          <w:szCs w:val="21"/>
          <w:lang w:eastAsia="zh-CN"/>
        </w:rPr>
        <w:t>月荣获中央国债登记结算有限责任公司“</w:t>
      </w:r>
      <w:r w:rsidRPr="003608B8">
        <w:rPr>
          <w:rFonts w:ascii="宋体" w:hAnsi="Calibri" w:cs="宋体" w:hint="eastAsia"/>
          <w:szCs w:val="21"/>
          <w:lang w:eastAsia="zh-CN"/>
        </w:rPr>
        <w:t>2022</w:t>
      </w:r>
      <w:r w:rsidRPr="003608B8">
        <w:rPr>
          <w:rFonts w:ascii="宋体" w:hAnsi="Calibri" w:cs="宋体" w:hint="eastAsia"/>
          <w:szCs w:val="21"/>
          <w:lang w:eastAsia="zh-CN"/>
        </w:rPr>
        <w:t>年度优秀资产托管机构”、银行间市场清算所股份有限公司“</w:t>
      </w:r>
      <w:r w:rsidRPr="003608B8">
        <w:rPr>
          <w:rFonts w:ascii="宋体" w:hAnsi="Calibri" w:cs="宋体" w:hint="eastAsia"/>
          <w:szCs w:val="21"/>
          <w:lang w:eastAsia="zh-CN"/>
        </w:rPr>
        <w:t>2022</w:t>
      </w:r>
      <w:r w:rsidRPr="003608B8">
        <w:rPr>
          <w:rFonts w:ascii="宋体" w:hAnsi="Calibri" w:cs="宋体" w:hint="eastAsia"/>
          <w:szCs w:val="21"/>
          <w:lang w:eastAsia="zh-CN"/>
        </w:rPr>
        <w:t>年度优秀托管机构”、全国银行间同业拆借中心“</w:t>
      </w:r>
      <w:r w:rsidRPr="003608B8">
        <w:rPr>
          <w:rFonts w:ascii="宋体" w:hAnsi="Calibri" w:cs="宋体" w:hint="eastAsia"/>
          <w:szCs w:val="21"/>
          <w:lang w:eastAsia="zh-CN"/>
        </w:rPr>
        <w:t>2022</w:t>
      </w:r>
      <w:r w:rsidRPr="003608B8">
        <w:rPr>
          <w:rFonts w:ascii="宋体" w:hAnsi="Calibri" w:cs="宋体" w:hint="eastAsia"/>
          <w:szCs w:val="21"/>
          <w:lang w:eastAsia="zh-CN"/>
        </w:rPr>
        <w:t>年度银行间本币市场托管业务市场创新奖”三项大奖；</w:t>
      </w:r>
      <w:r w:rsidRPr="003608B8">
        <w:rPr>
          <w:rFonts w:ascii="宋体" w:hAnsi="Calibri" w:cs="宋体" w:hint="eastAsia"/>
          <w:szCs w:val="21"/>
          <w:lang w:eastAsia="zh-CN"/>
        </w:rPr>
        <w:t>2023</w:t>
      </w:r>
      <w:r w:rsidRPr="003608B8">
        <w:rPr>
          <w:rFonts w:ascii="宋体" w:hAnsi="Calibri" w:cs="宋体" w:hint="eastAsia"/>
          <w:szCs w:val="21"/>
          <w:lang w:eastAsia="zh-CN"/>
        </w:rPr>
        <w:t>年</w:t>
      </w:r>
      <w:r w:rsidRPr="003608B8">
        <w:rPr>
          <w:rFonts w:ascii="宋体" w:hAnsi="Calibri" w:cs="宋体" w:hint="eastAsia"/>
          <w:szCs w:val="21"/>
          <w:lang w:eastAsia="zh-CN"/>
        </w:rPr>
        <w:t>4</w:t>
      </w:r>
      <w:r w:rsidRPr="003608B8">
        <w:rPr>
          <w:rFonts w:ascii="宋体" w:hAnsi="Calibri" w:cs="宋体" w:hint="eastAsia"/>
          <w:szCs w:val="21"/>
          <w:lang w:eastAsia="zh-CN"/>
        </w:rPr>
        <w:t>月，荣获《中国基金报》第二届中国基金业创新英华奖“托管创新奖”；</w:t>
      </w:r>
      <w:r w:rsidRPr="003608B8">
        <w:rPr>
          <w:rFonts w:ascii="宋体" w:hAnsi="Calibri" w:cs="宋体" w:hint="eastAsia"/>
          <w:szCs w:val="21"/>
          <w:lang w:eastAsia="zh-CN"/>
        </w:rPr>
        <w:t>2023</w:t>
      </w:r>
      <w:r w:rsidRPr="003608B8">
        <w:rPr>
          <w:rFonts w:ascii="宋体" w:hAnsi="Calibri" w:cs="宋体" w:hint="eastAsia"/>
          <w:szCs w:val="21"/>
          <w:lang w:eastAsia="zh-CN"/>
        </w:rPr>
        <w:t>年</w:t>
      </w:r>
      <w:r w:rsidRPr="003608B8">
        <w:rPr>
          <w:rFonts w:ascii="宋体" w:hAnsi="Calibri" w:cs="宋体" w:hint="eastAsia"/>
          <w:szCs w:val="21"/>
          <w:lang w:eastAsia="zh-CN"/>
        </w:rPr>
        <w:t>9</w:t>
      </w:r>
      <w:r w:rsidRPr="003608B8">
        <w:rPr>
          <w:rFonts w:ascii="宋体" w:hAnsi="Calibri" w:cs="宋体" w:hint="eastAsia"/>
          <w:szCs w:val="21"/>
          <w:lang w:eastAsia="zh-CN"/>
        </w:rPr>
        <w:t>月，荣获《中国基金报》中国基金业英华奖</w:t>
      </w:r>
      <w:r w:rsidRPr="003608B8">
        <w:rPr>
          <w:rFonts w:ascii="宋体" w:hAnsi="Calibri" w:cs="宋体" w:hint="eastAsia"/>
          <w:szCs w:val="21"/>
          <w:lang w:eastAsia="zh-CN"/>
        </w:rPr>
        <w:t>“公募基金</w:t>
      </w:r>
      <w:r w:rsidRPr="003608B8">
        <w:rPr>
          <w:rFonts w:ascii="宋体" w:hAnsi="Calibri" w:cs="宋体" w:hint="eastAsia"/>
          <w:szCs w:val="21"/>
          <w:lang w:eastAsia="zh-CN"/>
        </w:rPr>
        <w:t>25</w:t>
      </w:r>
      <w:r w:rsidRPr="003608B8">
        <w:rPr>
          <w:rFonts w:ascii="宋体" w:hAnsi="Calibri" w:cs="宋体" w:hint="eastAsia"/>
          <w:szCs w:val="21"/>
          <w:lang w:eastAsia="zh-CN"/>
        </w:rPr>
        <w:t>年基金托管示范银行（全国性股份行）”；</w:t>
      </w:r>
      <w:r w:rsidRPr="003608B8">
        <w:rPr>
          <w:rFonts w:ascii="宋体" w:hAnsi="Calibri" w:cs="宋体" w:hint="eastAsia"/>
          <w:szCs w:val="21"/>
          <w:lang w:eastAsia="zh-CN"/>
        </w:rPr>
        <w:t>2023</w:t>
      </w:r>
      <w:r w:rsidRPr="003608B8">
        <w:rPr>
          <w:rFonts w:ascii="宋体" w:hAnsi="Calibri" w:cs="宋体" w:hint="eastAsia"/>
          <w:szCs w:val="21"/>
          <w:lang w:eastAsia="zh-CN"/>
        </w:rPr>
        <w:t>年</w:t>
      </w:r>
      <w:r w:rsidRPr="003608B8">
        <w:rPr>
          <w:rFonts w:ascii="宋体" w:hAnsi="Calibri" w:cs="宋体" w:hint="eastAsia"/>
          <w:szCs w:val="21"/>
          <w:lang w:eastAsia="zh-CN"/>
        </w:rPr>
        <w:t>12</w:t>
      </w:r>
      <w:r w:rsidRPr="003608B8">
        <w:rPr>
          <w:rFonts w:ascii="宋体" w:hAnsi="Calibri" w:cs="宋体" w:hint="eastAsia"/>
          <w:szCs w:val="21"/>
          <w:lang w:eastAsia="zh-CN"/>
        </w:rPr>
        <w:t>月，荣获《东方财富风云榜》“</w:t>
      </w:r>
      <w:r w:rsidRPr="003608B8">
        <w:rPr>
          <w:rFonts w:ascii="宋体" w:hAnsi="Calibri" w:cs="宋体" w:hint="eastAsia"/>
          <w:szCs w:val="21"/>
          <w:lang w:eastAsia="zh-CN"/>
        </w:rPr>
        <w:t>2023</w:t>
      </w:r>
      <w:r w:rsidRPr="003608B8">
        <w:rPr>
          <w:rFonts w:ascii="宋体" w:hAnsi="Calibri" w:cs="宋体" w:hint="eastAsia"/>
          <w:szCs w:val="21"/>
          <w:lang w:eastAsia="zh-CN"/>
        </w:rPr>
        <w:t>年度托管银行风云奖”。</w:t>
      </w:r>
      <w:r w:rsidRPr="003608B8">
        <w:rPr>
          <w:rFonts w:ascii="宋体" w:hAnsi="Calibri" w:cs="宋体" w:hint="eastAsia"/>
          <w:szCs w:val="21"/>
          <w:lang w:eastAsia="zh-CN"/>
        </w:rPr>
        <w:t>2024</w:t>
      </w:r>
      <w:r w:rsidRPr="003608B8">
        <w:rPr>
          <w:rFonts w:ascii="宋体" w:hAnsi="Calibri" w:cs="宋体" w:hint="eastAsia"/>
          <w:szCs w:val="21"/>
          <w:lang w:eastAsia="zh-CN"/>
        </w:rPr>
        <w:t>年</w:t>
      </w:r>
      <w:r w:rsidRPr="003608B8">
        <w:rPr>
          <w:rFonts w:ascii="宋体" w:hAnsi="Calibri" w:cs="宋体" w:hint="eastAsia"/>
          <w:szCs w:val="21"/>
          <w:lang w:eastAsia="zh-CN"/>
        </w:rPr>
        <w:t>1</w:t>
      </w:r>
      <w:r w:rsidRPr="003608B8">
        <w:rPr>
          <w:rFonts w:ascii="宋体" w:hAnsi="Calibri" w:cs="宋体" w:hint="eastAsia"/>
          <w:szCs w:val="21"/>
          <w:lang w:eastAsia="zh-CN"/>
        </w:rPr>
        <w:t>月，荣获中央国债登记结算有限责任公司“</w:t>
      </w:r>
      <w:r w:rsidRPr="003608B8">
        <w:rPr>
          <w:rFonts w:ascii="宋体" w:hAnsi="Calibri" w:cs="宋体" w:hint="eastAsia"/>
          <w:szCs w:val="21"/>
          <w:lang w:eastAsia="zh-CN"/>
        </w:rPr>
        <w:t>2023</w:t>
      </w:r>
      <w:r w:rsidRPr="003608B8">
        <w:rPr>
          <w:rFonts w:ascii="宋体" w:hAnsi="Calibri" w:cs="宋体" w:hint="eastAsia"/>
          <w:szCs w:val="21"/>
          <w:lang w:eastAsia="zh-CN"/>
        </w:rPr>
        <w:t>年度优秀资产托管机构”、“</w:t>
      </w:r>
      <w:r w:rsidRPr="003608B8">
        <w:rPr>
          <w:rFonts w:ascii="宋体" w:hAnsi="Calibri" w:cs="宋体" w:hint="eastAsia"/>
          <w:szCs w:val="21"/>
          <w:lang w:eastAsia="zh-CN"/>
        </w:rPr>
        <w:t>2023</w:t>
      </w:r>
      <w:r w:rsidRPr="003608B8">
        <w:rPr>
          <w:rFonts w:ascii="宋体" w:hAnsi="Calibri" w:cs="宋体" w:hint="eastAsia"/>
          <w:szCs w:val="21"/>
          <w:lang w:eastAsia="zh-CN"/>
        </w:rPr>
        <w:t>年度估值业务杰出机构”、“</w:t>
      </w:r>
      <w:r w:rsidRPr="003608B8">
        <w:rPr>
          <w:rFonts w:ascii="宋体" w:hAnsi="Calibri" w:cs="宋体" w:hint="eastAsia"/>
          <w:szCs w:val="21"/>
          <w:lang w:eastAsia="zh-CN"/>
        </w:rPr>
        <w:t>2023</w:t>
      </w:r>
      <w:r w:rsidRPr="003608B8">
        <w:rPr>
          <w:rFonts w:ascii="宋体" w:hAnsi="Calibri" w:cs="宋体" w:hint="eastAsia"/>
          <w:szCs w:val="21"/>
          <w:lang w:eastAsia="zh-CN"/>
        </w:rPr>
        <w:t>年度债市领军机构”、“</w:t>
      </w:r>
      <w:r w:rsidRPr="003608B8">
        <w:rPr>
          <w:rFonts w:ascii="宋体" w:hAnsi="Calibri" w:cs="宋体" w:hint="eastAsia"/>
          <w:szCs w:val="21"/>
          <w:lang w:eastAsia="zh-CN"/>
        </w:rPr>
        <w:t>2023</w:t>
      </w:r>
      <w:r w:rsidRPr="003608B8">
        <w:rPr>
          <w:rFonts w:ascii="宋体" w:hAnsi="Calibri" w:cs="宋体" w:hint="eastAsia"/>
          <w:szCs w:val="21"/>
          <w:lang w:eastAsia="zh-CN"/>
        </w:rPr>
        <w:t>年度中债绿债指数优秀承销机构”四项大奖；</w:t>
      </w:r>
      <w:r w:rsidRPr="003608B8">
        <w:rPr>
          <w:rFonts w:ascii="宋体" w:hAnsi="Calibri" w:cs="宋体" w:hint="eastAsia"/>
          <w:szCs w:val="21"/>
          <w:lang w:eastAsia="zh-CN"/>
        </w:rPr>
        <w:t>2024</w:t>
      </w:r>
      <w:r w:rsidRPr="003608B8">
        <w:rPr>
          <w:rFonts w:ascii="宋体" w:hAnsi="Calibri" w:cs="宋体" w:hint="eastAsia"/>
          <w:szCs w:val="21"/>
          <w:lang w:eastAsia="zh-CN"/>
        </w:rPr>
        <w:t>年</w:t>
      </w:r>
      <w:r w:rsidRPr="003608B8">
        <w:rPr>
          <w:rFonts w:ascii="宋体" w:hAnsi="Calibri" w:cs="宋体" w:hint="eastAsia"/>
          <w:szCs w:val="21"/>
          <w:lang w:eastAsia="zh-CN"/>
        </w:rPr>
        <w:t>2</w:t>
      </w:r>
      <w:r w:rsidRPr="003608B8">
        <w:rPr>
          <w:rFonts w:ascii="宋体" w:hAnsi="Calibri" w:cs="宋体" w:hint="eastAsia"/>
          <w:szCs w:val="21"/>
          <w:lang w:eastAsia="zh-CN"/>
        </w:rPr>
        <w:t>月，荣获泰康养老保险股份有限公司“</w:t>
      </w:r>
      <w:r w:rsidRPr="003608B8">
        <w:rPr>
          <w:rFonts w:ascii="宋体" w:hAnsi="Calibri" w:cs="宋体" w:hint="eastAsia"/>
          <w:szCs w:val="21"/>
          <w:lang w:eastAsia="zh-CN"/>
        </w:rPr>
        <w:t>2023</w:t>
      </w:r>
      <w:r w:rsidRPr="003608B8">
        <w:rPr>
          <w:rFonts w:ascii="宋体" w:hAnsi="Calibri" w:cs="宋体" w:hint="eastAsia"/>
          <w:szCs w:val="21"/>
          <w:lang w:eastAsia="zh-CN"/>
        </w:rPr>
        <w:t>年度最佳年金托管合作伙伴”奖。</w:t>
      </w:r>
      <w:r w:rsidRPr="003608B8">
        <w:rPr>
          <w:rFonts w:ascii="宋体" w:hAnsi="Calibri" w:cs="宋体" w:hint="eastAsia"/>
          <w:szCs w:val="21"/>
          <w:lang w:eastAsia="zh-CN"/>
        </w:rPr>
        <w:t>2024</w:t>
      </w:r>
      <w:r w:rsidRPr="003608B8">
        <w:rPr>
          <w:rFonts w:ascii="宋体" w:hAnsi="Calibri" w:cs="宋体" w:hint="eastAsia"/>
          <w:szCs w:val="21"/>
          <w:lang w:eastAsia="zh-CN"/>
        </w:rPr>
        <w:t>年</w:t>
      </w:r>
      <w:r w:rsidRPr="003608B8">
        <w:rPr>
          <w:rFonts w:ascii="宋体" w:hAnsi="Calibri" w:cs="宋体" w:hint="eastAsia"/>
          <w:szCs w:val="21"/>
          <w:lang w:eastAsia="zh-CN"/>
        </w:rPr>
        <w:t>4</w:t>
      </w:r>
      <w:r w:rsidRPr="003608B8">
        <w:rPr>
          <w:rFonts w:ascii="宋体" w:hAnsi="Calibri" w:cs="宋体" w:hint="eastAsia"/>
          <w:szCs w:val="21"/>
          <w:lang w:eastAsia="zh-CN"/>
        </w:rPr>
        <w:t>月，荣获中国基金报“中国基金业英华奖</w:t>
      </w:r>
      <w:r w:rsidRPr="003608B8">
        <w:rPr>
          <w:rFonts w:ascii="宋体" w:hAnsi="Calibri" w:cs="宋体" w:hint="eastAsia"/>
          <w:szCs w:val="21"/>
          <w:lang w:eastAsia="zh-CN"/>
        </w:rPr>
        <w:t>-ETF20</w:t>
      </w:r>
      <w:r w:rsidRPr="003608B8">
        <w:rPr>
          <w:rFonts w:ascii="宋体" w:hAnsi="Calibri" w:cs="宋体" w:hint="eastAsia"/>
          <w:szCs w:val="21"/>
          <w:lang w:eastAsia="zh-CN"/>
        </w:rPr>
        <w:t>周年特别评选“优秀</w:t>
      </w:r>
      <w:r w:rsidRPr="003608B8">
        <w:rPr>
          <w:rFonts w:ascii="宋体" w:hAnsi="Calibri" w:cs="宋体" w:hint="eastAsia"/>
          <w:szCs w:val="21"/>
          <w:lang w:eastAsia="zh-CN"/>
        </w:rPr>
        <w:t>ETF</w:t>
      </w:r>
      <w:r w:rsidRPr="003608B8">
        <w:rPr>
          <w:rFonts w:ascii="宋体" w:hAnsi="Calibri" w:cs="宋体" w:hint="eastAsia"/>
          <w:szCs w:val="21"/>
          <w:lang w:eastAsia="zh-CN"/>
        </w:rPr>
        <w:t>托管人””奖。</w:t>
      </w:r>
      <w:r w:rsidRPr="003608B8">
        <w:rPr>
          <w:rFonts w:ascii="宋体" w:hAnsi="Calibri" w:cs="宋体" w:hint="eastAsia"/>
          <w:szCs w:val="21"/>
          <w:lang w:eastAsia="zh-CN"/>
        </w:rPr>
        <w:t>2024</w:t>
      </w:r>
      <w:r w:rsidRPr="003608B8">
        <w:rPr>
          <w:rFonts w:ascii="宋体" w:hAnsi="Calibri" w:cs="宋体" w:hint="eastAsia"/>
          <w:szCs w:val="21"/>
          <w:lang w:eastAsia="zh-CN"/>
        </w:rPr>
        <w:t>年</w:t>
      </w:r>
      <w:r w:rsidRPr="003608B8">
        <w:rPr>
          <w:rFonts w:ascii="宋体" w:hAnsi="Calibri" w:cs="宋体" w:hint="eastAsia"/>
          <w:szCs w:val="21"/>
          <w:lang w:eastAsia="zh-CN"/>
        </w:rPr>
        <w:t>6</w:t>
      </w:r>
      <w:r w:rsidRPr="003608B8">
        <w:rPr>
          <w:rFonts w:ascii="宋体" w:hAnsi="Calibri" w:cs="宋体" w:hint="eastAsia"/>
          <w:szCs w:val="21"/>
          <w:lang w:eastAsia="zh-CN"/>
        </w:rPr>
        <w:t>月，荣获上海清算所“</w:t>
      </w:r>
      <w:r w:rsidRPr="003608B8">
        <w:rPr>
          <w:rFonts w:ascii="宋体" w:hAnsi="Calibri" w:cs="宋体" w:hint="eastAsia"/>
          <w:szCs w:val="21"/>
          <w:lang w:eastAsia="zh-CN"/>
        </w:rPr>
        <w:t>2023</w:t>
      </w:r>
      <w:r w:rsidRPr="003608B8">
        <w:rPr>
          <w:rFonts w:ascii="宋体" w:hAnsi="Calibri" w:cs="宋体" w:hint="eastAsia"/>
          <w:szCs w:val="21"/>
          <w:lang w:eastAsia="zh-CN"/>
        </w:rPr>
        <w:t>年度优秀托管机构”奖。</w:t>
      </w:r>
      <w:r w:rsidRPr="003608B8">
        <w:rPr>
          <w:rFonts w:ascii="宋体" w:hAnsi="Calibri" w:cs="宋体" w:hint="eastAsia"/>
          <w:szCs w:val="21"/>
          <w:lang w:eastAsia="zh-CN"/>
        </w:rPr>
        <w:t>2024</w:t>
      </w:r>
      <w:r w:rsidRPr="003608B8">
        <w:rPr>
          <w:rFonts w:ascii="宋体" w:hAnsi="Calibri" w:cs="宋体" w:hint="eastAsia"/>
          <w:szCs w:val="21"/>
          <w:lang w:eastAsia="zh-CN"/>
        </w:rPr>
        <w:t>年</w:t>
      </w:r>
      <w:r w:rsidRPr="003608B8">
        <w:rPr>
          <w:rFonts w:ascii="宋体" w:hAnsi="Calibri" w:cs="宋体" w:hint="eastAsia"/>
          <w:szCs w:val="21"/>
          <w:lang w:eastAsia="zh-CN"/>
        </w:rPr>
        <w:t>8</w:t>
      </w:r>
      <w:r w:rsidRPr="003608B8">
        <w:rPr>
          <w:rFonts w:ascii="宋体" w:hAnsi="Calibri" w:cs="宋体" w:hint="eastAsia"/>
          <w:szCs w:val="21"/>
          <w:lang w:eastAsia="zh-CN"/>
        </w:rPr>
        <w:t>月，在《</w:t>
      </w:r>
      <w:r w:rsidRPr="003608B8">
        <w:rPr>
          <w:rFonts w:ascii="宋体" w:hAnsi="Calibri" w:cs="宋体" w:hint="eastAsia"/>
          <w:szCs w:val="21"/>
          <w:lang w:eastAsia="zh-CN"/>
        </w:rPr>
        <w:t>21</w:t>
      </w:r>
      <w:r w:rsidRPr="003608B8">
        <w:rPr>
          <w:rFonts w:ascii="宋体" w:hAnsi="Calibri" w:cs="宋体" w:hint="eastAsia"/>
          <w:szCs w:val="21"/>
          <w:lang w:eastAsia="zh-CN"/>
        </w:rPr>
        <w:t>世纪经济报道》主办的</w:t>
      </w:r>
      <w:r w:rsidRPr="003608B8">
        <w:rPr>
          <w:rFonts w:ascii="宋体" w:hAnsi="Calibri" w:cs="宋体" w:hint="eastAsia"/>
          <w:szCs w:val="21"/>
          <w:lang w:eastAsia="zh-CN"/>
        </w:rPr>
        <w:t>2024</w:t>
      </w:r>
      <w:r w:rsidRPr="003608B8">
        <w:rPr>
          <w:rFonts w:ascii="宋体" w:hAnsi="Calibri" w:cs="宋体" w:hint="eastAsia"/>
          <w:szCs w:val="21"/>
          <w:lang w:eastAsia="zh-CN"/>
        </w:rPr>
        <w:t>资产管理年会暨十七届</w:t>
      </w:r>
      <w:r w:rsidRPr="003608B8">
        <w:rPr>
          <w:rFonts w:ascii="宋体" w:hAnsi="Calibri" w:cs="宋体" w:hint="eastAsia"/>
          <w:szCs w:val="21"/>
          <w:lang w:eastAsia="zh-CN"/>
        </w:rPr>
        <w:t>21</w:t>
      </w:r>
      <w:r w:rsidRPr="003608B8">
        <w:rPr>
          <w:rFonts w:ascii="宋体" w:hAnsi="Calibri" w:cs="宋体" w:hint="eastAsia"/>
          <w:szCs w:val="21"/>
          <w:lang w:eastAsia="zh-CN"/>
        </w:rPr>
        <w:t>世纪【金贝】资产管理竞争力研究案例发布盛典上，“招商银行托管</w:t>
      </w:r>
      <w:r w:rsidRPr="003608B8">
        <w:rPr>
          <w:rFonts w:ascii="宋体" w:hAnsi="Calibri" w:cs="宋体" w:hint="eastAsia"/>
          <w:szCs w:val="21"/>
          <w:lang w:eastAsia="zh-CN"/>
        </w:rPr>
        <w:t>+</w:t>
      </w:r>
      <w:r w:rsidRPr="003608B8">
        <w:rPr>
          <w:rFonts w:ascii="宋体" w:hAnsi="Calibri" w:cs="宋体" w:hint="eastAsia"/>
          <w:szCs w:val="21"/>
          <w:lang w:eastAsia="zh-CN"/>
        </w:rPr>
        <w:t>”荣获“</w:t>
      </w:r>
      <w:r w:rsidRPr="003608B8">
        <w:rPr>
          <w:rFonts w:ascii="宋体" w:hAnsi="Calibri" w:cs="宋体" w:hint="eastAsia"/>
          <w:szCs w:val="21"/>
          <w:lang w:eastAsia="zh-CN"/>
        </w:rPr>
        <w:t>2024</w:t>
      </w:r>
      <w:r w:rsidRPr="003608B8">
        <w:rPr>
          <w:rFonts w:ascii="宋体" w:hAnsi="Calibri" w:cs="宋体" w:hint="eastAsia"/>
          <w:szCs w:val="21"/>
          <w:lang w:eastAsia="zh-CN"/>
        </w:rPr>
        <w:t>卓越影响力品牌”奖项；</w:t>
      </w:r>
      <w:r w:rsidRPr="003608B8">
        <w:rPr>
          <w:rFonts w:ascii="宋体" w:hAnsi="Calibri" w:cs="宋体" w:hint="eastAsia"/>
          <w:szCs w:val="21"/>
          <w:lang w:eastAsia="zh-CN"/>
        </w:rPr>
        <w:t>2024</w:t>
      </w:r>
      <w:r w:rsidRPr="003608B8">
        <w:rPr>
          <w:rFonts w:ascii="宋体" w:hAnsi="Calibri" w:cs="宋体" w:hint="eastAsia"/>
          <w:szCs w:val="21"/>
          <w:lang w:eastAsia="zh-CN"/>
        </w:rPr>
        <w:t>年</w:t>
      </w:r>
      <w:r w:rsidRPr="003608B8">
        <w:rPr>
          <w:rFonts w:ascii="宋体" w:hAnsi="Calibri" w:cs="宋体" w:hint="eastAsia"/>
          <w:szCs w:val="21"/>
          <w:lang w:eastAsia="zh-CN"/>
        </w:rPr>
        <w:t>9</w:t>
      </w:r>
      <w:r w:rsidRPr="003608B8">
        <w:rPr>
          <w:rFonts w:ascii="宋体" w:hAnsi="Calibri" w:cs="宋体" w:hint="eastAsia"/>
          <w:szCs w:val="21"/>
          <w:lang w:eastAsia="zh-CN"/>
        </w:rPr>
        <w:t>月，在</w:t>
      </w:r>
      <w:r w:rsidRPr="003608B8">
        <w:rPr>
          <w:rFonts w:ascii="宋体" w:hAnsi="Calibri" w:cs="宋体" w:hint="eastAsia"/>
          <w:szCs w:val="21"/>
          <w:lang w:eastAsia="zh-CN"/>
        </w:rPr>
        <w:t>2024</w:t>
      </w:r>
      <w:r w:rsidRPr="003608B8">
        <w:rPr>
          <w:rFonts w:ascii="宋体" w:hAnsi="Calibri" w:cs="宋体" w:hint="eastAsia"/>
          <w:szCs w:val="21"/>
          <w:lang w:eastAsia="zh-CN"/>
        </w:rPr>
        <w:t>财联社中国金融业“拓扑奖”评选中，荣获银行业务类奖项“</w:t>
      </w:r>
      <w:r w:rsidRPr="003608B8">
        <w:rPr>
          <w:rFonts w:ascii="宋体" w:hAnsi="Calibri" w:cs="宋体" w:hint="eastAsia"/>
          <w:szCs w:val="21"/>
          <w:lang w:eastAsia="zh-CN"/>
        </w:rPr>
        <w:t>2024</w:t>
      </w:r>
      <w:r w:rsidRPr="003608B8">
        <w:rPr>
          <w:rFonts w:ascii="宋体" w:hAnsi="Calibri" w:cs="宋体" w:hint="eastAsia"/>
          <w:szCs w:val="21"/>
          <w:lang w:eastAsia="zh-CN"/>
        </w:rPr>
        <w:t>年资产托管银行‘拓扑奖’”；</w:t>
      </w:r>
      <w:r w:rsidRPr="003608B8">
        <w:rPr>
          <w:rFonts w:ascii="宋体" w:hAnsi="Calibri" w:cs="宋体" w:hint="eastAsia"/>
          <w:szCs w:val="21"/>
          <w:lang w:eastAsia="zh-CN"/>
        </w:rPr>
        <w:t>2024</w:t>
      </w:r>
      <w:r w:rsidRPr="003608B8">
        <w:rPr>
          <w:rFonts w:ascii="宋体" w:hAnsi="Calibri" w:cs="宋体" w:hint="eastAsia"/>
          <w:szCs w:val="21"/>
          <w:lang w:eastAsia="zh-CN"/>
        </w:rPr>
        <w:t>年</w:t>
      </w:r>
      <w:r w:rsidRPr="003608B8">
        <w:rPr>
          <w:rFonts w:ascii="宋体" w:hAnsi="Calibri" w:cs="宋体" w:hint="eastAsia"/>
          <w:szCs w:val="21"/>
          <w:lang w:eastAsia="zh-CN"/>
        </w:rPr>
        <w:t>12</w:t>
      </w:r>
      <w:r w:rsidRPr="003608B8">
        <w:rPr>
          <w:rFonts w:ascii="宋体" w:hAnsi="Calibri" w:cs="宋体" w:hint="eastAsia"/>
          <w:szCs w:val="21"/>
          <w:lang w:eastAsia="zh-CN"/>
        </w:rPr>
        <w:t>月，荣获《中国证券报》“</w:t>
      </w:r>
      <w:r w:rsidRPr="003608B8">
        <w:rPr>
          <w:rFonts w:ascii="宋体" w:hAnsi="Calibri" w:cs="宋体" w:hint="eastAsia"/>
          <w:szCs w:val="21"/>
          <w:lang w:eastAsia="zh-CN"/>
        </w:rPr>
        <w:t>ETF</w:t>
      </w:r>
      <w:r w:rsidRPr="003608B8">
        <w:rPr>
          <w:rFonts w:ascii="宋体" w:hAnsi="Calibri" w:cs="宋体" w:hint="eastAsia"/>
          <w:szCs w:val="21"/>
          <w:lang w:eastAsia="zh-CN"/>
        </w:rPr>
        <w:t>金牛生态圈卓越托管机构（银行）奖”；</w:t>
      </w:r>
      <w:r w:rsidRPr="003608B8">
        <w:rPr>
          <w:rFonts w:ascii="宋体" w:hAnsi="Calibri" w:cs="宋体" w:hint="eastAsia"/>
          <w:szCs w:val="21"/>
          <w:lang w:eastAsia="zh-CN"/>
        </w:rPr>
        <w:t>2024</w:t>
      </w:r>
      <w:r w:rsidRPr="003608B8">
        <w:rPr>
          <w:rFonts w:ascii="宋体" w:hAnsi="Calibri" w:cs="宋体" w:hint="eastAsia"/>
          <w:szCs w:val="21"/>
          <w:lang w:eastAsia="zh-CN"/>
        </w:rPr>
        <w:t>年</w:t>
      </w:r>
      <w:r w:rsidRPr="003608B8">
        <w:rPr>
          <w:rFonts w:ascii="宋体" w:hAnsi="Calibri" w:cs="宋体" w:hint="eastAsia"/>
          <w:szCs w:val="21"/>
          <w:lang w:eastAsia="zh-CN"/>
        </w:rPr>
        <w:t>12</w:t>
      </w:r>
      <w:r w:rsidRPr="003608B8">
        <w:rPr>
          <w:rFonts w:ascii="宋体" w:hAnsi="Calibri" w:cs="宋体" w:hint="eastAsia"/>
          <w:szCs w:val="21"/>
          <w:lang w:eastAsia="zh-CN"/>
        </w:rPr>
        <w:t>月，荣获《</w:t>
      </w:r>
      <w:r w:rsidRPr="003608B8">
        <w:rPr>
          <w:rFonts w:ascii="宋体" w:hAnsi="Calibri" w:cs="宋体" w:hint="eastAsia"/>
          <w:szCs w:val="21"/>
          <w:lang w:eastAsia="zh-CN"/>
        </w:rPr>
        <w:t>2024</w:t>
      </w:r>
      <w:r w:rsidRPr="003608B8">
        <w:rPr>
          <w:rFonts w:ascii="宋体" w:hAnsi="Calibri" w:cs="宋体" w:hint="eastAsia"/>
          <w:szCs w:val="21"/>
          <w:lang w:eastAsia="zh-CN"/>
        </w:rPr>
        <w:t>东方财富风云际会》“年度托管银行风云奖”。</w:t>
      </w:r>
      <w:r w:rsidRPr="003608B8">
        <w:rPr>
          <w:rFonts w:ascii="宋体" w:hAnsi="Calibri" w:cs="宋体" w:hint="eastAsia"/>
          <w:szCs w:val="21"/>
          <w:lang w:eastAsia="zh-CN"/>
        </w:rPr>
        <w:t>2025</w:t>
      </w:r>
      <w:r w:rsidRPr="003608B8">
        <w:rPr>
          <w:rFonts w:ascii="宋体" w:hAnsi="Calibri" w:cs="宋体" w:hint="eastAsia"/>
          <w:szCs w:val="21"/>
          <w:lang w:eastAsia="zh-CN"/>
        </w:rPr>
        <w:t>年</w:t>
      </w:r>
      <w:r w:rsidRPr="003608B8">
        <w:rPr>
          <w:rFonts w:ascii="宋体" w:hAnsi="Calibri" w:cs="宋体" w:hint="eastAsia"/>
          <w:szCs w:val="21"/>
          <w:lang w:eastAsia="zh-CN"/>
        </w:rPr>
        <w:t>1</w:t>
      </w:r>
      <w:r w:rsidRPr="003608B8">
        <w:rPr>
          <w:rFonts w:ascii="宋体" w:hAnsi="Calibri" w:cs="宋体" w:hint="eastAsia"/>
          <w:szCs w:val="21"/>
          <w:lang w:eastAsia="zh-CN"/>
        </w:rPr>
        <w:t>月</w:t>
      </w:r>
      <w:r w:rsidRPr="003608B8">
        <w:rPr>
          <w:rFonts w:ascii="宋体" w:hAnsi="Calibri" w:cs="宋体" w:hint="eastAsia"/>
          <w:szCs w:val="21"/>
          <w:lang w:eastAsia="zh-CN"/>
        </w:rPr>
        <w:t>，荣获中央国债登记结算有限责任公司“</w:t>
      </w:r>
      <w:r w:rsidRPr="003608B8">
        <w:rPr>
          <w:rFonts w:ascii="宋体" w:hAnsi="Calibri" w:cs="宋体" w:hint="eastAsia"/>
          <w:szCs w:val="21"/>
          <w:lang w:eastAsia="zh-CN"/>
        </w:rPr>
        <w:t>2024</w:t>
      </w:r>
      <w:r w:rsidRPr="003608B8">
        <w:rPr>
          <w:rFonts w:ascii="宋体" w:hAnsi="Calibri" w:cs="宋体" w:hint="eastAsia"/>
          <w:szCs w:val="21"/>
          <w:lang w:eastAsia="zh-CN"/>
        </w:rPr>
        <w:t>年度优秀资产托管机构”奖项、上海清算所“</w:t>
      </w:r>
      <w:r w:rsidRPr="003608B8">
        <w:rPr>
          <w:rFonts w:ascii="宋体" w:hAnsi="Calibri" w:cs="宋体" w:hint="eastAsia"/>
          <w:szCs w:val="21"/>
          <w:lang w:eastAsia="zh-CN"/>
        </w:rPr>
        <w:t>2024</w:t>
      </w:r>
      <w:r w:rsidRPr="003608B8">
        <w:rPr>
          <w:rFonts w:ascii="宋体" w:hAnsi="Calibri" w:cs="宋体" w:hint="eastAsia"/>
          <w:szCs w:val="21"/>
          <w:lang w:eastAsia="zh-CN"/>
        </w:rPr>
        <w:t>年度优秀托管机构”奖项；</w:t>
      </w:r>
      <w:r w:rsidRPr="003608B8">
        <w:rPr>
          <w:rFonts w:ascii="宋体" w:hAnsi="Calibri" w:cs="宋体" w:hint="eastAsia"/>
          <w:szCs w:val="21"/>
          <w:lang w:eastAsia="zh-CN"/>
        </w:rPr>
        <w:t>2025</w:t>
      </w:r>
      <w:r w:rsidRPr="003608B8">
        <w:rPr>
          <w:rFonts w:ascii="宋体" w:hAnsi="Calibri" w:cs="宋体" w:hint="eastAsia"/>
          <w:szCs w:val="21"/>
          <w:lang w:eastAsia="zh-CN"/>
        </w:rPr>
        <w:t>年</w:t>
      </w:r>
      <w:r w:rsidRPr="003608B8">
        <w:rPr>
          <w:rFonts w:ascii="宋体" w:hAnsi="Calibri" w:cs="宋体" w:hint="eastAsia"/>
          <w:szCs w:val="21"/>
          <w:lang w:eastAsia="zh-CN"/>
        </w:rPr>
        <w:t>2</w:t>
      </w:r>
      <w:r w:rsidRPr="003608B8">
        <w:rPr>
          <w:rFonts w:ascii="宋体" w:hAnsi="Calibri" w:cs="宋体" w:hint="eastAsia"/>
          <w:szCs w:val="21"/>
          <w:lang w:eastAsia="zh-CN"/>
        </w:rPr>
        <w:t>月，荣获全国银行间同业拆借中心“</w:t>
      </w:r>
      <w:r w:rsidRPr="003608B8">
        <w:rPr>
          <w:rFonts w:ascii="宋体" w:hAnsi="Calibri" w:cs="宋体" w:hint="eastAsia"/>
          <w:szCs w:val="21"/>
          <w:lang w:eastAsia="zh-CN"/>
        </w:rPr>
        <w:t>2024</w:t>
      </w:r>
      <w:r w:rsidRPr="003608B8">
        <w:rPr>
          <w:rFonts w:ascii="宋体" w:hAnsi="Calibri" w:cs="宋体" w:hint="eastAsia"/>
          <w:szCs w:val="21"/>
          <w:lang w:eastAsia="zh-CN"/>
        </w:rPr>
        <w:t>年度市场创新业务机构”奖项；</w:t>
      </w:r>
      <w:r w:rsidRPr="003608B8">
        <w:rPr>
          <w:rFonts w:ascii="宋体" w:hAnsi="Calibri" w:cs="宋体" w:hint="eastAsia"/>
          <w:szCs w:val="21"/>
          <w:lang w:eastAsia="zh-CN"/>
        </w:rPr>
        <w:t>2025</w:t>
      </w:r>
      <w:r w:rsidRPr="003608B8">
        <w:rPr>
          <w:rFonts w:ascii="宋体" w:hAnsi="Calibri" w:cs="宋体" w:hint="eastAsia"/>
          <w:szCs w:val="21"/>
          <w:lang w:eastAsia="zh-CN"/>
        </w:rPr>
        <w:t>年</w:t>
      </w:r>
      <w:r w:rsidRPr="003608B8">
        <w:rPr>
          <w:rFonts w:ascii="宋体" w:hAnsi="Calibri" w:cs="宋体" w:hint="eastAsia"/>
          <w:szCs w:val="21"/>
          <w:lang w:eastAsia="zh-CN"/>
        </w:rPr>
        <w:t>3</w:t>
      </w:r>
      <w:r w:rsidRPr="003608B8">
        <w:rPr>
          <w:rFonts w:ascii="宋体" w:hAnsi="Calibri" w:cs="宋体" w:hint="eastAsia"/>
          <w:szCs w:val="21"/>
          <w:lang w:eastAsia="zh-CN"/>
        </w:rPr>
        <w:t>月，荣获《中国基金报》</w:t>
      </w:r>
      <w:r w:rsidRPr="003608B8">
        <w:rPr>
          <w:rFonts w:ascii="宋体" w:hAnsi="Calibri" w:cs="宋体" w:hint="eastAsia"/>
          <w:szCs w:val="21"/>
          <w:lang w:eastAsia="zh-CN"/>
        </w:rPr>
        <w:t>2025</w:t>
      </w:r>
      <w:r w:rsidRPr="003608B8">
        <w:rPr>
          <w:rFonts w:ascii="宋体" w:hAnsi="Calibri" w:cs="宋体" w:hint="eastAsia"/>
          <w:szCs w:val="21"/>
          <w:lang w:eastAsia="zh-CN"/>
        </w:rPr>
        <w:t>年指数生态圈英华典型案例“指数产品托管机构”奖项；</w:t>
      </w:r>
      <w:r w:rsidRPr="003608B8">
        <w:rPr>
          <w:rFonts w:ascii="宋体" w:hAnsi="Calibri" w:cs="宋体" w:hint="eastAsia"/>
          <w:szCs w:val="21"/>
          <w:lang w:eastAsia="zh-CN"/>
        </w:rPr>
        <w:t>2025</w:t>
      </w:r>
      <w:r w:rsidRPr="003608B8">
        <w:rPr>
          <w:rFonts w:ascii="宋体" w:hAnsi="Calibri" w:cs="宋体" w:hint="eastAsia"/>
          <w:szCs w:val="21"/>
          <w:lang w:eastAsia="zh-CN"/>
        </w:rPr>
        <w:t>年</w:t>
      </w:r>
      <w:r w:rsidRPr="003608B8">
        <w:rPr>
          <w:rFonts w:ascii="宋体" w:hAnsi="Calibri" w:cs="宋体" w:hint="eastAsia"/>
          <w:szCs w:val="21"/>
          <w:lang w:eastAsia="zh-CN"/>
        </w:rPr>
        <w:t>6</w:t>
      </w:r>
      <w:r w:rsidRPr="003608B8">
        <w:rPr>
          <w:rFonts w:ascii="宋体" w:hAnsi="Calibri" w:cs="宋体" w:hint="eastAsia"/>
          <w:szCs w:val="21"/>
          <w:lang w:eastAsia="zh-CN"/>
        </w:rPr>
        <w:t>月，荣获《亚洲银行家》“中国最佳托管银行”“中国最佳股份制托管银行”奖项。</w:t>
      </w:r>
      <w:r w:rsidRPr="003608B8">
        <w:rPr>
          <w:rFonts w:ascii="宋体" w:hAnsi="Calibri" w:cs="宋体" w:hint="eastAsia"/>
          <w:szCs w:val="21"/>
          <w:lang w:eastAsia="zh-CN"/>
        </w:rPr>
        <w:t>2025</w:t>
      </w:r>
      <w:r w:rsidRPr="003608B8">
        <w:rPr>
          <w:rFonts w:ascii="宋体" w:hAnsi="Calibri" w:cs="宋体" w:hint="eastAsia"/>
          <w:szCs w:val="21"/>
          <w:lang w:eastAsia="zh-CN"/>
        </w:rPr>
        <w:t>年</w:t>
      </w:r>
      <w:r w:rsidRPr="003608B8">
        <w:rPr>
          <w:rFonts w:ascii="宋体" w:hAnsi="Calibri" w:cs="宋体" w:hint="eastAsia"/>
          <w:szCs w:val="21"/>
          <w:lang w:eastAsia="zh-CN"/>
        </w:rPr>
        <w:t>8</w:t>
      </w:r>
      <w:r w:rsidRPr="003608B8">
        <w:rPr>
          <w:rFonts w:ascii="宋体" w:hAnsi="Calibri" w:cs="宋体" w:hint="eastAsia"/>
          <w:szCs w:val="21"/>
          <w:lang w:eastAsia="zh-CN"/>
        </w:rPr>
        <w:t>月，在《</w:t>
      </w:r>
      <w:r w:rsidRPr="003608B8">
        <w:rPr>
          <w:rFonts w:ascii="宋体" w:hAnsi="Calibri" w:cs="宋体" w:hint="eastAsia"/>
          <w:szCs w:val="21"/>
          <w:lang w:eastAsia="zh-CN"/>
        </w:rPr>
        <w:t>21</w:t>
      </w:r>
      <w:r w:rsidRPr="003608B8">
        <w:rPr>
          <w:rFonts w:ascii="宋体" w:hAnsi="Calibri" w:cs="宋体" w:hint="eastAsia"/>
          <w:szCs w:val="21"/>
          <w:lang w:eastAsia="zh-CN"/>
        </w:rPr>
        <w:t>世纪经济报道》主办的</w:t>
      </w:r>
      <w:r w:rsidRPr="003608B8">
        <w:rPr>
          <w:rFonts w:ascii="宋体" w:hAnsi="Calibri" w:cs="宋体" w:hint="eastAsia"/>
          <w:szCs w:val="21"/>
          <w:lang w:eastAsia="zh-CN"/>
        </w:rPr>
        <w:t>2025</w:t>
      </w:r>
      <w:r w:rsidRPr="003608B8">
        <w:rPr>
          <w:rFonts w:ascii="宋体" w:hAnsi="Calibri" w:cs="宋体" w:hint="eastAsia"/>
          <w:szCs w:val="21"/>
          <w:lang w:eastAsia="zh-CN"/>
        </w:rPr>
        <w:t>资产管理年会暨十八届</w:t>
      </w:r>
      <w:r w:rsidRPr="003608B8">
        <w:rPr>
          <w:rFonts w:ascii="宋体" w:hAnsi="Calibri" w:cs="宋体" w:hint="eastAsia"/>
          <w:szCs w:val="21"/>
          <w:lang w:eastAsia="zh-CN"/>
        </w:rPr>
        <w:t>21</w:t>
      </w:r>
      <w:r w:rsidRPr="003608B8">
        <w:rPr>
          <w:rFonts w:ascii="宋体" w:hAnsi="Calibri" w:cs="宋体" w:hint="eastAsia"/>
          <w:szCs w:val="21"/>
          <w:lang w:eastAsia="zh-CN"/>
        </w:rPr>
        <w:t>世纪【金贝】资产管理竞争力案例发布盛典上，“招商银行托管</w:t>
      </w:r>
      <w:r w:rsidRPr="003608B8">
        <w:rPr>
          <w:rFonts w:ascii="宋体" w:hAnsi="Calibri" w:cs="宋体" w:hint="eastAsia"/>
          <w:szCs w:val="21"/>
          <w:lang w:eastAsia="zh-CN"/>
        </w:rPr>
        <w:t>+</w:t>
      </w:r>
      <w:r w:rsidRPr="003608B8">
        <w:rPr>
          <w:rFonts w:ascii="宋体" w:hAnsi="Calibri" w:cs="宋体" w:hint="eastAsia"/>
          <w:szCs w:val="21"/>
          <w:lang w:eastAsia="zh-CN"/>
        </w:rPr>
        <w:t>”荣</w:t>
      </w:r>
      <w:r w:rsidRPr="003608B8">
        <w:rPr>
          <w:rFonts w:ascii="宋体" w:hAnsi="Calibri" w:cs="宋体" w:hint="eastAsia"/>
          <w:szCs w:val="21"/>
          <w:lang w:eastAsia="zh-CN"/>
        </w:rPr>
        <w:t>获“</w:t>
      </w:r>
      <w:r w:rsidRPr="003608B8">
        <w:rPr>
          <w:rFonts w:ascii="宋体" w:hAnsi="Calibri" w:cs="宋体" w:hint="eastAsia"/>
          <w:szCs w:val="21"/>
          <w:lang w:eastAsia="zh-CN"/>
        </w:rPr>
        <w:t>2025</w:t>
      </w:r>
      <w:r w:rsidRPr="003608B8">
        <w:rPr>
          <w:rFonts w:ascii="宋体" w:hAnsi="Calibri" w:cs="宋体" w:hint="eastAsia"/>
          <w:szCs w:val="21"/>
          <w:lang w:eastAsia="zh-CN"/>
        </w:rPr>
        <w:t>卓越影响力品牌”奖项。</w:t>
      </w:r>
      <w:r w:rsidRPr="003608B8">
        <w:rPr>
          <w:rFonts w:ascii="宋体" w:hAnsi="Calibri" w:cs="宋体" w:hint="eastAsia"/>
          <w:szCs w:val="21"/>
          <w:lang w:eastAsia="zh-CN"/>
        </w:rPr>
        <w:t>2025</w:t>
      </w:r>
      <w:r w:rsidRPr="003608B8">
        <w:rPr>
          <w:rFonts w:ascii="宋体" w:hAnsi="Calibri" w:cs="宋体" w:hint="eastAsia"/>
          <w:szCs w:val="21"/>
          <w:lang w:eastAsia="zh-CN"/>
        </w:rPr>
        <w:t>年</w:t>
      </w:r>
      <w:r w:rsidRPr="003608B8">
        <w:rPr>
          <w:rFonts w:ascii="宋体" w:hAnsi="Calibri" w:cs="宋体" w:hint="eastAsia"/>
          <w:szCs w:val="21"/>
          <w:lang w:eastAsia="zh-CN"/>
        </w:rPr>
        <w:t>12</w:t>
      </w:r>
      <w:r w:rsidRPr="003608B8">
        <w:rPr>
          <w:rFonts w:ascii="宋体" w:hAnsi="Calibri" w:cs="宋体" w:hint="eastAsia"/>
          <w:szCs w:val="21"/>
          <w:lang w:eastAsia="zh-CN"/>
        </w:rPr>
        <w:t>月，荣获《</w:t>
      </w:r>
      <w:r w:rsidRPr="003608B8">
        <w:rPr>
          <w:rFonts w:ascii="宋体" w:hAnsi="Calibri" w:cs="宋体" w:hint="eastAsia"/>
          <w:szCs w:val="21"/>
          <w:lang w:eastAsia="zh-CN"/>
        </w:rPr>
        <w:t>2025</w:t>
      </w:r>
      <w:r w:rsidRPr="003608B8">
        <w:rPr>
          <w:rFonts w:ascii="宋体" w:hAnsi="Calibri" w:cs="宋体" w:hint="eastAsia"/>
          <w:szCs w:val="21"/>
          <w:lang w:eastAsia="zh-CN"/>
        </w:rPr>
        <w:t>东方财富风云际会》“年度托管银行风云奖”。</w:t>
      </w:r>
      <w:r w:rsidRPr="003608B8">
        <w:rPr>
          <w:rFonts w:ascii="宋体" w:hAnsi="Calibri" w:cs="宋体" w:hint="eastAsia"/>
          <w:szCs w:val="21"/>
          <w:lang w:eastAsia="zh-CN"/>
        </w:rPr>
        <w:t>2026</w:t>
      </w:r>
      <w:r w:rsidRPr="003608B8">
        <w:rPr>
          <w:rFonts w:ascii="宋体" w:hAnsi="Calibri" w:cs="宋体" w:hint="eastAsia"/>
          <w:szCs w:val="21"/>
          <w:lang w:eastAsia="zh-CN"/>
        </w:rPr>
        <w:t>年</w:t>
      </w:r>
      <w:r w:rsidRPr="003608B8">
        <w:rPr>
          <w:rFonts w:ascii="宋体" w:hAnsi="Calibri" w:cs="宋体" w:hint="eastAsia"/>
          <w:szCs w:val="21"/>
          <w:lang w:eastAsia="zh-CN"/>
        </w:rPr>
        <w:t>1</w:t>
      </w:r>
      <w:r w:rsidRPr="003608B8">
        <w:rPr>
          <w:rFonts w:ascii="宋体" w:hAnsi="Calibri" w:cs="宋体" w:hint="eastAsia"/>
          <w:szCs w:val="21"/>
          <w:lang w:eastAsia="zh-CN"/>
        </w:rPr>
        <w:t>月，荣获中央国债登记结算有限责任公司“</w:t>
      </w:r>
      <w:r w:rsidRPr="003608B8">
        <w:rPr>
          <w:rFonts w:ascii="宋体" w:hAnsi="Calibri" w:cs="宋体" w:hint="eastAsia"/>
          <w:szCs w:val="21"/>
          <w:lang w:eastAsia="zh-CN"/>
        </w:rPr>
        <w:t>2025</w:t>
      </w:r>
      <w:r w:rsidRPr="003608B8">
        <w:rPr>
          <w:rFonts w:ascii="宋体" w:hAnsi="Calibri" w:cs="宋体" w:hint="eastAsia"/>
          <w:szCs w:val="21"/>
          <w:lang w:eastAsia="zh-CN"/>
        </w:rPr>
        <w:t>年度优秀资产托管机构”奖项。</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二、主要人员情况</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缪建民先生，招商银行董事长、非执行董事，</w:t>
      </w:r>
      <w:r w:rsidRPr="003608B8">
        <w:rPr>
          <w:rFonts w:ascii="宋体" w:hAnsi="Calibri" w:cs="宋体" w:hint="eastAsia"/>
          <w:szCs w:val="21"/>
          <w:lang w:eastAsia="zh-CN"/>
        </w:rPr>
        <w:t>2020</w:t>
      </w:r>
      <w:r w:rsidRPr="003608B8">
        <w:rPr>
          <w:rFonts w:ascii="宋体" w:hAnsi="Calibri" w:cs="宋体" w:hint="eastAsia"/>
          <w:szCs w:val="21"/>
          <w:lang w:eastAsia="zh-CN"/>
        </w:rPr>
        <w:t>年</w:t>
      </w:r>
      <w:r w:rsidRPr="003608B8">
        <w:rPr>
          <w:rFonts w:ascii="宋体" w:hAnsi="Calibri" w:cs="宋体" w:hint="eastAsia"/>
          <w:szCs w:val="21"/>
          <w:lang w:eastAsia="zh-CN"/>
        </w:rPr>
        <w:t>9</w:t>
      </w:r>
      <w:r w:rsidRPr="003608B8">
        <w:rPr>
          <w:rFonts w:ascii="宋体" w:hAnsi="Calibri" w:cs="宋体" w:hint="eastAsia"/>
          <w:szCs w:val="21"/>
          <w:lang w:eastAsia="zh-CN"/>
        </w:rPr>
        <w:t>月起担任招商银行董事、董事长。中央财经大学经济学博士，高级经济师。中国共产党第十九届、二十届中央委员会候补委员。招商局集团有限公司董事长。曾任中国人寿保险（集团）公司副董事长、总裁，中国人民保险集团股份有限公司副董事长、总裁、董事长，曾兼任中国人</w:t>
      </w:r>
      <w:r w:rsidRPr="003608B8">
        <w:rPr>
          <w:rFonts w:ascii="宋体" w:hAnsi="Calibri" w:cs="宋体" w:hint="eastAsia"/>
          <w:szCs w:val="21"/>
          <w:lang w:eastAsia="zh-CN"/>
        </w:rPr>
        <w:t>民财产保险股份有限公司董事长，中国人保资产管理有限公司董事长，中国人民健康保险股份有限公司董事长，中国人民保险（香港）有限公司董事长，人保资本投资管理有限公司董事长，中国人民养老保险有限责任公司董事长，中国人民人寿保险股份有限公司董事长。</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王小青先生，招商银行党委书记，复旦大学政治经济学博士。曾任中国人保资产管理有限公司总裁助理、副总裁兼财务负责人，招商基金管理有限公司总经理、董事长，招商银行行长助理兼深圳分行行长、招商银行副行长，招商局金融控股有限公司总经理。曾兼任招商信诺人寿保险有限公司董事长、招商信诺</w:t>
      </w:r>
      <w:r w:rsidRPr="003608B8">
        <w:rPr>
          <w:rFonts w:ascii="宋体" w:hAnsi="Calibri" w:cs="宋体" w:hint="eastAsia"/>
          <w:szCs w:val="21"/>
          <w:lang w:eastAsia="zh-CN"/>
        </w:rPr>
        <w:t>资产管理有限公司董事长。</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王颖女士，招商银行副行长，南京大学政治经济学专业硕士，经济师。王颖女士</w:t>
      </w:r>
      <w:r w:rsidRPr="003608B8">
        <w:rPr>
          <w:rFonts w:ascii="宋体" w:hAnsi="Calibri" w:cs="宋体" w:hint="eastAsia"/>
          <w:szCs w:val="21"/>
          <w:lang w:eastAsia="zh-CN"/>
        </w:rPr>
        <w:t>1997</w:t>
      </w:r>
      <w:r w:rsidRPr="003608B8">
        <w:rPr>
          <w:rFonts w:ascii="宋体" w:hAnsi="Calibri" w:cs="宋体" w:hint="eastAsia"/>
          <w:szCs w:val="21"/>
          <w:lang w:eastAsia="zh-CN"/>
        </w:rPr>
        <w:t>年</w:t>
      </w:r>
      <w:r w:rsidRPr="003608B8">
        <w:rPr>
          <w:rFonts w:ascii="宋体" w:hAnsi="Calibri" w:cs="宋体" w:hint="eastAsia"/>
          <w:szCs w:val="21"/>
          <w:lang w:eastAsia="zh-CN"/>
        </w:rPr>
        <w:t>1</w:t>
      </w:r>
      <w:r w:rsidRPr="003608B8">
        <w:rPr>
          <w:rFonts w:ascii="宋体" w:hAnsi="Calibri" w:cs="宋体" w:hint="eastAsia"/>
          <w:szCs w:val="21"/>
          <w:lang w:eastAsia="zh-CN"/>
        </w:rPr>
        <w:t>月加入招商银行，历任招商银行北京分行行长助理、副行长，天津分行行长，深圳分行行长，招商银行行长助理。</w:t>
      </w:r>
      <w:r w:rsidRPr="003608B8">
        <w:rPr>
          <w:rFonts w:ascii="宋体" w:hAnsi="Calibri" w:cs="宋体" w:hint="eastAsia"/>
          <w:szCs w:val="21"/>
          <w:lang w:eastAsia="zh-CN"/>
        </w:rPr>
        <w:t>2023</w:t>
      </w:r>
      <w:r w:rsidRPr="003608B8">
        <w:rPr>
          <w:rFonts w:ascii="宋体" w:hAnsi="Calibri" w:cs="宋体" w:hint="eastAsia"/>
          <w:szCs w:val="21"/>
          <w:lang w:eastAsia="zh-CN"/>
        </w:rPr>
        <w:t>年</w:t>
      </w:r>
      <w:r w:rsidRPr="003608B8">
        <w:rPr>
          <w:rFonts w:ascii="宋体" w:hAnsi="Calibri" w:cs="宋体" w:hint="eastAsia"/>
          <w:szCs w:val="21"/>
          <w:lang w:eastAsia="zh-CN"/>
        </w:rPr>
        <w:t>11</w:t>
      </w:r>
      <w:r w:rsidRPr="003608B8">
        <w:rPr>
          <w:rFonts w:ascii="宋体" w:hAnsi="Calibri" w:cs="宋体" w:hint="eastAsia"/>
          <w:szCs w:val="21"/>
          <w:lang w:eastAsia="zh-CN"/>
        </w:rPr>
        <w:t>月起任招商银行副行长。</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孙乐女士，招商银行资产托管部总经理，硕士研究生毕业，</w:t>
      </w:r>
      <w:r w:rsidRPr="003608B8">
        <w:rPr>
          <w:rFonts w:ascii="宋体" w:hAnsi="Calibri" w:cs="宋体" w:hint="eastAsia"/>
          <w:szCs w:val="21"/>
          <w:lang w:eastAsia="zh-CN"/>
        </w:rPr>
        <w:t>2001</w:t>
      </w:r>
      <w:r w:rsidRPr="003608B8">
        <w:rPr>
          <w:rFonts w:ascii="宋体" w:hAnsi="Calibri" w:cs="宋体" w:hint="eastAsia"/>
          <w:szCs w:val="21"/>
          <w:lang w:eastAsia="zh-CN"/>
        </w:rPr>
        <w:t>年</w:t>
      </w:r>
      <w:r w:rsidRPr="003608B8">
        <w:rPr>
          <w:rFonts w:ascii="宋体" w:hAnsi="Calibri" w:cs="宋体" w:hint="eastAsia"/>
          <w:szCs w:val="21"/>
          <w:lang w:eastAsia="zh-CN"/>
        </w:rPr>
        <w:t>8</w:t>
      </w:r>
      <w:r w:rsidRPr="003608B8">
        <w:rPr>
          <w:rFonts w:ascii="宋体" w:hAnsi="Calibri" w:cs="宋体" w:hint="eastAsia"/>
          <w:szCs w:val="21"/>
          <w:lang w:eastAsia="zh-CN"/>
        </w:rPr>
        <w:t>月加入招商银行至今，历任招商银行合肥分行风险控制部副经理、经理、信贷管理部总经理助理、副总经理、总经理、公司银行部总经理、中小企业金融部总经理、投行与金融市场部总经理；无锡分行行长助理、副行长；南京分行副行长；</w:t>
      </w:r>
      <w:r w:rsidRPr="003608B8">
        <w:rPr>
          <w:rFonts w:ascii="宋体" w:hAnsi="Calibri" w:cs="宋体" w:hint="eastAsia"/>
          <w:szCs w:val="21"/>
          <w:lang w:eastAsia="zh-CN"/>
        </w:rPr>
        <w:t>2021</w:t>
      </w:r>
      <w:r w:rsidRPr="003608B8">
        <w:rPr>
          <w:rFonts w:ascii="宋体" w:hAnsi="Calibri" w:cs="宋体" w:hint="eastAsia"/>
          <w:szCs w:val="21"/>
          <w:lang w:eastAsia="zh-CN"/>
        </w:rPr>
        <w:t>年</w:t>
      </w:r>
      <w:r w:rsidRPr="003608B8">
        <w:rPr>
          <w:rFonts w:ascii="宋体" w:hAnsi="Calibri" w:cs="宋体" w:hint="eastAsia"/>
          <w:szCs w:val="21"/>
          <w:lang w:eastAsia="zh-CN"/>
        </w:rPr>
        <w:t>10</w:t>
      </w:r>
      <w:r w:rsidRPr="003608B8">
        <w:rPr>
          <w:rFonts w:ascii="宋体" w:hAnsi="Calibri" w:cs="宋体" w:hint="eastAsia"/>
          <w:szCs w:val="21"/>
          <w:lang w:eastAsia="zh-CN"/>
        </w:rPr>
        <w:t>月起先后任招商银行资产托管部负责人、资产托管部总经理，具有</w:t>
      </w:r>
      <w:r w:rsidRPr="003608B8">
        <w:rPr>
          <w:rFonts w:ascii="宋体" w:hAnsi="Calibri" w:cs="宋体" w:hint="eastAsia"/>
          <w:szCs w:val="21"/>
          <w:lang w:eastAsia="zh-CN"/>
        </w:rPr>
        <w:t>20</w:t>
      </w:r>
      <w:r w:rsidRPr="003608B8">
        <w:rPr>
          <w:rFonts w:ascii="宋体" w:hAnsi="Calibri" w:cs="宋体" w:hint="eastAsia"/>
          <w:szCs w:val="21"/>
          <w:lang w:eastAsia="zh-CN"/>
        </w:rPr>
        <w:t>余年银行从业经验，在风险管理、信贷管理、公司金融、资产托管等领域有深入的研究和丰富的实务经验。</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三、基金托管业务经营情况</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截至</w:t>
      </w:r>
      <w:r w:rsidRPr="003608B8">
        <w:rPr>
          <w:rFonts w:ascii="宋体" w:hAnsi="Calibri" w:cs="宋体" w:hint="eastAsia"/>
          <w:szCs w:val="21"/>
          <w:lang w:eastAsia="zh-CN"/>
        </w:rPr>
        <w:t>2026</w:t>
      </w:r>
      <w:r w:rsidRPr="003608B8">
        <w:rPr>
          <w:rFonts w:ascii="宋体" w:hAnsi="Calibri" w:cs="宋体" w:hint="eastAsia"/>
          <w:szCs w:val="21"/>
          <w:lang w:eastAsia="zh-CN"/>
        </w:rPr>
        <w:t>年</w:t>
      </w:r>
      <w:r w:rsidRPr="003608B8">
        <w:rPr>
          <w:rFonts w:ascii="宋体" w:hAnsi="Calibri" w:cs="宋体" w:hint="eastAsia"/>
          <w:szCs w:val="21"/>
          <w:lang w:eastAsia="zh-CN"/>
        </w:rPr>
        <w:t>3</w:t>
      </w:r>
      <w:r w:rsidRPr="003608B8">
        <w:rPr>
          <w:rFonts w:ascii="宋体" w:hAnsi="Calibri" w:cs="宋体" w:hint="eastAsia"/>
          <w:szCs w:val="21"/>
          <w:lang w:eastAsia="zh-CN"/>
        </w:rPr>
        <w:t>月</w:t>
      </w:r>
      <w:r w:rsidRPr="003608B8">
        <w:rPr>
          <w:rFonts w:ascii="宋体" w:hAnsi="Calibri" w:cs="宋体" w:hint="eastAsia"/>
          <w:szCs w:val="21"/>
          <w:lang w:eastAsia="zh-CN"/>
        </w:rPr>
        <w:t>31</w:t>
      </w:r>
      <w:r w:rsidRPr="003608B8">
        <w:rPr>
          <w:rFonts w:ascii="宋体" w:hAnsi="Calibri" w:cs="宋体" w:hint="eastAsia"/>
          <w:szCs w:val="21"/>
          <w:lang w:eastAsia="zh-CN"/>
        </w:rPr>
        <w:t>日，招商银行股份有</w:t>
      </w:r>
      <w:r w:rsidRPr="003608B8">
        <w:rPr>
          <w:rFonts w:ascii="宋体" w:hAnsi="Calibri" w:cs="宋体" w:hint="eastAsia"/>
          <w:szCs w:val="21"/>
          <w:lang w:eastAsia="zh-CN"/>
        </w:rPr>
        <w:t>限公司累计托管</w:t>
      </w:r>
      <w:r w:rsidRPr="003608B8">
        <w:rPr>
          <w:rFonts w:ascii="宋体" w:hAnsi="Calibri" w:cs="宋体" w:hint="eastAsia"/>
          <w:szCs w:val="21"/>
          <w:lang w:eastAsia="zh-CN"/>
        </w:rPr>
        <w:t>1813</w:t>
      </w:r>
      <w:r w:rsidRPr="003608B8">
        <w:rPr>
          <w:rFonts w:ascii="宋体" w:hAnsi="Calibri" w:cs="宋体" w:hint="eastAsia"/>
          <w:szCs w:val="21"/>
          <w:lang w:eastAsia="zh-CN"/>
        </w:rPr>
        <w:t>只证券投资基金。</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四、托管人的内部控制制度</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1</w:t>
      </w:r>
      <w:r w:rsidRPr="003608B8">
        <w:rPr>
          <w:rFonts w:ascii="宋体" w:hAnsi="Calibri" w:cs="宋体" w:hint="eastAsia"/>
          <w:szCs w:val="21"/>
          <w:lang w:eastAsia="zh-CN"/>
        </w:rPr>
        <w:t>、内部控制目标</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招商银行确保托管业务严格遵守国家有关法律法规和行业监管制度，坚持守法经营、规范运作的经营理念；形成科学合理的决策机制、执行机制和监督机制，防范和化解经营风险，确保托管业务的稳健运行和托管资产的安全；建立有利于查错防弊、堵塞漏洞、消除隐患，保证业务稳健运行的风险控制制度，确保托管业务信息真实、准确、完整、及时；确保内控机制、体制的不断改进和各项业务制度、流程的不断完善。</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2</w:t>
      </w:r>
      <w:r w:rsidRPr="003608B8">
        <w:rPr>
          <w:rFonts w:ascii="宋体" w:hAnsi="Calibri" w:cs="宋体" w:hint="eastAsia"/>
          <w:szCs w:val="21"/>
          <w:lang w:eastAsia="zh-CN"/>
        </w:rPr>
        <w:t>、内部控制组织结构</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招商银行资产托管业务建立三级内部控</w:t>
      </w:r>
      <w:r w:rsidRPr="003608B8">
        <w:rPr>
          <w:rFonts w:ascii="宋体" w:hAnsi="Calibri" w:cs="宋体" w:hint="eastAsia"/>
          <w:szCs w:val="21"/>
          <w:lang w:eastAsia="zh-CN"/>
        </w:rPr>
        <w:t>制及风险防范体系：</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一级内部控制及风险防范是在招商银行总行风险管控层面对风险进行预防和控制；总行风险管理部、法律合规部、审计部独立对资产托管业务进行评估监督，并提出内控提升管理建议。</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二级内部控制及风险防范是招商银行资产托管部设立风险合规管理相关团队，负责部门内部风险预防和控制，及时发现内部控制缺陷，提出整改方案，跟踪整改情况，并直接向部门总经理室报告。</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三级内部控制及风险防范是招商银行资产托管部在设置专业岗位时，遵循内控制衡原则，视业务的风险程度制定相应监督制衡机制。</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3</w:t>
      </w:r>
      <w:r w:rsidRPr="003608B8">
        <w:rPr>
          <w:rFonts w:ascii="宋体" w:hAnsi="Calibri" w:cs="宋体" w:hint="eastAsia"/>
          <w:szCs w:val="21"/>
          <w:lang w:eastAsia="zh-CN"/>
        </w:rPr>
        <w:t>、内部控制原则</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w:t>
      </w:r>
      <w:r w:rsidRPr="003608B8">
        <w:rPr>
          <w:rFonts w:ascii="宋体" w:hAnsi="Calibri" w:cs="宋体" w:hint="eastAsia"/>
          <w:szCs w:val="21"/>
          <w:lang w:eastAsia="zh-CN"/>
        </w:rPr>
        <w:t>1</w:t>
      </w:r>
      <w:r w:rsidRPr="003608B8">
        <w:rPr>
          <w:rFonts w:ascii="宋体" w:hAnsi="Calibri" w:cs="宋体" w:hint="eastAsia"/>
          <w:szCs w:val="21"/>
          <w:lang w:eastAsia="zh-CN"/>
        </w:rPr>
        <w:t>）全面性原则。</w:t>
      </w:r>
      <w:r w:rsidRPr="003608B8">
        <w:rPr>
          <w:rFonts w:ascii="宋体" w:hAnsi="Calibri" w:cs="宋体" w:hint="eastAsia"/>
          <w:szCs w:val="21"/>
          <w:lang w:eastAsia="zh-CN"/>
        </w:rPr>
        <w:t>内部控制覆盖各项业务过程和操作环节、覆盖所有团队和岗位，并由全部人员参与。</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w:t>
      </w:r>
      <w:r w:rsidRPr="003608B8">
        <w:rPr>
          <w:rFonts w:ascii="宋体" w:hAnsi="Calibri" w:cs="宋体" w:hint="eastAsia"/>
          <w:szCs w:val="21"/>
          <w:lang w:eastAsia="zh-CN"/>
        </w:rPr>
        <w:t>2</w:t>
      </w:r>
      <w:r w:rsidRPr="003608B8">
        <w:rPr>
          <w:rFonts w:ascii="宋体" w:hAnsi="Calibri" w:cs="宋体" w:hint="eastAsia"/>
          <w:szCs w:val="21"/>
          <w:lang w:eastAsia="zh-CN"/>
        </w:rPr>
        <w:t>）审慎性原则。托管组织体系的构成、内部管理制度的建立均以防范风险、审慎经营为出发点，体现“内控优先”的要求。</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w:t>
      </w:r>
      <w:r w:rsidRPr="003608B8">
        <w:rPr>
          <w:rFonts w:ascii="宋体" w:hAnsi="Calibri" w:cs="宋体" w:hint="eastAsia"/>
          <w:szCs w:val="21"/>
          <w:lang w:eastAsia="zh-CN"/>
        </w:rPr>
        <w:t>3</w:t>
      </w:r>
      <w:r w:rsidRPr="003608B8">
        <w:rPr>
          <w:rFonts w:ascii="宋体" w:hAnsi="Calibri" w:cs="宋体" w:hint="eastAsia"/>
          <w:szCs w:val="21"/>
          <w:lang w:eastAsia="zh-CN"/>
        </w:rPr>
        <w:t>）独立性原则。招商银行资产托管部各团队、各岗位职责保持相对独立，不同托管资产之间、托管资产和自有资产之间相互分离。内部控制的检查、评价部门独立于内部控制的建立和执行部门。</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w:t>
      </w:r>
      <w:r w:rsidRPr="003608B8">
        <w:rPr>
          <w:rFonts w:ascii="宋体" w:hAnsi="Calibri" w:cs="宋体" w:hint="eastAsia"/>
          <w:szCs w:val="21"/>
          <w:lang w:eastAsia="zh-CN"/>
        </w:rPr>
        <w:t>4</w:t>
      </w:r>
      <w:r w:rsidRPr="003608B8">
        <w:rPr>
          <w:rFonts w:ascii="宋体" w:hAnsi="Calibri" w:cs="宋体" w:hint="eastAsia"/>
          <w:szCs w:val="21"/>
          <w:lang w:eastAsia="zh-CN"/>
        </w:rPr>
        <w:t>）有效性原则。内部控制有效性包含内部控制设计的有效性、内部控制执行的有效性。内部控制设计的有效性是指内部控制的设计覆盖了所有应关注的重要风险，</w:t>
      </w:r>
      <w:r w:rsidRPr="003608B8">
        <w:rPr>
          <w:rFonts w:ascii="宋体" w:hAnsi="Calibri" w:cs="宋体" w:hint="eastAsia"/>
          <w:szCs w:val="21"/>
          <w:lang w:eastAsia="zh-CN"/>
        </w:rPr>
        <w:t>且设计的风险应对措施适当。内部控制执行的有效性是指内部控制能够按照设计要求严格有效执行。</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w:t>
      </w:r>
      <w:r w:rsidRPr="003608B8">
        <w:rPr>
          <w:rFonts w:ascii="宋体" w:hAnsi="Calibri" w:cs="宋体" w:hint="eastAsia"/>
          <w:szCs w:val="21"/>
          <w:lang w:eastAsia="zh-CN"/>
        </w:rPr>
        <w:t>5</w:t>
      </w:r>
      <w:r w:rsidRPr="003608B8">
        <w:rPr>
          <w:rFonts w:ascii="宋体" w:hAnsi="Calibri" w:cs="宋体" w:hint="eastAsia"/>
          <w:szCs w:val="21"/>
          <w:lang w:eastAsia="zh-CN"/>
        </w:rPr>
        <w:t>）适应性原则。内部控制适应招商银行托管业务风险管理的需要，并能够随着托管业务经营战略、经营方针、经营理念等内部环境的变化和国家法律、法规、政策制度等外部环境的改变及时进行修订和完善。</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w:t>
      </w:r>
      <w:r w:rsidRPr="003608B8">
        <w:rPr>
          <w:rFonts w:ascii="宋体" w:hAnsi="Calibri" w:cs="宋体" w:hint="eastAsia"/>
          <w:szCs w:val="21"/>
          <w:lang w:eastAsia="zh-CN"/>
        </w:rPr>
        <w:t>6</w:t>
      </w:r>
      <w:r w:rsidRPr="003608B8">
        <w:rPr>
          <w:rFonts w:ascii="宋体" w:hAnsi="Calibri" w:cs="宋体" w:hint="eastAsia"/>
          <w:szCs w:val="21"/>
          <w:lang w:eastAsia="zh-CN"/>
        </w:rPr>
        <w:t>）防火墙原则。招商银行资产托管部办公场地与招商银行其他业务场地隔离，办公网和业务网物理分离，部门业务网和全行业务网防火墙策略分离，以达到风险防范的目的。</w:t>
      </w:r>
      <w:r w:rsidRPr="003608B8">
        <w:rPr>
          <w:rFonts w:ascii="宋体" w:hAnsi="Calibri" w:cs="宋体" w:hint="eastAsia"/>
          <w:szCs w:val="21"/>
          <w:lang w:eastAsia="zh-CN"/>
        </w:rPr>
        <w:t xml:space="preserve"> </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w:t>
      </w:r>
      <w:r w:rsidRPr="003608B8">
        <w:rPr>
          <w:rFonts w:ascii="宋体" w:hAnsi="Calibri" w:cs="宋体" w:hint="eastAsia"/>
          <w:szCs w:val="21"/>
          <w:lang w:eastAsia="zh-CN"/>
        </w:rPr>
        <w:t>7</w:t>
      </w:r>
      <w:r w:rsidRPr="003608B8">
        <w:rPr>
          <w:rFonts w:ascii="宋体" w:hAnsi="Calibri" w:cs="宋体" w:hint="eastAsia"/>
          <w:szCs w:val="21"/>
          <w:lang w:eastAsia="zh-CN"/>
        </w:rPr>
        <w:t>）重要性原则。内部控制在实现全面控制的基础上，关注重要托管业务重要事项和高风险环节。</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w:t>
      </w:r>
      <w:r w:rsidRPr="003608B8">
        <w:rPr>
          <w:rFonts w:ascii="宋体" w:hAnsi="Calibri" w:cs="宋体" w:hint="eastAsia"/>
          <w:szCs w:val="21"/>
          <w:lang w:eastAsia="zh-CN"/>
        </w:rPr>
        <w:t>8</w:t>
      </w:r>
      <w:r w:rsidRPr="003608B8">
        <w:rPr>
          <w:rFonts w:ascii="宋体" w:hAnsi="Calibri" w:cs="宋体" w:hint="eastAsia"/>
          <w:szCs w:val="21"/>
          <w:lang w:eastAsia="zh-CN"/>
        </w:rPr>
        <w:t>）制衡性原则。内部控制能够实现在托管组织体系、机构设置、权责分配及业务流程等方面相互制约、相互监督，同时兼顾运营效率。</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4</w:t>
      </w:r>
      <w:r w:rsidRPr="003608B8">
        <w:rPr>
          <w:rFonts w:ascii="宋体" w:hAnsi="Calibri" w:cs="宋体" w:hint="eastAsia"/>
          <w:szCs w:val="21"/>
          <w:lang w:eastAsia="zh-CN"/>
        </w:rPr>
        <w:t>、内部控制措施</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w:t>
      </w:r>
      <w:r w:rsidRPr="003608B8">
        <w:rPr>
          <w:rFonts w:ascii="宋体" w:hAnsi="Calibri" w:cs="宋体" w:hint="eastAsia"/>
          <w:szCs w:val="21"/>
          <w:lang w:eastAsia="zh-CN"/>
        </w:rPr>
        <w:t>1</w:t>
      </w:r>
      <w:r w:rsidRPr="003608B8">
        <w:rPr>
          <w:rFonts w:ascii="宋体" w:hAnsi="Calibri" w:cs="宋体" w:hint="eastAsia"/>
          <w:szCs w:val="21"/>
          <w:lang w:eastAsia="zh-CN"/>
        </w:rPr>
        <w:t>）完善的制度建设。招商银行资产托管部从资产托管业务内控管理、产品受理、会计核算、资金清算、岗位管理、档案管理和信息管理等方面制定一系列规章制度，建立了三层制度体系，即：基本规定、业务管理办法和业务操作规程。制度结构层次清晰、管理要求明确，满足风险管理全覆盖的要求，保证资产托管</w:t>
      </w:r>
      <w:r w:rsidRPr="003608B8">
        <w:rPr>
          <w:rFonts w:ascii="宋体" w:hAnsi="Calibri" w:cs="宋体" w:hint="eastAsia"/>
          <w:szCs w:val="21"/>
          <w:lang w:eastAsia="zh-CN"/>
        </w:rPr>
        <w:t>业务科学化、制度化、规范化运作。</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w:t>
      </w:r>
      <w:r w:rsidRPr="003608B8">
        <w:rPr>
          <w:rFonts w:ascii="宋体" w:hAnsi="Calibri" w:cs="宋体" w:hint="eastAsia"/>
          <w:szCs w:val="21"/>
          <w:lang w:eastAsia="zh-CN"/>
        </w:rPr>
        <w:t>2</w:t>
      </w:r>
      <w:r w:rsidRPr="003608B8">
        <w:rPr>
          <w:rFonts w:ascii="宋体" w:hAnsi="Calibri" w:cs="宋体" w:hint="eastAsia"/>
          <w:szCs w:val="21"/>
          <w:lang w:eastAsia="zh-CN"/>
        </w:rPr>
        <w:t>）业务信息风险控制。招商银行资产托管部在数据传输和保存方面有严格的加密和备份措施，采用加密、直连方式传输数据，数据执行异地实时备份，所有的业务信息须经过严格的授权方能进行访问。</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w:t>
      </w:r>
      <w:r w:rsidRPr="003608B8">
        <w:rPr>
          <w:rFonts w:ascii="宋体" w:hAnsi="Calibri" w:cs="宋体" w:hint="eastAsia"/>
          <w:szCs w:val="21"/>
          <w:lang w:eastAsia="zh-CN"/>
        </w:rPr>
        <w:t>3</w:t>
      </w:r>
      <w:r w:rsidRPr="003608B8">
        <w:rPr>
          <w:rFonts w:ascii="宋体" w:hAnsi="Calibri" w:cs="宋体" w:hint="eastAsia"/>
          <w:szCs w:val="21"/>
          <w:lang w:eastAsia="zh-CN"/>
        </w:rPr>
        <w:t>）客户资料风险控制。招商银行资产托管部对业务办理过程中获取的客户资料严格保密，除法律法规和其他有关规定、监管机构及审计要求外，不向任何机构、部门或个人泄露。</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w:t>
      </w:r>
      <w:r w:rsidRPr="003608B8">
        <w:rPr>
          <w:rFonts w:ascii="宋体" w:hAnsi="Calibri" w:cs="宋体" w:hint="eastAsia"/>
          <w:szCs w:val="21"/>
          <w:lang w:eastAsia="zh-CN"/>
        </w:rPr>
        <w:t>4</w:t>
      </w:r>
      <w:r w:rsidRPr="003608B8">
        <w:rPr>
          <w:rFonts w:ascii="宋体" w:hAnsi="Calibri" w:cs="宋体" w:hint="eastAsia"/>
          <w:szCs w:val="21"/>
          <w:lang w:eastAsia="zh-CN"/>
        </w:rPr>
        <w:t>）信息技术系统风险控制。招商银行对信息技术系统机房、权限管理实行双人双岗双责，电脑机房</w:t>
      </w:r>
      <w:r w:rsidRPr="003608B8">
        <w:rPr>
          <w:rFonts w:ascii="宋体" w:hAnsi="Calibri" w:cs="宋体" w:hint="eastAsia"/>
          <w:szCs w:val="21"/>
          <w:lang w:eastAsia="zh-CN"/>
        </w:rPr>
        <w:t>24</w:t>
      </w:r>
      <w:r w:rsidRPr="003608B8">
        <w:rPr>
          <w:rFonts w:ascii="宋体" w:hAnsi="Calibri" w:cs="宋体" w:hint="eastAsia"/>
          <w:szCs w:val="21"/>
          <w:lang w:eastAsia="zh-CN"/>
        </w:rPr>
        <w:t>小时值班并设置门禁，所有电脑设置密码及相</w:t>
      </w:r>
      <w:r w:rsidRPr="003608B8">
        <w:rPr>
          <w:rFonts w:ascii="宋体" w:hAnsi="Calibri" w:cs="宋体" w:hint="eastAsia"/>
          <w:szCs w:val="21"/>
          <w:lang w:eastAsia="zh-CN"/>
        </w:rPr>
        <w:t>应权限。业务网和办公网、托管业务网与全行业务网双分离制度，与外部业务机构实行防火墙保护，对信息技术系统采取两地三中心的应急备份管理措施等，保证信息技术系统的安全。</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w:t>
      </w:r>
      <w:r w:rsidRPr="003608B8">
        <w:rPr>
          <w:rFonts w:ascii="宋体" w:hAnsi="Calibri" w:cs="宋体" w:hint="eastAsia"/>
          <w:szCs w:val="21"/>
          <w:lang w:eastAsia="zh-CN"/>
        </w:rPr>
        <w:t>5</w:t>
      </w:r>
      <w:r w:rsidRPr="003608B8">
        <w:rPr>
          <w:rFonts w:ascii="宋体" w:hAnsi="Calibri" w:cs="宋体" w:hint="eastAsia"/>
          <w:szCs w:val="21"/>
          <w:lang w:eastAsia="zh-CN"/>
        </w:rPr>
        <w:t>）人力资源控制。招商银行资产托管部通过建立良好的企业文化和员工培训、激励机制、加强人力资源管理及建立人才梯级队伍及人才储备机制，有效地进行人力资源管理。</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五、基金托管人对基金管理人运作基金进行监督的方法和程序</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根据《中华人民共和国证券投资基金法》《公开募集证券投资基金运作管理办法》等有关法律法规的规定及基金合同、托管协议的约定，对基金投资范围</w:t>
      </w:r>
      <w:r w:rsidRPr="003608B8">
        <w:rPr>
          <w:rFonts w:ascii="宋体" w:hAnsi="Calibri" w:cs="宋体" w:hint="eastAsia"/>
          <w:szCs w:val="21"/>
          <w:lang w:eastAsia="zh-CN"/>
        </w:rPr>
        <w:t>、投资比例、投资组合等情况的合法性、合规性进行监督和核查。</w:t>
      </w:r>
    </w:p>
    <w:p w:rsidR="003608B8" w:rsidRP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在为基金投资运作所提供的基金清算和核算服务环节中，基金托管人对基金管理人发送的投资指令、基金管理人对各基金费用的提取与支付情况进行检查监督，对违反法律法规、基金合同的指令拒绝执行，并立即通知基金管理人。</w:t>
      </w:r>
    </w:p>
    <w:p w:rsidR="003608B8" w:rsidP="003608B8">
      <w:pPr>
        <w:spacing w:line="360" w:lineRule="auto"/>
        <w:ind w:firstLine="420"/>
        <w:rPr>
          <w:rFonts w:ascii="宋体" w:hAnsi="Calibri" w:cs="宋体"/>
          <w:szCs w:val="21"/>
          <w:lang w:eastAsia="zh-CN"/>
        </w:rPr>
      </w:pPr>
      <w:r w:rsidRPr="003608B8">
        <w:rPr>
          <w:rFonts w:ascii="宋体" w:hAnsi="Calibri" w:cs="宋体" w:hint="eastAsia"/>
          <w:szCs w:val="21"/>
          <w:lang w:eastAsia="zh-CN"/>
        </w:rPr>
        <w:t>基金托管人如发现基金管理人依据交易程序已经生效的投资指令违反法律、行政法规和其他有关规定，或者违反基金合同约定，及时以书面形式通知基金管理人进行整改，整改的时限应符合法律法规及基金合同允许的调整期限。基金管理人收到通知后应及时核对确认并以书面形式向</w:t>
      </w:r>
      <w:r w:rsidRPr="003608B8">
        <w:rPr>
          <w:rFonts w:ascii="宋体" w:hAnsi="Calibri" w:cs="宋体" w:hint="eastAsia"/>
          <w:szCs w:val="21"/>
          <w:lang w:eastAsia="zh-CN"/>
        </w:rPr>
        <w:t>基金托管人发出回函并改正。基金管理人对基金托管人通知的违规事项未能在限期内纠正的，基金托管人应报告中国证监会。</w:t>
      </w:r>
    </w:p>
    <w:p w:rsidR="004A090B">
      <w:pPr>
        <w:pStyle w:val="1110"/>
        <w:spacing w:before="317" w:after="317" w:line="360" w:lineRule="auto"/>
        <w:ind w:firstLine="640"/>
        <w:rPr>
          <w:rFonts w:ascii="宋体" w:eastAsia="宋体" w:hAnsi="Calibri" w:cs="宋体"/>
          <w:sz w:val="30"/>
          <w:szCs w:val="30"/>
          <w:lang w:eastAsia="zh-CN"/>
        </w:rPr>
      </w:pPr>
      <w:bookmarkStart w:id="1777" w:name="_Toc129511527"/>
      <w:bookmarkStart w:id="1778" w:name="_Toc332373481"/>
      <w:r>
        <w:rPr>
          <w:rFonts w:ascii="宋体" w:eastAsia="宋体" w:hAnsi="Calibri" w:cs="宋体" w:hint="eastAsia"/>
          <w:sz w:val="30"/>
          <w:szCs w:val="30"/>
          <w:lang w:eastAsia="zh-CN"/>
        </w:rPr>
        <w:t>第五部分</w:t>
      </w:r>
      <w:r>
        <w:rPr>
          <w:rFonts w:ascii="宋体" w:eastAsia="宋体" w:hAnsi="Calibri" w:cs="宋体"/>
          <w:sz w:val="30"/>
          <w:szCs w:val="30"/>
          <w:lang w:eastAsia="zh-CN"/>
        </w:rPr>
        <w:t xml:space="preserve"> </w:t>
      </w:r>
      <w:r>
        <w:rPr>
          <w:rFonts w:ascii="宋体" w:eastAsia="宋体" w:hAnsi="Calibri" w:cs="宋体" w:hint="eastAsia"/>
          <w:sz w:val="30"/>
          <w:szCs w:val="30"/>
          <w:lang w:eastAsia="zh-CN"/>
        </w:rPr>
        <w:t>相关服务机构</w:t>
      </w:r>
      <w:bookmarkEnd w:id="1777"/>
      <w:bookmarkEnd w:id="1778"/>
    </w:p>
    <w:p w:rsidR="004A090B">
      <w:pPr>
        <w:spacing w:line="360" w:lineRule="auto"/>
        <w:ind w:firstLine="420"/>
        <w:rPr>
          <w:rStyle w:val="da"/>
          <w:rFonts w:ascii="宋体" w:hAnsi="Calibri" w:cs="宋体"/>
          <w:szCs w:val="21"/>
          <w:lang w:eastAsia="zh-CN"/>
        </w:rPr>
      </w:pPr>
      <w:bookmarkStart w:id="1779" w:name="_Toc332373482"/>
      <w:r>
        <w:rPr>
          <w:rStyle w:val="da"/>
          <w:rFonts w:ascii="宋体" w:hAnsi="Calibri" w:cs="宋体" w:hint="eastAsia"/>
          <w:szCs w:val="21"/>
          <w:lang w:eastAsia="zh-CN"/>
        </w:rPr>
        <w:t>一、基金份额发售机构</w:t>
      </w:r>
      <w:bookmarkEnd w:id="1779"/>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1</w:t>
      </w:r>
      <w:r>
        <w:rPr>
          <w:rStyle w:val="da"/>
          <w:rFonts w:ascii="宋体" w:hAnsi="Calibri" w:cs="宋体" w:hint="eastAsia"/>
          <w:szCs w:val="21"/>
          <w:lang w:eastAsia="zh-CN"/>
        </w:rPr>
        <w:t>、直销机构：易方达基金管理有限公司</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注册地址：</w:t>
      </w:r>
      <w:r>
        <w:rPr>
          <w:rFonts w:ascii="宋体" w:hAnsi="Calibri" w:cs="宋体"/>
          <w:color w:val="000000"/>
          <w:szCs w:val="21"/>
          <w:lang w:eastAsia="zh-CN"/>
        </w:rPr>
        <w:t>广东省珠海市横琴新区荣粤道</w:t>
      </w:r>
      <w:r>
        <w:rPr>
          <w:rFonts w:ascii="宋体" w:hAnsi="Calibri" w:cs="宋体"/>
          <w:color w:val="000000"/>
          <w:szCs w:val="21"/>
          <w:lang w:eastAsia="zh-CN"/>
        </w:rPr>
        <w:t>188</w:t>
      </w:r>
      <w:r>
        <w:rPr>
          <w:rFonts w:ascii="宋体" w:hAnsi="Calibri" w:cs="宋体"/>
          <w:color w:val="000000"/>
          <w:szCs w:val="21"/>
          <w:lang w:eastAsia="zh-CN"/>
        </w:rPr>
        <w:t>号</w:t>
      </w:r>
      <w:r>
        <w:rPr>
          <w:rFonts w:ascii="宋体" w:hAnsi="Calibri" w:cs="宋体"/>
          <w:color w:val="000000"/>
          <w:szCs w:val="21"/>
          <w:lang w:eastAsia="zh-CN"/>
        </w:rPr>
        <w:t>6</w:t>
      </w:r>
      <w:r>
        <w:rPr>
          <w:rFonts w:ascii="宋体" w:hAnsi="Calibri" w:cs="宋体"/>
          <w:color w:val="000000"/>
          <w:szCs w:val="21"/>
          <w:lang w:eastAsia="zh-CN"/>
        </w:rPr>
        <w:t>层</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办公地址：广东省广州市天河区珠江西路</w:t>
      </w:r>
      <w:r>
        <w:rPr>
          <w:rStyle w:val="da"/>
          <w:rFonts w:ascii="宋体" w:hAnsi="Calibri" w:cs="宋体" w:hint="eastAsia"/>
          <w:szCs w:val="21"/>
          <w:lang w:eastAsia="zh-CN"/>
        </w:rPr>
        <w:t>21</w:t>
      </w:r>
      <w:r>
        <w:rPr>
          <w:rStyle w:val="da"/>
          <w:rFonts w:ascii="宋体" w:hAnsi="Calibri" w:cs="宋体" w:hint="eastAsia"/>
          <w:szCs w:val="21"/>
          <w:lang w:eastAsia="zh-CN"/>
        </w:rPr>
        <w:t>号</w:t>
      </w:r>
      <w:r>
        <w:rPr>
          <w:rStyle w:val="da"/>
          <w:rFonts w:ascii="宋体" w:hAnsi="Calibri" w:cs="宋体" w:hint="eastAsia"/>
          <w:szCs w:val="21"/>
          <w:lang w:eastAsia="zh-CN"/>
        </w:rPr>
        <w:t>52</w:t>
      </w:r>
      <w:r>
        <w:rPr>
          <w:rStyle w:val="da"/>
          <w:rFonts w:ascii="宋体" w:hAnsi="Calibri" w:cs="宋体" w:hint="eastAsia"/>
          <w:szCs w:val="21"/>
          <w:lang w:eastAsia="zh-CN"/>
        </w:rPr>
        <w:t>层；广东省广州市天河区珠江东路</w:t>
      </w:r>
      <w:r>
        <w:rPr>
          <w:rStyle w:val="da"/>
          <w:rFonts w:ascii="宋体" w:hAnsi="Calibri" w:cs="宋体" w:hint="eastAsia"/>
          <w:szCs w:val="21"/>
          <w:lang w:eastAsia="zh-CN"/>
        </w:rPr>
        <w:t>30</w:t>
      </w:r>
      <w:r>
        <w:rPr>
          <w:rStyle w:val="da"/>
          <w:rFonts w:ascii="宋体" w:hAnsi="Calibri" w:cs="宋体" w:hint="eastAsia"/>
          <w:szCs w:val="21"/>
          <w:lang w:eastAsia="zh-CN"/>
        </w:rPr>
        <w:t>号</w:t>
      </w:r>
      <w:r>
        <w:rPr>
          <w:rStyle w:val="da"/>
          <w:rFonts w:ascii="宋体" w:hAnsi="Calibri" w:cs="宋体" w:hint="eastAsia"/>
          <w:szCs w:val="21"/>
          <w:lang w:eastAsia="zh-CN"/>
        </w:rPr>
        <w:t>42</w:t>
      </w:r>
      <w:r>
        <w:rPr>
          <w:rStyle w:val="da"/>
          <w:rFonts w:ascii="宋体" w:hAnsi="Calibri" w:cs="宋体" w:hint="eastAsia"/>
          <w:szCs w:val="21"/>
          <w:lang w:eastAsia="zh-CN"/>
        </w:rPr>
        <w:t>层；广东省珠海市横琴新区荣粤道</w:t>
      </w:r>
      <w:r>
        <w:rPr>
          <w:rStyle w:val="da"/>
          <w:rFonts w:ascii="宋体" w:hAnsi="Calibri" w:cs="宋体" w:hint="eastAsia"/>
          <w:szCs w:val="21"/>
          <w:lang w:eastAsia="zh-CN"/>
        </w:rPr>
        <w:t>188</w:t>
      </w:r>
      <w:r>
        <w:rPr>
          <w:rStyle w:val="da"/>
          <w:rFonts w:ascii="宋体" w:hAnsi="Calibri" w:cs="宋体" w:hint="eastAsia"/>
          <w:szCs w:val="21"/>
          <w:lang w:eastAsia="zh-CN"/>
        </w:rPr>
        <w:t>号</w:t>
      </w:r>
      <w:r>
        <w:rPr>
          <w:rStyle w:val="da"/>
          <w:rFonts w:ascii="宋体" w:hAnsi="Calibri" w:cs="宋体" w:hint="eastAsia"/>
          <w:szCs w:val="21"/>
          <w:lang w:eastAsia="zh-CN"/>
        </w:rPr>
        <w:t>6</w:t>
      </w:r>
      <w:r>
        <w:rPr>
          <w:rStyle w:val="da"/>
          <w:rFonts w:ascii="宋体" w:hAnsi="Calibri" w:cs="宋体" w:hint="eastAsia"/>
          <w:szCs w:val="21"/>
          <w:lang w:eastAsia="zh-CN"/>
        </w:rPr>
        <w:t>层</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法定代表人：吴欣荣</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电话：</w:t>
      </w:r>
      <w:r>
        <w:rPr>
          <w:rStyle w:val="da"/>
          <w:rFonts w:ascii="宋体" w:hAnsi="Calibri" w:cs="宋体" w:hint="eastAsia"/>
          <w:szCs w:val="21"/>
          <w:lang w:eastAsia="zh-CN"/>
        </w:rPr>
        <w:t>020-85102506</w:t>
      </w:r>
    </w:p>
    <w:p w:rsidR="004A090B">
      <w:pPr>
        <w:spacing w:line="360" w:lineRule="auto"/>
        <w:ind w:firstLine="420"/>
        <w:rPr>
          <w:rStyle w:val="da"/>
          <w:rFonts w:ascii="宋体" w:hAnsi="Calibri" w:cs="宋体"/>
          <w:szCs w:val="21"/>
        </w:rPr>
      </w:pPr>
      <w:r>
        <w:rPr>
          <w:rStyle w:val="da"/>
          <w:rFonts w:ascii="宋体" w:hAnsi="Calibri" w:cs="宋体" w:hint="eastAsia"/>
          <w:szCs w:val="21"/>
        </w:rPr>
        <w:t>传真：</w:t>
      </w:r>
      <w:r>
        <w:rPr>
          <w:rStyle w:val="da"/>
          <w:rFonts w:ascii="宋体" w:hAnsi="Calibri" w:cs="宋体" w:hint="eastAsia"/>
          <w:szCs w:val="21"/>
        </w:rPr>
        <w:t>4008818099</w:t>
      </w:r>
    </w:p>
    <w:p w:rsidR="004A090B">
      <w:pPr>
        <w:spacing w:line="360" w:lineRule="auto"/>
        <w:ind w:firstLine="420"/>
        <w:rPr>
          <w:rStyle w:val="da"/>
          <w:rFonts w:ascii="宋体" w:hAnsi="Calibri" w:cs="宋体"/>
          <w:szCs w:val="21"/>
        </w:rPr>
      </w:pPr>
      <w:r>
        <w:rPr>
          <w:rStyle w:val="da"/>
          <w:rFonts w:ascii="宋体" w:hAnsi="Calibri" w:cs="宋体" w:hint="eastAsia"/>
          <w:szCs w:val="21"/>
        </w:rPr>
        <w:t>联系人：梁美</w:t>
      </w:r>
    </w:p>
    <w:p w:rsidR="004A090B">
      <w:pPr>
        <w:spacing w:line="360" w:lineRule="auto"/>
        <w:ind w:firstLine="420"/>
        <w:rPr>
          <w:rStyle w:val="da"/>
          <w:rFonts w:ascii="宋体" w:hAnsi="Calibri" w:cs="宋体"/>
          <w:szCs w:val="21"/>
        </w:rPr>
      </w:pPr>
      <w:r>
        <w:rPr>
          <w:rStyle w:val="da"/>
          <w:rFonts w:ascii="宋体" w:hAnsi="Calibri" w:cs="宋体" w:hint="eastAsia"/>
          <w:szCs w:val="21"/>
        </w:rPr>
        <w:t>网址：</w:t>
      </w:r>
      <w:hyperlink r:id="rId15" w:history="1">
        <w:r>
          <w:rPr>
            <w:rStyle w:val="da"/>
            <w:rFonts w:ascii="宋体" w:hAnsi="Calibri" w:cs="宋体" w:hint="eastAsia"/>
            <w:szCs w:val="21"/>
          </w:rPr>
          <w:t>www.efunds.com.cn</w:t>
        </w:r>
      </w:hyperlink>
    </w:p>
    <w:p w:rsidR="004A090B">
      <w:pPr>
        <w:spacing w:line="360" w:lineRule="auto"/>
        <w:ind w:firstLine="420"/>
        <w:rPr>
          <w:rFonts w:ascii="宋体" w:hAnsi="Calibri"/>
          <w:szCs w:val="21"/>
          <w:lang w:eastAsia="zh-CN"/>
        </w:rPr>
      </w:pPr>
      <w:r>
        <w:rPr>
          <w:rFonts w:ascii="宋体" w:hAnsi="Calibri" w:cs="宋体"/>
          <w:color w:val="000000"/>
          <w:szCs w:val="21"/>
          <w:lang w:eastAsia="zh-CN"/>
        </w:rPr>
        <w:t>直销机构网点信息：</w:t>
      </w:r>
    </w:p>
    <w:p w:rsidR="004A090B">
      <w:pPr>
        <w:spacing w:line="360" w:lineRule="auto"/>
        <w:ind w:firstLine="420"/>
        <w:rPr>
          <w:rFonts w:ascii="宋体" w:hAnsi="Calibri"/>
          <w:szCs w:val="21"/>
          <w:lang w:eastAsia="zh-CN"/>
        </w:rPr>
      </w:pPr>
      <w:r>
        <w:rPr>
          <w:rFonts w:ascii="宋体" w:hAnsi="Calibri" w:cs="宋体"/>
          <w:color w:val="000000"/>
          <w:szCs w:val="21"/>
          <w:lang w:eastAsia="zh-CN"/>
        </w:rPr>
        <w:t>本公司直销中心和网上直销系统销售本基金</w:t>
      </w:r>
      <w:r>
        <w:rPr>
          <w:rFonts w:ascii="宋体" w:hAnsi="Calibri" w:cs="宋体" w:hint="eastAsia"/>
          <w:color w:val="000000"/>
          <w:szCs w:val="21"/>
          <w:lang w:eastAsia="zh-CN"/>
        </w:rPr>
        <w:t>A</w:t>
      </w:r>
      <w:r>
        <w:rPr>
          <w:rFonts w:ascii="宋体" w:hAnsi="Calibri" w:cs="宋体" w:hint="eastAsia"/>
          <w:color w:val="000000"/>
          <w:szCs w:val="21"/>
          <w:lang w:eastAsia="zh-CN"/>
        </w:rPr>
        <w:t>类基金份额，若后续销售本基金</w:t>
      </w:r>
      <w:r>
        <w:rPr>
          <w:rFonts w:ascii="宋体" w:hAnsi="Calibri" w:cs="宋体" w:hint="eastAsia"/>
          <w:color w:val="000000"/>
          <w:szCs w:val="21"/>
          <w:lang w:eastAsia="zh-CN"/>
        </w:rPr>
        <w:t>C</w:t>
      </w:r>
      <w:r>
        <w:rPr>
          <w:rFonts w:ascii="宋体" w:hAnsi="Calibri" w:cs="宋体" w:hint="eastAsia"/>
          <w:color w:val="000000"/>
          <w:szCs w:val="21"/>
          <w:lang w:eastAsia="zh-CN"/>
        </w:rPr>
        <w:t>类基金份额，将另行公告</w:t>
      </w:r>
      <w:r>
        <w:rPr>
          <w:rFonts w:ascii="宋体" w:hAnsi="Calibri" w:cs="宋体"/>
          <w:color w:val="000000"/>
          <w:szCs w:val="21"/>
          <w:lang w:eastAsia="zh-CN"/>
        </w:rPr>
        <w:t>，网点具体信息详见本公司网站。</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2</w:t>
      </w:r>
      <w:r>
        <w:rPr>
          <w:rStyle w:val="da"/>
          <w:rFonts w:ascii="宋体" w:hAnsi="Calibri" w:cs="宋体" w:hint="eastAsia"/>
          <w:szCs w:val="21"/>
          <w:lang w:eastAsia="zh-CN"/>
        </w:rPr>
        <w:t>、非直销销售机构</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详见基金份额发售公告。</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基金管理人可根据情况变更或增减销售机构并在基金管理人网站公示。</w:t>
      </w:r>
    </w:p>
    <w:p w:rsidR="004A090B">
      <w:pPr>
        <w:spacing w:line="360" w:lineRule="auto"/>
        <w:ind w:firstLine="420"/>
        <w:rPr>
          <w:rStyle w:val="da"/>
          <w:rFonts w:ascii="宋体" w:hAnsi="Calibri" w:cs="宋体"/>
          <w:szCs w:val="21"/>
          <w:lang w:eastAsia="zh-CN"/>
        </w:rPr>
      </w:pPr>
      <w:bookmarkStart w:id="1780" w:name="_Toc332373483"/>
      <w:r>
        <w:rPr>
          <w:rStyle w:val="da"/>
          <w:rFonts w:ascii="宋体" w:hAnsi="Calibri" w:cs="宋体" w:hint="eastAsia"/>
          <w:szCs w:val="21"/>
          <w:lang w:eastAsia="zh-CN"/>
        </w:rPr>
        <w:t>二、</w:t>
      </w:r>
      <w:bookmarkEnd w:id="1780"/>
      <w:r>
        <w:rPr>
          <w:rStyle w:val="da"/>
          <w:rFonts w:ascii="宋体" w:hAnsi="Calibri" w:cs="宋体" w:hint="eastAsia"/>
          <w:szCs w:val="21"/>
          <w:lang w:eastAsia="zh-CN"/>
        </w:rPr>
        <w:t>登记机构</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名称：易方达基金管理有限公司</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注册地址：</w:t>
      </w:r>
      <w:r>
        <w:rPr>
          <w:rFonts w:ascii="宋体" w:hAnsi="Calibri" w:cs="宋体"/>
          <w:color w:val="000000"/>
          <w:szCs w:val="21"/>
          <w:lang w:eastAsia="zh-CN"/>
        </w:rPr>
        <w:t>广东省珠海市横琴新区荣粤道</w:t>
      </w:r>
      <w:r>
        <w:rPr>
          <w:rFonts w:ascii="宋体" w:hAnsi="Calibri" w:cs="宋体"/>
          <w:color w:val="000000"/>
          <w:szCs w:val="21"/>
          <w:lang w:eastAsia="zh-CN"/>
        </w:rPr>
        <w:t>188</w:t>
      </w:r>
      <w:r>
        <w:rPr>
          <w:rFonts w:ascii="宋体" w:hAnsi="Calibri" w:cs="宋体"/>
          <w:color w:val="000000"/>
          <w:szCs w:val="21"/>
          <w:lang w:eastAsia="zh-CN"/>
        </w:rPr>
        <w:t>号</w:t>
      </w:r>
      <w:r>
        <w:rPr>
          <w:rFonts w:ascii="宋体" w:hAnsi="Calibri" w:cs="宋体"/>
          <w:color w:val="000000"/>
          <w:szCs w:val="21"/>
          <w:lang w:eastAsia="zh-CN"/>
        </w:rPr>
        <w:t>6</w:t>
      </w:r>
      <w:r>
        <w:rPr>
          <w:rFonts w:ascii="宋体" w:hAnsi="Calibri" w:cs="宋体"/>
          <w:color w:val="000000"/>
          <w:szCs w:val="21"/>
          <w:lang w:eastAsia="zh-CN"/>
        </w:rPr>
        <w:t>层</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办公</w:t>
      </w:r>
      <w:r>
        <w:rPr>
          <w:rStyle w:val="da"/>
          <w:rFonts w:ascii="宋体" w:hAnsi="Calibri" w:cs="宋体" w:hint="eastAsia"/>
          <w:szCs w:val="21"/>
          <w:lang w:eastAsia="zh-CN"/>
        </w:rPr>
        <w:t>地址：广东省广州市天河区珠江西路</w:t>
      </w:r>
      <w:r>
        <w:rPr>
          <w:rStyle w:val="da"/>
          <w:rFonts w:ascii="宋体" w:hAnsi="Calibri" w:cs="宋体" w:hint="eastAsia"/>
          <w:szCs w:val="21"/>
          <w:lang w:eastAsia="zh-CN"/>
        </w:rPr>
        <w:t>21</w:t>
      </w:r>
      <w:r>
        <w:rPr>
          <w:rStyle w:val="da"/>
          <w:rFonts w:ascii="宋体" w:hAnsi="Calibri" w:cs="宋体" w:hint="eastAsia"/>
          <w:szCs w:val="21"/>
          <w:lang w:eastAsia="zh-CN"/>
        </w:rPr>
        <w:t>号</w:t>
      </w:r>
      <w:r>
        <w:rPr>
          <w:rStyle w:val="da"/>
          <w:rFonts w:ascii="宋体" w:hAnsi="Calibri" w:cs="宋体" w:hint="eastAsia"/>
          <w:szCs w:val="21"/>
          <w:lang w:eastAsia="zh-CN"/>
        </w:rPr>
        <w:t>52</w:t>
      </w:r>
      <w:r>
        <w:rPr>
          <w:rStyle w:val="da"/>
          <w:rFonts w:ascii="宋体" w:hAnsi="Calibri" w:cs="宋体" w:hint="eastAsia"/>
          <w:szCs w:val="21"/>
          <w:lang w:eastAsia="zh-CN"/>
        </w:rPr>
        <w:t>层；广东省广州市天河区珠江东路</w:t>
      </w:r>
      <w:r>
        <w:rPr>
          <w:rStyle w:val="da"/>
          <w:rFonts w:ascii="宋体" w:hAnsi="Calibri" w:cs="宋体" w:hint="eastAsia"/>
          <w:szCs w:val="21"/>
          <w:lang w:eastAsia="zh-CN"/>
        </w:rPr>
        <w:t>30</w:t>
      </w:r>
      <w:r>
        <w:rPr>
          <w:rStyle w:val="da"/>
          <w:rFonts w:ascii="宋体" w:hAnsi="Calibri" w:cs="宋体" w:hint="eastAsia"/>
          <w:szCs w:val="21"/>
          <w:lang w:eastAsia="zh-CN"/>
        </w:rPr>
        <w:t>号</w:t>
      </w:r>
      <w:r>
        <w:rPr>
          <w:rStyle w:val="da"/>
          <w:rFonts w:ascii="宋体" w:hAnsi="Calibri" w:cs="宋体" w:hint="eastAsia"/>
          <w:szCs w:val="21"/>
          <w:lang w:eastAsia="zh-CN"/>
        </w:rPr>
        <w:t>42</w:t>
      </w:r>
      <w:r>
        <w:rPr>
          <w:rStyle w:val="da"/>
          <w:rFonts w:ascii="宋体" w:hAnsi="Calibri" w:cs="宋体" w:hint="eastAsia"/>
          <w:szCs w:val="21"/>
          <w:lang w:eastAsia="zh-CN"/>
        </w:rPr>
        <w:t>层；广东省珠海市横琴新区荣粤道</w:t>
      </w:r>
      <w:r>
        <w:rPr>
          <w:rStyle w:val="da"/>
          <w:rFonts w:ascii="宋体" w:hAnsi="Calibri" w:cs="宋体" w:hint="eastAsia"/>
          <w:szCs w:val="21"/>
          <w:lang w:eastAsia="zh-CN"/>
        </w:rPr>
        <w:t>188</w:t>
      </w:r>
      <w:r>
        <w:rPr>
          <w:rStyle w:val="da"/>
          <w:rFonts w:ascii="宋体" w:hAnsi="Calibri" w:cs="宋体" w:hint="eastAsia"/>
          <w:szCs w:val="21"/>
          <w:lang w:eastAsia="zh-CN"/>
        </w:rPr>
        <w:t>号</w:t>
      </w:r>
      <w:r>
        <w:rPr>
          <w:rStyle w:val="da"/>
          <w:rFonts w:ascii="宋体" w:hAnsi="Calibri" w:cs="宋体" w:hint="eastAsia"/>
          <w:szCs w:val="21"/>
          <w:lang w:eastAsia="zh-CN"/>
        </w:rPr>
        <w:t>6</w:t>
      </w:r>
      <w:r>
        <w:rPr>
          <w:rStyle w:val="da"/>
          <w:rFonts w:ascii="宋体" w:hAnsi="Calibri" w:cs="宋体" w:hint="eastAsia"/>
          <w:szCs w:val="21"/>
          <w:lang w:eastAsia="zh-CN"/>
        </w:rPr>
        <w:t>层</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法定代表人：吴欣荣</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电话：</w:t>
      </w:r>
      <w:r>
        <w:rPr>
          <w:rStyle w:val="da"/>
          <w:rFonts w:ascii="宋体" w:hAnsi="Calibri" w:cs="宋体" w:hint="eastAsia"/>
          <w:szCs w:val="21"/>
          <w:lang w:eastAsia="zh-CN"/>
        </w:rPr>
        <w:t>4008818088</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传真：</w:t>
      </w:r>
      <w:r>
        <w:rPr>
          <w:rStyle w:val="da"/>
          <w:rFonts w:ascii="宋体" w:hAnsi="Calibri" w:cs="宋体"/>
          <w:szCs w:val="21"/>
          <w:lang w:eastAsia="zh-CN"/>
        </w:rPr>
        <w:t>020</w:t>
      </w:r>
      <w:r>
        <w:rPr>
          <w:rStyle w:val="da"/>
          <w:rFonts w:ascii="宋体" w:hAnsi="Calibri" w:cs="宋体" w:hint="eastAsia"/>
          <w:szCs w:val="21"/>
          <w:lang w:eastAsia="zh-CN"/>
        </w:rPr>
        <w:t>-38799249</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联系人：余贤高</w:t>
      </w:r>
    </w:p>
    <w:p w:rsidR="004A090B">
      <w:pPr>
        <w:spacing w:line="360" w:lineRule="auto"/>
        <w:ind w:firstLine="420"/>
        <w:rPr>
          <w:rStyle w:val="da"/>
          <w:rFonts w:ascii="宋体" w:hAnsi="Calibri" w:cs="宋体"/>
          <w:szCs w:val="21"/>
          <w:lang w:eastAsia="zh-CN"/>
        </w:rPr>
      </w:pPr>
      <w:bookmarkStart w:id="1781" w:name="_Toc332373484"/>
      <w:r>
        <w:rPr>
          <w:rStyle w:val="da"/>
          <w:rFonts w:ascii="宋体" w:hAnsi="Calibri" w:cs="宋体" w:hint="eastAsia"/>
          <w:szCs w:val="21"/>
          <w:lang w:eastAsia="zh-CN"/>
        </w:rPr>
        <w:t>三、律师事务所和经办律师</w:t>
      </w:r>
      <w:bookmarkEnd w:id="1781"/>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律师事务所：广东金桥百信律师事务所</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住所：广东省广州市天河区珠江东路</w:t>
      </w:r>
      <w:r>
        <w:rPr>
          <w:rStyle w:val="da"/>
          <w:rFonts w:ascii="宋体" w:hAnsi="Calibri" w:cs="宋体" w:hint="eastAsia"/>
          <w:szCs w:val="21"/>
          <w:lang w:eastAsia="zh-CN"/>
        </w:rPr>
        <w:t>16</w:t>
      </w:r>
      <w:r>
        <w:rPr>
          <w:rStyle w:val="da"/>
          <w:rFonts w:ascii="宋体" w:hAnsi="Calibri" w:cs="宋体" w:hint="eastAsia"/>
          <w:szCs w:val="21"/>
          <w:lang w:eastAsia="zh-CN"/>
        </w:rPr>
        <w:t>号</w:t>
      </w:r>
      <w:r>
        <w:rPr>
          <w:rStyle w:val="da"/>
          <w:rFonts w:ascii="宋体" w:hAnsi="Calibri" w:cs="宋体" w:hint="eastAsia"/>
          <w:szCs w:val="21"/>
          <w:lang w:eastAsia="zh-CN"/>
        </w:rPr>
        <w:t>24-26</w:t>
      </w:r>
      <w:r>
        <w:rPr>
          <w:rStyle w:val="da"/>
          <w:rFonts w:ascii="宋体" w:hAnsi="Calibri" w:cs="宋体" w:hint="eastAsia"/>
          <w:szCs w:val="21"/>
          <w:lang w:eastAsia="zh-CN"/>
        </w:rPr>
        <w:t>层</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办公地址：广州市珠江新城珠江东路</w:t>
      </w:r>
      <w:r>
        <w:rPr>
          <w:rStyle w:val="da"/>
          <w:rFonts w:ascii="宋体" w:hAnsi="Calibri" w:cs="宋体" w:hint="eastAsia"/>
          <w:szCs w:val="21"/>
          <w:lang w:eastAsia="zh-CN"/>
        </w:rPr>
        <w:t>16</w:t>
      </w:r>
      <w:r>
        <w:rPr>
          <w:rStyle w:val="da"/>
          <w:rFonts w:ascii="宋体" w:hAnsi="Calibri" w:cs="宋体" w:hint="eastAsia"/>
          <w:szCs w:val="21"/>
          <w:lang w:eastAsia="zh-CN"/>
        </w:rPr>
        <w:t>号高德置地冬广场</w:t>
      </w:r>
      <w:r>
        <w:rPr>
          <w:rStyle w:val="da"/>
          <w:rFonts w:ascii="宋体" w:hAnsi="Calibri" w:cs="宋体" w:hint="eastAsia"/>
          <w:szCs w:val="21"/>
          <w:lang w:eastAsia="zh-CN"/>
        </w:rPr>
        <w:t>G</w:t>
      </w:r>
      <w:r>
        <w:rPr>
          <w:rStyle w:val="da"/>
          <w:rFonts w:ascii="宋体" w:hAnsi="Calibri" w:cs="宋体" w:hint="eastAsia"/>
          <w:szCs w:val="21"/>
          <w:lang w:eastAsia="zh-CN"/>
        </w:rPr>
        <w:t>座</w:t>
      </w:r>
      <w:r>
        <w:rPr>
          <w:rStyle w:val="da"/>
          <w:rFonts w:ascii="宋体" w:hAnsi="Calibri" w:cs="宋体" w:hint="eastAsia"/>
          <w:szCs w:val="21"/>
          <w:lang w:eastAsia="zh-CN"/>
        </w:rPr>
        <w:t>26</w:t>
      </w:r>
      <w:r>
        <w:rPr>
          <w:rStyle w:val="da"/>
          <w:rFonts w:ascii="宋体" w:hAnsi="Calibri" w:cs="宋体" w:hint="eastAsia"/>
          <w:szCs w:val="21"/>
          <w:lang w:eastAsia="zh-CN"/>
        </w:rPr>
        <w:t>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负责人：</w:t>
      </w:r>
      <w:r>
        <w:rPr>
          <w:rStyle w:val="da"/>
          <w:rFonts w:ascii="宋体" w:hAnsi="Calibri" w:hint="eastAsia"/>
          <w:lang w:eastAsia="zh-CN"/>
        </w:rPr>
        <w:t>莫哲</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电话：</w:t>
      </w:r>
      <w:r>
        <w:rPr>
          <w:rStyle w:val="da"/>
          <w:rFonts w:ascii="宋体" w:hAnsi="Calibri" w:cs="宋体"/>
          <w:szCs w:val="21"/>
          <w:lang w:eastAsia="zh-CN"/>
        </w:rPr>
        <w:t>020-83338668</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传真：</w:t>
      </w:r>
      <w:r>
        <w:rPr>
          <w:rStyle w:val="da"/>
          <w:rFonts w:ascii="宋体" w:hAnsi="Calibri" w:cs="宋体"/>
          <w:szCs w:val="21"/>
          <w:lang w:eastAsia="zh-CN"/>
        </w:rPr>
        <w:t>020-83338088</w:t>
      </w:r>
    </w:p>
    <w:p w:rsidR="004A090B">
      <w:pPr>
        <w:spacing w:line="360" w:lineRule="auto"/>
        <w:ind w:firstLine="420"/>
        <w:rPr>
          <w:rStyle w:val="da"/>
          <w:rFonts w:ascii="宋体" w:hAnsi="Calibri"/>
          <w:lang w:eastAsia="zh-CN"/>
        </w:rPr>
      </w:pPr>
      <w:r>
        <w:rPr>
          <w:rStyle w:val="da"/>
          <w:rFonts w:ascii="宋体" w:hAnsi="Calibri" w:hint="eastAsia"/>
          <w:lang w:eastAsia="zh-CN"/>
        </w:rPr>
        <w:t>经办律师：郭东雪、李海滢</w:t>
      </w:r>
    </w:p>
    <w:p w:rsidR="004A090B">
      <w:pPr>
        <w:spacing w:line="360" w:lineRule="auto"/>
        <w:ind w:firstLine="420"/>
        <w:rPr>
          <w:rStyle w:val="da"/>
          <w:rFonts w:ascii="宋体" w:hAnsi="Calibri" w:cs="宋体"/>
          <w:szCs w:val="21"/>
          <w:lang w:eastAsia="zh-CN"/>
        </w:rPr>
      </w:pPr>
      <w:r>
        <w:rPr>
          <w:rStyle w:val="da"/>
          <w:rFonts w:ascii="宋体" w:hAnsi="Calibri" w:hint="eastAsia"/>
          <w:lang w:eastAsia="zh-CN"/>
        </w:rPr>
        <w:t>联系人：李海滢</w:t>
      </w:r>
      <w:bookmarkStart w:id="1782" w:name="_Toc332373485"/>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四、会计师事务所</w:t>
      </w:r>
    </w:p>
    <w:p w:rsidR="002929D1" w:rsidRPr="002929D1" w:rsidP="002929D1">
      <w:pPr>
        <w:spacing w:line="360" w:lineRule="auto"/>
        <w:ind w:firstLine="420"/>
        <w:rPr>
          <w:rStyle w:val="da"/>
          <w:rFonts w:ascii="宋体" w:hAnsi="Calibri" w:cs="宋体"/>
          <w:szCs w:val="21"/>
          <w:lang w:eastAsia="zh-CN"/>
        </w:rPr>
      </w:pPr>
      <w:r w:rsidRPr="002929D1">
        <w:rPr>
          <w:rStyle w:val="da"/>
          <w:rFonts w:ascii="宋体" w:hAnsi="Calibri" w:cs="宋体" w:hint="eastAsia"/>
          <w:szCs w:val="21"/>
          <w:lang w:eastAsia="zh-CN"/>
        </w:rPr>
        <w:t>会计师事务所：德勤华永会计师事务所（特殊普通合伙）</w:t>
      </w:r>
    </w:p>
    <w:p w:rsidR="002929D1" w:rsidRPr="002929D1" w:rsidP="002929D1">
      <w:pPr>
        <w:spacing w:line="360" w:lineRule="auto"/>
        <w:ind w:firstLine="420"/>
        <w:rPr>
          <w:rStyle w:val="da"/>
          <w:rFonts w:ascii="宋体" w:hAnsi="Calibri" w:cs="宋体"/>
          <w:szCs w:val="21"/>
          <w:lang w:eastAsia="zh-CN"/>
        </w:rPr>
      </w:pPr>
      <w:r w:rsidRPr="002929D1">
        <w:rPr>
          <w:rStyle w:val="da"/>
          <w:rFonts w:ascii="宋体" w:hAnsi="Calibri" w:cs="宋体" w:hint="eastAsia"/>
          <w:szCs w:val="21"/>
          <w:lang w:eastAsia="zh-CN"/>
        </w:rPr>
        <w:t>住所：中国上海市延安东路</w:t>
      </w:r>
      <w:r w:rsidRPr="002929D1">
        <w:rPr>
          <w:rStyle w:val="da"/>
          <w:rFonts w:ascii="宋体" w:hAnsi="Calibri" w:cs="宋体" w:hint="eastAsia"/>
          <w:szCs w:val="21"/>
          <w:lang w:eastAsia="zh-CN"/>
        </w:rPr>
        <w:t>222</w:t>
      </w:r>
      <w:r w:rsidRPr="002929D1">
        <w:rPr>
          <w:rStyle w:val="da"/>
          <w:rFonts w:ascii="宋体" w:hAnsi="Calibri" w:cs="宋体" w:hint="eastAsia"/>
          <w:szCs w:val="21"/>
          <w:lang w:eastAsia="zh-CN"/>
        </w:rPr>
        <w:t>号外滩中心</w:t>
      </w:r>
      <w:r w:rsidRPr="002929D1">
        <w:rPr>
          <w:rStyle w:val="da"/>
          <w:rFonts w:ascii="宋体" w:hAnsi="Calibri" w:cs="宋体" w:hint="eastAsia"/>
          <w:szCs w:val="21"/>
          <w:lang w:eastAsia="zh-CN"/>
        </w:rPr>
        <w:t>30</w:t>
      </w:r>
      <w:r w:rsidRPr="002929D1">
        <w:rPr>
          <w:rStyle w:val="da"/>
          <w:rFonts w:ascii="宋体" w:hAnsi="Calibri" w:cs="宋体" w:hint="eastAsia"/>
          <w:szCs w:val="21"/>
          <w:lang w:eastAsia="zh-CN"/>
        </w:rPr>
        <w:t>楼</w:t>
      </w:r>
    </w:p>
    <w:p w:rsidR="002929D1" w:rsidRPr="002929D1" w:rsidP="002929D1">
      <w:pPr>
        <w:spacing w:line="360" w:lineRule="auto"/>
        <w:ind w:firstLine="420"/>
        <w:rPr>
          <w:rStyle w:val="da"/>
          <w:rFonts w:ascii="宋体" w:hAnsi="Calibri" w:cs="宋体"/>
          <w:szCs w:val="21"/>
          <w:lang w:eastAsia="zh-CN"/>
        </w:rPr>
      </w:pPr>
      <w:r w:rsidRPr="002929D1">
        <w:rPr>
          <w:rStyle w:val="da"/>
          <w:rFonts w:ascii="宋体" w:hAnsi="Calibri" w:cs="宋体" w:hint="eastAsia"/>
          <w:szCs w:val="21"/>
          <w:lang w:eastAsia="zh-CN"/>
        </w:rPr>
        <w:t>主要经营场所：中国上海市延安东路</w:t>
      </w:r>
      <w:r w:rsidRPr="002929D1">
        <w:rPr>
          <w:rStyle w:val="da"/>
          <w:rFonts w:ascii="宋体" w:hAnsi="Calibri" w:cs="宋体" w:hint="eastAsia"/>
          <w:szCs w:val="21"/>
          <w:lang w:eastAsia="zh-CN"/>
        </w:rPr>
        <w:t>222</w:t>
      </w:r>
      <w:r w:rsidRPr="002929D1">
        <w:rPr>
          <w:rStyle w:val="da"/>
          <w:rFonts w:ascii="宋体" w:hAnsi="Calibri" w:cs="宋体" w:hint="eastAsia"/>
          <w:szCs w:val="21"/>
          <w:lang w:eastAsia="zh-CN"/>
        </w:rPr>
        <w:t>号外滩中心</w:t>
      </w:r>
      <w:r w:rsidRPr="002929D1">
        <w:rPr>
          <w:rStyle w:val="da"/>
          <w:rFonts w:ascii="宋体" w:hAnsi="Calibri" w:cs="宋体" w:hint="eastAsia"/>
          <w:szCs w:val="21"/>
          <w:lang w:eastAsia="zh-CN"/>
        </w:rPr>
        <w:t>30</w:t>
      </w:r>
      <w:r w:rsidRPr="002929D1">
        <w:rPr>
          <w:rStyle w:val="da"/>
          <w:rFonts w:ascii="宋体" w:hAnsi="Calibri" w:cs="宋体" w:hint="eastAsia"/>
          <w:szCs w:val="21"/>
          <w:lang w:eastAsia="zh-CN"/>
        </w:rPr>
        <w:t>楼</w:t>
      </w:r>
    </w:p>
    <w:p w:rsidR="002929D1" w:rsidRPr="002929D1" w:rsidP="002929D1">
      <w:pPr>
        <w:spacing w:line="360" w:lineRule="auto"/>
        <w:ind w:firstLine="420"/>
        <w:rPr>
          <w:rStyle w:val="da"/>
          <w:rFonts w:ascii="宋体" w:hAnsi="Calibri" w:cs="宋体"/>
          <w:szCs w:val="21"/>
          <w:lang w:eastAsia="zh-CN"/>
        </w:rPr>
      </w:pPr>
      <w:r w:rsidRPr="002929D1">
        <w:rPr>
          <w:rStyle w:val="da"/>
          <w:rFonts w:ascii="宋体" w:hAnsi="Calibri" w:cs="宋体" w:hint="eastAsia"/>
          <w:szCs w:val="21"/>
          <w:lang w:eastAsia="zh-CN"/>
        </w:rPr>
        <w:t>执行事务合伙人：唐恋炯</w:t>
      </w:r>
    </w:p>
    <w:p w:rsidR="002929D1" w:rsidRPr="002929D1" w:rsidP="002929D1">
      <w:pPr>
        <w:spacing w:line="360" w:lineRule="auto"/>
        <w:ind w:firstLine="420"/>
        <w:rPr>
          <w:rStyle w:val="da"/>
          <w:rFonts w:ascii="宋体" w:hAnsi="Calibri" w:cs="宋体"/>
          <w:szCs w:val="21"/>
          <w:lang w:eastAsia="zh-CN"/>
        </w:rPr>
      </w:pPr>
      <w:r w:rsidRPr="002929D1">
        <w:rPr>
          <w:rStyle w:val="da"/>
          <w:rFonts w:ascii="宋体" w:hAnsi="Calibri" w:cs="宋体" w:hint="eastAsia"/>
          <w:szCs w:val="21"/>
          <w:lang w:eastAsia="zh-CN"/>
        </w:rPr>
        <w:t>电话：</w:t>
      </w:r>
      <w:r w:rsidRPr="002929D1">
        <w:rPr>
          <w:rStyle w:val="da"/>
          <w:rFonts w:ascii="宋体" w:hAnsi="Calibri" w:cs="宋体" w:hint="eastAsia"/>
          <w:szCs w:val="21"/>
          <w:lang w:eastAsia="zh-CN"/>
        </w:rPr>
        <w:t>021-61418888</w:t>
      </w:r>
    </w:p>
    <w:p w:rsidR="002929D1" w:rsidRPr="002929D1" w:rsidP="002929D1">
      <w:pPr>
        <w:spacing w:line="360" w:lineRule="auto"/>
        <w:ind w:firstLine="420"/>
        <w:rPr>
          <w:rStyle w:val="da"/>
          <w:rFonts w:ascii="宋体" w:hAnsi="Calibri" w:cs="宋体"/>
          <w:szCs w:val="21"/>
          <w:lang w:eastAsia="zh-CN"/>
        </w:rPr>
      </w:pPr>
      <w:r w:rsidRPr="002929D1">
        <w:rPr>
          <w:rStyle w:val="da"/>
          <w:rFonts w:ascii="宋体" w:hAnsi="Calibri" w:cs="宋体" w:hint="eastAsia"/>
          <w:szCs w:val="21"/>
          <w:lang w:eastAsia="zh-CN"/>
        </w:rPr>
        <w:t>传真：</w:t>
      </w:r>
      <w:r w:rsidRPr="002929D1">
        <w:rPr>
          <w:rStyle w:val="da"/>
          <w:rFonts w:ascii="宋体" w:hAnsi="Calibri" w:cs="宋体" w:hint="eastAsia"/>
          <w:szCs w:val="21"/>
          <w:lang w:eastAsia="zh-CN"/>
        </w:rPr>
        <w:t>021-63350003</w:t>
      </w:r>
    </w:p>
    <w:p w:rsidR="004A090B">
      <w:pPr>
        <w:spacing w:line="360" w:lineRule="auto"/>
        <w:ind w:firstLine="420"/>
        <w:rPr>
          <w:rStyle w:val="da"/>
          <w:rFonts w:ascii="宋体" w:hAnsi="Calibri" w:cs="宋体"/>
          <w:szCs w:val="21"/>
          <w:lang w:eastAsia="zh-CN"/>
        </w:rPr>
      </w:pPr>
      <w:r w:rsidRPr="002929D1">
        <w:rPr>
          <w:rStyle w:val="da"/>
          <w:rFonts w:ascii="宋体" w:hAnsi="Calibri" w:cs="宋体" w:hint="eastAsia"/>
          <w:szCs w:val="21"/>
          <w:lang w:eastAsia="zh-CN"/>
        </w:rPr>
        <w:t>联系人：江丽雅</w:t>
      </w:r>
    </w:p>
    <w:p w:rsidR="004A090B">
      <w:pPr>
        <w:spacing w:line="360" w:lineRule="auto"/>
        <w:ind w:firstLine="420"/>
        <w:rPr>
          <w:rStyle w:val="da"/>
          <w:rFonts w:ascii="宋体" w:hAnsi="Calibri"/>
          <w:lang w:eastAsia="zh-CN"/>
        </w:rPr>
      </w:pPr>
      <w:bookmarkEnd w:id="1782"/>
    </w:p>
    <w:p w:rsidR="004A090B">
      <w:pPr>
        <w:pStyle w:val="Heading1"/>
        <w:pageBreakBefore/>
        <w:spacing w:before="317" w:after="317" w:line="360" w:lineRule="auto"/>
        <w:ind w:firstLine="640"/>
        <w:rPr>
          <w:rFonts w:ascii="宋体" w:eastAsia="宋体" w:hAnsi="Calibri" w:cs="宋体"/>
          <w:bCs/>
          <w:sz w:val="30"/>
          <w:szCs w:val="30"/>
          <w:lang w:eastAsia="zh-CN"/>
        </w:rPr>
      </w:pPr>
      <w:bookmarkStart w:id="1783" w:name="_Toc129511528"/>
      <w:bookmarkStart w:id="1784" w:name="_Toc52177265"/>
      <w:bookmarkStart w:id="1785" w:name="_Toc11178790"/>
      <w:bookmarkStart w:id="1786" w:name="_Toc332373486"/>
      <w:r>
        <w:rPr>
          <w:rFonts w:ascii="宋体" w:eastAsia="宋体" w:hAnsi="Calibri" w:cs="宋体" w:hint="eastAsia"/>
          <w:bCs/>
          <w:sz w:val="30"/>
          <w:szCs w:val="30"/>
          <w:lang w:eastAsia="zh-CN"/>
        </w:rPr>
        <w:t>第六部分</w:t>
      </w:r>
      <w:r>
        <w:rPr>
          <w:rFonts w:ascii="宋体" w:eastAsia="宋体" w:hAnsi="Calibri" w:cs="宋体"/>
          <w:bCs/>
          <w:sz w:val="30"/>
          <w:szCs w:val="30"/>
          <w:lang w:eastAsia="zh-CN"/>
        </w:rPr>
        <w:t xml:space="preserve"> </w:t>
      </w:r>
      <w:r>
        <w:rPr>
          <w:rFonts w:ascii="宋体" w:eastAsia="宋体" w:hAnsi="Calibri" w:cs="宋体"/>
          <w:bCs/>
          <w:sz w:val="30"/>
          <w:szCs w:val="30"/>
          <w:lang w:eastAsia="zh-CN"/>
        </w:rPr>
        <w:t>基金份额的分类</w:t>
      </w:r>
      <w:bookmarkEnd w:id="1783"/>
      <w:bookmarkEnd w:id="1784"/>
      <w:bookmarkEnd w:id="1785"/>
    </w:p>
    <w:p w:rsidR="004A090B">
      <w:pPr>
        <w:spacing w:line="360" w:lineRule="auto"/>
        <w:ind w:firstLine="420"/>
        <w:rPr>
          <w:rFonts w:ascii="宋体" w:hAnsi="Calibri" w:cs="宋体"/>
          <w:szCs w:val="21"/>
          <w:lang w:eastAsia="zh-CN"/>
        </w:rPr>
      </w:pPr>
      <w:r>
        <w:rPr>
          <w:rFonts w:ascii="宋体" w:hAnsi="Calibri" w:cs="宋体" w:hint="eastAsia"/>
          <w:szCs w:val="21"/>
          <w:lang w:eastAsia="zh-CN"/>
        </w:rPr>
        <w:t>一、基金份额类别</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本基金将基金份额分为不同的类别。在投资人认购</w:t>
      </w:r>
      <w:r>
        <w:rPr>
          <w:rStyle w:val="da"/>
          <w:rFonts w:ascii="宋体" w:hAnsi="Calibri" w:cs="宋体" w:hint="eastAsia"/>
          <w:lang w:eastAsia="zh-CN"/>
        </w:rPr>
        <w:t>/</w:t>
      </w:r>
      <w:r>
        <w:rPr>
          <w:rStyle w:val="da"/>
          <w:rFonts w:ascii="宋体" w:hAnsi="Calibri" w:cs="宋体" w:hint="eastAsia"/>
          <w:lang w:eastAsia="zh-CN"/>
        </w:rPr>
        <w:t>申购基金时按规定收取认购</w:t>
      </w:r>
      <w:r>
        <w:rPr>
          <w:rStyle w:val="da"/>
          <w:rFonts w:ascii="宋体" w:hAnsi="Calibri" w:cs="宋体" w:hint="eastAsia"/>
          <w:lang w:eastAsia="zh-CN"/>
        </w:rPr>
        <w:t>/</w:t>
      </w:r>
      <w:r>
        <w:rPr>
          <w:rStyle w:val="da"/>
          <w:rFonts w:ascii="宋体" w:hAnsi="Calibri" w:cs="宋体" w:hint="eastAsia"/>
          <w:lang w:eastAsia="zh-CN"/>
        </w:rPr>
        <w:t>申购费用，并不再从本类别基金资产中计提销售服务费的基金份额，称为</w:t>
      </w:r>
      <w:r>
        <w:rPr>
          <w:rStyle w:val="da"/>
          <w:rFonts w:ascii="宋体" w:hAnsi="Calibri" w:cs="宋体" w:hint="eastAsia"/>
          <w:lang w:eastAsia="zh-CN"/>
        </w:rPr>
        <w:t>A</w:t>
      </w:r>
      <w:r>
        <w:rPr>
          <w:rStyle w:val="da"/>
          <w:rFonts w:ascii="宋体" w:hAnsi="Calibri" w:cs="宋体" w:hint="eastAsia"/>
          <w:lang w:eastAsia="zh-CN"/>
        </w:rPr>
        <w:t>类基金份额；从本类基金资产中计提销售服务费并按规定收取或返还，不收取认购</w:t>
      </w:r>
      <w:r>
        <w:rPr>
          <w:rStyle w:val="da"/>
          <w:rFonts w:ascii="宋体" w:hAnsi="Calibri" w:cs="宋体" w:hint="eastAsia"/>
          <w:lang w:eastAsia="zh-CN"/>
        </w:rPr>
        <w:t>/</w:t>
      </w:r>
      <w:r>
        <w:rPr>
          <w:rStyle w:val="da"/>
          <w:rFonts w:ascii="宋体" w:hAnsi="Calibri" w:cs="宋体" w:hint="eastAsia"/>
          <w:lang w:eastAsia="zh-CN"/>
        </w:rPr>
        <w:t>申购费用的基金份额，称为</w:t>
      </w:r>
      <w:r>
        <w:rPr>
          <w:rStyle w:val="da"/>
          <w:rFonts w:ascii="宋体" w:hAnsi="Calibri" w:cs="宋体" w:hint="eastAsia"/>
          <w:lang w:eastAsia="zh-CN"/>
        </w:rPr>
        <w:t>C</w:t>
      </w:r>
      <w:r>
        <w:rPr>
          <w:rStyle w:val="da"/>
          <w:rFonts w:ascii="宋体" w:hAnsi="Calibri" w:cs="宋体" w:hint="eastAsia"/>
          <w:lang w:eastAsia="zh-CN"/>
        </w:rPr>
        <w:t>类基金份额。</w:t>
      </w:r>
    </w:p>
    <w:p w:rsidR="004A090B">
      <w:pPr>
        <w:spacing w:line="360" w:lineRule="auto"/>
        <w:ind w:firstLine="480"/>
        <w:rPr>
          <w:rStyle w:val="da"/>
          <w:rFonts w:ascii="宋体" w:hAnsi="Calibri" w:cs="宋体"/>
          <w:lang w:eastAsia="zh-CN"/>
        </w:rPr>
      </w:pPr>
      <w:r>
        <w:rPr>
          <w:rStyle w:val="da"/>
          <w:rFonts w:ascii="宋体" w:hAnsi="Calibri" w:cs="宋体" w:hint="eastAsia"/>
          <w:highlight w:val="white"/>
          <w:lang w:eastAsia="zh-CN"/>
        </w:rPr>
        <w:t>本基金各类基金份额分别设置代码，分别计算并公布基金份额净值和基金份额累计净值。投资人在认购</w:t>
      </w:r>
      <w:r>
        <w:rPr>
          <w:rStyle w:val="da"/>
          <w:rFonts w:ascii="宋体" w:hAnsi="Calibri" w:cs="宋体" w:hint="eastAsia"/>
          <w:highlight w:val="white"/>
          <w:lang w:eastAsia="zh-CN"/>
        </w:rPr>
        <w:t>/</w:t>
      </w:r>
      <w:r>
        <w:rPr>
          <w:rStyle w:val="da"/>
          <w:rFonts w:ascii="宋体" w:hAnsi="Calibri" w:cs="宋体" w:hint="eastAsia"/>
          <w:highlight w:val="white"/>
          <w:lang w:eastAsia="zh-CN"/>
        </w:rPr>
        <w:t>申购基金份额时可自行选择基金份额类别。</w:t>
      </w:r>
      <w:r>
        <w:rPr>
          <w:rStyle w:val="da"/>
          <w:rFonts w:ascii="宋体" w:hAnsi="Calibri" w:cs="宋体" w:hint="eastAsia"/>
          <w:lang w:eastAsia="zh-CN"/>
        </w:rPr>
        <w:t>本基金暂不开通各份额类别之间的转换业务，今后若开通本基金各份额类别之间的转换业务，业务规则详见</w:t>
      </w:r>
      <w:r>
        <w:rPr>
          <w:rStyle w:val="da"/>
          <w:rFonts w:ascii="宋体" w:hAnsi="Calibri" w:cs="宋体" w:hint="eastAsia"/>
          <w:lang w:eastAsia="zh-CN"/>
        </w:rPr>
        <w:t>届时发布的有关公告或更新的招募说明书。</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每类基金</w:t>
      </w:r>
      <w:r>
        <w:rPr>
          <w:rFonts w:ascii="宋体" w:hAnsi="Calibri" w:cs="宋体"/>
          <w:szCs w:val="21"/>
          <w:lang w:eastAsia="zh-CN"/>
        </w:rPr>
        <w:t>份额的具体</w:t>
      </w:r>
      <w:r>
        <w:rPr>
          <w:rFonts w:ascii="宋体" w:hAnsi="Calibri" w:cs="宋体" w:hint="eastAsia"/>
          <w:szCs w:val="21"/>
          <w:lang w:eastAsia="zh-CN"/>
        </w:rPr>
        <w:t>规定</w:t>
      </w:r>
      <w:r>
        <w:rPr>
          <w:rFonts w:ascii="宋体" w:hAnsi="Calibri" w:cs="宋体"/>
          <w:szCs w:val="21"/>
          <w:lang w:eastAsia="zh-CN"/>
        </w:rPr>
        <w:t>详见下表：</w:t>
      </w:r>
    </w:p>
    <w:tbl>
      <w:tblPr>
        <w:tblpPr w:leftFromText="180" w:rightFromText="180" w:vertAnchor="text" w:horzAnchor="page" w:tblpX="1749" w:tblpY="124"/>
        <w:tblOverlap w:val="neve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47"/>
        <w:gridCol w:w="2835"/>
        <w:gridCol w:w="2551"/>
      </w:tblGrid>
      <w:tr>
        <w:tblPrEx>
          <w:tblW w:w="7933" w:type="dxa"/>
          <w:tblLayout w:type="fixed"/>
          <w:tblLook w:val="04A0"/>
        </w:tblPrEx>
        <w:trPr>
          <w:trHeight w:val="159"/>
        </w:trPr>
        <w:tc>
          <w:tcPr>
            <w:tcW w:w="2547" w:type="dxa"/>
            <w:tcBorders>
              <w:top w:val="single" w:sz="4" w:space="0" w:color="auto"/>
              <w:left w:val="single" w:sz="4" w:space="0" w:color="auto"/>
              <w:bottom w:val="single" w:sz="4" w:space="0" w:color="auto"/>
              <w:right w:val="single" w:sz="4" w:space="0" w:color="auto"/>
            </w:tcBorders>
            <w:vAlign w:val="center"/>
          </w:tcPr>
          <w:p w:rsidR="004A090B">
            <w:pPr>
              <w:snapToGrid w:val="0"/>
              <w:spacing w:line="360" w:lineRule="auto"/>
              <w:jc w:val="center"/>
              <w:rPr>
                <w:rFonts w:ascii="宋体" w:hAnsi="Calibri" w:cs="宋体"/>
                <w:b/>
                <w:szCs w:val="21"/>
              </w:rPr>
            </w:pPr>
            <w:r>
              <w:rPr>
                <w:rFonts w:ascii="宋体" w:hAnsi="Calibri" w:cs="宋体" w:hint="eastAsia"/>
                <w:b/>
                <w:szCs w:val="21"/>
              </w:rPr>
              <w:t>份额类别</w:t>
            </w:r>
          </w:p>
        </w:tc>
        <w:tc>
          <w:tcPr>
            <w:tcW w:w="2835" w:type="dxa"/>
            <w:tcBorders>
              <w:top w:val="single" w:sz="4" w:space="0" w:color="auto"/>
              <w:left w:val="single" w:sz="4" w:space="0" w:color="auto"/>
              <w:bottom w:val="single" w:sz="4" w:space="0" w:color="auto"/>
              <w:right w:val="single" w:sz="4" w:space="0" w:color="auto"/>
            </w:tcBorders>
            <w:vAlign w:val="center"/>
          </w:tcPr>
          <w:p w:rsidR="004A090B">
            <w:pPr>
              <w:snapToGrid w:val="0"/>
              <w:spacing w:line="360" w:lineRule="auto"/>
              <w:jc w:val="center"/>
              <w:rPr>
                <w:rFonts w:ascii="宋体" w:hAnsi="Calibri" w:cs="宋体"/>
                <w:b/>
                <w:szCs w:val="21"/>
              </w:rPr>
            </w:pPr>
            <w:r>
              <w:rPr>
                <w:rFonts w:ascii="宋体" w:hAnsi="Calibri" w:cs="宋体"/>
                <w:b/>
                <w:bCs/>
                <w:szCs w:val="21"/>
              </w:rPr>
              <w:t>A</w:t>
            </w:r>
            <w:r>
              <w:rPr>
                <w:rFonts w:ascii="宋体" w:hAnsi="Calibri" w:cs="宋体"/>
                <w:b/>
                <w:bCs/>
                <w:szCs w:val="21"/>
              </w:rPr>
              <w:t>类基金份额</w:t>
            </w:r>
          </w:p>
        </w:tc>
        <w:tc>
          <w:tcPr>
            <w:tcW w:w="2551" w:type="dxa"/>
            <w:tcBorders>
              <w:top w:val="single" w:sz="4" w:space="0" w:color="auto"/>
              <w:left w:val="single" w:sz="4" w:space="0" w:color="auto"/>
              <w:bottom w:val="single" w:sz="4" w:space="0" w:color="auto"/>
              <w:right w:val="single" w:sz="4" w:space="0" w:color="auto"/>
            </w:tcBorders>
            <w:vAlign w:val="center"/>
          </w:tcPr>
          <w:p w:rsidR="004A090B">
            <w:pPr>
              <w:snapToGrid w:val="0"/>
              <w:spacing w:line="360" w:lineRule="auto"/>
              <w:jc w:val="center"/>
              <w:rPr>
                <w:rFonts w:ascii="宋体" w:hAnsi="Calibri" w:cs="宋体"/>
                <w:b/>
                <w:bCs/>
                <w:szCs w:val="21"/>
              </w:rPr>
            </w:pPr>
            <w:r>
              <w:rPr>
                <w:rFonts w:ascii="宋体" w:hAnsi="Calibri" w:cs="宋体"/>
                <w:b/>
                <w:bCs/>
                <w:szCs w:val="21"/>
              </w:rPr>
              <w:t>C</w:t>
            </w:r>
            <w:r>
              <w:rPr>
                <w:rFonts w:ascii="宋体" w:hAnsi="Calibri" w:cs="宋体"/>
                <w:b/>
                <w:bCs/>
                <w:szCs w:val="21"/>
              </w:rPr>
              <w:t>类基金份额</w:t>
            </w:r>
          </w:p>
        </w:tc>
      </w:tr>
      <w:tr>
        <w:tblPrEx>
          <w:tblW w:w="7933" w:type="dxa"/>
          <w:tblLayout w:type="fixed"/>
          <w:tblLook w:val="04A0"/>
        </w:tblPrEx>
        <w:trPr>
          <w:trHeight w:val="159"/>
        </w:trPr>
        <w:tc>
          <w:tcPr>
            <w:tcW w:w="2547" w:type="dxa"/>
            <w:vAlign w:val="center"/>
          </w:tcPr>
          <w:p w:rsidR="004A090B">
            <w:pPr>
              <w:snapToGrid w:val="0"/>
              <w:spacing w:line="360" w:lineRule="auto"/>
              <w:jc w:val="center"/>
              <w:rPr>
                <w:rFonts w:ascii="宋体" w:hAnsi="Calibri" w:cs="宋体"/>
                <w:szCs w:val="21"/>
              </w:rPr>
            </w:pPr>
            <w:r>
              <w:rPr>
                <w:rFonts w:ascii="宋体" w:hAnsi="Calibri" w:cs="宋体" w:hint="eastAsia"/>
                <w:szCs w:val="21"/>
              </w:rPr>
              <w:t>认</w:t>
            </w:r>
            <w:r>
              <w:rPr>
                <w:rFonts w:ascii="宋体" w:hAnsi="Calibri" w:cs="宋体" w:hint="eastAsia"/>
                <w:szCs w:val="21"/>
              </w:rPr>
              <w:t>/</w:t>
            </w:r>
            <w:r>
              <w:rPr>
                <w:rFonts w:ascii="宋体" w:hAnsi="Calibri" w:cs="宋体" w:hint="eastAsia"/>
                <w:szCs w:val="21"/>
              </w:rPr>
              <w:t>申购费</w:t>
            </w:r>
          </w:p>
        </w:tc>
        <w:tc>
          <w:tcPr>
            <w:tcW w:w="2835" w:type="dxa"/>
            <w:vAlign w:val="center"/>
          </w:tcPr>
          <w:p w:rsidR="004A090B">
            <w:pPr>
              <w:snapToGrid w:val="0"/>
              <w:spacing w:line="360" w:lineRule="auto"/>
              <w:jc w:val="center"/>
              <w:rPr>
                <w:rFonts w:ascii="宋体" w:hAnsi="Calibri" w:cs="宋体"/>
                <w:szCs w:val="21"/>
              </w:rPr>
            </w:pPr>
            <w:r>
              <w:rPr>
                <w:rFonts w:ascii="宋体" w:hAnsi="Calibri" w:cs="宋体" w:hint="eastAsia"/>
                <w:szCs w:val="21"/>
              </w:rPr>
              <w:t>按规定收取</w:t>
            </w:r>
          </w:p>
        </w:tc>
        <w:tc>
          <w:tcPr>
            <w:tcW w:w="2551" w:type="dxa"/>
            <w:vAlign w:val="center"/>
          </w:tcPr>
          <w:p w:rsidR="004A090B">
            <w:pPr>
              <w:snapToGrid w:val="0"/>
              <w:spacing w:line="360" w:lineRule="auto"/>
              <w:jc w:val="center"/>
              <w:rPr>
                <w:rFonts w:ascii="宋体" w:hAnsi="Calibri" w:cs="宋体"/>
                <w:szCs w:val="21"/>
              </w:rPr>
            </w:pPr>
            <w:r>
              <w:rPr>
                <w:rFonts w:ascii="宋体" w:hAnsi="Calibri" w:cs="宋体" w:hint="eastAsia"/>
                <w:szCs w:val="21"/>
              </w:rPr>
              <w:t>不</w:t>
            </w:r>
            <w:r>
              <w:rPr>
                <w:rFonts w:ascii="宋体" w:hAnsi="Calibri" w:cs="宋体"/>
                <w:szCs w:val="21"/>
              </w:rPr>
              <w:t>收取</w:t>
            </w:r>
          </w:p>
        </w:tc>
      </w:tr>
      <w:tr>
        <w:tblPrEx>
          <w:tblW w:w="7933" w:type="dxa"/>
          <w:tblLayout w:type="fixed"/>
          <w:tblLook w:val="04A0"/>
        </w:tblPrEx>
        <w:trPr>
          <w:trHeight w:val="857"/>
        </w:trPr>
        <w:tc>
          <w:tcPr>
            <w:tcW w:w="2547" w:type="dxa"/>
            <w:vAlign w:val="center"/>
          </w:tcPr>
          <w:p w:rsidR="004A090B">
            <w:pPr>
              <w:snapToGrid w:val="0"/>
              <w:spacing w:line="360" w:lineRule="auto"/>
              <w:jc w:val="center"/>
              <w:rPr>
                <w:rFonts w:ascii="宋体" w:hAnsi="Calibri" w:cs="宋体"/>
                <w:szCs w:val="21"/>
              </w:rPr>
            </w:pPr>
            <w:r>
              <w:rPr>
                <w:rFonts w:ascii="宋体" w:hAnsi="Calibri" w:cs="宋体" w:hint="eastAsia"/>
                <w:szCs w:val="21"/>
              </w:rPr>
              <w:t>首次认</w:t>
            </w:r>
            <w:r>
              <w:rPr>
                <w:rFonts w:ascii="宋体" w:hAnsi="Calibri" w:cs="宋体" w:hint="eastAsia"/>
                <w:szCs w:val="21"/>
              </w:rPr>
              <w:t>/</w:t>
            </w:r>
            <w:r>
              <w:rPr>
                <w:rFonts w:ascii="宋体" w:hAnsi="Calibri" w:cs="宋体" w:hint="eastAsia"/>
                <w:szCs w:val="21"/>
              </w:rPr>
              <w:t>申购最低金额</w:t>
            </w:r>
          </w:p>
        </w:tc>
        <w:tc>
          <w:tcPr>
            <w:tcW w:w="2835" w:type="dxa"/>
            <w:vAlign w:val="center"/>
          </w:tcPr>
          <w:p w:rsidR="004A090B">
            <w:pPr>
              <w:snapToGrid w:val="0"/>
              <w:spacing w:line="360" w:lineRule="auto"/>
              <w:jc w:val="center"/>
              <w:rPr>
                <w:rFonts w:ascii="宋体" w:hAnsi="Calibri" w:cs="宋体"/>
                <w:szCs w:val="21"/>
              </w:rPr>
            </w:pPr>
            <w:r>
              <w:rPr>
                <w:rFonts w:ascii="宋体" w:hAnsi="Calibri" w:cs="宋体" w:hint="eastAsia"/>
                <w:szCs w:val="21"/>
              </w:rPr>
              <w:t>1</w:t>
            </w:r>
            <w:r>
              <w:rPr>
                <w:rFonts w:ascii="宋体" w:hAnsi="Calibri" w:cs="宋体" w:hint="eastAsia"/>
                <w:szCs w:val="21"/>
              </w:rPr>
              <w:t>元</w:t>
            </w:r>
            <w:r>
              <w:rPr>
                <w:rFonts w:ascii="宋体" w:hAnsi="Calibri" w:cs="宋体"/>
                <w:szCs w:val="21"/>
              </w:rPr>
              <w:t>(</w:t>
            </w:r>
            <w:r>
              <w:rPr>
                <w:rFonts w:ascii="宋体" w:hAnsi="Calibri" w:cs="宋体"/>
                <w:szCs w:val="21"/>
              </w:rPr>
              <w:t>直销中心为</w:t>
            </w:r>
            <w:r>
              <w:rPr>
                <w:rFonts w:ascii="宋体" w:hAnsi="Calibri" w:cs="宋体"/>
                <w:szCs w:val="21"/>
              </w:rPr>
              <w:t>5</w:t>
            </w:r>
            <w:r>
              <w:rPr>
                <w:rFonts w:ascii="宋体" w:hAnsi="Calibri" w:cs="宋体" w:hint="eastAsia"/>
                <w:szCs w:val="21"/>
              </w:rPr>
              <w:t>万元</w:t>
            </w:r>
            <w:r>
              <w:rPr>
                <w:rFonts w:ascii="宋体" w:hAnsi="Calibri" w:cs="宋体"/>
                <w:szCs w:val="21"/>
              </w:rPr>
              <w:t>)</w:t>
            </w:r>
          </w:p>
        </w:tc>
        <w:tc>
          <w:tcPr>
            <w:tcW w:w="2551" w:type="dxa"/>
            <w:vAlign w:val="center"/>
          </w:tcPr>
          <w:p w:rsidR="004A090B">
            <w:pPr>
              <w:snapToGrid w:val="0"/>
              <w:spacing w:line="360" w:lineRule="auto"/>
              <w:jc w:val="center"/>
              <w:rPr>
                <w:rFonts w:ascii="宋体" w:hAnsi="Calibri" w:cs="宋体"/>
                <w:szCs w:val="21"/>
              </w:rPr>
            </w:pPr>
            <w:r>
              <w:rPr>
                <w:rFonts w:ascii="宋体" w:hAnsi="Calibri" w:cs="宋体" w:hint="eastAsia"/>
                <w:szCs w:val="21"/>
              </w:rPr>
              <w:t>1</w:t>
            </w:r>
            <w:r>
              <w:rPr>
                <w:rFonts w:ascii="宋体" w:hAnsi="Calibri" w:cs="宋体" w:hint="eastAsia"/>
                <w:szCs w:val="21"/>
              </w:rPr>
              <w:t>元</w:t>
            </w:r>
            <w:r>
              <w:rPr>
                <w:rFonts w:ascii="宋体" w:hAnsi="Calibri" w:cs="宋体"/>
                <w:szCs w:val="21"/>
              </w:rPr>
              <w:t>(</w:t>
            </w:r>
            <w:r>
              <w:rPr>
                <w:rFonts w:ascii="宋体" w:hAnsi="Calibri" w:cs="宋体"/>
                <w:szCs w:val="21"/>
              </w:rPr>
              <w:t>直销中心为</w:t>
            </w:r>
            <w:r>
              <w:rPr>
                <w:rFonts w:ascii="宋体" w:hAnsi="Calibri" w:cs="宋体"/>
                <w:szCs w:val="21"/>
              </w:rPr>
              <w:t>5</w:t>
            </w:r>
            <w:r>
              <w:rPr>
                <w:rFonts w:ascii="宋体" w:hAnsi="Calibri" w:cs="宋体" w:hint="eastAsia"/>
                <w:szCs w:val="21"/>
              </w:rPr>
              <w:t>万元</w:t>
            </w:r>
            <w:r>
              <w:rPr>
                <w:rFonts w:ascii="宋体" w:hAnsi="Calibri" w:cs="宋体"/>
                <w:szCs w:val="21"/>
              </w:rPr>
              <w:t>)</w:t>
            </w:r>
          </w:p>
        </w:tc>
      </w:tr>
      <w:tr>
        <w:tblPrEx>
          <w:tblW w:w="7933" w:type="dxa"/>
          <w:tblLayout w:type="fixed"/>
          <w:tblLook w:val="04A0"/>
        </w:tblPrEx>
        <w:trPr>
          <w:trHeight w:val="157"/>
        </w:trPr>
        <w:tc>
          <w:tcPr>
            <w:tcW w:w="2547" w:type="dxa"/>
            <w:vAlign w:val="center"/>
          </w:tcPr>
          <w:p w:rsidR="004A090B">
            <w:pPr>
              <w:snapToGrid w:val="0"/>
              <w:spacing w:line="360" w:lineRule="auto"/>
              <w:jc w:val="center"/>
              <w:rPr>
                <w:rFonts w:ascii="宋体" w:hAnsi="Calibri" w:cs="宋体"/>
                <w:szCs w:val="21"/>
              </w:rPr>
            </w:pPr>
            <w:r>
              <w:rPr>
                <w:rFonts w:ascii="宋体" w:hAnsi="Calibri" w:cs="宋体" w:hint="eastAsia"/>
                <w:szCs w:val="21"/>
              </w:rPr>
              <w:t>追加认</w:t>
            </w:r>
            <w:r>
              <w:rPr>
                <w:rFonts w:ascii="宋体" w:hAnsi="Calibri" w:cs="宋体"/>
                <w:szCs w:val="21"/>
              </w:rPr>
              <w:t>/</w:t>
            </w:r>
            <w:r>
              <w:rPr>
                <w:rFonts w:ascii="宋体" w:hAnsi="Calibri" w:cs="宋体" w:hint="eastAsia"/>
                <w:szCs w:val="21"/>
              </w:rPr>
              <w:t>申购最低金额</w:t>
            </w:r>
          </w:p>
        </w:tc>
        <w:tc>
          <w:tcPr>
            <w:tcW w:w="2835" w:type="dxa"/>
            <w:vAlign w:val="center"/>
          </w:tcPr>
          <w:p w:rsidR="004A090B">
            <w:pPr>
              <w:snapToGrid w:val="0"/>
              <w:spacing w:line="360" w:lineRule="auto"/>
              <w:jc w:val="center"/>
              <w:rPr>
                <w:rFonts w:ascii="宋体" w:hAnsi="Calibri" w:cs="宋体"/>
                <w:szCs w:val="21"/>
              </w:rPr>
            </w:pPr>
            <w:r>
              <w:rPr>
                <w:rFonts w:ascii="宋体" w:hAnsi="Calibri" w:cs="宋体" w:hint="eastAsia"/>
                <w:szCs w:val="21"/>
              </w:rPr>
              <w:t>1</w:t>
            </w:r>
            <w:r>
              <w:rPr>
                <w:rFonts w:ascii="宋体" w:hAnsi="Calibri" w:cs="宋体" w:hint="eastAsia"/>
                <w:szCs w:val="21"/>
              </w:rPr>
              <w:t>元</w:t>
            </w:r>
            <w:r>
              <w:rPr>
                <w:rFonts w:ascii="宋体" w:hAnsi="Calibri" w:cs="宋体"/>
                <w:szCs w:val="21"/>
              </w:rPr>
              <w:t>(</w:t>
            </w:r>
            <w:r>
              <w:rPr>
                <w:rFonts w:ascii="宋体" w:hAnsi="Calibri" w:cs="宋体"/>
                <w:szCs w:val="21"/>
              </w:rPr>
              <w:t>直销中心为</w:t>
            </w:r>
            <w:r>
              <w:rPr>
                <w:rFonts w:ascii="宋体" w:hAnsi="Calibri" w:cs="宋体"/>
                <w:szCs w:val="21"/>
              </w:rPr>
              <w:t>1000</w:t>
            </w:r>
            <w:r>
              <w:rPr>
                <w:rFonts w:ascii="宋体" w:hAnsi="Calibri" w:cs="宋体" w:hint="eastAsia"/>
                <w:szCs w:val="21"/>
              </w:rPr>
              <w:t>元</w:t>
            </w:r>
            <w:r>
              <w:rPr>
                <w:rFonts w:ascii="宋体" w:hAnsi="Calibri" w:cs="宋体"/>
                <w:szCs w:val="21"/>
              </w:rPr>
              <w:t>)</w:t>
            </w:r>
          </w:p>
        </w:tc>
        <w:tc>
          <w:tcPr>
            <w:tcW w:w="2551" w:type="dxa"/>
            <w:vAlign w:val="center"/>
          </w:tcPr>
          <w:p w:rsidR="004A090B">
            <w:pPr>
              <w:snapToGrid w:val="0"/>
              <w:spacing w:line="360" w:lineRule="auto"/>
              <w:jc w:val="center"/>
              <w:rPr>
                <w:rFonts w:ascii="宋体" w:hAnsi="Calibri" w:cs="宋体"/>
                <w:szCs w:val="21"/>
              </w:rPr>
            </w:pPr>
            <w:r>
              <w:rPr>
                <w:rFonts w:ascii="宋体" w:hAnsi="Calibri" w:cs="宋体" w:hint="eastAsia"/>
                <w:szCs w:val="21"/>
              </w:rPr>
              <w:t>1</w:t>
            </w:r>
            <w:r>
              <w:rPr>
                <w:rFonts w:ascii="宋体" w:hAnsi="Calibri" w:cs="宋体" w:hint="eastAsia"/>
                <w:szCs w:val="21"/>
              </w:rPr>
              <w:t>元</w:t>
            </w:r>
            <w:r>
              <w:rPr>
                <w:rFonts w:ascii="宋体" w:hAnsi="Calibri" w:cs="宋体"/>
                <w:szCs w:val="21"/>
              </w:rPr>
              <w:t>(</w:t>
            </w:r>
            <w:r>
              <w:rPr>
                <w:rFonts w:ascii="宋体" w:hAnsi="Calibri" w:cs="宋体"/>
                <w:szCs w:val="21"/>
              </w:rPr>
              <w:t>直销中心为</w:t>
            </w:r>
            <w:r>
              <w:rPr>
                <w:rFonts w:ascii="宋体" w:hAnsi="Calibri" w:cs="宋体"/>
                <w:szCs w:val="21"/>
              </w:rPr>
              <w:t>1000</w:t>
            </w:r>
            <w:r>
              <w:rPr>
                <w:rFonts w:ascii="宋体" w:hAnsi="Calibri" w:cs="宋体" w:hint="eastAsia"/>
                <w:szCs w:val="21"/>
              </w:rPr>
              <w:t>元</w:t>
            </w:r>
            <w:r>
              <w:rPr>
                <w:rFonts w:ascii="宋体" w:hAnsi="Calibri" w:cs="宋体"/>
                <w:szCs w:val="21"/>
              </w:rPr>
              <w:t>)</w:t>
            </w:r>
          </w:p>
        </w:tc>
      </w:tr>
      <w:tr>
        <w:tblPrEx>
          <w:tblW w:w="7933" w:type="dxa"/>
          <w:tblLayout w:type="fixed"/>
          <w:tblLook w:val="04A0"/>
        </w:tblPrEx>
        <w:trPr>
          <w:trHeight w:val="157"/>
        </w:trPr>
        <w:tc>
          <w:tcPr>
            <w:tcW w:w="2547" w:type="dxa"/>
            <w:vAlign w:val="center"/>
          </w:tcPr>
          <w:p w:rsidR="004A090B">
            <w:pPr>
              <w:snapToGrid w:val="0"/>
              <w:spacing w:line="360" w:lineRule="auto"/>
              <w:jc w:val="center"/>
              <w:rPr>
                <w:rFonts w:ascii="宋体" w:hAnsi="Calibri" w:cs="宋体"/>
                <w:szCs w:val="21"/>
              </w:rPr>
            </w:pPr>
            <w:r>
              <w:rPr>
                <w:rFonts w:ascii="宋体" w:hAnsi="Calibri" w:cs="宋体" w:hint="eastAsia"/>
                <w:szCs w:val="21"/>
              </w:rPr>
              <w:t>单笔赎回最低份额</w:t>
            </w:r>
          </w:p>
        </w:tc>
        <w:tc>
          <w:tcPr>
            <w:tcW w:w="2835" w:type="dxa"/>
            <w:vAlign w:val="center"/>
          </w:tcPr>
          <w:p w:rsidR="004A090B">
            <w:pPr>
              <w:snapToGrid w:val="0"/>
              <w:spacing w:line="360" w:lineRule="auto"/>
              <w:jc w:val="center"/>
              <w:rPr>
                <w:rFonts w:ascii="宋体" w:hAnsi="Calibri" w:cs="宋体"/>
                <w:szCs w:val="21"/>
              </w:rPr>
            </w:pPr>
            <w:r>
              <w:rPr>
                <w:rFonts w:ascii="宋体" w:hAnsi="Calibri" w:cs="宋体" w:hint="eastAsia"/>
                <w:szCs w:val="21"/>
              </w:rPr>
              <w:t>1</w:t>
            </w:r>
            <w:r>
              <w:rPr>
                <w:rFonts w:ascii="宋体" w:hAnsi="Calibri" w:cs="宋体" w:hint="eastAsia"/>
                <w:szCs w:val="21"/>
              </w:rPr>
              <w:t>份</w:t>
            </w:r>
          </w:p>
        </w:tc>
        <w:tc>
          <w:tcPr>
            <w:tcW w:w="2551" w:type="dxa"/>
            <w:vAlign w:val="center"/>
          </w:tcPr>
          <w:p w:rsidR="004A090B">
            <w:pPr>
              <w:snapToGrid w:val="0"/>
              <w:spacing w:line="360" w:lineRule="auto"/>
              <w:jc w:val="center"/>
              <w:rPr>
                <w:rFonts w:ascii="宋体" w:hAnsi="Calibri" w:cs="宋体"/>
                <w:szCs w:val="21"/>
              </w:rPr>
            </w:pPr>
            <w:r>
              <w:rPr>
                <w:rFonts w:ascii="宋体" w:hAnsi="Calibri" w:cs="宋体" w:hint="eastAsia"/>
                <w:szCs w:val="21"/>
              </w:rPr>
              <w:t>1</w:t>
            </w:r>
            <w:r>
              <w:rPr>
                <w:rFonts w:ascii="宋体" w:hAnsi="Calibri" w:cs="宋体" w:hint="eastAsia"/>
                <w:szCs w:val="21"/>
              </w:rPr>
              <w:t>份</w:t>
            </w:r>
          </w:p>
        </w:tc>
      </w:tr>
      <w:tr>
        <w:tblPrEx>
          <w:tblW w:w="7933" w:type="dxa"/>
          <w:tblLayout w:type="fixed"/>
          <w:tblLook w:val="04A0"/>
        </w:tblPrEx>
        <w:trPr>
          <w:trHeight w:val="157"/>
        </w:trPr>
        <w:tc>
          <w:tcPr>
            <w:tcW w:w="2547" w:type="dxa"/>
            <w:vAlign w:val="center"/>
          </w:tcPr>
          <w:p w:rsidR="004A090B">
            <w:pPr>
              <w:snapToGrid w:val="0"/>
              <w:spacing w:line="360" w:lineRule="auto"/>
              <w:jc w:val="center"/>
              <w:rPr>
                <w:rFonts w:ascii="宋体" w:hAnsi="Calibri" w:cs="宋体"/>
                <w:szCs w:val="21"/>
                <w:lang w:eastAsia="zh-CN"/>
              </w:rPr>
            </w:pPr>
            <w:r>
              <w:rPr>
                <w:rFonts w:ascii="宋体" w:hAnsi="Calibri" w:cs="宋体" w:hint="eastAsia"/>
                <w:szCs w:val="21"/>
                <w:lang w:eastAsia="zh-CN"/>
              </w:rPr>
              <w:t>基金交易账户最低基金份额余额</w:t>
            </w:r>
          </w:p>
        </w:tc>
        <w:tc>
          <w:tcPr>
            <w:tcW w:w="2835" w:type="dxa"/>
            <w:vAlign w:val="center"/>
          </w:tcPr>
          <w:p w:rsidR="004A090B">
            <w:pPr>
              <w:snapToGrid w:val="0"/>
              <w:spacing w:line="360" w:lineRule="auto"/>
              <w:jc w:val="center"/>
              <w:rPr>
                <w:rFonts w:ascii="宋体" w:hAnsi="Calibri" w:cs="宋体"/>
                <w:szCs w:val="21"/>
              </w:rPr>
            </w:pPr>
            <w:r>
              <w:rPr>
                <w:rFonts w:ascii="宋体" w:hAnsi="Calibri" w:cs="宋体" w:hint="eastAsia"/>
                <w:szCs w:val="21"/>
              </w:rPr>
              <w:t>1</w:t>
            </w:r>
            <w:r>
              <w:rPr>
                <w:rFonts w:ascii="宋体" w:hAnsi="Calibri" w:cs="宋体" w:hint="eastAsia"/>
                <w:szCs w:val="21"/>
              </w:rPr>
              <w:t>份</w:t>
            </w:r>
          </w:p>
        </w:tc>
        <w:tc>
          <w:tcPr>
            <w:tcW w:w="2551" w:type="dxa"/>
            <w:vAlign w:val="center"/>
          </w:tcPr>
          <w:p w:rsidR="004A090B">
            <w:pPr>
              <w:snapToGrid w:val="0"/>
              <w:spacing w:line="360" w:lineRule="auto"/>
              <w:jc w:val="center"/>
              <w:rPr>
                <w:rFonts w:ascii="宋体" w:hAnsi="Calibri" w:cs="宋体"/>
                <w:szCs w:val="21"/>
              </w:rPr>
            </w:pPr>
            <w:r>
              <w:rPr>
                <w:rFonts w:ascii="宋体" w:hAnsi="Calibri" w:cs="宋体" w:hint="eastAsia"/>
                <w:szCs w:val="21"/>
              </w:rPr>
              <w:t>1</w:t>
            </w:r>
            <w:r>
              <w:rPr>
                <w:rFonts w:ascii="宋体" w:hAnsi="Calibri" w:cs="宋体" w:hint="eastAsia"/>
                <w:szCs w:val="21"/>
              </w:rPr>
              <w:t>份</w:t>
            </w:r>
          </w:p>
        </w:tc>
      </w:tr>
      <w:tr>
        <w:tblPrEx>
          <w:tblW w:w="7933" w:type="dxa"/>
          <w:tblLayout w:type="fixed"/>
          <w:tblLook w:val="04A0"/>
        </w:tblPrEx>
        <w:trPr>
          <w:trHeight w:val="360"/>
        </w:trPr>
        <w:tc>
          <w:tcPr>
            <w:tcW w:w="2547" w:type="dxa"/>
            <w:vAlign w:val="center"/>
          </w:tcPr>
          <w:p w:rsidR="004A090B">
            <w:pPr>
              <w:snapToGrid w:val="0"/>
              <w:spacing w:line="360" w:lineRule="auto"/>
              <w:jc w:val="center"/>
              <w:rPr>
                <w:rFonts w:ascii="宋体" w:hAnsi="Calibri" w:cs="宋体"/>
                <w:bCs/>
                <w:szCs w:val="21"/>
              </w:rPr>
            </w:pPr>
            <w:r>
              <w:rPr>
                <w:rFonts w:ascii="宋体" w:hAnsi="Calibri" w:cs="宋体" w:hint="eastAsia"/>
                <w:bCs/>
                <w:szCs w:val="21"/>
              </w:rPr>
              <w:t>销售服务费</w:t>
            </w:r>
            <w:r>
              <w:rPr>
                <w:rFonts w:ascii="宋体" w:hAnsi="Calibri" w:cs="宋体"/>
                <w:bCs/>
                <w:szCs w:val="21"/>
              </w:rPr>
              <w:t>(</w:t>
            </w:r>
            <w:r>
              <w:rPr>
                <w:rFonts w:ascii="宋体" w:hAnsi="Calibri" w:cs="宋体"/>
                <w:bCs/>
                <w:szCs w:val="21"/>
              </w:rPr>
              <w:t>年费率</w:t>
            </w:r>
            <w:r>
              <w:rPr>
                <w:rFonts w:ascii="宋体" w:hAnsi="Calibri" w:cs="宋体"/>
                <w:bCs/>
                <w:szCs w:val="21"/>
              </w:rPr>
              <w:t>)</w:t>
            </w:r>
          </w:p>
        </w:tc>
        <w:tc>
          <w:tcPr>
            <w:tcW w:w="2835" w:type="dxa"/>
            <w:vAlign w:val="center"/>
          </w:tcPr>
          <w:p w:rsidR="004A090B">
            <w:pPr>
              <w:snapToGrid w:val="0"/>
              <w:spacing w:line="360" w:lineRule="auto"/>
              <w:jc w:val="center"/>
              <w:rPr>
                <w:rFonts w:ascii="宋体" w:hAnsi="Calibri" w:cs="宋体"/>
                <w:bCs/>
                <w:sz w:val="20"/>
                <w:szCs w:val="20"/>
              </w:rPr>
            </w:pPr>
            <w:r>
              <w:rPr>
                <w:rFonts w:ascii="宋体" w:hAnsi="Calibri" w:cs="宋体"/>
              </w:rPr>
              <w:t>不收取</w:t>
            </w:r>
          </w:p>
        </w:tc>
        <w:tc>
          <w:tcPr>
            <w:tcW w:w="2551" w:type="dxa"/>
            <w:vAlign w:val="center"/>
          </w:tcPr>
          <w:p w:rsidR="004A090B">
            <w:pPr>
              <w:snapToGrid w:val="0"/>
              <w:spacing w:line="360" w:lineRule="auto"/>
              <w:jc w:val="center"/>
              <w:rPr>
                <w:rFonts w:ascii="宋体" w:hAnsi="Calibri" w:cs="宋体"/>
                <w:bCs/>
                <w:sz w:val="20"/>
                <w:szCs w:val="20"/>
                <w:lang w:eastAsia="zh-CN"/>
              </w:rPr>
            </w:pPr>
            <w:r>
              <w:rPr>
                <w:rFonts w:ascii="宋体" w:hAnsi="Calibri" w:cs="宋体" w:hint="eastAsia"/>
                <w:iCs/>
                <w:lang w:eastAsia="zh-CN"/>
              </w:rPr>
              <w:t>0.20%</w:t>
            </w:r>
            <w:r>
              <w:rPr>
                <w:rFonts w:ascii="宋体" w:hAnsi="Calibri" w:cs="宋体" w:hint="eastAsia"/>
                <w:iCs/>
                <w:lang w:eastAsia="zh-CN"/>
              </w:rPr>
              <w:t>（按规定收取或返还）</w:t>
            </w:r>
          </w:p>
        </w:tc>
      </w:tr>
    </w:tbl>
    <w:p w:rsidR="004A090B">
      <w:pPr>
        <w:spacing w:line="360" w:lineRule="auto"/>
        <w:ind w:firstLine="420"/>
        <w:rPr>
          <w:rFonts w:ascii="宋体" w:hAnsi="Calibri" w:cs="宋体"/>
          <w:szCs w:val="21"/>
          <w:lang w:eastAsia="zh-CN"/>
        </w:rPr>
      </w:pPr>
      <w:r>
        <w:rPr>
          <w:rFonts w:ascii="宋体" w:hAnsi="Calibri" w:cs="宋体" w:hint="eastAsia"/>
          <w:szCs w:val="21"/>
          <w:lang w:eastAsia="zh-CN"/>
        </w:rPr>
        <w:t>注</w:t>
      </w:r>
      <w:r>
        <w:rPr>
          <w:rFonts w:ascii="宋体" w:hAnsi="Calibri" w:cs="宋体"/>
          <w:szCs w:val="21"/>
          <w:lang w:eastAsia="zh-CN"/>
        </w:rPr>
        <w:t>：本基金不同份额</w:t>
      </w:r>
      <w:r>
        <w:rPr>
          <w:rFonts w:ascii="宋体" w:hAnsi="Calibri" w:cs="宋体" w:hint="eastAsia"/>
          <w:szCs w:val="21"/>
          <w:lang w:eastAsia="zh-CN"/>
        </w:rPr>
        <w:t>类别的</w:t>
      </w:r>
      <w:r>
        <w:rPr>
          <w:rFonts w:ascii="宋体" w:hAnsi="Calibri" w:cs="宋体"/>
          <w:szCs w:val="21"/>
          <w:lang w:eastAsia="zh-CN"/>
        </w:rPr>
        <w:t>适用费率及销售渠道</w:t>
      </w:r>
      <w:r>
        <w:rPr>
          <w:rFonts w:ascii="宋体" w:hAnsi="Calibri" w:cs="宋体" w:hint="eastAsia"/>
          <w:szCs w:val="21"/>
          <w:lang w:eastAsia="zh-CN"/>
        </w:rPr>
        <w:t>等有</w:t>
      </w:r>
      <w:r>
        <w:rPr>
          <w:rFonts w:ascii="宋体" w:hAnsi="Calibri" w:cs="宋体"/>
          <w:szCs w:val="21"/>
          <w:lang w:eastAsia="zh-CN"/>
        </w:rPr>
        <w:t>所差</w:t>
      </w:r>
      <w:r>
        <w:rPr>
          <w:rFonts w:ascii="宋体" w:hAnsi="Calibri" w:cs="宋体" w:hint="eastAsia"/>
          <w:szCs w:val="21"/>
          <w:lang w:eastAsia="zh-CN"/>
        </w:rPr>
        <w:t>异</w:t>
      </w:r>
      <w:r>
        <w:rPr>
          <w:rFonts w:ascii="宋体" w:hAnsi="Calibri" w:cs="宋体"/>
          <w:szCs w:val="21"/>
          <w:lang w:eastAsia="zh-CN"/>
        </w:rPr>
        <w:t>，</w:t>
      </w:r>
      <w:r>
        <w:rPr>
          <w:rFonts w:ascii="宋体" w:hAnsi="Calibri" w:cs="宋体" w:hint="eastAsia"/>
          <w:szCs w:val="21"/>
          <w:lang w:eastAsia="zh-CN"/>
        </w:rPr>
        <w:t>并可能发生</w:t>
      </w:r>
      <w:r>
        <w:rPr>
          <w:rFonts w:ascii="宋体" w:hAnsi="Calibri" w:cs="宋体"/>
          <w:szCs w:val="21"/>
          <w:lang w:eastAsia="zh-CN"/>
        </w:rPr>
        <w:t>调整</w:t>
      </w:r>
      <w:r>
        <w:rPr>
          <w:rFonts w:ascii="宋体" w:hAnsi="Calibri" w:cs="宋体" w:hint="eastAsia"/>
          <w:szCs w:val="21"/>
          <w:lang w:eastAsia="zh-CN"/>
        </w:rPr>
        <w:t>，敬请</w:t>
      </w:r>
      <w:r>
        <w:rPr>
          <w:rFonts w:ascii="宋体" w:hAnsi="Calibri" w:cs="宋体"/>
          <w:szCs w:val="21"/>
          <w:lang w:eastAsia="zh-CN"/>
        </w:rPr>
        <w:t>投资者予以关注</w:t>
      </w:r>
      <w:r>
        <w:rPr>
          <w:rFonts w:ascii="宋体" w:hAnsi="Calibri" w:cs="宋体" w:hint="eastAsia"/>
          <w:szCs w:val="21"/>
          <w:lang w:eastAsia="zh-CN"/>
        </w:rPr>
        <w:t>。</w:t>
      </w:r>
    </w:p>
    <w:p w:rsidR="004A090B">
      <w:pPr>
        <w:spacing w:line="360" w:lineRule="auto"/>
        <w:ind w:firstLine="420"/>
        <w:rPr>
          <w:rFonts w:ascii="宋体" w:hAnsi="Calibri" w:cs="宋体"/>
          <w:lang w:eastAsia="zh-CN"/>
        </w:rPr>
      </w:pPr>
      <w:r>
        <w:rPr>
          <w:rFonts w:ascii="宋体" w:hAnsi="Calibri" w:cs="宋体" w:hint="eastAsia"/>
          <w:szCs w:val="21"/>
          <w:lang w:eastAsia="zh-CN"/>
        </w:rPr>
        <w:t>二</w:t>
      </w:r>
      <w:r>
        <w:rPr>
          <w:rFonts w:ascii="宋体" w:hAnsi="Calibri" w:cs="宋体"/>
          <w:szCs w:val="21"/>
          <w:lang w:eastAsia="zh-CN"/>
        </w:rPr>
        <w:t>、</w:t>
      </w:r>
      <w:r>
        <w:rPr>
          <w:rFonts w:ascii="宋体" w:hAnsi="Calibri" w:cs="宋体" w:hint="eastAsia"/>
          <w:szCs w:val="21"/>
          <w:highlight w:val="white"/>
          <w:lang w:eastAsia="zh-CN"/>
        </w:rPr>
        <w:t>基金管理人可根据基金实际运作情况，在对基金份额持有人利益无实质不利影响的情况下，经与基金托管人协商一致，增加新的基金份额类别、取消某基金份额类别或对基金份额分类办法及规则进行调整并公告，不需召开基金份额持有人大会审议。</w:t>
      </w:r>
    </w:p>
    <w:p w:rsidR="004A090B">
      <w:pPr>
        <w:pStyle w:val="Heading1"/>
        <w:pageBreakBefore/>
        <w:spacing w:before="317" w:after="317" w:line="360" w:lineRule="auto"/>
        <w:ind w:firstLine="640"/>
        <w:rPr>
          <w:rFonts w:ascii="宋体" w:eastAsia="宋体" w:hAnsi="Calibri" w:cs="宋体"/>
          <w:bCs/>
          <w:sz w:val="30"/>
          <w:szCs w:val="30"/>
        </w:rPr>
      </w:pPr>
      <w:bookmarkStart w:id="1787" w:name="_Toc129511529"/>
      <w:r>
        <w:rPr>
          <w:rFonts w:ascii="宋体" w:eastAsia="宋体" w:hAnsi="Calibri" w:cs="宋体" w:hint="eastAsia"/>
          <w:bCs/>
          <w:sz w:val="30"/>
          <w:szCs w:val="30"/>
        </w:rPr>
        <w:t>第七部分</w:t>
      </w:r>
      <w:r>
        <w:rPr>
          <w:rFonts w:ascii="宋体" w:eastAsia="宋体" w:hAnsi="Calibri" w:cs="宋体"/>
          <w:bCs/>
          <w:sz w:val="30"/>
          <w:szCs w:val="30"/>
        </w:rPr>
        <w:t xml:space="preserve"> </w:t>
      </w:r>
      <w:r>
        <w:rPr>
          <w:rFonts w:ascii="宋体" w:eastAsia="宋体" w:hAnsi="Calibri" w:cs="宋体" w:hint="eastAsia"/>
          <w:bCs/>
          <w:sz w:val="30"/>
          <w:szCs w:val="30"/>
        </w:rPr>
        <w:t>基金的募集安排</w:t>
      </w:r>
      <w:bookmarkEnd w:id="1786"/>
      <w:bookmarkEnd w:id="1787"/>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本基金由基金管理人依照《基金法》《运作办法》《销售办法》、基金合同的相关规定募集，并经中国证券监督管理委员会</w:t>
      </w:r>
      <w:r w:rsidR="008A73F2">
        <w:rPr>
          <w:rFonts w:ascii="宋体" w:hAnsi="Calibri" w:cs="宋体"/>
          <w:szCs w:val="21"/>
          <w:lang w:eastAsia="zh-CN"/>
        </w:rPr>
        <w:t>2026</w:t>
      </w:r>
      <w:r>
        <w:rPr>
          <w:rFonts w:ascii="宋体" w:hAnsi="Calibri" w:cs="宋体" w:hint="eastAsia"/>
          <w:szCs w:val="21"/>
          <w:lang w:eastAsia="zh-CN"/>
        </w:rPr>
        <w:t>年</w:t>
      </w:r>
      <w:r w:rsidR="008A73F2">
        <w:rPr>
          <w:rFonts w:ascii="宋体" w:hAnsi="Calibri" w:cs="宋体"/>
          <w:szCs w:val="21"/>
          <w:lang w:eastAsia="zh-CN"/>
        </w:rPr>
        <w:t>8</w:t>
      </w:r>
      <w:r>
        <w:rPr>
          <w:rFonts w:ascii="宋体" w:hAnsi="Calibri" w:cs="宋体" w:hint="eastAsia"/>
          <w:szCs w:val="21"/>
          <w:lang w:eastAsia="zh-CN"/>
        </w:rPr>
        <w:t>月</w:t>
      </w:r>
      <w:r w:rsidR="008A73F2">
        <w:rPr>
          <w:rFonts w:ascii="宋体" w:hAnsi="Calibri" w:cs="宋体"/>
          <w:szCs w:val="21"/>
          <w:lang w:eastAsia="zh-CN"/>
        </w:rPr>
        <w:t>24</w:t>
      </w:r>
      <w:r>
        <w:rPr>
          <w:rFonts w:ascii="宋体" w:hAnsi="Calibri" w:cs="宋体" w:hint="eastAsia"/>
          <w:szCs w:val="21"/>
          <w:lang w:eastAsia="zh-CN"/>
        </w:rPr>
        <w:t>日</w:t>
      </w:r>
      <w:r>
        <w:rPr>
          <w:rStyle w:val="da"/>
          <w:rFonts w:ascii="宋体" w:hAnsi="Calibri" w:cs="宋体" w:hint="eastAsia"/>
          <w:lang w:eastAsia="zh-CN"/>
        </w:rPr>
        <w:t>《关于准予</w:t>
      </w:r>
      <w:r>
        <w:rPr>
          <w:rStyle w:val="da"/>
          <w:rFonts w:ascii="宋体" w:hAnsi="Calibri" w:cs="宋体"/>
          <w:lang w:eastAsia="zh-CN"/>
        </w:rPr>
        <w:t>易方达中证科创创业人工智能交易型开放式指数证券投资基金发起式联接基金注册的批复》（证监许可</w:t>
      </w:r>
      <w:r>
        <w:rPr>
          <w:rStyle w:val="da"/>
          <w:rFonts w:ascii="宋体" w:hAnsi="Calibri" w:cs="宋体"/>
          <w:lang w:eastAsia="zh-CN"/>
        </w:rPr>
        <w:t>[</w:t>
      </w:r>
      <w:r w:rsidR="008A73F2">
        <w:rPr>
          <w:rStyle w:val="da"/>
          <w:rFonts w:ascii="宋体" w:hAnsi="Calibri" w:cs="宋体"/>
          <w:lang w:eastAsia="zh-CN"/>
        </w:rPr>
        <w:t>2026</w:t>
      </w:r>
      <w:r>
        <w:rPr>
          <w:rStyle w:val="da"/>
          <w:rFonts w:ascii="宋体" w:hAnsi="Calibri" w:cs="宋体" w:hint="eastAsia"/>
          <w:lang w:eastAsia="zh-CN"/>
        </w:rPr>
        <w:t>]</w:t>
      </w:r>
      <w:r w:rsidR="008A73F2">
        <w:rPr>
          <w:rStyle w:val="da"/>
          <w:rFonts w:ascii="宋体" w:hAnsi="Calibri" w:cs="宋体"/>
          <w:lang w:eastAsia="zh-CN"/>
        </w:rPr>
        <w:t>2221</w:t>
      </w:r>
      <w:r>
        <w:rPr>
          <w:rStyle w:val="da"/>
          <w:rFonts w:ascii="宋体" w:hAnsi="Calibri" w:cs="宋体" w:hint="eastAsia"/>
          <w:lang w:eastAsia="zh-CN"/>
        </w:rPr>
        <w:t>号）注册。</w:t>
      </w:r>
    </w:p>
    <w:p w:rsidR="004A090B">
      <w:pPr>
        <w:spacing w:line="360" w:lineRule="auto"/>
        <w:ind w:firstLine="420"/>
        <w:rPr>
          <w:rStyle w:val="da"/>
          <w:rFonts w:ascii="宋体" w:hAnsi="Calibri" w:cs="宋体"/>
          <w:lang w:eastAsia="zh-CN"/>
        </w:rPr>
      </w:pPr>
      <w:bookmarkStart w:id="1788" w:name="_Toc332373487"/>
      <w:bookmarkStart w:id="1789" w:name="_Toc332373490"/>
      <w:r>
        <w:rPr>
          <w:rStyle w:val="da"/>
          <w:rFonts w:ascii="宋体" w:hAnsi="Calibri" w:cs="宋体" w:hint="eastAsia"/>
          <w:lang w:eastAsia="zh-CN"/>
        </w:rPr>
        <w:t>一、基金的类别</w:t>
      </w:r>
      <w:bookmarkEnd w:id="1788"/>
    </w:p>
    <w:p w:rsidR="004A090B">
      <w:pPr>
        <w:spacing w:line="360" w:lineRule="auto"/>
        <w:ind w:firstLine="420"/>
        <w:rPr>
          <w:rStyle w:val="da"/>
          <w:rFonts w:ascii="宋体" w:hAnsi="Calibri" w:cs="宋体"/>
          <w:lang w:eastAsia="zh-CN"/>
        </w:rPr>
      </w:pPr>
      <w:r>
        <w:rPr>
          <w:rStyle w:val="da"/>
          <w:rFonts w:ascii="宋体" w:hAnsi="Calibri" w:cs="宋体"/>
          <w:lang w:eastAsia="zh-CN"/>
        </w:rPr>
        <w:t>指数基金、联接基金</w:t>
      </w:r>
    </w:p>
    <w:p w:rsidR="004A090B">
      <w:pPr>
        <w:spacing w:line="360" w:lineRule="auto"/>
        <w:ind w:firstLine="420"/>
        <w:rPr>
          <w:rStyle w:val="da"/>
          <w:rFonts w:ascii="宋体" w:hAnsi="Calibri" w:cs="宋体"/>
          <w:lang w:eastAsia="zh-CN"/>
        </w:rPr>
      </w:pPr>
      <w:bookmarkStart w:id="1790" w:name="_Toc332373488"/>
      <w:r>
        <w:rPr>
          <w:rStyle w:val="da"/>
          <w:rFonts w:ascii="宋体" w:hAnsi="Calibri" w:cs="宋体" w:hint="eastAsia"/>
          <w:lang w:eastAsia="zh-CN"/>
        </w:rPr>
        <w:t>二、基金的运作方式</w:t>
      </w:r>
      <w:bookmarkEnd w:id="1790"/>
    </w:p>
    <w:p w:rsidR="004A090B">
      <w:pPr>
        <w:spacing w:line="360" w:lineRule="auto"/>
        <w:ind w:firstLine="420"/>
        <w:rPr>
          <w:rStyle w:val="da"/>
          <w:rFonts w:ascii="宋体" w:hAnsi="Calibri" w:cs="宋体"/>
          <w:lang w:eastAsia="zh-CN"/>
        </w:rPr>
      </w:pPr>
      <w:r>
        <w:rPr>
          <w:rStyle w:val="da"/>
          <w:rFonts w:ascii="宋体" w:hAnsi="Calibri" w:cs="宋体"/>
          <w:lang w:eastAsia="zh-CN"/>
        </w:rPr>
        <w:t>契约型开放式</w:t>
      </w:r>
    </w:p>
    <w:p w:rsidR="004A090B">
      <w:pPr>
        <w:spacing w:line="360" w:lineRule="auto"/>
        <w:ind w:firstLine="420"/>
        <w:rPr>
          <w:rStyle w:val="da"/>
          <w:rFonts w:ascii="宋体" w:hAnsi="Calibri" w:cs="宋体"/>
          <w:lang w:eastAsia="zh-CN"/>
        </w:rPr>
      </w:pPr>
      <w:bookmarkStart w:id="1791" w:name="_Toc332373489"/>
      <w:r>
        <w:rPr>
          <w:rStyle w:val="da"/>
          <w:rFonts w:ascii="宋体" w:hAnsi="Calibri" w:cs="宋体" w:hint="eastAsia"/>
          <w:lang w:eastAsia="zh-CN"/>
        </w:rPr>
        <w:t>三、基金存续期</w:t>
      </w:r>
      <w:bookmarkEnd w:id="1791"/>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不定期</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四、募集期限</w:t>
      </w:r>
      <w:bookmarkEnd w:id="1789"/>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自</w:t>
      </w:r>
      <w:r>
        <w:rPr>
          <w:rStyle w:val="da"/>
          <w:rFonts w:ascii="宋体" w:hAnsi="Calibri" w:cs="宋体"/>
          <w:lang w:eastAsia="zh-CN"/>
        </w:rPr>
        <w:t>基金份额发售</w:t>
      </w:r>
      <w:r>
        <w:rPr>
          <w:rStyle w:val="da"/>
          <w:rFonts w:ascii="宋体" w:hAnsi="Calibri" w:cs="宋体" w:hint="eastAsia"/>
          <w:lang w:eastAsia="zh-CN"/>
        </w:rPr>
        <w:t>之日起最长不得超过</w:t>
      </w:r>
      <w:r>
        <w:rPr>
          <w:rStyle w:val="da"/>
          <w:rFonts w:ascii="宋体" w:hAnsi="Calibri" w:cs="宋体" w:hint="eastAsia"/>
          <w:lang w:eastAsia="zh-CN"/>
        </w:rPr>
        <w:t>3</w:t>
      </w:r>
      <w:r>
        <w:rPr>
          <w:rStyle w:val="da"/>
          <w:rFonts w:ascii="宋体" w:hAnsi="Calibri" w:cs="宋体" w:hint="eastAsia"/>
          <w:lang w:eastAsia="zh-CN"/>
        </w:rPr>
        <w:t>个月，具体发售时间见基金份额发售公告。</w:t>
      </w:r>
    </w:p>
    <w:p w:rsidR="004A090B">
      <w:pPr>
        <w:spacing w:line="360" w:lineRule="auto"/>
        <w:ind w:firstLine="420"/>
        <w:rPr>
          <w:rStyle w:val="da"/>
          <w:rFonts w:ascii="宋体" w:hAnsi="Calibri" w:cs="宋体"/>
          <w:lang w:eastAsia="zh-CN"/>
        </w:rPr>
      </w:pPr>
      <w:bookmarkStart w:id="1792" w:name="_Toc332373491"/>
      <w:r>
        <w:rPr>
          <w:rStyle w:val="da"/>
          <w:rFonts w:ascii="宋体" w:hAnsi="Calibri" w:cs="宋体" w:hint="eastAsia"/>
          <w:lang w:eastAsia="zh-CN"/>
        </w:rPr>
        <w:t>五、募集对象</w:t>
      </w:r>
      <w:bookmarkEnd w:id="1792"/>
    </w:p>
    <w:p w:rsidR="004A090B">
      <w:pPr>
        <w:spacing w:line="360" w:lineRule="auto"/>
        <w:ind w:firstLine="420"/>
        <w:rPr>
          <w:rFonts w:ascii="宋体" w:hAnsi="Calibri" w:cs="宋体"/>
          <w:bCs/>
          <w:lang w:eastAsia="zh-CN"/>
        </w:rPr>
      </w:pPr>
      <w:r>
        <w:rPr>
          <w:rFonts w:ascii="宋体" w:hAnsi="Calibri" w:cs="宋体" w:hint="eastAsia"/>
          <w:bCs/>
          <w:highlight w:val="white"/>
          <w:lang w:eastAsia="zh-CN"/>
        </w:rPr>
        <w:t>符合法律法规规定的可投资于证券投资基金的个人投资者、机构投资者、合格境外投资者以及法律法规或中国证监会允许购买证券投资基金的其他投资人。</w:t>
      </w:r>
    </w:p>
    <w:p w:rsidR="004A090B">
      <w:pPr>
        <w:spacing w:line="360" w:lineRule="auto"/>
        <w:ind w:firstLine="420"/>
        <w:rPr>
          <w:rStyle w:val="da"/>
          <w:rFonts w:ascii="宋体" w:hAnsi="Calibri" w:cs="宋体"/>
          <w:lang w:eastAsia="zh-CN"/>
        </w:rPr>
      </w:pPr>
      <w:bookmarkStart w:id="1793" w:name="_Toc332373492"/>
      <w:r>
        <w:rPr>
          <w:rStyle w:val="da"/>
          <w:rFonts w:ascii="宋体" w:hAnsi="Calibri" w:cs="宋体" w:hint="eastAsia"/>
          <w:lang w:eastAsia="zh-CN"/>
        </w:rPr>
        <w:t>六、募集方式及场所</w:t>
      </w:r>
      <w:bookmarkEnd w:id="1793"/>
    </w:p>
    <w:p w:rsidR="004A090B">
      <w:pPr>
        <w:spacing w:line="360" w:lineRule="auto"/>
        <w:ind w:firstLine="422"/>
        <w:rPr>
          <w:rStyle w:val="da"/>
          <w:rFonts w:ascii="宋体" w:hAnsi="Calibri" w:cs="宋体"/>
          <w:lang w:eastAsia="zh-CN"/>
        </w:rPr>
      </w:pPr>
      <w:r>
        <w:rPr>
          <w:rStyle w:val="da"/>
          <w:rFonts w:ascii="宋体" w:hAnsi="Calibri" w:cs="宋体" w:hint="eastAsia"/>
          <w:lang w:eastAsia="zh-CN"/>
        </w:rPr>
        <w:t>本基金通过各销售机构的基金销售网点公开发售，销售机构具体名单及联系方式见基金份额发售公告，基金管理人可根据情况变更或增减销售机构并在基金管理人网站公示。</w:t>
      </w:r>
    </w:p>
    <w:p w:rsidR="004A090B">
      <w:pPr>
        <w:spacing w:line="360" w:lineRule="auto"/>
        <w:ind w:firstLine="422"/>
        <w:rPr>
          <w:rStyle w:val="da"/>
          <w:rFonts w:ascii="宋体" w:hAnsi="Calibri" w:cs="宋体"/>
          <w:lang w:eastAsia="zh-CN"/>
        </w:rPr>
      </w:pPr>
      <w:r>
        <w:rPr>
          <w:rStyle w:val="da"/>
          <w:rFonts w:ascii="宋体" w:hAnsi="Calibri" w:cs="宋体" w:hint="eastAsia"/>
          <w:lang w:eastAsia="zh-CN"/>
        </w:rPr>
        <w:t>本基金具体发售方案以基金份额发售公告为准，请投资人就募集和认购的具体事宜仔细阅读基金份额发售公告</w:t>
      </w:r>
      <w:r>
        <w:rPr>
          <w:rStyle w:val="da"/>
          <w:rFonts w:ascii="宋体" w:hAnsi="Calibri" w:cs="宋体"/>
          <w:lang w:eastAsia="zh-CN"/>
        </w:rPr>
        <w:t>。</w:t>
      </w:r>
    </w:p>
    <w:p w:rsidR="004A090B">
      <w:pPr>
        <w:spacing w:line="360" w:lineRule="auto"/>
        <w:ind w:firstLine="420"/>
        <w:rPr>
          <w:rStyle w:val="da"/>
          <w:rFonts w:ascii="宋体" w:hAnsi="Calibri" w:cs="宋体"/>
          <w:lang w:eastAsia="zh-CN"/>
        </w:rPr>
      </w:pPr>
      <w:bookmarkStart w:id="1794" w:name="_Toc332373493"/>
      <w:r>
        <w:rPr>
          <w:rStyle w:val="da"/>
          <w:rFonts w:ascii="宋体" w:hAnsi="Calibri" w:cs="宋体" w:hint="eastAsia"/>
          <w:lang w:eastAsia="zh-CN"/>
        </w:rPr>
        <w:t>七、认购安排</w:t>
      </w:r>
      <w:bookmarkEnd w:id="1794"/>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1</w:t>
      </w:r>
      <w:r>
        <w:rPr>
          <w:rStyle w:val="da"/>
          <w:rFonts w:ascii="宋体" w:hAnsi="Calibri" w:cs="宋体" w:hint="eastAsia"/>
          <w:lang w:eastAsia="zh-CN"/>
        </w:rPr>
        <w:t>、认购时间</w:t>
      </w:r>
    </w:p>
    <w:p w:rsidR="004A090B">
      <w:pPr>
        <w:spacing w:line="360" w:lineRule="auto"/>
        <w:ind w:firstLine="420"/>
        <w:rPr>
          <w:rStyle w:val="da"/>
          <w:rFonts w:ascii="宋体" w:hAnsi="Calibri" w:cs="宋体"/>
          <w:lang w:eastAsia="zh-CN"/>
        </w:rPr>
      </w:pPr>
      <w:r>
        <w:rPr>
          <w:rFonts w:ascii="宋体" w:hAnsi="Calibri" w:cs="宋体" w:hint="eastAsia"/>
          <w:szCs w:val="21"/>
          <w:lang w:eastAsia="zh-CN"/>
        </w:rPr>
        <w:t>认购的具体业务办理时间由基金管理人依据相关法律法规、基金合同确定并公告。</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2</w:t>
      </w:r>
      <w:r>
        <w:rPr>
          <w:rStyle w:val="da"/>
          <w:rFonts w:ascii="宋体" w:hAnsi="Calibri" w:cs="宋体" w:hint="eastAsia"/>
          <w:lang w:eastAsia="zh-CN"/>
        </w:rPr>
        <w:t>、募集规模上限</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本基金可设置首次募集规模上限，具体募集上限及规模控制的方案详见基金份额发售公告或其他公告。若本基金设置首次募集规模上限，基金合同生效后不受</w:t>
      </w:r>
      <w:r>
        <w:rPr>
          <w:rStyle w:val="da"/>
          <w:rFonts w:ascii="宋体" w:hAnsi="Calibri" w:cs="宋体" w:hint="eastAsia"/>
          <w:lang w:eastAsia="zh-CN"/>
        </w:rPr>
        <w:t>此募集规模的限制。</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3</w:t>
      </w:r>
      <w:r>
        <w:rPr>
          <w:rStyle w:val="da"/>
          <w:rFonts w:ascii="宋体" w:hAnsi="Calibri" w:cs="宋体" w:hint="eastAsia"/>
          <w:lang w:eastAsia="zh-CN"/>
        </w:rPr>
        <w:t>、认购数量限制</w:t>
      </w:r>
      <w:r>
        <w:rPr>
          <w:rStyle w:val="da"/>
          <w:rFonts w:ascii="宋体" w:hAnsi="Calibri" w:cs="宋体" w:hint="eastAsia"/>
          <w:lang w:eastAsia="zh-CN"/>
        </w:rPr>
        <w:t xml:space="preserve"> </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w:t>
      </w:r>
      <w:r>
        <w:rPr>
          <w:rStyle w:val="da"/>
          <w:rFonts w:ascii="宋体" w:hAnsi="Calibri" w:cs="宋体" w:hint="eastAsia"/>
          <w:lang w:eastAsia="zh-CN"/>
        </w:rPr>
        <w:t>1</w:t>
      </w:r>
      <w:r>
        <w:rPr>
          <w:rStyle w:val="da"/>
          <w:rFonts w:ascii="宋体" w:hAnsi="Calibri" w:cs="宋体" w:hint="eastAsia"/>
          <w:lang w:eastAsia="zh-CN"/>
        </w:rPr>
        <w:t>）本基金采用金额认购方式。</w:t>
      </w:r>
      <w:r>
        <w:rPr>
          <w:rStyle w:val="da"/>
          <w:rFonts w:ascii="宋体" w:hAnsi="Calibri" w:cs="宋体" w:hint="eastAsia"/>
          <w:lang w:eastAsia="zh-CN"/>
        </w:rPr>
        <w:t xml:space="preserve"> </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w:t>
      </w:r>
      <w:r>
        <w:rPr>
          <w:rStyle w:val="da"/>
          <w:rFonts w:ascii="宋体" w:hAnsi="Calibri" w:cs="宋体" w:hint="eastAsia"/>
          <w:lang w:eastAsia="zh-CN"/>
        </w:rPr>
        <w:t>2</w:t>
      </w:r>
      <w:r>
        <w:rPr>
          <w:rStyle w:val="da"/>
          <w:rFonts w:ascii="宋体" w:hAnsi="Calibri" w:cs="宋体" w:hint="eastAsia"/>
          <w:lang w:eastAsia="zh-CN"/>
        </w:rPr>
        <w:t>）投资人认购基金份额采用全额缴款的认购方式。投资人认购时，需按销售机构规定的方式全额缴款。</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w:t>
      </w:r>
      <w:r>
        <w:rPr>
          <w:rStyle w:val="da"/>
          <w:rFonts w:ascii="宋体" w:hAnsi="Calibri" w:cs="宋体" w:hint="eastAsia"/>
          <w:lang w:eastAsia="zh-CN"/>
        </w:rPr>
        <w:t>3</w:t>
      </w:r>
      <w:r>
        <w:rPr>
          <w:rStyle w:val="da"/>
          <w:rFonts w:ascii="宋体" w:hAnsi="Calibri" w:cs="宋体" w:hint="eastAsia"/>
          <w:lang w:eastAsia="zh-CN"/>
        </w:rPr>
        <w:t>）投资人在募集期内可以多次认购基金份额，</w:t>
      </w:r>
      <w:r>
        <w:rPr>
          <w:rFonts w:ascii="宋体" w:hAnsi="Calibri" w:cs="宋体"/>
          <w:color w:val="000000"/>
          <w:lang w:eastAsia="zh-CN"/>
        </w:rPr>
        <w:t>登记机构一旦确认认购份额，将不再办理撤销</w:t>
      </w:r>
      <w:r>
        <w:rPr>
          <w:rStyle w:val="da"/>
          <w:rFonts w:ascii="宋体" w:hAnsi="Calibri" w:cs="宋体"/>
          <w:lang w:eastAsia="zh-CN"/>
        </w:rPr>
        <w:t>。</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w:t>
      </w:r>
      <w:r>
        <w:rPr>
          <w:rStyle w:val="da"/>
          <w:rFonts w:ascii="宋体" w:hAnsi="Calibri" w:cs="宋体" w:hint="eastAsia"/>
          <w:lang w:eastAsia="zh-CN"/>
        </w:rPr>
        <w:t>4</w:t>
      </w:r>
      <w:r>
        <w:rPr>
          <w:rStyle w:val="da"/>
          <w:rFonts w:ascii="宋体" w:hAnsi="Calibri" w:cs="宋体" w:hint="eastAsia"/>
          <w:lang w:eastAsia="zh-CN"/>
        </w:rPr>
        <w:t>）在基金募集期内，除基金份额发售公告另有规定，投资人通过非直销销售机构或本公司</w:t>
      </w:r>
      <w:r>
        <w:rPr>
          <w:rFonts w:ascii="宋体" w:hAnsi="Calibri" w:cs="宋体" w:hint="eastAsia"/>
          <w:szCs w:val="21"/>
          <w:lang w:eastAsia="zh-CN"/>
        </w:rPr>
        <w:t>网上直销系统</w:t>
      </w:r>
      <w:r>
        <w:rPr>
          <w:rStyle w:val="da"/>
          <w:rFonts w:ascii="宋体" w:hAnsi="Calibri" w:cs="宋体" w:hint="eastAsia"/>
          <w:lang w:eastAsia="zh-CN"/>
        </w:rPr>
        <w:t>首次认购的单笔最低限额为人民币</w:t>
      </w:r>
      <w:r>
        <w:rPr>
          <w:rStyle w:val="da"/>
          <w:rFonts w:ascii="宋体" w:hAnsi="Calibri" w:cs="宋体" w:hint="eastAsia"/>
          <w:lang w:eastAsia="zh-CN"/>
        </w:rPr>
        <w:t>1</w:t>
      </w:r>
      <w:r>
        <w:rPr>
          <w:rStyle w:val="da"/>
          <w:rFonts w:ascii="宋体" w:hAnsi="Calibri" w:cs="宋体" w:hint="eastAsia"/>
          <w:lang w:eastAsia="zh-CN"/>
        </w:rPr>
        <w:t>元，追加认购单笔最低限额为人民币</w:t>
      </w:r>
      <w:r>
        <w:rPr>
          <w:rStyle w:val="da"/>
          <w:rFonts w:ascii="宋体" w:hAnsi="Calibri" w:cs="宋体" w:hint="eastAsia"/>
          <w:lang w:eastAsia="zh-CN"/>
        </w:rPr>
        <w:t>1</w:t>
      </w:r>
      <w:r>
        <w:rPr>
          <w:rStyle w:val="da"/>
          <w:rFonts w:ascii="宋体" w:hAnsi="Calibri" w:cs="宋体" w:hint="eastAsia"/>
          <w:lang w:eastAsia="zh-CN"/>
        </w:rPr>
        <w:t>元；投资人通过本公司直销中心首次认购的单笔最低限额为人民币</w:t>
      </w:r>
      <w:r>
        <w:rPr>
          <w:rStyle w:val="da"/>
          <w:rFonts w:ascii="宋体" w:hAnsi="Calibri" w:cs="宋体" w:hint="eastAsia"/>
          <w:lang w:eastAsia="zh-CN"/>
        </w:rPr>
        <w:t>50,000</w:t>
      </w:r>
      <w:r>
        <w:rPr>
          <w:rStyle w:val="da"/>
          <w:rFonts w:ascii="宋体" w:hAnsi="Calibri" w:cs="宋体" w:hint="eastAsia"/>
          <w:lang w:eastAsia="zh-CN"/>
        </w:rPr>
        <w:t>元，追加认购单笔最低限额</w:t>
      </w:r>
      <w:r>
        <w:rPr>
          <w:rStyle w:val="da"/>
          <w:rFonts w:ascii="宋体" w:hAnsi="Calibri" w:cs="宋体" w:hint="eastAsia"/>
          <w:lang w:eastAsia="zh-CN"/>
        </w:rPr>
        <w:t>是人民币</w:t>
      </w:r>
      <w:r>
        <w:rPr>
          <w:rStyle w:val="da"/>
          <w:rFonts w:ascii="宋体" w:hAnsi="Calibri" w:cs="宋体" w:hint="eastAsia"/>
          <w:lang w:eastAsia="zh-CN"/>
        </w:rPr>
        <w:t>1,000</w:t>
      </w:r>
      <w:r>
        <w:rPr>
          <w:rStyle w:val="da"/>
          <w:rFonts w:ascii="宋体" w:hAnsi="Calibri" w:cs="宋体" w:hint="eastAsia"/>
          <w:lang w:eastAsia="zh-CN"/>
        </w:rPr>
        <w:t>元。在符合法律法规规定的前提下，各销售机构对最低认购限额及交易级差有其他规定的，需要同时遵循该销售机构的相关规定。（以上金额均含认购费）。</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4</w:t>
      </w:r>
      <w:r>
        <w:rPr>
          <w:rStyle w:val="da"/>
          <w:rFonts w:ascii="宋体" w:hAnsi="Calibri" w:cs="宋体" w:hint="eastAsia"/>
          <w:lang w:eastAsia="zh-CN"/>
        </w:rPr>
        <w:t>、募集期利息的处理方式</w:t>
      </w:r>
      <w:r>
        <w:rPr>
          <w:rStyle w:val="da"/>
          <w:rFonts w:ascii="宋体" w:hAnsi="Calibri" w:cs="宋体" w:hint="eastAsia"/>
          <w:lang w:eastAsia="zh-CN"/>
        </w:rPr>
        <w:t xml:space="preserve"> </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有效认购款项在募集期间产生的利息将折算为基金份额归基金份额持有人所有，其中利息转份额的数额以登记机构的记录为准。</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5</w:t>
      </w:r>
      <w:r>
        <w:rPr>
          <w:rStyle w:val="da"/>
          <w:rFonts w:ascii="宋体" w:hAnsi="Calibri" w:cs="宋体" w:hint="eastAsia"/>
          <w:lang w:eastAsia="zh-CN"/>
        </w:rPr>
        <w:t>、基金份额的认购费用及认购份额的计算公式</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w:t>
      </w:r>
      <w:r>
        <w:rPr>
          <w:rStyle w:val="da"/>
          <w:rFonts w:ascii="宋体" w:hAnsi="Calibri" w:cs="宋体" w:hint="eastAsia"/>
          <w:lang w:eastAsia="zh-CN"/>
        </w:rPr>
        <w:t>1</w:t>
      </w:r>
      <w:r>
        <w:rPr>
          <w:rStyle w:val="da"/>
          <w:rFonts w:ascii="宋体" w:hAnsi="Calibri" w:cs="宋体" w:hint="eastAsia"/>
          <w:lang w:eastAsia="zh-CN"/>
        </w:rPr>
        <w:t>）认购费率</w:t>
      </w:r>
      <w:r>
        <w:rPr>
          <w:rStyle w:val="da"/>
          <w:rFonts w:ascii="宋体" w:hAnsi="Calibri" w:cs="宋体" w:hint="eastAsia"/>
          <w:lang w:eastAsia="zh-CN"/>
        </w:rPr>
        <w:t xml:space="preserve"> </w:t>
      </w:r>
    </w:p>
    <w:p w:rsidR="004A090B">
      <w:pPr>
        <w:spacing w:line="360" w:lineRule="auto"/>
        <w:ind w:firstLine="420"/>
        <w:rPr>
          <w:rFonts w:ascii="宋体" w:hAnsi="Calibri" w:cs="宋体"/>
          <w:lang w:eastAsia="zh-CN"/>
        </w:rPr>
      </w:pPr>
      <w:r>
        <w:rPr>
          <w:rStyle w:val="da"/>
          <w:rFonts w:ascii="宋体" w:hAnsi="Calibri" w:cs="宋体" w:hint="eastAsia"/>
          <w:lang w:eastAsia="zh-CN"/>
        </w:rPr>
        <w:t>本基金</w:t>
      </w:r>
      <w:r>
        <w:rPr>
          <w:rStyle w:val="da"/>
          <w:rFonts w:ascii="宋体" w:hAnsi="Calibri" w:cs="宋体"/>
          <w:lang w:eastAsia="zh-CN"/>
        </w:rPr>
        <w:t>A</w:t>
      </w:r>
      <w:r>
        <w:rPr>
          <w:rStyle w:val="da"/>
          <w:rFonts w:ascii="宋体" w:hAnsi="Calibri" w:cs="宋体" w:hint="eastAsia"/>
          <w:lang w:eastAsia="zh-CN"/>
        </w:rPr>
        <w:t>类基金份额在认购时</w:t>
      </w:r>
      <w:r>
        <w:rPr>
          <w:rStyle w:val="da"/>
          <w:rFonts w:ascii="宋体" w:hAnsi="宋体" w:cs="宋体" w:hint="eastAsia"/>
          <w:highlight w:val="white"/>
          <w:lang w:eastAsia="zh-CN"/>
        </w:rPr>
        <w:t>按规定</w:t>
      </w:r>
      <w:r>
        <w:rPr>
          <w:rStyle w:val="da"/>
          <w:rFonts w:ascii="宋体" w:hAnsi="Calibri" w:cs="宋体" w:hint="eastAsia"/>
          <w:lang w:eastAsia="zh-CN"/>
        </w:rPr>
        <w:t>收取基金认购费用</w:t>
      </w:r>
      <w:r>
        <w:rPr>
          <w:rFonts w:ascii="宋体" w:hAnsi="Calibri" w:cs="宋体"/>
          <w:color w:val="000000"/>
          <w:lang w:eastAsia="zh-CN"/>
        </w:rPr>
        <w:t>。本基金</w:t>
      </w:r>
      <w:r>
        <w:rPr>
          <w:rFonts w:ascii="宋体" w:hAnsi="Calibri" w:cs="宋体"/>
          <w:color w:val="000000"/>
          <w:lang w:eastAsia="zh-CN"/>
        </w:rPr>
        <w:t>C</w:t>
      </w:r>
      <w:r>
        <w:rPr>
          <w:rFonts w:ascii="宋体" w:hAnsi="Calibri" w:cs="宋体"/>
          <w:color w:val="000000"/>
          <w:lang w:eastAsia="zh-CN"/>
        </w:rPr>
        <w:t>类基金份额不收取认购费用，在投资者持有期间</w:t>
      </w:r>
      <w:r>
        <w:rPr>
          <w:rFonts w:ascii="宋体" w:hAnsi="宋体" w:cs="宋体"/>
          <w:color w:val="000000"/>
          <w:highlight w:val="white"/>
          <w:lang w:eastAsia="zh-CN"/>
        </w:rPr>
        <w:t>计提销售服务费</w:t>
      </w:r>
      <w:r>
        <w:rPr>
          <w:rFonts w:ascii="宋体" w:hAnsi="宋体" w:cs="宋体" w:hint="eastAsia"/>
          <w:color w:val="000000"/>
          <w:highlight w:val="white"/>
          <w:lang w:eastAsia="zh-CN"/>
        </w:rPr>
        <w:t>并按规定收取或返还</w:t>
      </w:r>
      <w:r>
        <w:rPr>
          <w:rStyle w:val="da"/>
          <w:rFonts w:ascii="宋体" w:hAnsi="Calibri" w:cs="宋体" w:hint="eastAsia"/>
          <w:lang w:eastAsia="zh-CN"/>
        </w:rPr>
        <w:t>。</w:t>
      </w:r>
    </w:p>
    <w:tbl>
      <w:tblPr>
        <w:tblW w:w="62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39"/>
        <w:gridCol w:w="2669"/>
      </w:tblGrid>
      <w:tr>
        <w:tblPrEx>
          <w:tblW w:w="6208" w:type="dxa"/>
          <w:jc w:val="center"/>
          <w:tblLayout w:type="fixed"/>
          <w:tblLook w:val="04A0"/>
        </w:tblPrEx>
        <w:trPr>
          <w:trHeight w:val="299"/>
          <w:jc w:val="center"/>
        </w:trPr>
        <w:tc>
          <w:tcPr>
            <w:tcW w:w="3539" w:type="dxa"/>
            <w:tcBorders>
              <w:top w:val="single" w:sz="4" w:space="0" w:color="auto"/>
              <w:left w:val="single" w:sz="4" w:space="0" w:color="auto"/>
              <w:bottom w:val="single" w:sz="4" w:space="0" w:color="auto"/>
              <w:right w:val="single" w:sz="4" w:space="0" w:color="auto"/>
            </w:tcBorders>
          </w:tcPr>
          <w:p w:rsidR="004A090B">
            <w:pPr>
              <w:spacing w:line="360" w:lineRule="auto"/>
              <w:jc w:val="center"/>
              <w:rPr>
                <w:rFonts w:ascii="宋体" w:hAnsi="Calibri" w:cs="宋体"/>
                <w:lang w:eastAsia="zh-CN"/>
              </w:rPr>
            </w:pPr>
            <w:r>
              <w:rPr>
                <w:rFonts w:ascii="宋体" w:hAnsi="Calibri" w:cs="宋体"/>
                <w:lang w:eastAsia="zh-CN"/>
              </w:rPr>
              <w:t>认购</w:t>
            </w:r>
            <w:r>
              <w:rPr>
                <w:rFonts w:ascii="宋体" w:hAnsi="Calibri" w:cs="宋体" w:hint="eastAsia"/>
                <w:lang w:eastAsia="zh-CN"/>
              </w:rPr>
              <w:t>申请</w:t>
            </w:r>
            <w:r>
              <w:rPr>
                <w:rFonts w:ascii="宋体" w:hAnsi="Calibri" w:cs="宋体"/>
                <w:lang w:eastAsia="zh-CN"/>
              </w:rPr>
              <w:t>金额</w:t>
            </w:r>
            <w:r>
              <w:rPr>
                <w:rFonts w:ascii="宋体" w:hAnsi="Calibri" w:cs="宋体"/>
                <w:lang w:eastAsia="zh-CN"/>
              </w:rPr>
              <w:t>M</w:t>
            </w:r>
            <w:r>
              <w:rPr>
                <w:rFonts w:ascii="宋体" w:hAnsi="Calibri" w:cs="宋体"/>
                <w:lang w:eastAsia="zh-CN"/>
              </w:rPr>
              <w:t>（元）（含认购费）</w:t>
            </w:r>
          </w:p>
        </w:tc>
        <w:tc>
          <w:tcPr>
            <w:tcW w:w="2669" w:type="dxa"/>
            <w:tcBorders>
              <w:top w:val="single" w:sz="4" w:space="0" w:color="auto"/>
              <w:left w:val="single" w:sz="4" w:space="0" w:color="auto"/>
              <w:bottom w:val="single" w:sz="4" w:space="0" w:color="auto"/>
              <w:right w:val="single" w:sz="4" w:space="0" w:color="auto"/>
            </w:tcBorders>
          </w:tcPr>
          <w:p w:rsidR="004A090B">
            <w:pPr>
              <w:spacing w:line="360" w:lineRule="auto"/>
              <w:jc w:val="center"/>
              <w:rPr>
                <w:rFonts w:ascii="宋体" w:hAnsi="Calibri" w:cs="宋体"/>
                <w:lang w:eastAsia="zh-CN"/>
              </w:rPr>
            </w:pPr>
            <w:r>
              <w:rPr>
                <w:rStyle w:val="da"/>
                <w:rFonts w:ascii="宋体" w:hAnsi="Calibri" w:cs="宋体"/>
                <w:lang w:eastAsia="zh-CN"/>
              </w:rPr>
              <w:t>A</w:t>
            </w:r>
            <w:r>
              <w:rPr>
                <w:rStyle w:val="da"/>
                <w:rFonts w:ascii="宋体" w:hAnsi="Calibri" w:cs="宋体"/>
                <w:lang w:eastAsia="zh-CN"/>
              </w:rPr>
              <w:t>类基金份额</w:t>
            </w:r>
            <w:r>
              <w:rPr>
                <w:rFonts w:ascii="宋体" w:hAnsi="Calibri" w:cs="宋体"/>
                <w:lang w:eastAsia="zh-CN"/>
              </w:rPr>
              <w:t>认购费率</w:t>
            </w:r>
          </w:p>
        </w:tc>
      </w:tr>
      <w:tr>
        <w:tblPrEx>
          <w:tblW w:w="6208" w:type="dxa"/>
          <w:jc w:val="center"/>
          <w:tblLayout w:type="fixed"/>
          <w:tblLook w:val="04A0"/>
        </w:tblPrEx>
        <w:trPr>
          <w:trHeight w:val="360"/>
          <w:jc w:val="center"/>
        </w:trPr>
        <w:tc>
          <w:tcPr>
            <w:tcW w:w="3539" w:type="dxa"/>
          </w:tcPr>
          <w:p w:rsidR="004A090B">
            <w:pPr>
              <w:spacing w:line="360" w:lineRule="auto"/>
              <w:jc w:val="center"/>
              <w:rPr>
                <w:rFonts w:ascii="宋体" w:hAnsi="Calibri" w:cs="宋体"/>
              </w:rPr>
            </w:pPr>
            <w:r>
              <w:rPr>
                <w:rFonts w:ascii="宋体" w:hAnsi="Calibri" w:cs="宋体" w:hint="eastAsia"/>
                <w:bCs/>
                <w:iCs/>
              </w:rPr>
              <w:t>M</w:t>
            </w:r>
            <w:r>
              <w:rPr>
                <w:rFonts w:ascii="宋体" w:hAnsi="Calibri" w:cs="宋体" w:hint="eastAsia"/>
                <w:bCs/>
                <w:iCs/>
              </w:rPr>
              <w:t>＜</w:t>
            </w:r>
            <w:r>
              <w:rPr>
                <w:rFonts w:ascii="宋体" w:hAnsi="Calibri" w:cs="宋体" w:hint="eastAsia"/>
                <w:bCs/>
                <w:iCs/>
              </w:rPr>
              <w:t>1000</w:t>
            </w:r>
            <w:r>
              <w:rPr>
                <w:rFonts w:ascii="宋体" w:hAnsi="Calibri" w:cs="宋体" w:hint="eastAsia"/>
                <w:bCs/>
                <w:iCs/>
              </w:rPr>
              <w:t>万</w:t>
            </w:r>
          </w:p>
        </w:tc>
        <w:tc>
          <w:tcPr>
            <w:tcW w:w="2669" w:type="dxa"/>
          </w:tcPr>
          <w:p w:rsidR="004A090B">
            <w:pPr>
              <w:spacing w:line="360" w:lineRule="auto"/>
              <w:jc w:val="center"/>
              <w:rPr>
                <w:rFonts w:ascii="宋体" w:hAnsi="Calibri" w:cs="宋体"/>
              </w:rPr>
            </w:pPr>
            <w:r>
              <w:rPr>
                <w:rFonts w:ascii="宋体" w:hAnsi="Calibri" w:cs="宋体" w:hint="eastAsia"/>
                <w:bCs/>
                <w:iCs/>
              </w:rPr>
              <w:t>0.30%</w:t>
            </w:r>
          </w:p>
        </w:tc>
      </w:tr>
      <w:tr>
        <w:tblPrEx>
          <w:tblW w:w="6208" w:type="dxa"/>
          <w:jc w:val="center"/>
          <w:tblLayout w:type="fixed"/>
          <w:tblLook w:val="04A0"/>
        </w:tblPrEx>
        <w:trPr>
          <w:trHeight w:val="360"/>
          <w:jc w:val="center"/>
        </w:trPr>
        <w:tc>
          <w:tcPr>
            <w:tcW w:w="3539" w:type="dxa"/>
          </w:tcPr>
          <w:p w:rsidR="004A090B">
            <w:pPr>
              <w:spacing w:line="360" w:lineRule="auto"/>
              <w:jc w:val="center"/>
              <w:rPr>
                <w:rFonts w:ascii="宋体" w:hAnsi="Calibri" w:cs="宋体"/>
              </w:rPr>
            </w:pPr>
            <w:r>
              <w:rPr>
                <w:rFonts w:ascii="宋体" w:hAnsi="Calibri" w:cs="宋体" w:hint="eastAsia"/>
                <w:bCs/>
                <w:iCs/>
              </w:rPr>
              <w:t>M</w:t>
            </w:r>
            <w:r>
              <w:rPr>
                <w:rFonts w:ascii="宋体" w:hAnsi="Calibri" w:cs="宋体" w:hint="eastAsia"/>
                <w:bCs/>
                <w:iCs/>
              </w:rPr>
              <w:t>≥</w:t>
            </w:r>
            <w:r>
              <w:rPr>
                <w:rFonts w:ascii="宋体" w:hAnsi="Calibri" w:cs="宋体" w:hint="eastAsia"/>
                <w:bCs/>
                <w:iCs/>
              </w:rPr>
              <w:t>1000</w:t>
            </w:r>
            <w:r>
              <w:rPr>
                <w:rFonts w:ascii="宋体" w:hAnsi="Calibri" w:cs="宋体" w:hint="eastAsia"/>
                <w:bCs/>
                <w:iCs/>
              </w:rPr>
              <w:t>万</w:t>
            </w:r>
          </w:p>
        </w:tc>
        <w:tc>
          <w:tcPr>
            <w:tcW w:w="2669" w:type="dxa"/>
          </w:tcPr>
          <w:p w:rsidR="004A090B">
            <w:pPr>
              <w:spacing w:line="360" w:lineRule="auto"/>
              <w:jc w:val="center"/>
              <w:rPr>
                <w:rFonts w:ascii="宋体" w:hAnsi="Calibri" w:cs="宋体"/>
              </w:rPr>
            </w:pPr>
            <w:r>
              <w:rPr>
                <w:rFonts w:ascii="宋体" w:hAnsi="Calibri" w:cs="宋体" w:hint="eastAsia"/>
                <w:bCs/>
                <w:iCs/>
              </w:rPr>
              <w:t>1000</w:t>
            </w:r>
            <w:r>
              <w:rPr>
                <w:rFonts w:ascii="宋体" w:hAnsi="Calibri" w:cs="宋体" w:hint="eastAsia"/>
                <w:bCs/>
                <w:iCs/>
              </w:rPr>
              <w:t>元</w:t>
            </w:r>
            <w:r>
              <w:rPr>
                <w:rFonts w:ascii="宋体" w:hAnsi="Calibri" w:cs="宋体" w:hint="eastAsia"/>
                <w:bCs/>
                <w:iCs/>
              </w:rPr>
              <w:t>/</w:t>
            </w:r>
            <w:r>
              <w:rPr>
                <w:rFonts w:ascii="宋体" w:hAnsi="Calibri" w:cs="宋体" w:hint="eastAsia"/>
                <w:bCs/>
                <w:iCs/>
              </w:rPr>
              <w:t>笔</w:t>
            </w:r>
          </w:p>
        </w:tc>
      </w:tr>
    </w:tbl>
    <w:p w:rsidR="004A090B">
      <w:pPr>
        <w:spacing w:line="360" w:lineRule="auto"/>
        <w:ind w:firstLine="420" w:firstLineChars="200"/>
        <w:rPr>
          <w:lang w:eastAsia="zh-CN"/>
        </w:rPr>
      </w:pPr>
      <w:r>
        <w:rPr>
          <w:rStyle w:val="da"/>
          <w:rFonts w:ascii="宋体" w:hAnsi="Calibri" w:cs="宋体"/>
          <w:lang w:eastAsia="zh-CN"/>
        </w:rPr>
        <w:t>1</w:t>
      </w:r>
      <w:r>
        <w:rPr>
          <w:rStyle w:val="da"/>
          <w:rFonts w:ascii="宋体" w:hAnsi="Calibri" w:cs="宋体" w:hint="eastAsia"/>
          <w:lang w:eastAsia="zh-CN"/>
        </w:rPr>
        <w:t>）</w:t>
      </w:r>
      <w:r>
        <w:rPr>
          <w:lang w:eastAsia="zh-CN"/>
        </w:rPr>
        <w:t>投资者通过</w:t>
      </w:r>
      <w:r>
        <w:rPr>
          <w:rFonts w:hint="eastAsia"/>
          <w:lang w:eastAsia="zh-CN"/>
        </w:rPr>
        <w:t>基金</w:t>
      </w:r>
      <w:r>
        <w:rPr>
          <w:lang w:eastAsia="zh-CN"/>
        </w:rPr>
        <w:t>管理人或其基金销售子公司认</w:t>
      </w:r>
      <w:r>
        <w:rPr>
          <w:rFonts w:ascii="宋体" w:hAnsi="宋体"/>
          <w:lang w:eastAsia="zh-CN"/>
        </w:rPr>
        <w:t>购本基金</w:t>
      </w:r>
      <w:r>
        <w:rPr>
          <w:rFonts w:ascii="宋体" w:hAnsi="宋体"/>
          <w:lang w:eastAsia="zh-CN"/>
        </w:rPr>
        <w:t>A</w:t>
      </w:r>
      <w:r>
        <w:rPr>
          <w:rFonts w:ascii="宋体" w:hAnsi="宋体"/>
          <w:lang w:eastAsia="zh-CN"/>
        </w:rPr>
        <w:t>类基金份</w:t>
      </w:r>
      <w:r>
        <w:rPr>
          <w:lang w:eastAsia="zh-CN"/>
        </w:rPr>
        <w:t>额，不收取认购费用。</w:t>
      </w:r>
    </w:p>
    <w:p w:rsidR="004A090B">
      <w:pPr>
        <w:spacing w:line="360" w:lineRule="auto"/>
        <w:ind w:firstLine="420"/>
        <w:rPr>
          <w:rFonts w:ascii="宋体" w:hAnsi="Calibri" w:cs="宋体"/>
          <w:lang w:eastAsia="zh-CN"/>
        </w:rPr>
      </w:pPr>
      <w:r>
        <w:rPr>
          <w:rFonts w:ascii="宋体" w:hAnsi="宋体"/>
          <w:highlight w:val="white"/>
          <w:lang w:eastAsia="zh-CN"/>
        </w:rPr>
        <w:t>2</w:t>
      </w:r>
      <w:r>
        <w:rPr>
          <w:rFonts w:ascii="宋体" w:hAnsi="宋体" w:cs="宋体" w:hint="eastAsia"/>
          <w:highlight w:val="white"/>
          <w:lang w:eastAsia="zh-CN"/>
        </w:rPr>
        <w:t>）</w:t>
      </w:r>
      <w:r>
        <w:rPr>
          <w:rFonts w:hint="eastAsia"/>
          <w:lang w:eastAsia="zh-CN"/>
        </w:rPr>
        <w:t>投资者通过其他销售机构</w:t>
      </w:r>
      <w:r>
        <w:rPr>
          <w:rFonts w:ascii="宋体" w:hAnsi="宋体" w:cs="宋体" w:hint="eastAsia"/>
          <w:highlight w:val="white"/>
          <w:lang w:eastAsia="zh-CN"/>
        </w:rPr>
        <w:t>认购本基金</w:t>
      </w:r>
      <w:r>
        <w:rPr>
          <w:rStyle w:val="da"/>
          <w:rFonts w:ascii="宋体" w:hAnsi="宋体"/>
          <w:highlight w:val="white"/>
          <w:lang w:eastAsia="zh-CN"/>
        </w:rPr>
        <w:t>A</w:t>
      </w:r>
      <w:r>
        <w:rPr>
          <w:rStyle w:val="da"/>
          <w:rFonts w:ascii="宋体" w:hAnsi="宋体" w:cs="宋体"/>
          <w:highlight w:val="white"/>
          <w:lang w:eastAsia="zh-CN"/>
        </w:rPr>
        <w:t>类基金份额的</w:t>
      </w:r>
      <w:r>
        <w:rPr>
          <w:rFonts w:ascii="宋体" w:hAnsi="宋体" w:cs="宋体" w:hint="eastAsia"/>
          <w:highlight w:val="white"/>
          <w:lang w:eastAsia="zh-CN"/>
        </w:rPr>
        <w:t>认购费率见上表。</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募集期投资者可以多次认购本基金，</w:t>
      </w:r>
      <w:r>
        <w:rPr>
          <w:rStyle w:val="da"/>
          <w:rFonts w:ascii="宋体" w:hAnsi="Calibri" w:cs="宋体"/>
          <w:lang w:eastAsia="zh-CN"/>
        </w:rPr>
        <w:t>A</w:t>
      </w:r>
      <w:r>
        <w:rPr>
          <w:rStyle w:val="da"/>
          <w:rFonts w:ascii="宋体" w:hAnsi="Calibri" w:cs="宋体"/>
          <w:lang w:eastAsia="zh-CN"/>
        </w:rPr>
        <w:t>类基金份额</w:t>
      </w:r>
      <w:r>
        <w:rPr>
          <w:rStyle w:val="da"/>
          <w:rFonts w:ascii="宋体" w:hAnsi="Calibri" w:cs="宋体" w:hint="eastAsia"/>
          <w:lang w:eastAsia="zh-CN"/>
        </w:rPr>
        <w:t>认购费用按每笔</w:t>
      </w:r>
      <w:r>
        <w:rPr>
          <w:rStyle w:val="da"/>
          <w:rFonts w:ascii="宋体" w:hAnsi="Calibri" w:cs="宋体"/>
          <w:lang w:eastAsia="zh-CN"/>
        </w:rPr>
        <w:t>A</w:t>
      </w:r>
      <w:r>
        <w:rPr>
          <w:rStyle w:val="da"/>
          <w:rFonts w:ascii="宋体" w:hAnsi="Calibri" w:cs="宋体"/>
          <w:lang w:eastAsia="zh-CN"/>
        </w:rPr>
        <w:t>类基金份额</w:t>
      </w:r>
      <w:r>
        <w:rPr>
          <w:rStyle w:val="da"/>
          <w:rFonts w:ascii="宋体" w:hAnsi="Calibri" w:cs="宋体" w:hint="eastAsia"/>
          <w:lang w:eastAsia="zh-CN"/>
        </w:rPr>
        <w:t>认购申请单独计算。</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本基金</w:t>
      </w:r>
      <w:r>
        <w:rPr>
          <w:rStyle w:val="da"/>
          <w:rFonts w:ascii="宋体" w:hAnsi="Calibri" w:cs="宋体"/>
          <w:szCs w:val="21"/>
          <w:lang w:eastAsia="zh-CN"/>
        </w:rPr>
        <w:t>A</w:t>
      </w:r>
      <w:r>
        <w:rPr>
          <w:rStyle w:val="da"/>
          <w:rFonts w:ascii="宋体" w:hAnsi="Calibri" w:cs="宋体"/>
          <w:szCs w:val="21"/>
          <w:lang w:eastAsia="zh-CN"/>
        </w:rPr>
        <w:t>类基金份额</w:t>
      </w:r>
      <w:r>
        <w:rPr>
          <w:rStyle w:val="da"/>
          <w:rFonts w:ascii="宋体" w:hAnsi="Calibri" w:cs="宋体" w:hint="eastAsia"/>
          <w:szCs w:val="21"/>
          <w:lang w:eastAsia="zh-CN"/>
        </w:rPr>
        <w:t>按规定收取</w:t>
      </w:r>
      <w:r>
        <w:rPr>
          <w:rFonts w:ascii="宋体" w:hAnsi="Calibri" w:cs="宋体" w:hint="eastAsia"/>
          <w:szCs w:val="21"/>
          <w:lang w:eastAsia="zh-CN"/>
        </w:rPr>
        <w:t>的认购费用由认购该类基金份额的投资人承担，主要用于本基金的市场推广、销售等募集期间发生的各项费用。</w:t>
      </w:r>
      <w:r>
        <w:rPr>
          <w:rFonts w:ascii="宋体" w:hAnsi="Calibri" w:cs="宋体" w:hint="eastAsia"/>
          <w:szCs w:val="21"/>
          <w:lang w:eastAsia="zh-CN"/>
        </w:rPr>
        <w:t xml:space="preserve"> </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本基金</w:t>
      </w:r>
      <w:r>
        <w:rPr>
          <w:rFonts w:ascii="宋体" w:hAnsi="Calibri" w:cs="宋体" w:hint="eastAsia"/>
          <w:szCs w:val="21"/>
          <w:lang w:eastAsia="zh-CN"/>
        </w:rPr>
        <w:t>C</w:t>
      </w:r>
      <w:r>
        <w:rPr>
          <w:rFonts w:ascii="宋体" w:hAnsi="Calibri" w:cs="宋体" w:hint="eastAsia"/>
          <w:szCs w:val="21"/>
          <w:lang w:eastAsia="zh-CN"/>
        </w:rPr>
        <w:t>类基金份额不收取认购费用</w:t>
      </w:r>
      <w:r>
        <w:rPr>
          <w:rFonts w:ascii="宋体" w:hAnsi="Calibri" w:cs="宋体"/>
          <w:color w:val="000000"/>
          <w:szCs w:val="21"/>
          <w:lang w:eastAsia="zh-CN"/>
        </w:rPr>
        <w:t>，在投资者持有期间</w:t>
      </w:r>
      <w:r>
        <w:rPr>
          <w:rFonts w:ascii="宋体" w:hAnsi="宋体" w:cs="宋体"/>
          <w:color w:val="000000"/>
          <w:highlight w:val="white"/>
          <w:lang w:eastAsia="zh-CN"/>
        </w:rPr>
        <w:t>计提</w:t>
      </w:r>
      <w:r>
        <w:rPr>
          <w:rFonts w:ascii="宋体" w:hAnsi="宋体" w:cs="宋体"/>
          <w:color w:val="000000"/>
          <w:szCs w:val="21"/>
          <w:highlight w:val="white"/>
          <w:lang w:eastAsia="zh-CN"/>
        </w:rPr>
        <w:t>销售服务费</w:t>
      </w:r>
      <w:r>
        <w:rPr>
          <w:rFonts w:ascii="宋体" w:hAnsi="宋体" w:cs="宋体" w:hint="eastAsia"/>
          <w:color w:val="000000"/>
          <w:highlight w:val="white"/>
          <w:lang w:eastAsia="zh-CN"/>
        </w:rPr>
        <w:t>并按规定收取或返还</w:t>
      </w:r>
      <w:r>
        <w:rPr>
          <w:rFonts w:ascii="宋体" w:hAnsi="Calibri" w:cs="宋体"/>
          <w:szCs w:val="21"/>
          <w:lang w:eastAsia="zh-CN"/>
        </w:rPr>
        <w:t>。</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本基金暂不开通基金管理人及其基金销售子公司销售本基金</w:t>
      </w:r>
      <w:r>
        <w:rPr>
          <w:rFonts w:ascii="宋体" w:hAnsi="Calibri" w:cs="宋体" w:hint="eastAsia"/>
          <w:szCs w:val="21"/>
          <w:lang w:eastAsia="zh-CN"/>
        </w:rPr>
        <w:t>C</w:t>
      </w:r>
      <w:r>
        <w:rPr>
          <w:rFonts w:ascii="宋体" w:hAnsi="Calibri" w:cs="宋体" w:hint="eastAsia"/>
          <w:szCs w:val="21"/>
          <w:lang w:eastAsia="zh-CN"/>
        </w:rPr>
        <w:t>类基金份额，若日后开通，将另行公告。</w:t>
      </w:r>
    </w:p>
    <w:p w:rsidR="004A090B">
      <w:pPr>
        <w:spacing w:line="360" w:lineRule="auto"/>
        <w:ind w:firstLine="420"/>
        <w:rPr>
          <w:rFonts w:ascii="宋体" w:hAnsi="Calibri" w:cs="宋体"/>
          <w:szCs w:val="21"/>
          <w:lang w:eastAsia="zh-CN"/>
        </w:rPr>
      </w:pPr>
      <w:r>
        <w:rPr>
          <w:rFonts w:ascii="宋体" w:hAnsi="Calibri" w:cs="宋体"/>
          <w:szCs w:val="21"/>
          <w:lang w:eastAsia="zh-CN"/>
        </w:rPr>
        <w:t>（</w:t>
      </w:r>
      <w:r>
        <w:rPr>
          <w:rFonts w:ascii="宋体" w:hAnsi="Calibri" w:cs="宋体"/>
          <w:szCs w:val="21"/>
          <w:lang w:eastAsia="zh-CN"/>
        </w:rPr>
        <w:t>2</w:t>
      </w:r>
      <w:r>
        <w:rPr>
          <w:rFonts w:ascii="宋体" w:hAnsi="Calibri" w:cs="宋体"/>
          <w:szCs w:val="21"/>
          <w:lang w:eastAsia="zh-CN"/>
        </w:rPr>
        <w:t>）认购份额的计算</w:t>
      </w:r>
    </w:p>
    <w:p w:rsidR="004A090B">
      <w:pPr>
        <w:spacing w:line="360" w:lineRule="auto"/>
        <w:ind w:firstLine="420"/>
        <w:rPr>
          <w:rFonts w:ascii="宋体" w:hAnsi="Calibri"/>
          <w:lang w:eastAsia="zh-CN"/>
        </w:rPr>
      </w:pPr>
      <w:r>
        <w:rPr>
          <w:rFonts w:ascii="宋体" w:hAnsi="Calibri"/>
          <w:lang w:eastAsia="zh-CN"/>
        </w:rPr>
        <w:t>本基金认购采用金额认购方式。计算公式如下：</w:t>
      </w:r>
      <w:r>
        <w:rPr>
          <w:rFonts w:ascii="宋体" w:hAnsi="Calibri"/>
          <w:lang w:eastAsia="zh-CN"/>
        </w:rPr>
        <w:t xml:space="preserve"> </w:t>
      </w:r>
    </w:p>
    <w:p w:rsidR="004A090B">
      <w:pPr>
        <w:spacing w:line="360" w:lineRule="auto"/>
        <w:ind w:firstLine="420"/>
        <w:rPr>
          <w:rFonts w:ascii="宋体" w:hAnsi="Calibri"/>
          <w:szCs w:val="21"/>
          <w:lang w:eastAsia="zh-CN"/>
        </w:rPr>
      </w:pPr>
      <w:r>
        <w:rPr>
          <w:rFonts w:ascii="宋体" w:hAnsi="Calibri"/>
          <w:szCs w:val="21"/>
          <w:lang w:eastAsia="zh-CN"/>
        </w:rPr>
        <w:t>a.</w:t>
      </w:r>
      <w:r>
        <w:rPr>
          <w:rFonts w:ascii="宋体" w:hAnsi="Calibri"/>
          <w:szCs w:val="21"/>
          <w:lang w:eastAsia="zh-CN"/>
        </w:rPr>
        <w:t>若投资人</w:t>
      </w:r>
      <w:r>
        <w:rPr>
          <w:rFonts w:ascii="宋体" w:hAnsi="宋体" w:cs="宋体" w:hint="eastAsia"/>
          <w:szCs w:val="21"/>
          <w:lang w:eastAsia="zh-CN"/>
        </w:rPr>
        <w:t>通过除</w:t>
      </w:r>
      <w:r>
        <w:rPr>
          <w:rFonts w:hint="eastAsia"/>
          <w:lang w:eastAsia="zh-CN"/>
        </w:rPr>
        <w:t>基金</w:t>
      </w:r>
      <w:r>
        <w:rPr>
          <w:lang w:eastAsia="zh-CN"/>
        </w:rPr>
        <w:t>管理人及</w:t>
      </w:r>
      <w:r>
        <w:rPr>
          <w:rFonts w:hint="eastAsia"/>
          <w:lang w:eastAsia="zh-CN"/>
        </w:rPr>
        <w:t>其</w:t>
      </w:r>
      <w:r>
        <w:rPr>
          <w:lang w:eastAsia="zh-CN"/>
        </w:rPr>
        <w:t>基金销售子公司以外的销售机构</w:t>
      </w:r>
      <w:r>
        <w:rPr>
          <w:rFonts w:ascii="宋体" w:hAnsi="Calibri"/>
          <w:szCs w:val="21"/>
          <w:lang w:eastAsia="zh-CN"/>
        </w:rPr>
        <w:t>认购本基金</w:t>
      </w:r>
      <w:r>
        <w:rPr>
          <w:rFonts w:ascii="宋体" w:hAnsi="Calibri"/>
          <w:szCs w:val="21"/>
          <w:lang w:eastAsia="zh-CN"/>
        </w:rPr>
        <w:t>A</w:t>
      </w:r>
      <w:r>
        <w:rPr>
          <w:rFonts w:ascii="宋体" w:hAnsi="Calibri"/>
          <w:szCs w:val="21"/>
          <w:lang w:eastAsia="zh-CN"/>
        </w:rPr>
        <w:t>类</w:t>
      </w:r>
      <w:r>
        <w:rPr>
          <w:rFonts w:ascii="宋体" w:hAnsi="Calibri" w:hint="eastAsia"/>
          <w:szCs w:val="21"/>
          <w:lang w:eastAsia="zh-CN"/>
        </w:rPr>
        <w:t>基金</w:t>
      </w:r>
      <w:r>
        <w:rPr>
          <w:rFonts w:ascii="宋体" w:hAnsi="Calibri"/>
          <w:szCs w:val="21"/>
          <w:lang w:eastAsia="zh-CN"/>
        </w:rPr>
        <w:t>份额，则认购份额的计算公式为：</w:t>
      </w:r>
    </w:p>
    <w:p w:rsidR="004A090B">
      <w:pPr>
        <w:spacing w:line="360" w:lineRule="auto"/>
        <w:ind w:firstLine="420"/>
        <w:rPr>
          <w:rFonts w:ascii="宋体" w:hAnsi="Calibri"/>
          <w:lang w:eastAsia="zh-CN"/>
        </w:rPr>
      </w:pPr>
      <w:r>
        <w:rPr>
          <w:rFonts w:ascii="宋体" w:hAnsi="Calibri"/>
          <w:lang w:eastAsia="zh-CN"/>
        </w:rPr>
        <w:t>净认购金额</w:t>
      </w:r>
      <w:r>
        <w:rPr>
          <w:rFonts w:ascii="宋体" w:hAnsi="Calibri"/>
          <w:lang w:eastAsia="zh-CN"/>
        </w:rPr>
        <w:t>=</w:t>
      </w:r>
      <w:r>
        <w:rPr>
          <w:rFonts w:ascii="宋体" w:hAnsi="Calibri"/>
          <w:lang w:eastAsia="zh-CN"/>
        </w:rPr>
        <w:t>认购金额</w:t>
      </w:r>
      <w:r>
        <w:rPr>
          <w:rFonts w:ascii="宋体" w:hAnsi="Calibri"/>
          <w:lang w:eastAsia="zh-CN"/>
        </w:rPr>
        <w:t>/</w:t>
      </w:r>
      <w:r>
        <w:rPr>
          <w:rFonts w:ascii="宋体" w:hAnsi="Calibri"/>
          <w:lang w:eastAsia="zh-CN"/>
        </w:rPr>
        <w:t>（</w:t>
      </w:r>
      <w:r>
        <w:rPr>
          <w:rFonts w:ascii="宋体" w:hAnsi="Calibri"/>
          <w:lang w:eastAsia="zh-CN"/>
        </w:rPr>
        <w:t>1+</w:t>
      </w:r>
      <w:r>
        <w:rPr>
          <w:rFonts w:ascii="宋体" w:hAnsi="Calibri"/>
          <w:lang w:eastAsia="zh-CN"/>
        </w:rPr>
        <w:t>认购费率）</w:t>
      </w:r>
      <w:r>
        <w:rPr>
          <w:rFonts w:ascii="宋体" w:hAnsi="Calibri"/>
          <w:lang w:eastAsia="zh-CN"/>
        </w:rPr>
        <w:t xml:space="preserve"> </w:t>
      </w:r>
    </w:p>
    <w:p w:rsidR="004A090B">
      <w:pPr>
        <w:spacing w:line="360" w:lineRule="auto"/>
        <w:ind w:firstLine="420"/>
        <w:rPr>
          <w:rFonts w:ascii="宋体" w:hAnsi="Calibri"/>
          <w:lang w:eastAsia="zh-CN"/>
        </w:rPr>
      </w:pPr>
      <w:r>
        <w:rPr>
          <w:rFonts w:ascii="宋体" w:hAnsi="Calibri"/>
          <w:lang w:eastAsia="zh-CN"/>
        </w:rPr>
        <w:t>（注：对于认购金额在</w:t>
      </w:r>
      <w:r w:rsidR="002929D1">
        <w:rPr>
          <w:rFonts w:ascii="宋体" w:hAnsi="Calibri"/>
          <w:lang w:eastAsia="zh-CN"/>
        </w:rPr>
        <w:t>1000</w:t>
      </w:r>
      <w:r>
        <w:rPr>
          <w:rFonts w:ascii="宋体" w:hAnsi="Calibri"/>
          <w:lang w:eastAsia="zh-CN"/>
        </w:rPr>
        <w:t>万元（含）以上适用固定金额认购费的认购，净认购金额</w:t>
      </w:r>
      <w:r>
        <w:rPr>
          <w:rFonts w:ascii="宋体" w:hAnsi="Calibri"/>
          <w:lang w:eastAsia="zh-CN"/>
        </w:rPr>
        <w:t>=</w:t>
      </w:r>
      <w:r>
        <w:rPr>
          <w:rFonts w:ascii="宋体" w:hAnsi="Calibri"/>
          <w:lang w:eastAsia="zh-CN"/>
        </w:rPr>
        <w:t>认购金额－固定认购费金额）</w:t>
      </w:r>
    </w:p>
    <w:p w:rsidR="004A090B">
      <w:pPr>
        <w:spacing w:line="360" w:lineRule="auto"/>
        <w:ind w:firstLine="420"/>
        <w:rPr>
          <w:rFonts w:ascii="宋体" w:hAnsi="Calibri"/>
          <w:lang w:eastAsia="zh-CN"/>
        </w:rPr>
      </w:pPr>
      <w:r>
        <w:rPr>
          <w:rFonts w:ascii="宋体" w:hAnsi="Calibri"/>
          <w:lang w:eastAsia="zh-CN"/>
        </w:rPr>
        <w:t>认购费用</w:t>
      </w:r>
      <w:r>
        <w:rPr>
          <w:rFonts w:ascii="宋体" w:hAnsi="Calibri"/>
          <w:lang w:eastAsia="zh-CN"/>
        </w:rPr>
        <w:t>=</w:t>
      </w:r>
      <w:r>
        <w:rPr>
          <w:rFonts w:ascii="宋体" w:hAnsi="Calibri"/>
          <w:lang w:eastAsia="zh-CN"/>
        </w:rPr>
        <w:t>认购金额</w:t>
      </w:r>
      <w:r>
        <w:rPr>
          <w:rFonts w:ascii="宋体" w:hAnsi="Calibri"/>
          <w:lang w:eastAsia="zh-CN"/>
        </w:rPr>
        <w:t>-</w:t>
      </w:r>
      <w:r>
        <w:rPr>
          <w:rFonts w:ascii="宋体" w:hAnsi="Calibri"/>
          <w:lang w:eastAsia="zh-CN"/>
        </w:rPr>
        <w:t>净认购金额</w:t>
      </w:r>
      <w:r>
        <w:rPr>
          <w:rFonts w:ascii="宋体" w:hAnsi="Calibri"/>
          <w:lang w:eastAsia="zh-CN"/>
        </w:rPr>
        <w:t xml:space="preserve"> </w:t>
      </w:r>
    </w:p>
    <w:p w:rsidR="004A090B">
      <w:pPr>
        <w:spacing w:line="360" w:lineRule="auto"/>
        <w:ind w:firstLine="420"/>
        <w:rPr>
          <w:rFonts w:ascii="宋体" w:hAnsi="Calibri"/>
          <w:lang w:eastAsia="zh-CN"/>
        </w:rPr>
      </w:pPr>
      <w:r>
        <w:rPr>
          <w:rFonts w:ascii="宋体" w:hAnsi="Calibri"/>
          <w:lang w:eastAsia="zh-CN"/>
        </w:rPr>
        <w:t>认购份额</w:t>
      </w:r>
      <w:r>
        <w:rPr>
          <w:rFonts w:ascii="宋体" w:hAnsi="Calibri"/>
          <w:lang w:eastAsia="zh-CN"/>
        </w:rPr>
        <w:t>=</w:t>
      </w:r>
      <w:r>
        <w:rPr>
          <w:rFonts w:ascii="宋体" w:hAnsi="Calibri"/>
          <w:lang w:eastAsia="zh-CN"/>
        </w:rPr>
        <w:t>（净认购金额</w:t>
      </w:r>
      <w:r>
        <w:rPr>
          <w:rFonts w:ascii="宋体" w:hAnsi="Calibri"/>
          <w:lang w:eastAsia="zh-CN"/>
        </w:rPr>
        <w:t>+</w:t>
      </w:r>
      <w:r>
        <w:rPr>
          <w:rFonts w:ascii="宋体" w:hAnsi="Calibri"/>
          <w:lang w:eastAsia="zh-CN"/>
        </w:rPr>
        <w:t>认购利息）</w:t>
      </w:r>
      <w:r>
        <w:rPr>
          <w:rFonts w:ascii="宋体" w:hAnsi="Calibri"/>
          <w:lang w:eastAsia="zh-CN"/>
        </w:rPr>
        <w:t>/</w:t>
      </w:r>
      <w:r>
        <w:rPr>
          <w:rFonts w:ascii="宋体" w:hAnsi="Calibri"/>
          <w:lang w:eastAsia="zh-CN"/>
        </w:rPr>
        <w:t>基金份额面值</w:t>
      </w:r>
      <w:r>
        <w:rPr>
          <w:rFonts w:ascii="宋体" w:hAnsi="Calibri"/>
          <w:lang w:eastAsia="zh-CN"/>
        </w:rPr>
        <w:t xml:space="preserve"> </w:t>
      </w:r>
    </w:p>
    <w:p w:rsidR="004A090B">
      <w:pPr>
        <w:spacing w:line="360" w:lineRule="auto"/>
        <w:ind w:firstLine="420" w:firstLineChars="200"/>
        <w:rPr>
          <w:rFonts w:ascii="宋体" w:hAnsi="Calibri"/>
          <w:lang w:eastAsia="zh-CN"/>
        </w:rPr>
      </w:pPr>
      <w:r>
        <w:rPr>
          <w:rFonts w:ascii="宋体" w:hAnsi="Calibri" w:hint="eastAsia"/>
          <w:lang w:eastAsia="zh-CN"/>
        </w:rPr>
        <w:t>例一：某投资人通过除基金管理人及其基金销售子公司以外的销售机构认购本基金</w:t>
      </w:r>
      <w:r>
        <w:rPr>
          <w:rFonts w:ascii="宋体" w:hAnsi="Calibri" w:hint="eastAsia"/>
          <w:lang w:eastAsia="zh-CN"/>
        </w:rPr>
        <w:t>A</w:t>
      </w:r>
      <w:r>
        <w:rPr>
          <w:rFonts w:ascii="宋体" w:hAnsi="Calibri" w:hint="eastAsia"/>
          <w:lang w:eastAsia="zh-CN"/>
        </w:rPr>
        <w:t>类基金份额</w:t>
      </w:r>
      <w:r>
        <w:rPr>
          <w:rFonts w:ascii="宋体" w:hAnsi="Calibri" w:hint="eastAsia"/>
          <w:lang w:eastAsia="zh-CN"/>
        </w:rPr>
        <w:t>100,000</w:t>
      </w:r>
      <w:r>
        <w:rPr>
          <w:rFonts w:ascii="宋体" w:hAnsi="Calibri" w:hint="eastAsia"/>
          <w:lang w:eastAsia="zh-CN"/>
        </w:rPr>
        <w:t>元，认购费率为</w:t>
      </w:r>
      <w:r>
        <w:rPr>
          <w:rFonts w:ascii="宋体" w:hAnsi="Calibri" w:hint="eastAsia"/>
          <w:lang w:eastAsia="zh-CN"/>
        </w:rPr>
        <w:t>0.30%</w:t>
      </w:r>
      <w:r>
        <w:rPr>
          <w:rFonts w:ascii="宋体" w:hAnsi="Calibri" w:hint="eastAsia"/>
          <w:lang w:eastAsia="zh-CN"/>
        </w:rPr>
        <w:t>，假定该笔有效认购申请金额募集期产生的利息为</w:t>
      </w:r>
      <w:r>
        <w:rPr>
          <w:rFonts w:ascii="宋体" w:hAnsi="Calibri" w:hint="eastAsia"/>
          <w:lang w:eastAsia="zh-CN"/>
        </w:rPr>
        <w:t>50</w:t>
      </w:r>
      <w:r>
        <w:rPr>
          <w:rFonts w:ascii="宋体" w:hAnsi="Calibri" w:hint="eastAsia"/>
          <w:lang w:eastAsia="zh-CN"/>
        </w:rPr>
        <w:t>元，则可认购</w:t>
      </w:r>
      <w:r>
        <w:rPr>
          <w:rFonts w:ascii="宋体" w:hAnsi="Calibri" w:hint="eastAsia"/>
          <w:lang w:eastAsia="zh-CN"/>
        </w:rPr>
        <w:t>A</w:t>
      </w:r>
      <w:r>
        <w:rPr>
          <w:rFonts w:ascii="宋体" w:hAnsi="Calibri" w:hint="eastAsia"/>
          <w:lang w:eastAsia="zh-CN"/>
        </w:rPr>
        <w:t>类基金份额为：</w:t>
      </w:r>
    </w:p>
    <w:p w:rsidR="004A090B">
      <w:pPr>
        <w:spacing w:line="360" w:lineRule="auto"/>
        <w:ind w:firstLine="420" w:firstLineChars="200"/>
        <w:rPr>
          <w:rFonts w:ascii="宋体" w:hAnsi="Calibri"/>
          <w:lang w:eastAsia="zh-CN"/>
        </w:rPr>
      </w:pPr>
      <w:r>
        <w:rPr>
          <w:rFonts w:ascii="宋体" w:hAnsi="Calibri" w:hint="eastAsia"/>
          <w:lang w:eastAsia="zh-CN"/>
        </w:rPr>
        <w:t>净认购金额＝</w:t>
      </w:r>
      <w:r>
        <w:rPr>
          <w:rFonts w:ascii="宋体" w:hAnsi="Calibri" w:hint="eastAsia"/>
          <w:lang w:eastAsia="zh-CN"/>
        </w:rPr>
        <w:t>100,000/</w:t>
      </w:r>
      <w:r>
        <w:rPr>
          <w:rFonts w:ascii="宋体" w:hAnsi="Calibri" w:hint="eastAsia"/>
          <w:lang w:eastAsia="zh-CN"/>
        </w:rPr>
        <w:t>（</w:t>
      </w:r>
      <w:r>
        <w:rPr>
          <w:rFonts w:ascii="宋体" w:hAnsi="Calibri" w:hint="eastAsia"/>
          <w:lang w:eastAsia="zh-CN"/>
        </w:rPr>
        <w:t>1</w:t>
      </w:r>
      <w:r>
        <w:rPr>
          <w:rFonts w:ascii="宋体" w:hAnsi="Calibri" w:hint="eastAsia"/>
          <w:lang w:eastAsia="zh-CN"/>
        </w:rPr>
        <w:t>＋</w:t>
      </w:r>
      <w:r>
        <w:rPr>
          <w:rFonts w:ascii="宋体" w:hAnsi="Calibri"/>
          <w:lang w:eastAsia="zh-CN"/>
        </w:rPr>
        <w:t>0.30</w:t>
      </w:r>
      <w:r>
        <w:rPr>
          <w:rFonts w:ascii="宋体" w:hAnsi="Calibri" w:hint="eastAsia"/>
          <w:lang w:eastAsia="zh-CN"/>
        </w:rPr>
        <w:t>%</w:t>
      </w:r>
      <w:r>
        <w:rPr>
          <w:rFonts w:ascii="宋体" w:hAnsi="Calibri" w:hint="eastAsia"/>
          <w:lang w:eastAsia="zh-CN"/>
        </w:rPr>
        <w:t>）＝</w:t>
      </w:r>
      <w:r>
        <w:rPr>
          <w:rFonts w:ascii="宋体" w:hAnsi="Calibri"/>
          <w:lang w:eastAsia="zh-CN"/>
        </w:rPr>
        <w:t>99</w:t>
      </w:r>
      <w:r>
        <w:rPr>
          <w:rFonts w:ascii="宋体" w:hAnsi="Calibri" w:hint="eastAsia"/>
          <w:lang w:eastAsia="zh-CN"/>
        </w:rPr>
        <w:t>,</w:t>
      </w:r>
      <w:r>
        <w:rPr>
          <w:rFonts w:ascii="宋体" w:hAnsi="Calibri"/>
          <w:lang w:eastAsia="zh-CN"/>
        </w:rPr>
        <w:t>700</w:t>
      </w:r>
      <w:r>
        <w:rPr>
          <w:rFonts w:ascii="宋体" w:hAnsi="Calibri" w:hint="eastAsia"/>
          <w:lang w:eastAsia="zh-CN"/>
        </w:rPr>
        <w:t>.</w:t>
      </w:r>
      <w:r>
        <w:rPr>
          <w:rFonts w:ascii="宋体" w:hAnsi="Calibri"/>
          <w:lang w:eastAsia="zh-CN"/>
        </w:rPr>
        <w:t>90</w:t>
      </w:r>
      <w:r>
        <w:rPr>
          <w:rFonts w:ascii="宋体" w:hAnsi="Calibri" w:hint="eastAsia"/>
          <w:lang w:eastAsia="zh-CN"/>
        </w:rPr>
        <w:t>元</w:t>
      </w:r>
      <w:r>
        <w:rPr>
          <w:rFonts w:ascii="宋体" w:hAnsi="Calibri" w:hint="eastAsia"/>
          <w:lang w:eastAsia="zh-CN"/>
        </w:rPr>
        <w:t xml:space="preserve"> </w:t>
      </w:r>
    </w:p>
    <w:p w:rsidR="004A090B">
      <w:pPr>
        <w:spacing w:line="360" w:lineRule="auto"/>
        <w:ind w:firstLine="420" w:firstLineChars="200"/>
        <w:rPr>
          <w:rFonts w:ascii="宋体" w:hAnsi="Calibri"/>
          <w:lang w:eastAsia="zh-CN"/>
        </w:rPr>
      </w:pPr>
      <w:r>
        <w:rPr>
          <w:rFonts w:ascii="宋体" w:hAnsi="Calibri" w:hint="eastAsia"/>
          <w:lang w:eastAsia="zh-CN"/>
        </w:rPr>
        <w:t>认购费用＝</w:t>
      </w:r>
      <w:r>
        <w:rPr>
          <w:rFonts w:ascii="宋体" w:hAnsi="Calibri" w:hint="eastAsia"/>
          <w:lang w:eastAsia="zh-CN"/>
        </w:rPr>
        <w:t>100,000-</w:t>
      </w:r>
      <w:r>
        <w:rPr>
          <w:rFonts w:ascii="宋体" w:hAnsi="Calibri"/>
          <w:lang w:eastAsia="zh-CN"/>
        </w:rPr>
        <w:t>99</w:t>
      </w:r>
      <w:r>
        <w:rPr>
          <w:rFonts w:ascii="宋体" w:hAnsi="Calibri" w:hint="eastAsia"/>
          <w:lang w:eastAsia="zh-CN"/>
        </w:rPr>
        <w:t>,</w:t>
      </w:r>
      <w:r>
        <w:rPr>
          <w:rFonts w:ascii="宋体" w:hAnsi="Calibri"/>
          <w:lang w:eastAsia="zh-CN"/>
        </w:rPr>
        <w:t>700</w:t>
      </w:r>
      <w:r>
        <w:rPr>
          <w:rFonts w:ascii="宋体" w:hAnsi="Calibri" w:hint="eastAsia"/>
          <w:lang w:eastAsia="zh-CN"/>
        </w:rPr>
        <w:t>.</w:t>
      </w:r>
      <w:r>
        <w:rPr>
          <w:rFonts w:ascii="宋体" w:hAnsi="Calibri"/>
          <w:lang w:eastAsia="zh-CN"/>
        </w:rPr>
        <w:t>90</w:t>
      </w:r>
      <w:r>
        <w:rPr>
          <w:rFonts w:ascii="宋体" w:hAnsi="Calibri" w:hint="eastAsia"/>
          <w:lang w:eastAsia="zh-CN"/>
        </w:rPr>
        <w:t>＝</w:t>
      </w:r>
      <w:r>
        <w:rPr>
          <w:rFonts w:ascii="宋体" w:hAnsi="Calibri"/>
          <w:lang w:eastAsia="zh-CN"/>
        </w:rPr>
        <w:t>299.10</w:t>
      </w:r>
      <w:r>
        <w:rPr>
          <w:rFonts w:ascii="宋体" w:hAnsi="Calibri" w:hint="eastAsia"/>
          <w:lang w:eastAsia="zh-CN"/>
        </w:rPr>
        <w:t>元</w:t>
      </w:r>
      <w:r>
        <w:rPr>
          <w:rFonts w:ascii="宋体" w:hAnsi="Calibri" w:hint="eastAsia"/>
          <w:lang w:eastAsia="zh-CN"/>
        </w:rPr>
        <w:t xml:space="preserve"> </w:t>
      </w:r>
    </w:p>
    <w:p w:rsidR="004A090B">
      <w:pPr>
        <w:spacing w:line="360" w:lineRule="auto"/>
        <w:ind w:firstLine="420"/>
        <w:rPr>
          <w:rFonts w:ascii="宋体" w:hAnsi="Calibri"/>
          <w:lang w:eastAsia="zh-CN"/>
        </w:rPr>
      </w:pPr>
      <w:r>
        <w:rPr>
          <w:rFonts w:ascii="宋体" w:hAnsi="Calibri" w:hint="eastAsia"/>
          <w:lang w:eastAsia="zh-CN"/>
        </w:rPr>
        <w:t>认购份额＝（</w:t>
      </w:r>
      <w:r>
        <w:rPr>
          <w:rFonts w:ascii="宋体" w:hAnsi="Calibri"/>
          <w:lang w:eastAsia="zh-CN"/>
        </w:rPr>
        <w:t>99</w:t>
      </w:r>
      <w:r>
        <w:rPr>
          <w:rFonts w:ascii="宋体" w:hAnsi="Calibri" w:hint="eastAsia"/>
          <w:lang w:eastAsia="zh-CN"/>
        </w:rPr>
        <w:t>,</w:t>
      </w:r>
      <w:r>
        <w:rPr>
          <w:rFonts w:ascii="宋体" w:hAnsi="Calibri"/>
          <w:lang w:eastAsia="zh-CN"/>
        </w:rPr>
        <w:t>700</w:t>
      </w:r>
      <w:r>
        <w:rPr>
          <w:rFonts w:ascii="宋体" w:hAnsi="Calibri" w:hint="eastAsia"/>
          <w:lang w:eastAsia="zh-CN"/>
        </w:rPr>
        <w:t>.</w:t>
      </w:r>
      <w:r>
        <w:rPr>
          <w:rFonts w:ascii="宋体" w:hAnsi="Calibri"/>
          <w:lang w:eastAsia="zh-CN"/>
        </w:rPr>
        <w:t>90</w:t>
      </w:r>
      <w:r>
        <w:rPr>
          <w:rFonts w:ascii="宋体" w:hAnsi="Calibri" w:hint="eastAsia"/>
          <w:lang w:eastAsia="zh-CN"/>
        </w:rPr>
        <w:t>＋</w:t>
      </w:r>
      <w:r>
        <w:rPr>
          <w:rFonts w:ascii="宋体" w:hAnsi="Calibri"/>
          <w:lang w:eastAsia="zh-CN"/>
        </w:rPr>
        <w:t>5</w:t>
      </w:r>
      <w:r>
        <w:rPr>
          <w:rFonts w:ascii="宋体" w:hAnsi="Calibri" w:hint="eastAsia"/>
          <w:lang w:eastAsia="zh-CN"/>
        </w:rPr>
        <w:t>0</w:t>
      </w:r>
      <w:r>
        <w:rPr>
          <w:rFonts w:ascii="宋体" w:hAnsi="Calibri" w:hint="eastAsia"/>
          <w:lang w:eastAsia="zh-CN"/>
        </w:rPr>
        <w:t>）</w:t>
      </w:r>
      <w:r>
        <w:rPr>
          <w:rFonts w:ascii="宋体" w:hAnsi="Calibri" w:hint="eastAsia"/>
          <w:lang w:eastAsia="zh-CN"/>
        </w:rPr>
        <w:t>/1.00</w:t>
      </w:r>
      <w:r>
        <w:rPr>
          <w:rFonts w:ascii="宋体" w:hAnsi="Calibri" w:hint="eastAsia"/>
          <w:lang w:eastAsia="zh-CN"/>
        </w:rPr>
        <w:t>＝</w:t>
      </w:r>
      <w:r>
        <w:rPr>
          <w:rFonts w:ascii="宋体" w:hAnsi="Calibri"/>
          <w:lang w:eastAsia="zh-CN"/>
        </w:rPr>
        <w:t>99</w:t>
      </w:r>
      <w:r>
        <w:rPr>
          <w:rFonts w:ascii="宋体" w:hAnsi="Calibri" w:hint="eastAsia"/>
          <w:lang w:eastAsia="zh-CN"/>
        </w:rPr>
        <w:t>,</w:t>
      </w:r>
      <w:r>
        <w:rPr>
          <w:rFonts w:ascii="宋体" w:hAnsi="Calibri"/>
          <w:lang w:eastAsia="zh-CN"/>
        </w:rPr>
        <w:t>750</w:t>
      </w:r>
      <w:r>
        <w:rPr>
          <w:rFonts w:ascii="宋体" w:hAnsi="Calibri" w:hint="eastAsia"/>
          <w:lang w:eastAsia="zh-CN"/>
        </w:rPr>
        <w:t>.</w:t>
      </w:r>
      <w:r>
        <w:rPr>
          <w:rFonts w:ascii="宋体" w:hAnsi="Calibri"/>
          <w:lang w:eastAsia="zh-CN"/>
        </w:rPr>
        <w:t>90</w:t>
      </w:r>
      <w:r>
        <w:rPr>
          <w:rFonts w:ascii="宋体" w:hAnsi="Calibri" w:hint="eastAsia"/>
          <w:lang w:eastAsia="zh-CN"/>
        </w:rPr>
        <w:t>份</w:t>
      </w:r>
    </w:p>
    <w:p w:rsidR="004A090B">
      <w:pPr>
        <w:spacing w:line="360" w:lineRule="auto"/>
        <w:ind w:firstLine="420"/>
        <w:rPr>
          <w:rFonts w:ascii="宋体" w:hAnsi="Calibri"/>
          <w:lang w:eastAsia="zh-CN"/>
        </w:rPr>
      </w:pPr>
      <w:r>
        <w:rPr>
          <w:rFonts w:ascii="宋体" w:hAnsi="Calibri" w:hint="eastAsia"/>
          <w:lang w:eastAsia="zh-CN"/>
        </w:rPr>
        <w:t>即：该投资人</w:t>
      </w:r>
      <w:r>
        <w:rPr>
          <w:rFonts w:ascii="宋体" w:hAnsi="宋体" w:cs="宋体" w:hint="eastAsia"/>
          <w:szCs w:val="21"/>
          <w:lang w:eastAsia="zh-CN"/>
        </w:rPr>
        <w:t>通过除</w:t>
      </w:r>
      <w:r>
        <w:rPr>
          <w:rFonts w:hint="eastAsia"/>
          <w:lang w:eastAsia="zh-CN"/>
        </w:rPr>
        <w:t>基金</w:t>
      </w:r>
      <w:r>
        <w:rPr>
          <w:lang w:eastAsia="zh-CN"/>
        </w:rPr>
        <w:t>管理人及</w:t>
      </w:r>
      <w:r>
        <w:rPr>
          <w:rFonts w:hint="eastAsia"/>
          <w:lang w:eastAsia="zh-CN"/>
        </w:rPr>
        <w:t>其</w:t>
      </w:r>
      <w:r>
        <w:rPr>
          <w:lang w:eastAsia="zh-CN"/>
        </w:rPr>
        <w:t>基金销售子公司以外的销售机构</w:t>
      </w:r>
      <w:r>
        <w:rPr>
          <w:rFonts w:ascii="宋体" w:hAnsi="Calibri" w:hint="eastAsia"/>
          <w:lang w:eastAsia="zh-CN"/>
        </w:rPr>
        <w:t>投资</w:t>
      </w:r>
      <w:r>
        <w:rPr>
          <w:rFonts w:ascii="宋体" w:hAnsi="Calibri"/>
          <w:lang w:eastAsia="zh-CN"/>
        </w:rPr>
        <w:t>100,000</w:t>
      </w:r>
      <w:r>
        <w:rPr>
          <w:rFonts w:ascii="宋体" w:hAnsi="Calibri" w:hint="eastAsia"/>
          <w:lang w:eastAsia="zh-CN"/>
        </w:rPr>
        <w:t>元认购本基金</w:t>
      </w:r>
      <w:r>
        <w:rPr>
          <w:rFonts w:ascii="宋体" w:hAnsi="Calibri"/>
          <w:szCs w:val="21"/>
          <w:lang w:eastAsia="zh-CN"/>
        </w:rPr>
        <w:t>A</w:t>
      </w:r>
      <w:r>
        <w:rPr>
          <w:rFonts w:ascii="宋体" w:hAnsi="Calibri" w:hint="eastAsia"/>
          <w:szCs w:val="21"/>
          <w:lang w:eastAsia="zh-CN"/>
        </w:rPr>
        <w:t>类基金份额</w:t>
      </w:r>
      <w:r>
        <w:rPr>
          <w:rFonts w:ascii="宋体" w:hAnsi="Calibri" w:hint="eastAsia"/>
          <w:lang w:eastAsia="zh-CN"/>
        </w:rPr>
        <w:t>，假定该笔有效认购申请金额募集期产生的利息为</w:t>
      </w:r>
      <w:r>
        <w:rPr>
          <w:rFonts w:ascii="宋体" w:hAnsi="Calibri"/>
          <w:lang w:eastAsia="zh-CN"/>
        </w:rPr>
        <w:t>50</w:t>
      </w:r>
      <w:r>
        <w:rPr>
          <w:rFonts w:ascii="宋体" w:hAnsi="Calibri" w:hint="eastAsia"/>
          <w:lang w:eastAsia="zh-CN"/>
        </w:rPr>
        <w:t>元，可得到</w:t>
      </w:r>
      <w:r>
        <w:rPr>
          <w:rFonts w:ascii="宋体" w:hAnsi="Calibri"/>
          <w:lang w:eastAsia="zh-CN"/>
        </w:rPr>
        <w:t>99</w:t>
      </w:r>
      <w:r>
        <w:rPr>
          <w:rFonts w:ascii="宋体" w:hAnsi="Calibri" w:hint="eastAsia"/>
          <w:lang w:eastAsia="zh-CN"/>
        </w:rPr>
        <w:t>,</w:t>
      </w:r>
      <w:r>
        <w:rPr>
          <w:rFonts w:ascii="宋体" w:hAnsi="Calibri"/>
          <w:lang w:eastAsia="zh-CN"/>
        </w:rPr>
        <w:t>750</w:t>
      </w:r>
      <w:r>
        <w:rPr>
          <w:rFonts w:ascii="宋体" w:hAnsi="Calibri" w:hint="eastAsia"/>
          <w:lang w:eastAsia="zh-CN"/>
        </w:rPr>
        <w:t>.</w:t>
      </w:r>
      <w:r>
        <w:rPr>
          <w:rFonts w:ascii="宋体" w:hAnsi="Calibri"/>
          <w:lang w:eastAsia="zh-CN"/>
        </w:rPr>
        <w:t>90</w:t>
      </w:r>
      <w:r>
        <w:rPr>
          <w:rFonts w:ascii="宋体" w:hAnsi="Calibri" w:hint="eastAsia"/>
          <w:lang w:eastAsia="zh-CN"/>
        </w:rPr>
        <w:t>份</w:t>
      </w:r>
      <w:r>
        <w:rPr>
          <w:rFonts w:ascii="宋体" w:hAnsi="Calibri"/>
          <w:szCs w:val="21"/>
          <w:lang w:eastAsia="zh-CN"/>
        </w:rPr>
        <w:t>A</w:t>
      </w:r>
      <w:r>
        <w:rPr>
          <w:rFonts w:ascii="宋体" w:hAnsi="Calibri" w:hint="eastAsia"/>
          <w:szCs w:val="21"/>
          <w:lang w:eastAsia="zh-CN"/>
        </w:rPr>
        <w:t>类基金份额</w:t>
      </w:r>
      <w:r>
        <w:rPr>
          <w:rFonts w:ascii="宋体" w:hAnsi="Calibri" w:hint="eastAsia"/>
          <w:lang w:eastAsia="zh-CN"/>
        </w:rPr>
        <w:t>。</w:t>
      </w:r>
      <w:r>
        <w:rPr>
          <w:rFonts w:ascii="宋体" w:hAnsi="Calibri"/>
          <w:lang w:eastAsia="zh-CN"/>
        </w:rPr>
        <w:t xml:space="preserve"> </w:t>
      </w:r>
    </w:p>
    <w:p w:rsidR="004A090B">
      <w:pPr>
        <w:spacing w:line="360" w:lineRule="auto"/>
        <w:ind w:firstLine="420"/>
        <w:rPr>
          <w:rFonts w:ascii="宋体" w:hAnsi="Calibri"/>
          <w:szCs w:val="21"/>
          <w:lang w:eastAsia="zh-CN"/>
        </w:rPr>
      </w:pPr>
      <w:r>
        <w:rPr>
          <w:rFonts w:ascii="宋体" w:hAnsi="Calibri"/>
          <w:szCs w:val="21"/>
          <w:lang w:eastAsia="zh-CN"/>
        </w:rPr>
        <w:t>b.</w:t>
      </w:r>
      <w:r>
        <w:rPr>
          <w:rFonts w:ascii="宋体" w:hAnsi="Calibri"/>
          <w:szCs w:val="21"/>
          <w:lang w:eastAsia="zh-CN"/>
        </w:rPr>
        <w:t>若投资人选择认购本基金</w:t>
      </w:r>
      <w:r>
        <w:rPr>
          <w:rFonts w:ascii="宋体" w:hAnsi="Calibri"/>
          <w:szCs w:val="21"/>
          <w:lang w:eastAsia="zh-CN"/>
        </w:rPr>
        <w:t>C</w:t>
      </w:r>
      <w:r>
        <w:rPr>
          <w:rFonts w:ascii="宋体" w:hAnsi="Calibri"/>
          <w:szCs w:val="21"/>
          <w:lang w:eastAsia="zh-CN"/>
        </w:rPr>
        <w:t>类</w:t>
      </w:r>
      <w:r>
        <w:rPr>
          <w:rFonts w:ascii="宋体" w:hAnsi="Calibri" w:hint="eastAsia"/>
          <w:szCs w:val="21"/>
          <w:lang w:eastAsia="zh-CN"/>
        </w:rPr>
        <w:t>基金</w:t>
      </w:r>
      <w:r>
        <w:rPr>
          <w:rFonts w:ascii="宋体" w:hAnsi="Calibri"/>
          <w:szCs w:val="21"/>
          <w:lang w:eastAsia="zh-CN"/>
        </w:rPr>
        <w:t>份额，</w:t>
      </w:r>
      <w:r>
        <w:rPr>
          <w:rFonts w:ascii="宋体" w:hAnsi="Calibri" w:hint="eastAsia"/>
          <w:szCs w:val="21"/>
          <w:lang w:eastAsia="zh-CN"/>
        </w:rPr>
        <w:t>或者通过基金管理人或其基金销售子公司认购本基金</w:t>
      </w:r>
      <w:r>
        <w:rPr>
          <w:rFonts w:ascii="宋体" w:hAnsi="Calibri" w:hint="eastAsia"/>
          <w:szCs w:val="21"/>
          <w:lang w:eastAsia="zh-CN"/>
        </w:rPr>
        <w:t>A</w:t>
      </w:r>
      <w:r>
        <w:rPr>
          <w:rFonts w:ascii="宋体" w:hAnsi="Calibri" w:hint="eastAsia"/>
          <w:szCs w:val="21"/>
          <w:lang w:eastAsia="zh-CN"/>
        </w:rPr>
        <w:t>类基金份额，</w:t>
      </w:r>
      <w:r>
        <w:rPr>
          <w:rFonts w:ascii="宋体" w:hAnsi="Calibri"/>
          <w:szCs w:val="21"/>
          <w:lang w:eastAsia="zh-CN"/>
        </w:rPr>
        <w:t>则认购份额的计算公式为：</w:t>
      </w:r>
    </w:p>
    <w:p w:rsidR="004A090B">
      <w:pPr>
        <w:spacing w:line="360" w:lineRule="auto"/>
        <w:ind w:firstLine="420"/>
        <w:rPr>
          <w:rFonts w:ascii="宋体" w:hAnsi="Calibri"/>
          <w:szCs w:val="21"/>
          <w:lang w:eastAsia="zh-CN"/>
        </w:rPr>
      </w:pPr>
      <w:r>
        <w:rPr>
          <w:rFonts w:ascii="宋体" w:hAnsi="Calibri"/>
          <w:szCs w:val="21"/>
          <w:lang w:eastAsia="zh-CN"/>
        </w:rPr>
        <w:t>认购份额</w:t>
      </w:r>
      <w:r>
        <w:rPr>
          <w:rFonts w:ascii="宋体" w:hAnsi="Calibri"/>
          <w:szCs w:val="21"/>
          <w:lang w:eastAsia="zh-CN"/>
        </w:rPr>
        <w:t>=(</w:t>
      </w:r>
      <w:r>
        <w:rPr>
          <w:rFonts w:ascii="宋体" w:hAnsi="Calibri"/>
          <w:szCs w:val="21"/>
          <w:lang w:eastAsia="zh-CN"/>
        </w:rPr>
        <w:t>认购金额</w:t>
      </w:r>
      <w:r>
        <w:rPr>
          <w:rFonts w:ascii="宋体" w:hAnsi="Calibri"/>
          <w:szCs w:val="21"/>
          <w:lang w:eastAsia="zh-CN"/>
        </w:rPr>
        <w:t>+</w:t>
      </w:r>
      <w:r>
        <w:rPr>
          <w:rFonts w:ascii="宋体" w:hAnsi="Calibri"/>
          <w:szCs w:val="21"/>
          <w:lang w:eastAsia="zh-CN"/>
        </w:rPr>
        <w:t>认购利息</w:t>
      </w:r>
      <w:r>
        <w:rPr>
          <w:rFonts w:ascii="宋体" w:hAnsi="Calibri"/>
          <w:szCs w:val="21"/>
          <w:lang w:eastAsia="zh-CN"/>
        </w:rPr>
        <w:t>)/</w:t>
      </w:r>
      <w:r>
        <w:rPr>
          <w:rFonts w:ascii="宋体" w:hAnsi="Calibri"/>
          <w:szCs w:val="21"/>
          <w:lang w:eastAsia="zh-CN"/>
        </w:rPr>
        <w:t>基金份额面值</w:t>
      </w:r>
      <w:r>
        <w:rPr>
          <w:rFonts w:ascii="宋体" w:hAnsi="Calibri"/>
          <w:szCs w:val="21"/>
          <w:lang w:eastAsia="zh-CN"/>
        </w:rPr>
        <w:t xml:space="preserve"> </w:t>
      </w:r>
    </w:p>
    <w:p w:rsidR="004A090B">
      <w:pPr>
        <w:spacing w:line="360" w:lineRule="auto"/>
        <w:ind w:firstLine="420"/>
        <w:rPr>
          <w:rFonts w:ascii="宋体" w:hAnsi="Calibri"/>
          <w:szCs w:val="21"/>
          <w:lang w:eastAsia="zh-CN"/>
        </w:rPr>
      </w:pPr>
      <w:r>
        <w:rPr>
          <w:rFonts w:ascii="宋体" w:hAnsi="Calibri" w:hint="eastAsia"/>
          <w:szCs w:val="21"/>
          <w:lang w:eastAsia="zh-CN"/>
        </w:rPr>
        <w:t>例二：某投资人认购本基金</w:t>
      </w:r>
      <w:r>
        <w:rPr>
          <w:rFonts w:ascii="宋体" w:hAnsi="Calibri" w:hint="eastAsia"/>
          <w:szCs w:val="21"/>
          <w:lang w:eastAsia="zh-CN"/>
        </w:rPr>
        <w:t>C</w:t>
      </w:r>
      <w:r>
        <w:rPr>
          <w:rFonts w:ascii="宋体" w:hAnsi="Calibri" w:hint="eastAsia"/>
          <w:szCs w:val="21"/>
          <w:lang w:eastAsia="zh-CN"/>
        </w:rPr>
        <w:t>类基金份额</w:t>
      </w:r>
      <w:r>
        <w:rPr>
          <w:rFonts w:ascii="宋体" w:hAnsi="Calibri" w:hint="eastAsia"/>
          <w:szCs w:val="21"/>
          <w:lang w:eastAsia="zh-CN"/>
        </w:rPr>
        <w:t>100,000</w:t>
      </w:r>
      <w:r>
        <w:rPr>
          <w:rFonts w:ascii="宋体" w:hAnsi="Calibri" w:hint="eastAsia"/>
          <w:szCs w:val="21"/>
          <w:lang w:eastAsia="zh-CN"/>
        </w:rPr>
        <w:t>元，假定该笔有效认购申请金额募集期产生的利息为</w:t>
      </w:r>
      <w:r>
        <w:rPr>
          <w:rFonts w:ascii="宋体" w:hAnsi="Calibri" w:hint="eastAsia"/>
          <w:szCs w:val="21"/>
          <w:lang w:eastAsia="zh-CN"/>
        </w:rPr>
        <w:t>50</w:t>
      </w:r>
      <w:r>
        <w:rPr>
          <w:rFonts w:ascii="宋体" w:hAnsi="Calibri" w:hint="eastAsia"/>
          <w:szCs w:val="21"/>
          <w:lang w:eastAsia="zh-CN"/>
        </w:rPr>
        <w:t>元，则可认购</w:t>
      </w:r>
      <w:r>
        <w:rPr>
          <w:rFonts w:ascii="宋体" w:hAnsi="Calibri" w:hint="eastAsia"/>
          <w:szCs w:val="21"/>
          <w:lang w:eastAsia="zh-CN"/>
        </w:rPr>
        <w:t>C</w:t>
      </w:r>
      <w:r>
        <w:rPr>
          <w:rFonts w:ascii="宋体" w:hAnsi="Calibri" w:hint="eastAsia"/>
          <w:szCs w:val="21"/>
          <w:lang w:eastAsia="zh-CN"/>
        </w:rPr>
        <w:t>类基金份额为：</w:t>
      </w:r>
    </w:p>
    <w:p w:rsidR="004A090B">
      <w:pPr>
        <w:spacing w:line="360" w:lineRule="auto"/>
        <w:ind w:firstLine="420"/>
        <w:rPr>
          <w:rFonts w:ascii="宋体" w:hAnsi="Calibri"/>
          <w:szCs w:val="21"/>
          <w:lang w:eastAsia="zh-CN"/>
        </w:rPr>
      </w:pPr>
      <w:r>
        <w:rPr>
          <w:rFonts w:ascii="宋体" w:hAnsi="Calibri"/>
          <w:szCs w:val="21"/>
          <w:lang w:eastAsia="zh-CN"/>
        </w:rPr>
        <w:t>认购份额＝</w:t>
      </w:r>
      <w:r>
        <w:rPr>
          <w:rFonts w:ascii="宋体" w:hAnsi="Calibri"/>
          <w:szCs w:val="21"/>
          <w:lang w:eastAsia="zh-CN"/>
        </w:rPr>
        <w:t>(100,000</w:t>
      </w:r>
      <w:r>
        <w:rPr>
          <w:rFonts w:ascii="宋体" w:hAnsi="Calibri"/>
          <w:szCs w:val="21"/>
          <w:lang w:eastAsia="zh-CN"/>
        </w:rPr>
        <w:t>＋</w:t>
      </w:r>
      <w:r>
        <w:rPr>
          <w:rFonts w:ascii="宋体" w:hAnsi="Calibri"/>
          <w:szCs w:val="21"/>
          <w:lang w:eastAsia="zh-CN"/>
        </w:rPr>
        <w:t>50)/1.00</w:t>
      </w:r>
      <w:r>
        <w:rPr>
          <w:rFonts w:ascii="宋体" w:hAnsi="Calibri"/>
          <w:szCs w:val="21"/>
          <w:lang w:eastAsia="zh-CN"/>
        </w:rPr>
        <w:t>＝</w:t>
      </w:r>
      <w:r>
        <w:rPr>
          <w:rFonts w:ascii="宋体" w:hAnsi="Calibri"/>
          <w:szCs w:val="21"/>
          <w:lang w:eastAsia="zh-CN"/>
        </w:rPr>
        <w:t>100,050.00</w:t>
      </w:r>
      <w:r>
        <w:rPr>
          <w:rFonts w:ascii="宋体" w:hAnsi="Calibri"/>
          <w:szCs w:val="21"/>
          <w:lang w:eastAsia="zh-CN"/>
        </w:rPr>
        <w:t>份</w:t>
      </w:r>
      <w:r>
        <w:rPr>
          <w:rFonts w:ascii="宋体" w:hAnsi="Calibri"/>
          <w:szCs w:val="21"/>
          <w:lang w:eastAsia="zh-CN"/>
        </w:rPr>
        <w:t xml:space="preserve"> </w:t>
      </w:r>
    </w:p>
    <w:p w:rsidR="004A090B">
      <w:pPr>
        <w:spacing w:line="360" w:lineRule="auto"/>
        <w:ind w:firstLine="420"/>
        <w:rPr>
          <w:rFonts w:ascii="宋体" w:hAnsi="Calibri"/>
          <w:szCs w:val="21"/>
          <w:lang w:eastAsia="zh-CN"/>
        </w:rPr>
      </w:pPr>
      <w:r>
        <w:rPr>
          <w:rFonts w:ascii="宋体" w:hAnsi="Calibri"/>
          <w:szCs w:val="21"/>
          <w:lang w:eastAsia="zh-CN"/>
        </w:rPr>
        <w:t>即：该投资人投资</w:t>
      </w:r>
      <w:r>
        <w:rPr>
          <w:rFonts w:ascii="宋体" w:hAnsi="Calibri"/>
          <w:szCs w:val="21"/>
          <w:lang w:eastAsia="zh-CN"/>
        </w:rPr>
        <w:t>100,000</w:t>
      </w:r>
      <w:r>
        <w:rPr>
          <w:rFonts w:ascii="宋体" w:hAnsi="Calibri"/>
          <w:szCs w:val="21"/>
          <w:lang w:eastAsia="zh-CN"/>
        </w:rPr>
        <w:t>元认购本基金</w:t>
      </w:r>
      <w:r>
        <w:rPr>
          <w:rFonts w:ascii="宋体" w:hAnsi="Calibri"/>
          <w:szCs w:val="21"/>
          <w:lang w:eastAsia="zh-CN"/>
        </w:rPr>
        <w:t>C</w:t>
      </w:r>
      <w:r>
        <w:rPr>
          <w:rFonts w:ascii="宋体" w:hAnsi="Calibri"/>
          <w:szCs w:val="21"/>
          <w:lang w:eastAsia="zh-CN"/>
        </w:rPr>
        <w:t>类</w:t>
      </w:r>
      <w:r>
        <w:rPr>
          <w:rFonts w:ascii="宋体" w:hAnsi="Calibri" w:hint="eastAsia"/>
          <w:szCs w:val="21"/>
          <w:lang w:eastAsia="zh-CN"/>
        </w:rPr>
        <w:t>基金</w:t>
      </w:r>
      <w:r>
        <w:rPr>
          <w:rFonts w:ascii="宋体" w:hAnsi="Calibri"/>
          <w:szCs w:val="21"/>
          <w:lang w:eastAsia="zh-CN"/>
        </w:rPr>
        <w:t>份额，假定该笔有效认购申请金额募集期产生的利息为</w:t>
      </w:r>
      <w:r>
        <w:rPr>
          <w:rFonts w:ascii="宋体" w:hAnsi="Calibri"/>
          <w:szCs w:val="21"/>
          <w:lang w:eastAsia="zh-CN"/>
        </w:rPr>
        <w:t>50</w:t>
      </w:r>
      <w:r>
        <w:rPr>
          <w:rFonts w:ascii="宋体" w:hAnsi="Calibri"/>
          <w:szCs w:val="21"/>
          <w:lang w:eastAsia="zh-CN"/>
        </w:rPr>
        <w:t>元，可得到</w:t>
      </w:r>
      <w:r>
        <w:rPr>
          <w:rFonts w:ascii="宋体" w:hAnsi="Calibri"/>
          <w:szCs w:val="21"/>
          <w:lang w:eastAsia="zh-CN"/>
        </w:rPr>
        <w:t>100,050.00</w:t>
      </w:r>
      <w:r>
        <w:rPr>
          <w:rFonts w:ascii="宋体" w:hAnsi="Calibri"/>
          <w:szCs w:val="21"/>
          <w:lang w:eastAsia="zh-CN"/>
        </w:rPr>
        <w:t>份</w:t>
      </w:r>
      <w:r>
        <w:rPr>
          <w:rFonts w:ascii="宋体" w:hAnsi="Calibri"/>
          <w:szCs w:val="21"/>
          <w:lang w:eastAsia="zh-CN"/>
        </w:rPr>
        <w:t>C</w:t>
      </w:r>
      <w:r>
        <w:rPr>
          <w:rFonts w:ascii="宋体" w:hAnsi="Calibri"/>
          <w:szCs w:val="21"/>
          <w:lang w:eastAsia="zh-CN"/>
        </w:rPr>
        <w:t>类基金份额。</w:t>
      </w:r>
    </w:p>
    <w:p w:rsidR="004A090B">
      <w:pPr>
        <w:spacing w:line="360" w:lineRule="auto"/>
        <w:ind w:firstLine="420"/>
        <w:rPr>
          <w:rFonts w:ascii="宋体" w:hAnsi="Calibri" w:cs="宋体"/>
          <w:szCs w:val="21"/>
          <w:lang w:eastAsia="zh-CN"/>
        </w:rPr>
      </w:pPr>
      <w:r>
        <w:rPr>
          <w:rFonts w:ascii="宋体" w:hAnsi="Calibri"/>
          <w:lang w:eastAsia="zh-CN"/>
        </w:rPr>
        <w:t>（</w:t>
      </w:r>
      <w:r>
        <w:rPr>
          <w:rFonts w:ascii="宋体" w:hAnsi="Calibri"/>
          <w:lang w:eastAsia="zh-CN"/>
        </w:rPr>
        <w:t>3</w:t>
      </w:r>
      <w:r>
        <w:rPr>
          <w:rFonts w:ascii="宋体" w:hAnsi="Calibri"/>
          <w:lang w:eastAsia="zh-CN"/>
        </w:rPr>
        <w:t>）认购份额的计算中涉及金额的计算结果均以人民币元为单位，四舍五入，保留小数点后</w:t>
      </w:r>
      <w:r>
        <w:rPr>
          <w:rFonts w:ascii="宋体" w:hAnsi="Calibri"/>
          <w:lang w:eastAsia="zh-CN"/>
        </w:rPr>
        <w:t>2</w:t>
      </w:r>
      <w:r>
        <w:rPr>
          <w:rFonts w:ascii="宋体" w:hAnsi="Calibri"/>
          <w:lang w:eastAsia="zh-CN"/>
        </w:rPr>
        <w:t>位；认购份数采取四舍五入的方法保留小数点后</w:t>
      </w:r>
      <w:r>
        <w:rPr>
          <w:rFonts w:ascii="宋体" w:hAnsi="Calibri"/>
          <w:lang w:eastAsia="zh-CN"/>
        </w:rPr>
        <w:t>2</w:t>
      </w:r>
      <w:r>
        <w:rPr>
          <w:rFonts w:ascii="宋体" w:hAnsi="Calibri"/>
          <w:lang w:eastAsia="zh-CN"/>
        </w:rPr>
        <w:t>位，由此产生的误差计入基金财产。认购费用不属于基金资产。</w:t>
      </w:r>
    </w:p>
    <w:p w:rsidR="004A090B">
      <w:pPr>
        <w:spacing w:line="360" w:lineRule="auto"/>
        <w:ind w:firstLine="420"/>
        <w:rPr>
          <w:rFonts w:ascii="宋体" w:hAnsi="Calibri" w:cs="宋体"/>
          <w:szCs w:val="21"/>
          <w:lang w:eastAsia="zh-CN"/>
        </w:rPr>
      </w:pPr>
      <w:r>
        <w:rPr>
          <w:rFonts w:ascii="宋体" w:hAnsi="Calibri" w:cs="宋体"/>
          <w:szCs w:val="21"/>
          <w:lang w:eastAsia="zh-CN"/>
        </w:rPr>
        <w:t>6</w:t>
      </w:r>
      <w:r>
        <w:rPr>
          <w:rFonts w:ascii="宋体" w:hAnsi="Calibri" w:cs="宋体"/>
          <w:szCs w:val="21"/>
          <w:lang w:eastAsia="zh-CN"/>
        </w:rPr>
        <w:t>、认购的确认</w:t>
      </w:r>
      <w:r>
        <w:rPr>
          <w:rFonts w:ascii="宋体" w:hAnsi="Calibri" w:cs="宋体"/>
          <w:szCs w:val="21"/>
          <w:lang w:eastAsia="zh-CN"/>
        </w:rPr>
        <w:t xml:space="preserve"> </w:t>
      </w:r>
    </w:p>
    <w:p w:rsidR="004A090B">
      <w:pPr>
        <w:spacing w:line="360" w:lineRule="auto"/>
        <w:ind w:firstLine="420"/>
        <w:rPr>
          <w:rFonts w:ascii="宋体" w:hAnsi="Calibri" w:cs="宋体"/>
          <w:szCs w:val="21"/>
          <w:lang w:eastAsia="zh-CN"/>
        </w:rPr>
      </w:pPr>
      <w:r>
        <w:rPr>
          <w:rFonts w:ascii="宋体" w:hAnsi="Calibri" w:cs="宋体"/>
          <w:szCs w:val="21"/>
          <w:lang w:eastAsia="zh-CN"/>
        </w:rPr>
        <w:t>当日（</w:t>
      </w:r>
      <w:r>
        <w:rPr>
          <w:rFonts w:ascii="宋体" w:hAnsi="Calibri" w:cs="宋体"/>
          <w:szCs w:val="21"/>
          <w:lang w:eastAsia="zh-CN"/>
        </w:rPr>
        <w:t>T</w:t>
      </w:r>
      <w:r>
        <w:rPr>
          <w:rFonts w:ascii="宋体" w:hAnsi="Calibri" w:cs="宋体"/>
          <w:szCs w:val="21"/>
          <w:lang w:eastAsia="zh-CN"/>
        </w:rPr>
        <w:t>日）在规定时间内提交的申请，投资人通常可在</w:t>
      </w:r>
      <w:r>
        <w:rPr>
          <w:rFonts w:ascii="宋体" w:hAnsi="Calibri" w:cs="宋体"/>
          <w:szCs w:val="21"/>
          <w:lang w:eastAsia="zh-CN"/>
        </w:rPr>
        <w:t>T+2</w:t>
      </w:r>
      <w:r>
        <w:rPr>
          <w:rFonts w:ascii="宋体" w:hAnsi="Calibri" w:cs="宋体"/>
          <w:szCs w:val="21"/>
          <w:lang w:eastAsia="zh-CN"/>
        </w:rPr>
        <w:t>日后（包括该日）到基金销售网点</w:t>
      </w:r>
      <w:r>
        <w:rPr>
          <w:rFonts w:ascii="宋体" w:hAnsi="Calibri" w:cs="宋体"/>
          <w:szCs w:val="21"/>
          <w:lang w:eastAsia="zh-CN"/>
        </w:rPr>
        <w:t>查询交易情况。销售机构对投资人认购申请的受理并不表示对该申请的成功确认，而仅代表</w:t>
      </w:r>
      <w:r>
        <w:rPr>
          <w:rFonts w:ascii="宋体" w:hAnsi="Calibri" w:cs="宋体" w:hint="eastAsia"/>
          <w:szCs w:val="21"/>
          <w:lang w:eastAsia="zh-CN"/>
        </w:rPr>
        <w:t>销售机构</w:t>
      </w:r>
      <w:r>
        <w:rPr>
          <w:rFonts w:ascii="宋体" w:hAnsi="Calibri" w:cs="宋体"/>
          <w:szCs w:val="21"/>
          <w:lang w:eastAsia="zh-CN"/>
        </w:rPr>
        <w:t>确实收到了认购申请。申请是否有效应以基金登记机构的确认登记为准。</w:t>
      </w:r>
    </w:p>
    <w:p w:rsidR="004A090B">
      <w:pPr>
        <w:spacing w:line="360" w:lineRule="auto"/>
        <w:ind w:firstLine="420"/>
        <w:rPr>
          <w:rFonts w:ascii="宋体" w:hAnsi="Calibri" w:cs="宋体"/>
          <w:szCs w:val="21"/>
          <w:lang w:eastAsia="zh-CN"/>
        </w:rPr>
      </w:pPr>
      <w:r>
        <w:rPr>
          <w:rFonts w:ascii="宋体" w:hAnsi="Calibri" w:cs="宋体"/>
          <w:szCs w:val="21"/>
          <w:lang w:eastAsia="zh-CN"/>
        </w:rPr>
        <w:t>投资人开户和认购所需提交的文件和办理的具体程序，请参阅基金份额发售公告。</w:t>
      </w:r>
      <w:r>
        <w:rPr>
          <w:rFonts w:ascii="宋体" w:hAnsi="Calibri" w:cs="宋体"/>
          <w:szCs w:val="21"/>
          <w:lang w:eastAsia="zh-CN"/>
        </w:rPr>
        <w:t xml:space="preserve"> </w:t>
      </w:r>
    </w:p>
    <w:p w:rsidR="004A090B">
      <w:pPr>
        <w:spacing w:line="360" w:lineRule="auto"/>
        <w:ind w:firstLine="420"/>
        <w:rPr>
          <w:rStyle w:val="da"/>
          <w:rFonts w:ascii="宋体" w:hAnsi="Calibri" w:cs="宋体"/>
          <w:szCs w:val="21"/>
          <w:lang w:eastAsia="zh-CN"/>
        </w:rPr>
      </w:pPr>
      <w:bookmarkStart w:id="1795" w:name="_Toc332373494"/>
      <w:r>
        <w:rPr>
          <w:rStyle w:val="da"/>
          <w:rFonts w:ascii="宋体" w:hAnsi="Calibri" w:cs="宋体" w:hint="eastAsia"/>
          <w:szCs w:val="21"/>
          <w:lang w:eastAsia="zh-CN"/>
        </w:rPr>
        <w:t>八、募集期间的资金存放和费用</w:t>
      </w:r>
      <w:bookmarkEnd w:id="1795"/>
    </w:p>
    <w:p w:rsidR="004A090B">
      <w:pPr>
        <w:spacing w:line="360" w:lineRule="auto"/>
        <w:ind w:firstLine="420"/>
        <w:rPr>
          <w:rFonts w:ascii="宋体" w:hAnsi="Calibri" w:cs="宋体"/>
          <w:szCs w:val="21"/>
          <w:lang w:eastAsia="zh-CN"/>
        </w:rPr>
      </w:pPr>
      <w:r>
        <w:rPr>
          <w:rFonts w:ascii="宋体" w:hAnsi="Calibri" w:cs="宋体" w:hint="eastAsia"/>
          <w:szCs w:val="21"/>
          <w:lang w:eastAsia="zh-CN"/>
        </w:rPr>
        <w:t>本基金募集期间募集的资金存入专门账户，在基金募集行为结束前，任何人不得动用。基金募集期间的信息披露费用、会计师费、律师费以及其他费用，不得从基金财产中列支。</w:t>
      </w:r>
    </w:p>
    <w:p w:rsidR="004A090B">
      <w:pPr>
        <w:pStyle w:val="Heading1"/>
        <w:pageBreakBefore/>
        <w:spacing w:before="317" w:after="317" w:line="360" w:lineRule="auto"/>
        <w:ind w:firstLine="640"/>
        <w:rPr>
          <w:rFonts w:ascii="宋体" w:eastAsia="宋体" w:hAnsi="Calibri" w:cs="宋体"/>
          <w:bCs/>
          <w:sz w:val="30"/>
          <w:szCs w:val="30"/>
        </w:rPr>
      </w:pPr>
      <w:bookmarkStart w:id="1796" w:name="_Toc129511530"/>
      <w:bookmarkStart w:id="1797" w:name="_Toc332373495"/>
      <w:r>
        <w:rPr>
          <w:rFonts w:ascii="宋体" w:eastAsia="宋体" w:hAnsi="Calibri" w:cs="宋体" w:hint="eastAsia"/>
          <w:bCs/>
          <w:sz w:val="30"/>
          <w:szCs w:val="30"/>
        </w:rPr>
        <w:t>第</w:t>
      </w:r>
      <w:r>
        <w:rPr>
          <w:rFonts w:ascii="宋体" w:eastAsia="宋体" w:hAnsi="Calibri" w:cs="宋体"/>
          <w:bCs/>
          <w:sz w:val="30"/>
          <w:szCs w:val="30"/>
        </w:rPr>
        <w:t>八</w:t>
      </w:r>
      <w:r>
        <w:rPr>
          <w:rFonts w:ascii="宋体" w:eastAsia="宋体" w:hAnsi="Calibri" w:cs="宋体" w:hint="eastAsia"/>
          <w:bCs/>
          <w:sz w:val="30"/>
          <w:szCs w:val="30"/>
        </w:rPr>
        <w:t>部分</w:t>
      </w:r>
      <w:r>
        <w:rPr>
          <w:rFonts w:ascii="宋体" w:eastAsia="宋体" w:hAnsi="Calibri" w:cs="宋体"/>
          <w:bCs/>
          <w:sz w:val="30"/>
          <w:szCs w:val="30"/>
        </w:rPr>
        <w:t xml:space="preserve"> </w:t>
      </w:r>
      <w:r>
        <w:rPr>
          <w:rFonts w:ascii="宋体" w:eastAsia="宋体" w:hAnsi="Calibri" w:cs="宋体" w:hint="eastAsia"/>
          <w:bCs/>
          <w:sz w:val="30"/>
          <w:szCs w:val="30"/>
        </w:rPr>
        <w:t>基金合同的生效</w:t>
      </w:r>
      <w:bookmarkEnd w:id="1796"/>
      <w:bookmarkEnd w:id="1797"/>
    </w:p>
    <w:p w:rsidR="004A090B">
      <w:pPr>
        <w:spacing w:line="360" w:lineRule="auto"/>
        <w:ind w:firstLine="420"/>
        <w:rPr>
          <w:rFonts w:ascii="宋体" w:hAnsi="Calibri" w:cs="宋体"/>
          <w:lang w:eastAsia="zh-CN"/>
        </w:rPr>
      </w:pPr>
      <w:r>
        <w:rPr>
          <w:rFonts w:ascii="宋体" w:hAnsi="Calibri" w:cs="宋体" w:hint="eastAsia"/>
          <w:szCs w:val="21"/>
          <w:highlight w:val="white"/>
          <w:lang w:eastAsia="zh-CN"/>
        </w:rPr>
        <w:t>一、基金备案的条件</w:t>
      </w:r>
    </w:p>
    <w:p w:rsidR="004A090B">
      <w:pPr>
        <w:spacing w:line="360" w:lineRule="auto"/>
        <w:ind w:firstLine="420"/>
        <w:rPr>
          <w:rFonts w:ascii="宋体" w:hAnsi="Calibri" w:cs="宋体"/>
          <w:lang w:eastAsia="zh-CN"/>
        </w:rPr>
      </w:pPr>
      <w:r>
        <w:rPr>
          <w:rFonts w:ascii="宋体" w:hAnsi="Calibri" w:cs="宋体" w:hint="eastAsia"/>
          <w:szCs w:val="21"/>
          <w:highlight w:val="white"/>
          <w:lang w:eastAsia="zh-CN"/>
        </w:rPr>
        <w:t>本基金自基金份额发售之日起</w:t>
      </w:r>
      <w:r>
        <w:rPr>
          <w:rFonts w:ascii="宋体" w:hAnsi="Calibri" w:cs="宋体" w:hint="eastAsia"/>
          <w:szCs w:val="21"/>
          <w:highlight w:val="white"/>
          <w:lang w:eastAsia="zh-CN"/>
        </w:rPr>
        <w:t>3</w:t>
      </w:r>
      <w:r>
        <w:rPr>
          <w:rFonts w:ascii="宋体" w:hAnsi="Calibri" w:cs="宋体" w:hint="eastAsia"/>
          <w:szCs w:val="21"/>
          <w:highlight w:val="white"/>
          <w:lang w:eastAsia="zh-CN"/>
        </w:rPr>
        <w:t>个月内，在基金募集份额总额不少于</w:t>
      </w:r>
      <w:r>
        <w:rPr>
          <w:rFonts w:ascii="宋体" w:hAnsi="Calibri" w:cs="宋体" w:hint="eastAsia"/>
          <w:szCs w:val="21"/>
          <w:highlight w:val="white"/>
          <w:lang w:eastAsia="zh-CN"/>
        </w:rPr>
        <w:t>1000</w:t>
      </w:r>
      <w:r>
        <w:rPr>
          <w:rFonts w:ascii="宋体" w:hAnsi="Calibri" w:cs="宋体" w:hint="eastAsia"/>
          <w:szCs w:val="21"/>
          <w:highlight w:val="white"/>
          <w:lang w:eastAsia="zh-CN"/>
        </w:rPr>
        <w:t>万份，基金募集金额不少于</w:t>
      </w:r>
      <w:r>
        <w:rPr>
          <w:rFonts w:ascii="宋体" w:hAnsi="Calibri" w:cs="宋体" w:hint="eastAsia"/>
          <w:szCs w:val="21"/>
          <w:highlight w:val="white"/>
          <w:lang w:eastAsia="zh-CN"/>
        </w:rPr>
        <w:t>1000</w:t>
      </w:r>
      <w:r>
        <w:rPr>
          <w:rFonts w:ascii="宋体" w:hAnsi="Calibri" w:cs="宋体" w:hint="eastAsia"/>
          <w:szCs w:val="21"/>
          <w:highlight w:val="white"/>
          <w:lang w:eastAsia="zh-CN"/>
        </w:rPr>
        <w:t>万元人民币的条件下，基金募集期届满或基金管理人依据法律法规及招募说明书可以决定停止基金发售，并在</w:t>
      </w:r>
      <w:r>
        <w:rPr>
          <w:rFonts w:ascii="宋体" w:hAnsi="Calibri" w:cs="宋体" w:hint="eastAsia"/>
          <w:szCs w:val="21"/>
          <w:highlight w:val="white"/>
          <w:lang w:eastAsia="zh-CN"/>
        </w:rPr>
        <w:t>10</w:t>
      </w:r>
      <w:r>
        <w:rPr>
          <w:rFonts w:ascii="宋体" w:hAnsi="Calibri" w:cs="宋体" w:hint="eastAsia"/>
          <w:szCs w:val="21"/>
          <w:highlight w:val="white"/>
          <w:lang w:eastAsia="zh-CN"/>
        </w:rPr>
        <w:t>日内聘请法定验资机构验资。验资机构应在验资报告中对发起资金的持有人及其持有份额进行专门说明。基金管理人自收到验资报告之日起</w:t>
      </w:r>
      <w:r>
        <w:rPr>
          <w:rFonts w:ascii="宋体" w:hAnsi="Calibri" w:cs="宋体" w:hint="eastAsia"/>
          <w:szCs w:val="21"/>
          <w:highlight w:val="white"/>
          <w:lang w:eastAsia="zh-CN"/>
        </w:rPr>
        <w:t>10</w:t>
      </w:r>
      <w:r>
        <w:rPr>
          <w:rFonts w:ascii="宋体" w:hAnsi="Calibri" w:cs="宋体" w:hint="eastAsia"/>
          <w:szCs w:val="21"/>
          <w:highlight w:val="white"/>
          <w:lang w:eastAsia="zh-CN"/>
        </w:rPr>
        <w:t>日内，向中国证监会办理基金备案手续。</w:t>
      </w:r>
    </w:p>
    <w:p w:rsidR="004A090B">
      <w:pPr>
        <w:spacing w:line="360" w:lineRule="auto"/>
        <w:ind w:firstLine="420"/>
        <w:rPr>
          <w:rFonts w:ascii="宋体" w:hAnsi="Calibri" w:cs="宋体"/>
          <w:lang w:eastAsia="zh-CN"/>
        </w:rPr>
      </w:pPr>
      <w:r>
        <w:rPr>
          <w:rFonts w:ascii="宋体" w:hAnsi="Calibri" w:cs="宋体" w:hint="eastAsia"/>
          <w:szCs w:val="21"/>
          <w:highlight w:val="white"/>
          <w:lang w:eastAsia="zh-CN"/>
        </w:rPr>
        <w:t>基金募集达到基金备案条件的，自基金管理人办理完毕基金备案手续并取得中国证监会书面确认之日起，《基金合同》生效；否则《基金合同》不生效。基金管理人在收</w:t>
      </w:r>
      <w:r>
        <w:rPr>
          <w:rFonts w:ascii="宋体" w:hAnsi="Calibri" w:cs="宋体" w:hint="eastAsia"/>
          <w:szCs w:val="21"/>
          <w:highlight w:val="white"/>
          <w:lang w:eastAsia="zh-CN"/>
        </w:rPr>
        <w:t>到中国证监会确认文件的次日对《基金合同》生效事宜予以公告。基金管理人应将基金募集期间募集的资金存入专门账户，在基金募集行为结束前，任何人不得动用。</w:t>
      </w:r>
    </w:p>
    <w:p w:rsidR="004A090B">
      <w:pPr>
        <w:spacing w:line="360" w:lineRule="auto"/>
        <w:ind w:firstLine="420"/>
        <w:rPr>
          <w:rFonts w:ascii="宋体" w:hAnsi="Calibri" w:cs="宋体"/>
          <w:lang w:eastAsia="zh-CN"/>
        </w:rPr>
      </w:pPr>
      <w:r>
        <w:rPr>
          <w:rFonts w:ascii="宋体" w:hAnsi="Calibri" w:cs="宋体" w:hint="eastAsia"/>
          <w:szCs w:val="21"/>
          <w:highlight w:val="white"/>
          <w:lang w:eastAsia="zh-CN"/>
        </w:rPr>
        <w:t>二、基金合同不能生效时募集资金的处理方式</w:t>
      </w:r>
    </w:p>
    <w:p w:rsidR="004A090B">
      <w:pPr>
        <w:spacing w:line="360" w:lineRule="auto"/>
        <w:ind w:firstLine="420"/>
        <w:rPr>
          <w:rFonts w:ascii="宋体" w:hAnsi="Calibri" w:cs="宋体"/>
          <w:lang w:eastAsia="zh-CN"/>
        </w:rPr>
      </w:pPr>
      <w:r>
        <w:rPr>
          <w:rFonts w:ascii="宋体" w:hAnsi="Calibri" w:cs="宋体" w:hint="eastAsia"/>
          <w:szCs w:val="21"/>
          <w:highlight w:val="white"/>
          <w:lang w:eastAsia="zh-CN"/>
        </w:rPr>
        <w:t>如果募集期限届满，未满足基金备案条件，基金管理人应当承担下列责任：</w:t>
      </w:r>
    </w:p>
    <w:p w:rsidR="004A090B">
      <w:pPr>
        <w:spacing w:line="360" w:lineRule="auto"/>
        <w:ind w:firstLine="420"/>
        <w:rPr>
          <w:rFonts w:ascii="宋体" w:hAnsi="Calibri" w:cs="宋体"/>
          <w:lang w:eastAsia="zh-CN"/>
        </w:rPr>
      </w:pPr>
      <w:r>
        <w:rPr>
          <w:rFonts w:ascii="宋体" w:hAnsi="Calibri" w:cs="宋体" w:hint="eastAsia"/>
          <w:szCs w:val="21"/>
          <w:highlight w:val="white"/>
          <w:lang w:eastAsia="zh-CN"/>
        </w:rPr>
        <w:t>1</w:t>
      </w:r>
      <w:r>
        <w:rPr>
          <w:rFonts w:ascii="宋体" w:hAnsi="Calibri" w:cs="宋体" w:hint="eastAsia"/>
          <w:szCs w:val="21"/>
          <w:highlight w:val="white"/>
          <w:lang w:eastAsia="zh-CN"/>
        </w:rPr>
        <w:t>、以其固有财产承担因募集行为而产生的债务和费用；</w:t>
      </w:r>
    </w:p>
    <w:p w:rsidR="004A090B">
      <w:pPr>
        <w:spacing w:line="360" w:lineRule="auto"/>
        <w:ind w:firstLine="420"/>
        <w:rPr>
          <w:rFonts w:ascii="宋体" w:hAnsi="Calibri" w:cs="宋体"/>
          <w:lang w:eastAsia="zh-CN"/>
        </w:rPr>
      </w:pPr>
      <w:r>
        <w:rPr>
          <w:rFonts w:ascii="宋体" w:hAnsi="Calibri" w:cs="宋体" w:hint="eastAsia"/>
          <w:szCs w:val="21"/>
          <w:highlight w:val="white"/>
          <w:lang w:eastAsia="zh-CN"/>
        </w:rPr>
        <w:t>2</w:t>
      </w:r>
      <w:r>
        <w:rPr>
          <w:rFonts w:ascii="宋体" w:hAnsi="Calibri" w:cs="宋体" w:hint="eastAsia"/>
          <w:szCs w:val="21"/>
          <w:highlight w:val="white"/>
          <w:lang w:eastAsia="zh-CN"/>
        </w:rPr>
        <w:t>、在基金募集期限届满后</w:t>
      </w:r>
      <w:r>
        <w:rPr>
          <w:rFonts w:ascii="宋体" w:hAnsi="Calibri" w:cs="宋体" w:hint="eastAsia"/>
          <w:szCs w:val="21"/>
          <w:highlight w:val="white"/>
          <w:lang w:eastAsia="zh-CN"/>
        </w:rPr>
        <w:t>30</w:t>
      </w:r>
      <w:r>
        <w:rPr>
          <w:rFonts w:ascii="宋体" w:hAnsi="Calibri" w:cs="宋体" w:hint="eastAsia"/>
          <w:szCs w:val="21"/>
          <w:highlight w:val="white"/>
          <w:lang w:eastAsia="zh-CN"/>
        </w:rPr>
        <w:t>日内返还投资者已缴纳的款项，并加计银行同期活期存款利息；</w:t>
      </w:r>
    </w:p>
    <w:p w:rsidR="004A090B">
      <w:pPr>
        <w:spacing w:line="360" w:lineRule="auto"/>
        <w:ind w:firstLine="420"/>
        <w:rPr>
          <w:rFonts w:ascii="宋体" w:hAnsi="Calibri" w:cs="宋体"/>
          <w:lang w:eastAsia="zh-CN"/>
        </w:rPr>
      </w:pPr>
      <w:r>
        <w:rPr>
          <w:rFonts w:ascii="宋体" w:hAnsi="Calibri" w:cs="宋体" w:hint="eastAsia"/>
          <w:szCs w:val="21"/>
          <w:highlight w:val="white"/>
          <w:lang w:eastAsia="zh-CN"/>
        </w:rPr>
        <w:t>3</w:t>
      </w:r>
      <w:r>
        <w:rPr>
          <w:rFonts w:ascii="宋体" w:hAnsi="Calibri" w:cs="宋体" w:hint="eastAsia"/>
          <w:szCs w:val="21"/>
          <w:highlight w:val="white"/>
          <w:lang w:eastAsia="zh-CN"/>
        </w:rPr>
        <w:t>、如基金募集失败，基金管理人、基金托管人及销售机构不得请求报酬。基金管理人、基金托管人和销售机构为基金募集支付之一</w:t>
      </w:r>
      <w:r>
        <w:rPr>
          <w:rFonts w:ascii="宋体" w:hAnsi="Calibri" w:cs="宋体" w:hint="eastAsia"/>
          <w:szCs w:val="21"/>
          <w:highlight w:val="white"/>
          <w:lang w:eastAsia="zh-CN"/>
        </w:rPr>
        <w:t>切费用应由各方各自承担。</w:t>
      </w:r>
    </w:p>
    <w:p w:rsidR="004A090B">
      <w:pPr>
        <w:spacing w:line="360" w:lineRule="auto"/>
        <w:ind w:firstLine="420"/>
        <w:rPr>
          <w:rFonts w:ascii="宋体" w:hAnsi="Calibri" w:cs="宋体"/>
          <w:lang w:eastAsia="zh-CN"/>
        </w:rPr>
      </w:pPr>
      <w:r>
        <w:rPr>
          <w:rFonts w:ascii="宋体" w:hAnsi="Calibri" w:cs="宋体" w:hint="eastAsia"/>
          <w:szCs w:val="21"/>
          <w:highlight w:val="white"/>
          <w:lang w:eastAsia="zh-CN"/>
        </w:rPr>
        <w:t>三、基金存续期内的基金份额持有人数量和资产规模</w:t>
      </w:r>
    </w:p>
    <w:p w:rsidR="004A090B">
      <w:pPr>
        <w:spacing w:line="360" w:lineRule="auto"/>
        <w:ind w:firstLine="420"/>
        <w:rPr>
          <w:rFonts w:ascii="宋体" w:hAnsi="Calibri" w:cs="宋体"/>
          <w:lang w:eastAsia="zh-CN"/>
        </w:rPr>
      </w:pPr>
      <w:r>
        <w:rPr>
          <w:rFonts w:ascii="宋体" w:hAnsi="Calibri" w:cs="宋体" w:hint="eastAsia"/>
          <w:szCs w:val="21"/>
          <w:highlight w:val="white"/>
          <w:lang w:eastAsia="zh-CN"/>
        </w:rPr>
        <w:t>《基金合同》生效满三年后的存续期内，连续</w:t>
      </w:r>
      <w:r>
        <w:rPr>
          <w:rFonts w:ascii="宋体" w:hAnsi="Calibri" w:cs="宋体" w:hint="eastAsia"/>
          <w:szCs w:val="21"/>
          <w:highlight w:val="white"/>
          <w:lang w:eastAsia="zh-CN"/>
        </w:rPr>
        <w:t>20</w:t>
      </w:r>
      <w:r>
        <w:rPr>
          <w:rFonts w:ascii="宋体" w:hAnsi="Calibri" w:cs="宋体" w:hint="eastAsia"/>
          <w:szCs w:val="21"/>
          <w:highlight w:val="white"/>
          <w:lang w:eastAsia="zh-CN"/>
        </w:rPr>
        <w:t>个工作日出现基金份额持有人数量不满</w:t>
      </w:r>
      <w:r>
        <w:rPr>
          <w:rFonts w:ascii="宋体" w:hAnsi="Calibri" w:cs="宋体" w:hint="eastAsia"/>
          <w:szCs w:val="21"/>
          <w:highlight w:val="white"/>
          <w:lang w:eastAsia="zh-CN"/>
        </w:rPr>
        <w:t>200</w:t>
      </w:r>
      <w:r>
        <w:rPr>
          <w:rFonts w:ascii="宋体" w:hAnsi="Calibri" w:cs="宋体" w:hint="eastAsia"/>
          <w:szCs w:val="21"/>
          <w:highlight w:val="white"/>
          <w:lang w:eastAsia="zh-CN"/>
        </w:rPr>
        <w:t>人或者基金资产净值低于</w:t>
      </w:r>
      <w:r>
        <w:rPr>
          <w:rFonts w:ascii="宋体" w:hAnsi="Calibri" w:cs="宋体" w:hint="eastAsia"/>
          <w:szCs w:val="21"/>
          <w:highlight w:val="white"/>
          <w:lang w:eastAsia="zh-CN"/>
        </w:rPr>
        <w:t>5000</w:t>
      </w:r>
      <w:r>
        <w:rPr>
          <w:rFonts w:ascii="宋体" w:hAnsi="Calibri" w:cs="宋体" w:hint="eastAsia"/>
          <w:szCs w:val="21"/>
          <w:highlight w:val="white"/>
          <w:lang w:eastAsia="zh-CN"/>
        </w:rPr>
        <w:t>万元情形的，基金管理人应当在定期报告中予以披露；连续</w:t>
      </w:r>
      <w:r>
        <w:rPr>
          <w:rFonts w:ascii="宋体" w:hAnsi="Calibri" w:cs="宋体" w:hint="eastAsia"/>
          <w:szCs w:val="21"/>
          <w:highlight w:val="white"/>
          <w:lang w:eastAsia="zh-CN"/>
        </w:rPr>
        <w:t>60</w:t>
      </w:r>
      <w:r>
        <w:rPr>
          <w:rFonts w:ascii="宋体" w:hAnsi="Calibri" w:cs="宋体" w:hint="eastAsia"/>
          <w:szCs w:val="21"/>
          <w:highlight w:val="white"/>
          <w:lang w:eastAsia="zh-CN"/>
        </w:rPr>
        <w:t>个工作日出现前述情形的，基金管理人应当在</w:t>
      </w:r>
      <w:r>
        <w:rPr>
          <w:rFonts w:ascii="宋体" w:hAnsi="Calibri" w:cs="宋体" w:hint="eastAsia"/>
          <w:szCs w:val="21"/>
          <w:highlight w:val="white"/>
          <w:lang w:eastAsia="zh-CN"/>
        </w:rPr>
        <w:t>10</w:t>
      </w:r>
      <w:r>
        <w:rPr>
          <w:rFonts w:ascii="宋体" w:hAnsi="Calibri" w:cs="宋体" w:hint="eastAsia"/>
          <w:szCs w:val="21"/>
          <w:highlight w:val="white"/>
          <w:lang w:eastAsia="zh-CN"/>
        </w:rPr>
        <w:t>个工作日内向中国证监会报告并提出解决方案，如持续运作、转换运作方式、与其他基金合并或者终止基金合同等，并在</w:t>
      </w:r>
      <w:r>
        <w:rPr>
          <w:rFonts w:ascii="宋体" w:hAnsi="Calibri" w:cs="宋体" w:hint="eastAsia"/>
          <w:szCs w:val="21"/>
          <w:highlight w:val="white"/>
          <w:lang w:eastAsia="zh-CN"/>
        </w:rPr>
        <w:t>6</w:t>
      </w:r>
      <w:r>
        <w:rPr>
          <w:rFonts w:ascii="宋体" w:hAnsi="Calibri" w:cs="宋体" w:hint="eastAsia"/>
          <w:szCs w:val="21"/>
          <w:highlight w:val="white"/>
          <w:lang w:eastAsia="zh-CN"/>
        </w:rPr>
        <w:t>个月内召集基金份额持有人大会。</w:t>
      </w:r>
    </w:p>
    <w:p w:rsidR="004A090B">
      <w:pPr>
        <w:spacing w:line="360" w:lineRule="auto"/>
        <w:ind w:firstLine="420"/>
        <w:rPr>
          <w:rFonts w:ascii="宋体" w:hAnsi="Calibri" w:cs="宋体"/>
          <w:lang w:eastAsia="zh-CN"/>
        </w:rPr>
      </w:pPr>
      <w:r>
        <w:rPr>
          <w:rFonts w:ascii="宋体" w:hAnsi="Calibri" w:cs="宋体" w:hint="eastAsia"/>
          <w:szCs w:val="21"/>
          <w:highlight w:val="white"/>
          <w:lang w:eastAsia="zh-CN"/>
        </w:rPr>
        <w:t>法律法规或中国证监会另有规定时，从其规定。</w:t>
      </w:r>
    </w:p>
    <w:p w:rsidR="004A090B">
      <w:pPr>
        <w:spacing w:line="360" w:lineRule="auto"/>
        <w:ind w:firstLine="420"/>
        <w:rPr>
          <w:rFonts w:ascii="宋体" w:hAnsi="Calibri" w:cs="宋体"/>
          <w:lang w:eastAsia="zh-CN"/>
        </w:rPr>
      </w:pPr>
      <w:r>
        <w:rPr>
          <w:rFonts w:ascii="宋体" w:hAnsi="Calibri" w:cs="宋体" w:hint="eastAsia"/>
          <w:szCs w:val="21"/>
          <w:highlight w:val="white"/>
          <w:lang w:eastAsia="zh-CN"/>
        </w:rPr>
        <w:t>四、基金的终止</w:t>
      </w:r>
    </w:p>
    <w:p w:rsidR="004A090B">
      <w:pPr>
        <w:spacing w:line="360" w:lineRule="auto"/>
        <w:ind w:firstLine="420"/>
        <w:rPr>
          <w:rFonts w:ascii="宋体" w:hAnsi="Calibri" w:cs="宋体"/>
          <w:lang w:eastAsia="zh-CN"/>
        </w:rPr>
      </w:pPr>
      <w:r>
        <w:rPr>
          <w:rFonts w:ascii="宋体" w:hAnsi="Calibri" w:cs="宋体" w:hint="eastAsia"/>
          <w:szCs w:val="21"/>
          <w:highlight w:val="white"/>
          <w:lang w:eastAsia="zh-CN"/>
        </w:rPr>
        <w:t>《基金合同》生效之日起三</w:t>
      </w:r>
      <w:r>
        <w:rPr>
          <w:rFonts w:ascii="宋体" w:hAnsi="Calibri" w:cs="宋体" w:hint="eastAsia"/>
          <w:szCs w:val="21"/>
          <w:highlight w:val="white"/>
          <w:lang w:eastAsia="zh-CN"/>
        </w:rPr>
        <w:t>年后的年度对应日，若基金资产净值低于</w:t>
      </w:r>
      <w:r>
        <w:rPr>
          <w:rFonts w:ascii="宋体" w:hAnsi="Calibri" w:cs="宋体" w:hint="eastAsia"/>
          <w:szCs w:val="21"/>
          <w:highlight w:val="white"/>
          <w:lang w:eastAsia="zh-CN"/>
        </w:rPr>
        <w:t>2</w:t>
      </w:r>
      <w:r>
        <w:rPr>
          <w:rFonts w:ascii="宋体" w:hAnsi="Calibri" w:cs="宋体" w:hint="eastAsia"/>
          <w:szCs w:val="21"/>
          <w:highlight w:val="white"/>
          <w:lang w:eastAsia="zh-CN"/>
        </w:rPr>
        <w:t>亿元的，《基金合同》自动终止，不得通过召开基金份额持有人大会的方式延续。若届时的法律法规或中国证监会规定发生变化，上述终止规定被取消、更改或补充时，则本基金可以参照届时有效的法律法规或中国证监会规定执行。</w:t>
      </w:r>
    </w:p>
    <w:p w:rsidR="004A090B">
      <w:pPr>
        <w:spacing w:line="360" w:lineRule="auto"/>
        <w:ind w:firstLine="420"/>
        <w:rPr>
          <w:rFonts w:ascii="宋体" w:hAnsi="Calibri" w:cs="宋体"/>
          <w:lang w:eastAsia="zh-CN"/>
        </w:rPr>
      </w:pPr>
    </w:p>
    <w:p w:rsidR="004A090B">
      <w:pPr>
        <w:pStyle w:val="Heading1"/>
        <w:pageBreakBefore/>
        <w:spacing w:before="317" w:after="317" w:line="360" w:lineRule="auto"/>
        <w:ind w:firstLine="0"/>
        <w:rPr>
          <w:rFonts w:ascii="宋体" w:eastAsia="宋体" w:hAnsi="Calibri" w:cs="宋体"/>
          <w:bCs/>
          <w:sz w:val="30"/>
          <w:szCs w:val="30"/>
          <w:lang w:eastAsia="zh-CN"/>
        </w:rPr>
      </w:pPr>
      <w:bookmarkStart w:id="1798" w:name="_Toc129511531"/>
      <w:bookmarkStart w:id="1799" w:name="_Toc332373499"/>
      <w:r>
        <w:rPr>
          <w:rFonts w:ascii="宋体" w:eastAsia="宋体" w:hAnsi="Calibri" w:cs="宋体" w:hint="eastAsia"/>
          <w:bCs/>
          <w:sz w:val="30"/>
          <w:szCs w:val="30"/>
          <w:lang w:eastAsia="zh-CN"/>
        </w:rPr>
        <w:t>第</w:t>
      </w:r>
      <w:r>
        <w:rPr>
          <w:rFonts w:ascii="宋体" w:eastAsia="宋体" w:hAnsi="Calibri" w:cs="宋体"/>
          <w:bCs/>
          <w:sz w:val="30"/>
          <w:szCs w:val="30"/>
          <w:lang w:eastAsia="zh-CN"/>
        </w:rPr>
        <w:t>九</w:t>
      </w:r>
      <w:r>
        <w:rPr>
          <w:rFonts w:ascii="宋体" w:eastAsia="宋体" w:hAnsi="Calibri" w:cs="宋体" w:hint="eastAsia"/>
          <w:bCs/>
          <w:sz w:val="30"/>
          <w:szCs w:val="30"/>
          <w:lang w:eastAsia="zh-CN"/>
        </w:rPr>
        <w:t>部分</w:t>
      </w:r>
      <w:r>
        <w:rPr>
          <w:rFonts w:ascii="宋体" w:eastAsia="宋体" w:hAnsi="Calibri" w:cs="宋体"/>
          <w:bCs/>
          <w:sz w:val="30"/>
          <w:szCs w:val="30"/>
          <w:lang w:eastAsia="zh-CN"/>
        </w:rPr>
        <w:t xml:space="preserve"> </w:t>
      </w:r>
      <w:r>
        <w:rPr>
          <w:rFonts w:ascii="宋体" w:eastAsia="宋体" w:hAnsi="Calibri" w:cs="宋体" w:hint="eastAsia"/>
          <w:bCs/>
          <w:sz w:val="30"/>
          <w:szCs w:val="30"/>
          <w:lang w:eastAsia="zh-CN"/>
        </w:rPr>
        <w:t>基金份额的申购、赎回</w:t>
      </w:r>
      <w:bookmarkEnd w:id="1798"/>
      <w:bookmarkEnd w:id="1799"/>
    </w:p>
    <w:p w:rsidR="004A090B">
      <w:pPr>
        <w:spacing w:line="360" w:lineRule="auto"/>
        <w:ind w:firstLine="420"/>
        <w:rPr>
          <w:rStyle w:val="da"/>
          <w:rFonts w:ascii="宋体" w:hAnsi="Calibri" w:cs="宋体"/>
          <w:szCs w:val="21"/>
          <w:lang w:eastAsia="zh-CN"/>
        </w:rPr>
      </w:pPr>
      <w:bookmarkStart w:id="1800" w:name="_Toc332373500"/>
      <w:r>
        <w:rPr>
          <w:rStyle w:val="da"/>
          <w:rFonts w:ascii="宋体" w:hAnsi="Calibri" w:cs="宋体" w:hint="eastAsia"/>
          <w:szCs w:val="21"/>
          <w:lang w:eastAsia="zh-CN"/>
        </w:rPr>
        <w:t>一、基金投资人范围</w:t>
      </w:r>
      <w:bookmarkEnd w:id="1800"/>
    </w:p>
    <w:p w:rsidR="004A090B">
      <w:pPr>
        <w:spacing w:line="360" w:lineRule="auto"/>
        <w:ind w:firstLine="424"/>
        <w:rPr>
          <w:rFonts w:ascii="宋体" w:hAnsi="Calibri" w:cs="宋体"/>
          <w:szCs w:val="21"/>
          <w:lang w:eastAsia="zh-CN"/>
        </w:rPr>
      </w:pPr>
      <w:r>
        <w:rPr>
          <w:rFonts w:ascii="宋体" w:hAnsi="Calibri" w:cs="宋体" w:hint="eastAsia"/>
          <w:bCs/>
          <w:szCs w:val="21"/>
          <w:highlight w:val="white"/>
          <w:lang w:eastAsia="zh-CN"/>
        </w:rPr>
        <w:t>符合法律法规规定的可投资于证券投资基金的个人投资者、机构投资者、合格境外投资者以及法律法规或中国证监会允许购买证券投资基金的其他投资人。</w:t>
      </w:r>
    </w:p>
    <w:p w:rsidR="004A090B">
      <w:pPr>
        <w:spacing w:line="360" w:lineRule="auto"/>
        <w:ind w:firstLine="420"/>
        <w:rPr>
          <w:rStyle w:val="da"/>
          <w:rFonts w:ascii="宋体" w:hAnsi="Calibri" w:cs="宋体"/>
          <w:lang w:eastAsia="zh-CN"/>
        </w:rPr>
      </w:pPr>
      <w:bookmarkStart w:id="1801" w:name="_Toc332373501"/>
      <w:r>
        <w:rPr>
          <w:rStyle w:val="da"/>
          <w:rFonts w:ascii="宋体" w:hAnsi="Calibri" w:cs="宋体" w:hint="eastAsia"/>
          <w:lang w:eastAsia="zh-CN"/>
        </w:rPr>
        <w:t>二、申购与赎回的场所</w:t>
      </w:r>
      <w:bookmarkEnd w:id="1801"/>
    </w:p>
    <w:p w:rsidR="004A090B">
      <w:pPr>
        <w:spacing w:line="360" w:lineRule="auto"/>
        <w:ind w:firstLine="420"/>
        <w:rPr>
          <w:rFonts w:ascii="宋体" w:hAnsi="Calibri" w:cs="宋体"/>
          <w:bCs/>
          <w:lang w:eastAsia="zh-CN"/>
        </w:rPr>
      </w:pPr>
      <w:r>
        <w:rPr>
          <w:rFonts w:ascii="宋体" w:hAnsi="Calibri" w:cs="宋体" w:hint="eastAsia"/>
          <w:bCs/>
          <w:highlight w:val="white"/>
          <w:lang w:eastAsia="zh-CN"/>
        </w:rPr>
        <w:t>本基金的申购与赎回将通过销售机构进行。基金管理人可根据情况变更或增减销售机构，并在基金管理人网站公示。基金投资者应当在销售机构办理基金销售业务的营业场所或按销售机构提供的其他方式办理基金份额的申购与赎回。</w:t>
      </w:r>
    </w:p>
    <w:p w:rsidR="004A090B">
      <w:pPr>
        <w:spacing w:line="360" w:lineRule="auto"/>
        <w:ind w:firstLine="420"/>
        <w:rPr>
          <w:rFonts w:ascii="宋体" w:hAnsi="Calibri" w:cs="宋体"/>
          <w:bCs/>
          <w:lang w:eastAsia="zh-CN"/>
        </w:rPr>
      </w:pPr>
      <w:r>
        <w:rPr>
          <w:rFonts w:ascii="宋体" w:hAnsi="Calibri" w:cs="宋体" w:hint="eastAsia"/>
          <w:bCs/>
          <w:highlight w:val="white"/>
          <w:lang w:eastAsia="zh-CN"/>
        </w:rPr>
        <w:t>本基金不同类别份额的申购、赎回的销售机构可能不同，具体详见基金管理人网站公示。</w:t>
      </w:r>
    </w:p>
    <w:p w:rsidR="004A090B">
      <w:pPr>
        <w:spacing w:line="360" w:lineRule="auto"/>
        <w:ind w:firstLine="420"/>
        <w:rPr>
          <w:rStyle w:val="da"/>
          <w:rFonts w:ascii="宋体" w:hAnsi="Calibri" w:cs="宋体"/>
          <w:szCs w:val="21"/>
          <w:lang w:eastAsia="zh-CN"/>
        </w:rPr>
      </w:pPr>
      <w:bookmarkStart w:id="1802" w:name="_Toc332373502"/>
      <w:r>
        <w:rPr>
          <w:rStyle w:val="da"/>
          <w:rFonts w:ascii="宋体" w:hAnsi="Calibri" w:cs="宋体" w:hint="eastAsia"/>
          <w:szCs w:val="21"/>
          <w:lang w:eastAsia="zh-CN"/>
        </w:rPr>
        <w:t>三、申购与赎回办理的开放日及时间</w:t>
      </w:r>
      <w:bookmarkEnd w:id="1802"/>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1</w:t>
      </w:r>
      <w:r>
        <w:rPr>
          <w:rStyle w:val="da"/>
          <w:rFonts w:ascii="宋体" w:hAnsi="Calibri" w:cs="宋体" w:hint="eastAsia"/>
          <w:szCs w:val="21"/>
          <w:lang w:eastAsia="zh-CN"/>
        </w:rPr>
        <w:t>、开放日及开放时间</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投资人在开放日办理基金份额的申购和赎回，本基金的开放日为上海证券交易所、深圳证券交易所的交易日，但基金管理人根据法律法规、中国证监会的要求或基金合同的规定公告暂停申购、赎</w:t>
      </w:r>
      <w:r>
        <w:rPr>
          <w:rStyle w:val="da"/>
          <w:rFonts w:ascii="宋体" w:hAnsi="Calibri" w:cs="宋体" w:hint="eastAsia"/>
          <w:szCs w:val="21"/>
          <w:highlight w:val="white"/>
          <w:lang w:eastAsia="zh-CN"/>
        </w:rPr>
        <w:t>回时除外。</w:t>
      </w:r>
      <w:r>
        <w:rPr>
          <w:rStyle w:val="da"/>
          <w:rFonts w:ascii="宋体" w:hAnsi="Calibri" w:cs="宋体" w:hint="eastAsia"/>
          <w:szCs w:val="21"/>
          <w:lang w:eastAsia="zh-CN"/>
        </w:rPr>
        <w:t>开放日的具体业务办理时间见相关公告。</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基金合同生效后，若出现新的证券</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期货交易市场、证券</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期货交易所交易时间变更、其他特殊情况或根据业务需要，基金管理人将视情况对前述开放日及开放时间进行相应的调整，但应在实施前依照《信息披露办法》的有关规定在规定媒介上公告。</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2</w:t>
      </w:r>
      <w:r>
        <w:rPr>
          <w:rStyle w:val="da"/>
          <w:rFonts w:ascii="宋体" w:hAnsi="Calibri" w:cs="宋体" w:hint="eastAsia"/>
          <w:szCs w:val="21"/>
          <w:highlight w:val="white"/>
          <w:lang w:eastAsia="zh-CN"/>
        </w:rPr>
        <w:t>、申购、赎回开始日及业务办理时间</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基金管理人可根据实际情况依法决定本基金开始办理申购的具体日期，具体业务办理时间在申购开始公告中规定。</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基金管理人自基金合同生效之日起不超过三个月开始办理赎回，具体业务办理时间在赎回开始公告中规定。</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在确定申购开始与赎回开始时间后，基金管理人应在申购、赎回开放前依照《信息披露办法》的有关规定在规定媒介上公告申购与赎回的开始时间。</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基金份额申购、赎回的价格。</w:t>
      </w:r>
    </w:p>
    <w:p w:rsidR="004A090B">
      <w:pPr>
        <w:spacing w:line="360" w:lineRule="auto"/>
        <w:ind w:firstLine="420"/>
        <w:rPr>
          <w:rFonts w:ascii="宋体" w:hAnsi="Calibri" w:cs="宋体"/>
          <w:bCs/>
          <w:sz w:val="24"/>
          <w:lang w:eastAsia="zh-CN"/>
        </w:rPr>
      </w:pPr>
      <w:bookmarkStart w:id="1803" w:name="_Toc332373503"/>
      <w:r>
        <w:rPr>
          <w:rStyle w:val="da"/>
          <w:rFonts w:ascii="宋体" w:hAnsi="Calibri" w:cs="宋体" w:hint="eastAsia"/>
          <w:szCs w:val="21"/>
          <w:lang w:eastAsia="zh-CN"/>
        </w:rPr>
        <w:t>四、</w:t>
      </w:r>
      <w:r>
        <w:rPr>
          <w:rStyle w:val="da"/>
          <w:rFonts w:ascii="宋体" w:hAnsi="Calibri" w:cs="宋体"/>
          <w:szCs w:val="21"/>
          <w:lang w:eastAsia="zh-CN"/>
        </w:rPr>
        <w:t>申购与赎回的原则</w:t>
      </w:r>
      <w:bookmarkEnd w:id="1803"/>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1</w:t>
      </w:r>
      <w:r>
        <w:rPr>
          <w:rFonts w:ascii="宋体" w:hAnsi="Calibri" w:cs="宋体"/>
          <w:bCs/>
          <w:szCs w:val="21"/>
          <w:highlight w:val="white"/>
          <w:lang w:eastAsia="zh-CN"/>
        </w:rPr>
        <w:t>、</w:t>
      </w:r>
      <w:r>
        <w:rPr>
          <w:rFonts w:ascii="宋体" w:hAnsi="Calibri" w:cs="宋体"/>
          <w:bCs/>
          <w:szCs w:val="21"/>
          <w:highlight w:val="white"/>
          <w:lang w:eastAsia="zh-CN"/>
        </w:rPr>
        <w:t>“</w:t>
      </w:r>
      <w:r>
        <w:rPr>
          <w:rFonts w:ascii="宋体" w:hAnsi="Calibri" w:cs="宋体"/>
          <w:bCs/>
          <w:szCs w:val="21"/>
          <w:highlight w:val="white"/>
          <w:lang w:eastAsia="zh-CN"/>
        </w:rPr>
        <w:t>未知价</w:t>
      </w:r>
      <w:r>
        <w:rPr>
          <w:rFonts w:ascii="宋体" w:hAnsi="Calibri" w:cs="宋体"/>
          <w:bCs/>
          <w:szCs w:val="21"/>
          <w:highlight w:val="white"/>
          <w:lang w:eastAsia="zh-CN"/>
        </w:rPr>
        <w:t>”</w:t>
      </w:r>
      <w:r>
        <w:rPr>
          <w:rFonts w:ascii="宋体" w:hAnsi="Calibri" w:cs="宋体"/>
          <w:bCs/>
          <w:szCs w:val="21"/>
          <w:highlight w:val="white"/>
          <w:lang w:eastAsia="zh-CN"/>
        </w:rPr>
        <w:t>原则，即申购、赎回价格以申请当日收市后计算的对应份额类别的基金份额净值为基准进行计算；</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2</w:t>
      </w:r>
      <w:r>
        <w:rPr>
          <w:rFonts w:ascii="宋体" w:hAnsi="Calibri" w:cs="宋体"/>
          <w:bCs/>
          <w:szCs w:val="21"/>
          <w:highlight w:val="white"/>
          <w:lang w:eastAsia="zh-CN"/>
        </w:rPr>
        <w:t>、</w:t>
      </w:r>
      <w:r>
        <w:rPr>
          <w:rFonts w:ascii="宋体" w:hAnsi="Calibri" w:cs="宋体"/>
          <w:bCs/>
          <w:szCs w:val="21"/>
          <w:highlight w:val="white"/>
          <w:lang w:eastAsia="zh-CN"/>
        </w:rPr>
        <w:t>“</w:t>
      </w:r>
      <w:r>
        <w:rPr>
          <w:rFonts w:ascii="宋体" w:hAnsi="Calibri" w:cs="宋体"/>
          <w:bCs/>
          <w:szCs w:val="21"/>
          <w:highlight w:val="white"/>
          <w:lang w:eastAsia="zh-CN"/>
        </w:rPr>
        <w:t>金额申购、份额赎回</w:t>
      </w:r>
      <w:r>
        <w:rPr>
          <w:rFonts w:ascii="宋体" w:hAnsi="Calibri" w:cs="宋体"/>
          <w:bCs/>
          <w:szCs w:val="21"/>
          <w:highlight w:val="white"/>
          <w:lang w:eastAsia="zh-CN"/>
        </w:rPr>
        <w:t>”</w:t>
      </w:r>
      <w:r>
        <w:rPr>
          <w:rFonts w:ascii="宋体" w:hAnsi="Calibri" w:cs="宋体"/>
          <w:bCs/>
          <w:szCs w:val="21"/>
          <w:highlight w:val="white"/>
          <w:lang w:eastAsia="zh-CN"/>
        </w:rPr>
        <w:t>原则，即申购以金额申请，赎回以份额申请；</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3</w:t>
      </w:r>
      <w:r>
        <w:rPr>
          <w:rFonts w:ascii="宋体" w:hAnsi="Calibri" w:cs="宋体"/>
          <w:bCs/>
          <w:szCs w:val="21"/>
          <w:highlight w:val="white"/>
          <w:lang w:eastAsia="zh-CN"/>
        </w:rPr>
        <w:t>、当日的申购与赎回申请可以在基金管理人规定的时间以内撤销；</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4</w:t>
      </w:r>
      <w:r>
        <w:rPr>
          <w:rFonts w:ascii="宋体" w:hAnsi="Calibri" w:cs="宋体"/>
          <w:bCs/>
          <w:szCs w:val="21"/>
          <w:highlight w:val="white"/>
          <w:lang w:eastAsia="zh-CN"/>
        </w:rPr>
        <w:t>、基金份额持有人赎回时，除指定赎回外，基金管理人按先进先出的原则，对该持有人账户在该销售机构托管的基金份额进行处理，即先确认的份额先赎回，后确认的份额后赎回，以确定所适用的赎回费率；</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5</w:t>
      </w:r>
      <w:r>
        <w:rPr>
          <w:rFonts w:ascii="宋体" w:hAnsi="Calibri" w:cs="宋体"/>
          <w:bCs/>
          <w:szCs w:val="21"/>
          <w:highlight w:val="white"/>
          <w:lang w:eastAsia="zh-CN"/>
        </w:rPr>
        <w:t>、办理申购、赎回业务时，应当遵循基金份额持有人利益优先原则，确保投资者的合法权益不受损害并得到公平对待。</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基金管理人可在不违反法律法规的情况下，对上述原则进行调整。基金管理人必须在新规则开始实施前依照《信息披露办法》的有</w:t>
      </w:r>
      <w:r>
        <w:rPr>
          <w:rFonts w:ascii="宋体" w:hAnsi="Calibri" w:cs="宋体"/>
          <w:bCs/>
          <w:szCs w:val="21"/>
          <w:highlight w:val="white"/>
          <w:lang w:eastAsia="zh-CN"/>
        </w:rPr>
        <w:t>关规定在规定媒介上公告。</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五、申购与赎回的程序</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1</w:t>
      </w:r>
      <w:r>
        <w:rPr>
          <w:rFonts w:ascii="宋体" w:hAnsi="Calibri" w:cs="宋体" w:hint="eastAsia"/>
          <w:szCs w:val="21"/>
          <w:lang w:eastAsia="zh-CN"/>
        </w:rPr>
        <w:t>、申购和赎回的申请方式</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投资人必须根据销售机构规定的程序，在开放日的具体业务办理时间内提出申购或赎回的申请。</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投资人在提交申购申请时须按销售机构规定的方式备足申购资金，投资人在提交赎回申请时须持有足够的基金份额余额，否则所提交的申购、赎回申请不成立。</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投资人办理申购、赎回等业务时应提交的文件和办理手续、办理时间、处理规则等在遵守基金合同和本招募说明书规定的前提下，以各销售机构的具体规定为准。</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2</w:t>
      </w:r>
      <w:r>
        <w:rPr>
          <w:rFonts w:ascii="宋体" w:hAnsi="Calibri" w:cs="宋体" w:hint="eastAsia"/>
          <w:szCs w:val="21"/>
          <w:lang w:eastAsia="zh-CN"/>
        </w:rPr>
        <w:t>、申购和赎回申请的确认</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基金管理人应以交易时间结束前受理有效申购</w:t>
      </w:r>
      <w:r>
        <w:rPr>
          <w:rFonts w:ascii="宋体" w:hAnsi="Calibri" w:cs="宋体" w:hint="eastAsia"/>
          <w:bCs/>
          <w:szCs w:val="21"/>
          <w:highlight w:val="white"/>
          <w:lang w:eastAsia="zh-CN"/>
        </w:rPr>
        <w:t>和赎回申请的当天作为申购或赎回申请日（</w:t>
      </w:r>
      <w:r>
        <w:rPr>
          <w:rFonts w:ascii="宋体" w:hAnsi="Calibri" w:cs="宋体" w:hint="eastAsia"/>
          <w:bCs/>
          <w:szCs w:val="21"/>
          <w:highlight w:val="white"/>
          <w:lang w:eastAsia="zh-CN"/>
        </w:rPr>
        <w:t>T</w:t>
      </w:r>
      <w:r>
        <w:rPr>
          <w:rFonts w:ascii="宋体" w:hAnsi="Calibri" w:cs="宋体" w:hint="eastAsia"/>
          <w:bCs/>
          <w:szCs w:val="21"/>
          <w:highlight w:val="white"/>
          <w:lang w:eastAsia="zh-CN"/>
        </w:rPr>
        <w:t>日），在正常情况下，本基金登记机构在</w:t>
      </w:r>
      <w:r>
        <w:rPr>
          <w:rFonts w:ascii="宋体" w:hAnsi="Calibri" w:cs="宋体" w:hint="eastAsia"/>
          <w:bCs/>
          <w:szCs w:val="21"/>
          <w:highlight w:val="white"/>
          <w:lang w:eastAsia="zh-CN"/>
        </w:rPr>
        <w:t>T+1</w:t>
      </w:r>
      <w:r>
        <w:rPr>
          <w:rFonts w:ascii="宋体" w:hAnsi="Calibri" w:cs="宋体" w:hint="eastAsia"/>
          <w:bCs/>
          <w:szCs w:val="21"/>
          <w:highlight w:val="white"/>
          <w:lang w:eastAsia="zh-CN"/>
        </w:rPr>
        <w:t>日内对该交易的有效性进行确认。</w:t>
      </w:r>
      <w:r>
        <w:rPr>
          <w:rFonts w:ascii="宋体" w:hAnsi="Calibri" w:cs="宋体" w:hint="eastAsia"/>
          <w:bCs/>
          <w:szCs w:val="21"/>
          <w:lang w:eastAsia="zh-CN"/>
        </w:rPr>
        <w:t>T</w:t>
      </w:r>
      <w:r>
        <w:rPr>
          <w:rFonts w:ascii="宋体" w:hAnsi="Calibri" w:cs="宋体" w:hint="eastAsia"/>
          <w:bCs/>
          <w:szCs w:val="21"/>
          <w:lang w:eastAsia="zh-CN"/>
        </w:rPr>
        <w:t>日提交的有效申请，投资人应在</w:t>
      </w:r>
      <w:r>
        <w:rPr>
          <w:rFonts w:ascii="宋体" w:hAnsi="Calibri" w:cs="宋体" w:hint="eastAsia"/>
          <w:bCs/>
          <w:szCs w:val="21"/>
          <w:lang w:eastAsia="zh-CN"/>
        </w:rPr>
        <w:t>T+2</w:t>
      </w:r>
      <w:r>
        <w:rPr>
          <w:rFonts w:ascii="宋体" w:hAnsi="Calibri" w:cs="宋体" w:hint="eastAsia"/>
          <w:bCs/>
          <w:szCs w:val="21"/>
          <w:lang w:eastAsia="zh-CN"/>
        </w:rPr>
        <w:t>日后（包括该日）</w:t>
      </w:r>
      <w:r>
        <w:rPr>
          <w:rFonts w:ascii="宋体" w:hAnsi="Calibri" w:cs="宋体"/>
          <w:bCs/>
          <w:szCs w:val="21"/>
          <w:lang w:eastAsia="zh-CN"/>
        </w:rPr>
        <w:t>到销售网点柜台或以销售机构规定的其他方式查询申请的确认情况。若申购不成功，则申购款项本金退还给投资人。</w:t>
      </w:r>
    </w:p>
    <w:p w:rsidR="004A090B">
      <w:pPr>
        <w:spacing w:line="360" w:lineRule="auto"/>
        <w:ind w:firstLine="420"/>
        <w:rPr>
          <w:rFonts w:ascii="宋体" w:hAnsi="Calibri" w:cs="宋体"/>
          <w:szCs w:val="21"/>
          <w:lang w:eastAsia="zh-CN"/>
        </w:rPr>
      </w:pPr>
      <w:r>
        <w:rPr>
          <w:rFonts w:ascii="宋体" w:hAnsi="Calibri" w:cs="宋体" w:hint="eastAsia"/>
          <w:bCs/>
          <w:szCs w:val="21"/>
          <w:highlight w:val="white"/>
          <w:lang w:eastAsia="zh-CN"/>
        </w:rPr>
        <w:t>销售机构对申购、赎回申请的受理并不代表该申请一定成功，而仅代表销售机构确实接收到申购、赎回申请。申购、赎回的确认以登记机构的确认结果为准。对于申请的确认情况，投资人应及时查询并妥善行使合法权利。</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在不违反法律法规的前提下，登记机构可根据《业务规</w:t>
      </w:r>
      <w:r>
        <w:rPr>
          <w:rFonts w:ascii="宋体" w:hAnsi="Calibri" w:cs="宋体" w:hint="eastAsia"/>
          <w:szCs w:val="21"/>
          <w:lang w:eastAsia="zh-CN"/>
        </w:rPr>
        <w:t>则》，对上述业务办理时间进行调整，本基金管理人将于开始实施前按照有关规定予以公告。</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3</w:t>
      </w:r>
      <w:r>
        <w:rPr>
          <w:rFonts w:ascii="宋体" w:hAnsi="Calibri" w:cs="宋体" w:hint="eastAsia"/>
          <w:szCs w:val="21"/>
          <w:lang w:eastAsia="zh-CN"/>
        </w:rPr>
        <w:t>、申购和赎回的款项支付</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申购采用全额缴款方式，若申购资金在规定时间内未全额到账则申购不成功。若申购不成功或无效，基金管理人或基金管理人指定的非直销销售机构将投资人已缴付的申购款项本金退还给投资人。</w:t>
      </w:r>
    </w:p>
    <w:p w:rsidR="004A090B">
      <w:pPr>
        <w:spacing w:line="360" w:lineRule="auto"/>
        <w:ind w:firstLine="420"/>
        <w:rPr>
          <w:rStyle w:val="da"/>
          <w:rFonts w:ascii="宋体" w:hAnsi="Calibri" w:cs="宋体"/>
          <w:szCs w:val="21"/>
          <w:lang w:eastAsia="zh-CN"/>
        </w:rPr>
      </w:pPr>
      <w:r>
        <w:rPr>
          <w:rFonts w:ascii="宋体" w:hAnsi="Calibri" w:cs="宋体" w:hint="eastAsia"/>
          <w:szCs w:val="21"/>
          <w:highlight w:val="white"/>
          <w:lang w:eastAsia="zh-CN"/>
        </w:rPr>
        <w:t>基金份额持有人递交赎回申请，赎回成立；登记机构确认赎回时，赎回生效。</w:t>
      </w:r>
      <w:r>
        <w:rPr>
          <w:rFonts w:ascii="宋体" w:hAnsi="Calibri" w:cs="宋体" w:hint="eastAsia"/>
          <w:szCs w:val="21"/>
          <w:lang w:eastAsia="zh-CN"/>
        </w:rPr>
        <w:t>投资者赎回申请生效后，基金管理人将在</w:t>
      </w:r>
      <w:r>
        <w:rPr>
          <w:rFonts w:ascii="宋体" w:hAnsi="Calibri" w:cs="宋体"/>
          <w:szCs w:val="21"/>
          <w:lang w:eastAsia="zh-CN"/>
        </w:rPr>
        <w:t>T</w:t>
      </w:r>
      <w:r>
        <w:rPr>
          <w:rFonts w:ascii="宋体" w:hAnsi="Calibri" w:cs="宋体"/>
          <w:szCs w:val="21"/>
          <w:lang w:eastAsia="zh-CN"/>
        </w:rPr>
        <w:t>＋</w:t>
      </w:r>
      <w:r>
        <w:rPr>
          <w:rFonts w:ascii="宋体" w:hAnsi="Calibri" w:cs="宋体" w:hint="eastAsia"/>
          <w:szCs w:val="21"/>
          <w:lang w:eastAsia="zh-CN"/>
        </w:rPr>
        <w:t>7</w:t>
      </w:r>
      <w:r>
        <w:rPr>
          <w:rFonts w:ascii="宋体" w:hAnsi="Calibri" w:cs="宋体" w:hint="eastAsia"/>
          <w:szCs w:val="21"/>
          <w:lang w:eastAsia="zh-CN"/>
        </w:rPr>
        <w:t>日（包括该日）</w:t>
      </w:r>
      <w:r>
        <w:rPr>
          <w:rFonts w:ascii="宋体" w:hAnsi="Calibri" w:cs="宋体"/>
          <w:szCs w:val="21"/>
          <w:lang w:eastAsia="zh-CN"/>
        </w:rPr>
        <w:t>内支付赎回款项。</w:t>
      </w:r>
      <w:r>
        <w:rPr>
          <w:rStyle w:val="da"/>
          <w:rFonts w:ascii="宋体" w:hAnsi="Calibri" w:cs="宋体" w:hint="eastAsia"/>
          <w:szCs w:val="21"/>
          <w:highlight w:val="white"/>
          <w:lang w:eastAsia="zh-CN"/>
        </w:rPr>
        <w:t>如遇登记公司系统故障、交易所或交易市场数据传输延迟、通讯系统故障、银行数据交换系统故障或其它非基金管理人及基金托管人所能控制的因素影响业务处理流程，则赎回款项的支付时间可相应顺延。在发生巨额赎回或基金合同载明的其他暂停赎回或延缓支付赎回款项的情形时，款项的支付办法参照基金合同有关条款处理。</w:t>
      </w:r>
    </w:p>
    <w:p w:rsidR="004A090B">
      <w:pPr>
        <w:spacing w:line="360" w:lineRule="auto"/>
        <w:ind w:firstLine="420"/>
        <w:rPr>
          <w:rStyle w:val="da"/>
          <w:rFonts w:ascii="宋体" w:hAnsi="Calibri" w:cs="宋体"/>
          <w:szCs w:val="21"/>
          <w:lang w:eastAsia="zh-CN"/>
        </w:rPr>
      </w:pPr>
      <w:bookmarkStart w:id="1804" w:name="_Toc332373505"/>
      <w:r>
        <w:rPr>
          <w:rStyle w:val="da"/>
          <w:rFonts w:ascii="宋体" w:hAnsi="Calibri" w:cs="宋体" w:hint="eastAsia"/>
          <w:szCs w:val="21"/>
          <w:lang w:eastAsia="zh-CN"/>
        </w:rPr>
        <w:t>六、申购与赎回的数额限制</w:t>
      </w:r>
      <w:bookmarkEnd w:id="1804"/>
    </w:p>
    <w:p w:rsidR="004A090B">
      <w:pPr>
        <w:spacing w:line="360" w:lineRule="auto"/>
        <w:ind w:firstLine="420"/>
        <w:rPr>
          <w:rFonts w:ascii="宋体" w:hAnsi="Calibri" w:cs="宋体"/>
          <w:szCs w:val="21"/>
          <w:lang w:eastAsia="zh-CN"/>
        </w:rPr>
      </w:pPr>
      <w:r>
        <w:rPr>
          <w:rFonts w:ascii="宋体" w:hAnsi="Calibri" w:cs="宋体" w:hint="eastAsia"/>
          <w:szCs w:val="21"/>
          <w:lang w:eastAsia="zh-CN"/>
        </w:rPr>
        <w:t>1</w:t>
      </w:r>
      <w:r>
        <w:rPr>
          <w:rFonts w:ascii="宋体" w:hAnsi="Calibri" w:cs="宋体" w:hint="eastAsia"/>
          <w:szCs w:val="21"/>
          <w:lang w:eastAsia="zh-CN"/>
        </w:rPr>
        <w:t>、申购金额的限制</w:t>
      </w:r>
      <w:r>
        <w:rPr>
          <w:rFonts w:ascii="宋体" w:hAnsi="Calibri" w:cs="宋体" w:hint="eastAsia"/>
          <w:szCs w:val="21"/>
          <w:lang w:eastAsia="zh-CN"/>
        </w:rPr>
        <w:t xml:space="preserve"> </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投资人通过非直销销售机构或本公司网上直销系统首次申购的单笔最低</w:t>
      </w:r>
      <w:r>
        <w:rPr>
          <w:rFonts w:ascii="宋体" w:hAnsi="Calibri" w:cs="宋体"/>
          <w:szCs w:val="21"/>
          <w:lang w:eastAsia="zh-CN"/>
        </w:rPr>
        <w:t>限额</w:t>
      </w:r>
      <w:r>
        <w:rPr>
          <w:rFonts w:ascii="宋体" w:hAnsi="Calibri" w:cs="宋体" w:hint="eastAsia"/>
          <w:szCs w:val="21"/>
          <w:lang w:eastAsia="zh-CN"/>
        </w:rPr>
        <w:t>为人民币</w:t>
      </w:r>
      <w:r>
        <w:rPr>
          <w:rFonts w:ascii="宋体" w:hAnsi="Calibri" w:cs="宋体" w:hint="eastAsia"/>
          <w:szCs w:val="21"/>
          <w:lang w:eastAsia="zh-CN"/>
        </w:rPr>
        <w:t>1</w:t>
      </w:r>
      <w:r>
        <w:rPr>
          <w:rFonts w:ascii="宋体" w:hAnsi="Calibri" w:cs="宋体" w:hint="eastAsia"/>
          <w:szCs w:val="21"/>
          <w:lang w:eastAsia="zh-CN"/>
        </w:rPr>
        <w:t>元，追加申购单笔最低</w:t>
      </w:r>
      <w:r>
        <w:rPr>
          <w:rFonts w:ascii="宋体" w:hAnsi="Calibri" w:cs="宋体"/>
          <w:szCs w:val="21"/>
          <w:lang w:eastAsia="zh-CN"/>
        </w:rPr>
        <w:t>限额</w:t>
      </w:r>
      <w:r>
        <w:rPr>
          <w:rFonts w:ascii="宋体" w:hAnsi="Calibri" w:cs="宋体" w:hint="eastAsia"/>
          <w:szCs w:val="21"/>
          <w:lang w:eastAsia="zh-CN"/>
        </w:rPr>
        <w:t>为人民币</w:t>
      </w:r>
      <w:r>
        <w:rPr>
          <w:rFonts w:ascii="宋体" w:hAnsi="Calibri" w:cs="宋体" w:hint="eastAsia"/>
          <w:szCs w:val="21"/>
          <w:lang w:eastAsia="zh-CN"/>
        </w:rPr>
        <w:t>1</w:t>
      </w:r>
      <w:r>
        <w:rPr>
          <w:rFonts w:ascii="宋体" w:hAnsi="Calibri" w:cs="宋体" w:hint="eastAsia"/>
          <w:szCs w:val="21"/>
          <w:lang w:eastAsia="zh-CN"/>
        </w:rPr>
        <w:t>元；投资人通过本公司直销中心首次申购的单笔最低</w:t>
      </w:r>
      <w:r>
        <w:rPr>
          <w:rFonts w:ascii="宋体" w:hAnsi="Calibri" w:cs="宋体"/>
          <w:szCs w:val="21"/>
          <w:lang w:eastAsia="zh-CN"/>
        </w:rPr>
        <w:t>限额</w:t>
      </w:r>
      <w:r>
        <w:rPr>
          <w:rFonts w:ascii="宋体" w:hAnsi="Calibri" w:cs="宋体" w:hint="eastAsia"/>
          <w:szCs w:val="21"/>
          <w:lang w:eastAsia="zh-CN"/>
        </w:rPr>
        <w:t>为人民币</w:t>
      </w:r>
      <w:r>
        <w:rPr>
          <w:rFonts w:ascii="宋体" w:hAnsi="Calibri" w:cs="宋体" w:hint="eastAsia"/>
          <w:szCs w:val="21"/>
          <w:lang w:eastAsia="zh-CN"/>
        </w:rPr>
        <w:t>50</w:t>
      </w:r>
      <w:r>
        <w:rPr>
          <w:rFonts w:ascii="宋体" w:hAnsi="Calibri" w:cs="宋体" w:hint="eastAsia"/>
          <w:szCs w:val="21"/>
          <w:lang w:eastAsia="zh-CN"/>
        </w:rPr>
        <w:t>,000</w:t>
      </w:r>
      <w:r>
        <w:rPr>
          <w:rFonts w:ascii="宋体" w:hAnsi="Calibri" w:cs="宋体" w:hint="eastAsia"/>
          <w:szCs w:val="21"/>
          <w:lang w:eastAsia="zh-CN"/>
        </w:rPr>
        <w:t>元，追加申购单笔最低</w:t>
      </w:r>
      <w:r>
        <w:rPr>
          <w:rFonts w:ascii="宋体" w:hAnsi="Calibri" w:cs="宋体"/>
          <w:szCs w:val="21"/>
          <w:lang w:eastAsia="zh-CN"/>
        </w:rPr>
        <w:t>限额</w:t>
      </w:r>
      <w:r>
        <w:rPr>
          <w:rFonts w:ascii="宋体" w:hAnsi="Calibri" w:cs="宋体" w:hint="eastAsia"/>
          <w:szCs w:val="21"/>
          <w:lang w:eastAsia="zh-CN"/>
        </w:rPr>
        <w:t>是人民币</w:t>
      </w:r>
      <w:r>
        <w:rPr>
          <w:rFonts w:ascii="宋体" w:hAnsi="Calibri" w:cs="宋体" w:hint="eastAsia"/>
          <w:szCs w:val="21"/>
          <w:lang w:eastAsia="zh-CN"/>
        </w:rPr>
        <w:t>1,000</w:t>
      </w:r>
      <w:r>
        <w:rPr>
          <w:rFonts w:ascii="宋体" w:hAnsi="Calibri" w:cs="宋体" w:hint="eastAsia"/>
          <w:szCs w:val="21"/>
          <w:lang w:eastAsia="zh-CN"/>
        </w:rPr>
        <w:t>元。</w:t>
      </w:r>
      <w:r>
        <w:rPr>
          <w:rStyle w:val="da"/>
          <w:rFonts w:ascii="宋体" w:hAnsi="Calibri" w:cs="宋体" w:hint="eastAsia"/>
          <w:lang w:eastAsia="zh-CN"/>
        </w:rPr>
        <w:t>在符合法律法规规定的前提下，</w:t>
      </w:r>
      <w:r>
        <w:rPr>
          <w:rFonts w:ascii="宋体" w:hAnsi="Calibri" w:cs="宋体" w:hint="eastAsia"/>
          <w:szCs w:val="21"/>
          <w:lang w:eastAsia="zh-CN"/>
        </w:rPr>
        <w:t>各销售机构对申购</w:t>
      </w:r>
      <w:r>
        <w:rPr>
          <w:rFonts w:ascii="宋体" w:hAnsi="Calibri" w:cs="宋体"/>
          <w:szCs w:val="21"/>
          <w:lang w:eastAsia="zh-CN"/>
        </w:rPr>
        <w:t>限额</w:t>
      </w:r>
      <w:r>
        <w:rPr>
          <w:rFonts w:ascii="宋体" w:hAnsi="Calibri" w:cs="宋体" w:hint="eastAsia"/>
          <w:szCs w:val="21"/>
          <w:lang w:eastAsia="zh-CN"/>
        </w:rPr>
        <w:t>及交易级差有其他规定的，需同时遵循该销售机构的相关规定。</w:t>
      </w:r>
      <w:r>
        <w:rPr>
          <w:rFonts w:ascii="宋体" w:hAnsi="Calibri" w:cs="宋体"/>
          <w:szCs w:val="21"/>
          <w:lang w:eastAsia="zh-CN"/>
        </w:rPr>
        <w:t>（以上金额</w:t>
      </w:r>
      <w:r>
        <w:rPr>
          <w:rFonts w:ascii="宋体" w:hAnsi="Calibri" w:cs="宋体" w:hint="eastAsia"/>
          <w:szCs w:val="21"/>
          <w:lang w:eastAsia="zh-CN"/>
        </w:rPr>
        <w:t>均</w:t>
      </w:r>
      <w:r>
        <w:rPr>
          <w:rFonts w:ascii="宋体" w:hAnsi="Calibri" w:cs="宋体"/>
          <w:szCs w:val="21"/>
          <w:lang w:eastAsia="zh-CN"/>
        </w:rPr>
        <w:t>含</w:t>
      </w:r>
      <w:r>
        <w:rPr>
          <w:rFonts w:ascii="宋体" w:hAnsi="Calibri" w:cs="宋体" w:hint="eastAsia"/>
          <w:szCs w:val="21"/>
          <w:lang w:eastAsia="zh-CN"/>
        </w:rPr>
        <w:t>申</w:t>
      </w:r>
      <w:r>
        <w:rPr>
          <w:rFonts w:ascii="宋体" w:hAnsi="Calibri" w:cs="宋体"/>
          <w:szCs w:val="21"/>
          <w:lang w:eastAsia="zh-CN"/>
        </w:rPr>
        <w:t>购费）</w:t>
      </w:r>
      <w:r>
        <w:rPr>
          <w:rFonts w:ascii="宋体" w:hAnsi="Calibri" w:cs="宋体" w:hint="eastAsia"/>
          <w:szCs w:val="21"/>
          <w:lang w:eastAsia="zh-CN"/>
        </w:rPr>
        <w:t>。</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投资人将当期分配的基金收益转购基金份额或采用定期定额投资计划时，不受最低申购金额的限制。</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w:t>
      </w:r>
      <w:r w:rsidR="005379C6">
        <w:rPr>
          <w:rFonts w:ascii="宋体" w:hAnsi="Calibri" w:cs="宋体" w:hint="eastAsia"/>
          <w:szCs w:val="21"/>
          <w:lang w:eastAsia="zh-CN"/>
        </w:rPr>
        <w:t>，</w:t>
      </w:r>
      <w:r>
        <w:rPr>
          <w:rFonts w:ascii="宋体" w:hAnsi="Calibri"/>
          <w:szCs w:val="21"/>
          <w:lang w:eastAsia="zh-CN"/>
        </w:rPr>
        <w:t>基金管理人基于投资运作与风险控制的需要，可采取上述措施对基金规模予以控制。具体见基金管理人相关公告</w:t>
      </w:r>
      <w:r>
        <w:rPr>
          <w:rFonts w:ascii="宋体" w:hAnsi="Calibri" w:cs="宋体" w:hint="eastAsia"/>
          <w:szCs w:val="21"/>
          <w:lang w:eastAsia="zh-CN"/>
        </w:rPr>
        <w:t>。法律法规、中国证监会另有规定的除外。</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2</w:t>
      </w:r>
      <w:r>
        <w:rPr>
          <w:rFonts w:ascii="宋体" w:hAnsi="Calibri" w:cs="宋体" w:hint="eastAsia"/>
          <w:szCs w:val="21"/>
          <w:lang w:eastAsia="zh-CN"/>
        </w:rPr>
        <w:t>、赎回份额的限制</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投资人可将其全部或部分基金份额赎回。</w:t>
      </w:r>
      <w:r>
        <w:rPr>
          <w:rFonts w:ascii="宋体" w:hAnsi="Calibri" w:cs="宋体"/>
          <w:szCs w:val="21"/>
          <w:lang w:eastAsia="zh-CN"/>
        </w:rPr>
        <w:t>每类</w:t>
      </w:r>
      <w:r>
        <w:rPr>
          <w:rFonts w:ascii="宋体" w:hAnsi="Calibri" w:cs="宋体" w:hint="eastAsia"/>
          <w:szCs w:val="21"/>
          <w:lang w:eastAsia="zh-CN"/>
        </w:rPr>
        <w:t>基金份额单笔赎回或转换不得少于</w:t>
      </w:r>
      <w:r>
        <w:rPr>
          <w:rFonts w:ascii="宋体" w:hAnsi="Calibri" w:cs="宋体" w:hint="eastAsia"/>
          <w:szCs w:val="21"/>
          <w:lang w:eastAsia="zh-CN"/>
        </w:rPr>
        <w:t>1</w:t>
      </w:r>
      <w:r>
        <w:rPr>
          <w:rFonts w:ascii="宋体" w:hAnsi="Calibri" w:cs="宋体" w:hint="eastAsia"/>
          <w:szCs w:val="21"/>
          <w:lang w:eastAsia="zh-CN"/>
        </w:rPr>
        <w:t>份（如该账户在该销售机构托管的该</w:t>
      </w:r>
      <w:r>
        <w:rPr>
          <w:rFonts w:ascii="宋体" w:hAnsi="Calibri" w:cs="宋体"/>
          <w:szCs w:val="21"/>
          <w:lang w:eastAsia="zh-CN"/>
        </w:rPr>
        <w:t>类</w:t>
      </w:r>
      <w:r>
        <w:rPr>
          <w:rFonts w:ascii="宋体" w:hAnsi="Calibri" w:cs="宋体" w:hint="eastAsia"/>
          <w:szCs w:val="21"/>
          <w:lang w:eastAsia="zh-CN"/>
        </w:rPr>
        <w:t>基金份额余额不足</w:t>
      </w:r>
      <w:r>
        <w:rPr>
          <w:rFonts w:ascii="宋体" w:hAnsi="Calibri" w:cs="宋体" w:hint="eastAsia"/>
          <w:szCs w:val="21"/>
          <w:lang w:eastAsia="zh-CN"/>
        </w:rPr>
        <w:t>1</w:t>
      </w:r>
      <w:r>
        <w:rPr>
          <w:rFonts w:ascii="宋体" w:hAnsi="Calibri" w:cs="宋体" w:hint="eastAsia"/>
          <w:szCs w:val="21"/>
          <w:lang w:eastAsia="zh-CN"/>
        </w:rPr>
        <w:t>份，则必须一次性赎回或转出该类基金份额全部份额）；若某笔赎回将导致投资人在该销售机构托管的该类基金份额余额不足</w:t>
      </w:r>
      <w:r>
        <w:rPr>
          <w:rFonts w:ascii="宋体" w:hAnsi="Calibri" w:cs="宋体" w:hint="eastAsia"/>
          <w:szCs w:val="21"/>
          <w:lang w:eastAsia="zh-CN"/>
        </w:rPr>
        <w:t>1</w:t>
      </w:r>
      <w:r>
        <w:rPr>
          <w:rFonts w:ascii="宋体" w:hAnsi="Calibri" w:cs="宋体" w:hint="eastAsia"/>
          <w:szCs w:val="21"/>
          <w:lang w:eastAsia="zh-CN"/>
        </w:rPr>
        <w:t>份时，基金管理人有权将投资人在该销售机构托管的该类基金份额剩余份额一次性全部赎回。</w:t>
      </w:r>
      <w:r>
        <w:rPr>
          <w:rStyle w:val="da"/>
          <w:rFonts w:ascii="宋体" w:hAnsi="Calibri" w:cs="宋体" w:hint="eastAsia"/>
          <w:lang w:eastAsia="zh-CN"/>
        </w:rPr>
        <w:t>在符合法律法规规定的前提下，</w:t>
      </w:r>
      <w:r>
        <w:rPr>
          <w:rFonts w:ascii="宋体" w:hAnsi="Calibri" w:cs="宋体" w:hint="eastAsia"/>
          <w:szCs w:val="21"/>
          <w:lang w:eastAsia="zh-CN"/>
        </w:rPr>
        <w:t>各销售机构对赎回份额限制有其他规定的，需同时遵循该销售机构的相关规定。</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3</w:t>
      </w:r>
      <w:r>
        <w:rPr>
          <w:rFonts w:ascii="宋体" w:hAnsi="Calibri" w:cs="宋体" w:hint="eastAsia"/>
          <w:szCs w:val="21"/>
          <w:lang w:eastAsia="zh-CN"/>
        </w:rPr>
        <w:t>、基金管理人可</w:t>
      </w:r>
      <w:r>
        <w:rPr>
          <w:rFonts w:ascii="宋体" w:hAnsi="Calibri" w:cs="宋体" w:hint="eastAsia"/>
          <w:szCs w:val="21"/>
          <w:highlight w:val="white"/>
          <w:lang w:eastAsia="zh-CN"/>
        </w:rPr>
        <w:t>在不违反法律法规的情况下，调整上述规定申购金额和赎回份额的数量限制，或者新增基金规模控制措施。基金管理人必须在调整前依照《信息披露办法》的有关规定在规定媒介上公告。</w:t>
      </w:r>
    </w:p>
    <w:p w:rsidR="004A090B">
      <w:pPr>
        <w:spacing w:line="360" w:lineRule="auto"/>
        <w:ind w:firstLine="420"/>
        <w:rPr>
          <w:rStyle w:val="da"/>
          <w:rFonts w:ascii="宋体" w:hAnsi="Calibri" w:cs="宋体"/>
          <w:szCs w:val="21"/>
          <w:lang w:eastAsia="zh-CN"/>
        </w:rPr>
      </w:pPr>
      <w:bookmarkStart w:id="1805" w:name="_Toc332373506"/>
      <w:r>
        <w:rPr>
          <w:rStyle w:val="da"/>
          <w:rFonts w:ascii="宋体" w:hAnsi="Calibri" w:cs="宋体" w:hint="eastAsia"/>
          <w:szCs w:val="21"/>
          <w:lang w:eastAsia="zh-CN"/>
        </w:rPr>
        <w:t>七、基金的申购费和赎回费</w:t>
      </w:r>
      <w:bookmarkEnd w:id="1805"/>
    </w:p>
    <w:p w:rsidR="004A090B">
      <w:pPr>
        <w:spacing w:line="360" w:lineRule="auto"/>
        <w:ind w:firstLine="420"/>
        <w:rPr>
          <w:rFonts w:ascii="宋体" w:hAnsi="Calibri" w:cs="宋体"/>
          <w:szCs w:val="21"/>
        </w:rPr>
      </w:pPr>
      <w:r>
        <w:rPr>
          <w:rFonts w:ascii="宋体" w:hAnsi="Calibri" w:cs="宋体" w:hint="eastAsia"/>
          <w:szCs w:val="21"/>
          <w:lang w:eastAsia="zh-CN"/>
        </w:rPr>
        <w:t>1</w:t>
      </w:r>
      <w:r>
        <w:rPr>
          <w:rFonts w:ascii="宋体" w:hAnsi="Calibri" w:cs="宋体" w:hint="eastAsia"/>
          <w:szCs w:val="21"/>
          <w:lang w:eastAsia="zh-CN"/>
        </w:rPr>
        <w:t>、</w:t>
      </w:r>
      <w:r>
        <w:rPr>
          <w:rFonts w:ascii="宋体" w:hAnsi="Calibri" w:cs="宋体" w:hint="eastAsia"/>
          <w:bCs/>
          <w:szCs w:val="21"/>
          <w:lang w:eastAsia="zh-CN"/>
        </w:rPr>
        <w:t>本基金</w:t>
      </w:r>
      <w:r>
        <w:rPr>
          <w:rFonts w:ascii="宋体" w:hAnsi="Calibri" w:cs="宋体"/>
          <w:bCs/>
          <w:szCs w:val="21"/>
          <w:lang w:eastAsia="zh-CN"/>
        </w:rPr>
        <w:t>A</w:t>
      </w:r>
      <w:r>
        <w:rPr>
          <w:rFonts w:ascii="宋体" w:hAnsi="Calibri" w:cs="宋体"/>
          <w:bCs/>
          <w:szCs w:val="21"/>
          <w:lang w:eastAsia="zh-CN"/>
        </w:rPr>
        <w:t>类基金份额</w:t>
      </w:r>
      <w:r>
        <w:rPr>
          <w:rFonts w:ascii="宋体" w:hAnsi="Calibri" w:cs="宋体" w:hint="eastAsia"/>
          <w:bCs/>
          <w:szCs w:val="21"/>
          <w:lang w:eastAsia="zh-CN"/>
        </w:rPr>
        <w:t>按规定收取的</w:t>
      </w:r>
      <w:r>
        <w:rPr>
          <w:rFonts w:ascii="宋体" w:hAnsi="Calibri" w:cs="宋体"/>
          <w:bCs/>
          <w:szCs w:val="21"/>
          <w:lang w:eastAsia="zh-CN"/>
        </w:rPr>
        <w:t>申购费用由</w:t>
      </w:r>
      <w:r>
        <w:rPr>
          <w:rFonts w:ascii="宋体" w:hAnsi="Calibri" w:cs="宋体" w:hint="eastAsia"/>
          <w:bCs/>
          <w:szCs w:val="21"/>
          <w:lang w:eastAsia="zh-CN"/>
        </w:rPr>
        <w:t>申购</w:t>
      </w:r>
      <w:r>
        <w:rPr>
          <w:rFonts w:ascii="宋体" w:hAnsi="Calibri" w:cs="宋体" w:hint="eastAsia"/>
          <w:lang w:eastAsia="zh-CN"/>
        </w:rPr>
        <w:t>该类</w:t>
      </w:r>
      <w:r>
        <w:rPr>
          <w:rFonts w:ascii="宋体" w:hAnsi="Calibri" w:cs="宋体" w:hint="eastAsia"/>
          <w:bCs/>
          <w:szCs w:val="21"/>
          <w:lang w:eastAsia="zh-CN"/>
        </w:rPr>
        <w:t>基金份额的</w:t>
      </w:r>
      <w:r>
        <w:rPr>
          <w:rFonts w:ascii="宋体" w:hAnsi="Calibri" w:cs="宋体"/>
          <w:bCs/>
          <w:szCs w:val="21"/>
          <w:lang w:eastAsia="zh-CN"/>
        </w:rPr>
        <w:t>投资人承担</w:t>
      </w:r>
      <w:r>
        <w:rPr>
          <w:rFonts w:ascii="宋体" w:hAnsi="Calibri" w:cs="宋体" w:hint="eastAsia"/>
          <w:szCs w:val="21"/>
          <w:lang w:eastAsia="zh-CN"/>
        </w:rPr>
        <w:t>，</w:t>
      </w:r>
      <w:r>
        <w:rPr>
          <w:rFonts w:ascii="宋体" w:hAnsi="Calibri" w:cs="宋体"/>
          <w:szCs w:val="21"/>
          <w:lang w:eastAsia="zh-CN"/>
        </w:rPr>
        <w:t>不列入基金财产，主要用于本基金的市场推广、销售等各项费用。</w:t>
      </w:r>
      <w:r>
        <w:rPr>
          <w:rFonts w:ascii="宋体" w:hAnsi="Calibri" w:cs="宋体"/>
          <w:szCs w:val="21"/>
          <w:lang w:eastAsia="zh-CN"/>
        </w:rPr>
        <w:t>C</w:t>
      </w:r>
      <w:r>
        <w:rPr>
          <w:rFonts w:ascii="宋体" w:hAnsi="Calibri" w:cs="宋体"/>
          <w:szCs w:val="21"/>
          <w:lang w:eastAsia="zh-CN"/>
        </w:rPr>
        <w:t>类基金份额不收取申购费</w:t>
      </w:r>
      <w:r>
        <w:rPr>
          <w:rFonts w:ascii="宋体" w:hAnsi="Calibri" w:cs="宋体"/>
          <w:color w:val="000000"/>
          <w:lang w:eastAsia="zh-CN"/>
        </w:rPr>
        <w:t>，在投资者持有期间</w:t>
      </w:r>
      <w:r>
        <w:rPr>
          <w:rFonts w:ascii="宋体" w:hAnsi="宋体" w:cs="宋体"/>
          <w:color w:val="000000"/>
          <w:highlight w:val="white"/>
          <w:lang w:eastAsia="zh-CN"/>
        </w:rPr>
        <w:t>计提销售服务费</w:t>
      </w:r>
      <w:r>
        <w:rPr>
          <w:rFonts w:ascii="宋体" w:hAnsi="宋体" w:cs="宋体" w:hint="eastAsia"/>
          <w:color w:val="000000"/>
          <w:highlight w:val="white"/>
          <w:lang w:eastAsia="zh-CN"/>
        </w:rPr>
        <w:t>并按规定收取或返还</w:t>
      </w:r>
      <w:r>
        <w:rPr>
          <w:rFonts w:ascii="宋体" w:hAnsi="Calibri" w:cs="宋体"/>
          <w:szCs w:val="21"/>
          <w:lang w:eastAsia="zh-CN"/>
        </w:rPr>
        <w:t>。</w:t>
      </w:r>
      <w:r>
        <w:rPr>
          <w:rFonts w:ascii="宋体" w:hAnsi="Calibri" w:cs="宋体"/>
          <w:szCs w:val="21"/>
        </w:rPr>
        <w:t>赎回费用由基金赎回人承担</w:t>
      </w:r>
      <w:r>
        <w:rPr>
          <w:rFonts w:ascii="宋体" w:hAnsi="Calibri" w:cs="宋体"/>
          <w:szCs w:val="21"/>
        </w:rPr>
        <w:t>。</w:t>
      </w:r>
    </w:p>
    <w:p w:rsidR="004A090B">
      <w:pPr>
        <w:spacing w:line="360" w:lineRule="auto"/>
        <w:ind w:firstLine="420"/>
        <w:rPr>
          <w:rFonts w:ascii="宋体" w:hAnsi="Calibri" w:cs="宋体"/>
        </w:rPr>
      </w:pPr>
      <w:r>
        <w:rPr>
          <w:rFonts w:ascii="宋体" w:hAnsi="Calibri" w:cs="宋体" w:hint="eastAsia"/>
          <w:szCs w:val="21"/>
        </w:rPr>
        <w:t>2</w:t>
      </w:r>
      <w:r>
        <w:rPr>
          <w:rFonts w:ascii="宋体" w:hAnsi="Calibri" w:cs="宋体" w:hint="eastAsia"/>
          <w:szCs w:val="21"/>
        </w:rPr>
        <w:t>、申购费率</w:t>
      </w:r>
    </w:p>
    <w:tbl>
      <w:tblPr>
        <w:tblW w:w="7574" w:type="dxa"/>
        <w:jc w:val="center"/>
        <w:tblLayout w:type="fixed"/>
        <w:tblLook w:val="04A0"/>
      </w:tblPr>
      <w:tblGrid>
        <w:gridCol w:w="3794"/>
        <w:gridCol w:w="3780"/>
      </w:tblGrid>
      <w:tr>
        <w:tblPrEx>
          <w:tblW w:w="7574" w:type="dxa"/>
          <w:jc w:val="center"/>
          <w:tblLayout w:type="fixed"/>
          <w:tblLook w:val="04A0"/>
        </w:tblPrEx>
        <w:trPr>
          <w:trHeight w:val="525"/>
          <w:jc w:val="center"/>
        </w:trPr>
        <w:tc>
          <w:tcPr>
            <w:tcW w:w="3794" w:type="dxa"/>
            <w:tcBorders>
              <w:top w:val="single" w:sz="8" w:space="0" w:color="auto"/>
              <w:left w:val="single" w:sz="8" w:space="0" w:color="auto"/>
              <w:bottom w:val="single" w:sz="8" w:space="0" w:color="auto"/>
              <w:right w:val="single" w:sz="8" w:space="0" w:color="auto"/>
            </w:tcBorders>
            <w:shd w:val="clear" w:color="auto" w:fill="auto"/>
          </w:tcPr>
          <w:p w:rsidR="004A090B">
            <w:pPr>
              <w:widowControl/>
              <w:spacing w:line="360" w:lineRule="auto"/>
              <w:jc w:val="center"/>
              <w:rPr>
                <w:rFonts w:ascii="宋体" w:hAnsi="Calibri" w:cs="宋体"/>
                <w:bCs/>
                <w:szCs w:val="21"/>
                <w:lang w:eastAsia="zh-CN"/>
              </w:rPr>
            </w:pPr>
            <w:r>
              <w:rPr>
                <w:rFonts w:ascii="宋体" w:hAnsi="Calibri" w:cs="宋体"/>
                <w:bCs/>
                <w:szCs w:val="21"/>
                <w:lang w:eastAsia="zh-CN"/>
              </w:rPr>
              <w:t>申购</w:t>
            </w:r>
            <w:r>
              <w:rPr>
                <w:rFonts w:ascii="宋体" w:hAnsi="Calibri"/>
                <w:lang w:eastAsia="zh-CN"/>
              </w:rPr>
              <w:t>确认</w:t>
            </w:r>
            <w:r>
              <w:rPr>
                <w:rFonts w:ascii="宋体" w:hAnsi="Calibri" w:cs="宋体"/>
                <w:bCs/>
                <w:szCs w:val="21"/>
                <w:lang w:eastAsia="zh-CN"/>
              </w:rPr>
              <w:t>金额</w:t>
            </w:r>
            <w:r>
              <w:rPr>
                <w:rFonts w:ascii="宋体" w:hAnsi="Calibri" w:cs="宋体"/>
                <w:bCs/>
                <w:szCs w:val="21"/>
                <w:lang w:eastAsia="zh-CN"/>
              </w:rPr>
              <w:t>M</w:t>
            </w:r>
            <w:r>
              <w:rPr>
                <w:rFonts w:ascii="宋体" w:hAnsi="Calibri" w:cs="宋体"/>
                <w:bCs/>
                <w:szCs w:val="21"/>
                <w:lang w:eastAsia="zh-CN"/>
              </w:rPr>
              <w:t>（元）（含申购费）</w:t>
            </w:r>
          </w:p>
        </w:tc>
        <w:tc>
          <w:tcPr>
            <w:tcW w:w="3780" w:type="dxa"/>
            <w:tcBorders>
              <w:top w:val="single" w:sz="8" w:space="0" w:color="auto"/>
              <w:left w:val="nil"/>
              <w:bottom w:val="single" w:sz="8" w:space="0" w:color="auto"/>
              <w:right w:val="single" w:sz="8" w:space="0" w:color="auto"/>
            </w:tcBorders>
            <w:shd w:val="clear" w:color="auto" w:fill="auto"/>
          </w:tcPr>
          <w:p w:rsidR="004A090B">
            <w:pPr>
              <w:widowControl/>
              <w:spacing w:line="360" w:lineRule="auto"/>
              <w:jc w:val="center"/>
              <w:rPr>
                <w:rFonts w:ascii="宋体" w:hAnsi="Calibri" w:cs="宋体"/>
                <w:bCs/>
                <w:szCs w:val="21"/>
                <w:lang w:eastAsia="zh-CN"/>
              </w:rPr>
            </w:pPr>
            <w:r>
              <w:rPr>
                <w:rStyle w:val="da"/>
                <w:rFonts w:ascii="宋体" w:hAnsi="Calibri" w:cs="宋体"/>
                <w:lang w:eastAsia="zh-CN"/>
              </w:rPr>
              <w:t>A</w:t>
            </w:r>
            <w:r>
              <w:rPr>
                <w:rStyle w:val="da"/>
                <w:rFonts w:ascii="宋体" w:hAnsi="Calibri" w:cs="宋体"/>
                <w:lang w:eastAsia="zh-CN"/>
              </w:rPr>
              <w:t>类基金份额</w:t>
            </w:r>
            <w:r>
              <w:rPr>
                <w:rFonts w:ascii="宋体" w:hAnsi="Calibri" w:cs="宋体"/>
                <w:bCs/>
                <w:szCs w:val="21"/>
                <w:lang w:eastAsia="zh-CN"/>
              </w:rPr>
              <w:t>申购费率</w:t>
            </w:r>
          </w:p>
        </w:tc>
      </w:tr>
      <w:tr>
        <w:tblPrEx>
          <w:tblW w:w="7574" w:type="dxa"/>
          <w:jc w:val="center"/>
          <w:tblLayout w:type="fixed"/>
          <w:tblLook w:val="04A0"/>
        </w:tblPrEx>
        <w:trPr>
          <w:trHeight w:val="360"/>
          <w:jc w:val="center"/>
        </w:trPr>
        <w:tc>
          <w:tcPr>
            <w:tcW w:w="3794" w:type="dxa"/>
            <w:tcBorders>
              <w:top w:val="nil"/>
              <w:left w:val="single" w:sz="8" w:space="0" w:color="auto"/>
              <w:bottom w:val="single" w:sz="8" w:space="0" w:color="auto"/>
              <w:right w:val="single" w:sz="8" w:space="0" w:color="auto"/>
            </w:tcBorders>
            <w:shd w:val="clear" w:color="auto" w:fill="auto"/>
          </w:tcPr>
          <w:p w:rsidR="004A090B">
            <w:pPr>
              <w:widowControl/>
              <w:spacing w:line="360" w:lineRule="auto"/>
              <w:jc w:val="center"/>
              <w:rPr>
                <w:rFonts w:ascii="宋体" w:hAnsi="Calibri" w:cs="宋体"/>
                <w:szCs w:val="21"/>
              </w:rPr>
            </w:pPr>
            <w:r>
              <w:rPr>
                <w:rFonts w:ascii="宋体" w:hAnsi="Calibri" w:cs="宋体" w:hint="eastAsia"/>
                <w:bCs/>
                <w:iCs/>
              </w:rPr>
              <w:t>M</w:t>
            </w:r>
            <w:r>
              <w:rPr>
                <w:rFonts w:ascii="宋体" w:hAnsi="Calibri" w:cs="宋体" w:hint="eastAsia"/>
                <w:bCs/>
                <w:iCs/>
              </w:rPr>
              <w:t>＜</w:t>
            </w:r>
            <w:r>
              <w:rPr>
                <w:rFonts w:ascii="宋体" w:hAnsi="Calibri" w:cs="宋体" w:hint="eastAsia"/>
                <w:bCs/>
                <w:iCs/>
              </w:rPr>
              <w:t>1000</w:t>
            </w:r>
            <w:r>
              <w:rPr>
                <w:rFonts w:ascii="宋体" w:hAnsi="Calibri" w:cs="宋体" w:hint="eastAsia"/>
                <w:bCs/>
                <w:iCs/>
              </w:rPr>
              <w:t>万</w:t>
            </w:r>
          </w:p>
        </w:tc>
        <w:tc>
          <w:tcPr>
            <w:tcW w:w="3780" w:type="dxa"/>
            <w:tcBorders>
              <w:top w:val="nil"/>
              <w:left w:val="nil"/>
              <w:bottom w:val="single" w:sz="8" w:space="0" w:color="auto"/>
              <w:right w:val="single" w:sz="8" w:space="0" w:color="auto"/>
            </w:tcBorders>
            <w:shd w:val="clear" w:color="auto" w:fill="auto"/>
          </w:tcPr>
          <w:p w:rsidR="004A090B">
            <w:pPr>
              <w:widowControl/>
              <w:spacing w:line="360" w:lineRule="auto"/>
              <w:jc w:val="center"/>
              <w:rPr>
                <w:rFonts w:ascii="宋体" w:hAnsi="Calibri" w:cs="宋体"/>
                <w:szCs w:val="21"/>
              </w:rPr>
            </w:pPr>
            <w:r>
              <w:rPr>
                <w:rFonts w:ascii="宋体" w:hAnsi="Calibri" w:cs="宋体" w:hint="eastAsia"/>
                <w:bCs/>
                <w:iCs/>
              </w:rPr>
              <w:t>0.30%</w:t>
            </w:r>
          </w:p>
        </w:tc>
      </w:tr>
      <w:tr>
        <w:tblPrEx>
          <w:tblW w:w="7574" w:type="dxa"/>
          <w:jc w:val="center"/>
          <w:tblLayout w:type="fixed"/>
          <w:tblLook w:val="04A0"/>
        </w:tblPrEx>
        <w:trPr>
          <w:trHeight w:val="360"/>
          <w:jc w:val="center"/>
        </w:trPr>
        <w:tc>
          <w:tcPr>
            <w:tcW w:w="3794" w:type="dxa"/>
            <w:tcBorders>
              <w:top w:val="nil"/>
              <w:left w:val="single" w:sz="8" w:space="0" w:color="auto"/>
              <w:bottom w:val="single" w:sz="8" w:space="0" w:color="auto"/>
              <w:right w:val="single" w:sz="8" w:space="0" w:color="auto"/>
            </w:tcBorders>
            <w:shd w:val="clear" w:color="auto" w:fill="auto"/>
          </w:tcPr>
          <w:p w:rsidR="004A090B">
            <w:pPr>
              <w:widowControl/>
              <w:spacing w:line="360" w:lineRule="auto"/>
              <w:jc w:val="center"/>
              <w:rPr>
                <w:rFonts w:ascii="宋体" w:hAnsi="Calibri" w:cs="宋体"/>
                <w:szCs w:val="21"/>
              </w:rPr>
            </w:pPr>
            <w:r>
              <w:rPr>
                <w:rFonts w:ascii="宋体" w:hAnsi="Calibri" w:cs="宋体" w:hint="eastAsia"/>
                <w:bCs/>
                <w:iCs/>
              </w:rPr>
              <w:t>M</w:t>
            </w:r>
            <w:r>
              <w:rPr>
                <w:rFonts w:ascii="宋体" w:hAnsi="Calibri" w:cs="宋体" w:hint="eastAsia"/>
                <w:bCs/>
                <w:iCs/>
              </w:rPr>
              <w:t>≥</w:t>
            </w:r>
            <w:r>
              <w:rPr>
                <w:rFonts w:ascii="宋体" w:hAnsi="Calibri" w:cs="宋体" w:hint="eastAsia"/>
                <w:bCs/>
                <w:iCs/>
              </w:rPr>
              <w:t>1000</w:t>
            </w:r>
            <w:r>
              <w:rPr>
                <w:rFonts w:ascii="宋体" w:hAnsi="Calibri" w:cs="宋体" w:hint="eastAsia"/>
                <w:bCs/>
                <w:iCs/>
              </w:rPr>
              <w:t>万</w:t>
            </w:r>
          </w:p>
        </w:tc>
        <w:tc>
          <w:tcPr>
            <w:tcW w:w="3780" w:type="dxa"/>
            <w:tcBorders>
              <w:top w:val="nil"/>
              <w:left w:val="nil"/>
              <w:bottom w:val="single" w:sz="8" w:space="0" w:color="auto"/>
              <w:right w:val="single" w:sz="8" w:space="0" w:color="auto"/>
            </w:tcBorders>
            <w:shd w:val="clear" w:color="auto" w:fill="auto"/>
          </w:tcPr>
          <w:p w:rsidR="004A090B">
            <w:pPr>
              <w:widowControl/>
              <w:spacing w:line="360" w:lineRule="auto"/>
              <w:jc w:val="center"/>
              <w:rPr>
                <w:rFonts w:ascii="宋体" w:hAnsi="Calibri" w:cs="宋体"/>
                <w:szCs w:val="21"/>
              </w:rPr>
            </w:pPr>
            <w:r>
              <w:rPr>
                <w:rFonts w:ascii="宋体" w:hAnsi="Calibri" w:cs="宋体" w:hint="eastAsia"/>
                <w:bCs/>
                <w:iCs/>
              </w:rPr>
              <w:t>1000</w:t>
            </w:r>
            <w:r>
              <w:rPr>
                <w:rFonts w:ascii="宋体" w:hAnsi="Calibri" w:cs="宋体" w:hint="eastAsia"/>
                <w:bCs/>
                <w:iCs/>
              </w:rPr>
              <w:t>元</w:t>
            </w:r>
            <w:r>
              <w:rPr>
                <w:rFonts w:ascii="宋体" w:hAnsi="Calibri" w:cs="宋体" w:hint="eastAsia"/>
                <w:bCs/>
                <w:iCs/>
              </w:rPr>
              <w:t>/</w:t>
            </w:r>
            <w:r>
              <w:rPr>
                <w:rFonts w:ascii="宋体" w:hAnsi="Calibri" w:cs="宋体" w:hint="eastAsia"/>
                <w:bCs/>
                <w:iCs/>
              </w:rPr>
              <w:t>笔</w:t>
            </w:r>
          </w:p>
        </w:tc>
      </w:tr>
    </w:tbl>
    <w:p w:rsidR="004A090B">
      <w:pPr>
        <w:spacing w:line="360" w:lineRule="auto"/>
        <w:ind w:firstLine="420"/>
        <w:rPr>
          <w:rStyle w:val="da"/>
          <w:rFonts w:ascii="宋体" w:hAnsi="Calibri" w:cs="宋体"/>
          <w:lang w:eastAsia="zh-CN"/>
        </w:rPr>
      </w:pPr>
      <w:r>
        <w:rPr>
          <w:rStyle w:val="da"/>
          <w:rFonts w:ascii="宋体" w:hAnsi="Calibri" w:cs="宋体"/>
          <w:lang w:eastAsia="zh-CN"/>
        </w:rPr>
        <w:t>（</w:t>
      </w:r>
      <w:r>
        <w:rPr>
          <w:rStyle w:val="da"/>
          <w:rFonts w:ascii="宋体" w:hAnsi="Calibri" w:cs="宋体"/>
          <w:lang w:eastAsia="zh-CN"/>
        </w:rPr>
        <w:t>1</w:t>
      </w:r>
      <w:r>
        <w:rPr>
          <w:rStyle w:val="da"/>
          <w:rFonts w:ascii="宋体" w:hAnsi="Calibri" w:cs="宋体" w:hint="eastAsia"/>
          <w:lang w:eastAsia="zh-CN"/>
        </w:rPr>
        <w:t>）投资者通过基金管理人或其基金销售子公司申购本基金</w:t>
      </w:r>
      <w:r>
        <w:rPr>
          <w:rStyle w:val="da"/>
          <w:rFonts w:ascii="宋体" w:hAnsi="Calibri" w:cs="宋体" w:hint="eastAsia"/>
          <w:lang w:eastAsia="zh-CN"/>
        </w:rPr>
        <w:t>A</w:t>
      </w:r>
      <w:r>
        <w:rPr>
          <w:rStyle w:val="da"/>
          <w:rFonts w:ascii="宋体" w:hAnsi="Calibri" w:cs="宋体" w:hint="eastAsia"/>
          <w:lang w:eastAsia="zh-CN"/>
        </w:rPr>
        <w:t>类基金份额，不收取申购费用。</w:t>
      </w:r>
    </w:p>
    <w:p w:rsidR="004A090B">
      <w:pPr>
        <w:spacing w:line="360" w:lineRule="auto"/>
        <w:ind w:firstLine="420"/>
        <w:rPr>
          <w:rFonts w:ascii="宋体" w:hAnsi="Calibri" w:cs="宋体"/>
          <w:lang w:eastAsia="zh-CN"/>
        </w:rPr>
      </w:pPr>
      <w:r>
        <w:rPr>
          <w:rFonts w:ascii="宋体" w:hAnsi="Calibri" w:cs="宋体" w:hint="eastAsia"/>
          <w:lang w:eastAsia="zh-CN"/>
        </w:rPr>
        <w:t>（</w:t>
      </w:r>
      <w:r>
        <w:rPr>
          <w:rFonts w:ascii="宋体" w:hAnsi="Calibri" w:cs="宋体" w:hint="eastAsia"/>
          <w:lang w:eastAsia="zh-CN"/>
        </w:rPr>
        <w:t>2</w:t>
      </w:r>
      <w:r>
        <w:rPr>
          <w:rFonts w:ascii="宋体" w:hAnsi="Calibri" w:cs="宋体" w:hint="eastAsia"/>
          <w:lang w:eastAsia="zh-CN"/>
        </w:rPr>
        <w:t>）</w:t>
      </w:r>
      <w:r>
        <w:rPr>
          <w:rFonts w:hint="eastAsia"/>
          <w:lang w:eastAsia="zh-CN"/>
        </w:rPr>
        <w:t>投资者通过其他销售机构</w:t>
      </w:r>
      <w:r>
        <w:rPr>
          <w:rFonts w:ascii="宋体" w:hAnsi="Calibri" w:cs="宋体" w:hint="eastAsia"/>
          <w:lang w:eastAsia="zh-CN"/>
        </w:rPr>
        <w:t>申购本基金</w:t>
      </w:r>
      <w:r>
        <w:rPr>
          <w:rStyle w:val="da"/>
          <w:rFonts w:ascii="宋体" w:hAnsi="Calibri" w:cs="宋体"/>
          <w:lang w:eastAsia="zh-CN"/>
        </w:rPr>
        <w:t>A</w:t>
      </w:r>
      <w:r>
        <w:rPr>
          <w:rStyle w:val="da"/>
          <w:rFonts w:ascii="宋体" w:hAnsi="Calibri" w:cs="宋体"/>
          <w:lang w:eastAsia="zh-CN"/>
        </w:rPr>
        <w:t>类基金份额</w:t>
      </w:r>
      <w:r>
        <w:rPr>
          <w:rFonts w:ascii="宋体" w:hAnsi="Calibri" w:cs="宋体" w:hint="eastAsia"/>
          <w:lang w:eastAsia="zh-CN"/>
        </w:rPr>
        <w:t>的申购费率见上表。</w:t>
      </w:r>
    </w:p>
    <w:p w:rsidR="004A090B">
      <w:pPr>
        <w:spacing w:line="312" w:lineRule="auto"/>
        <w:ind w:firstLine="420"/>
        <w:rPr>
          <w:rFonts w:ascii="宋体" w:hAnsi="Calibri" w:cs="宋体"/>
          <w:szCs w:val="21"/>
          <w:lang w:eastAsia="zh-CN"/>
        </w:rPr>
      </w:pPr>
      <w:r>
        <w:rPr>
          <w:rFonts w:ascii="宋体" w:hAnsi="Calibri" w:cs="宋体" w:hint="eastAsia"/>
          <w:szCs w:val="21"/>
          <w:lang w:eastAsia="zh-CN"/>
        </w:rPr>
        <w:t>在申购费按金额分档的情况下，如果投资者多次申购</w:t>
      </w:r>
      <w:r>
        <w:rPr>
          <w:rStyle w:val="da"/>
          <w:rFonts w:ascii="宋体" w:hAnsi="Calibri" w:cs="宋体"/>
          <w:lang w:eastAsia="zh-CN"/>
        </w:rPr>
        <w:t>A</w:t>
      </w:r>
      <w:r>
        <w:rPr>
          <w:rStyle w:val="da"/>
          <w:rFonts w:ascii="宋体" w:hAnsi="Calibri" w:cs="宋体"/>
          <w:lang w:eastAsia="zh-CN"/>
        </w:rPr>
        <w:t>类基金份额</w:t>
      </w:r>
      <w:r>
        <w:rPr>
          <w:rFonts w:ascii="宋体" w:hAnsi="Calibri" w:cs="宋体" w:hint="eastAsia"/>
          <w:szCs w:val="21"/>
          <w:lang w:eastAsia="zh-CN"/>
        </w:rPr>
        <w:t>，申购费适用单笔申购金额所对应的费率。</w:t>
      </w:r>
    </w:p>
    <w:p w:rsidR="004A090B">
      <w:pPr>
        <w:spacing w:line="312" w:lineRule="auto"/>
        <w:ind w:firstLine="420"/>
        <w:rPr>
          <w:rFonts w:ascii="宋体" w:hAnsi="Calibri" w:cs="宋体"/>
          <w:szCs w:val="21"/>
          <w:lang w:eastAsia="zh-CN"/>
        </w:rPr>
      </w:pPr>
      <w:r>
        <w:rPr>
          <w:rFonts w:ascii="宋体" w:hAnsi="Calibri" w:cs="宋体" w:hint="eastAsia"/>
          <w:szCs w:val="21"/>
          <w:lang w:eastAsia="zh-CN"/>
        </w:rPr>
        <w:t>本基金</w:t>
      </w:r>
      <w:r>
        <w:rPr>
          <w:rFonts w:ascii="宋体" w:hAnsi="Calibri" w:cs="宋体" w:hint="eastAsia"/>
          <w:szCs w:val="21"/>
          <w:lang w:eastAsia="zh-CN"/>
        </w:rPr>
        <w:t>C</w:t>
      </w:r>
      <w:r>
        <w:rPr>
          <w:rFonts w:ascii="宋体" w:hAnsi="Calibri" w:cs="宋体" w:hint="eastAsia"/>
          <w:szCs w:val="21"/>
          <w:lang w:eastAsia="zh-CN"/>
        </w:rPr>
        <w:t>类基金份额不收取申购费用</w:t>
      </w:r>
      <w:r>
        <w:rPr>
          <w:rFonts w:ascii="宋体" w:hAnsi="Calibri" w:cs="宋体"/>
          <w:color w:val="000000"/>
          <w:lang w:eastAsia="zh-CN"/>
        </w:rPr>
        <w:t>，在投资者持有期间</w:t>
      </w:r>
      <w:r>
        <w:rPr>
          <w:rFonts w:ascii="宋体" w:hAnsi="Calibri" w:cs="宋体" w:hint="eastAsia"/>
          <w:color w:val="000000"/>
          <w:lang w:eastAsia="zh-CN"/>
        </w:rPr>
        <w:t>计提销售服务费</w:t>
      </w:r>
      <w:r>
        <w:rPr>
          <w:rFonts w:ascii="宋体" w:hAnsi="宋体" w:cs="宋体" w:hint="eastAsia"/>
          <w:color w:val="000000"/>
          <w:highlight w:val="white"/>
          <w:lang w:eastAsia="zh-CN"/>
        </w:rPr>
        <w:t>并按规定收取或返还</w:t>
      </w:r>
      <w:r>
        <w:rPr>
          <w:rFonts w:ascii="宋体" w:hAnsi="Calibri" w:cs="宋体"/>
          <w:szCs w:val="21"/>
          <w:lang w:eastAsia="zh-CN"/>
        </w:rPr>
        <w:t>。</w:t>
      </w:r>
    </w:p>
    <w:p w:rsidR="004A090B">
      <w:pPr>
        <w:spacing w:line="312" w:lineRule="auto"/>
        <w:ind w:firstLine="420"/>
        <w:rPr>
          <w:rFonts w:ascii="宋体" w:hAnsi="Calibri" w:cs="宋体"/>
          <w:szCs w:val="21"/>
          <w:lang w:eastAsia="zh-CN"/>
        </w:rPr>
      </w:pPr>
      <w:r>
        <w:rPr>
          <w:rFonts w:ascii="宋体" w:hAnsi="Calibri" w:cs="宋体" w:hint="eastAsia"/>
          <w:szCs w:val="21"/>
          <w:lang w:eastAsia="zh-CN"/>
        </w:rPr>
        <w:t>本基金暂不开通基金管理人及其基金销售子公司销售本基金</w:t>
      </w:r>
      <w:r>
        <w:rPr>
          <w:rFonts w:ascii="宋体" w:hAnsi="Calibri" w:cs="宋体" w:hint="eastAsia"/>
          <w:szCs w:val="21"/>
          <w:lang w:eastAsia="zh-CN"/>
        </w:rPr>
        <w:t>C</w:t>
      </w:r>
      <w:r>
        <w:rPr>
          <w:rFonts w:ascii="宋体" w:hAnsi="Calibri" w:cs="宋体" w:hint="eastAsia"/>
          <w:szCs w:val="21"/>
          <w:lang w:eastAsia="zh-CN"/>
        </w:rPr>
        <w:t>类基金份额，若日后开通，将另行公告。</w:t>
      </w:r>
    </w:p>
    <w:p w:rsidR="004A090B">
      <w:pPr>
        <w:spacing w:line="312" w:lineRule="auto"/>
        <w:ind w:firstLine="420"/>
        <w:rPr>
          <w:rFonts w:ascii="宋体" w:hAnsi="Calibri" w:cs="宋体"/>
          <w:szCs w:val="21"/>
          <w:lang w:eastAsia="zh-CN"/>
        </w:rPr>
      </w:pPr>
      <w:bookmarkStart w:id="1806" w:name="_Toc332373507"/>
      <w:r>
        <w:rPr>
          <w:rFonts w:ascii="宋体" w:hAnsi="Calibri" w:cs="宋体" w:hint="eastAsia"/>
          <w:szCs w:val="21"/>
          <w:lang w:eastAsia="zh-CN"/>
        </w:rPr>
        <w:t>3</w:t>
      </w:r>
      <w:r>
        <w:rPr>
          <w:rFonts w:ascii="宋体" w:hAnsi="Calibri" w:cs="宋体" w:hint="eastAsia"/>
          <w:szCs w:val="21"/>
          <w:lang w:eastAsia="zh-CN"/>
        </w:rPr>
        <w:t>、赎回费率</w:t>
      </w:r>
    </w:p>
    <w:p w:rsidR="004A090B">
      <w:pPr>
        <w:spacing w:line="312"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hint="eastAsia"/>
          <w:szCs w:val="21"/>
          <w:lang w:eastAsia="zh-CN"/>
        </w:rPr>
        <w:t>1</w:t>
      </w:r>
      <w:r>
        <w:rPr>
          <w:rFonts w:ascii="宋体" w:hAnsi="Calibri" w:cs="宋体" w:hint="eastAsia"/>
          <w:szCs w:val="21"/>
          <w:lang w:eastAsia="zh-CN"/>
        </w:rPr>
        <w:t>）个人投资者持有的基金份额赎回费率见下表：</w:t>
      </w:r>
    </w:p>
    <w:tbl>
      <w:tblPr>
        <w:tblStyle w:val="TableGrid"/>
        <w:tblW w:w="7229" w:type="dxa"/>
        <w:tblInd w:w="704" w:type="dxa"/>
        <w:tblLayout w:type="fixed"/>
        <w:tblLook w:val="04A0"/>
      </w:tblPr>
      <w:tblGrid>
        <w:gridCol w:w="2268"/>
        <w:gridCol w:w="4961"/>
      </w:tblGrid>
      <w:tr>
        <w:tblPrEx>
          <w:tblW w:w="7229" w:type="dxa"/>
          <w:tblInd w:w="704" w:type="dxa"/>
          <w:tblLayout w:type="fixed"/>
          <w:tblLook w:val="04A0"/>
        </w:tblPrEx>
        <w:tc>
          <w:tcPr>
            <w:tcW w:w="2268" w:type="dxa"/>
          </w:tcPr>
          <w:p w:rsidR="004A090B">
            <w:pPr>
              <w:spacing w:line="280" w:lineRule="exact"/>
              <w:jc w:val="center"/>
              <w:rPr>
                <w:rFonts w:ascii="宋体" w:hAnsi="Calibri" w:cs="宋体"/>
                <w:iCs/>
              </w:rPr>
            </w:pPr>
            <w:r>
              <w:rPr>
                <w:rFonts w:ascii="宋体" w:hAnsi="Calibri" w:cs="宋体" w:hint="eastAsia"/>
                <w:bCs/>
                <w:iCs/>
              </w:rPr>
              <w:t>持有时间（天）</w:t>
            </w:r>
          </w:p>
        </w:tc>
        <w:tc>
          <w:tcPr>
            <w:tcW w:w="4961" w:type="dxa"/>
          </w:tcPr>
          <w:p w:rsidR="004A090B">
            <w:pPr>
              <w:spacing w:line="280" w:lineRule="exact"/>
              <w:jc w:val="center"/>
              <w:rPr>
                <w:rFonts w:ascii="宋体" w:hAnsi="Calibri" w:cs="宋体"/>
                <w:iCs/>
                <w:lang w:eastAsia="zh-CN"/>
              </w:rPr>
            </w:pPr>
            <w:r>
              <w:rPr>
                <w:rFonts w:ascii="宋体" w:cs="宋体" w:hint="eastAsia"/>
                <w:bCs/>
                <w:iCs/>
                <w:lang w:eastAsia="zh-CN"/>
              </w:rPr>
              <w:t>个人投资者持有的</w:t>
            </w:r>
            <w:r>
              <w:rPr>
                <w:rFonts w:ascii="宋体" w:hAnsi="Calibri" w:cs="宋体" w:hint="eastAsia"/>
                <w:bCs/>
                <w:iCs/>
                <w:lang w:eastAsia="zh-CN"/>
              </w:rPr>
              <w:t>A</w:t>
            </w:r>
            <w:r>
              <w:rPr>
                <w:rFonts w:ascii="宋体" w:hAnsi="Calibri" w:cs="宋体" w:hint="eastAsia"/>
                <w:bCs/>
                <w:iCs/>
                <w:lang w:eastAsia="zh-CN"/>
              </w:rPr>
              <w:t>类</w:t>
            </w:r>
            <w:r>
              <w:rPr>
                <w:rFonts w:ascii="宋体" w:hAnsi="Calibri" w:cs="宋体" w:hint="eastAsia"/>
                <w:bCs/>
                <w:iCs/>
                <w:lang w:eastAsia="zh-CN"/>
              </w:rPr>
              <w:t>/</w:t>
            </w:r>
            <w:r>
              <w:rPr>
                <w:rFonts w:ascii="宋体" w:hAnsi="Calibri" w:cs="宋体"/>
                <w:bCs/>
                <w:iCs/>
                <w:lang w:eastAsia="zh-CN"/>
              </w:rPr>
              <w:t>C</w:t>
            </w:r>
            <w:r>
              <w:rPr>
                <w:rFonts w:ascii="宋体" w:hAnsi="Calibri" w:cs="宋体" w:hint="eastAsia"/>
                <w:bCs/>
                <w:iCs/>
                <w:lang w:eastAsia="zh-CN"/>
              </w:rPr>
              <w:t>类基金份额赎回费率</w:t>
            </w:r>
          </w:p>
        </w:tc>
      </w:tr>
      <w:tr>
        <w:tblPrEx>
          <w:tblW w:w="7229" w:type="dxa"/>
          <w:tblInd w:w="704" w:type="dxa"/>
          <w:tblLayout w:type="fixed"/>
          <w:tblLook w:val="04A0"/>
        </w:tblPrEx>
        <w:trPr>
          <w:trHeight w:val="360"/>
        </w:trPr>
        <w:tc>
          <w:tcPr>
            <w:tcW w:w="2268" w:type="dxa"/>
          </w:tcPr>
          <w:p w:rsidR="004A090B">
            <w:pPr>
              <w:spacing w:line="280" w:lineRule="exact"/>
              <w:jc w:val="center"/>
              <w:rPr>
                <w:rFonts w:ascii="宋体" w:hAnsi="Calibri" w:cs="宋体"/>
                <w:iCs/>
              </w:rPr>
            </w:pPr>
            <w:r>
              <w:rPr>
                <w:rFonts w:ascii="宋体" w:hAnsi="Calibri" w:cs="宋体" w:hint="eastAsia"/>
                <w:bCs/>
                <w:iCs/>
              </w:rPr>
              <w:t>0-6</w:t>
            </w:r>
          </w:p>
        </w:tc>
        <w:tc>
          <w:tcPr>
            <w:tcW w:w="4961" w:type="dxa"/>
          </w:tcPr>
          <w:p w:rsidR="004A090B">
            <w:pPr>
              <w:spacing w:line="280" w:lineRule="exact"/>
              <w:jc w:val="center"/>
              <w:rPr>
                <w:rFonts w:ascii="宋体" w:hAnsi="Calibri" w:cs="宋体"/>
                <w:iCs/>
              </w:rPr>
            </w:pPr>
            <w:r>
              <w:rPr>
                <w:rFonts w:ascii="宋体" w:hAnsi="Calibri" w:cs="宋体" w:hint="eastAsia"/>
                <w:bCs/>
                <w:iCs/>
              </w:rPr>
              <w:t>1.50%</w:t>
            </w:r>
          </w:p>
        </w:tc>
      </w:tr>
      <w:tr>
        <w:tblPrEx>
          <w:tblW w:w="7229" w:type="dxa"/>
          <w:tblInd w:w="704" w:type="dxa"/>
          <w:tblLayout w:type="fixed"/>
          <w:tblLook w:val="04A0"/>
        </w:tblPrEx>
        <w:trPr>
          <w:trHeight w:val="360"/>
        </w:trPr>
        <w:tc>
          <w:tcPr>
            <w:tcW w:w="2268" w:type="dxa"/>
          </w:tcPr>
          <w:p w:rsidR="004A090B">
            <w:pPr>
              <w:spacing w:line="280" w:lineRule="exact"/>
              <w:jc w:val="center"/>
              <w:rPr>
                <w:rFonts w:ascii="宋体" w:hAnsi="Calibri" w:cs="宋体"/>
                <w:iCs/>
              </w:rPr>
            </w:pPr>
            <w:r>
              <w:rPr>
                <w:rFonts w:ascii="宋体" w:hAnsi="Calibri" w:cs="宋体" w:hint="eastAsia"/>
                <w:bCs/>
                <w:iCs/>
              </w:rPr>
              <w:t>7</w:t>
            </w:r>
            <w:r>
              <w:rPr>
                <w:rFonts w:ascii="宋体" w:hAnsi="Calibri" w:cs="宋体" w:hint="eastAsia"/>
                <w:bCs/>
                <w:iCs/>
              </w:rPr>
              <w:t>及以上</w:t>
            </w:r>
          </w:p>
        </w:tc>
        <w:tc>
          <w:tcPr>
            <w:tcW w:w="4961" w:type="dxa"/>
          </w:tcPr>
          <w:p w:rsidR="004A090B">
            <w:pPr>
              <w:spacing w:line="280" w:lineRule="exact"/>
              <w:jc w:val="center"/>
              <w:rPr>
                <w:rFonts w:ascii="宋体" w:hAnsi="Calibri" w:cs="宋体"/>
                <w:iCs/>
              </w:rPr>
            </w:pPr>
            <w:r>
              <w:rPr>
                <w:rFonts w:ascii="宋体" w:hAnsi="Calibri" w:cs="宋体" w:hint="eastAsia"/>
                <w:bCs/>
                <w:iCs/>
              </w:rPr>
              <w:t>0.00%</w:t>
            </w:r>
          </w:p>
        </w:tc>
      </w:tr>
    </w:tbl>
    <w:p w:rsidR="004A090B">
      <w:pPr>
        <w:spacing w:line="312" w:lineRule="auto"/>
        <w:ind w:firstLine="420"/>
        <w:rPr>
          <w:rFonts w:ascii="宋体" w:hAnsi="Calibri" w:cs="宋体"/>
          <w:szCs w:val="21"/>
          <w:lang w:eastAsia="zh-CN"/>
        </w:rPr>
      </w:pPr>
      <w:r>
        <w:rPr>
          <w:rFonts w:ascii="宋体" w:hAnsi="Calibri" w:cs="宋体" w:hint="eastAsia"/>
          <w:szCs w:val="21"/>
          <w:lang w:eastAsia="zh-CN"/>
        </w:rPr>
        <w:t>（</w:t>
      </w:r>
      <w:r>
        <w:rPr>
          <w:rFonts w:ascii="宋体" w:hAnsi="Calibri" w:cs="宋体"/>
          <w:szCs w:val="21"/>
          <w:lang w:eastAsia="zh-CN"/>
        </w:rPr>
        <w:t>2</w:t>
      </w:r>
      <w:r>
        <w:rPr>
          <w:rFonts w:ascii="宋体" w:hAnsi="Calibri" w:cs="宋体" w:hint="eastAsia"/>
          <w:szCs w:val="21"/>
          <w:lang w:eastAsia="zh-CN"/>
        </w:rPr>
        <w:t>）机构投资者持有的基金份额赎回费率见下表：</w:t>
      </w:r>
    </w:p>
    <w:tbl>
      <w:tblPr>
        <w:tblStyle w:val="TableGrid"/>
        <w:tblW w:w="7229" w:type="dxa"/>
        <w:tblInd w:w="704" w:type="dxa"/>
        <w:tblLayout w:type="fixed"/>
        <w:tblLook w:val="04A0"/>
      </w:tblPr>
      <w:tblGrid>
        <w:gridCol w:w="2268"/>
        <w:gridCol w:w="4961"/>
      </w:tblGrid>
      <w:tr>
        <w:tblPrEx>
          <w:tblW w:w="7229" w:type="dxa"/>
          <w:tblInd w:w="704" w:type="dxa"/>
          <w:tblLayout w:type="fixed"/>
          <w:tblLook w:val="04A0"/>
        </w:tblPrEx>
        <w:tc>
          <w:tcPr>
            <w:tcW w:w="2268" w:type="dxa"/>
          </w:tcPr>
          <w:p w:rsidR="004A090B">
            <w:pPr>
              <w:spacing w:line="280" w:lineRule="exact"/>
              <w:jc w:val="center"/>
              <w:rPr>
                <w:rFonts w:ascii="宋体" w:hAnsi="Calibri" w:cs="宋体"/>
                <w:iCs/>
              </w:rPr>
            </w:pPr>
            <w:r>
              <w:rPr>
                <w:rFonts w:ascii="宋体" w:hAnsi="Calibri" w:cs="宋体" w:hint="eastAsia"/>
                <w:bCs/>
                <w:iCs/>
              </w:rPr>
              <w:t>持有时间（天）</w:t>
            </w:r>
          </w:p>
        </w:tc>
        <w:tc>
          <w:tcPr>
            <w:tcW w:w="4961" w:type="dxa"/>
          </w:tcPr>
          <w:p w:rsidR="004A090B">
            <w:pPr>
              <w:spacing w:line="280" w:lineRule="exact"/>
              <w:jc w:val="center"/>
              <w:rPr>
                <w:rFonts w:ascii="宋体" w:hAnsi="Calibri" w:cs="宋体"/>
                <w:iCs/>
                <w:lang w:eastAsia="zh-CN"/>
              </w:rPr>
            </w:pPr>
            <w:r>
              <w:rPr>
                <w:rFonts w:ascii="宋体" w:cs="宋体" w:hint="eastAsia"/>
                <w:szCs w:val="21"/>
                <w:lang w:eastAsia="zh-CN"/>
              </w:rPr>
              <w:t>机构</w:t>
            </w:r>
            <w:r>
              <w:rPr>
                <w:rFonts w:ascii="宋体" w:cs="宋体" w:hint="eastAsia"/>
                <w:bCs/>
                <w:iCs/>
                <w:lang w:eastAsia="zh-CN"/>
              </w:rPr>
              <w:t>投资者持有的</w:t>
            </w:r>
            <w:r>
              <w:rPr>
                <w:rFonts w:ascii="宋体" w:hAnsi="Calibri" w:cs="宋体" w:hint="eastAsia"/>
                <w:bCs/>
                <w:iCs/>
                <w:lang w:eastAsia="zh-CN"/>
              </w:rPr>
              <w:t>A</w:t>
            </w:r>
            <w:r>
              <w:rPr>
                <w:rFonts w:ascii="宋体" w:hAnsi="Calibri" w:cs="宋体" w:hint="eastAsia"/>
                <w:bCs/>
                <w:iCs/>
                <w:lang w:eastAsia="zh-CN"/>
              </w:rPr>
              <w:t>类</w:t>
            </w:r>
            <w:r>
              <w:rPr>
                <w:rFonts w:ascii="宋体" w:hAnsi="Calibri" w:cs="宋体" w:hint="eastAsia"/>
                <w:bCs/>
                <w:iCs/>
                <w:lang w:eastAsia="zh-CN"/>
              </w:rPr>
              <w:t>/</w:t>
            </w:r>
            <w:r>
              <w:rPr>
                <w:rFonts w:ascii="宋体" w:hAnsi="Calibri" w:cs="宋体"/>
                <w:bCs/>
                <w:iCs/>
                <w:lang w:eastAsia="zh-CN"/>
              </w:rPr>
              <w:t>C</w:t>
            </w:r>
            <w:r>
              <w:rPr>
                <w:rFonts w:ascii="宋体" w:hAnsi="Calibri" w:cs="宋体" w:hint="eastAsia"/>
                <w:bCs/>
                <w:iCs/>
                <w:lang w:eastAsia="zh-CN"/>
              </w:rPr>
              <w:t>类基金份额赎回费率</w:t>
            </w:r>
          </w:p>
        </w:tc>
      </w:tr>
      <w:tr>
        <w:tblPrEx>
          <w:tblW w:w="7229" w:type="dxa"/>
          <w:tblInd w:w="704" w:type="dxa"/>
          <w:tblLayout w:type="fixed"/>
          <w:tblLook w:val="04A0"/>
        </w:tblPrEx>
        <w:trPr>
          <w:trHeight w:val="360"/>
        </w:trPr>
        <w:tc>
          <w:tcPr>
            <w:tcW w:w="2268" w:type="dxa"/>
          </w:tcPr>
          <w:p w:rsidR="004A090B">
            <w:pPr>
              <w:spacing w:line="280" w:lineRule="exact"/>
              <w:jc w:val="center"/>
              <w:rPr>
                <w:rFonts w:ascii="宋体" w:hAnsi="Calibri" w:cs="宋体"/>
                <w:iCs/>
              </w:rPr>
            </w:pPr>
            <w:r>
              <w:rPr>
                <w:rFonts w:ascii="宋体" w:hAnsi="Calibri" w:cs="宋体" w:hint="eastAsia"/>
                <w:bCs/>
                <w:iCs/>
              </w:rPr>
              <w:t>0-6</w:t>
            </w:r>
          </w:p>
        </w:tc>
        <w:tc>
          <w:tcPr>
            <w:tcW w:w="4961" w:type="dxa"/>
          </w:tcPr>
          <w:p w:rsidR="004A090B">
            <w:pPr>
              <w:spacing w:line="280" w:lineRule="exact"/>
              <w:jc w:val="center"/>
              <w:rPr>
                <w:rFonts w:ascii="宋体" w:hAnsi="Calibri" w:cs="宋体"/>
                <w:iCs/>
              </w:rPr>
            </w:pPr>
            <w:r>
              <w:rPr>
                <w:rFonts w:ascii="宋体" w:hAnsi="Calibri" w:cs="宋体" w:hint="eastAsia"/>
                <w:bCs/>
                <w:iCs/>
              </w:rPr>
              <w:t>1.50%</w:t>
            </w:r>
          </w:p>
        </w:tc>
      </w:tr>
      <w:tr>
        <w:tblPrEx>
          <w:tblW w:w="7229" w:type="dxa"/>
          <w:tblInd w:w="704" w:type="dxa"/>
          <w:tblLayout w:type="fixed"/>
          <w:tblLook w:val="04A0"/>
        </w:tblPrEx>
        <w:trPr>
          <w:trHeight w:val="360"/>
        </w:trPr>
        <w:tc>
          <w:tcPr>
            <w:tcW w:w="2268" w:type="dxa"/>
          </w:tcPr>
          <w:p w:rsidR="004A090B">
            <w:pPr>
              <w:spacing w:line="280" w:lineRule="exact"/>
              <w:jc w:val="center"/>
              <w:rPr>
                <w:rFonts w:ascii="宋体" w:hAnsi="Calibri" w:cs="宋体"/>
                <w:iCs/>
              </w:rPr>
            </w:pPr>
            <w:r>
              <w:rPr>
                <w:rFonts w:ascii="宋体" w:hAnsi="Calibri" w:cs="宋体" w:hint="eastAsia"/>
                <w:bCs/>
                <w:iCs/>
              </w:rPr>
              <w:t>7-29</w:t>
            </w:r>
          </w:p>
        </w:tc>
        <w:tc>
          <w:tcPr>
            <w:tcW w:w="4961" w:type="dxa"/>
          </w:tcPr>
          <w:p w:rsidR="004A090B">
            <w:pPr>
              <w:spacing w:line="280" w:lineRule="exact"/>
              <w:jc w:val="center"/>
              <w:rPr>
                <w:rFonts w:ascii="宋体" w:hAnsi="Calibri" w:cs="宋体"/>
                <w:iCs/>
              </w:rPr>
            </w:pPr>
            <w:r>
              <w:rPr>
                <w:rFonts w:ascii="宋体" w:hAnsi="Calibri" w:cs="宋体" w:hint="eastAsia"/>
                <w:bCs/>
                <w:iCs/>
              </w:rPr>
              <w:t>1.00%</w:t>
            </w:r>
          </w:p>
        </w:tc>
      </w:tr>
      <w:tr>
        <w:tblPrEx>
          <w:tblW w:w="7229" w:type="dxa"/>
          <w:tblInd w:w="704" w:type="dxa"/>
          <w:tblLayout w:type="fixed"/>
          <w:tblLook w:val="04A0"/>
        </w:tblPrEx>
        <w:trPr>
          <w:trHeight w:val="360"/>
        </w:trPr>
        <w:tc>
          <w:tcPr>
            <w:tcW w:w="2268" w:type="dxa"/>
          </w:tcPr>
          <w:p w:rsidR="004A090B">
            <w:pPr>
              <w:spacing w:line="280" w:lineRule="exact"/>
              <w:jc w:val="center"/>
              <w:rPr>
                <w:rFonts w:ascii="宋体" w:hAnsi="Calibri" w:cs="宋体"/>
                <w:iCs/>
              </w:rPr>
            </w:pPr>
            <w:r>
              <w:rPr>
                <w:rFonts w:ascii="宋体" w:hAnsi="Calibri" w:cs="宋体" w:hint="eastAsia"/>
                <w:bCs/>
                <w:iCs/>
              </w:rPr>
              <w:t>30-179</w:t>
            </w:r>
          </w:p>
        </w:tc>
        <w:tc>
          <w:tcPr>
            <w:tcW w:w="4961" w:type="dxa"/>
          </w:tcPr>
          <w:p w:rsidR="004A090B">
            <w:pPr>
              <w:spacing w:line="280" w:lineRule="exact"/>
              <w:jc w:val="center"/>
              <w:rPr>
                <w:rFonts w:ascii="宋体" w:hAnsi="Calibri" w:cs="宋体"/>
                <w:iCs/>
              </w:rPr>
            </w:pPr>
            <w:r>
              <w:rPr>
                <w:rFonts w:ascii="宋体" w:hAnsi="Calibri" w:cs="宋体" w:hint="eastAsia"/>
                <w:bCs/>
                <w:iCs/>
              </w:rPr>
              <w:t>0.50%</w:t>
            </w:r>
          </w:p>
        </w:tc>
      </w:tr>
      <w:tr>
        <w:tblPrEx>
          <w:tblW w:w="7229" w:type="dxa"/>
          <w:tblInd w:w="704" w:type="dxa"/>
          <w:tblLayout w:type="fixed"/>
          <w:tblLook w:val="04A0"/>
        </w:tblPrEx>
        <w:trPr>
          <w:trHeight w:val="360"/>
        </w:trPr>
        <w:tc>
          <w:tcPr>
            <w:tcW w:w="2268" w:type="dxa"/>
          </w:tcPr>
          <w:p w:rsidR="004A090B">
            <w:pPr>
              <w:spacing w:line="280" w:lineRule="exact"/>
              <w:jc w:val="center"/>
              <w:rPr>
                <w:rFonts w:ascii="宋体" w:hAnsi="Calibri" w:cs="宋体"/>
                <w:iCs/>
              </w:rPr>
            </w:pPr>
            <w:r>
              <w:rPr>
                <w:rFonts w:ascii="宋体" w:hAnsi="Calibri" w:cs="宋体" w:hint="eastAsia"/>
                <w:bCs/>
                <w:iCs/>
              </w:rPr>
              <w:t>180</w:t>
            </w:r>
            <w:r>
              <w:rPr>
                <w:rFonts w:ascii="宋体" w:hAnsi="Calibri" w:cs="宋体" w:hint="eastAsia"/>
                <w:bCs/>
                <w:iCs/>
              </w:rPr>
              <w:t>及以上</w:t>
            </w:r>
          </w:p>
        </w:tc>
        <w:tc>
          <w:tcPr>
            <w:tcW w:w="4961" w:type="dxa"/>
          </w:tcPr>
          <w:p w:rsidR="004A090B">
            <w:pPr>
              <w:spacing w:line="280" w:lineRule="exact"/>
              <w:jc w:val="center"/>
              <w:rPr>
                <w:rFonts w:ascii="宋体" w:hAnsi="Calibri" w:cs="宋体"/>
                <w:iCs/>
              </w:rPr>
            </w:pPr>
            <w:r>
              <w:rPr>
                <w:rFonts w:ascii="宋体" w:hAnsi="Calibri" w:cs="宋体" w:hint="eastAsia"/>
                <w:bCs/>
                <w:iCs/>
              </w:rPr>
              <w:t>0.00%</w:t>
            </w:r>
          </w:p>
        </w:tc>
      </w:tr>
    </w:tbl>
    <w:p w:rsidR="004A090B">
      <w:pPr>
        <w:spacing w:line="360" w:lineRule="auto"/>
        <w:ind w:firstLine="420"/>
        <w:rPr>
          <w:rFonts w:ascii="宋体" w:hAnsi="Calibri" w:cs="宋体"/>
          <w:szCs w:val="21"/>
          <w:lang w:eastAsia="zh-CN"/>
        </w:rPr>
      </w:pPr>
      <w:r>
        <w:rPr>
          <w:rFonts w:ascii="宋体" w:hAnsi="Calibri" w:cs="宋体" w:hint="eastAsia"/>
          <w:szCs w:val="21"/>
          <w:lang w:eastAsia="zh-CN"/>
        </w:rPr>
        <w:t>投资者可将其持有的全部或部分</w:t>
      </w:r>
      <w:r>
        <w:rPr>
          <w:rFonts w:ascii="宋体" w:hAnsi="Calibri" w:cs="宋体" w:hint="eastAsia"/>
          <w:bCs/>
          <w:iCs/>
          <w:lang w:eastAsia="zh-CN"/>
        </w:rPr>
        <w:t>A</w:t>
      </w:r>
      <w:r>
        <w:rPr>
          <w:rFonts w:ascii="宋体" w:hAnsi="Calibri" w:cs="宋体" w:hint="eastAsia"/>
          <w:bCs/>
          <w:iCs/>
          <w:lang w:eastAsia="zh-CN"/>
        </w:rPr>
        <w:t>类</w:t>
      </w:r>
      <w:r>
        <w:rPr>
          <w:rFonts w:ascii="宋体" w:hAnsi="Calibri" w:cs="宋体" w:hint="eastAsia"/>
          <w:bCs/>
          <w:iCs/>
          <w:lang w:eastAsia="zh-CN"/>
        </w:rPr>
        <w:t>/C</w:t>
      </w:r>
      <w:r>
        <w:rPr>
          <w:rFonts w:ascii="宋体" w:hAnsi="Calibri" w:cs="宋体" w:hint="eastAsia"/>
          <w:bCs/>
          <w:iCs/>
          <w:lang w:eastAsia="zh-CN"/>
        </w:rPr>
        <w:t>类</w:t>
      </w:r>
      <w:r>
        <w:rPr>
          <w:rFonts w:ascii="宋体" w:hAnsi="Calibri" w:cs="宋体" w:hint="eastAsia"/>
          <w:szCs w:val="21"/>
          <w:lang w:eastAsia="zh-CN"/>
        </w:rPr>
        <w:t>基金份额赎回。</w:t>
      </w:r>
      <w:r>
        <w:rPr>
          <w:rFonts w:ascii="宋体" w:hAnsi="Calibri" w:cs="宋体"/>
          <w:szCs w:val="21"/>
          <w:lang w:eastAsia="zh-CN"/>
        </w:rPr>
        <w:t>赎回费用由赎回基金份额的基金份额持有人承担，</w:t>
      </w:r>
      <w:r>
        <w:rPr>
          <w:rFonts w:ascii="宋体" w:hAnsi="Calibri" w:cs="宋体" w:hint="eastAsia"/>
          <w:szCs w:val="21"/>
          <w:lang w:eastAsia="zh-CN"/>
        </w:rPr>
        <w:t>在基金份额持有人赎回基金份额时收取，赎回费用全额计入基金财产。</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对于每份认购份额，持有期自基金合同生效日至该基金份额赎回确认日（不含该日）；对于每份申购份额，持有期自该基金份额申购确认日至赎回确认日（不含该日）。</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4</w:t>
      </w:r>
      <w:r>
        <w:rPr>
          <w:rFonts w:ascii="宋体" w:hAnsi="Calibri" w:cs="宋体" w:hint="eastAsia"/>
          <w:szCs w:val="21"/>
          <w:lang w:eastAsia="zh-CN"/>
        </w:rPr>
        <w:t>、基金管理人可以在基金合同规定的范围内调整申购费率</w:t>
      </w:r>
      <w:r>
        <w:rPr>
          <w:rFonts w:ascii="宋体" w:hAnsi="Calibri" w:cs="宋体" w:hint="eastAsia"/>
          <w:szCs w:val="21"/>
          <w:lang w:eastAsia="zh-CN"/>
        </w:rPr>
        <w:t>或变更收费方式，调整后的申购费率</w:t>
      </w:r>
      <w:r>
        <w:rPr>
          <w:rFonts w:ascii="宋体" w:hAnsi="Calibri" w:cs="宋体" w:hint="eastAsia"/>
          <w:szCs w:val="21"/>
          <w:lang w:eastAsia="zh-CN"/>
        </w:rPr>
        <w:t>或变更的收费方式在更新的《招募说明书》中列示。上述费率或收费方式如发生变更，基金管理人最迟应于新的费率或收费方式实施前依照《信息披露办法》的有关规定在</w:t>
      </w:r>
      <w:r>
        <w:rPr>
          <w:rFonts w:ascii="宋体" w:hAnsi="Calibri" w:cs="宋体"/>
          <w:szCs w:val="21"/>
          <w:lang w:eastAsia="zh-CN"/>
        </w:rPr>
        <w:t>规</w:t>
      </w:r>
      <w:r>
        <w:rPr>
          <w:rFonts w:ascii="宋体" w:hAnsi="Calibri" w:cs="宋体" w:hint="eastAsia"/>
          <w:szCs w:val="21"/>
          <w:lang w:eastAsia="zh-CN"/>
        </w:rPr>
        <w:t>定媒介上公告。</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基金管理人可以在不违反法律法规规定及基金合同约定的情况下根据市场情况制定基金促销计划，针对基金投资者定期和不定期地开展基金促销活动。</w:t>
      </w:r>
      <w:r>
        <w:rPr>
          <w:rFonts w:ascii="宋体" w:hAnsi="Calibri" w:cs="宋体" w:hint="eastAsia"/>
          <w:szCs w:val="21"/>
          <w:lang w:eastAsia="zh-CN"/>
        </w:rPr>
        <w:t>在基金促销活动期间，基金管理人可以适当调低基金销售费率，或开展有差别的费率优惠活动</w:t>
      </w:r>
      <w:r>
        <w:rPr>
          <w:rFonts w:ascii="宋体" w:hAnsi="Calibri" w:cs="宋体" w:hint="eastAsia"/>
          <w:bCs/>
          <w:szCs w:val="21"/>
          <w:lang w:eastAsia="zh-CN"/>
        </w:rPr>
        <w:t>。</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八、申购和赎回的数额和价格</w:t>
      </w:r>
      <w:bookmarkEnd w:id="1806"/>
    </w:p>
    <w:p w:rsidR="004A090B">
      <w:pPr>
        <w:spacing w:line="360" w:lineRule="auto"/>
        <w:ind w:firstLine="420"/>
        <w:rPr>
          <w:rFonts w:ascii="宋体" w:hAnsi="Calibri" w:cs="宋体"/>
          <w:szCs w:val="21"/>
          <w:lang w:eastAsia="zh-CN"/>
        </w:rPr>
      </w:pPr>
      <w:r>
        <w:rPr>
          <w:rFonts w:ascii="宋体" w:hAnsi="Calibri" w:cs="宋体"/>
          <w:szCs w:val="21"/>
          <w:lang w:eastAsia="zh-CN"/>
        </w:rPr>
        <w:t>1</w:t>
      </w:r>
      <w:r>
        <w:rPr>
          <w:rFonts w:ascii="宋体" w:hAnsi="Calibri" w:cs="宋体"/>
          <w:szCs w:val="21"/>
          <w:lang w:eastAsia="zh-CN"/>
        </w:rPr>
        <w:t>、申购和赎回数额、余额的处理方式</w:t>
      </w:r>
      <w:r>
        <w:rPr>
          <w:rFonts w:ascii="宋体" w:hAnsi="Calibri" w:cs="宋体"/>
          <w:szCs w:val="21"/>
          <w:lang w:eastAsia="zh-CN"/>
        </w:rPr>
        <w:t xml:space="preserve"> </w:t>
      </w:r>
    </w:p>
    <w:p w:rsidR="004A090B">
      <w:pPr>
        <w:spacing w:line="360" w:lineRule="auto"/>
        <w:ind w:firstLine="420"/>
        <w:rPr>
          <w:rFonts w:ascii="宋体" w:hAnsi="Calibri" w:cs="宋体"/>
          <w:szCs w:val="21"/>
          <w:lang w:eastAsia="zh-CN"/>
        </w:rPr>
      </w:pPr>
      <w:r>
        <w:rPr>
          <w:rFonts w:ascii="宋体" w:hAnsi="Calibri" w:cs="宋体"/>
          <w:szCs w:val="21"/>
          <w:lang w:eastAsia="zh-CN"/>
        </w:rPr>
        <w:t>（</w:t>
      </w:r>
      <w:r>
        <w:rPr>
          <w:rFonts w:ascii="宋体" w:hAnsi="Calibri" w:cs="宋体"/>
          <w:szCs w:val="21"/>
          <w:lang w:eastAsia="zh-CN"/>
        </w:rPr>
        <w:t>1</w:t>
      </w:r>
      <w:r>
        <w:rPr>
          <w:rFonts w:ascii="宋体" w:hAnsi="Calibri" w:cs="宋体"/>
          <w:szCs w:val="21"/>
          <w:lang w:eastAsia="zh-CN"/>
        </w:rPr>
        <w:t>）申购的有效份额为按实际确认的申购金额在扣除相应的费用后</w:t>
      </w:r>
      <w:r>
        <w:rPr>
          <w:rFonts w:ascii="宋体" w:hAnsi="Calibri" w:cs="宋体"/>
          <w:szCs w:val="21"/>
          <w:lang w:eastAsia="zh-CN"/>
        </w:rPr>
        <w:t>，以申购当日</w:t>
      </w:r>
      <w:r>
        <w:rPr>
          <w:rFonts w:ascii="宋体" w:hAnsi="Calibri" w:cs="宋体"/>
          <w:color w:val="000000"/>
          <w:szCs w:val="21"/>
          <w:lang w:eastAsia="zh-CN"/>
        </w:rPr>
        <w:t>该类基金份额</w:t>
      </w:r>
      <w:r>
        <w:rPr>
          <w:rFonts w:ascii="宋体" w:hAnsi="Calibri" w:cs="宋体" w:hint="eastAsia"/>
          <w:color w:val="000000"/>
          <w:szCs w:val="21"/>
          <w:lang w:eastAsia="zh-CN"/>
        </w:rPr>
        <w:t>的</w:t>
      </w:r>
      <w:r>
        <w:rPr>
          <w:rFonts w:ascii="宋体" w:hAnsi="Calibri" w:cs="宋体"/>
          <w:szCs w:val="21"/>
          <w:lang w:eastAsia="zh-CN"/>
        </w:rPr>
        <w:t>基金份额净值为基准计算。申购涉及金额、份额的计算结果保留到小数点后两位，小数点后两位以后的部分四舍五入，由此产生的误差计入基金财产。</w:t>
      </w:r>
    </w:p>
    <w:p w:rsidR="004A090B">
      <w:pPr>
        <w:spacing w:line="360" w:lineRule="auto"/>
        <w:ind w:firstLine="420"/>
        <w:rPr>
          <w:rFonts w:ascii="宋体" w:hAnsi="Calibri" w:cs="宋体"/>
          <w:szCs w:val="21"/>
          <w:lang w:eastAsia="zh-CN"/>
        </w:rPr>
      </w:pPr>
      <w:r>
        <w:rPr>
          <w:rFonts w:ascii="宋体" w:hAnsi="Calibri" w:cs="宋体"/>
          <w:szCs w:val="21"/>
          <w:lang w:eastAsia="zh-CN"/>
        </w:rPr>
        <w:t>（</w:t>
      </w:r>
      <w:r>
        <w:rPr>
          <w:rFonts w:ascii="宋体" w:hAnsi="Calibri" w:cs="宋体"/>
          <w:szCs w:val="21"/>
          <w:lang w:eastAsia="zh-CN"/>
        </w:rPr>
        <w:t>2</w:t>
      </w:r>
      <w:r>
        <w:rPr>
          <w:rFonts w:ascii="宋体" w:hAnsi="Calibri" w:cs="宋体"/>
          <w:szCs w:val="21"/>
          <w:lang w:eastAsia="zh-CN"/>
        </w:rPr>
        <w:t>）赎回金额的处理方式：赎回金额为按实际确认的有效赎回份额乘以申请当日</w:t>
      </w:r>
      <w:r>
        <w:rPr>
          <w:rFonts w:ascii="宋体" w:hAnsi="Calibri" w:cs="宋体"/>
          <w:color w:val="000000"/>
          <w:szCs w:val="21"/>
          <w:lang w:eastAsia="zh-CN"/>
        </w:rPr>
        <w:t>该类基金份额的</w:t>
      </w:r>
      <w:r>
        <w:rPr>
          <w:rFonts w:ascii="宋体" w:hAnsi="Calibri" w:cs="宋体" w:hint="eastAsia"/>
          <w:szCs w:val="21"/>
          <w:lang w:eastAsia="zh-CN"/>
        </w:rPr>
        <w:t>基金份额</w:t>
      </w:r>
      <w:r>
        <w:rPr>
          <w:rFonts w:ascii="宋体" w:hAnsi="Calibri" w:cs="宋体"/>
          <w:szCs w:val="21"/>
          <w:lang w:eastAsia="zh-CN"/>
        </w:rPr>
        <w:t>净值为基准并扣除相应的费用</w:t>
      </w:r>
      <w:r>
        <w:rPr>
          <w:rFonts w:ascii="宋体" w:hAnsi="宋体" w:cs="宋体"/>
          <w:color w:val="000000"/>
          <w:highlight w:val="white"/>
          <w:lang w:eastAsia="zh-CN"/>
        </w:rPr>
        <w:t>，再加上</w:t>
      </w:r>
      <w:r>
        <w:rPr>
          <w:rFonts w:ascii="宋体" w:hAnsi="宋体" w:cs="宋体" w:hint="eastAsia"/>
          <w:color w:val="000000"/>
          <w:highlight w:val="white"/>
          <w:lang w:eastAsia="zh-CN"/>
        </w:rPr>
        <w:t>返还的销售服务费（如有）</w:t>
      </w:r>
      <w:r>
        <w:rPr>
          <w:rFonts w:ascii="宋体" w:hAnsi="Calibri" w:cs="宋体"/>
          <w:szCs w:val="21"/>
          <w:lang w:eastAsia="zh-CN"/>
        </w:rPr>
        <w:t>，赎回费用、赎回金额的单位为人民币元，计算结果保留到小数点后两位，小数点后两位以后的部分四舍五入，由此产生的误差计入基金财产。</w:t>
      </w:r>
      <w:r>
        <w:rPr>
          <w:rFonts w:ascii="宋体" w:hAnsi="Calibri" w:cs="宋体"/>
          <w:szCs w:val="21"/>
          <w:lang w:eastAsia="zh-CN"/>
        </w:rPr>
        <w:t xml:space="preserve"> </w:t>
      </w:r>
    </w:p>
    <w:p w:rsidR="004A090B">
      <w:pPr>
        <w:spacing w:line="360" w:lineRule="auto"/>
        <w:ind w:firstLine="420"/>
        <w:rPr>
          <w:rFonts w:ascii="宋体" w:hAnsi="Calibri" w:cs="宋体"/>
          <w:szCs w:val="21"/>
          <w:lang w:eastAsia="zh-CN"/>
        </w:rPr>
      </w:pPr>
      <w:r>
        <w:rPr>
          <w:rFonts w:ascii="宋体" w:hAnsi="Calibri" w:cs="宋体"/>
          <w:szCs w:val="21"/>
          <w:lang w:eastAsia="zh-CN"/>
        </w:rPr>
        <w:t>2</w:t>
      </w:r>
      <w:r>
        <w:rPr>
          <w:rFonts w:ascii="宋体" w:hAnsi="Calibri" w:cs="宋体"/>
          <w:szCs w:val="21"/>
          <w:lang w:eastAsia="zh-CN"/>
        </w:rPr>
        <w:t>、申购份额的计算</w:t>
      </w:r>
      <w:r>
        <w:rPr>
          <w:rFonts w:ascii="宋体" w:hAnsi="Calibri" w:cs="宋体"/>
          <w:szCs w:val="21"/>
          <w:lang w:eastAsia="zh-CN"/>
        </w:rPr>
        <w:t xml:space="preserve"> </w:t>
      </w:r>
    </w:p>
    <w:p w:rsidR="004A090B">
      <w:pPr>
        <w:spacing w:line="360" w:lineRule="auto"/>
        <w:ind w:firstLine="420"/>
        <w:rPr>
          <w:rFonts w:ascii="宋体" w:hAnsi="Calibri"/>
          <w:szCs w:val="21"/>
          <w:lang w:eastAsia="zh-CN"/>
        </w:rPr>
      </w:pPr>
      <w:r>
        <w:rPr>
          <w:rFonts w:ascii="宋体" w:hAnsi="Calibri"/>
          <w:szCs w:val="21"/>
          <w:lang w:eastAsia="zh-CN"/>
        </w:rPr>
        <w:t>（</w:t>
      </w:r>
      <w:r>
        <w:rPr>
          <w:rFonts w:ascii="宋体" w:hAnsi="Calibri"/>
          <w:szCs w:val="21"/>
          <w:lang w:eastAsia="zh-CN"/>
        </w:rPr>
        <w:t>1</w:t>
      </w:r>
      <w:r>
        <w:rPr>
          <w:rFonts w:ascii="宋体" w:hAnsi="Calibri"/>
          <w:szCs w:val="21"/>
          <w:lang w:eastAsia="zh-CN"/>
        </w:rPr>
        <w:t>）若投资人</w:t>
      </w:r>
      <w:r>
        <w:rPr>
          <w:rFonts w:ascii="宋体" w:hAnsi="宋体" w:cs="宋体" w:hint="eastAsia"/>
          <w:szCs w:val="21"/>
          <w:lang w:eastAsia="zh-CN"/>
        </w:rPr>
        <w:t>通过除</w:t>
      </w:r>
      <w:r>
        <w:rPr>
          <w:rFonts w:hint="eastAsia"/>
          <w:lang w:eastAsia="zh-CN"/>
        </w:rPr>
        <w:t>基金</w:t>
      </w:r>
      <w:r>
        <w:rPr>
          <w:lang w:eastAsia="zh-CN"/>
        </w:rPr>
        <w:t>管理人及其基金销售子公司以外的销售机构</w:t>
      </w:r>
      <w:r>
        <w:rPr>
          <w:rFonts w:ascii="宋体" w:hAnsi="宋体" w:cs="宋体"/>
          <w:szCs w:val="21"/>
          <w:highlight w:val="white"/>
          <w:lang w:eastAsia="zh-CN"/>
        </w:rPr>
        <w:t>申购</w:t>
      </w:r>
      <w:r>
        <w:rPr>
          <w:rFonts w:ascii="宋体" w:hAnsi="Calibri"/>
          <w:szCs w:val="21"/>
          <w:lang w:eastAsia="zh-CN"/>
        </w:rPr>
        <w:t>A</w:t>
      </w:r>
      <w:r>
        <w:rPr>
          <w:rFonts w:ascii="宋体" w:hAnsi="Calibri"/>
          <w:szCs w:val="21"/>
          <w:lang w:eastAsia="zh-CN"/>
        </w:rPr>
        <w:t>类基金份额，则申购份额的计算公式如下：</w:t>
      </w:r>
    </w:p>
    <w:p w:rsidR="004A090B">
      <w:pPr>
        <w:spacing w:line="360" w:lineRule="auto"/>
        <w:ind w:firstLine="420"/>
        <w:rPr>
          <w:rFonts w:ascii="宋体" w:hAnsi="Calibri"/>
          <w:szCs w:val="21"/>
          <w:lang w:eastAsia="zh-CN"/>
        </w:rPr>
      </w:pPr>
      <w:r>
        <w:rPr>
          <w:rFonts w:ascii="宋体" w:hAnsi="Calibri"/>
          <w:szCs w:val="21"/>
          <w:lang w:eastAsia="zh-CN"/>
        </w:rPr>
        <w:t>净申购金额</w:t>
      </w:r>
      <w:r>
        <w:rPr>
          <w:rFonts w:ascii="宋体" w:hAnsi="Calibri"/>
          <w:szCs w:val="21"/>
          <w:lang w:eastAsia="zh-CN"/>
        </w:rPr>
        <w:t>=</w:t>
      </w:r>
      <w:r>
        <w:rPr>
          <w:rFonts w:ascii="宋体" w:hAnsi="Calibri"/>
          <w:szCs w:val="21"/>
          <w:lang w:eastAsia="zh-CN"/>
        </w:rPr>
        <w:t>申购金额</w:t>
      </w:r>
      <w:r>
        <w:rPr>
          <w:rFonts w:ascii="宋体" w:hAnsi="Calibri"/>
          <w:szCs w:val="21"/>
          <w:lang w:eastAsia="zh-CN"/>
        </w:rPr>
        <w:t>/</w:t>
      </w:r>
      <w:r>
        <w:rPr>
          <w:rFonts w:ascii="宋体" w:hAnsi="Calibri"/>
          <w:szCs w:val="21"/>
          <w:lang w:eastAsia="zh-CN"/>
        </w:rPr>
        <w:t>（</w:t>
      </w:r>
      <w:r>
        <w:rPr>
          <w:rFonts w:ascii="宋体" w:hAnsi="Calibri"/>
          <w:szCs w:val="21"/>
          <w:lang w:eastAsia="zh-CN"/>
        </w:rPr>
        <w:t>1+</w:t>
      </w:r>
      <w:r>
        <w:rPr>
          <w:rFonts w:ascii="宋体" w:hAnsi="Calibri"/>
          <w:szCs w:val="21"/>
          <w:lang w:eastAsia="zh-CN"/>
        </w:rPr>
        <w:t>申购费率）</w:t>
      </w:r>
      <w:r>
        <w:rPr>
          <w:rFonts w:ascii="宋体" w:hAnsi="Calibri"/>
          <w:szCs w:val="21"/>
          <w:lang w:eastAsia="zh-CN"/>
        </w:rPr>
        <w:t xml:space="preserve"> </w:t>
      </w:r>
    </w:p>
    <w:p w:rsidR="004A090B">
      <w:pPr>
        <w:spacing w:line="360" w:lineRule="auto"/>
        <w:ind w:firstLine="420"/>
        <w:rPr>
          <w:rFonts w:ascii="宋体" w:hAnsi="Calibri"/>
          <w:szCs w:val="21"/>
          <w:lang w:eastAsia="zh-CN"/>
        </w:rPr>
      </w:pPr>
      <w:r>
        <w:rPr>
          <w:rFonts w:ascii="宋体" w:hAnsi="Calibri"/>
          <w:szCs w:val="21"/>
          <w:lang w:eastAsia="zh-CN"/>
        </w:rPr>
        <w:t>（注：对于</w:t>
      </w:r>
      <w:r w:rsidR="002929D1">
        <w:rPr>
          <w:rFonts w:ascii="宋体" w:hAnsi="Calibri"/>
          <w:szCs w:val="21"/>
          <w:lang w:eastAsia="zh-CN"/>
        </w:rPr>
        <w:t>1000</w:t>
      </w:r>
      <w:r>
        <w:rPr>
          <w:rFonts w:ascii="宋体" w:hAnsi="Calibri"/>
          <w:szCs w:val="21"/>
          <w:lang w:eastAsia="zh-CN"/>
        </w:rPr>
        <w:t>万（含）以上适用固定金额申购费的申购，净申购金额＝申购金额－固定申购费金额）</w:t>
      </w:r>
    </w:p>
    <w:p w:rsidR="004A090B">
      <w:pPr>
        <w:spacing w:line="360" w:lineRule="auto"/>
        <w:ind w:firstLine="420"/>
        <w:rPr>
          <w:rFonts w:ascii="宋体" w:hAnsi="Calibri"/>
          <w:szCs w:val="21"/>
          <w:lang w:eastAsia="zh-CN"/>
        </w:rPr>
      </w:pPr>
      <w:r>
        <w:rPr>
          <w:rFonts w:ascii="宋体" w:hAnsi="Calibri"/>
          <w:szCs w:val="21"/>
          <w:lang w:eastAsia="zh-CN"/>
        </w:rPr>
        <w:t>申购费用</w:t>
      </w:r>
      <w:r>
        <w:rPr>
          <w:rFonts w:ascii="宋体" w:hAnsi="Calibri"/>
          <w:szCs w:val="21"/>
          <w:lang w:eastAsia="zh-CN"/>
        </w:rPr>
        <w:t>=</w:t>
      </w:r>
      <w:r>
        <w:rPr>
          <w:rFonts w:ascii="宋体" w:hAnsi="Calibri"/>
          <w:szCs w:val="21"/>
          <w:lang w:eastAsia="zh-CN"/>
        </w:rPr>
        <w:t>申购金额</w:t>
      </w:r>
      <w:r>
        <w:rPr>
          <w:rFonts w:ascii="宋体" w:hAnsi="Calibri"/>
          <w:szCs w:val="21"/>
          <w:lang w:eastAsia="zh-CN"/>
        </w:rPr>
        <w:t>-</w:t>
      </w:r>
      <w:r>
        <w:rPr>
          <w:rFonts w:ascii="宋体" w:hAnsi="Calibri"/>
          <w:szCs w:val="21"/>
          <w:lang w:eastAsia="zh-CN"/>
        </w:rPr>
        <w:t>净申购金额</w:t>
      </w:r>
      <w:r>
        <w:rPr>
          <w:rFonts w:ascii="宋体" w:hAnsi="Calibri"/>
          <w:szCs w:val="21"/>
          <w:lang w:eastAsia="zh-CN"/>
        </w:rPr>
        <w:t xml:space="preserve"> </w:t>
      </w:r>
    </w:p>
    <w:p w:rsidR="004A090B">
      <w:pPr>
        <w:spacing w:line="360" w:lineRule="auto"/>
        <w:ind w:firstLine="420"/>
        <w:rPr>
          <w:rFonts w:ascii="宋体" w:hAnsi="Calibri"/>
          <w:szCs w:val="21"/>
          <w:lang w:eastAsia="zh-CN"/>
        </w:rPr>
      </w:pPr>
      <w:r>
        <w:rPr>
          <w:rFonts w:ascii="宋体" w:hAnsi="Calibri"/>
          <w:szCs w:val="21"/>
          <w:lang w:eastAsia="zh-CN"/>
        </w:rPr>
        <w:t>申购份额</w:t>
      </w:r>
      <w:r>
        <w:rPr>
          <w:rFonts w:ascii="宋体" w:hAnsi="Calibri"/>
          <w:szCs w:val="21"/>
          <w:lang w:eastAsia="zh-CN"/>
        </w:rPr>
        <w:t>=</w:t>
      </w:r>
      <w:r>
        <w:rPr>
          <w:rFonts w:ascii="宋体" w:hAnsi="Calibri"/>
          <w:szCs w:val="21"/>
          <w:lang w:eastAsia="zh-CN"/>
        </w:rPr>
        <w:t>净申购金额</w:t>
      </w:r>
      <w:r>
        <w:rPr>
          <w:rFonts w:ascii="宋体" w:hAnsi="Calibri"/>
          <w:szCs w:val="21"/>
          <w:lang w:eastAsia="zh-CN"/>
        </w:rPr>
        <w:t>/ T</w:t>
      </w:r>
      <w:r>
        <w:rPr>
          <w:rFonts w:ascii="宋体" w:hAnsi="Calibri"/>
          <w:szCs w:val="21"/>
          <w:lang w:eastAsia="zh-CN"/>
        </w:rPr>
        <w:t>日</w:t>
      </w:r>
      <w:r>
        <w:rPr>
          <w:rFonts w:ascii="宋体" w:hAnsi="Calibri"/>
          <w:szCs w:val="21"/>
          <w:lang w:eastAsia="zh-CN"/>
        </w:rPr>
        <w:t>A</w:t>
      </w:r>
      <w:r>
        <w:rPr>
          <w:rFonts w:ascii="宋体" w:hAnsi="Calibri"/>
          <w:szCs w:val="21"/>
          <w:lang w:eastAsia="zh-CN"/>
        </w:rPr>
        <w:t>类基金份额的基金份额净值</w:t>
      </w:r>
    </w:p>
    <w:p w:rsidR="004A090B">
      <w:pPr>
        <w:spacing w:line="360" w:lineRule="auto"/>
        <w:ind w:firstLine="420"/>
        <w:rPr>
          <w:rFonts w:ascii="宋体" w:hAnsi="Calibri"/>
          <w:szCs w:val="21"/>
          <w:lang w:eastAsia="zh-CN"/>
        </w:rPr>
      </w:pPr>
      <w:r>
        <w:rPr>
          <w:rFonts w:ascii="宋体" w:hAnsi="Calibri" w:hint="eastAsia"/>
          <w:szCs w:val="21"/>
          <w:lang w:eastAsia="zh-CN"/>
        </w:rPr>
        <w:t>例一：某投资人通过除基金管理人及其基金销售子公司以外的销售机构</w:t>
      </w:r>
      <w:r>
        <w:rPr>
          <w:rFonts w:ascii="宋体" w:hAnsi="Calibri" w:hint="eastAsia"/>
          <w:szCs w:val="21"/>
          <w:lang w:eastAsia="zh-CN"/>
        </w:rPr>
        <w:t>申购本基金</w:t>
      </w:r>
      <w:r>
        <w:rPr>
          <w:rFonts w:ascii="宋体" w:hAnsi="Calibri" w:hint="eastAsia"/>
          <w:szCs w:val="21"/>
          <w:lang w:eastAsia="zh-CN"/>
        </w:rPr>
        <w:t>A</w:t>
      </w:r>
      <w:r>
        <w:rPr>
          <w:rFonts w:ascii="宋体" w:hAnsi="Calibri" w:hint="eastAsia"/>
          <w:szCs w:val="21"/>
          <w:lang w:eastAsia="zh-CN"/>
        </w:rPr>
        <w:t>类基金份额</w:t>
      </w:r>
      <w:r>
        <w:rPr>
          <w:rFonts w:ascii="宋体" w:hAnsi="Calibri" w:hint="eastAsia"/>
          <w:szCs w:val="21"/>
          <w:lang w:eastAsia="zh-CN"/>
        </w:rPr>
        <w:t>100,000</w:t>
      </w:r>
      <w:r>
        <w:rPr>
          <w:rFonts w:ascii="宋体" w:hAnsi="Calibri" w:hint="eastAsia"/>
          <w:szCs w:val="21"/>
          <w:lang w:eastAsia="zh-CN"/>
        </w:rPr>
        <w:t>元</w:t>
      </w:r>
      <w:r>
        <w:rPr>
          <w:rFonts w:ascii="宋体" w:hAnsi="Calibri" w:hint="eastAsia"/>
          <w:szCs w:val="21"/>
          <w:lang w:eastAsia="zh-CN"/>
        </w:rPr>
        <w:t>，申购费率为</w:t>
      </w:r>
      <w:r>
        <w:rPr>
          <w:rFonts w:ascii="宋体" w:hAnsi="Calibri" w:hint="eastAsia"/>
          <w:szCs w:val="21"/>
          <w:lang w:eastAsia="zh-CN"/>
        </w:rPr>
        <w:t>0.30%</w:t>
      </w:r>
      <w:r>
        <w:rPr>
          <w:rFonts w:ascii="宋体" w:hAnsi="Calibri" w:hint="eastAsia"/>
          <w:szCs w:val="21"/>
          <w:lang w:eastAsia="zh-CN"/>
        </w:rPr>
        <w:t>，假设申购当日</w:t>
      </w:r>
      <w:r>
        <w:rPr>
          <w:rFonts w:ascii="宋体" w:hAnsi="Calibri" w:hint="eastAsia"/>
          <w:szCs w:val="21"/>
          <w:lang w:eastAsia="zh-CN"/>
        </w:rPr>
        <w:t>A</w:t>
      </w:r>
      <w:r>
        <w:rPr>
          <w:rFonts w:ascii="宋体" w:hAnsi="Calibri" w:hint="eastAsia"/>
          <w:szCs w:val="21"/>
          <w:lang w:eastAsia="zh-CN"/>
        </w:rPr>
        <w:t>类基金份额的基</w:t>
      </w:r>
      <w:r>
        <w:rPr>
          <w:rFonts w:ascii="宋体" w:hAnsi="Calibri" w:hint="eastAsia"/>
          <w:szCs w:val="21"/>
          <w:lang w:eastAsia="zh-CN"/>
        </w:rPr>
        <w:t>金份额净值为</w:t>
      </w:r>
      <w:r>
        <w:rPr>
          <w:rFonts w:ascii="宋体" w:hAnsi="Calibri" w:hint="eastAsia"/>
          <w:szCs w:val="21"/>
          <w:lang w:eastAsia="zh-CN"/>
        </w:rPr>
        <w:t>1.0400</w:t>
      </w:r>
      <w:r>
        <w:rPr>
          <w:rFonts w:ascii="宋体" w:hAnsi="Calibri" w:hint="eastAsia"/>
          <w:szCs w:val="21"/>
          <w:lang w:eastAsia="zh-CN"/>
        </w:rPr>
        <w:t>元，则其可得到的申购份额为：</w:t>
      </w:r>
    </w:p>
    <w:p w:rsidR="004A090B">
      <w:pPr>
        <w:spacing w:line="360" w:lineRule="auto"/>
        <w:ind w:firstLine="420" w:firstLineChars="200"/>
        <w:rPr>
          <w:rFonts w:ascii="宋体" w:hAnsi="Calibri"/>
          <w:szCs w:val="21"/>
          <w:lang w:eastAsia="zh-CN"/>
        </w:rPr>
      </w:pPr>
      <w:r>
        <w:rPr>
          <w:rFonts w:ascii="宋体" w:hAnsi="Calibri"/>
          <w:szCs w:val="21"/>
          <w:lang w:eastAsia="zh-CN"/>
        </w:rPr>
        <w:t>净申购金额</w:t>
      </w:r>
      <w:r>
        <w:rPr>
          <w:rFonts w:ascii="宋体" w:hAnsi="Calibri"/>
          <w:szCs w:val="21"/>
          <w:lang w:eastAsia="zh-CN"/>
        </w:rPr>
        <w:t>=100,000/</w:t>
      </w:r>
      <w:r>
        <w:rPr>
          <w:rFonts w:ascii="宋体" w:hAnsi="Calibri"/>
          <w:szCs w:val="21"/>
          <w:lang w:eastAsia="zh-CN"/>
        </w:rPr>
        <w:t>（</w:t>
      </w:r>
      <w:r>
        <w:rPr>
          <w:rFonts w:ascii="宋体" w:hAnsi="Calibri"/>
          <w:szCs w:val="21"/>
          <w:lang w:eastAsia="zh-CN"/>
        </w:rPr>
        <w:t>1+0.30%</w:t>
      </w:r>
      <w:r>
        <w:rPr>
          <w:rFonts w:ascii="宋体" w:hAnsi="Calibri"/>
          <w:szCs w:val="21"/>
          <w:lang w:eastAsia="zh-CN"/>
        </w:rPr>
        <w:t>）</w:t>
      </w:r>
      <w:r>
        <w:rPr>
          <w:rFonts w:ascii="宋体" w:hAnsi="Calibri"/>
          <w:szCs w:val="21"/>
          <w:lang w:eastAsia="zh-CN"/>
        </w:rPr>
        <w:t>=99,700.90</w:t>
      </w:r>
      <w:r>
        <w:rPr>
          <w:rFonts w:ascii="宋体" w:hAnsi="Calibri"/>
          <w:szCs w:val="21"/>
          <w:lang w:eastAsia="zh-CN"/>
        </w:rPr>
        <w:t>元</w:t>
      </w:r>
      <w:r>
        <w:rPr>
          <w:rFonts w:ascii="宋体" w:hAnsi="Calibri"/>
          <w:szCs w:val="21"/>
          <w:lang w:eastAsia="zh-CN"/>
        </w:rPr>
        <w:t xml:space="preserve"> </w:t>
      </w:r>
    </w:p>
    <w:p w:rsidR="004A090B">
      <w:pPr>
        <w:spacing w:line="360" w:lineRule="auto"/>
        <w:ind w:firstLine="420" w:firstLineChars="200"/>
        <w:rPr>
          <w:rFonts w:ascii="宋体" w:hAnsi="Calibri"/>
          <w:szCs w:val="21"/>
          <w:lang w:eastAsia="zh-CN"/>
        </w:rPr>
      </w:pPr>
      <w:r>
        <w:rPr>
          <w:rFonts w:ascii="宋体" w:hAnsi="Calibri"/>
          <w:szCs w:val="21"/>
          <w:lang w:eastAsia="zh-CN"/>
        </w:rPr>
        <w:t>申购费用</w:t>
      </w:r>
      <w:r>
        <w:rPr>
          <w:rFonts w:ascii="宋体" w:hAnsi="Calibri"/>
          <w:szCs w:val="21"/>
          <w:lang w:eastAsia="zh-CN"/>
        </w:rPr>
        <w:t>=100,000-99,700.90=299.10</w:t>
      </w:r>
      <w:r>
        <w:rPr>
          <w:rFonts w:ascii="宋体" w:hAnsi="Calibri"/>
          <w:szCs w:val="21"/>
          <w:lang w:eastAsia="zh-CN"/>
        </w:rPr>
        <w:t>元</w:t>
      </w:r>
      <w:r>
        <w:rPr>
          <w:rFonts w:ascii="宋体" w:hAnsi="Calibri"/>
          <w:szCs w:val="21"/>
          <w:lang w:eastAsia="zh-CN"/>
        </w:rPr>
        <w:t xml:space="preserve"> </w:t>
      </w:r>
    </w:p>
    <w:p w:rsidR="004A090B">
      <w:pPr>
        <w:spacing w:line="360" w:lineRule="auto"/>
        <w:ind w:firstLine="420"/>
        <w:rPr>
          <w:rFonts w:ascii="宋体" w:hAnsi="Calibri"/>
          <w:szCs w:val="21"/>
          <w:lang w:eastAsia="zh-CN"/>
        </w:rPr>
      </w:pPr>
      <w:r>
        <w:rPr>
          <w:rFonts w:ascii="宋体" w:hAnsi="Calibri"/>
          <w:szCs w:val="21"/>
          <w:lang w:eastAsia="zh-CN"/>
        </w:rPr>
        <w:t>申购份额</w:t>
      </w:r>
      <w:r>
        <w:rPr>
          <w:rFonts w:ascii="宋体" w:hAnsi="Calibri"/>
          <w:szCs w:val="21"/>
          <w:lang w:eastAsia="zh-CN"/>
        </w:rPr>
        <w:t>=99,700.90/1.0400=95,866.25</w:t>
      </w:r>
      <w:r>
        <w:rPr>
          <w:rFonts w:ascii="宋体" w:hAnsi="Calibri"/>
          <w:szCs w:val="21"/>
          <w:lang w:eastAsia="zh-CN"/>
        </w:rPr>
        <w:t>份</w:t>
      </w:r>
    </w:p>
    <w:p w:rsidR="004A090B">
      <w:pPr>
        <w:spacing w:line="360" w:lineRule="auto"/>
        <w:ind w:firstLine="420"/>
        <w:rPr>
          <w:rFonts w:ascii="宋体" w:hAnsi="Calibri"/>
          <w:szCs w:val="21"/>
          <w:lang w:eastAsia="zh-CN"/>
        </w:rPr>
      </w:pPr>
      <w:r>
        <w:rPr>
          <w:rFonts w:ascii="宋体" w:hAnsi="Calibri"/>
          <w:szCs w:val="21"/>
          <w:lang w:eastAsia="zh-CN"/>
        </w:rPr>
        <w:t>（</w:t>
      </w:r>
      <w:r>
        <w:rPr>
          <w:rFonts w:ascii="宋体" w:hAnsi="Calibri"/>
          <w:szCs w:val="21"/>
          <w:lang w:eastAsia="zh-CN"/>
        </w:rPr>
        <w:t>2</w:t>
      </w:r>
      <w:r>
        <w:rPr>
          <w:rFonts w:ascii="宋体" w:hAnsi="Calibri"/>
          <w:szCs w:val="21"/>
          <w:lang w:eastAsia="zh-CN"/>
        </w:rPr>
        <w:t>）若投资人选择</w:t>
      </w:r>
      <w:r>
        <w:rPr>
          <w:rFonts w:ascii="宋体" w:hAnsi="Calibri" w:hint="eastAsia"/>
          <w:szCs w:val="21"/>
          <w:lang w:eastAsia="zh-CN"/>
        </w:rPr>
        <w:t>申购本基金</w:t>
      </w:r>
      <w:r>
        <w:rPr>
          <w:rFonts w:ascii="宋体" w:hAnsi="Calibri"/>
          <w:szCs w:val="21"/>
          <w:lang w:eastAsia="zh-CN"/>
        </w:rPr>
        <w:t>C</w:t>
      </w:r>
      <w:r>
        <w:rPr>
          <w:rFonts w:ascii="宋体" w:hAnsi="Calibri"/>
          <w:szCs w:val="21"/>
          <w:lang w:eastAsia="zh-CN"/>
        </w:rPr>
        <w:t>类基金份额，</w:t>
      </w:r>
      <w:r>
        <w:rPr>
          <w:rFonts w:ascii="宋体" w:hAnsi="宋体" w:cs="宋体"/>
          <w:szCs w:val="21"/>
          <w:highlight w:val="white"/>
          <w:lang w:eastAsia="zh-CN"/>
        </w:rPr>
        <w:t>或者通过</w:t>
      </w:r>
      <w:r>
        <w:rPr>
          <w:rFonts w:hint="eastAsia"/>
          <w:lang w:eastAsia="zh-CN"/>
        </w:rPr>
        <w:t>基金</w:t>
      </w:r>
      <w:r>
        <w:rPr>
          <w:lang w:eastAsia="zh-CN"/>
        </w:rPr>
        <w:t>管理人</w:t>
      </w:r>
      <w:r>
        <w:rPr>
          <w:rFonts w:hint="eastAsia"/>
          <w:lang w:eastAsia="zh-CN"/>
        </w:rPr>
        <w:t>或其</w:t>
      </w:r>
      <w:r>
        <w:rPr>
          <w:lang w:eastAsia="zh-CN"/>
        </w:rPr>
        <w:t>基金销售子公司申购本基金</w:t>
      </w:r>
      <w:r>
        <w:rPr>
          <w:rFonts w:ascii="宋体" w:hAnsi="宋体"/>
          <w:szCs w:val="21"/>
          <w:highlight w:val="white"/>
          <w:lang w:eastAsia="zh-CN"/>
        </w:rPr>
        <w:t>A</w:t>
      </w:r>
      <w:r>
        <w:rPr>
          <w:rFonts w:ascii="宋体" w:hAnsi="宋体" w:cs="宋体" w:hint="eastAsia"/>
          <w:szCs w:val="21"/>
          <w:highlight w:val="white"/>
          <w:lang w:eastAsia="zh-CN"/>
        </w:rPr>
        <w:t>类基金份额</w:t>
      </w:r>
      <w:r>
        <w:rPr>
          <w:rFonts w:ascii="宋体" w:hAnsi="宋体" w:cs="宋体"/>
          <w:szCs w:val="21"/>
          <w:highlight w:val="white"/>
          <w:lang w:eastAsia="zh-CN"/>
        </w:rPr>
        <w:t>，</w:t>
      </w:r>
      <w:r>
        <w:rPr>
          <w:rFonts w:ascii="宋体" w:hAnsi="Calibri"/>
          <w:szCs w:val="21"/>
          <w:lang w:eastAsia="zh-CN"/>
        </w:rPr>
        <w:t>则申购份额的计算公式如下：</w:t>
      </w:r>
    </w:p>
    <w:p w:rsidR="004A090B">
      <w:pPr>
        <w:spacing w:line="360" w:lineRule="auto"/>
        <w:ind w:firstLine="420"/>
        <w:rPr>
          <w:rFonts w:ascii="宋体" w:hAnsi="Calibri"/>
          <w:szCs w:val="21"/>
          <w:lang w:eastAsia="zh-CN"/>
        </w:rPr>
      </w:pPr>
      <w:r>
        <w:rPr>
          <w:rFonts w:ascii="宋体" w:hAnsi="Calibri"/>
          <w:szCs w:val="21"/>
          <w:lang w:eastAsia="zh-CN"/>
        </w:rPr>
        <w:t>申购份额</w:t>
      </w:r>
      <w:r>
        <w:rPr>
          <w:rFonts w:ascii="宋体" w:hAnsi="Calibri"/>
          <w:szCs w:val="21"/>
          <w:lang w:eastAsia="zh-CN"/>
        </w:rPr>
        <w:t>=</w:t>
      </w:r>
      <w:r>
        <w:rPr>
          <w:rFonts w:ascii="宋体" w:hAnsi="Calibri"/>
          <w:szCs w:val="21"/>
          <w:lang w:eastAsia="zh-CN"/>
        </w:rPr>
        <w:t>申购金额</w:t>
      </w:r>
      <w:r>
        <w:rPr>
          <w:rFonts w:ascii="宋体" w:hAnsi="Calibri"/>
          <w:szCs w:val="21"/>
          <w:lang w:eastAsia="zh-CN"/>
        </w:rPr>
        <w:t>/ T</w:t>
      </w:r>
      <w:r>
        <w:rPr>
          <w:rFonts w:ascii="宋体" w:hAnsi="Calibri"/>
          <w:szCs w:val="21"/>
          <w:lang w:eastAsia="zh-CN"/>
        </w:rPr>
        <w:t>日</w:t>
      </w:r>
      <w:r>
        <w:rPr>
          <w:rFonts w:ascii="宋体" w:hAnsi="Calibri" w:hint="eastAsia"/>
          <w:szCs w:val="21"/>
          <w:lang w:eastAsia="zh-CN"/>
        </w:rPr>
        <w:t>该类份额的</w:t>
      </w:r>
      <w:r>
        <w:rPr>
          <w:rFonts w:ascii="宋体" w:hAnsi="Calibri"/>
          <w:szCs w:val="21"/>
          <w:lang w:eastAsia="zh-CN"/>
        </w:rPr>
        <w:t>基金份额净值</w:t>
      </w:r>
      <w:r>
        <w:rPr>
          <w:rFonts w:ascii="宋体" w:hAnsi="Calibri"/>
          <w:szCs w:val="21"/>
          <w:lang w:eastAsia="zh-CN"/>
        </w:rPr>
        <w:t xml:space="preserve"> </w:t>
      </w:r>
    </w:p>
    <w:p w:rsidR="004A090B">
      <w:pPr>
        <w:spacing w:line="360" w:lineRule="auto"/>
        <w:ind w:firstLine="420"/>
        <w:rPr>
          <w:rFonts w:ascii="宋体" w:hAnsi="Calibri"/>
          <w:szCs w:val="21"/>
          <w:lang w:eastAsia="zh-CN"/>
        </w:rPr>
      </w:pPr>
      <w:r>
        <w:rPr>
          <w:rFonts w:ascii="宋体" w:hAnsi="Calibri" w:hint="eastAsia"/>
          <w:szCs w:val="21"/>
          <w:lang w:eastAsia="zh-CN"/>
        </w:rPr>
        <w:t>例二：某投资人申购本基金</w:t>
      </w:r>
      <w:r>
        <w:rPr>
          <w:rFonts w:ascii="宋体" w:hAnsi="Calibri" w:hint="eastAsia"/>
          <w:szCs w:val="21"/>
          <w:lang w:eastAsia="zh-CN"/>
        </w:rPr>
        <w:t>C</w:t>
      </w:r>
      <w:r>
        <w:rPr>
          <w:rFonts w:ascii="宋体" w:hAnsi="Calibri" w:hint="eastAsia"/>
          <w:szCs w:val="21"/>
          <w:lang w:eastAsia="zh-CN"/>
        </w:rPr>
        <w:t>类基金份额</w:t>
      </w:r>
      <w:r>
        <w:rPr>
          <w:rFonts w:ascii="宋体" w:hAnsi="Calibri" w:hint="eastAsia"/>
          <w:szCs w:val="21"/>
          <w:lang w:eastAsia="zh-CN"/>
        </w:rPr>
        <w:t>100,000</w:t>
      </w:r>
      <w:r>
        <w:rPr>
          <w:rFonts w:ascii="宋体" w:hAnsi="Calibri" w:hint="eastAsia"/>
          <w:szCs w:val="21"/>
          <w:lang w:eastAsia="zh-CN"/>
        </w:rPr>
        <w:t>元，假设申购当日</w:t>
      </w:r>
      <w:r>
        <w:rPr>
          <w:rFonts w:ascii="宋体" w:hAnsi="Calibri" w:hint="eastAsia"/>
          <w:szCs w:val="21"/>
          <w:lang w:eastAsia="zh-CN"/>
        </w:rPr>
        <w:t>C</w:t>
      </w:r>
      <w:r>
        <w:rPr>
          <w:rFonts w:ascii="宋体" w:hAnsi="Calibri" w:hint="eastAsia"/>
          <w:szCs w:val="21"/>
          <w:lang w:eastAsia="zh-CN"/>
        </w:rPr>
        <w:t>类基金份额的基金份额净值为</w:t>
      </w:r>
      <w:r>
        <w:rPr>
          <w:rFonts w:ascii="宋体" w:hAnsi="Calibri" w:hint="eastAsia"/>
          <w:szCs w:val="21"/>
          <w:lang w:eastAsia="zh-CN"/>
        </w:rPr>
        <w:t>1.0400</w:t>
      </w:r>
      <w:r>
        <w:rPr>
          <w:rFonts w:ascii="宋体" w:hAnsi="Calibri" w:hint="eastAsia"/>
          <w:szCs w:val="21"/>
          <w:lang w:eastAsia="zh-CN"/>
        </w:rPr>
        <w:t>元，则其可得到的申购份额为：</w:t>
      </w:r>
    </w:p>
    <w:p w:rsidR="004A090B">
      <w:pPr>
        <w:spacing w:line="360" w:lineRule="auto"/>
        <w:ind w:firstLine="420"/>
        <w:rPr>
          <w:rFonts w:ascii="宋体" w:hAnsi="Calibri"/>
          <w:szCs w:val="21"/>
          <w:lang w:eastAsia="zh-CN"/>
        </w:rPr>
      </w:pPr>
      <w:r>
        <w:rPr>
          <w:rFonts w:ascii="宋体" w:hAnsi="Calibri"/>
          <w:szCs w:val="21"/>
          <w:lang w:eastAsia="zh-CN"/>
        </w:rPr>
        <w:t>申购份额</w:t>
      </w:r>
      <w:r>
        <w:rPr>
          <w:rFonts w:ascii="宋体" w:hAnsi="Calibri"/>
          <w:szCs w:val="21"/>
          <w:lang w:eastAsia="zh-CN"/>
        </w:rPr>
        <w:t>=100,000/1.0400=96,153.85</w:t>
      </w:r>
      <w:r>
        <w:rPr>
          <w:rFonts w:ascii="宋体" w:hAnsi="Calibri"/>
          <w:szCs w:val="21"/>
          <w:lang w:eastAsia="zh-CN"/>
        </w:rPr>
        <w:t>份</w:t>
      </w:r>
    </w:p>
    <w:p w:rsidR="004A090B">
      <w:pPr>
        <w:spacing w:line="360" w:lineRule="auto"/>
        <w:ind w:firstLine="420"/>
        <w:rPr>
          <w:rFonts w:ascii="宋体" w:hAnsi="Calibri"/>
          <w:szCs w:val="21"/>
          <w:lang w:eastAsia="zh-CN"/>
        </w:rPr>
      </w:pPr>
      <w:r>
        <w:rPr>
          <w:rFonts w:ascii="宋体" w:hAnsi="Calibri"/>
          <w:szCs w:val="21"/>
          <w:lang w:eastAsia="zh-CN"/>
        </w:rPr>
        <w:t>3</w:t>
      </w:r>
      <w:r>
        <w:rPr>
          <w:rFonts w:ascii="宋体" w:hAnsi="Calibri"/>
          <w:szCs w:val="21"/>
          <w:lang w:eastAsia="zh-CN"/>
        </w:rPr>
        <w:t>、赎回金额的计算</w:t>
      </w:r>
      <w:r>
        <w:rPr>
          <w:rFonts w:ascii="宋体" w:hAnsi="Calibri"/>
          <w:szCs w:val="21"/>
          <w:lang w:eastAsia="zh-CN"/>
        </w:rPr>
        <w:t xml:space="preserve"> </w:t>
      </w:r>
    </w:p>
    <w:p w:rsidR="004A090B">
      <w:pPr>
        <w:spacing w:line="360" w:lineRule="auto"/>
        <w:ind w:firstLine="420"/>
        <w:rPr>
          <w:rFonts w:ascii="宋体" w:hAnsi="Calibri"/>
          <w:szCs w:val="21"/>
          <w:lang w:eastAsia="zh-CN"/>
        </w:rPr>
      </w:pPr>
      <w:r>
        <w:rPr>
          <w:rFonts w:ascii="宋体" w:hAnsi="Calibri"/>
          <w:szCs w:val="21"/>
          <w:lang w:eastAsia="zh-CN"/>
        </w:rPr>
        <w:t>赎回金额的计算方法如下：</w:t>
      </w:r>
      <w:r>
        <w:rPr>
          <w:rFonts w:ascii="宋体" w:hAnsi="Calibri"/>
          <w:szCs w:val="21"/>
          <w:lang w:eastAsia="zh-CN"/>
        </w:rPr>
        <w:t xml:space="preserve"> </w:t>
      </w:r>
    </w:p>
    <w:p w:rsidR="004A090B">
      <w:pPr>
        <w:spacing w:line="360" w:lineRule="auto"/>
        <w:ind w:firstLine="420"/>
        <w:rPr>
          <w:rFonts w:ascii="宋体" w:hAnsi="Calibri"/>
          <w:szCs w:val="21"/>
          <w:lang w:eastAsia="zh-CN"/>
        </w:rPr>
      </w:pPr>
      <w:r>
        <w:rPr>
          <w:rFonts w:ascii="宋体" w:hAnsi="Calibri"/>
          <w:szCs w:val="21"/>
          <w:lang w:eastAsia="zh-CN"/>
        </w:rPr>
        <w:t>赎回费用</w:t>
      </w:r>
      <w:r>
        <w:rPr>
          <w:rFonts w:ascii="宋体" w:hAnsi="Calibri"/>
          <w:szCs w:val="21"/>
          <w:lang w:eastAsia="zh-CN"/>
        </w:rPr>
        <w:t>=</w:t>
      </w:r>
      <w:r>
        <w:rPr>
          <w:rFonts w:ascii="宋体" w:hAnsi="Calibri"/>
          <w:szCs w:val="21"/>
          <w:lang w:eastAsia="zh-CN"/>
        </w:rPr>
        <w:t>赎回份额</w:t>
      </w:r>
      <w:r>
        <w:rPr>
          <w:rFonts w:ascii="宋体" w:hAnsi="Calibri"/>
          <w:szCs w:val="21"/>
          <w:lang w:eastAsia="zh-CN"/>
        </w:rPr>
        <w:t>×</w:t>
      </w:r>
      <w:r>
        <w:rPr>
          <w:rFonts w:ascii="宋体" w:hAnsi="Calibri"/>
          <w:szCs w:val="21"/>
          <w:lang w:eastAsia="zh-CN"/>
        </w:rPr>
        <w:t>T</w:t>
      </w:r>
      <w:r>
        <w:rPr>
          <w:rFonts w:ascii="宋体" w:hAnsi="Calibri"/>
          <w:szCs w:val="21"/>
          <w:lang w:eastAsia="zh-CN"/>
        </w:rPr>
        <w:t>日</w:t>
      </w:r>
      <w:r>
        <w:rPr>
          <w:rFonts w:ascii="宋体" w:hAnsi="Calibri" w:hint="eastAsia"/>
          <w:szCs w:val="21"/>
          <w:lang w:eastAsia="zh-CN"/>
        </w:rPr>
        <w:t>该类份额的</w:t>
      </w:r>
      <w:r>
        <w:rPr>
          <w:rFonts w:ascii="宋体" w:hAnsi="Calibri"/>
          <w:szCs w:val="21"/>
          <w:lang w:eastAsia="zh-CN"/>
        </w:rPr>
        <w:t>基金份额净值</w:t>
      </w:r>
      <w:r>
        <w:rPr>
          <w:rFonts w:ascii="宋体" w:hAnsi="Calibri"/>
          <w:szCs w:val="21"/>
          <w:lang w:eastAsia="zh-CN"/>
        </w:rPr>
        <w:t>×</w:t>
      </w:r>
      <w:r>
        <w:rPr>
          <w:rFonts w:ascii="宋体" w:hAnsi="Calibri" w:hint="eastAsia"/>
          <w:szCs w:val="21"/>
          <w:lang w:eastAsia="zh-CN"/>
        </w:rPr>
        <w:t>该类份额对应该类投资者的</w:t>
      </w:r>
      <w:r>
        <w:rPr>
          <w:rFonts w:ascii="宋体" w:hAnsi="Calibri"/>
          <w:szCs w:val="21"/>
          <w:lang w:eastAsia="zh-CN"/>
        </w:rPr>
        <w:t>赎回费率</w:t>
      </w:r>
      <w:r>
        <w:rPr>
          <w:rFonts w:ascii="宋体" w:hAnsi="Calibri"/>
          <w:szCs w:val="21"/>
          <w:lang w:eastAsia="zh-CN"/>
        </w:rPr>
        <w:t xml:space="preserve"> </w:t>
      </w:r>
    </w:p>
    <w:p w:rsidR="004A090B">
      <w:pPr>
        <w:spacing w:line="360" w:lineRule="auto"/>
        <w:ind w:firstLine="420"/>
        <w:rPr>
          <w:rFonts w:ascii="宋体" w:hAnsi="宋体" w:cs="宋体"/>
          <w:color w:val="000000"/>
          <w:lang w:eastAsia="zh-CN"/>
        </w:rPr>
      </w:pPr>
      <w:r>
        <w:rPr>
          <w:rFonts w:ascii="宋体" w:hAnsi="Calibri"/>
          <w:szCs w:val="21"/>
          <w:lang w:eastAsia="zh-CN"/>
        </w:rPr>
        <w:t>赎回金额</w:t>
      </w:r>
      <w:r>
        <w:rPr>
          <w:rFonts w:ascii="宋体" w:hAnsi="Calibri"/>
          <w:szCs w:val="21"/>
          <w:lang w:eastAsia="zh-CN"/>
        </w:rPr>
        <w:t>=</w:t>
      </w:r>
      <w:r>
        <w:rPr>
          <w:rFonts w:ascii="宋体" w:hAnsi="Calibri"/>
          <w:szCs w:val="21"/>
          <w:lang w:eastAsia="zh-CN"/>
        </w:rPr>
        <w:t>赎回份额</w:t>
      </w:r>
      <w:r>
        <w:rPr>
          <w:rFonts w:ascii="宋体" w:hAnsi="Calibri"/>
          <w:szCs w:val="21"/>
          <w:lang w:eastAsia="zh-CN"/>
        </w:rPr>
        <w:t>×</w:t>
      </w:r>
      <w:r>
        <w:rPr>
          <w:rFonts w:ascii="宋体" w:hAnsi="Calibri"/>
          <w:szCs w:val="21"/>
          <w:lang w:eastAsia="zh-CN"/>
        </w:rPr>
        <w:t>T</w:t>
      </w:r>
      <w:r>
        <w:rPr>
          <w:rFonts w:ascii="宋体" w:hAnsi="Calibri"/>
          <w:szCs w:val="21"/>
          <w:lang w:eastAsia="zh-CN"/>
        </w:rPr>
        <w:t>日</w:t>
      </w:r>
      <w:r>
        <w:rPr>
          <w:rFonts w:ascii="宋体" w:hAnsi="Calibri" w:hint="eastAsia"/>
          <w:szCs w:val="21"/>
          <w:lang w:eastAsia="zh-CN"/>
        </w:rPr>
        <w:t>该类份额的</w:t>
      </w:r>
      <w:r>
        <w:rPr>
          <w:rFonts w:ascii="宋体" w:hAnsi="Calibri"/>
          <w:szCs w:val="21"/>
          <w:lang w:eastAsia="zh-CN"/>
        </w:rPr>
        <w:t>基金份额净值</w:t>
      </w:r>
      <w:r>
        <w:rPr>
          <w:rFonts w:ascii="宋体" w:hAnsi="Calibri"/>
          <w:szCs w:val="21"/>
          <w:lang w:eastAsia="zh-CN"/>
        </w:rPr>
        <w:t>-</w:t>
      </w:r>
      <w:r>
        <w:rPr>
          <w:rFonts w:ascii="宋体" w:hAnsi="Calibri"/>
          <w:szCs w:val="21"/>
          <w:lang w:eastAsia="zh-CN"/>
        </w:rPr>
        <w:t>赎回费用</w:t>
      </w:r>
      <w:r>
        <w:rPr>
          <w:rFonts w:ascii="宋体" w:hAnsi="宋体" w:cs="宋体" w:hint="eastAsia"/>
          <w:color w:val="000000"/>
          <w:highlight w:val="white"/>
          <w:lang w:eastAsia="zh-CN"/>
        </w:rPr>
        <w:t>+</w:t>
      </w:r>
      <w:r>
        <w:rPr>
          <w:rFonts w:ascii="宋体" w:hAnsi="宋体" w:cs="宋体" w:hint="eastAsia"/>
          <w:color w:val="000000"/>
          <w:highlight w:val="white"/>
          <w:lang w:eastAsia="zh-CN"/>
        </w:rPr>
        <w:t>返还投资者的销售服务费（如有）</w:t>
      </w:r>
    </w:p>
    <w:p w:rsidR="004A090B">
      <w:pPr>
        <w:spacing w:line="360" w:lineRule="auto"/>
        <w:ind w:firstLine="420"/>
        <w:rPr>
          <w:rFonts w:ascii="宋体" w:hAnsi="Calibri"/>
          <w:szCs w:val="21"/>
          <w:lang w:eastAsia="zh-CN"/>
        </w:rPr>
      </w:pPr>
      <w:r>
        <w:rPr>
          <w:rFonts w:ascii="宋体" w:hAnsi="宋体" w:cs="宋体"/>
          <w:color w:val="000000"/>
          <w:highlight w:val="white"/>
          <w:lang w:eastAsia="zh-CN"/>
        </w:rPr>
        <w:t>该笔赎回是否涉及</w:t>
      </w:r>
      <w:r>
        <w:rPr>
          <w:rFonts w:ascii="宋体" w:hAnsi="宋体" w:cs="宋体" w:hint="eastAsia"/>
          <w:color w:val="000000"/>
          <w:highlight w:val="white"/>
          <w:lang w:eastAsia="zh-CN"/>
        </w:rPr>
        <w:t>返还销售服务费</w:t>
      </w:r>
      <w:r>
        <w:rPr>
          <w:rFonts w:ascii="宋体" w:hAnsi="宋体" w:cs="宋体"/>
          <w:color w:val="000000"/>
          <w:highlight w:val="white"/>
          <w:lang w:eastAsia="zh-CN"/>
        </w:rPr>
        <w:t>的具体条件等具体安排详见本招募说明书</w:t>
      </w:r>
      <w:r>
        <w:rPr>
          <w:rFonts w:ascii="宋体" w:hAnsi="宋体" w:cs="宋体"/>
          <w:color w:val="000000"/>
          <w:highlight w:val="white"/>
          <w:lang w:eastAsia="zh-CN"/>
        </w:rPr>
        <w:t>“</w:t>
      </w:r>
      <w:r>
        <w:rPr>
          <w:rFonts w:ascii="宋体" w:hAnsi="宋体" w:cs="宋体"/>
          <w:color w:val="000000"/>
          <w:highlight w:val="white"/>
          <w:lang w:eastAsia="zh-CN"/>
        </w:rPr>
        <w:t>基金的费用与税收</w:t>
      </w:r>
      <w:r>
        <w:rPr>
          <w:rFonts w:ascii="宋体" w:hAnsi="宋体" w:cs="宋体"/>
          <w:color w:val="000000"/>
          <w:highlight w:val="white"/>
          <w:lang w:eastAsia="zh-CN"/>
        </w:rPr>
        <w:t>”</w:t>
      </w:r>
      <w:r>
        <w:rPr>
          <w:rFonts w:ascii="宋体" w:hAnsi="宋体" w:cs="宋体"/>
          <w:color w:val="000000"/>
          <w:highlight w:val="white"/>
          <w:lang w:eastAsia="zh-CN"/>
        </w:rPr>
        <w:t>部分</w:t>
      </w:r>
      <w:r>
        <w:rPr>
          <w:rFonts w:ascii="宋体" w:hAnsi="宋体" w:cs="宋体"/>
          <w:color w:val="000000"/>
          <w:highlight w:val="white"/>
          <w:lang w:eastAsia="zh-CN"/>
        </w:rPr>
        <w:t>。</w:t>
      </w:r>
      <w:r>
        <w:rPr>
          <w:rFonts w:ascii="宋体" w:hAnsi="Calibri"/>
          <w:szCs w:val="21"/>
          <w:lang w:eastAsia="zh-CN"/>
        </w:rPr>
        <w:t xml:space="preserve"> </w:t>
      </w:r>
    </w:p>
    <w:p w:rsidR="004A090B">
      <w:pPr>
        <w:spacing w:line="360" w:lineRule="auto"/>
        <w:ind w:firstLine="420"/>
        <w:rPr>
          <w:rFonts w:ascii="宋体" w:hAnsi="Calibri"/>
          <w:szCs w:val="21"/>
          <w:lang w:eastAsia="zh-CN"/>
        </w:rPr>
      </w:pPr>
      <w:r>
        <w:rPr>
          <w:rFonts w:ascii="宋体" w:hAnsi="Calibri"/>
          <w:szCs w:val="21"/>
          <w:lang w:eastAsia="zh-CN"/>
        </w:rPr>
        <w:t>例</w:t>
      </w:r>
      <w:r>
        <w:rPr>
          <w:rFonts w:ascii="宋体" w:hAnsi="Calibri" w:hint="eastAsia"/>
          <w:szCs w:val="21"/>
          <w:lang w:eastAsia="zh-CN"/>
        </w:rPr>
        <w:t>三</w:t>
      </w:r>
      <w:r>
        <w:rPr>
          <w:rFonts w:ascii="宋体" w:hAnsi="Calibri"/>
          <w:szCs w:val="21"/>
          <w:lang w:eastAsia="zh-CN"/>
        </w:rPr>
        <w:t>：某</w:t>
      </w:r>
      <w:r>
        <w:rPr>
          <w:rFonts w:ascii="宋体" w:hAnsi="Calibri" w:hint="eastAsia"/>
          <w:szCs w:val="21"/>
          <w:lang w:eastAsia="zh-CN"/>
        </w:rPr>
        <w:t>个人</w:t>
      </w:r>
      <w:r>
        <w:rPr>
          <w:rFonts w:ascii="宋体" w:hAnsi="Calibri"/>
          <w:szCs w:val="21"/>
          <w:lang w:eastAsia="zh-CN"/>
        </w:rPr>
        <w:t>投资人赎回</w:t>
      </w:r>
      <w:r>
        <w:rPr>
          <w:rFonts w:ascii="宋体" w:hAnsi="宋体" w:cs="宋体" w:hint="eastAsia"/>
          <w:szCs w:val="21"/>
          <w:lang w:eastAsia="zh-CN"/>
        </w:rPr>
        <w:t>通过除</w:t>
      </w:r>
      <w:r>
        <w:rPr>
          <w:rFonts w:hint="eastAsia"/>
          <w:lang w:eastAsia="zh-CN"/>
        </w:rPr>
        <w:t>基金</w:t>
      </w:r>
      <w:r>
        <w:rPr>
          <w:lang w:eastAsia="zh-CN"/>
        </w:rPr>
        <w:t>管理人及其基金销售子公司以外的销售机构</w:t>
      </w:r>
      <w:r>
        <w:rPr>
          <w:rFonts w:hint="eastAsia"/>
          <w:lang w:eastAsia="zh-CN"/>
        </w:rPr>
        <w:t>投资的</w:t>
      </w:r>
      <w:r>
        <w:rPr>
          <w:rFonts w:ascii="宋体" w:hAnsi="Calibri"/>
          <w:szCs w:val="21"/>
          <w:lang w:eastAsia="zh-CN"/>
        </w:rPr>
        <w:t>10,000</w:t>
      </w:r>
      <w:r>
        <w:rPr>
          <w:rFonts w:ascii="宋体" w:hAnsi="Calibri"/>
          <w:szCs w:val="21"/>
          <w:lang w:eastAsia="zh-CN"/>
        </w:rPr>
        <w:t>份</w:t>
      </w:r>
      <w:r>
        <w:rPr>
          <w:rFonts w:ascii="宋体" w:hAnsi="Calibri"/>
          <w:szCs w:val="21"/>
          <w:lang w:eastAsia="zh-CN"/>
        </w:rPr>
        <w:t>C</w:t>
      </w:r>
      <w:r>
        <w:rPr>
          <w:rFonts w:ascii="宋体" w:hAnsi="Calibri"/>
          <w:szCs w:val="21"/>
          <w:lang w:eastAsia="zh-CN"/>
        </w:rPr>
        <w:t>类基金份额，假设该笔份额持有期限为</w:t>
      </w:r>
      <w:r>
        <w:rPr>
          <w:rFonts w:ascii="宋体" w:hAnsi="Calibri"/>
          <w:szCs w:val="21"/>
          <w:lang w:eastAsia="zh-CN"/>
        </w:rPr>
        <w:t>5</w:t>
      </w:r>
      <w:r>
        <w:rPr>
          <w:rFonts w:ascii="宋体" w:hAnsi="Calibri"/>
          <w:szCs w:val="21"/>
          <w:lang w:eastAsia="zh-CN"/>
        </w:rPr>
        <w:t>天，则对应的</w:t>
      </w:r>
      <w:r>
        <w:rPr>
          <w:rFonts w:ascii="宋体" w:hAnsi="Calibri" w:hint="eastAsia"/>
          <w:szCs w:val="21"/>
          <w:lang w:eastAsia="zh-CN"/>
        </w:rPr>
        <w:t>该类投资者的</w:t>
      </w:r>
      <w:r>
        <w:rPr>
          <w:rFonts w:ascii="宋体" w:hAnsi="Calibri"/>
          <w:szCs w:val="21"/>
          <w:lang w:eastAsia="zh-CN"/>
        </w:rPr>
        <w:t>赎回费率为</w:t>
      </w:r>
      <w:r>
        <w:rPr>
          <w:rFonts w:ascii="宋体" w:hAnsi="Calibri"/>
          <w:szCs w:val="21"/>
          <w:lang w:eastAsia="zh-CN"/>
        </w:rPr>
        <w:t>1.50%</w:t>
      </w:r>
      <w:r>
        <w:rPr>
          <w:rFonts w:ascii="宋体" w:hAnsi="Calibri"/>
          <w:szCs w:val="21"/>
          <w:lang w:eastAsia="zh-CN"/>
        </w:rPr>
        <w:t>，假设赎回当日</w:t>
      </w:r>
      <w:r>
        <w:rPr>
          <w:rFonts w:ascii="宋体" w:hAnsi="Calibri" w:hint="eastAsia"/>
          <w:szCs w:val="21"/>
          <w:lang w:eastAsia="zh-CN"/>
        </w:rPr>
        <w:t>对应份额类别的</w:t>
      </w:r>
      <w:r>
        <w:rPr>
          <w:rFonts w:ascii="宋体" w:hAnsi="Calibri"/>
          <w:szCs w:val="21"/>
          <w:lang w:eastAsia="zh-CN"/>
        </w:rPr>
        <w:t>基金份额净值是</w:t>
      </w:r>
      <w:r>
        <w:rPr>
          <w:rFonts w:ascii="宋体" w:hAnsi="Calibri"/>
          <w:szCs w:val="21"/>
          <w:lang w:eastAsia="zh-CN"/>
        </w:rPr>
        <w:t>1.0160</w:t>
      </w:r>
      <w:r>
        <w:rPr>
          <w:rFonts w:ascii="宋体" w:hAnsi="Calibri"/>
          <w:szCs w:val="21"/>
          <w:lang w:eastAsia="zh-CN"/>
        </w:rPr>
        <w:t>元，</w:t>
      </w:r>
      <w:r>
        <w:rPr>
          <w:rFonts w:ascii="宋体" w:hAnsi="宋体" w:cs="宋体"/>
          <w:color w:val="000000"/>
          <w:highlight w:val="white"/>
          <w:lang w:eastAsia="zh-CN"/>
        </w:rPr>
        <w:t>该笔赎回</w:t>
      </w:r>
      <w:r>
        <w:rPr>
          <w:rFonts w:ascii="宋体" w:hAnsi="宋体" w:cs="宋体" w:hint="eastAsia"/>
          <w:color w:val="000000"/>
          <w:highlight w:val="white"/>
          <w:lang w:eastAsia="zh-CN"/>
        </w:rPr>
        <w:t>不</w:t>
      </w:r>
      <w:r>
        <w:rPr>
          <w:rFonts w:ascii="宋体" w:hAnsi="宋体" w:cs="宋体"/>
          <w:color w:val="000000"/>
          <w:highlight w:val="white"/>
          <w:lang w:eastAsia="zh-CN"/>
        </w:rPr>
        <w:t>涉及</w:t>
      </w:r>
      <w:r>
        <w:rPr>
          <w:rFonts w:ascii="宋体" w:hAnsi="宋体" w:cs="宋体" w:hint="eastAsia"/>
          <w:color w:val="000000"/>
          <w:highlight w:val="white"/>
          <w:lang w:eastAsia="zh-CN"/>
        </w:rPr>
        <w:t>返还销售服务费，</w:t>
      </w:r>
      <w:r>
        <w:rPr>
          <w:rFonts w:ascii="宋体" w:hAnsi="Calibri"/>
          <w:szCs w:val="21"/>
          <w:lang w:eastAsia="zh-CN"/>
        </w:rPr>
        <w:t>则其可得到的赎回金额为：</w:t>
      </w:r>
      <w:r>
        <w:rPr>
          <w:rFonts w:ascii="宋体" w:hAnsi="Calibri"/>
          <w:szCs w:val="21"/>
          <w:lang w:eastAsia="zh-CN"/>
        </w:rPr>
        <w:t xml:space="preserve"> </w:t>
      </w:r>
    </w:p>
    <w:p w:rsidR="004A090B">
      <w:pPr>
        <w:spacing w:line="360" w:lineRule="auto"/>
        <w:ind w:firstLine="420"/>
        <w:rPr>
          <w:rFonts w:ascii="宋体" w:hAnsi="Calibri"/>
          <w:szCs w:val="21"/>
          <w:lang w:eastAsia="zh-CN"/>
        </w:rPr>
      </w:pPr>
      <w:r>
        <w:rPr>
          <w:rFonts w:ascii="宋体" w:hAnsi="Calibri"/>
          <w:szCs w:val="21"/>
          <w:lang w:eastAsia="zh-CN"/>
        </w:rPr>
        <w:t>赎回费用</w:t>
      </w:r>
      <w:r>
        <w:rPr>
          <w:rFonts w:ascii="宋体" w:hAnsi="Calibri"/>
          <w:szCs w:val="21"/>
          <w:lang w:eastAsia="zh-CN"/>
        </w:rPr>
        <w:t xml:space="preserve"> = 10,000</w:t>
      </w:r>
      <w:r>
        <w:rPr>
          <w:rFonts w:ascii="宋体" w:hAnsi="Calibri"/>
          <w:szCs w:val="21"/>
          <w:lang w:eastAsia="zh-CN"/>
        </w:rPr>
        <w:t>×</w:t>
      </w:r>
      <w:r>
        <w:rPr>
          <w:rFonts w:ascii="宋体" w:hAnsi="Calibri"/>
          <w:szCs w:val="21"/>
          <w:lang w:eastAsia="zh-CN"/>
        </w:rPr>
        <w:t>1.0160</w:t>
      </w:r>
      <w:r>
        <w:rPr>
          <w:rFonts w:ascii="宋体" w:hAnsi="Calibri"/>
          <w:szCs w:val="21"/>
          <w:lang w:eastAsia="zh-CN"/>
        </w:rPr>
        <w:t>×</w:t>
      </w:r>
      <w:r>
        <w:rPr>
          <w:rFonts w:ascii="宋体" w:hAnsi="Calibri"/>
          <w:szCs w:val="21"/>
          <w:lang w:eastAsia="zh-CN"/>
        </w:rPr>
        <w:t xml:space="preserve">1.50% </w:t>
      </w:r>
      <w:r>
        <w:rPr>
          <w:rFonts w:ascii="宋体" w:hAnsi="Calibri"/>
          <w:szCs w:val="21"/>
          <w:lang w:eastAsia="zh-CN"/>
        </w:rPr>
        <w:t>＝</w:t>
      </w:r>
      <w:r>
        <w:rPr>
          <w:rFonts w:ascii="宋体" w:hAnsi="Calibri"/>
          <w:szCs w:val="21"/>
          <w:lang w:eastAsia="zh-CN"/>
        </w:rPr>
        <w:t>152.40</w:t>
      </w:r>
      <w:r>
        <w:rPr>
          <w:rFonts w:ascii="宋体" w:hAnsi="Calibri"/>
          <w:szCs w:val="21"/>
          <w:lang w:eastAsia="zh-CN"/>
        </w:rPr>
        <w:t>元</w:t>
      </w:r>
    </w:p>
    <w:p w:rsidR="004A090B">
      <w:pPr>
        <w:spacing w:line="360" w:lineRule="auto"/>
        <w:ind w:firstLine="420"/>
        <w:rPr>
          <w:rFonts w:ascii="宋体" w:hAnsi="Calibri" w:cs="宋体"/>
          <w:szCs w:val="21"/>
          <w:lang w:eastAsia="zh-CN"/>
        </w:rPr>
      </w:pPr>
      <w:r>
        <w:rPr>
          <w:rFonts w:ascii="宋体" w:hAnsi="Calibri"/>
          <w:szCs w:val="21"/>
          <w:lang w:eastAsia="zh-CN"/>
        </w:rPr>
        <w:t>赎回金额</w:t>
      </w:r>
      <w:r>
        <w:rPr>
          <w:rFonts w:ascii="宋体" w:hAnsi="Calibri"/>
          <w:szCs w:val="21"/>
          <w:lang w:eastAsia="zh-CN"/>
        </w:rPr>
        <w:t xml:space="preserve"> = 10,000</w:t>
      </w:r>
      <w:r>
        <w:rPr>
          <w:rFonts w:ascii="宋体" w:hAnsi="Calibri"/>
          <w:szCs w:val="21"/>
          <w:lang w:eastAsia="zh-CN"/>
        </w:rPr>
        <w:t>×</w:t>
      </w:r>
      <w:r>
        <w:rPr>
          <w:rFonts w:ascii="宋体" w:hAnsi="Calibri"/>
          <w:szCs w:val="21"/>
          <w:lang w:eastAsia="zh-CN"/>
        </w:rPr>
        <w:t>1.0160-152.40+0</w:t>
      </w:r>
      <w:r>
        <w:rPr>
          <w:rFonts w:ascii="宋体" w:hAnsi="Calibri"/>
          <w:szCs w:val="21"/>
          <w:lang w:eastAsia="zh-CN"/>
        </w:rPr>
        <w:t>＝</w:t>
      </w:r>
      <w:r>
        <w:rPr>
          <w:rFonts w:ascii="宋体" w:hAnsi="Calibri"/>
          <w:szCs w:val="21"/>
          <w:lang w:eastAsia="zh-CN"/>
        </w:rPr>
        <w:t>10,007.60</w:t>
      </w:r>
      <w:r>
        <w:rPr>
          <w:rFonts w:ascii="宋体" w:hAnsi="Calibri"/>
          <w:szCs w:val="21"/>
          <w:lang w:eastAsia="zh-CN"/>
        </w:rPr>
        <w:t>元</w:t>
      </w:r>
      <w:bookmarkStart w:id="1807" w:name="_Toc332373509"/>
    </w:p>
    <w:p w:rsidR="004A090B">
      <w:pPr>
        <w:spacing w:line="360" w:lineRule="auto"/>
        <w:ind w:firstLine="420"/>
        <w:rPr>
          <w:rFonts w:ascii="宋体" w:hAnsi="Calibri" w:cs="宋体"/>
          <w:szCs w:val="21"/>
          <w:lang w:eastAsia="zh-CN"/>
        </w:rPr>
      </w:pPr>
      <w:r>
        <w:rPr>
          <w:rFonts w:ascii="宋体" w:hAnsi="Calibri" w:cs="宋体"/>
          <w:szCs w:val="21"/>
          <w:lang w:eastAsia="zh-CN"/>
        </w:rPr>
        <w:t>4</w:t>
      </w:r>
      <w:r>
        <w:rPr>
          <w:rFonts w:ascii="宋体" w:hAnsi="Calibri" w:cs="宋体"/>
          <w:szCs w:val="21"/>
          <w:lang w:eastAsia="zh-CN"/>
        </w:rPr>
        <w:t>、基金份额净值的计算公式</w:t>
      </w:r>
      <w:bookmarkEnd w:id="1807"/>
      <w:r>
        <w:rPr>
          <w:rFonts w:ascii="宋体" w:hAnsi="Calibri" w:cs="宋体"/>
          <w:szCs w:val="21"/>
          <w:lang w:eastAsia="zh-CN"/>
        </w:rPr>
        <w:t xml:space="preserve"> </w:t>
      </w:r>
    </w:p>
    <w:p w:rsidR="004A090B">
      <w:pPr>
        <w:spacing w:line="360" w:lineRule="auto"/>
        <w:ind w:firstLine="422"/>
        <w:rPr>
          <w:rFonts w:ascii="宋体" w:hAnsi="Calibri" w:cs="宋体"/>
          <w:szCs w:val="21"/>
          <w:lang w:eastAsia="zh-CN"/>
        </w:rPr>
      </w:pPr>
      <w:r>
        <w:rPr>
          <w:rFonts w:ascii="宋体" w:hAnsi="Calibri" w:cs="宋体"/>
          <w:szCs w:val="21"/>
          <w:lang w:eastAsia="zh-CN"/>
        </w:rPr>
        <w:t>计算日</w:t>
      </w:r>
      <w:r>
        <w:rPr>
          <w:rFonts w:ascii="宋体" w:hAnsi="Calibri" w:cs="宋体" w:hint="eastAsia"/>
          <w:szCs w:val="21"/>
          <w:lang w:eastAsia="zh-CN"/>
        </w:rPr>
        <w:t>该类基金份额的</w:t>
      </w:r>
      <w:r>
        <w:rPr>
          <w:rFonts w:ascii="宋体" w:hAnsi="Calibri" w:cs="宋体"/>
          <w:szCs w:val="21"/>
          <w:lang w:eastAsia="zh-CN"/>
        </w:rPr>
        <w:t>基金份额净值</w:t>
      </w:r>
      <w:r>
        <w:rPr>
          <w:rFonts w:ascii="宋体" w:hAnsi="Calibri" w:cs="宋体"/>
          <w:szCs w:val="21"/>
          <w:lang w:eastAsia="zh-CN"/>
        </w:rPr>
        <w:t>=</w:t>
      </w:r>
      <w:r>
        <w:rPr>
          <w:rFonts w:ascii="宋体" w:hAnsi="Calibri" w:cs="宋体"/>
          <w:szCs w:val="21"/>
          <w:lang w:eastAsia="zh-CN"/>
        </w:rPr>
        <w:t>计算日</w:t>
      </w:r>
      <w:r>
        <w:rPr>
          <w:rFonts w:ascii="宋体" w:hAnsi="Calibri" w:cs="宋体" w:hint="eastAsia"/>
          <w:szCs w:val="21"/>
          <w:lang w:eastAsia="zh-CN"/>
        </w:rPr>
        <w:t>该类基金份额的</w:t>
      </w:r>
      <w:r>
        <w:rPr>
          <w:rFonts w:ascii="宋体" w:hAnsi="Calibri" w:cs="宋体"/>
          <w:szCs w:val="21"/>
          <w:lang w:eastAsia="zh-CN"/>
        </w:rPr>
        <w:t>基金资产净值</w:t>
      </w:r>
      <w:r>
        <w:rPr>
          <w:rFonts w:ascii="宋体" w:hAnsi="Calibri" w:cs="宋体"/>
          <w:szCs w:val="21"/>
          <w:lang w:eastAsia="zh-CN"/>
        </w:rPr>
        <w:t>/</w:t>
      </w:r>
      <w:r>
        <w:rPr>
          <w:rFonts w:ascii="宋体" w:hAnsi="Calibri" w:cs="宋体"/>
          <w:szCs w:val="21"/>
          <w:lang w:eastAsia="zh-CN"/>
        </w:rPr>
        <w:t>计算日</w:t>
      </w:r>
      <w:r>
        <w:rPr>
          <w:rFonts w:ascii="宋体" w:hAnsi="Calibri" w:cs="宋体" w:hint="eastAsia"/>
          <w:szCs w:val="21"/>
          <w:lang w:eastAsia="zh-CN"/>
        </w:rPr>
        <w:t>该类</w:t>
      </w:r>
      <w:r>
        <w:rPr>
          <w:rFonts w:ascii="宋体" w:hAnsi="Calibri" w:cs="宋体"/>
          <w:szCs w:val="21"/>
          <w:lang w:eastAsia="zh-CN"/>
        </w:rPr>
        <w:t>基金</w:t>
      </w:r>
      <w:r>
        <w:rPr>
          <w:rFonts w:ascii="宋体" w:hAnsi="Calibri" w:cs="宋体" w:hint="eastAsia"/>
          <w:szCs w:val="21"/>
          <w:lang w:eastAsia="zh-CN"/>
        </w:rPr>
        <w:t>份额</w:t>
      </w:r>
      <w:r>
        <w:rPr>
          <w:rFonts w:ascii="宋体" w:hAnsi="Calibri" w:cs="宋体"/>
          <w:szCs w:val="21"/>
          <w:lang w:eastAsia="zh-CN"/>
        </w:rPr>
        <w:t>总份额</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本基金各类基金份额净值的计算，保留到小数点后</w:t>
      </w:r>
      <w:r>
        <w:rPr>
          <w:rFonts w:ascii="宋体" w:hAnsi="Calibri" w:cs="宋体"/>
          <w:szCs w:val="21"/>
          <w:highlight w:val="white"/>
          <w:lang w:eastAsia="zh-CN"/>
        </w:rPr>
        <w:t>4</w:t>
      </w:r>
      <w:r>
        <w:rPr>
          <w:rFonts w:ascii="宋体" w:hAnsi="Calibri" w:cs="宋体"/>
          <w:szCs w:val="21"/>
          <w:highlight w:val="white"/>
          <w:lang w:eastAsia="zh-CN"/>
        </w:rPr>
        <w:t>位，小数点后第</w:t>
      </w:r>
      <w:r>
        <w:rPr>
          <w:rFonts w:ascii="宋体" w:hAnsi="Calibri" w:cs="宋体"/>
          <w:szCs w:val="21"/>
          <w:highlight w:val="white"/>
          <w:lang w:eastAsia="zh-CN"/>
        </w:rPr>
        <w:t>5</w:t>
      </w:r>
      <w:r>
        <w:rPr>
          <w:rFonts w:ascii="宋体" w:hAnsi="Calibri" w:cs="宋体"/>
          <w:szCs w:val="21"/>
          <w:highlight w:val="white"/>
          <w:lang w:eastAsia="zh-CN"/>
        </w:rPr>
        <w:t>位四舍五入，由此产生的收益或损失由基金财产承担。遇特殊情况，经履行适当程序，可以适当延迟计算或公告。</w:t>
      </w:r>
    </w:p>
    <w:p w:rsidR="004A090B">
      <w:pPr>
        <w:spacing w:line="360" w:lineRule="auto"/>
        <w:ind w:firstLine="420"/>
        <w:rPr>
          <w:rStyle w:val="da"/>
          <w:rFonts w:ascii="宋体" w:hAnsi="Calibri" w:cs="宋体"/>
          <w:szCs w:val="21"/>
          <w:lang w:eastAsia="zh-CN"/>
        </w:rPr>
      </w:pPr>
      <w:bookmarkStart w:id="1808" w:name="_Toc332373510"/>
      <w:r>
        <w:rPr>
          <w:rStyle w:val="da"/>
          <w:rFonts w:ascii="宋体" w:hAnsi="Calibri" w:cs="宋体" w:hint="eastAsia"/>
          <w:szCs w:val="21"/>
          <w:lang w:eastAsia="zh-CN"/>
        </w:rPr>
        <w:t>九、申购和赎回的登记</w:t>
      </w:r>
    </w:p>
    <w:p w:rsidR="004A090B">
      <w:pPr>
        <w:spacing w:line="360" w:lineRule="auto"/>
        <w:ind w:firstLine="422"/>
        <w:rPr>
          <w:rStyle w:val="da"/>
          <w:rFonts w:ascii="宋体" w:hAnsi="Calibri" w:cs="宋体"/>
          <w:szCs w:val="21"/>
          <w:lang w:eastAsia="zh-CN"/>
        </w:rPr>
      </w:pPr>
      <w:r>
        <w:rPr>
          <w:rStyle w:val="da"/>
          <w:rFonts w:ascii="宋体" w:hAnsi="Calibri" w:cs="宋体" w:hint="eastAsia"/>
          <w:szCs w:val="21"/>
          <w:lang w:eastAsia="zh-CN"/>
        </w:rPr>
        <w:t>正常情况下，投资者</w:t>
      </w:r>
      <w:r>
        <w:rPr>
          <w:rStyle w:val="da"/>
          <w:rFonts w:ascii="宋体" w:hAnsi="Calibri" w:cs="宋体"/>
          <w:szCs w:val="21"/>
          <w:lang w:eastAsia="zh-CN"/>
        </w:rPr>
        <w:t>T</w:t>
      </w:r>
      <w:r>
        <w:rPr>
          <w:rStyle w:val="da"/>
          <w:rFonts w:ascii="宋体" w:hAnsi="Calibri" w:cs="宋体" w:hint="eastAsia"/>
          <w:szCs w:val="21"/>
          <w:lang w:eastAsia="zh-CN"/>
        </w:rPr>
        <w:t>日申购基金成功后，登记机构在</w:t>
      </w:r>
      <w:r>
        <w:rPr>
          <w:rStyle w:val="da"/>
          <w:rFonts w:ascii="宋体" w:hAnsi="Calibri" w:cs="宋体"/>
          <w:szCs w:val="21"/>
          <w:lang w:eastAsia="zh-CN"/>
        </w:rPr>
        <w:t>T+1</w:t>
      </w:r>
      <w:r>
        <w:rPr>
          <w:rStyle w:val="da"/>
          <w:rFonts w:ascii="宋体" w:hAnsi="Calibri" w:cs="宋体" w:hint="eastAsia"/>
          <w:szCs w:val="21"/>
          <w:lang w:eastAsia="zh-CN"/>
        </w:rPr>
        <w:t>日为投资者增加权益并办理登记手续。</w:t>
      </w:r>
    </w:p>
    <w:p w:rsidR="004A090B">
      <w:pPr>
        <w:spacing w:line="360" w:lineRule="auto"/>
        <w:ind w:firstLine="422"/>
        <w:rPr>
          <w:rStyle w:val="da"/>
          <w:rFonts w:ascii="宋体" w:hAnsi="Calibri" w:cs="宋体"/>
          <w:szCs w:val="21"/>
          <w:lang w:eastAsia="zh-CN"/>
        </w:rPr>
      </w:pPr>
      <w:r>
        <w:rPr>
          <w:rStyle w:val="da"/>
          <w:rFonts w:ascii="宋体" w:hAnsi="Calibri" w:cs="宋体" w:hint="eastAsia"/>
          <w:szCs w:val="21"/>
          <w:lang w:eastAsia="zh-CN"/>
        </w:rPr>
        <w:t>基金份额持有人</w:t>
      </w:r>
      <w:r>
        <w:rPr>
          <w:rStyle w:val="da"/>
          <w:rFonts w:ascii="宋体" w:hAnsi="Calibri" w:cs="宋体"/>
          <w:szCs w:val="21"/>
          <w:lang w:eastAsia="zh-CN"/>
        </w:rPr>
        <w:t>T</w:t>
      </w:r>
      <w:r>
        <w:rPr>
          <w:rStyle w:val="da"/>
          <w:rFonts w:ascii="宋体" w:hAnsi="Calibri" w:cs="宋体" w:hint="eastAsia"/>
          <w:szCs w:val="21"/>
          <w:lang w:eastAsia="zh-CN"/>
        </w:rPr>
        <w:t>日赎回基金成功后，正常情况下，登记机构在</w:t>
      </w:r>
      <w:r>
        <w:rPr>
          <w:rStyle w:val="da"/>
          <w:rFonts w:ascii="宋体" w:hAnsi="Calibri" w:cs="宋体"/>
          <w:szCs w:val="21"/>
          <w:lang w:eastAsia="zh-CN"/>
        </w:rPr>
        <w:t>T+1</w:t>
      </w:r>
      <w:r>
        <w:rPr>
          <w:rStyle w:val="da"/>
          <w:rFonts w:ascii="宋体" w:hAnsi="Calibri" w:cs="宋体" w:hint="eastAsia"/>
          <w:szCs w:val="21"/>
          <w:lang w:eastAsia="zh-CN"/>
        </w:rPr>
        <w:t>日为其办理扣除权益的登记手续。</w:t>
      </w:r>
    </w:p>
    <w:p w:rsidR="004A090B">
      <w:pPr>
        <w:spacing w:line="360" w:lineRule="auto"/>
        <w:ind w:firstLine="422"/>
        <w:rPr>
          <w:rStyle w:val="da"/>
          <w:rFonts w:ascii="宋体" w:hAnsi="Calibri" w:cs="宋体"/>
          <w:szCs w:val="21"/>
          <w:lang w:eastAsia="zh-CN"/>
        </w:rPr>
      </w:pPr>
      <w:r>
        <w:rPr>
          <w:rStyle w:val="da"/>
          <w:rFonts w:ascii="宋体" w:hAnsi="Calibri" w:cs="宋体" w:hint="eastAsia"/>
          <w:szCs w:val="21"/>
          <w:lang w:eastAsia="zh-CN"/>
        </w:rPr>
        <w:t>在不违反法律法规的前提下，登记机构可以对上述登记办理时间进行调整，基</w:t>
      </w:r>
      <w:r>
        <w:rPr>
          <w:rStyle w:val="da"/>
          <w:rFonts w:ascii="宋体" w:hAnsi="Calibri" w:cs="宋体" w:hint="eastAsia"/>
          <w:szCs w:val="21"/>
          <w:lang w:eastAsia="zh-CN"/>
        </w:rPr>
        <w:t>金管理人应于开始实施前依照《信息披露办法》的有关规定在规定媒介上公告。</w:t>
      </w:r>
      <w:bookmarkEnd w:id="1808"/>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十、拒绝或暂停申购的情形</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发生下列情况时，基金管理人可拒绝或暂停接受投资人的某一类或多类份额申购申请：</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1</w:t>
      </w:r>
      <w:r>
        <w:rPr>
          <w:rStyle w:val="da"/>
          <w:rFonts w:ascii="宋体" w:hAnsi="Calibri" w:cs="宋体" w:hint="eastAsia"/>
          <w:szCs w:val="21"/>
          <w:highlight w:val="white"/>
          <w:lang w:eastAsia="zh-CN"/>
        </w:rPr>
        <w:t>、因不可抗力导致基金无法正常运作。</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2</w:t>
      </w:r>
      <w:r>
        <w:rPr>
          <w:rStyle w:val="da"/>
          <w:rFonts w:ascii="宋体" w:hAnsi="Calibri" w:cs="宋体" w:hint="eastAsia"/>
          <w:szCs w:val="21"/>
          <w:highlight w:val="white"/>
          <w:lang w:eastAsia="zh-CN"/>
        </w:rPr>
        <w:t>、发生基金合同规定的暂停基金资产估值情况时。</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3</w:t>
      </w:r>
      <w:r>
        <w:rPr>
          <w:rStyle w:val="da"/>
          <w:rFonts w:ascii="宋体" w:hAnsi="Calibri" w:cs="宋体" w:hint="eastAsia"/>
          <w:szCs w:val="21"/>
          <w:highlight w:val="white"/>
          <w:lang w:eastAsia="zh-CN"/>
        </w:rPr>
        <w:t>、基金进行交易的主要证券</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期货交易市场交易时间非正常停市。</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4</w:t>
      </w:r>
      <w:r>
        <w:rPr>
          <w:rStyle w:val="da"/>
          <w:rFonts w:ascii="宋体" w:hAnsi="Calibri" w:cs="宋体" w:hint="eastAsia"/>
          <w:szCs w:val="21"/>
          <w:highlight w:val="white"/>
          <w:lang w:eastAsia="zh-CN"/>
        </w:rPr>
        <w:t>、基金管理人认为接受某笔或某些申购申请可能会影响或损害现有基金份额持有人利益时。</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5</w:t>
      </w:r>
      <w:r>
        <w:rPr>
          <w:rStyle w:val="da"/>
          <w:rFonts w:ascii="宋体" w:hAnsi="Calibri" w:cs="宋体" w:hint="eastAsia"/>
          <w:szCs w:val="21"/>
          <w:highlight w:val="white"/>
          <w:lang w:eastAsia="zh-CN"/>
        </w:rPr>
        <w:t>、基金资产规模过大，使基金管理人无法找到合适的投资品种，或其他可能对基金业绩产生负面影响，或基金管理人认定的其他损害现有基金份额持有人利益的情形。</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6</w:t>
      </w:r>
      <w:r>
        <w:rPr>
          <w:rStyle w:val="da"/>
          <w:rFonts w:ascii="宋体" w:hAnsi="Calibri" w:cs="宋体" w:hint="eastAsia"/>
          <w:szCs w:val="21"/>
          <w:highlight w:val="white"/>
          <w:lang w:eastAsia="zh-CN"/>
        </w:rPr>
        <w:t>、基金管理人、基金托管人、登记机构、销售机构、支付结算机构等因异常情况导致基金销售系统、基金销售支付结算系统、基金登记系统、基金会计系统等无法正常运行。</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7</w:t>
      </w:r>
      <w:r>
        <w:rPr>
          <w:rStyle w:val="da"/>
          <w:rFonts w:ascii="宋体" w:hAnsi="Calibri" w:cs="宋体" w:hint="eastAsia"/>
          <w:szCs w:val="21"/>
          <w:highlight w:val="white"/>
          <w:lang w:eastAsia="zh-CN"/>
        </w:rPr>
        <w:t>、当一笔新的申购申请被确认成功，使本基金总规模超过基金管理人规定的本基金总规模上限时；或使本基金单日申购金额或净申购比例超过基金管理人规定的当日申购金额或净申购比例上限时；或该投资人累计持有的份额超过单个</w:t>
      </w:r>
      <w:r>
        <w:rPr>
          <w:rStyle w:val="da"/>
          <w:rFonts w:ascii="宋体" w:hAnsi="Calibri" w:cs="宋体" w:hint="eastAsia"/>
          <w:szCs w:val="21"/>
          <w:highlight w:val="white"/>
          <w:lang w:eastAsia="zh-CN"/>
        </w:rPr>
        <w:t>投资人累计持有的份额上限时；或该投资人当日申购金额超过单个投资人单日或单笔申购金额上限时。</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8</w:t>
      </w:r>
      <w:r>
        <w:rPr>
          <w:rStyle w:val="da"/>
          <w:rFonts w:ascii="宋体" w:hAnsi="Calibri" w:cs="宋体" w:hint="eastAsia"/>
          <w:szCs w:val="21"/>
          <w:highlight w:val="white"/>
          <w:lang w:eastAsia="zh-CN"/>
        </w:rPr>
        <w:t>、当前一估值日基金资产净值</w:t>
      </w:r>
      <w:r>
        <w:rPr>
          <w:rStyle w:val="da"/>
          <w:rFonts w:ascii="宋体" w:hAnsi="Calibri" w:cs="宋体" w:hint="eastAsia"/>
          <w:szCs w:val="21"/>
          <w:highlight w:val="white"/>
          <w:lang w:eastAsia="zh-CN"/>
        </w:rPr>
        <w:t>50%</w:t>
      </w:r>
      <w:r>
        <w:rPr>
          <w:rStyle w:val="da"/>
          <w:rFonts w:ascii="宋体" w:hAnsi="Calibri" w:cs="宋体" w:hint="eastAsia"/>
          <w:szCs w:val="21"/>
          <w:highlight w:val="white"/>
          <w:lang w:eastAsia="zh-CN"/>
        </w:rPr>
        <w:t>以上的资产出现无可参考的活跃市场价格且采用估值技术仍导致公允价值存在重大不确定性时，经与基金托管人协商确认后，基金管理人应当暂停接受基金申购申请。</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9</w:t>
      </w:r>
      <w:r>
        <w:rPr>
          <w:rStyle w:val="da"/>
          <w:rFonts w:ascii="宋体" w:hAnsi="Calibri" w:cs="宋体" w:hint="eastAsia"/>
          <w:szCs w:val="21"/>
          <w:highlight w:val="white"/>
          <w:lang w:eastAsia="zh-CN"/>
        </w:rPr>
        <w:t>、目标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暂停估值，导致基金管理人无法计算当日基金资产净值。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10</w:t>
      </w:r>
      <w:r>
        <w:rPr>
          <w:rStyle w:val="da"/>
          <w:rFonts w:ascii="宋体" w:hAnsi="Calibri" w:cs="宋体" w:hint="eastAsia"/>
          <w:szCs w:val="21"/>
          <w:highlight w:val="white"/>
          <w:lang w:eastAsia="zh-CN"/>
        </w:rPr>
        <w:t>、目标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暂停申购、暂停上市或目标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停牌，基金管理人认为有必要暂停本基金申购的。</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11</w:t>
      </w:r>
      <w:r>
        <w:rPr>
          <w:rStyle w:val="da"/>
          <w:rFonts w:ascii="宋体" w:hAnsi="Calibri" w:cs="宋体" w:hint="eastAsia"/>
          <w:szCs w:val="21"/>
          <w:highlight w:val="white"/>
          <w:lang w:eastAsia="zh-CN"/>
        </w:rPr>
        <w:t>、法律法规规定或中国证监会认定的其他情形。</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发生上述第</w:t>
      </w:r>
      <w:r>
        <w:rPr>
          <w:rStyle w:val="da"/>
          <w:rFonts w:ascii="宋体" w:hAnsi="Calibri" w:cs="宋体" w:hint="eastAsia"/>
          <w:szCs w:val="21"/>
          <w:highlight w:val="white"/>
          <w:lang w:eastAsia="zh-CN"/>
        </w:rPr>
        <w:t>1</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2</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3</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5</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6</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7</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8</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9</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10</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11</w:t>
      </w:r>
      <w:r>
        <w:rPr>
          <w:rStyle w:val="da"/>
          <w:rFonts w:ascii="宋体" w:hAnsi="Calibri" w:cs="宋体" w:hint="eastAsia"/>
          <w:szCs w:val="21"/>
          <w:highlight w:val="white"/>
          <w:lang w:eastAsia="zh-CN"/>
        </w:rPr>
        <w:t>项情形且基金管理人决定暂停接受投资人申购申请时，基金管理人应当根据有关规定在规定媒介上刊登暂停申购公告。如果投资人的申购申请被拒绝，被拒绝的申购款项本金将退还给投资人。在暂停申购的情况消除时，基金管理人应及时恢复申购业务的办理。</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十一、暂停赎回或延缓支付赎回款项的情形</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发生下列情形时，基金管理人可暂停接受投资人的某一类或多类份额赎回申请或延缓支付赎回款项：</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1</w:t>
      </w:r>
      <w:r>
        <w:rPr>
          <w:rStyle w:val="da"/>
          <w:rFonts w:ascii="宋体" w:hAnsi="Calibri" w:cs="宋体" w:hint="eastAsia"/>
          <w:szCs w:val="21"/>
          <w:highlight w:val="white"/>
          <w:lang w:eastAsia="zh-CN"/>
        </w:rPr>
        <w:t>、因不可抗力导致基金管理人不能支付赎回款项。</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2</w:t>
      </w:r>
      <w:r>
        <w:rPr>
          <w:rStyle w:val="da"/>
          <w:rFonts w:ascii="宋体" w:hAnsi="Calibri" w:cs="宋体" w:hint="eastAsia"/>
          <w:szCs w:val="21"/>
          <w:highlight w:val="white"/>
          <w:lang w:eastAsia="zh-CN"/>
        </w:rPr>
        <w:t>、发生基金合同规定的暂停基金资产估值情况时。</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3</w:t>
      </w:r>
      <w:r>
        <w:rPr>
          <w:rStyle w:val="da"/>
          <w:rFonts w:ascii="宋体" w:hAnsi="Calibri" w:cs="宋体" w:hint="eastAsia"/>
          <w:szCs w:val="21"/>
          <w:highlight w:val="white"/>
          <w:lang w:eastAsia="zh-CN"/>
        </w:rPr>
        <w:t>、基金进行交易的主要证券</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期货交易</w:t>
      </w:r>
      <w:r>
        <w:rPr>
          <w:rStyle w:val="da"/>
          <w:rFonts w:ascii="宋体" w:hAnsi="Calibri" w:cs="宋体" w:hint="eastAsia"/>
          <w:szCs w:val="21"/>
          <w:highlight w:val="white"/>
          <w:lang w:eastAsia="zh-CN"/>
        </w:rPr>
        <w:t>市场交易时间非正常停市。</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4</w:t>
      </w:r>
      <w:r>
        <w:rPr>
          <w:rStyle w:val="da"/>
          <w:rFonts w:ascii="宋体" w:hAnsi="Calibri" w:cs="宋体" w:hint="eastAsia"/>
          <w:szCs w:val="21"/>
          <w:highlight w:val="white"/>
          <w:lang w:eastAsia="zh-CN"/>
        </w:rPr>
        <w:t>、连续两个或两个以上开放日发生巨额赎回。</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5</w:t>
      </w:r>
      <w:r>
        <w:rPr>
          <w:rStyle w:val="da"/>
          <w:rFonts w:ascii="宋体" w:hAnsi="Calibri" w:cs="宋体" w:hint="eastAsia"/>
          <w:szCs w:val="21"/>
          <w:highlight w:val="white"/>
          <w:lang w:eastAsia="zh-CN"/>
        </w:rPr>
        <w:t>、发生继续接受赎回申请将损害现有基金份额持有人利益的情形时，基金管理人可暂停接受基金份额持有人的赎回申请。</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6</w:t>
      </w:r>
      <w:r>
        <w:rPr>
          <w:rStyle w:val="da"/>
          <w:rFonts w:ascii="宋体" w:hAnsi="Calibri" w:cs="宋体" w:hint="eastAsia"/>
          <w:szCs w:val="21"/>
          <w:highlight w:val="white"/>
          <w:lang w:eastAsia="zh-CN"/>
        </w:rPr>
        <w:t>、当前一估值日基金资产净值</w:t>
      </w:r>
      <w:r>
        <w:rPr>
          <w:rStyle w:val="da"/>
          <w:rFonts w:ascii="宋体" w:hAnsi="Calibri" w:cs="宋体" w:hint="eastAsia"/>
          <w:szCs w:val="21"/>
          <w:highlight w:val="white"/>
          <w:lang w:eastAsia="zh-CN"/>
        </w:rPr>
        <w:t>50%</w:t>
      </w:r>
      <w:r>
        <w:rPr>
          <w:rStyle w:val="da"/>
          <w:rFonts w:ascii="宋体" w:hAnsi="Calibri" w:cs="宋体" w:hint="eastAsia"/>
          <w:szCs w:val="21"/>
          <w:highlight w:val="white"/>
          <w:lang w:eastAsia="zh-CN"/>
        </w:rPr>
        <w:t>以上的资产出现无可参考的活跃市场价格且采用估值技术仍导致公允价值存在重大不确定性时，经与基金托管人协商确认后，基金管理人应当延缓支付赎回款项或暂停接受基金赎回申请。</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7</w:t>
      </w:r>
      <w:r>
        <w:rPr>
          <w:rStyle w:val="da"/>
          <w:rFonts w:ascii="宋体" w:hAnsi="Calibri" w:cs="宋体" w:hint="eastAsia"/>
          <w:szCs w:val="21"/>
          <w:highlight w:val="white"/>
          <w:lang w:eastAsia="zh-CN"/>
        </w:rPr>
        <w:t>、本基金的资产组合中的重要部分发生暂停交易或其他重大事件，继续接受赎回可能会影响或损害基金份额持有人利益时。</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8</w:t>
      </w:r>
      <w:r>
        <w:rPr>
          <w:rStyle w:val="da"/>
          <w:rFonts w:ascii="宋体" w:hAnsi="Calibri" w:cs="宋体" w:hint="eastAsia"/>
          <w:szCs w:val="21"/>
          <w:highlight w:val="white"/>
          <w:lang w:eastAsia="zh-CN"/>
        </w:rPr>
        <w:t>、目标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暂停估值，导致基金管理人无法计算当日基金资产净值。</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9</w:t>
      </w:r>
      <w:r>
        <w:rPr>
          <w:rStyle w:val="da"/>
          <w:rFonts w:ascii="宋体" w:hAnsi="Calibri" w:cs="宋体" w:hint="eastAsia"/>
          <w:szCs w:val="21"/>
          <w:highlight w:val="white"/>
          <w:lang w:eastAsia="zh-CN"/>
        </w:rPr>
        <w:t>、目标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暂停赎回、暂停上市或目标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停牌，基金管理人认为有必要暂停本基金赎回的。</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1</w:t>
      </w:r>
      <w:r>
        <w:rPr>
          <w:rStyle w:val="da"/>
          <w:rFonts w:ascii="宋体" w:hAnsi="Calibri" w:cs="宋体"/>
          <w:szCs w:val="21"/>
          <w:highlight w:val="white"/>
          <w:lang w:eastAsia="zh-CN"/>
        </w:rPr>
        <w:t>0</w:t>
      </w:r>
      <w:r>
        <w:rPr>
          <w:rStyle w:val="da"/>
          <w:rFonts w:ascii="宋体" w:hAnsi="Calibri" w:cs="宋体" w:hint="eastAsia"/>
          <w:szCs w:val="21"/>
          <w:highlight w:val="white"/>
          <w:lang w:eastAsia="zh-CN"/>
        </w:rPr>
        <w:t>、法律法规规定或中国证监会认定的其他情形。</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发生上述情形之一且基金管理人决定暂停赎回或延缓支付赎回款项时，基金管理人应按规定报中国证监会备案。若出现上述第</w:t>
      </w:r>
      <w:r>
        <w:rPr>
          <w:rStyle w:val="da"/>
          <w:rFonts w:ascii="宋体" w:hAnsi="Calibri" w:cs="宋体" w:hint="eastAsia"/>
          <w:szCs w:val="21"/>
          <w:highlight w:val="white"/>
          <w:lang w:eastAsia="zh-CN"/>
        </w:rPr>
        <w:t>4</w:t>
      </w:r>
      <w:r>
        <w:rPr>
          <w:rStyle w:val="da"/>
          <w:rFonts w:ascii="宋体" w:hAnsi="Calibri" w:cs="宋体" w:hint="eastAsia"/>
          <w:szCs w:val="21"/>
          <w:highlight w:val="white"/>
          <w:lang w:eastAsia="zh-CN"/>
        </w:rPr>
        <w:t>项所述情形，按基金合同的相关条款处理。基金份额持有人在申请赎回时可事先选择将当日可能未获受理部分予以撤销。在暂停赎回的情况消除时，基金管理人应及时恢复赎回业务的办理。</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十二、巨额赎回的情形及处理方式</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w:t>
      </w:r>
      <w:r>
        <w:rPr>
          <w:rStyle w:val="da"/>
          <w:rFonts w:ascii="宋体" w:hAnsi="Calibri" w:cs="宋体"/>
          <w:szCs w:val="21"/>
          <w:highlight w:val="white"/>
          <w:lang w:eastAsia="zh-CN"/>
        </w:rPr>
        <w:t>、巨额赎回的认定</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若本基金单个开放日内的基金份额净赎回申请（赎回申请份额总数加上基金转换中转出申请份额总数后扣除申购申请份额总数及基金转换中转入申请份额总数后的余额）超过前一开放日的基金总份额的</w:t>
      </w:r>
      <w:r>
        <w:rPr>
          <w:rStyle w:val="da"/>
          <w:rFonts w:ascii="宋体" w:hAnsi="Calibri" w:cs="宋体"/>
          <w:szCs w:val="21"/>
          <w:highlight w:val="white"/>
          <w:lang w:eastAsia="zh-CN"/>
        </w:rPr>
        <w:t>10</w:t>
      </w:r>
      <w:r>
        <w:rPr>
          <w:rStyle w:val="da"/>
          <w:rFonts w:ascii="宋体" w:hAnsi="Calibri" w:cs="宋体"/>
          <w:szCs w:val="21"/>
          <w:highlight w:val="white"/>
          <w:lang w:eastAsia="zh-CN"/>
        </w:rPr>
        <w:t>%</w:t>
      </w:r>
      <w:r>
        <w:rPr>
          <w:rStyle w:val="da"/>
          <w:rFonts w:ascii="宋体" w:hAnsi="Calibri" w:cs="宋体"/>
          <w:szCs w:val="21"/>
          <w:highlight w:val="white"/>
          <w:lang w:eastAsia="zh-CN"/>
        </w:rPr>
        <w:t>，即认为是发生了巨额赎回。</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w:t>
      </w:r>
      <w:r>
        <w:rPr>
          <w:rStyle w:val="da"/>
          <w:rFonts w:ascii="宋体" w:hAnsi="Calibri" w:cs="宋体"/>
          <w:szCs w:val="21"/>
          <w:highlight w:val="white"/>
          <w:lang w:eastAsia="zh-CN"/>
        </w:rPr>
        <w:t>、巨额赎回的处理方式</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当基金出现巨额赎回时，基金管理人可以根据基金当时的资产组合状况决定全额赎回或部分延期赎回。</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1</w:t>
      </w:r>
      <w:r>
        <w:rPr>
          <w:rStyle w:val="da"/>
          <w:rFonts w:ascii="宋体" w:hAnsi="Calibri" w:cs="宋体"/>
          <w:szCs w:val="21"/>
          <w:highlight w:val="white"/>
          <w:lang w:eastAsia="zh-CN"/>
        </w:rPr>
        <w:t>）全额赎回：当基金管理人认为有能力支付投资人的全部赎回申请时，按正常赎回程序执行。</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2</w:t>
      </w:r>
      <w:r>
        <w:rPr>
          <w:rStyle w:val="da"/>
          <w:rFonts w:ascii="宋体" w:hAnsi="Calibri" w:cs="宋体"/>
          <w:szCs w:val="21"/>
          <w:highlight w:val="white"/>
          <w:lang w:eastAsia="zh-CN"/>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Style w:val="da"/>
          <w:rFonts w:ascii="宋体" w:hAnsi="Calibri" w:cs="宋体"/>
          <w:szCs w:val="21"/>
          <w:highlight w:val="white"/>
          <w:lang w:eastAsia="zh-CN"/>
        </w:rPr>
        <w:t>10%</w:t>
      </w:r>
      <w:r>
        <w:rPr>
          <w:rStyle w:val="da"/>
          <w:rFonts w:ascii="宋体" w:hAnsi="Calibri" w:cs="宋体"/>
          <w:szCs w:val="21"/>
          <w:highlight w:val="white"/>
          <w:lang w:eastAsia="zh-CN"/>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w:t>
      </w:r>
      <w:r>
        <w:rPr>
          <w:rStyle w:val="da"/>
          <w:rFonts w:ascii="宋体" w:hAnsi="Calibri" w:cs="宋体"/>
          <w:szCs w:val="21"/>
          <w:highlight w:val="white"/>
          <w:lang w:eastAsia="zh-CN"/>
        </w:rPr>
        <w:t>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若本基金发生巨额赎回且单个基金份额持有人的赎回申请超过上一开放日基金总份额</w:t>
      </w:r>
      <w:r>
        <w:rPr>
          <w:rStyle w:val="da"/>
          <w:rFonts w:ascii="宋体" w:hAnsi="Calibri" w:cs="宋体"/>
          <w:szCs w:val="21"/>
          <w:highlight w:val="white"/>
          <w:lang w:eastAsia="zh-CN"/>
        </w:rPr>
        <w:t>10%</w:t>
      </w:r>
      <w:r>
        <w:rPr>
          <w:rStyle w:val="da"/>
          <w:rFonts w:ascii="宋体" w:hAnsi="Calibri" w:cs="宋体"/>
          <w:szCs w:val="21"/>
          <w:highlight w:val="white"/>
          <w:lang w:eastAsia="zh-CN"/>
        </w:rPr>
        <w:t>的，基金管理人有权对该单个基金份额持有人超出该比例的赎回申请实施延期办理；对该单个基金份额持有人剩余赎回申请，基金管理人可以根据前款</w:t>
      </w:r>
      <w:r>
        <w:rPr>
          <w:rStyle w:val="da"/>
          <w:rFonts w:ascii="宋体" w:hAnsi="Calibri" w:cs="宋体"/>
          <w:szCs w:val="21"/>
          <w:highlight w:val="white"/>
          <w:lang w:eastAsia="zh-CN"/>
        </w:rPr>
        <w:t>“</w:t>
      </w:r>
      <w:r>
        <w:rPr>
          <w:rStyle w:val="da"/>
          <w:rFonts w:ascii="宋体" w:hAnsi="Calibri" w:cs="宋体"/>
          <w:szCs w:val="21"/>
          <w:highlight w:val="white"/>
          <w:lang w:eastAsia="zh-CN"/>
        </w:rPr>
        <w:t>（</w:t>
      </w:r>
      <w:r>
        <w:rPr>
          <w:rStyle w:val="da"/>
          <w:rFonts w:ascii="宋体" w:hAnsi="Calibri" w:cs="宋体"/>
          <w:szCs w:val="21"/>
          <w:highlight w:val="white"/>
          <w:lang w:eastAsia="zh-CN"/>
        </w:rPr>
        <w:t>1</w:t>
      </w:r>
      <w:r>
        <w:rPr>
          <w:rStyle w:val="da"/>
          <w:rFonts w:ascii="宋体" w:hAnsi="Calibri" w:cs="宋体"/>
          <w:szCs w:val="21"/>
          <w:highlight w:val="white"/>
          <w:lang w:eastAsia="zh-CN"/>
        </w:rPr>
        <w:t>）全额赎回</w:t>
      </w:r>
      <w:r>
        <w:rPr>
          <w:rStyle w:val="da"/>
          <w:rFonts w:ascii="宋体" w:hAnsi="Calibri" w:cs="宋体"/>
          <w:szCs w:val="21"/>
          <w:highlight w:val="white"/>
          <w:lang w:eastAsia="zh-CN"/>
        </w:rPr>
        <w:t>”</w:t>
      </w:r>
      <w:r>
        <w:rPr>
          <w:rStyle w:val="da"/>
          <w:rFonts w:ascii="宋体" w:hAnsi="Calibri" w:cs="宋体"/>
          <w:szCs w:val="21"/>
          <w:highlight w:val="white"/>
          <w:lang w:eastAsia="zh-CN"/>
        </w:rPr>
        <w:t>或</w:t>
      </w:r>
      <w:r>
        <w:rPr>
          <w:rStyle w:val="da"/>
          <w:rFonts w:ascii="宋体" w:hAnsi="Calibri" w:cs="宋体"/>
          <w:szCs w:val="21"/>
          <w:highlight w:val="white"/>
          <w:lang w:eastAsia="zh-CN"/>
        </w:rPr>
        <w:t>“</w:t>
      </w:r>
      <w:r>
        <w:rPr>
          <w:rStyle w:val="da"/>
          <w:rFonts w:ascii="宋体" w:hAnsi="Calibri" w:cs="宋体"/>
          <w:szCs w:val="21"/>
          <w:highlight w:val="white"/>
          <w:lang w:eastAsia="zh-CN"/>
        </w:rPr>
        <w:t>（</w:t>
      </w:r>
      <w:r>
        <w:rPr>
          <w:rStyle w:val="da"/>
          <w:rFonts w:ascii="宋体" w:hAnsi="Calibri" w:cs="宋体"/>
          <w:szCs w:val="21"/>
          <w:highlight w:val="white"/>
          <w:lang w:eastAsia="zh-CN"/>
        </w:rPr>
        <w:t>2</w:t>
      </w:r>
      <w:r>
        <w:rPr>
          <w:rStyle w:val="da"/>
          <w:rFonts w:ascii="宋体" w:hAnsi="Calibri" w:cs="宋体"/>
          <w:szCs w:val="21"/>
          <w:highlight w:val="white"/>
          <w:lang w:eastAsia="zh-CN"/>
        </w:rPr>
        <w:t>）部分延期赎回</w:t>
      </w:r>
      <w:r>
        <w:rPr>
          <w:rStyle w:val="da"/>
          <w:rFonts w:ascii="宋体" w:hAnsi="Calibri" w:cs="宋体"/>
          <w:szCs w:val="21"/>
          <w:highlight w:val="white"/>
          <w:lang w:eastAsia="zh-CN"/>
        </w:rPr>
        <w:t>”</w:t>
      </w:r>
      <w:r>
        <w:rPr>
          <w:rStyle w:val="da"/>
          <w:rFonts w:ascii="宋体" w:hAnsi="Calibri" w:cs="宋体"/>
          <w:szCs w:val="21"/>
          <w:highlight w:val="white"/>
          <w:lang w:eastAsia="zh-CN"/>
        </w:rPr>
        <w:t>约定的方式与其他账户的赎回申请一并办</w:t>
      </w:r>
      <w:r>
        <w:rPr>
          <w:rStyle w:val="da"/>
          <w:rFonts w:ascii="宋体" w:hAnsi="Calibri" w:cs="宋体"/>
          <w:szCs w:val="21"/>
          <w:highlight w:val="white"/>
          <w:lang w:eastAsia="zh-CN"/>
        </w:rPr>
        <w:t>理。</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3</w:t>
      </w:r>
      <w:r>
        <w:rPr>
          <w:rStyle w:val="da"/>
          <w:rFonts w:ascii="宋体" w:hAnsi="Calibri" w:cs="宋体"/>
          <w:szCs w:val="21"/>
          <w:highlight w:val="white"/>
          <w:lang w:eastAsia="zh-CN"/>
        </w:rPr>
        <w:t>）暂停赎回：连续</w:t>
      </w:r>
      <w:r>
        <w:rPr>
          <w:rStyle w:val="da"/>
          <w:rFonts w:ascii="宋体" w:hAnsi="Calibri" w:cs="宋体"/>
          <w:szCs w:val="21"/>
          <w:highlight w:val="white"/>
          <w:lang w:eastAsia="zh-CN"/>
        </w:rPr>
        <w:t>2</w:t>
      </w:r>
      <w:r>
        <w:rPr>
          <w:rStyle w:val="da"/>
          <w:rFonts w:ascii="宋体" w:hAnsi="Calibri" w:cs="宋体"/>
          <w:szCs w:val="21"/>
          <w:highlight w:val="white"/>
          <w:lang w:eastAsia="zh-CN"/>
        </w:rPr>
        <w:t>个开放日以上（含本数）发生巨额赎回，如基金管理人认为有必要，可暂停接受基金的赎回申请；已经接受的赎回申请可以延缓支付赎回款项，但不得超过</w:t>
      </w:r>
      <w:r>
        <w:rPr>
          <w:rStyle w:val="da"/>
          <w:rFonts w:ascii="宋体" w:hAnsi="Calibri" w:cs="宋体"/>
          <w:szCs w:val="21"/>
          <w:highlight w:val="white"/>
          <w:lang w:eastAsia="zh-CN"/>
        </w:rPr>
        <w:t>20</w:t>
      </w:r>
      <w:r>
        <w:rPr>
          <w:rStyle w:val="da"/>
          <w:rFonts w:ascii="宋体" w:hAnsi="Calibri" w:cs="宋体"/>
          <w:szCs w:val="21"/>
          <w:highlight w:val="white"/>
          <w:lang w:eastAsia="zh-CN"/>
        </w:rPr>
        <w:t>个工作日，并应当在规定媒介上进行公告。</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3</w:t>
      </w:r>
      <w:r>
        <w:rPr>
          <w:rStyle w:val="da"/>
          <w:rFonts w:ascii="宋体" w:hAnsi="Calibri" w:cs="宋体"/>
          <w:szCs w:val="21"/>
          <w:highlight w:val="white"/>
          <w:lang w:eastAsia="zh-CN"/>
        </w:rPr>
        <w:t>、巨额赎回的公告</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当发生上述巨额赎回并延期办理时，基金管理人应当通过邮寄、传真或者招募说明书规定的其他方式在</w:t>
      </w:r>
      <w:r>
        <w:rPr>
          <w:rStyle w:val="da"/>
          <w:rFonts w:ascii="宋体" w:hAnsi="Calibri" w:cs="宋体"/>
          <w:szCs w:val="21"/>
          <w:highlight w:val="white"/>
          <w:lang w:eastAsia="zh-CN"/>
        </w:rPr>
        <w:t>3</w:t>
      </w:r>
      <w:r>
        <w:rPr>
          <w:rStyle w:val="da"/>
          <w:rFonts w:ascii="宋体" w:hAnsi="Calibri" w:cs="宋体"/>
          <w:szCs w:val="21"/>
          <w:highlight w:val="white"/>
          <w:lang w:eastAsia="zh-CN"/>
        </w:rPr>
        <w:t>个交易日内通知基金份额持有人，说明有关处理方法，并在</w:t>
      </w:r>
      <w:r>
        <w:rPr>
          <w:rStyle w:val="da"/>
          <w:rFonts w:ascii="宋体" w:hAnsi="Calibri" w:cs="宋体"/>
          <w:szCs w:val="21"/>
          <w:highlight w:val="white"/>
          <w:lang w:eastAsia="zh-CN"/>
        </w:rPr>
        <w:t>2</w:t>
      </w:r>
      <w:r>
        <w:rPr>
          <w:rStyle w:val="da"/>
          <w:rFonts w:ascii="宋体" w:hAnsi="Calibri" w:cs="宋体"/>
          <w:szCs w:val="21"/>
          <w:highlight w:val="white"/>
          <w:lang w:eastAsia="zh-CN"/>
        </w:rPr>
        <w:t>日内在规定媒介上刊登公告。</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十三、暂停申购或赎回的公告和重新开放申购或赎回的公告</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w:t>
      </w:r>
      <w:r>
        <w:rPr>
          <w:rStyle w:val="da"/>
          <w:rFonts w:ascii="宋体" w:hAnsi="Calibri" w:cs="宋体"/>
          <w:szCs w:val="21"/>
          <w:highlight w:val="white"/>
          <w:lang w:eastAsia="zh-CN"/>
        </w:rPr>
        <w:t>、发生上述暂停申购或赎回情况的，基金管理人应在规定期限</w:t>
      </w:r>
      <w:r>
        <w:rPr>
          <w:rStyle w:val="da"/>
          <w:rFonts w:ascii="宋体" w:hAnsi="Calibri" w:cs="宋体"/>
          <w:szCs w:val="21"/>
          <w:highlight w:val="white"/>
          <w:lang w:eastAsia="zh-CN"/>
        </w:rPr>
        <w:t>内在规定媒介上刊登暂停公告。</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w:t>
      </w:r>
      <w:r>
        <w:rPr>
          <w:rStyle w:val="da"/>
          <w:rFonts w:ascii="宋体" w:hAnsi="Calibri" w:cs="宋体"/>
          <w:szCs w:val="21"/>
          <w:highlight w:val="white"/>
          <w:lang w:eastAsia="zh-CN"/>
        </w:rPr>
        <w:t>、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rsidR="004A090B">
      <w:pPr>
        <w:spacing w:line="360" w:lineRule="auto"/>
        <w:ind w:firstLine="420"/>
        <w:rPr>
          <w:rStyle w:val="da"/>
          <w:rFonts w:ascii="宋体" w:hAnsi="Calibri" w:cs="宋体"/>
          <w:szCs w:val="21"/>
          <w:lang w:eastAsia="zh-CN"/>
        </w:rPr>
      </w:pPr>
      <w:bookmarkStart w:id="1809" w:name="_Hlt70481650"/>
      <w:bookmarkEnd w:id="1809"/>
      <w:r>
        <w:rPr>
          <w:rStyle w:val="da"/>
          <w:rFonts w:ascii="宋体" w:hAnsi="Calibri" w:cs="宋体" w:hint="eastAsia"/>
          <w:szCs w:val="21"/>
          <w:lang w:eastAsia="zh-CN"/>
        </w:rPr>
        <w:t>十四、基金份额折算</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在对基金份额持有人利益无实质不利影响的前提下，基金管理人经与基金托管人协商一致，可对基金份额进行折算，不需召开基金份额持有人大会审议。</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十五、实施侧袋机制期间本基金的申购与赎回</w:t>
      </w:r>
    </w:p>
    <w:p w:rsidR="004A090B">
      <w:pPr>
        <w:spacing w:line="360" w:lineRule="auto"/>
        <w:ind w:firstLine="420"/>
        <w:rPr>
          <w:rFonts w:ascii="宋体" w:hAnsi="Calibri" w:cs="宋体"/>
          <w:szCs w:val="21"/>
          <w:lang w:eastAsia="zh-CN"/>
        </w:rPr>
      </w:pPr>
      <w:r>
        <w:rPr>
          <w:rStyle w:val="da"/>
          <w:rFonts w:ascii="宋体" w:hAnsi="Calibri" w:cs="宋体" w:hint="eastAsia"/>
          <w:szCs w:val="21"/>
          <w:highlight w:val="white"/>
          <w:lang w:eastAsia="zh-CN"/>
        </w:rPr>
        <w:t>本基金实施侧袋机制的，本基金的申购和赎回安排</w:t>
      </w:r>
      <w:r>
        <w:rPr>
          <w:rStyle w:val="da"/>
          <w:rFonts w:ascii="宋体" w:hAnsi="Calibri" w:cs="宋体" w:hint="eastAsia"/>
          <w:szCs w:val="21"/>
          <w:lang w:eastAsia="zh-CN"/>
        </w:rPr>
        <w:t>详见本招募说</w:t>
      </w:r>
      <w:r>
        <w:rPr>
          <w:rStyle w:val="da"/>
          <w:rFonts w:ascii="宋体" w:hAnsi="Calibri" w:cs="宋体" w:hint="eastAsia"/>
          <w:szCs w:val="21"/>
          <w:lang w:eastAsia="zh-CN"/>
        </w:rPr>
        <w:t>明书“侧袋机制”部分的规定或相关公告。</w:t>
      </w:r>
    </w:p>
    <w:p w:rsidR="004A090B">
      <w:pPr>
        <w:widowControl/>
        <w:jc w:val="left"/>
        <w:rPr>
          <w:rFonts w:ascii="宋体" w:hAnsi="Calibri" w:cs="宋体"/>
          <w:sz w:val="30"/>
          <w:szCs w:val="32"/>
          <w:lang w:eastAsia="zh-CN"/>
        </w:rPr>
      </w:pPr>
      <w:r>
        <w:rPr>
          <w:rFonts w:ascii="宋体" w:hAnsi="Calibri" w:cs="宋体"/>
          <w:sz w:val="30"/>
          <w:lang w:eastAsia="zh-CN"/>
        </w:rPr>
        <w:br w:type="page"/>
      </w:r>
    </w:p>
    <w:p w:rsidR="004A090B">
      <w:pPr>
        <w:pStyle w:val="Heading1"/>
        <w:spacing w:before="317" w:after="317" w:line="320" w:lineRule="exact"/>
        <w:ind w:firstLine="600"/>
        <w:rPr>
          <w:rFonts w:ascii="宋体" w:eastAsia="宋体" w:hAnsi="Calibri" w:cs="宋体"/>
          <w:sz w:val="30"/>
          <w:szCs w:val="30"/>
          <w:lang w:eastAsia="zh-CN"/>
        </w:rPr>
      </w:pPr>
      <w:bookmarkStart w:id="1810" w:name="_Toc129511532"/>
      <w:r>
        <w:rPr>
          <w:rFonts w:ascii="宋体" w:eastAsia="宋体" w:hAnsi="Calibri" w:cs="宋体"/>
          <w:sz w:val="30"/>
          <w:szCs w:val="30"/>
          <w:lang w:eastAsia="zh-CN"/>
        </w:rPr>
        <w:t>第十部分</w:t>
      </w:r>
      <w:r>
        <w:rPr>
          <w:rFonts w:ascii="宋体" w:eastAsia="宋体" w:hAnsi="Calibri" w:cs="宋体"/>
          <w:sz w:val="30"/>
          <w:szCs w:val="30"/>
          <w:lang w:eastAsia="zh-CN"/>
        </w:rPr>
        <w:t xml:space="preserve"> </w:t>
      </w:r>
      <w:r>
        <w:rPr>
          <w:rFonts w:ascii="宋体" w:eastAsia="宋体" w:hAnsi="Calibri" w:cs="宋体" w:hint="eastAsia"/>
          <w:sz w:val="30"/>
          <w:szCs w:val="30"/>
          <w:lang w:eastAsia="zh-CN"/>
        </w:rPr>
        <w:t>基金转换和定期定额投资计划</w:t>
      </w:r>
      <w:bookmarkEnd w:id="1810"/>
    </w:p>
    <w:p w:rsidR="004A090B">
      <w:pPr>
        <w:spacing w:line="360" w:lineRule="auto"/>
        <w:ind w:firstLine="420"/>
        <w:rPr>
          <w:rStyle w:val="da"/>
          <w:rFonts w:ascii="宋体" w:hAnsi="Calibri" w:cs="宋体"/>
          <w:lang w:eastAsia="zh-CN"/>
        </w:rPr>
      </w:pPr>
      <w:bookmarkStart w:id="1811" w:name="_Toc332373517"/>
      <w:r>
        <w:rPr>
          <w:rStyle w:val="da"/>
          <w:rFonts w:ascii="宋体" w:hAnsi="Calibri" w:cs="宋体" w:hint="eastAsia"/>
          <w:lang w:eastAsia="zh-CN"/>
        </w:rPr>
        <w:t>一、基金转换</w:t>
      </w:r>
      <w:bookmarkEnd w:id="1811"/>
    </w:p>
    <w:p w:rsidR="004A090B">
      <w:pPr>
        <w:spacing w:line="360" w:lineRule="auto"/>
        <w:ind w:firstLine="420"/>
        <w:rPr>
          <w:rStyle w:val="da"/>
          <w:rFonts w:ascii="宋体" w:hAnsi="Calibri" w:cs="宋体"/>
          <w:lang w:eastAsia="zh-CN"/>
        </w:rPr>
      </w:pPr>
      <w:r>
        <w:rPr>
          <w:rStyle w:val="da"/>
          <w:rFonts w:ascii="宋体" w:hAnsi="Calibri" w:cs="宋体" w:hint="eastAsia"/>
          <w:highlight w:val="white"/>
          <w:lang w:eastAsia="zh-CN"/>
        </w:rPr>
        <w:t>基金管理人可以根据相关法律法规以及基金合同的规定决定开办基金转换业务，基金转换可以收取一定的转换费，相关规则由基金管理人届时根据相关法律法规及基金合同的规定制定并公告，并提前告知基金托管人与相关机构。</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二、定期定额投资计划</w:t>
      </w:r>
    </w:p>
    <w:p w:rsidR="004A090B">
      <w:pPr>
        <w:spacing w:line="360" w:lineRule="auto"/>
        <w:ind w:firstLine="420"/>
        <w:rPr>
          <w:rStyle w:val="da"/>
          <w:rFonts w:ascii="宋体" w:hAnsi="Calibri"/>
          <w:lang w:eastAsia="zh-CN"/>
        </w:rPr>
      </w:pPr>
      <w:r>
        <w:rPr>
          <w:rStyle w:val="da"/>
          <w:rFonts w:ascii="宋体" w:hAnsi="Calibri" w:hint="eastAsia"/>
          <w:lang w:eastAsia="zh-CN"/>
        </w:rPr>
        <w:t>基金管理人可利用非直销销售机构网点和本公司网上直销系统为投资者提供定期定额投资的服务（本公司网上直销系统的定期定额投资服务目前仅对个人投资者开通），具体实施方法见有关公告。</w:t>
      </w:r>
      <w:r>
        <w:rPr>
          <w:rStyle w:val="da"/>
          <w:rFonts w:ascii="宋体" w:hAnsi="Calibri" w:cs="宋体" w:hint="eastAsia"/>
          <w:highlight w:val="white"/>
          <w:lang w:eastAsia="zh-CN"/>
        </w:rPr>
        <w:t>投资人在办理定期定额投资计划时可自行约定每期扣款金额，每期扣款金额必须不低于基金管理人在相关公告或更新的招募说明书中所规定的定期定额投资计划最低申购金额。</w:t>
      </w:r>
    </w:p>
    <w:p w:rsidR="004A090B">
      <w:pPr>
        <w:pStyle w:val="Heading1"/>
        <w:spacing w:before="317" w:after="317" w:line="320" w:lineRule="exact"/>
        <w:ind w:firstLine="600"/>
        <w:rPr>
          <w:rFonts w:ascii="宋体" w:eastAsia="宋体" w:hAnsi="Calibri" w:cs="宋体"/>
          <w:bCs/>
          <w:sz w:val="30"/>
          <w:szCs w:val="30"/>
          <w:lang w:eastAsia="zh-CN"/>
        </w:rPr>
      </w:pPr>
      <w:r>
        <w:rPr>
          <w:rFonts w:ascii="宋体" w:eastAsia="宋体" w:hAnsi="Calibri" w:cs="宋体" w:hint="eastAsia"/>
          <w:sz w:val="30"/>
          <w:lang w:eastAsia="zh-CN"/>
        </w:rPr>
        <w:br w:type="column"/>
      </w:r>
      <w:bookmarkStart w:id="1812" w:name="_Toc332373519"/>
      <w:bookmarkStart w:id="1813" w:name="_Toc129511533"/>
      <w:r>
        <w:rPr>
          <w:rFonts w:ascii="宋体" w:eastAsia="宋体" w:hAnsi="Calibri" w:cs="宋体" w:hint="eastAsia"/>
          <w:sz w:val="30"/>
          <w:szCs w:val="30"/>
          <w:lang w:eastAsia="zh-CN"/>
        </w:rPr>
        <w:t>第十一部分</w:t>
      </w:r>
      <w:r>
        <w:rPr>
          <w:rFonts w:ascii="宋体" w:eastAsia="宋体" w:hAnsi="Calibri" w:cs="宋体"/>
          <w:sz w:val="30"/>
          <w:szCs w:val="30"/>
          <w:lang w:eastAsia="zh-CN"/>
        </w:rPr>
        <w:t xml:space="preserve"> </w:t>
      </w:r>
      <w:r>
        <w:rPr>
          <w:rFonts w:ascii="宋体" w:eastAsia="宋体" w:hAnsi="Calibri" w:cs="宋体" w:hint="eastAsia"/>
          <w:sz w:val="30"/>
          <w:szCs w:val="30"/>
          <w:lang w:eastAsia="zh-CN"/>
        </w:rPr>
        <w:t>基金的转托管、质押、非交易过户、冻结与解冻</w:t>
      </w:r>
      <w:bookmarkEnd w:id="1812"/>
      <w:bookmarkEnd w:id="1813"/>
    </w:p>
    <w:p w:rsidR="004A090B">
      <w:pPr>
        <w:spacing w:line="360" w:lineRule="auto"/>
        <w:ind w:firstLine="420"/>
        <w:rPr>
          <w:rStyle w:val="da"/>
          <w:rFonts w:ascii="宋体" w:hAnsi="Calibri" w:cs="宋体"/>
          <w:lang w:eastAsia="zh-CN"/>
        </w:rPr>
      </w:pPr>
      <w:bookmarkStart w:id="1814" w:name="_Toc332373520"/>
      <w:r>
        <w:rPr>
          <w:rStyle w:val="da"/>
          <w:rFonts w:ascii="宋体" w:hAnsi="Calibri" w:cs="宋体" w:hint="eastAsia"/>
          <w:lang w:eastAsia="zh-CN"/>
        </w:rPr>
        <w:t>一、基金的转托管</w:t>
      </w:r>
      <w:bookmarkEnd w:id="1814"/>
    </w:p>
    <w:p w:rsidR="004A090B">
      <w:pPr>
        <w:spacing w:line="360" w:lineRule="auto"/>
        <w:ind w:firstLine="420"/>
        <w:rPr>
          <w:rStyle w:val="da"/>
          <w:rFonts w:ascii="宋体" w:hAnsi="Calibri" w:cs="宋体"/>
          <w:lang w:eastAsia="zh-CN"/>
        </w:rPr>
      </w:pPr>
      <w:r>
        <w:rPr>
          <w:rStyle w:val="da"/>
          <w:rFonts w:ascii="宋体" w:hAnsi="Calibri" w:cs="宋体" w:hint="eastAsia"/>
          <w:highlight w:val="white"/>
          <w:lang w:eastAsia="zh-CN"/>
        </w:rPr>
        <w:t>基金份额持有人可办理已持有基金份额在不同销售机构之间的转托管，基金销售机构可以按照规定的标准收取转托管费。</w:t>
      </w:r>
    </w:p>
    <w:p w:rsidR="004A090B">
      <w:pPr>
        <w:spacing w:line="360" w:lineRule="auto"/>
        <w:ind w:firstLine="422"/>
        <w:rPr>
          <w:rStyle w:val="da"/>
          <w:rFonts w:ascii="宋体" w:hAnsi="Calibri" w:cs="宋体"/>
          <w:lang w:eastAsia="zh-CN"/>
        </w:rPr>
      </w:pPr>
      <w:r>
        <w:rPr>
          <w:rStyle w:val="da"/>
          <w:rFonts w:ascii="宋体" w:hAnsi="Calibri" w:cs="宋体" w:hint="eastAsia"/>
          <w:lang w:eastAsia="zh-CN"/>
        </w:rPr>
        <w:t>具体办理方法参照《业务规则》的有关规定以及各销售机构的业务规则。</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二、基金份额的质押</w:t>
      </w:r>
    </w:p>
    <w:p w:rsidR="004A090B">
      <w:pPr>
        <w:spacing w:line="360" w:lineRule="auto"/>
        <w:ind w:firstLine="420"/>
        <w:rPr>
          <w:rStyle w:val="da"/>
          <w:rFonts w:ascii="宋体" w:hAnsi="Calibri" w:cs="宋体"/>
          <w:lang w:eastAsia="zh-CN"/>
        </w:rPr>
      </w:pPr>
      <w:r>
        <w:rPr>
          <w:rStyle w:val="da"/>
          <w:rFonts w:ascii="宋体" w:hAnsi="Calibri" w:cs="宋体" w:hint="eastAsia"/>
          <w:highlight w:val="white"/>
          <w:lang w:eastAsia="zh-CN"/>
        </w:rPr>
        <w:t>在条件许可的情况下，基金登记机构可依据相关法律法规及其业务规则，办理基金份额质押业务，并可收取一定的手续费。</w:t>
      </w:r>
    </w:p>
    <w:p w:rsidR="004A090B">
      <w:pPr>
        <w:spacing w:line="360" w:lineRule="auto"/>
        <w:ind w:firstLine="420"/>
        <w:rPr>
          <w:rStyle w:val="da"/>
          <w:rFonts w:ascii="宋体" w:hAnsi="Calibri" w:cs="宋体"/>
          <w:lang w:eastAsia="zh-CN"/>
        </w:rPr>
      </w:pPr>
      <w:bookmarkStart w:id="1815" w:name="_Toc332373521"/>
      <w:r>
        <w:rPr>
          <w:rStyle w:val="da"/>
          <w:rFonts w:ascii="宋体" w:hAnsi="Calibri" w:cs="宋体" w:hint="eastAsia"/>
          <w:lang w:eastAsia="zh-CN"/>
        </w:rPr>
        <w:t>三、基金的非交易过户</w:t>
      </w:r>
      <w:bookmarkEnd w:id="1815"/>
    </w:p>
    <w:p w:rsidR="004A090B">
      <w:pPr>
        <w:spacing w:line="360" w:lineRule="auto"/>
        <w:ind w:firstLine="420"/>
        <w:rPr>
          <w:rStyle w:val="da"/>
          <w:rFonts w:ascii="宋体" w:hAnsi="Calibri" w:cs="宋体"/>
          <w:lang w:eastAsia="zh-CN"/>
        </w:rPr>
      </w:pPr>
      <w:r>
        <w:rPr>
          <w:rStyle w:val="da"/>
          <w:rFonts w:ascii="宋体" w:hAnsi="Calibri" w:cs="宋体" w:hint="eastAsia"/>
          <w:highlight w:val="white"/>
          <w:lang w:eastAsia="zh-CN"/>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rsidR="004A090B">
      <w:pPr>
        <w:spacing w:line="360" w:lineRule="auto"/>
        <w:ind w:firstLine="420"/>
        <w:rPr>
          <w:rStyle w:val="da"/>
          <w:rFonts w:ascii="宋体" w:hAnsi="Calibri" w:cs="宋体"/>
          <w:lang w:eastAsia="zh-CN"/>
        </w:rPr>
      </w:pPr>
      <w:r>
        <w:rPr>
          <w:rStyle w:val="da"/>
          <w:rFonts w:ascii="宋体" w:hAnsi="Calibri" w:cs="宋体" w:hint="eastAsia"/>
          <w:highlight w:val="white"/>
          <w:lang w:eastAsia="zh-CN"/>
        </w:rPr>
        <w:t>继承是指基金份额持有人死亡，其持有的基金份额由其合法的继承人继承；捐赠指基金份额持有人将其合法持有的基金份额捐赠给福利性质的基金会或社会团体；司法强制执行是指司法机构依</w:t>
      </w:r>
      <w:r>
        <w:rPr>
          <w:rStyle w:val="da"/>
          <w:rFonts w:ascii="宋体" w:hAnsi="Calibri" w:cs="宋体" w:hint="eastAsia"/>
          <w:highlight w:val="white"/>
          <w:lang w:eastAsia="zh-CN"/>
        </w:rPr>
        <w:t>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rsidR="004A090B">
      <w:pPr>
        <w:spacing w:line="360" w:lineRule="auto"/>
        <w:ind w:firstLine="420"/>
        <w:rPr>
          <w:rStyle w:val="da"/>
          <w:rFonts w:ascii="宋体" w:hAnsi="Calibri" w:cs="宋体"/>
          <w:lang w:eastAsia="zh-CN"/>
        </w:rPr>
      </w:pPr>
      <w:bookmarkStart w:id="1816" w:name="_Toc332373522"/>
      <w:r>
        <w:rPr>
          <w:rStyle w:val="da"/>
          <w:rFonts w:ascii="宋体" w:hAnsi="Calibri" w:cs="宋体" w:hint="eastAsia"/>
          <w:lang w:eastAsia="zh-CN"/>
        </w:rPr>
        <w:t>四、基金的冻结与解冻</w:t>
      </w:r>
      <w:bookmarkEnd w:id="1816"/>
    </w:p>
    <w:p w:rsidR="004A090B">
      <w:pPr>
        <w:spacing w:line="360" w:lineRule="auto"/>
        <w:ind w:firstLine="420"/>
        <w:rPr>
          <w:rStyle w:val="da"/>
          <w:rFonts w:ascii="宋体" w:hAnsi="Calibri" w:cs="宋体"/>
          <w:lang w:eastAsia="zh-CN"/>
        </w:rPr>
      </w:pPr>
      <w:r>
        <w:rPr>
          <w:rStyle w:val="da"/>
          <w:rFonts w:ascii="宋体" w:hAnsi="Calibri" w:cs="宋体" w:hint="eastAsia"/>
          <w:highlight w:val="white"/>
          <w:lang w:eastAsia="zh-CN"/>
        </w:rPr>
        <w:t>基金登记机构只受理国家有权机关依法要求的基金份额的冻结与解冻，以及登记机构认可、符合法律法规的其他情况下的冻结与解冻。</w:t>
      </w:r>
    </w:p>
    <w:p w:rsidR="004A090B">
      <w:pPr>
        <w:pStyle w:val="Heading1"/>
        <w:spacing w:before="317" w:after="317" w:line="320" w:lineRule="exact"/>
        <w:ind w:firstLine="640"/>
        <w:rPr>
          <w:rFonts w:ascii="宋体" w:eastAsia="宋体" w:hAnsi="Calibri" w:cs="宋体"/>
          <w:sz w:val="30"/>
          <w:szCs w:val="30"/>
          <w:lang w:eastAsia="zh-CN"/>
        </w:rPr>
      </w:pPr>
      <w:r>
        <w:rPr>
          <w:rFonts w:ascii="宋体" w:eastAsia="宋体" w:hAnsi="Calibri" w:cs="宋体" w:hint="eastAsia"/>
          <w:lang w:eastAsia="zh-CN"/>
        </w:rPr>
        <w:br w:type="column"/>
      </w:r>
      <w:bookmarkStart w:id="1817" w:name="_Toc129511534"/>
      <w:bookmarkStart w:id="1818" w:name="_Toc332373523"/>
      <w:r>
        <w:rPr>
          <w:rFonts w:ascii="宋体" w:eastAsia="宋体" w:hAnsi="Calibri" w:cs="宋体" w:hint="eastAsia"/>
          <w:sz w:val="30"/>
          <w:szCs w:val="30"/>
          <w:lang w:eastAsia="zh-CN"/>
        </w:rPr>
        <w:t>第十</w:t>
      </w:r>
      <w:r>
        <w:rPr>
          <w:rFonts w:ascii="宋体" w:eastAsia="宋体" w:hAnsi="Calibri" w:cs="宋体"/>
          <w:sz w:val="30"/>
          <w:szCs w:val="30"/>
          <w:lang w:eastAsia="zh-CN"/>
        </w:rPr>
        <w:t>二</w:t>
      </w:r>
      <w:r>
        <w:rPr>
          <w:rFonts w:ascii="宋体" w:eastAsia="宋体" w:hAnsi="Calibri" w:cs="宋体" w:hint="eastAsia"/>
          <w:sz w:val="30"/>
          <w:szCs w:val="30"/>
          <w:lang w:eastAsia="zh-CN"/>
        </w:rPr>
        <w:t>部分</w:t>
      </w:r>
      <w:r>
        <w:rPr>
          <w:rFonts w:ascii="宋体" w:eastAsia="宋体" w:hAnsi="Calibri" w:cs="宋体"/>
          <w:sz w:val="30"/>
          <w:szCs w:val="30"/>
          <w:lang w:eastAsia="zh-CN"/>
        </w:rPr>
        <w:t xml:space="preserve"> </w:t>
      </w:r>
      <w:r>
        <w:rPr>
          <w:rFonts w:ascii="宋体" w:eastAsia="宋体" w:hAnsi="Calibri" w:cs="宋体" w:hint="eastAsia"/>
          <w:sz w:val="30"/>
          <w:szCs w:val="30"/>
          <w:lang w:eastAsia="zh-CN"/>
        </w:rPr>
        <w:t>基金的投资</w:t>
      </w:r>
      <w:bookmarkEnd w:id="1817"/>
      <w:bookmarkEnd w:id="1818"/>
    </w:p>
    <w:p w:rsidR="004A090B">
      <w:pPr>
        <w:spacing w:line="360" w:lineRule="auto"/>
        <w:ind w:firstLine="420"/>
        <w:rPr>
          <w:rStyle w:val="da"/>
          <w:rFonts w:ascii="宋体" w:hAnsi="Calibri" w:cs="宋体"/>
          <w:szCs w:val="21"/>
          <w:lang w:eastAsia="zh-CN"/>
        </w:rPr>
      </w:pPr>
      <w:bookmarkStart w:id="1819" w:name="_Toc332373524"/>
      <w:r>
        <w:rPr>
          <w:rStyle w:val="da"/>
          <w:rFonts w:ascii="宋体" w:hAnsi="Calibri" w:cs="宋体" w:hint="eastAsia"/>
          <w:szCs w:val="21"/>
          <w:lang w:eastAsia="zh-CN"/>
        </w:rPr>
        <w:t>一、投资目标</w:t>
      </w:r>
      <w:bookmarkEnd w:id="1819"/>
    </w:p>
    <w:p w:rsidR="004A090B">
      <w:pPr>
        <w:spacing w:line="360" w:lineRule="auto"/>
        <w:ind w:firstLine="420"/>
        <w:rPr>
          <w:rStyle w:val="da"/>
          <w:rFonts w:ascii="宋体" w:hAnsi="Calibri" w:cs="宋体"/>
          <w:szCs w:val="21"/>
          <w:lang w:eastAsia="zh-CN"/>
        </w:rPr>
      </w:pPr>
      <w:bookmarkStart w:id="1820" w:name="_Toc332373525"/>
      <w:r>
        <w:rPr>
          <w:rStyle w:val="da"/>
          <w:rFonts w:ascii="宋体" w:hAnsi="Calibri" w:cs="宋体"/>
          <w:szCs w:val="21"/>
          <w:lang w:eastAsia="zh-CN"/>
        </w:rPr>
        <w:t>紧密跟踪业绩比较基准，追求跟踪偏离度和跟踪误差的最小化。</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二、投资范围</w:t>
      </w:r>
      <w:bookmarkEnd w:id="1820"/>
    </w:p>
    <w:p w:rsidR="004A090B">
      <w:pPr>
        <w:widowControl/>
        <w:spacing w:line="360" w:lineRule="auto"/>
        <w:ind w:firstLine="420"/>
        <w:rPr>
          <w:rStyle w:val="da"/>
          <w:rFonts w:ascii="宋体" w:hAnsi="Calibri" w:cs="宋体"/>
          <w:szCs w:val="21"/>
          <w:lang w:eastAsia="zh-CN"/>
        </w:rPr>
      </w:pPr>
      <w:bookmarkStart w:id="1821" w:name="_Toc359426195"/>
      <w:bookmarkStart w:id="1822" w:name="_Toc332373526"/>
      <w:r>
        <w:rPr>
          <w:rStyle w:val="da"/>
          <w:rFonts w:ascii="宋体" w:hAnsi="Calibri" w:cs="宋体"/>
          <w:szCs w:val="21"/>
          <w:lang w:eastAsia="zh-CN"/>
        </w:rPr>
        <w:t>本基金的投资范围包括目标</w:t>
      </w:r>
      <w:r>
        <w:rPr>
          <w:rStyle w:val="da"/>
          <w:rFonts w:ascii="宋体" w:hAnsi="Calibri" w:cs="宋体"/>
          <w:szCs w:val="21"/>
          <w:lang w:eastAsia="zh-CN"/>
        </w:rPr>
        <w:t>ETF</w:t>
      </w:r>
      <w:r>
        <w:rPr>
          <w:rStyle w:val="da"/>
          <w:rFonts w:ascii="宋体" w:hAnsi="Calibri" w:cs="宋体"/>
          <w:szCs w:val="21"/>
          <w:lang w:eastAsia="zh-CN"/>
        </w:rPr>
        <w:t>、标的指数成份股及备选成份股（含存托凭证）、除标的指数成份股及备选成份股以外的其他股票（包括创业板、科创板及其他依法发行上市的股票、存托凭证）、债券（包括国债、央行票据、地方政府债、金融债、企业债、公司债、次级债、中期票据、短期融资券、超短期融资券、政府支持机构债券、可转换债券、可交换债券等）、债券回购、资产支持证券、银行存款、同业存单、货币市场工具、金融衍生工具（包括股指期货、国债期货、股票期权等）以及法律法规或中国证监会允许基金投资的其他金融工具。</w:t>
      </w:r>
    </w:p>
    <w:p w:rsidR="004A090B">
      <w:pPr>
        <w:widowControl/>
        <w:spacing w:line="360" w:lineRule="auto"/>
        <w:ind w:firstLine="420"/>
        <w:rPr>
          <w:rStyle w:val="da"/>
          <w:rFonts w:ascii="宋体" w:hAnsi="Calibri" w:cs="宋体"/>
          <w:szCs w:val="21"/>
          <w:lang w:eastAsia="zh-CN"/>
        </w:rPr>
      </w:pPr>
      <w:r>
        <w:rPr>
          <w:rStyle w:val="da"/>
          <w:rFonts w:ascii="宋体" w:hAnsi="Calibri" w:cs="宋体"/>
          <w:szCs w:val="21"/>
          <w:lang w:eastAsia="zh-CN"/>
        </w:rPr>
        <w:t>如法律法规或监管机构以后</w:t>
      </w:r>
      <w:r>
        <w:rPr>
          <w:rStyle w:val="da"/>
          <w:rFonts w:ascii="宋体" w:hAnsi="Calibri" w:cs="宋体"/>
          <w:szCs w:val="21"/>
          <w:lang w:eastAsia="zh-CN"/>
        </w:rPr>
        <w:t>允许基金投资其他品种，基金管理人在履行适当程序后，本基金可以将其纳入投资范围。</w:t>
      </w:r>
    </w:p>
    <w:p w:rsidR="004A090B">
      <w:pPr>
        <w:widowControl/>
        <w:spacing w:line="360" w:lineRule="auto"/>
        <w:ind w:firstLine="420"/>
        <w:rPr>
          <w:rStyle w:val="da"/>
          <w:rFonts w:ascii="宋体" w:hAnsi="Calibri" w:cs="宋体"/>
          <w:szCs w:val="21"/>
          <w:lang w:eastAsia="zh-CN"/>
        </w:rPr>
      </w:pPr>
      <w:r>
        <w:rPr>
          <w:rStyle w:val="da"/>
          <w:rFonts w:ascii="宋体" w:hAnsi="Calibri" w:cs="宋体"/>
          <w:szCs w:val="21"/>
          <w:lang w:eastAsia="zh-CN"/>
        </w:rPr>
        <w:t>本基金将根据法律法规的规定参与转融通证券出借及融资业务。</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本基金投资于目标</w:t>
      </w:r>
      <w:r>
        <w:rPr>
          <w:rStyle w:val="da"/>
          <w:rFonts w:ascii="宋体" w:hAnsi="Calibri" w:cs="宋体"/>
          <w:szCs w:val="21"/>
          <w:lang w:eastAsia="zh-CN"/>
        </w:rPr>
        <w:t>ETF</w:t>
      </w:r>
      <w:r>
        <w:rPr>
          <w:rStyle w:val="da"/>
          <w:rFonts w:ascii="宋体" w:hAnsi="Calibri" w:cs="宋体"/>
          <w:szCs w:val="21"/>
          <w:lang w:eastAsia="zh-CN"/>
        </w:rPr>
        <w:t>的资产不低于基金资产净值的</w:t>
      </w:r>
      <w:r>
        <w:rPr>
          <w:rStyle w:val="da"/>
          <w:rFonts w:ascii="宋体" w:hAnsi="Calibri" w:cs="宋体"/>
          <w:szCs w:val="21"/>
          <w:lang w:eastAsia="zh-CN"/>
        </w:rPr>
        <w:t>90%</w:t>
      </w:r>
      <w:r>
        <w:rPr>
          <w:rStyle w:val="da"/>
          <w:rFonts w:ascii="宋体" w:hAnsi="Calibri" w:cs="宋体"/>
          <w:szCs w:val="21"/>
          <w:lang w:eastAsia="zh-CN"/>
        </w:rPr>
        <w:t>，保持不低于基金资产净值</w:t>
      </w:r>
      <w:r>
        <w:rPr>
          <w:rStyle w:val="da"/>
          <w:rFonts w:ascii="宋体" w:hAnsi="Calibri" w:cs="宋体"/>
          <w:szCs w:val="21"/>
          <w:lang w:eastAsia="zh-CN"/>
        </w:rPr>
        <w:t>5%</w:t>
      </w:r>
      <w:r>
        <w:rPr>
          <w:rStyle w:val="da"/>
          <w:rFonts w:ascii="宋体" w:hAnsi="Calibri" w:cs="宋体"/>
          <w:szCs w:val="21"/>
          <w:lang w:eastAsia="zh-CN"/>
        </w:rPr>
        <w:t>的现金或者到期日在一年以内的政府债券，其中现金不包括结算备付金、存出保证金、应收申购款等。</w:t>
      </w:r>
      <w:bookmarkEnd w:id="1821"/>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三、投资策略</w:t>
      </w:r>
      <w:bookmarkEnd w:id="1822"/>
    </w:p>
    <w:p w:rsidR="004A090B">
      <w:pPr>
        <w:spacing w:line="360" w:lineRule="auto"/>
        <w:ind w:firstLine="420"/>
        <w:rPr>
          <w:rStyle w:val="da"/>
          <w:rFonts w:ascii="宋体" w:hAnsi="Calibri" w:cs="宋体"/>
          <w:szCs w:val="21"/>
          <w:lang w:eastAsia="zh-CN"/>
        </w:rPr>
      </w:pPr>
      <w:bookmarkStart w:id="1823" w:name="_Toc332373530"/>
      <w:bookmarkStart w:id="1824" w:name="question3"/>
      <w:r>
        <w:rPr>
          <w:rStyle w:val="da"/>
          <w:rFonts w:ascii="宋体" w:hAnsi="Calibri" w:cs="宋体"/>
          <w:szCs w:val="21"/>
          <w:lang w:eastAsia="zh-CN"/>
        </w:rPr>
        <w:t>本基金为目标</w:t>
      </w:r>
      <w:r>
        <w:rPr>
          <w:rStyle w:val="da"/>
          <w:rFonts w:ascii="宋体" w:hAnsi="Calibri" w:cs="宋体"/>
          <w:szCs w:val="21"/>
          <w:lang w:eastAsia="zh-CN"/>
        </w:rPr>
        <w:t>ETF</w:t>
      </w:r>
      <w:r>
        <w:rPr>
          <w:rStyle w:val="da"/>
          <w:rFonts w:ascii="宋体" w:hAnsi="Calibri" w:cs="宋体"/>
          <w:szCs w:val="21"/>
          <w:lang w:eastAsia="zh-CN"/>
        </w:rPr>
        <w:t>的联接基金，主要通过投资于目标</w:t>
      </w:r>
      <w:r>
        <w:rPr>
          <w:rStyle w:val="da"/>
          <w:rFonts w:ascii="宋体" w:hAnsi="Calibri" w:cs="宋体"/>
          <w:szCs w:val="21"/>
          <w:lang w:eastAsia="zh-CN"/>
        </w:rPr>
        <w:t>ETF</w:t>
      </w:r>
      <w:r>
        <w:rPr>
          <w:rStyle w:val="da"/>
          <w:rFonts w:ascii="宋体" w:hAnsi="Calibri" w:cs="宋体"/>
          <w:szCs w:val="21"/>
          <w:lang w:eastAsia="zh-CN"/>
        </w:rPr>
        <w:t>实现对业绩比较基准的紧密跟踪，力争将日均跟踪偏离度的绝对值控制在</w:t>
      </w:r>
      <w:r>
        <w:rPr>
          <w:rStyle w:val="da"/>
          <w:rFonts w:ascii="宋体" w:hAnsi="Calibri" w:cs="宋体"/>
          <w:szCs w:val="21"/>
          <w:lang w:eastAsia="zh-CN"/>
        </w:rPr>
        <w:t>0.35%</w:t>
      </w:r>
      <w:r>
        <w:rPr>
          <w:rStyle w:val="da"/>
          <w:rFonts w:ascii="宋体" w:hAnsi="Calibri" w:cs="宋体"/>
          <w:szCs w:val="21"/>
          <w:lang w:eastAsia="zh-CN"/>
        </w:rPr>
        <w:t>以内，年化跟踪误差控制在</w:t>
      </w:r>
      <w:r>
        <w:rPr>
          <w:rStyle w:val="da"/>
          <w:rFonts w:ascii="宋体" w:hAnsi="Calibri" w:cs="宋体"/>
          <w:szCs w:val="21"/>
          <w:lang w:eastAsia="zh-CN"/>
        </w:rPr>
        <w:t>4%</w:t>
      </w:r>
      <w:r>
        <w:rPr>
          <w:rStyle w:val="da"/>
          <w:rFonts w:ascii="宋体" w:hAnsi="Calibri" w:cs="宋体"/>
          <w:szCs w:val="21"/>
          <w:lang w:eastAsia="zh-CN"/>
        </w:rPr>
        <w:t>以内。如因标的指数编制规则调整</w:t>
      </w:r>
      <w:r>
        <w:rPr>
          <w:rStyle w:val="da"/>
          <w:rFonts w:ascii="宋体" w:hAnsi="Calibri" w:cs="宋体"/>
          <w:szCs w:val="21"/>
          <w:lang w:eastAsia="zh-CN"/>
        </w:rPr>
        <w:t>或其他因素导致跟踪误差超过上述范围，基金管理人应采取合理措施避免跟踪误差进一步扩大。</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1</w:t>
      </w:r>
      <w:r>
        <w:rPr>
          <w:rStyle w:val="da"/>
          <w:rFonts w:ascii="宋体" w:hAnsi="Calibri" w:cs="宋体"/>
          <w:szCs w:val="21"/>
          <w:lang w:eastAsia="zh-CN"/>
        </w:rPr>
        <w:t>、目标</w:t>
      </w:r>
      <w:r>
        <w:rPr>
          <w:rStyle w:val="da"/>
          <w:rFonts w:ascii="宋体" w:hAnsi="Calibri" w:cs="宋体"/>
          <w:szCs w:val="21"/>
          <w:lang w:eastAsia="zh-CN"/>
        </w:rPr>
        <w:t>ETF</w:t>
      </w:r>
      <w:r>
        <w:rPr>
          <w:rStyle w:val="da"/>
          <w:rFonts w:ascii="宋体" w:hAnsi="Calibri" w:cs="宋体"/>
          <w:szCs w:val="21"/>
          <w:lang w:eastAsia="zh-CN"/>
        </w:rPr>
        <w:t>投资策略</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本基金投资目标</w:t>
      </w:r>
      <w:r>
        <w:rPr>
          <w:rStyle w:val="da"/>
          <w:rFonts w:ascii="宋体" w:hAnsi="Calibri" w:cs="宋体"/>
          <w:szCs w:val="21"/>
          <w:lang w:eastAsia="zh-CN"/>
        </w:rPr>
        <w:t>ETF</w:t>
      </w:r>
      <w:r>
        <w:rPr>
          <w:rStyle w:val="da"/>
          <w:rFonts w:ascii="宋体" w:hAnsi="Calibri" w:cs="宋体"/>
          <w:szCs w:val="21"/>
          <w:lang w:eastAsia="zh-CN"/>
        </w:rPr>
        <w:t>的方式如下：</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w:t>
      </w:r>
      <w:r>
        <w:rPr>
          <w:rStyle w:val="da"/>
          <w:rFonts w:ascii="宋体" w:hAnsi="Calibri" w:cs="宋体"/>
          <w:szCs w:val="21"/>
          <w:lang w:eastAsia="zh-CN"/>
        </w:rPr>
        <w:t>1</w:t>
      </w:r>
      <w:r>
        <w:rPr>
          <w:rStyle w:val="da"/>
          <w:rFonts w:ascii="宋体" w:hAnsi="Calibri" w:cs="宋体"/>
          <w:szCs w:val="21"/>
          <w:lang w:eastAsia="zh-CN"/>
        </w:rPr>
        <w:t>）申购、赎回方式：按照目标</w:t>
      </w:r>
      <w:r>
        <w:rPr>
          <w:rStyle w:val="da"/>
          <w:rFonts w:ascii="宋体" w:hAnsi="Calibri" w:cs="宋体"/>
          <w:szCs w:val="21"/>
          <w:lang w:eastAsia="zh-CN"/>
        </w:rPr>
        <w:t>ETF</w:t>
      </w:r>
      <w:r>
        <w:rPr>
          <w:rStyle w:val="da"/>
          <w:rFonts w:ascii="宋体" w:hAnsi="Calibri" w:cs="宋体"/>
          <w:szCs w:val="21"/>
          <w:lang w:eastAsia="zh-CN"/>
        </w:rPr>
        <w:t>法律文件约定的方式申购、赎回目标</w:t>
      </w:r>
      <w:r>
        <w:rPr>
          <w:rStyle w:val="da"/>
          <w:rFonts w:ascii="宋体" w:hAnsi="Calibri" w:cs="宋体"/>
          <w:szCs w:val="21"/>
          <w:lang w:eastAsia="zh-CN"/>
        </w:rPr>
        <w:t>ETF</w:t>
      </w:r>
      <w:r>
        <w:rPr>
          <w:rStyle w:val="da"/>
          <w:rFonts w:ascii="宋体" w:hAnsi="Calibri" w:cs="宋体"/>
          <w:szCs w:val="21"/>
          <w:lang w:eastAsia="zh-CN"/>
        </w:rPr>
        <w:t>。</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w:t>
      </w:r>
      <w:r>
        <w:rPr>
          <w:rStyle w:val="da"/>
          <w:rFonts w:ascii="宋体" w:hAnsi="Calibri" w:cs="宋体"/>
          <w:szCs w:val="21"/>
          <w:lang w:eastAsia="zh-CN"/>
        </w:rPr>
        <w:t>2</w:t>
      </w:r>
      <w:r>
        <w:rPr>
          <w:rStyle w:val="da"/>
          <w:rFonts w:ascii="宋体" w:hAnsi="Calibri" w:cs="宋体"/>
          <w:szCs w:val="21"/>
          <w:lang w:eastAsia="zh-CN"/>
        </w:rPr>
        <w:t>）二级市场方式：在二级市场进行目标</w:t>
      </w:r>
      <w:r>
        <w:rPr>
          <w:rStyle w:val="da"/>
          <w:rFonts w:ascii="宋体" w:hAnsi="Calibri" w:cs="宋体"/>
          <w:szCs w:val="21"/>
          <w:lang w:eastAsia="zh-CN"/>
        </w:rPr>
        <w:t>ETF</w:t>
      </w:r>
      <w:r>
        <w:rPr>
          <w:rStyle w:val="da"/>
          <w:rFonts w:ascii="宋体" w:hAnsi="Calibri" w:cs="宋体"/>
          <w:szCs w:val="21"/>
          <w:lang w:eastAsia="zh-CN"/>
        </w:rPr>
        <w:t>基金份额的交易。</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当目标</w:t>
      </w:r>
      <w:r>
        <w:rPr>
          <w:rStyle w:val="da"/>
          <w:rFonts w:ascii="宋体" w:hAnsi="Calibri" w:cs="宋体"/>
          <w:szCs w:val="21"/>
          <w:lang w:eastAsia="zh-CN"/>
        </w:rPr>
        <w:t>ETF</w:t>
      </w:r>
      <w:r>
        <w:rPr>
          <w:rStyle w:val="da"/>
          <w:rFonts w:ascii="宋体" w:hAnsi="Calibri" w:cs="宋体"/>
          <w:szCs w:val="21"/>
          <w:lang w:eastAsia="zh-CN"/>
        </w:rPr>
        <w:t>申购、赎回或交易模式进行了变更或调整，本基金也将作相应的变更或调整，无须召开基金份额持有人大会。</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本基金将在综合考虑合规、风险、效率、成本等因素的基础上，决定采用申购、赎回方式或二级市场方式进行目标</w:t>
      </w:r>
      <w:r>
        <w:rPr>
          <w:rStyle w:val="da"/>
          <w:rFonts w:ascii="宋体" w:hAnsi="Calibri" w:cs="宋体"/>
          <w:szCs w:val="21"/>
          <w:lang w:eastAsia="zh-CN"/>
        </w:rPr>
        <w:t>ETF</w:t>
      </w:r>
      <w:r>
        <w:rPr>
          <w:rStyle w:val="da"/>
          <w:rFonts w:ascii="宋体" w:hAnsi="Calibri" w:cs="宋体"/>
          <w:szCs w:val="21"/>
          <w:lang w:eastAsia="zh-CN"/>
        </w:rPr>
        <w:t>的投资。</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2</w:t>
      </w:r>
      <w:r>
        <w:rPr>
          <w:rStyle w:val="da"/>
          <w:rFonts w:ascii="宋体" w:hAnsi="Calibri" w:cs="宋体"/>
          <w:szCs w:val="21"/>
          <w:lang w:eastAsia="zh-CN"/>
        </w:rPr>
        <w:t>、股票（含存托凭证）投资策略</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本基金可投资于标的指数成份股、备选成份股，以更好的跟踪业绩比较基准。同时，在条件允许的情况下还可通过买入标的指数成份股、备选成份股来构建组合以申购目标</w:t>
      </w:r>
      <w:r>
        <w:rPr>
          <w:rStyle w:val="da"/>
          <w:rFonts w:ascii="宋体" w:hAnsi="Calibri" w:cs="宋体"/>
          <w:szCs w:val="21"/>
          <w:lang w:eastAsia="zh-CN"/>
        </w:rPr>
        <w:t>ETF</w:t>
      </w:r>
      <w:r>
        <w:rPr>
          <w:rStyle w:val="da"/>
          <w:rFonts w:ascii="宋体" w:hAnsi="Calibri" w:cs="宋体"/>
          <w:szCs w:val="21"/>
          <w:lang w:eastAsia="zh-CN"/>
        </w:rPr>
        <w:t>。因此对可投资于标的指数成份股、备选成份股的资金头寸，主要采取复制法，即按照标的指数的成份股组成及其权重构建基金投资组合，并根据标的指数组成及其权重的变动而进行相应调整。但在因特殊情况（如流动性不足等）导致无法获得足够数量的个券时，基金管理人将搭配使用其他合理方法进行适当的替代，包括通过投资其他股票进行替代，以降低跟踪误差，</w:t>
      </w:r>
      <w:r>
        <w:rPr>
          <w:rStyle w:val="da"/>
          <w:rFonts w:ascii="宋体" w:hAnsi="Calibri" w:cs="宋体"/>
          <w:szCs w:val="21"/>
          <w:lang w:eastAsia="zh-CN"/>
        </w:rPr>
        <w:t>优化投资组合的配置结构。</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3</w:t>
      </w:r>
      <w:r>
        <w:rPr>
          <w:rStyle w:val="da"/>
          <w:rFonts w:ascii="宋体" w:hAnsi="Calibri" w:cs="宋体"/>
          <w:szCs w:val="21"/>
          <w:lang w:eastAsia="zh-CN"/>
        </w:rPr>
        <w:t>、债券和货币市场工具投资策略</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本基金将以降低跟踪误差和流动性管理为目的，综合考虑流动性和收益性，适当参与债券和货币市场工具的投资。</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4</w:t>
      </w:r>
      <w:r>
        <w:rPr>
          <w:rStyle w:val="da"/>
          <w:rFonts w:ascii="宋体" w:hAnsi="Calibri" w:cs="宋体"/>
          <w:szCs w:val="21"/>
          <w:lang w:eastAsia="zh-CN"/>
        </w:rPr>
        <w:t>、衍生品投资策略</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为更好地实现投资目标，本基金可投资股指期货、国债期货、股票期权。</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若本基金投资股指期货、国债期货，将根据风险管理的原则，以套期保值为目的，综合考虑流动性、基差水平等因素。</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若本基金投资股票期权，将根据风险管理的原则，以套期保值为主要目的，综合考虑流动性、价格等因素。</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此外，本基金将关注其他金融衍生品的推出情况，如法律法规或监管机构允许基金投资前述金融衍生品，本基金将按届时有效的法律法规和监管机构的规定，制定与本基金投资目标相适应的投资策略和估值政策，在充分评估金融衍生品的风险和收益的基础上，谨慎地进行投资。</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5</w:t>
      </w:r>
      <w:r>
        <w:rPr>
          <w:rStyle w:val="da"/>
          <w:rFonts w:ascii="宋体" w:hAnsi="Calibri" w:cs="宋体"/>
          <w:szCs w:val="21"/>
          <w:lang w:eastAsia="zh-CN"/>
        </w:rPr>
        <w:t>、参与转融通证券出借业务策略</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为更好地实现投资目标，在加强风险防范并遵守审慎原则的前提下，本基金可根据投资管理的需要参与转融通证券出借业务。本基金将在分析市场环境、投资者类型与结构、基金历史申赎情况、出借证券流动性情况等因素的基础上，合理确定出借证券的范围、期限和</w:t>
      </w:r>
      <w:r>
        <w:rPr>
          <w:rStyle w:val="da"/>
          <w:rFonts w:ascii="宋体" w:hAnsi="Calibri" w:cs="宋体"/>
          <w:szCs w:val="21"/>
          <w:lang w:eastAsia="zh-CN"/>
        </w:rPr>
        <w:t>比例。</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6</w:t>
      </w:r>
      <w:r>
        <w:rPr>
          <w:rStyle w:val="da"/>
          <w:rFonts w:ascii="宋体" w:hAnsi="Calibri" w:cs="宋体"/>
          <w:szCs w:val="21"/>
          <w:lang w:eastAsia="zh-CN"/>
        </w:rPr>
        <w:t>、融资业务策略</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为更好地实现投资目标，在加强风险防范并遵守审慎原则的前提下，基金管理人可根据相关法律法规，参与融资业务，以提高投资效率及进行风险管理。</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四、业绩比较基准</w:t>
      </w:r>
      <w:bookmarkEnd w:id="1823"/>
      <w:r>
        <w:rPr>
          <w:rStyle w:val="da"/>
          <w:rFonts w:ascii="宋体" w:hAnsi="Calibri" w:cs="宋体" w:hint="eastAsia"/>
          <w:szCs w:val="21"/>
          <w:lang w:eastAsia="zh-CN"/>
        </w:rPr>
        <w:t xml:space="preserve"> </w:t>
      </w:r>
      <w:bookmarkEnd w:id="1824"/>
    </w:p>
    <w:p w:rsidR="004A090B">
      <w:pPr>
        <w:spacing w:line="360" w:lineRule="auto"/>
        <w:ind w:firstLine="420"/>
        <w:rPr>
          <w:rStyle w:val="da"/>
          <w:rFonts w:ascii="宋体" w:hAnsi="Calibri" w:cs="宋体"/>
          <w:szCs w:val="21"/>
          <w:lang w:eastAsia="zh-CN"/>
        </w:rPr>
      </w:pPr>
      <w:bookmarkStart w:id="1825" w:name="_Toc332373531"/>
      <w:r>
        <w:rPr>
          <w:rStyle w:val="da"/>
          <w:rFonts w:ascii="宋体" w:hAnsi="宋体" w:hint="eastAsia"/>
          <w:szCs w:val="21"/>
          <w:lang w:eastAsia="zh-CN"/>
        </w:rPr>
        <w:t>本基金业绩比较基准为：中证科创创业人工智能指数收益率×</w:t>
      </w:r>
      <w:r>
        <w:rPr>
          <w:rStyle w:val="da"/>
          <w:rFonts w:ascii="宋体" w:hAnsi="宋体" w:hint="eastAsia"/>
          <w:szCs w:val="21"/>
          <w:lang w:eastAsia="zh-CN"/>
        </w:rPr>
        <w:t>95%+</w:t>
      </w:r>
      <w:r>
        <w:rPr>
          <w:rStyle w:val="da"/>
          <w:rFonts w:ascii="宋体" w:hAnsi="宋体" w:hint="eastAsia"/>
          <w:szCs w:val="21"/>
          <w:lang w:eastAsia="zh-CN"/>
        </w:rPr>
        <w:t>活期存款基准利率×</w:t>
      </w:r>
      <w:r>
        <w:rPr>
          <w:rStyle w:val="da"/>
          <w:rFonts w:ascii="宋体" w:hAnsi="宋体" w:hint="eastAsia"/>
          <w:szCs w:val="21"/>
          <w:lang w:eastAsia="zh-CN"/>
        </w:rPr>
        <w:t>5%</w:t>
      </w:r>
      <w:r>
        <w:rPr>
          <w:rStyle w:val="da"/>
          <w:rFonts w:ascii="宋体" w:hAnsi="宋体" w:hint="eastAsia"/>
          <w:szCs w:val="21"/>
          <w:lang w:eastAsia="zh-CN"/>
        </w:rPr>
        <w:t>。</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1</w:t>
      </w:r>
      <w:r>
        <w:rPr>
          <w:rStyle w:val="da"/>
          <w:rFonts w:ascii="宋体" w:hAnsi="Calibri" w:cs="宋体"/>
          <w:szCs w:val="21"/>
          <w:lang w:eastAsia="zh-CN"/>
        </w:rPr>
        <w:t>、业绩比较基准设定的原因</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本基金为目标</w:t>
      </w:r>
      <w:r>
        <w:rPr>
          <w:rStyle w:val="da"/>
          <w:rFonts w:ascii="宋体" w:hAnsi="Calibri" w:cs="宋体"/>
          <w:szCs w:val="21"/>
          <w:lang w:eastAsia="zh-CN"/>
        </w:rPr>
        <w:t>ETF</w:t>
      </w:r>
      <w:r>
        <w:rPr>
          <w:rStyle w:val="da"/>
          <w:rFonts w:ascii="宋体" w:hAnsi="Calibri" w:cs="宋体"/>
          <w:szCs w:val="21"/>
          <w:lang w:eastAsia="zh-CN"/>
        </w:rPr>
        <w:t>的联接基金，主要通过投资于目标</w:t>
      </w:r>
      <w:r>
        <w:rPr>
          <w:rStyle w:val="da"/>
          <w:rFonts w:ascii="宋体" w:hAnsi="Calibri" w:cs="宋体"/>
          <w:szCs w:val="21"/>
          <w:lang w:eastAsia="zh-CN"/>
        </w:rPr>
        <w:t>ETF</w:t>
      </w:r>
      <w:r>
        <w:rPr>
          <w:rStyle w:val="da"/>
          <w:rFonts w:ascii="宋体" w:hAnsi="Calibri" w:cs="宋体"/>
          <w:szCs w:val="21"/>
          <w:lang w:eastAsia="zh-CN"/>
        </w:rPr>
        <w:t>实现对业绩比较基准的紧密跟踪，以</w:t>
      </w:r>
      <w:r>
        <w:rPr>
          <w:rStyle w:val="da"/>
          <w:rFonts w:ascii="宋体" w:hAnsi="Calibri" w:cs="宋体"/>
          <w:szCs w:val="21"/>
          <w:lang w:eastAsia="zh-CN"/>
        </w:rPr>
        <w:t>“</w:t>
      </w:r>
      <w:r>
        <w:rPr>
          <w:rStyle w:val="da"/>
          <w:rFonts w:ascii="宋体" w:hAnsi="Calibri" w:cs="宋体"/>
          <w:szCs w:val="21"/>
          <w:lang w:eastAsia="zh-CN"/>
        </w:rPr>
        <w:t>紧密跟踪业绩比较基准，追求跟踪偏离度和跟踪误差的最小化</w:t>
      </w:r>
      <w:r>
        <w:rPr>
          <w:rStyle w:val="da"/>
          <w:rFonts w:ascii="宋体" w:hAnsi="Calibri" w:cs="宋体"/>
          <w:szCs w:val="21"/>
          <w:lang w:eastAsia="zh-CN"/>
        </w:rPr>
        <w:t>”</w:t>
      </w:r>
      <w:r>
        <w:rPr>
          <w:rStyle w:val="da"/>
          <w:rFonts w:ascii="宋体" w:hAnsi="Calibri" w:cs="宋体"/>
          <w:szCs w:val="21"/>
          <w:lang w:eastAsia="zh-CN"/>
        </w:rPr>
        <w:t>作为投资目标，在投资中将不低于基金资产净值</w:t>
      </w:r>
      <w:r>
        <w:rPr>
          <w:rStyle w:val="da"/>
          <w:rFonts w:ascii="宋体" w:hAnsi="Calibri" w:cs="宋体"/>
          <w:szCs w:val="21"/>
          <w:lang w:eastAsia="zh-CN"/>
        </w:rPr>
        <w:t>90%</w:t>
      </w:r>
      <w:r>
        <w:rPr>
          <w:rStyle w:val="da"/>
          <w:rFonts w:ascii="宋体" w:hAnsi="Calibri" w:cs="宋体"/>
          <w:szCs w:val="21"/>
          <w:lang w:eastAsia="zh-CN"/>
        </w:rPr>
        <w:t>的资产投资于目标</w:t>
      </w:r>
      <w:r>
        <w:rPr>
          <w:rStyle w:val="da"/>
          <w:rFonts w:ascii="宋体" w:hAnsi="Calibri" w:cs="宋体"/>
          <w:szCs w:val="21"/>
          <w:lang w:eastAsia="zh-CN"/>
        </w:rPr>
        <w:t>ETF</w:t>
      </w:r>
      <w:r>
        <w:rPr>
          <w:rStyle w:val="da"/>
          <w:rFonts w:ascii="宋体" w:hAnsi="Calibri" w:cs="宋体"/>
          <w:szCs w:val="21"/>
          <w:lang w:eastAsia="zh-CN"/>
        </w:rPr>
        <w:t>并保留不低于基金资产净值</w:t>
      </w:r>
      <w:r>
        <w:rPr>
          <w:rStyle w:val="da"/>
          <w:rFonts w:ascii="宋体" w:hAnsi="Calibri" w:cs="宋体"/>
          <w:szCs w:val="21"/>
          <w:lang w:eastAsia="zh-CN"/>
        </w:rPr>
        <w:t>5%</w:t>
      </w:r>
      <w:r>
        <w:rPr>
          <w:rStyle w:val="da"/>
          <w:rFonts w:ascii="宋体" w:hAnsi="Calibri" w:cs="宋体"/>
          <w:szCs w:val="21"/>
          <w:lang w:eastAsia="zh-CN"/>
        </w:rPr>
        <w:t>的现金或者到期日在一年以内的政府债券。</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本基金的标的指数为中证科创创业人工智能指数，选取中证科创创业人工智能指数作为权益资产的基准要素，选取活期存款基准利率作为现金</w:t>
      </w:r>
      <w:r>
        <w:rPr>
          <w:rStyle w:val="da"/>
          <w:rFonts w:ascii="宋体" w:hAnsi="Calibri" w:cs="宋体" w:hint="eastAsia"/>
          <w:szCs w:val="21"/>
          <w:lang w:eastAsia="zh-CN"/>
        </w:rPr>
        <w:t>类</w:t>
      </w:r>
      <w:r>
        <w:rPr>
          <w:rStyle w:val="da"/>
          <w:rFonts w:ascii="宋体" w:hAnsi="Calibri" w:cs="宋体"/>
          <w:szCs w:val="21"/>
          <w:lang w:eastAsia="zh-CN"/>
        </w:rPr>
        <w:t>资产的基准要素，并按照预期大类资产配置的情况，将权益资产与现金</w:t>
      </w:r>
      <w:r>
        <w:rPr>
          <w:rStyle w:val="da"/>
          <w:rFonts w:ascii="宋体" w:hAnsi="Calibri" w:cs="宋体" w:hint="eastAsia"/>
          <w:szCs w:val="21"/>
          <w:lang w:eastAsia="zh-CN"/>
        </w:rPr>
        <w:t>类</w:t>
      </w:r>
      <w:r>
        <w:rPr>
          <w:rStyle w:val="da"/>
          <w:rFonts w:ascii="宋体" w:hAnsi="Calibri" w:cs="宋体"/>
          <w:szCs w:val="21"/>
          <w:lang w:eastAsia="zh-CN"/>
        </w:rPr>
        <w:t>资产所对应的基准要素权重分别设置为</w:t>
      </w:r>
      <w:r>
        <w:rPr>
          <w:rStyle w:val="da"/>
          <w:rFonts w:ascii="宋体" w:hAnsi="Calibri" w:cs="宋体"/>
          <w:szCs w:val="21"/>
          <w:lang w:eastAsia="zh-CN"/>
        </w:rPr>
        <w:t>95%</w:t>
      </w:r>
      <w:r>
        <w:rPr>
          <w:rStyle w:val="da"/>
          <w:rFonts w:ascii="宋体" w:hAnsi="Calibri" w:cs="宋体"/>
          <w:szCs w:val="21"/>
          <w:lang w:eastAsia="zh-CN"/>
        </w:rPr>
        <w:t>与</w:t>
      </w:r>
      <w:r>
        <w:rPr>
          <w:rStyle w:val="da"/>
          <w:rFonts w:ascii="宋体" w:hAnsi="Calibri" w:cs="宋体"/>
          <w:szCs w:val="21"/>
          <w:lang w:eastAsia="zh-CN"/>
        </w:rPr>
        <w:t>5%</w:t>
      </w:r>
      <w:r>
        <w:rPr>
          <w:rStyle w:val="da"/>
          <w:rFonts w:ascii="宋体" w:hAnsi="Calibri" w:cs="宋体"/>
          <w:szCs w:val="21"/>
          <w:lang w:eastAsia="zh-CN"/>
        </w:rPr>
        <w:t>。</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综上，本基金选取的业绩比较基准与基金投资目标、投资范围、投资策略、投资比例限制相匹配。</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2</w:t>
      </w:r>
      <w:r>
        <w:rPr>
          <w:rStyle w:val="da"/>
          <w:rFonts w:ascii="宋体" w:hAnsi="Calibri" w:cs="宋体"/>
          <w:szCs w:val="21"/>
          <w:lang w:eastAsia="zh-CN"/>
        </w:rPr>
        <w:t>、业绩比较基准要素的基本信息</w:t>
      </w:r>
    </w:p>
    <w:p w:rsidR="004A090B">
      <w:pPr>
        <w:spacing w:line="360" w:lineRule="auto"/>
        <w:ind w:firstLine="420"/>
        <w:rPr>
          <w:rStyle w:val="da"/>
          <w:rFonts w:ascii="宋体" w:hAnsi="Calibri" w:cs="宋体"/>
          <w:szCs w:val="21"/>
        </w:rPr>
      </w:pPr>
      <w:r>
        <w:rPr>
          <w:rStyle w:val="da"/>
          <w:rFonts w:ascii="宋体" w:hAnsi="Calibri" w:cs="宋体"/>
          <w:szCs w:val="21"/>
        </w:rPr>
        <w:t>中证科创创业人工智能指数由中证指数有限公司编制发布，指数代码为</w:t>
      </w:r>
      <w:r>
        <w:rPr>
          <w:rStyle w:val="da"/>
          <w:rFonts w:ascii="宋体" w:hAnsi="Calibri" w:cs="宋体"/>
          <w:szCs w:val="21"/>
        </w:rPr>
        <w:t>932456</w:t>
      </w:r>
      <w:r>
        <w:rPr>
          <w:rStyle w:val="da"/>
          <w:rFonts w:ascii="宋体" w:hAnsi="Calibri" w:cs="宋体"/>
          <w:szCs w:val="21"/>
        </w:rPr>
        <w:t>，指数具体</w:t>
      </w:r>
      <w:r>
        <w:rPr>
          <w:rStyle w:val="da"/>
          <w:rFonts w:ascii="宋体" w:hAnsi="Calibri" w:cs="宋体"/>
          <w:szCs w:val="21"/>
        </w:rPr>
        <w:t>信息详见中证指数有限公司网站，网址：</w:t>
      </w:r>
      <w:hyperlink r:id="rId16" w:history="1">
        <w:r>
          <w:rPr>
            <w:rStyle w:val="Hyperlink"/>
            <w:rFonts w:ascii="宋体" w:hAnsi="Calibri" w:cs="宋体"/>
            <w:szCs w:val="21"/>
          </w:rPr>
          <w:t>www.csindex.com.cn</w:t>
        </w:r>
      </w:hyperlink>
      <w:r>
        <w:rPr>
          <w:rStyle w:val="da"/>
          <w:rFonts w:ascii="宋体" w:hAnsi="Calibri" w:cs="宋体"/>
          <w:szCs w:val="21"/>
        </w:rPr>
        <w:t>。</w:t>
      </w:r>
    </w:p>
    <w:p w:rsidR="004A090B">
      <w:pPr>
        <w:spacing w:line="360" w:lineRule="auto"/>
        <w:ind w:firstLine="420"/>
        <w:rPr>
          <w:rStyle w:val="da"/>
          <w:rFonts w:ascii="宋体" w:hAnsi="Calibri" w:cs="宋体"/>
          <w:szCs w:val="21"/>
        </w:rPr>
      </w:pPr>
      <w:r>
        <w:rPr>
          <w:rStyle w:val="da"/>
          <w:rFonts w:ascii="宋体" w:hAnsi="Calibri" w:cs="宋体" w:hint="eastAsia"/>
          <w:szCs w:val="21"/>
        </w:rPr>
        <w:t>活期存款基准利率由中国人民银行发布，具体信息详见中国人民银行网站，网址：</w:t>
      </w:r>
      <w:r>
        <w:rPr>
          <w:rStyle w:val="da"/>
          <w:rFonts w:ascii="宋体" w:hAnsi="Calibri" w:cs="宋体" w:hint="eastAsia"/>
          <w:szCs w:val="21"/>
        </w:rPr>
        <w:t>www.pbc.gov.cn</w:t>
      </w:r>
      <w:r>
        <w:rPr>
          <w:rStyle w:val="da"/>
          <w:rFonts w:ascii="宋体" w:hAnsi="Calibri" w:cs="宋体" w:hint="eastAsia"/>
          <w:szCs w:val="21"/>
        </w:rPr>
        <w:t>。</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3</w:t>
      </w:r>
      <w:r>
        <w:rPr>
          <w:rStyle w:val="da"/>
          <w:rFonts w:ascii="宋体" w:hAnsi="Calibri" w:cs="宋体"/>
          <w:szCs w:val="21"/>
          <w:lang w:eastAsia="zh-CN"/>
        </w:rPr>
        <w:t>、业绩比较基准的计算方法</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本基金业绩比较基准收益率的计算方法以每日收益率为基础，以时间加权为计算原则。本基金先分别计算业绩比较基准中中证科创创业人工智能指数、活期存款基准利率的每日收益率，再按照预设权重比例计算当日组合要素基准的日收益率，最后通过每日连乘的方式计算业绩比较基准收益率。</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4</w:t>
      </w:r>
      <w:r>
        <w:rPr>
          <w:rStyle w:val="da"/>
          <w:rFonts w:ascii="宋体" w:hAnsi="Calibri" w:cs="宋体"/>
          <w:szCs w:val="21"/>
          <w:lang w:eastAsia="zh-CN"/>
        </w:rPr>
        <w:t>、管理投资偏离业绩比较基准的定性或定量方法</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本基金为目标</w:t>
      </w:r>
      <w:r>
        <w:rPr>
          <w:rStyle w:val="da"/>
          <w:rFonts w:ascii="宋体" w:hAnsi="Calibri" w:cs="宋体"/>
          <w:szCs w:val="21"/>
          <w:lang w:eastAsia="zh-CN"/>
        </w:rPr>
        <w:t>ETF</w:t>
      </w:r>
      <w:r>
        <w:rPr>
          <w:rStyle w:val="da"/>
          <w:rFonts w:ascii="宋体" w:hAnsi="Calibri" w:cs="宋体"/>
          <w:szCs w:val="21"/>
          <w:lang w:eastAsia="zh-CN"/>
        </w:rPr>
        <w:t>的联接基金，主要通过投资于目标</w:t>
      </w:r>
      <w:r>
        <w:rPr>
          <w:rStyle w:val="da"/>
          <w:rFonts w:ascii="宋体" w:hAnsi="Calibri" w:cs="宋体"/>
          <w:szCs w:val="21"/>
          <w:lang w:eastAsia="zh-CN"/>
        </w:rPr>
        <w:t>ETF</w:t>
      </w:r>
      <w:r>
        <w:rPr>
          <w:rStyle w:val="da"/>
          <w:rFonts w:ascii="宋体" w:hAnsi="Calibri" w:cs="宋体"/>
          <w:szCs w:val="21"/>
          <w:lang w:eastAsia="zh-CN"/>
        </w:rPr>
        <w:t>实现对业绩比较基准的紧密跟踪，力争将日均跟踪偏离度的绝对值控制在</w:t>
      </w:r>
      <w:r>
        <w:rPr>
          <w:rStyle w:val="da"/>
          <w:rFonts w:ascii="宋体" w:hAnsi="Calibri" w:cs="宋体"/>
          <w:szCs w:val="21"/>
          <w:lang w:eastAsia="zh-CN"/>
        </w:rPr>
        <w:t>0.35%</w:t>
      </w:r>
      <w:r>
        <w:rPr>
          <w:rStyle w:val="da"/>
          <w:rFonts w:ascii="宋体" w:hAnsi="Calibri" w:cs="宋体"/>
          <w:szCs w:val="21"/>
          <w:lang w:eastAsia="zh-CN"/>
        </w:rPr>
        <w:t>以内，年化跟踪误差控制在</w:t>
      </w:r>
      <w:r>
        <w:rPr>
          <w:rStyle w:val="da"/>
          <w:rFonts w:ascii="宋体" w:hAnsi="Calibri" w:cs="宋体"/>
          <w:szCs w:val="21"/>
          <w:lang w:eastAsia="zh-CN"/>
        </w:rPr>
        <w:t>4%</w:t>
      </w:r>
      <w:r>
        <w:rPr>
          <w:rStyle w:val="da"/>
          <w:rFonts w:ascii="宋体" w:hAnsi="Calibri" w:cs="宋体"/>
          <w:szCs w:val="21"/>
          <w:lang w:eastAsia="zh-CN"/>
        </w:rPr>
        <w:t>以内。如因标的指数编制规则调整或其他因素导致跟踪误</w:t>
      </w:r>
      <w:r>
        <w:rPr>
          <w:rStyle w:val="da"/>
          <w:rFonts w:ascii="宋体" w:hAnsi="Calibri" w:cs="宋体"/>
          <w:szCs w:val="21"/>
          <w:lang w:eastAsia="zh-CN"/>
        </w:rPr>
        <w:t>差超过上述范围，基金管理人应采取合理措施避免跟踪误差进一步扩大。</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5</w:t>
      </w:r>
      <w:r>
        <w:rPr>
          <w:rStyle w:val="da"/>
          <w:rFonts w:ascii="宋体" w:hAnsi="Calibri" w:cs="宋体"/>
          <w:szCs w:val="21"/>
          <w:lang w:eastAsia="zh-CN"/>
        </w:rPr>
        <w:t>、未来可能变更业绩比较基准的情况和程序</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若本基金调整业绩比较基准的要素权重，本基金将根据法律法规、中国证监会的规定和基金合同约定履行相关程序。</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未来若出现标的指数不符合法律法规及监管要求（因成份股价格波动等指数编制方法变动之外的因素致使标的指数不符合要求的情形除外）、指数编制机构退出等情形，基金管理人应当自该情形发生之日起十个工作日向中国证监会报告并提出解决方案，如转换运作方式、与其他基金合并、或者终止基金合同等，并在</w:t>
      </w:r>
      <w:r>
        <w:rPr>
          <w:rStyle w:val="da"/>
          <w:rFonts w:ascii="宋体" w:hAnsi="Calibri" w:cs="宋体" w:hint="eastAsia"/>
          <w:szCs w:val="21"/>
          <w:highlight w:val="white"/>
          <w:lang w:eastAsia="zh-CN"/>
        </w:rPr>
        <w:t>6</w:t>
      </w:r>
      <w:r>
        <w:rPr>
          <w:rStyle w:val="da"/>
          <w:rFonts w:ascii="宋体" w:hAnsi="Calibri" w:cs="宋体" w:hint="eastAsia"/>
          <w:szCs w:val="21"/>
          <w:highlight w:val="white"/>
          <w:lang w:eastAsia="zh-CN"/>
        </w:rPr>
        <w:t>个月内召集基金份额持</w:t>
      </w:r>
      <w:r>
        <w:rPr>
          <w:rStyle w:val="da"/>
          <w:rFonts w:ascii="宋体" w:hAnsi="Calibri" w:cs="宋体" w:hint="eastAsia"/>
          <w:szCs w:val="21"/>
          <w:highlight w:val="white"/>
          <w:lang w:eastAsia="zh-CN"/>
        </w:rPr>
        <w:t>有人大会进行表决，基金份额持有人大会未成功召开或就上述事项表决未通过的，基金合同终止。</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自指数编制机构停止标的指数的编制及发布至解决方案确定期间，基金管理人应按照指数编制机构提供的最近一个交易日的指数信息遵循基金份额持有人利益优先原则维持基金投资运作。</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法律法规或监管机构另有规定的，从其规定。</w:t>
      </w:r>
    </w:p>
    <w:p w:rsidR="004A090B">
      <w:pPr>
        <w:spacing w:line="360" w:lineRule="auto"/>
        <w:ind w:firstLine="420"/>
        <w:rPr>
          <w:rStyle w:val="da"/>
          <w:rFonts w:ascii="宋体" w:hAnsi="Calibri" w:cs="宋体"/>
          <w:szCs w:val="21"/>
          <w:lang w:eastAsia="zh-CN"/>
        </w:rPr>
      </w:pPr>
      <w:r>
        <w:rPr>
          <w:rFonts w:ascii="宋体" w:hAnsi="Calibri" w:cs="宋体" w:hint="eastAsia"/>
          <w:color w:val="000000"/>
          <w:szCs w:val="21"/>
          <w:lang w:eastAsia="zh-CN"/>
        </w:rPr>
        <w:t>五</w:t>
      </w:r>
      <w:r>
        <w:rPr>
          <w:rStyle w:val="da"/>
          <w:rFonts w:ascii="宋体" w:hAnsi="Calibri" w:cs="宋体" w:hint="eastAsia"/>
          <w:szCs w:val="21"/>
          <w:lang w:eastAsia="zh-CN"/>
        </w:rPr>
        <w:t>、风险收益特征</w:t>
      </w:r>
      <w:bookmarkEnd w:id="1825"/>
    </w:p>
    <w:p w:rsidR="004A090B">
      <w:pPr>
        <w:spacing w:line="360" w:lineRule="auto"/>
        <w:ind w:firstLine="420"/>
        <w:rPr>
          <w:rStyle w:val="da"/>
          <w:rFonts w:ascii="宋体" w:hAnsi="Calibri" w:cs="宋体"/>
          <w:szCs w:val="21"/>
          <w:lang w:eastAsia="zh-CN"/>
        </w:rPr>
      </w:pPr>
      <w:bookmarkStart w:id="1826" w:name="_Toc332373533"/>
      <w:r>
        <w:rPr>
          <w:rStyle w:val="da"/>
          <w:rFonts w:ascii="宋体" w:hAnsi="Calibri" w:cs="宋体" w:hint="eastAsia"/>
          <w:szCs w:val="21"/>
          <w:lang w:eastAsia="zh-CN"/>
        </w:rPr>
        <w:t>本基金为</w:t>
      </w:r>
      <w:r>
        <w:rPr>
          <w:rStyle w:val="da"/>
          <w:rFonts w:ascii="宋体" w:hAnsi="Calibri" w:cs="宋体" w:hint="eastAsia"/>
          <w:szCs w:val="21"/>
          <w:lang w:eastAsia="zh-CN"/>
        </w:rPr>
        <w:t>ETF</w:t>
      </w:r>
      <w:r>
        <w:rPr>
          <w:rStyle w:val="da"/>
          <w:rFonts w:ascii="宋体" w:hAnsi="Calibri" w:cs="宋体" w:hint="eastAsia"/>
          <w:szCs w:val="21"/>
          <w:lang w:eastAsia="zh-CN"/>
        </w:rPr>
        <w:t>联接基金，预期风险与预期收益水平高于混合型基金、债券型基金与货币市场基金。本基金主要通过投资于目标</w:t>
      </w:r>
      <w:r>
        <w:rPr>
          <w:rStyle w:val="da"/>
          <w:rFonts w:ascii="宋体" w:hAnsi="Calibri" w:cs="宋体" w:hint="eastAsia"/>
          <w:szCs w:val="21"/>
          <w:lang w:eastAsia="zh-CN"/>
        </w:rPr>
        <w:t>ETF</w:t>
      </w:r>
      <w:r>
        <w:rPr>
          <w:rStyle w:val="da"/>
          <w:rFonts w:ascii="宋体" w:hAnsi="Calibri" w:cs="宋体" w:hint="eastAsia"/>
          <w:szCs w:val="21"/>
          <w:lang w:eastAsia="zh-CN"/>
        </w:rPr>
        <w:t>实现对业绩比较基准的紧密跟踪。因此，本基金的业绩表现与标的指数的表现密切相关。</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六、投资禁止行为与限制</w:t>
      </w:r>
      <w:bookmarkEnd w:id="1826"/>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1</w:t>
      </w:r>
      <w:r>
        <w:rPr>
          <w:rStyle w:val="da"/>
          <w:rFonts w:ascii="宋体" w:hAnsi="Calibri" w:cs="宋体" w:hint="eastAsia"/>
          <w:szCs w:val="21"/>
          <w:lang w:eastAsia="zh-CN"/>
        </w:rPr>
        <w:t>、禁止行为</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为维护基金份额持有人的合法权益，基金财产不得用于下列投资或者活动：</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w:t>
      </w:r>
      <w:r>
        <w:rPr>
          <w:rStyle w:val="da"/>
          <w:rFonts w:ascii="宋体" w:hAnsi="Calibri" w:cs="宋体" w:hint="eastAsia"/>
          <w:szCs w:val="21"/>
          <w:highlight w:val="white"/>
          <w:lang w:eastAsia="zh-CN"/>
        </w:rPr>
        <w:t>）承销证券；</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2</w:t>
      </w:r>
      <w:r>
        <w:rPr>
          <w:rStyle w:val="da"/>
          <w:rFonts w:ascii="宋体" w:hAnsi="Calibri" w:cs="宋体" w:hint="eastAsia"/>
          <w:szCs w:val="21"/>
          <w:highlight w:val="white"/>
          <w:lang w:eastAsia="zh-CN"/>
        </w:rPr>
        <w:t>）违反规定向他人贷款或者提供担保；</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3</w:t>
      </w:r>
      <w:r>
        <w:rPr>
          <w:rStyle w:val="da"/>
          <w:rFonts w:ascii="宋体" w:hAnsi="Calibri" w:cs="宋体" w:hint="eastAsia"/>
          <w:szCs w:val="21"/>
          <w:highlight w:val="white"/>
          <w:lang w:eastAsia="zh-CN"/>
        </w:rPr>
        <w:t>）从事承担无限责任的投资；</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4</w:t>
      </w:r>
      <w:r>
        <w:rPr>
          <w:rStyle w:val="da"/>
          <w:rFonts w:ascii="宋体" w:hAnsi="Calibri" w:cs="宋体" w:hint="eastAsia"/>
          <w:szCs w:val="21"/>
          <w:highlight w:val="white"/>
          <w:lang w:eastAsia="zh-CN"/>
        </w:rPr>
        <w:t>）向其基金管理人、基金托管人出资；</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5</w:t>
      </w:r>
      <w:r>
        <w:rPr>
          <w:rStyle w:val="da"/>
          <w:rFonts w:ascii="宋体" w:hAnsi="Calibri" w:cs="宋体" w:hint="eastAsia"/>
          <w:szCs w:val="21"/>
          <w:highlight w:val="white"/>
          <w:lang w:eastAsia="zh-CN"/>
        </w:rPr>
        <w:t>）从事内幕交易、操纵证券交易价格及其他不正当的证券交易活动；</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6</w:t>
      </w:r>
      <w:r>
        <w:rPr>
          <w:rStyle w:val="da"/>
          <w:rFonts w:ascii="宋体" w:hAnsi="Calibri" w:cs="宋体" w:hint="eastAsia"/>
          <w:szCs w:val="21"/>
          <w:highlight w:val="white"/>
          <w:lang w:eastAsia="zh-CN"/>
        </w:rPr>
        <w:t>）法律、行政法规和中国证监会规定禁止的其他活动。</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2</w:t>
      </w:r>
      <w:r>
        <w:rPr>
          <w:rStyle w:val="da"/>
          <w:rFonts w:ascii="宋体" w:hAnsi="Calibri" w:cs="宋体" w:hint="eastAsia"/>
          <w:szCs w:val="21"/>
          <w:lang w:eastAsia="zh-CN"/>
        </w:rPr>
        <w:t>、投资组合限制</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基金的投资组合应遵循以下限制：</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w:t>
      </w:r>
      <w:r>
        <w:rPr>
          <w:rStyle w:val="da"/>
          <w:rFonts w:ascii="宋体" w:hAnsi="Calibri" w:cs="宋体" w:hint="eastAsia"/>
          <w:szCs w:val="21"/>
          <w:highlight w:val="white"/>
          <w:lang w:eastAsia="zh-CN"/>
        </w:rPr>
        <w:t>）本基金投资于目标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的资产不低于基金资产净值的</w:t>
      </w:r>
      <w:r>
        <w:rPr>
          <w:rStyle w:val="da"/>
          <w:rFonts w:ascii="宋体" w:hAnsi="Calibri" w:cs="宋体" w:hint="eastAsia"/>
          <w:szCs w:val="21"/>
          <w:highlight w:val="white"/>
          <w:lang w:eastAsia="zh-CN"/>
        </w:rPr>
        <w:t>90%</w:t>
      </w:r>
      <w:r>
        <w:rPr>
          <w:rStyle w:val="da"/>
          <w:rFonts w:ascii="宋体" w:hAnsi="Calibri" w:cs="宋体" w:hint="eastAsia"/>
          <w:szCs w:val="21"/>
          <w:highlight w:val="white"/>
          <w:lang w:eastAsia="zh-CN"/>
        </w:rPr>
        <w:t>；</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2</w:t>
      </w:r>
      <w:r>
        <w:rPr>
          <w:rStyle w:val="da"/>
          <w:rFonts w:ascii="宋体" w:hAnsi="Calibri" w:cs="宋体" w:hint="eastAsia"/>
          <w:szCs w:val="21"/>
          <w:highlight w:val="white"/>
          <w:lang w:eastAsia="zh-CN"/>
        </w:rPr>
        <w:t>）保持不低于基金资产净值</w:t>
      </w:r>
      <w:r>
        <w:rPr>
          <w:rStyle w:val="da"/>
          <w:rFonts w:ascii="宋体" w:hAnsi="Calibri" w:cs="宋体" w:hint="eastAsia"/>
          <w:szCs w:val="21"/>
          <w:highlight w:val="white"/>
          <w:lang w:eastAsia="zh-CN"/>
        </w:rPr>
        <w:t>5%</w:t>
      </w:r>
      <w:r>
        <w:rPr>
          <w:rStyle w:val="da"/>
          <w:rFonts w:ascii="宋体" w:hAnsi="Calibri" w:cs="宋体" w:hint="eastAsia"/>
          <w:szCs w:val="21"/>
          <w:highlight w:val="white"/>
          <w:lang w:eastAsia="zh-CN"/>
        </w:rPr>
        <w:t>的现金或者</w:t>
      </w:r>
      <w:r>
        <w:rPr>
          <w:rStyle w:val="da"/>
          <w:rFonts w:ascii="宋体" w:hAnsi="Calibri" w:cs="宋体" w:hint="eastAsia"/>
          <w:szCs w:val="21"/>
          <w:highlight w:val="white"/>
          <w:lang w:eastAsia="zh-CN"/>
        </w:rPr>
        <w:t>到期日在一年以内的政府债券，其中现金不包括结算备付金、存出保证金和应收申购款等；</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3</w:t>
      </w:r>
      <w:r>
        <w:rPr>
          <w:rStyle w:val="da"/>
          <w:rFonts w:ascii="宋体" w:hAnsi="Calibri" w:cs="宋体" w:hint="eastAsia"/>
          <w:szCs w:val="21"/>
          <w:highlight w:val="white"/>
          <w:lang w:eastAsia="zh-CN"/>
        </w:rPr>
        <w:t>）本基金投资于同一原始权益人的各类资产支持证券的比例，不得超过基金资产净值的</w:t>
      </w:r>
      <w:r>
        <w:rPr>
          <w:rStyle w:val="da"/>
          <w:rFonts w:ascii="宋体" w:hAnsi="Calibri" w:cs="宋体" w:hint="eastAsia"/>
          <w:szCs w:val="21"/>
          <w:highlight w:val="white"/>
          <w:lang w:eastAsia="zh-CN"/>
        </w:rPr>
        <w:t>10%</w:t>
      </w:r>
      <w:r>
        <w:rPr>
          <w:rStyle w:val="da"/>
          <w:rFonts w:ascii="宋体" w:hAnsi="Calibri" w:cs="宋体" w:hint="eastAsia"/>
          <w:szCs w:val="21"/>
          <w:highlight w:val="white"/>
          <w:lang w:eastAsia="zh-CN"/>
        </w:rPr>
        <w:t>；</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4</w:t>
      </w:r>
      <w:r>
        <w:rPr>
          <w:rStyle w:val="da"/>
          <w:rFonts w:ascii="宋体" w:hAnsi="Calibri" w:cs="宋体" w:hint="eastAsia"/>
          <w:szCs w:val="21"/>
          <w:highlight w:val="white"/>
          <w:lang w:eastAsia="zh-CN"/>
        </w:rPr>
        <w:t>）本基金持有的全部资产支持证券，其市值不得超过基金资产净值的</w:t>
      </w:r>
      <w:r>
        <w:rPr>
          <w:rStyle w:val="da"/>
          <w:rFonts w:ascii="宋体" w:hAnsi="Calibri" w:cs="宋体" w:hint="eastAsia"/>
          <w:szCs w:val="21"/>
          <w:highlight w:val="white"/>
          <w:lang w:eastAsia="zh-CN"/>
        </w:rPr>
        <w:t>20%</w:t>
      </w:r>
      <w:r>
        <w:rPr>
          <w:rStyle w:val="da"/>
          <w:rFonts w:ascii="宋体" w:hAnsi="Calibri" w:cs="宋体" w:hint="eastAsia"/>
          <w:szCs w:val="21"/>
          <w:highlight w:val="white"/>
          <w:lang w:eastAsia="zh-CN"/>
        </w:rPr>
        <w:t>；</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5</w:t>
      </w:r>
      <w:r>
        <w:rPr>
          <w:rStyle w:val="da"/>
          <w:rFonts w:ascii="宋体" w:hAnsi="Calibri" w:cs="宋体" w:hint="eastAsia"/>
          <w:szCs w:val="21"/>
          <w:highlight w:val="white"/>
          <w:lang w:eastAsia="zh-CN"/>
        </w:rPr>
        <w:t>）本基金持有的同一</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指同一信用级别</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资产支持证券的比例，不得超过该资产支持证券规模的</w:t>
      </w:r>
      <w:r>
        <w:rPr>
          <w:rStyle w:val="da"/>
          <w:rFonts w:ascii="宋体" w:hAnsi="Calibri" w:cs="宋体" w:hint="eastAsia"/>
          <w:szCs w:val="21"/>
          <w:highlight w:val="white"/>
          <w:lang w:eastAsia="zh-CN"/>
        </w:rPr>
        <w:t>10%</w:t>
      </w:r>
      <w:r>
        <w:rPr>
          <w:rStyle w:val="da"/>
          <w:rFonts w:ascii="宋体" w:hAnsi="Calibri" w:cs="宋体" w:hint="eastAsia"/>
          <w:szCs w:val="21"/>
          <w:highlight w:val="white"/>
          <w:lang w:eastAsia="zh-CN"/>
        </w:rPr>
        <w:t>；</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6</w:t>
      </w:r>
      <w:r>
        <w:rPr>
          <w:rStyle w:val="da"/>
          <w:rFonts w:ascii="宋体" w:hAnsi="Calibri" w:cs="宋体" w:hint="eastAsia"/>
          <w:szCs w:val="21"/>
          <w:highlight w:val="white"/>
          <w:lang w:eastAsia="zh-CN"/>
        </w:rPr>
        <w:t>）本基金管理人管理的全部基金投资于同一原始权益人的各类资产支持证券，不得超过其各类资产支持证券合计规模的</w:t>
      </w:r>
      <w:r>
        <w:rPr>
          <w:rStyle w:val="da"/>
          <w:rFonts w:ascii="宋体" w:hAnsi="Calibri" w:cs="宋体" w:hint="eastAsia"/>
          <w:szCs w:val="21"/>
          <w:highlight w:val="white"/>
          <w:lang w:eastAsia="zh-CN"/>
        </w:rPr>
        <w:t>10%</w:t>
      </w:r>
      <w:r>
        <w:rPr>
          <w:rStyle w:val="da"/>
          <w:rFonts w:ascii="宋体" w:hAnsi="Calibri" w:cs="宋体" w:hint="eastAsia"/>
          <w:szCs w:val="21"/>
          <w:highlight w:val="white"/>
          <w:lang w:eastAsia="zh-CN"/>
        </w:rPr>
        <w:t>；</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7</w:t>
      </w:r>
      <w:r>
        <w:rPr>
          <w:rStyle w:val="da"/>
          <w:rFonts w:ascii="宋体" w:hAnsi="Calibri" w:cs="宋体" w:hint="eastAsia"/>
          <w:szCs w:val="21"/>
          <w:highlight w:val="white"/>
          <w:lang w:eastAsia="zh-CN"/>
        </w:rPr>
        <w:t>）本基金应投资于信用级别评级为</w:t>
      </w:r>
      <w:r>
        <w:rPr>
          <w:rStyle w:val="da"/>
          <w:rFonts w:ascii="宋体" w:hAnsi="Calibri" w:cs="宋体" w:hint="eastAsia"/>
          <w:szCs w:val="21"/>
          <w:highlight w:val="white"/>
          <w:lang w:eastAsia="zh-CN"/>
        </w:rPr>
        <w:t>BBB</w:t>
      </w:r>
      <w:r>
        <w:rPr>
          <w:rStyle w:val="da"/>
          <w:rFonts w:ascii="宋体" w:hAnsi="Calibri" w:cs="宋体" w:hint="eastAsia"/>
          <w:szCs w:val="21"/>
          <w:highlight w:val="white"/>
          <w:lang w:eastAsia="zh-CN"/>
        </w:rPr>
        <w:t>以上</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含</w:t>
      </w:r>
      <w:r>
        <w:rPr>
          <w:rStyle w:val="da"/>
          <w:rFonts w:ascii="宋体" w:hAnsi="Calibri" w:cs="宋体" w:hint="eastAsia"/>
          <w:szCs w:val="21"/>
          <w:highlight w:val="white"/>
          <w:lang w:eastAsia="zh-CN"/>
        </w:rPr>
        <w:t>BBB)</w:t>
      </w:r>
      <w:r>
        <w:rPr>
          <w:rStyle w:val="da"/>
          <w:rFonts w:ascii="宋体" w:hAnsi="Calibri" w:cs="宋体" w:hint="eastAsia"/>
          <w:szCs w:val="21"/>
          <w:highlight w:val="white"/>
          <w:lang w:eastAsia="zh-CN"/>
        </w:rPr>
        <w:t>的资产支持证券。基金持有资产支持证券期间，如果其信用等级下降、不再符合投资标准，应在评级报告发布之日起</w:t>
      </w:r>
      <w:r>
        <w:rPr>
          <w:rStyle w:val="da"/>
          <w:rFonts w:ascii="宋体" w:hAnsi="Calibri" w:cs="宋体" w:hint="eastAsia"/>
          <w:szCs w:val="21"/>
          <w:highlight w:val="white"/>
          <w:lang w:eastAsia="zh-CN"/>
        </w:rPr>
        <w:t>3</w:t>
      </w:r>
      <w:r>
        <w:rPr>
          <w:rStyle w:val="da"/>
          <w:rFonts w:ascii="宋体" w:hAnsi="Calibri" w:cs="宋体" w:hint="eastAsia"/>
          <w:szCs w:val="21"/>
          <w:highlight w:val="white"/>
          <w:lang w:eastAsia="zh-CN"/>
        </w:rPr>
        <w:t>个月内予以全部卖出；</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8</w:t>
      </w:r>
      <w:r>
        <w:rPr>
          <w:rStyle w:val="da"/>
          <w:rFonts w:ascii="宋体" w:hAnsi="Calibri" w:cs="宋体" w:hint="eastAsia"/>
          <w:szCs w:val="21"/>
          <w:highlight w:val="white"/>
          <w:lang w:eastAsia="zh-CN"/>
        </w:rPr>
        <w:t>）基金财产参与股票发行申购，本基金所申报的金额不超过本基金的总资产，本基金所申报的股票数量不超过拟发行股票公司本次发行股票的总量；</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9</w:t>
      </w:r>
      <w:r>
        <w:rPr>
          <w:rStyle w:val="da"/>
          <w:rFonts w:ascii="宋体" w:hAnsi="Calibri" w:cs="宋体" w:hint="eastAsia"/>
          <w:szCs w:val="21"/>
          <w:highlight w:val="white"/>
          <w:lang w:eastAsia="zh-CN"/>
        </w:rPr>
        <w:t>）本基金参与股指期货交易的，应当符合下列要求：在任何交易日日终，持有的买入股指期货合约价值，不得超过基金资产净值的</w:t>
      </w:r>
      <w:r>
        <w:rPr>
          <w:rStyle w:val="da"/>
          <w:rFonts w:ascii="宋体" w:hAnsi="Calibri" w:cs="宋体" w:hint="eastAsia"/>
          <w:szCs w:val="21"/>
          <w:highlight w:val="white"/>
          <w:lang w:eastAsia="zh-CN"/>
        </w:rPr>
        <w:t>10%</w:t>
      </w:r>
      <w:r>
        <w:rPr>
          <w:rStyle w:val="da"/>
          <w:rFonts w:ascii="宋体" w:hAnsi="Calibri" w:cs="宋体" w:hint="eastAsia"/>
          <w:szCs w:val="21"/>
          <w:highlight w:val="white"/>
          <w:lang w:eastAsia="zh-CN"/>
        </w:rPr>
        <w:t>；在任何交易日日终，持有的买入国债期货和股指期货合约价值与有价证券市值</w:t>
      </w:r>
      <w:r>
        <w:rPr>
          <w:rStyle w:val="da"/>
          <w:rFonts w:ascii="宋体" w:hAnsi="Calibri" w:cs="宋体" w:hint="eastAsia"/>
          <w:szCs w:val="21"/>
          <w:highlight w:val="white"/>
          <w:lang w:eastAsia="zh-CN"/>
        </w:rPr>
        <w:t>之和，不得超过基金资产净值的</w:t>
      </w:r>
      <w:r>
        <w:rPr>
          <w:rStyle w:val="da"/>
          <w:rFonts w:ascii="宋体" w:hAnsi="Calibri" w:cs="宋体" w:hint="eastAsia"/>
          <w:szCs w:val="21"/>
          <w:highlight w:val="white"/>
          <w:lang w:eastAsia="zh-CN"/>
        </w:rPr>
        <w:t>100%</w:t>
      </w:r>
      <w:r>
        <w:rPr>
          <w:rStyle w:val="da"/>
          <w:rFonts w:ascii="宋体" w:hAnsi="Calibri" w:cs="宋体" w:hint="eastAsia"/>
          <w:szCs w:val="21"/>
          <w:highlight w:val="white"/>
          <w:lang w:eastAsia="zh-CN"/>
        </w:rPr>
        <w:t>，其中，有价证券指目标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、股票、债券（不含到期日在一年以内的政府债券）、资产支持证券、买入返售金融资产（不含质押式回购）等；在任何交易日日终，持有的卖出股指期货合约价值不得超过基金持有的股票及目标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总市值的</w:t>
      </w:r>
      <w:r>
        <w:rPr>
          <w:rStyle w:val="da"/>
          <w:rFonts w:ascii="宋体" w:hAnsi="Calibri" w:cs="宋体" w:hint="eastAsia"/>
          <w:szCs w:val="21"/>
          <w:highlight w:val="white"/>
          <w:lang w:eastAsia="zh-CN"/>
        </w:rPr>
        <w:t>20%</w:t>
      </w:r>
      <w:r>
        <w:rPr>
          <w:rStyle w:val="da"/>
          <w:rFonts w:ascii="宋体" w:hAnsi="Calibri" w:cs="宋体" w:hint="eastAsia"/>
          <w:szCs w:val="21"/>
          <w:highlight w:val="white"/>
          <w:lang w:eastAsia="zh-CN"/>
        </w:rPr>
        <w:t>；持有的股票市值和买入、卖出股指期货合约价值，合计（轧差计算）应当符合基金合同关于股票投资比例的有关约定；在任何交易日内交易（不包括平仓）的股指期货合约的成交金额不得超过上一交易日基金资产净值的</w:t>
      </w:r>
      <w:r>
        <w:rPr>
          <w:rStyle w:val="da"/>
          <w:rFonts w:ascii="宋体" w:hAnsi="Calibri" w:cs="宋体" w:hint="eastAsia"/>
          <w:szCs w:val="21"/>
          <w:highlight w:val="white"/>
          <w:lang w:eastAsia="zh-CN"/>
        </w:rPr>
        <w:t>20%</w:t>
      </w:r>
      <w:r>
        <w:rPr>
          <w:rStyle w:val="da"/>
          <w:rFonts w:ascii="宋体" w:hAnsi="Calibri" w:cs="宋体" w:hint="eastAsia"/>
          <w:szCs w:val="21"/>
          <w:highlight w:val="white"/>
          <w:lang w:eastAsia="zh-CN"/>
        </w:rPr>
        <w:t>；每个交易日日终，扣除股指期货、国债期货合约需缴纳的交易</w:t>
      </w:r>
      <w:r>
        <w:rPr>
          <w:rStyle w:val="da"/>
          <w:rFonts w:ascii="宋体" w:hAnsi="Calibri" w:cs="宋体" w:hint="eastAsia"/>
          <w:szCs w:val="21"/>
          <w:highlight w:val="white"/>
          <w:lang w:eastAsia="zh-CN"/>
        </w:rPr>
        <w:t>保证金后，保持不低于基金资产净值</w:t>
      </w:r>
      <w:r>
        <w:rPr>
          <w:rStyle w:val="da"/>
          <w:rFonts w:ascii="宋体" w:hAnsi="Calibri" w:cs="宋体" w:hint="eastAsia"/>
          <w:szCs w:val="21"/>
          <w:highlight w:val="white"/>
          <w:lang w:eastAsia="zh-CN"/>
        </w:rPr>
        <w:t>5%</w:t>
      </w:r>
      <w:r>
        <w:rPr>
          <w:rStyle w:val="da"/>
          <w:rFonts w:ascii="宋体" w:hAnsi="Calibri" w:cs="宋体" w:hint="eastAsia"/>
          <w:szCs w:val="21"/>
          <w:highlight w:val="white"/>
          <w:lang w:eastAsia="zh-CN"/>
        </w:rPr>
        <w:t>的现金或者到期日在一年以内的政府债券，其中现金不包括结算备付金、存出保证金和应收申购款等；</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10</w:t>
      </w:r>
      <w:r>
        <w:rPr>
          <w:rStyle w:val="da"/>
          <w:rFonts w:ascii="宋体" w:hAnsi="Calibri" w:cs="宋体" w:hint="eastAsia"/>
          <w:szCs w:val="21"/>
          <w:highlight w:val="white"/>
          <w:lang w:eastAsia="zh-CN"/>
        </w:rPr>
        <w:t>）本基金参与国债期货交易的，应当符合下列要求：在任何交易日日终，本基金持有的买入国债期货合约价值，不得超过基金资产净值的</w:t>
      </w:r>
      <w:r>
        <w:rPr>
          <w:rStyle w:val="da"/>
          <w:rFonts w:ascii="宋体" w:hAnsi="Calibri" w:cs="宋体" w:hint="eastAsia"/>
          <w:szCs w:val="21"/>
          <w:highlight w:val="white"/>
          <w:lang w:eastAsia="zh-CN"/>
        </w:rPr>
        <w:t>15%</w:t>
      </w:r>
      <w:r>
        <w:rPr>
          <w:rStyle w:val="da"/>
          <w:rFonts w:ascii="宋体" w:hAnsi="Calibri" w:cs="宋体" w:hint="eastAsia"/>
          <w:szCs w:val="21"/>
          <w:highlight w:val="white"/>
          <w:lang w:eastAsia="zh-CN"/>
        </w:rPr>
        <w:t>；本基金在任何交易日日终，持有的卖出国债期货合约价值不得超过基金持有的债券总市值的</w:t>
      </w:r>
      <w:r>
        <w:rPr>
          <w:rStyle w:val="da"/>
          <w:rFonts w:ascii="宋体" w:hAnsi="Calibri" w:cs="宋体" w:hint="eastAsia"/>
          <w:szCs w:val="21"/>
          <w:highlight w:val="white"/>
          <w:lang w:eastAsia="zh-CN"/>
        </w:rPr>
        <w:t>30%</w:t>
      </w:r>
      <w:r>
        <w:rPr>
          <w:rStyle w:val="da"/>
          <w:rFonts w:ascii="宋体" w:hAnsi="Calibri" w:cs="宋体" w:hint="eastAsia"/>
          <w:szCs w:val="21"/>
          <w:highlight w:val="white"/>
          <w:lang w:eastAsia="zh-CN"/>
        </w:rPr>
        <w:t>；本基金在任何交易日内交易（不包括平仓）的国债期货合约的成交金额不得超过上一交易日基金资产净值的</w:t>
      </w:r>
      <w:r>
        <w:rPr>
          <w:rStyle w:val="da"/>
          <w:rFonts w:ascii="宋体" w:hAnsi="Calibri" w:cs="宋体" w:hint="eastAsia"/>
          <w:szCs w:val="21"/>
          <w:highlight w:val="white"/>
          <w:lang w:eastAsia="zh-CN"/>
        </w:rPr>
        <w:t>30%</w:t>
      </w:r>
      <w:r>
        <w:rPr>
          <w:rStyle w:val="da"/>
          <w:rFonts w:ascii="宋体" w:hAnsi="Calibri" w:cs="宋体" w:hint="eastAsia"/>
          <w:szCs w:val="21"/>
          <w:highlight w:val="white"/>
          <w:lang w:eastAsia="zh-CN"/>
        </w:rPr>
        <w:t>；本基金所持有的债券（不含到期日在一年以内的政府债券）市值和买</w:t>
      </w:r>
      <w:r>
        <w:rPr>
          <w:rStyle w:val="da"/>
          <w:rFonts w:ascii="宋体" w:hAnsi="Calibri" w:cs="宋体" w:hint="eastAsia"/>
          <w:szCs w:val="21"/>
          <w:highlight w:val="white"/>
          <w:lang w:eastAsia="zh-CN"/>
        </w:rPr>
        <w:t>入、卖出国债期货合约价值，合计（轧差计算）应当符合基金合同关于债券投资比例的有关约定；</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11</w:t>
      </w:r>
      <w:r>
        <w:rPr>
          <w:rStyle w:val="da"/>
          <w:rFonts w:ascii="宋体" w:hAnsi="Calibri" w:cs="宋体" w:hint="eastAsia"/>
          <w:szCs w:val="21"/>
          <w:highlight w:val="white"/>
          <w:lang w:eastAsia="zh-CN"/>
        </w:rPr>
        <w:t>）本基金参与股票期权交易的，应当符合下列要求：基金因未平仓的期权合约支付和收取的权利金总额不得超过基金资产净值的</w:t>
      </w:r>
      <w:r>
        <w:rPr>
          <w:rStyle w:val="da"/>
          <w:rFonts w:ascii="宋体" w:hAnsi="Calibri" w:cs="宋体" w:hint="eastAsia"/>
          <w:szCs w:val="21"/>
          <w:highlight w:val="white"/>
          <w:lang w:eastAsia="zh-CN"/>
        </w:rPr>
        <w:t>10%</w:t>
      </w:r>
      <w:r>
        <w:rPr>
          <w:rStyle w:val="da"/>
          <w:rFonts w:ascii="宋体" w:hAnsi="Calibri" w:cs="宋体" w:hint="eastAsia"/>
          <w:szCs w:val="21"/>
          <w:highlight w:val="white"/>
          <w:lang w:eastAsia="zh-CN"/>
        </w:rPr>
        <w:t>；开仓卖出认购期权的，应持有足额标的证券；开仓卖出认沽期权的，应持有合约行权所需的全额现金或交易所规则认可的可冲抵期权保证金的现金等价物；未平仓的期权合约面值不得超过基金资产净值的</w:t>
      </w:r>
      <w:r>
        <w:rPr>
          <w:rStyle w:val="da"/>
          <w:rFonts w:ascii="宋体" w:hAnsi="Calibri" w:cs="宋体" w:hint="eastAsia"/>
          <w:szCs w:val="21"/>
          <w:highlight w:val="white"/>
          <w:lang w:eastAsia="zh-CN"/>
        </w:rPr>
        <w:t>20%</w:t>
      </w:r>
      <w:r>
        <w:rPr>
          <w:rStyle w:val="da"/>
          <w:rFonts w:ascii="宋体" w:hAnsi="Calibri" w:cs="宋体" w:hint="eastAsia"/>
          <w:szCs w:val="21"/>
          <w:highlight w:val="white"/>
          <w:lang w:eastAsia="zh-CN"/>
        </w:rPr>
        <w:t>。其中，合约面值按照行权价乘以合约乘数计算；</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12</w:t>
      </w:r>
      <w:r>
        <w:rPr>
          <w:rStyle w:val="da"/>
          <w:rFonts w:ascii="宋体" w:hAnsi="Calibri" w:cs="宋体" w:hint="eastAsia"/>
          <w:szCs w:val="21"/>
          <w:highlight w:val="white"/>
          <w:lang w:eastAsia="zh-CN"/>
        </w:rPr>
        <w:t>）基金参与融资业务后，在任何交易日日终，持有的融资买入股票与其</w:t>
      </w:r>
      <w:r>
        <w:rPr>
          <w:rStyle w:val="da"/>
          <w:rFonts w:ascii="宋体" w:hAnsi="Calibri" w:cs="宋体" w:hint="eastAsia"/>
          <w:szCs w:val="21"/>
          <w:highlight w:val="white"/>
          <w:lang w:eastAsia="zh-CN"/>
        </w:rPr>
        <w:t>他有价证券市值之和，不得超过基金资产净值的</w:t>
      </w:r>
      <w:r>
        <w:rPr>
          <w:rStyle w:val="da"/>
          <w:rFonts w:ascii="宋体" w:hAnsi="Calibri" w:cs="宋体" w:hint="eastAsia"/>
          <w:szCs w:val="21"/>
          <w:highlight w:val="white"/>
          <w:lang w:eastAsia="zh-CN"/>
        </w:rPr>
        <w:t>95%</w:t>
      </w:r>
      <w:r>
        <w:rPr>
          <w:rStyle w:val="da"/>
          <w:rFonts w:ascii="宋体" w:hAnsi="Calibri" w:cs="宋体" w:hint="eastAsia"/>
          <w:szCs w:val="21"/>
          <w:highlight w:val="white"/>
          <w:lang w:eastAsia="zh-CN"/>
        </w:rPr>
        <w:t>；</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13</w:t>
      </w:r>
      <w:r>
        <w:rPr>
          <w:rStyle w:val="da"/>
          <w:rFonts w:ascii="宋体" w:hAnsi="Calibri" w:cs="宋体" w:hint="eastAsia"/>
          <w:szCs w:val="21"/>
          <w:highlight w:val="white"/>
          <w:lang w:eastAsia="zh-CN"/>
        </w:rPr>
        <w:t>）本基金参与转融通证券出借业务的，应当符合下列要求：出借证券资产不得超过基金资产净值的</w:t>
      </w:r>
      <w:r>
        <w:rPr>
          <w:rStyle w:val="da"/>
          <w:rFonts w:ascii="宋体" w:hAnsi="Calibri" w:cs="宋体" w:hint="eastAsia"/>
          <w:szCs w:val="21"/>
          <w:highlight w:val="white"/>
          <w:lang w:eastAsia="zh-CN"/>
        </w:rPr>
        <w:t>30%</w:t>
      </w:r>
      <w:r>
        <w:rPr>
          <w:rStyle w:val="da"/>
          <w:rFonts w:ascii="宋体" w:hAnsi="Calibri" w:cs="宋体" w:hint="eastAsia"/>
          <w:szCs w:val="21"/>
          <w:highlight w:val="white"/>
          <w:lang w:eastAsia="zh-CN"/>
        </w:rPr>
        <w:t>，出借期限在</w:t>
      </w:r>
      <w:r>
        <w:rPr>
          <w:rStyle w:val="da"/>
          <w:rFonts w:ascii="宋体" w:hAnsi="Calibri" w:cs="宋体" w:hint="eastAsia"/>
          <w:szCs w:val="21"/>
          <w:highlight w:val="white"/>
          <w:lang w:eastAsia="zh-CN"/>
        </w:rPr>
        <w:t>10</w:t>
      </w:r>
      <w:r>
        <w:rPr>
          <w:rStyle w:val="da"/>
          <w:rFonts w:ascii="宋体" w:hAnsi="Calibri" w:cs="宋体" w:hint="eastAsia"/>
          <w:szCs w:val="21"/>
          <w:highlight w:val="white"/>
          <w:lang w:eastAsia="zh-CN"/>
        </w:rPr>
        <w:t>个交易日以上的出借证券应纳入《流动性风险管理规定》所述流动性受限证券的范围；参与出借业务的单只证券不得超过基金持有该证券总量的</w:t>
      </w:r>
      <w:r>
        <w:rPr>
          <w:rStyle w:val="da"/>
          <w:rFonts w:ascii="宋体" w:hAnsi="Calibri" w:cs="宋体" w:hint="eastAsia"/>
          <w:szCs w:val="21"/>
          <w:highlight w:val="white"/>
          <w:lang w:eastAsia="zh-CN"/>
        </w:rPr>
        <w:t>50%</w:t>
      </w:r>
      <w:r>
        <w:rPr>
          <w:rStyle w:val="da"/>
          <w:rFonts w:ascii="宋体" w:hAnsi="Calibri" w:cs="宋体" w:hint="eastAsia"/>
          <w:szCs w:val="21"/>
          <w:highlight w:val="white"/>
          <w:lang w:eastAsia="zh-CN"/>
        </w:rPr>
        <w:t>；最近</w:t>
      </w:r>
      <w:r>
        <w:rPr>
          <w:rStyle w:val="da"/>
          <w:rFonts w:ascii="宋体" w:hAnsi="Calibri" w:cs="宋体" w:hint="eastAsia"/>
          <w:szCs w:val="21"/>
          <w:highlight w:val="white"/>
          <w:lang w:eastAsia="zh-CN"/>
        </w:rPr>
        <w:t>6</w:t>
      </w:r>
      <w:r>
        <w:rPr>
          <w:rStyle w:val="da"/>
          <w:rFonts w:ascii="宋体" w:hAnsi="Calibri" w:cs="宋体" w:hint="eastAsia"/>
          <w:szCs w:val="21"/>
          <w:highlight w:val="white"/>
          <w:lang w:eastAsia="zh-CN"/>
        </w:rPr>
        <w:t>个月内日均基金资产净值不得低于</w:t>
      </w:r>
      <w:r>
        <w:rPr>
          <w:rStyle w:val="da"/>
          <w:rFonts w:ascii="宋体" w:hAnsi="Calibri" w:cs="宋体" w:hint="eastAsia"/>
          <w:szCs w:val="21"/>
          <w:highlight w:val="white"/>
          <w:lang w:eastAsia="zh-CN"/>
        </w:rPr>
        <w:t>2</w:t>
      </w:r>
      <w:r>
        <w:rPr>
          <w:rStyle w:val="da"/>
          <w:rFonts w:ascii="宋体" w:hAnsi="Calibri" w:cs="宋体" w:hint="eastAsia"/>
          <w:szCs w:val="21"/>
          <w:highlight w:val="white"/>
          <w:lang w:eastAsia="zh-CN"/>
        </w:rPr>
        <w:t>亿元；证券出借的平均剩余期限不得超过</w:t>
      </w:r>
      <w:r>
        <w:rPr>
          <w:rStyle w:val="da"/>
          <w:rFonts w:ascii="宋体" w:hAnsi="Calibri" w:cs="宋体" w:hint="eastAsia"/>
          <w:szCs w:val="21"/>
          <w:highlight w:val="white"/>
          <w:lang w:eastAsia="zh-CN"/>
        </w:rPr>
        <w:t>30</w:t>
      </w:r>
      <w:r>
        <w:rPr>
          <w:rStyle w:val="da"/>
          <w:rFonts w:ascii="宋体" w:hAnsi="Calibri" w:cs="宋体" w:hint="eastAsia"/>
          <w:szCs w:val="21"/>
          <w:highlight w:val="white"/>
          <w:lang w:eastAsia="zh-CN"/>
        </w:rPr>
        <w:t>天，平均剩余期限按照市值加权平均计算；</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14</w:t>
      </w:r>
      <w:r>
        <w:rPr>
          <w:rStyle w:val="da"/>
          <w:rFonts w:ascii="宋体" w:hAnsi="Calibri" w:cs="宋体" w:hint="eastAsia"/>
          <w:szCs w:val="21"/>
          <w:highlight w:val="white"/>
          <w:lang w:eastAsia="zh-CN"/>
        </w:rPr>
        <w:t>）本基金主动投资于流动性受限资产的市值合计不得超过基金资产净值的</w:t>
      </w:r>
      <w:r>
        <w:rPr>
          <w:rStyle w:val="da"/>
          <w:rFonts w:ascii="宋体" w:hAnsi="Calibri" w:cs="宋体" w:hint="eastAsia"/>
          <w:szCs w:val="21"/>
          <w:highlight w:val="white"/>
          <w:lang w:eastAsia="zh-CN"/>
        </w:rPr>
        <w:t>15%</w:t>
      </w:r>
      <w:r>
        <w:rPr>
          <w:rStyle w:val="da"/>
          <w:rFonts w:ascii="宋体" w:hAnsi="Calibri" w:cs="宋体" w:hint="eastAsia"/>
          <w:szCs w:val="21"/>
          <w:highlight w:val="white"/>
          <w:lang w:eastAsia="zh-CN"/>
        </w:rPr>
        <w:t>；因证券市场波动、</w:t>
      </w:r>
      <w:r>
        <w:rPr>
          <w:rStyle w:val="da"/>
          <w:rFonts w:ascii="宋体" w:hAnsi="Calibri" w:cs="宋体" w:hint="eastAsia"/>
          <w:szCs w:val="21"/>
          <w:highlight w:val="white"/>
          <w:lang w:eastAsia="zh-CN"/>
        </w:rPr>
        <w:t>上市公司股票停牌、基金规模变动等基金管理人之外的因素致使基金不符合该比例限制的，基金管理人不得主动新增流动性受限资产的投资；</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15</w:t>
      </w:r>
      <w:r>
        <w:rPr>
          <w:rStyle w:val="da"/>
          <w:rFonts w:ascii="宋体" w:hAnsi="Calibri" w:cs="宋体" w:hint="eastAsia"/>
          <w:szCs w:val="21"/>
          <w:highlight w:val="white"/>
          <w:lang w:eastAsia="zh-CN"/>
        </w:rPr>
        <w:t>）本基金与私募类证券资管产品及中国证监会认定的其他主体为交易对手开展逆回购交易的，可接受质押品的资质要求应当与基金合同约定的投资范围保持一致；</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16</w:t>
      </w:r>
      <w:r>
        <w:rPr>
          <w:rStyle w:val="da"/>
          <w:rFonts w:ascii="宋体" w:hAnsi="Calibri" w:cs="宋体" w:hint="eastAsia"/>
          <w:szCs w:val="21"/>
          <w:highlight w:val="white"/>
          <w:lang w:eastAsia="zh-CN"/>
        </w:rPr>
        <w:t>）本基金资产总值不超过基金资产净值的</w:t>
      </w:r>
      <w:r>
        <w:rPr>
          <w:rStyle w:val="da"/>
          <w:rFonts w:ascii="宋体" w:hAnsi="Calibri" w:cs="宋体" w:hint="eastAsia"/>
          <w:szCs w:val="21"/>
          <w:highlight w:val="white"/>
          <w:lang w:eastAsia="zh-CN"/>
        </w:rPr>
        <w:t>140%</w:t>
      </w:r>
      <w:r>
        <w:rPr>
          <w:rStyle w:val="da"/>
          <w:rFonts w:ascii="宋体" w:hAnsi="Calibri" w:cs="宋体" w:hint="eastAsia"/>
          <w:szCs w:val="21"/>
          <w:highlight w:val="white"/>
          <w:lang w:eastAsia="zh-CN"/>
        </w:rPr>
        <w:t>；</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17</w:t>
      </w:r>
      <w:r>
        <w:rPr>
          <w:rStyle w:val="da"/>
          <w:rFonts w:ascii="宋体" w:hAnsi="Calibri" w:cs="宋体" w:hint="eastAsia"/>
          <w:szCs w:val="21"/>
          <w:highlight w:val="white"/>
          <w:lang w:eastAsia="zh-CN"/>
        </w:rPr>
        <w:t>）本基金投资存托凭证的比例限制依照境内上市交易的股票执行，与境内上市交易的股票合并计算；</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18</w:t>
      </w:r>
      <w:r>
        <w:rPr>
          <w:rStyle w:val="da"/>
          <w:rFonts w:ascii="宋体" w:hAnsi="Calibri" w:cs="宋体" w:hint="eastAsia"/>
          <w:szCs w:val="21"/>
          <w:highlight w:val="white"/>
          <w:lang w:eastAsia="zh-CN"/>
        </w:rPr>
        <w:t>）法律法规及中国证监会规定的和《基金合同》约定的其他投资限制。</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因证券</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期货市场波动、证券发行人合并、基金规模变动、标的指数成份股调整、流动性限制、目标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暂停申购、赎回或二级市场交易停牌等基金管理人之外的因素致使基金投资比例不符合上述第（</w:t>
      </w:r>
      <w:r>
        <w:rPr>
          <w:rStyle w:val="da"/>
          <w:rFonts w:ascii="宋体" w:hAnsi="Calibri" w:cs="宋体" w:hint="eastAsia"/>
          <w:szCs w:val="21"/>
          <w:highlight w:val="white"/>
          <w:lang w:eastAsia="zh-CN"/>
        </w:rPr>
        <w:t>1</w:t>
      </w:r>
      <w:r>
        <w:rPr>
          <w:rStyle w:val="da"/>
          <w:rFonts w:ascii="宋体" w:hAnsi="Calibri" w:cs="宋体" w:hint="eastAsia"/>
          <w:szCs w:val="21"/>
          <w:highlight w:val="white"/>
          <w:lang w:eastAsia="zh-CN"/>
        </w:rPr>
        <w:t>）项规定投资比例的，基金管理人应当在</w:t>
      </w:r>
      <w:r>
        <w:rPr>
          <w:rStyle w:val="da"/>
          <w:rFonts w:ascii="宋体" w:hAnsi="Calibri" w:cs="宋体" w:hint="eastAsia"/>
          <w:szCs w:val="21"/>
          <w:highlight w:val="white"/>
          <w:lang w:eastAsia="zh-CN"/>
        </w:rPr>
        <w:t>20</w:t>
      </w:r>
      <w:r>
        <w:rPr>
          <w:rStyle w:val="da"/>
          <w:rFonts w:ascii="宋体" w:hAnsi="Calibri" w:cs="宋体" w:hint="eastAsia"/>
          <w:szCs w:val="21"/>
          <w:highlight w:val="white"/>
          <w:lang w:eastAsia="zh-CN"/>
        </w:rPr>
        <w:t>个交易日内进行调整；除上述（</w:t>
      </w:r>
      <w:r>
        <w:rPr>
          <w:rStyle w:val="da"/>
          <w:rFonts w:ascii="宋体" w:hAnsi="Calibri" w:cs="宋体" w:hint="eastAsia"/>
          <w:szCs w:val="21"/>
          <w:highlight w:val="white"/>
          <w:lang w:eastAsia="zh-CN"/>
        </w:rPr>
        <w:t>1</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2</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7</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8</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13</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14</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15</w:t>
      </w:r>
      <w:r>
        <w:rPr>
          <w:rStyle w:val="da"/>
          <w:rFonts w:ascii="宋体" w:hAnsi="Calibri" w:cs="宋体" w:hint="eastAsia"/>
          <w:szCs w:val="21"/>
          <w:highlight w:val="white"/>
          <w:lang w:eastAsia="zh-CN"/>
        </w:rPr>
        <w:t>）情形之外，因证券</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期货市场波动、证券发行人合并、基金规模变动、标的指数成份股调整、流动性限制、目标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暂停申购、赎回或二级市场交易停牌等基金管理人之外的因素致使基金投资比例不符合上述规定投资比例的，基金管</w:t>
      </w:r>
      <w:r>
        <w:rPr>
          <w:rStyle w:val="da"/>
          <w:rFonts w:ascii="宋体" w:hAnsi="Calibri" w:cs="宋体" w:hint="eastAsia"/>
          <w:szCs w:val="21"/>
          <w:highlight w:val="white"/>
          <w:lang w:eastAsia="zh-CN"/>
        </w:rPr>
        <w:t>理人应当在</w:t>
      </w:r>
      <w:r>
        <w:rPr>
          <w:rStyle w:val="da"/>
          <w:rFonts w:ascii="宋体" w:hAnsi="Calibri" w:cs="宋体" w:hint="eastAsia"/>
          <w:szCs w:val="21"/>
          <w:highlight w:val="white"/>
          <w:lang w:eastAsia="zh-CN"/>
        </w:rPr>
        <w:t>10</w:t>
      </w:r>
      <w:r>
        <w:rPr>
          <w:rStyle w:val="da"/>
          <w:rFonts w:ascii="宋体" w:hAnsi="Calibri" w:cs="宋体" w:hint="eastAsia"/>
          <w:szCs w:val="21"/>
          <w:highlight w:val="white"/>
          <w:lang w:eastAsia="zh-CN"/>
        </w:rPr>
        <w:t>个交易日内进行调整，但中国证监会规定的特殊情形除外。因证券</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期货市场波动、证券发行人合并、基金规模变动等基金管理人之外的因素致使基金投资不符合第（</w:t>
      </w:r>
      <w:r>
        <w:rPr>
          <w:rStyle w:val="da"/>
          <w:rFonts w:ascii="宋体" w:hAnsi="Calibri" w:cs="宋体" w:hint="eastAsia"/>
          <w:szCs w:val="21"/>
          <w:highlight w:val="white"/>
          <w:lang w:eastAsia="zh-CN"/>
        </w:rPr>
        <w:t>13</w:t>
      </w:r>
      <w:r>
        <w:rPr>
          <w:rStyle w:val="da"/>
          <w:rFonts w:ascii="宋体" w:hAnsi="Calibri" w:cs="宋体" w:hint="eastAsia"/>
          <w:szCs w:val="21"/>
          <w:highlight w:val="white"/>
          <w:lang w:eastAsia="zh-CN"/>
        </w:rPr>
        <w:t>）项规定的，基金管理人不得新增出借业务。法律法规或监管部门另有规定的，届时按最新规定执行。</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基金管理人应当自基金合同生效之日起</w:t>
      </w:r>
      <w:r>
        <w:rPr>
          <w:rStyle w:val="da"/>
          <w:rFonts w:ascii="宋体" w:hAnsi="Calibri" w:cs="宋体" w:hint="eastAsia"/>
          <w:szCs w:val="21"/>
          <w:highlight w:val="white"/>
          <w:lang w:eastAsia="zh-CN"/>
        </w:rPr>
        <w:t>6</w:t>
      </w:r>
      <w:r>
        <w:rPr>
          <w:rStyle w:val="da"/>
          <w:rFonts w:ascii="宋体" w:hAnsi="Calibri" w:cs="宋体" w:hint="eastAsia"/>
          <w:szCs w:val="21"/>
          <w:highlight w:val="white"/>
          <w:lang w:eastAsia="zh-CN"/>
        </w:rPr>
        <w:t>个月内使基金的投资组合比例符合基金合同的有关约定。在上述期间内，本基金的投资范围、投资策略应当符合基金合同的约定。基金托管人对基金的投资的监督与检查自基金合同生效之日起开始。</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3</w:t>
      </w:r>
      <w:r>
        <w:rPr>
          <w:rStyle w:val="da"/>
          <w:rFonts w:ascii="宋体" w:hAnsi="Calibri" w:cs="宋体" w:hint="eastAsia"/>
          <w:szCs w:val="21"/>
          <w:lang w:eastAsia="zh-CN"/>
        </w:rPr>
        <w:t>、</w:t>
      </w:r>
      <w:r>
        <w:rPr>
          <w:rStyle w:val="da"/>
          <w:rFonts w:ascii="宋体" w:hAnsi="Calibri" w:cs="宋体" w:hint="eastAsia"/>
          <w:szCs w:val="21"/>
          <w:highlight w:val="white"/>
          <w:lang w:eastAsia="zh-CN"/>
        </w:rPr>
        <w:t>基金管理人运用基金财产买卖基金管理人、基</w:t>
      </w:r>
      <w:r>
        <w:rPr>
          <w:rStyle w:val="da"/>
          <w:rFonts w:ascii="宋体" w:hAnsi="Calibri" w:cs="宋体" w:hint="eastAsia"/>
          <w:szCs w:val="21"/>
          <w:highlight w:val="white"/>
          <w:lang w:eastAsia="zh-CN"/>
        </w:rPr>
        <w:t>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4</w:t>
      </w:r>
      <w:r>
        <w:rPr>
          <w:rStyle w:val="da"/>
          <w:rFonts w:ascii="宋体" w:hAnsi="Calibri" w:cs="宋体" w:hint="eastAsia"/>
          <w:szCs w:val="21"/>
          <w:lang w:eastAsia="zh-CN"/>
        </w:rPr>
        <w:t>、</w:t>
      </w:r>
      <w:r>
        <w:rPr>
          <w:rStyle w:val="da"/>
          <w:rFonts w:ascii="宋体" w:hAnsi="Calibri" w:cs="宋体" w:hint="eastAsia"/>
          <w:szCs w:val="21"/>
          <w:highlight w:val="white"/>
          <w:lang w:eastAsia="zh-CN"/>
        </w:rPr>
        <w:t>法律法规或监管部门取消上述组合限制、禁止行为规定或从事关联交</w:t>
      </w:r>
      <w:r>
        <w:rPr>
          <w:rStyle w:val="da"/>
          <w:rFonts w:ascii="宋体" w:hAnsi="Calibri" w:cs="宋体" w:hint="eastAsia"/>
          <w:szCs w:val="21"/>
          <w:highlight w:val="white"/>
          <w:lang w:eastAsia="zh-CN"/>
        </w:rPr>
        <w:t>易的条件和要求，本基金可不受相关限制。法律法规或监管部门对上述组合限制、禁止行为规定或从事关联交易的条件和要求进行变更的，本基金可以变更后的规定为准。经与基金托管人协商一致，基金管理人</w:t>
      </w:r>
      <w:r>
        <w:rPr>
          <w:rStyle w:val="da"/>
          <w:rFonts w:ascii="宋体" w:hAnsi="Calibri" w:cs="宋体" w:hint="eastAsia"/>
          <w:szCs w:val="21"/>
          <w:lang w:eastAsia="zh-CN"/>
        </w:rPr>
        <w:t>履行适当程序后</w:t>
      </w:r>
      <w:r>
        <w:rPr>
          <w:rStyle w:val="da"/>
          <w:rFonts w:ascii="宋体" w:hAnsi="Calibri" w:cs="宋体" w:hint="eastAsia"/>
          <w:szCs w:val="21"/>
          <w:highlight w:val="white"/>
          <w:lang w:eastAsia="zh-CN"/>
        </w:rPr>
        <w:t>可依据法律法规或监管部门规定</w:t>
      </w:r>
      <w:r>
        <w:rPr>
          <w:rStyle w:val="da"/>
          <w:rFonts w:ascii="宋体" w:hAnsi="Calibri" w:cs="宋体" w:hint="eastAsia"/>
          <w:szCs w:val="21"/>
          <w:highlight w:val="white"/>
          <w:lang w:eastAsia="zh-CN"/>
        </w:rPr>
        <w:t>对基金合同进行变更</w:t>
      </w:r>
      <w:r>
        <w:rPr>
          <w:rStyle w:val="da"/>
          <w:rFonts w:ascii="宋体" w:hAnsi="Calibri" w:cs="宋体" w:hint="eastAsia"/>
          <w:szCs w:val="21"/>
          <w:highlight w:val="white"/>
          <w:lang w:eastAsia="zh-CN"/>
        </w:rPr>
        <w:t>。</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七、</w:t>
      </w:r>
      <w:r>
        <w:rPr>
          <w:rStyle w:val="da"/>
          <w:rFonts w:ascii="宋体" w:hAnsi="Calibri" w:cs="宋体" w:hint="eastAsia"/>
          <w:szCs w:val="21"/>
          <w:highlight w:val="white"/>
          <w:lang w:eastAsia="zh-CN"/>
        </w:rPr>
        <w:t>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发生相关变更情形的处理方式</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出现下述情形之一的，本基金将由投资于目标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的联接基金变更为直接投资该标的指数的指数基金，无需召开基金份额持有人大会。相应地，本基金基金合同中将删除关于目标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的表述</w:t>
      </w:r>
      <w:r>
        <w:rPr>
          <w:rStyle w:val="da"/>
          <w:rFonts w:ascii="宋体" w:hAnsi="Calibri" w:cs="宋体" w:hint="eastAsia"/>
          <w:szCs w:val="21"/>
          <w:highlight w:val="white"/>
          <w:lang w:eastAsia="zh-CN"/>
        </w:rPr>
        <w:t>部分，届时将由基金管理人另行公告。</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1</w:t>
      </w:r>
      <w:r>
        <w:rPr>
          <w:rStyle w:val="da"/>
          <w:rFonts w:ascii="宋体" w:hAnsi="Calibri" w:cs="宋体" w:hint="eastAsia"/>
          <w:szCs w:val="21"/>
          <w:highlight w:val="white"/>
          <w:lang w:eastAsia="zh-CN"/>
        </w:rPr>
        <w:t>、目标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交易方式发生重大变更致使本基金的投资策略难以实现；</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2</w:t>
      </w:r>
      <w:r>
        <w:rPr>
          <w:rStyle w:val="da"/>
          <w:rFonts w:ascii="宋体" w:hAnsi="Calibri" w:cs="宋体" w:hint="eastAsia"/>
          <w:szCs w:val="21"/>
          <w:highlight w:val="white"/>
          <w:lang w:eastAsia="zh-CN"/>
        </w:rPr>
        <w:t>、目标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终止上市；</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3</w:t>
      </w:r>
      <w:r>
        <w:rPr>
          <w:rStyle w:val="da"/>
          <w:rFonts w:ascii="宋体" w:hAnsi="Calibri" w:cs="宋体" w:hint="eastAsia"/>
          <w:szCs w:val="21"/>
          <w:highlight w:val="white"/>
          <w:lang w:eastAsia="zh-CN"/>
        </w:rPr>
        <w:t>、目标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基金合同终止；</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4</w:t>
      </w:r>
      <w:r>
        <w:rPr>
          <w:rStyle w:val="da"/>
          <w:rFonts w:ascii="宋体" w:hAnsi="Calibri" w:cs="宋体" w:hint="eastAsia"/>
          <w:szCs w:val="21"/>
          <w:highlight w:val="white"/>
          <w:lang w:eastAsia="zh-CN"/>
        </w:rPr>
        <w:t>、目标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与其他基金进行合并；</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5</w:t>
      </w:r>
      <w:r>
        <w:rPr>
          <w:rStyle w:val="da"/>
          <w:rFonts w:ascii="宋体" w:hAnsi="Calibri" w:cs="宋体" w:hint="eastAsia"/>
          <w:szCs w:val="21"/>
          <w:highlight w:val="white"/>
          <w:lang w:eastAsia="zh-CN"/>
        </w:rPr>
        <w:t>、目标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的基金管理人发生变更；</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6</w:t>
      </w:r>
      <w:r>
        <w:rPr>
          <w:rStyle w:val="da"/>
          <w:rFonts w:ascii="宋体" w:hAnsi="Calibri" w:cs="宋体" w:hint="eastAsia"/>
          <w:szCs w:val="21"/>
          <w:highlight w:val="white"/>
          <w:lang w:eastAsia="zh-CN"/>
        </w:rPr>
        <w:t>、中国证监会规定的其他情形。</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若目标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召开基金份额持有人大会审议变更目标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标的指数事项的，本基金的基金份额持有人可出席目标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基金份额持有人大会并进行表决，目标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基金份额持有人大会审议通过变更标的指数事项的，本基金可不召开基金份额持有人大会相应变更标的指数并仍为该目标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的联接基金。</w:t>
      </w:r>
    </w:p>
    <w:p w:rsidR="004A090B">
      <w:pPr>
        <w:spacing w:line="360" w:lineRule="auto"/>
        <w:ind w:firstLine="420"/>
        <w:rPr>
          <w:rStyle w:val="da"/>
          <w:rFonts w:ascii="宋体" w:hAnsi="Calibri" w:cs="宋体"/>
          <w:szCs w:val="21"/>
          <w:lang w:eastAsia="zh-CN"/>
        </w:rPr>
      </w:pPr>
      <w:r>
        <w:rPr>
          <w:rStyle w:val="da"/>
          <w:rFonts w:ascii="宋体" w:hAnsi="Calibri" w:hint="eastAsia"/>
          <w:lang w:eastAsia="zh-CN"/>
        </w:rPr>
        <w:t>八、</w:t>
      </w:r>
      <w:r>
        <w:rPr>
          <w:rStyle w:val="da"/>
          <w:rFonts w:ascii="宋体" w:hAnsi="Calibri" w:hint="eastAsia"/>
          <w:highlight w:val="white"/>
          <w:lang w:eastAsia="zh-CN"/>
        </w:rPr>
        <w:t>基金管理人代表基金行使股东或债权人权利的处理原则及方法</w:t>
      </w:r>
    </w:p>
    <w:p w:rsidR="004A090B">
      <w:pPr>
        <w:spacing w:line="360" w:lineRule="auto"/>
        <w:ind w:firstLine="420"/>
        <w:rPr>
          <w:rStyle w:val="da"/>
          <w:rFonts w:ascii="宋体" w:hAnsi="Calibri" w:cs="宋体"/>
          <w:szCs w:val="21"/>
          <w:lang w:eastAsia="zh-CN"/>
        </w:rPr>
      </w:pPr>
      <w:r>
        <w:rPr>
          <w:rStyle w:val="da"/>
          <w:rFonts w:ascii="宋体" w:hAnsi="Calibri" w:hint="eastAsia"/>
          <w:highlight w:val="white"/>
          <w:lang w:eastAsia="zh-CN"/>
        </w:rPr>
        <w:t>1</w:t>
      </w:r>
      <w:r>
        <w:rPr>
          <w:rStyle w:val="da"/>
          <w:rFonts w:ascii="宋体" w:hAnsi="Calibri" w:hint="eastAsia"/>
          <w:highlight w:val="white"/>
          <w:lang w:eastAsia="zh-CN"/>
        </w:rPr>
        <w:t>、基金管理人按照国家有关规定代表基金独立行使股东或债权人权利，保护基金份额持有人的利益；</w:t>
      </w:r>
      <w:r>
        <w:rPr>
          <w:rStyle w:val="da"/>
          <w:rFonts w:ascii="宋体" w:hAnsi="Calibri" w:hint="eastAsia"/>
          <w:highlight w:val="white"/>
          <w:lang w:eastAsia="zh-CN"/>
        </w:rPr>
        <w:t xml:space="preserve"> </w:t>
      </w:r>
    </w:p>
    <w:p w:rsidR="004A090B">
      <w:pPr>
        <w:spacing w:line="360" w:lineRule="auto"/>
        <w:ind w:firstLine="420"/>
        <w:rPr>
          <w:rStyle w:val="da"/>
          <w:rFonts w:ascii="宋体" w:hAnsi="Calibri" w:cs="宋体"/>
          <w:szCs w:val="21"/>
          <w:lang w:eastAsia="zh-CN"/>
        </w:rPr>
      </w:pPr>
      <w:r>
        <w:rPr>
          <w:rStyle w:val="da"/>
          <w:rFonts w:ascii="宋体" w:hAnsi="Calibri" w:hint="eastAsia"/>
          <w:highlight w:val="white"/>
          <w:lang w:eastAsia="zh-CN"/>
        </w:rPr>
        <w:t>2</w:t>
      </w:r>
      <w:r>
        <w:rPr>
          <w:rStyle w:val="da"/>
          <w:rFonts w:ascii="宋体" w:hAnsi="Calibri" w:hint="eastAsia"/>
          <w:highlight w:val="white"/>
          <w:lang w:eastAsia="zh-CN"/>
        </w:rPr>
        <w:t>、不谋求对上市公司的控股；</w:t>
      </w:r>
      <w:r>
        <w:rPr>
          <w:rStyle w:val="da"/>
          <w:rFonts w:ascii="宋体" w:hAnsi="Calibri" w:hint="eastAsia"/>
          <w:highlight w:val="white"/>
          <w:lang w:eastAsia="zh-CN"/>
        </w:rPr>
        <w:t xml:space="preserve"> </w:t>
      </w:r>
    </w:p>
    <w:p w:rsidR="004A090B">
      <w:pPr>
        <w:spacing w:line="360" w:lineRule="auto"/>
        <w:ind w:firstLine="420"/>
        <w:rPr>
          <w:rStyle w:val="da"/>
          <w:rFonts w:ascii="宋体" w:hAnsi="Calibri" w:cs="宋体"/>
          <w:szCs w:val="21"/>
          <w:lang w:eastAsia="zh-CN"/>
        </w:rPr>
      </w:pPr>
      <w:r>
        <w:rPr>
          <w:rStyle w:val="da"/>
          <w:rFonts w:ascii="宋体" w:hAnsi="Calibri" w:hint="eastAsia"/>
          <w:highlight w:val="white"/>
          <w:lang w:eastAsia="zh-CN"/>
        </w:rPr>
        <w:t>3</w:t>
      </w:r>
      <w:r>
        <w:rPr>
          <w:rStyle w:val="da"/>
          <w:rFonts w:ascii="宋体" w:hAnsi="Calibri" w:hint="eastAsia"/>
          <w:highlight w:val="white"/>
          <w:lang w:eastAsia="zh-CN"/>
        </w:rPr>
        <w:t>、有利于基金财产的安全与增值；</w:t>
      </w:r>
      <w:r>
        <w:rPr>
          <w:rStyle w:val="da"/>
          <w:rFonts w:ascii="宋体" w:hAnsi="Calibri" w:hint="eastAsia"/>
          <w:highlight w:val="white"/>
          <w:lang w:eastAsia="zh-CN"/>
        </w:rPr>
        <w:t xml:space="preserve"> </w:t>
      </w:r>
    </w:p>
    <w:p w:rsidR="004A090B">
      <w:pPr>
        <w:spacing w:line="360" w:lineRule="auto"/>
        <w:ind w:firstLine="420"/>
        <w:rPr>
          <w:rStyle w:val="da"/>
          <w:rFonts w:ascii="宋体" w:hAnsi="Calibri" w:cs="宋体"/>
          <w:szCs w:val="21"/>
          <w:lang w:eastAsia="zh-CN"/>
        </w:rPr>
      </w:pPr>
      <w:r>
        <w:rPr>
          <w:rStyle w:val="da"/>
          <w:rFonts w:ascii="宋体" w:hAnsi="Calibri" w:hint="eastAsia"/>
          <w:highlight w:val="white"/>
          <w:lang w:eastAsia="zh-CN"/>
        </w:rPr>
        <w:t>4</w:t>
      </w:r>
      <w:r>
        <w:rPr>
          <w:rStyle w:val="da"/>
          <w:rFonts w:ascii="宋体" w:hAnsi="Calibri" w:hint="eastAsia"/>
          <w:highlight w:val="white"/>
          <w:lang w:eastAsia="zh-CN"/>
        </w:rPr>
        <w:t>、不通过关联交易</w:t>
      </w:r>
      <w:r>
        <w:rPr>
          <w:rStyle w:val="da"/>
          <w:rFonts w:ascii="宋体" w:hAnsi="Calibri" w:hint="eastAsia"/>
          <w:highlight w:val="white"/>
          <w:lang w:eastAsia="zh-CN"/>
        </w:rPr>
        <w:t>为自身、雇员、授权代理人或任何存在利害关系的第三人牟取任何不当利益。</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九、侧袋机制的实施和投资运作安排</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侧袋机制实施期间，本部分约定的投资组合比例、投资策略、组合限制、业绩比较基准、风险收益特征等约定仅适用于主袋账户。</w:t>
      </w:r>
    </w:p>
    <w:p w:rsidR="004A090B">
      <w:pPr>
        <w:spacing w:line="360" w:lineRule="auto"/>
        <w:ind w:firstLine="422"/>
        <w:rPr>
          <w:rFonts w:ascii="宋体" w:hAnsi="Calibri" w:cs="宋体"/>
          <w:b/>
          <w:i/>
          <w:szCs w:val="21"/>
          <w:lang w:eastAsia="zh-CN"/>
        </w:rPr>
      </w:pPr>
      <w:r>
        <w:rPr>
          <w:rStyle w:val="da"/>
          <w:rFonts w:ascii="宋体" w:hAnsi="Calibri" w:cs="宋体" w:hint="eastAsia"/>
          <w:szCs w:val="21"/>
          <w:highlight w:val="white"/>
          <w:lang w:eastAsia="zh-CN"/>
        </w:rPr>
        <w:t>侧袋账户的实施条件、实施程序、运作安排、投资安排、特定资产的处置变现和支付等对投资者权益有重大影</w:t>
      </w:r>
      <w:r>
        <w:rPr>
          <w:rStyle w:val="da"/>
          <w:rFonts w:ascii="宋体" w:hAnsi="Calibri" w:cs="宋体" w:hint="eastAsia"/>
          <w:szCs w:val="21"/>
          <w:highlight w:val="white"/>
          <w:lang w:eastAsia="zh-CN"/>
        </w:rPr>
        <w:t>响的事项</w:t>
      </w:r>
      <w:r>
        <w:rPr>
          <w:rStyle w:val="da"/>
          <w:rFonts w:ascii="宋体" w:hAnsi="Calibri" w:cs="宋体" w:hint="eastAsia"/>
          <w:szCs w:val="21"/>
          <w:lang w:eastAsia="zh-CN"/>
        </w:rPr>
        <w:t>，详见本招募说明书“侧袋机制”部分的规定。</w:t>
      </w:r>
    </w:p>
    <w:p w:rsidR="004A090B">
      <w:pPr>
        <w:pStyle w:val="Heading1"/>
        <w:spacing w:before="317" w:after="317" w:line="360" w:lineRule="auto"/>
        <w:ind w:firstLine="420"/>
        <w:rPr>
          <w:rFonts w:ascii="宋体" w:eastAsia="宋体" w:hAnsi="Calibri" w:cs="宋体"/>
          <w:sz w:val="30"/>
          <w:szCs w:val="30"/>
          <w:lang w:eastAsia="zh-CN"/>
        </w:rPr>
      </w:pPr>
      <w:r>
        <w:rPr>
          <w:rFonts w:ascii="宋体" w:eastAsia="宋体" w:hAnsi="Calibri" w:cs="宋体" w:hint="eastAsia"/>
          <w:sz w:val="21"/>
          <w:szCs w:val="21"/>
          <w:lang w:eastAsia="zh-CN"/>
        </w:rPr>
        <w:br w:type="page"/>
      </w:r>
      <w:bookmarkStart w:id="1827" w:name="_Toc332373538"/>
      <w:bookmarkStart w:id="1828" w:name="_Toc129511535"/>
      <w:r>
        <w:rPr>
          <w:rFonts w:ascii="宋体" w:eastAsia="宋体" w:hAnsi="Calibri" w:cs="宋体" w:hint="eastAsia"/>
          <w:sz w:val="30"/>
          <w:szCs w:val="30"/>
          <w:lang w:eastAsia="zh-CN"/>
        </w:rPr>
        <w:t>第十</w:t>
      </w:r>
      <w:r>
        <w:rPr>
          <w:rFonts w:ascii="宋体" w:eastAsia="宋体" w:hAnsi="Calibri" w:cs="宋体"/>
          <w:sz w:val="30"/>
          <w:szCs w:val="30"/>
          <w:lang w:eastAsia="zh-CN"/>
        </w:rPr>
        <w:t>三</w:t>
      </w:r>
      <w:r>
        <w:rPr>
          <w:rFonts w:ascii="宋体" w:eastAsia="宋体" w:hAnsi="Calibri" w:cs="宋体" w:hint="eastAsia"/>
          <w:sz w:val="30"/>
          <w:szCs w:val="30"/>
          <w:lang w:eastAsia="zh-CN"/>
        </w:rPr>
        <w:t>部分</w:t>
      </w:r>
      <w:r>
        <w:rPr>
          <w:rFonts w:ascii="宋体" w:eastAsia="宋体" w:hAnsi="Calibri" w:cs="宋体"/>
          <w:sz w:val="30"/>
          <w:szCs w:val="30"/>
          <w:lang w:eastAsia="zh-CN"/>
        </w:rPr>
        <w:t xml:space="preserve"> </w:t>
      </w:r>
      <w:r>
        <w:rPr>
          <w:rFonts w:ascii="宋体" w:eastAsia="宋体" w:hAnsi="Calibri" w:cs="宋体" w:hint="eastAsia"/>
          <w:sz w:val="30"/>
          <w:szCs w:val="30"/>
          <w:lang w:eastAsia="zh-CN"/>
        </w:rPr>
        <w:t>基金的财产</w:t>
      </w:r>
      <w:bookmarkEnd w:id="1827"/>
      <w:bookmarkEnd w:id="1828"/>
    </w:p>
    <w:p w:rsidR="004A090B">
      <w:pPr>
        <w:spacing w:line="360" w:lineRule="auto"/>
        <w:ind w:firstLine="420"/>
        <w:rPr>
          <w:rStyle w:val="da"/>
          <w:rFonts w:ascii="宋体" w:hAnsi="Calibri" w:cs="宋体"/>
          <w:lang w:eastAsia="zh-CN"/>
        </w:rPr>
      </w:pPr>
      <w:r>
        <w:rPr>
          <w:rStyle w:val="da"/>
          <w:rFonts w:ascii="宋体" w:hAnsi="Calibri" w:cs="宋体" w:hint="eastAsia"/>
          <w:highlight w:val="white"/>
          <w:lang w:eastAsia="zh-CN"/>
        </w:rPr>
        <w:t>一、基金资产总值</w:t>
      </w:r>
    </w:p>
    <w:p w:rsidR="004A090B">
      <w:pPr>
        <w:spacing w:line="360" w:lineRule="auto"/>
        <w:ind w:firstLine="420"/>
        <w:rPr>
          <w:rStyle w:val="da"/>
          <w:rFonts w:ascii="宋体" w:hAnsi="Calibri" w:cs="宋体"/>
          <w:lang w:eastAsia="zh-CN"/>
        </w:rPr>
      </w:pPr>
      <w:r>
        <w:rPr>
          <w:rStyle w:val="da"/>
          <w:rFonts w:ascii="宋体" w:hAnsi="Calibri" w:cs="宋体" w:hint="eastAsia"/>
          <w:highlight w:val="white"/>
          <w:lang w:eastAsia="zh-CN"/>
        </w:rPr>
        <w:t>基金资产总值是指购买的目标</w:t>
      </w:r>
      <w:r>
        <w:rPr>
          <w:rStyle w:val="da"/>
          <w:rFonts w:ascii="宋体" w:hAnsi="Calibri" w:cs="宋体" w:hint="eastAsia"/>
          <w:highlight w:val="white"/>
          <w:lang w:eastAsia="zh-CN"/>
        </w:rPr>
        <w:t>ETF</w:t>
      </w:r>
      <w:r>
        <w:rPr>
          <w:rStyle w:val="da"/>
          <w:rFonts w:ascii="宋体" w:hAnsi="Calibri" w:cs="宋体" w:hint="eastAsia"/>
          <w:highlight w:val="white"/>
          <w:lang w:eastAsia="zh-CN"/>
        </w:rPr>
        <w:t>基金份额、各类证券及票据价值、银行存款本息和基金应收的申购基金款以及其他投资所形成的价值总和。</w:t>
      </w:r>
    </w:p>
    <w:p w:rsidR="004A090B">
      <w:pPr>
        <w:spacing w:line="360" w:lineRule="auto"/>
        <w:ind w:firstLine="420"/>
        <w:rPr>
          <w:rStyle w:val="da"/>
          <w:rFonts w:ascii="宋体" w:hAnsi="Calibri" w:cs="宋体"/>
          <w:lang w:eastAsia="zh-CN"/>
        </w:rPr>
      </w:pPr>
      <w:r>
        <w:rPr>
          <w:rStyle w:val="da"/>
          <w:rFonts w:ascii="宋体" w:hAnsi="Calibri" w:cs="宋体" w:hint="eastAsia"/>
          <w:highlight w:val="white"/>
          <w:lang w:eastAsia="zh-CN"/>
        </w:rPr>
        <w:t>二、基金资产净值</w:t>
      </w:r>
    </w:p>
    <w:p w:rsidR="004A090B">
      <w:pPr>
        <w:spacing w:line="360" w:lineRule="auto"/>
        <w:ind w:firstLine="420"/>
        <w:rPr>
          <w:rStyle w:val="da"/>
          <w:rFonts w:ascii="宋体" w:hAnsi="Calibri" w:cs="宋体"/>
          <w:lang w:eastAsia="zh-CN"/>
        </w:rPr>
      </w:pPr>
      <w:r>
        <w:rPr>
          <w:rStyle w:val="da"/>
          <w:rFonts w:ascii="宋体" w:hAnsi="Calibri" w:cs="宋体" w:hint="eastAsia"/>
          <w:highlight w:val="white"/>
          <w:lang w:eastAsia="zh-CN"/>
        </w:rPr>
        <w:t>基金资产净值是指基金资产总值减去基金负债后的价值。</w:t>
      </w:r>
    </w:p>
    <w:p w:rsidR="004A090B">
      <w:pPr>
        <w:spacing w:line="360" w:lineRule="auto"/>
        <w:ind w:firstLine="420"/>
        <w:rPr>
          <w:rStyle w:val="da"/>
          <w:rFonts w:ascii="宋体" w:hAnsi="Calibri" w:cs="宋体"/>
          <w:lang w:eastAsia="zh-CN"/>
        </w:rPr>
      </w:pPr>
      <w:r>
        <w:rPr>
          <w:rStyle w:val="da"/>
          <w:rFonts w:ascii="宋体" w:hAnsi="Calibri" w:cs="宋体" w:hint="eastAsia"/>
          <w:highlight w:val="white"/>
          <w:lang w:eastAsia="zh-CN"/>
        </w:rPr>
        <w:t>三、基金财产的账户</w:t>
      </w:r>
    </w:p>
    <w:p w:rsidR="004A090B">
      <w:pPr>
        <w:spacing w:line="360" w:lineRule="auto"/>
        <w:ind w:firstLine="420"/>
        <w:rPr>
          <w:rStyle w:val="da"/>
          <w:rFonts w:ascii="宋体" w:hAnsi="Calibri" w:cs="宋体"/>
          <w:lang w:eastAsia="zh-CN"/>
        </w:rPr>
      </w:pPr>
      <w:r>
        <w:rPr>
          <w:rStyle w:val="da"/>
          <w:rFonts w:ascii="宋体" w:hAnsi="Calibri" w:cs="宋体" w:hint="eastAsia"/>
          <w:highlight w:val="white"/>
          <w:lang w:eastAsia="zh-CN"/>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rsidR="004A090B">
      <w:pPr>
        <w:spacing w:line="360" w:lineRule="auto"/>
        <w:ind w:firstLine="420"/>
        <w:rPr>
          <w:rStyle w:val="da"/>
          <w:rFonts w:ascii="宋体" w:hAnsi="Calibri" w:cs="宋体"/>
          <w:lang w:eastAsia="zh-CN"/>
        </w:rPr>
      </w:pPr>
      <w:r>
        <w:rPr>
          <w:rStyle w:val="da"/>
          <w:rFonts w:ascii="宋体" w:hAnsi="Calibri" w:cs="宋体" w:hint="eastAsia"/>
          <w:highlight w:val="white"/>
          <w:lang w:eastAsia="zh-CN"/>
        </w:rPr>
        <w:t>四、基金财产的保管和处分</w:t>
      </w:r>
    </w:p>
    <w:p w:rsidR="004A090B">
      <w:pPr>
        <w:spacing w:line="360" w:lineRule="auto"/>
        <w:ind w:firstLine="420"/>
        <w:rPr>
          <w:rStyle w:val="da"/>
          <w:rFonts w:ascii="宋体" w:hAnsi="Calibri" w:cs="宋体"/>
          <w:lang w:eastAsia="zh-CN"/>
        </w:rPr>
      </w:pPr>
      <w:r>
        <w:rPr>
          <w:rStyle w:val="da"/>
          <w:rFonts w:ascii="宋体" w:hAnsi="Calibri" w:cs="宋体" w:hint="eastAsia"/>
          <w:highlight w:val="white"/>
          <w:lang w:eastAsia="zh-CN"/>
        </w:rPr>
        <w:t>本基金财产独立于基金管理人、基金托管人和基金销售机构的财产，并由基金托管人保管。基金管理人、基金托管人不得将基金财产归入其固有财产。基金管理人、基金托管人因基金财产的管理、运用或者其他情形而取得的财产和收益，归入基金财产。基金管理人、基金托管人、基金登记机构和基金销售机构以其</w:t>
      </w:r>
      <w:r>
        <w:rPr>
          <w:rStyle w:val="da"/>
          <w:rFonts w:ascii="宋体" w:hAnsi="Calibri" w:cs="宋体" w:hint="eastAsia"/>
          <w:highlight w:val="white"/>
          <w:lang w:eastAsia="zh-CN"/>
        </w:rPr>
        <w:t>自有的财产承担其自身的法律责任，其债权人不得对本基金财产行使请求冻结、扣押或其他权利。除依法律法规和《基金合同》的规定处分外，基金财产不得被处分。</w:t>
      </w:r>
    </w:p>
    <w:p w:rsidR="004A090B">
      <w:pPr>
        <w:spacing w:line="360" w:lineRule="auto"/>
        <w:ind w:firstLine="420"/>
        <w:rPr>
          <w:rStyle w:val="da"/>
          <w:rFonts w:ascii="宋体" w:hAnsi="Calibri" w:cs="宋体"/>
          <w:lang w:eastAsia="zh-CN"/>
        </w:rPr>
      </w:pPr>
      <w:r>
        <w:rPr>
          <w:rStyle w:val="da"/>
          <w:rFonts w:ascii="宋体" w:hAnsi="Calibri" w:cs="宋体" w:hint="eastAsia"/>
          <w:highlight w:val="white"/>
          <w:lang w:eastAsia="zh-CN"/>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rsidR="004A090B">
      <w:pPr>
        <w:widowControl/>
        <w:jc w:val="left"/>
        <w:rPr>
          <w:rFonts w:ascii="宋体" w:hAnsi="Calibri" w:cs="宋体"/>
          <w:sz w:val="30"/>
          <w:szCs w:val="32"/>
          <w:lang w:eastAsia="zh-CN"/>
        </w:rPr>
      </w:pPr>
      <w:bookmarkStart w:id="1829" w:name="_Hlt88841837"/>
      <w:bookmarkStart w:id="1830" w:name="_Hlt88900062"/>
      <w:bookmarkStart w:id="1831" w:name="_Toc332373543"/>
      <w:bookmarkEnd w:id="1829"/>
      <w:bookmarkEnd w:id="1830"/>
      <w:r>
        <w:rPr>
          <w:rFonts w:ascii="宋体" w:hAnsi="Calibri" w:cs="宋体"/>
          <w:sz w:val="30"/>
          <w:lang w:eastAsia="zh-CN"/>
        </w:rPr>
        <w:br w:type="page"/>
      </w:r>
    </w:p>
    <w:p w:rsidR="004A090B">
      <w:pPr>
        <w:pStyle w:val="Heading1"/>
        <w:spacing w:before="317" w:after="317" w:line="360" w:lineRule="auto"/>
        <w:ind w:firstLine="600"/>
        <w:rPr>
          <w:rFonts w:ascii="宋体" w:eastAsia="宋体" w:hAnsi="Calibri" w:cs="宋体"/>
          <w:sz w:val="30"/>
          <w:szCs w:val="30"/>
          <w:lang w:eastAsia="zh-CN"/>
        </w:rPr>
      </w:pPr>
      <w:bookmarkStart w:id="1832" w:name="_Toc129511536"/>
      <w:r>
        <w:rPr>
          <w:rFonts w:ascii="宋体" w:eastAsia="宋体" w:hAnsi="Calibri" w:cs="宋体"/>
          <w:sz w:val="30"/>
          <w:szCs w:val="30"/>
          <w:lang w:eastAsia="zh-CN"/>
        </w:rPr>
        <w:t>第十四部分</w:t>
      </w:r>
      <w:r>
        <w:rPr>
          <w:rFonts w:ascii="宋体" w:eastAsia="宋体" w:hAnsi="Calibri" w:cs="宋体"/>
          <w:sz w:val="30"/>
          <w:szCs w:val="30"/>
          <w:lang w:eastAsia="zh-CN"/>
        </w:rPr>
        <w:t xml:space="preserve"> </w:t>
      </w:r>
      <w:r>
        <w:rPr>
          <w:rFonts w:ascii="宋体" w:eastAsia="宋体" w:hAnsi="Calibri" w:cs="宋体"/>
          <w:sz w:val="30"/>
          <w:szCs w:val="30"/>
          <w:lang w:eastAsia="zh-CN"/>
        </w:rPr>
        <w:t>基金资产的估值</w:t>
      </w:r>
      <w:bookmarkEnd w:id="1831"/>
      <w:bookmarkEnd w:id="1832"/>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一、估值日</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本基金的估值日为本</w:t>
      </w:r>
      <w:r>
        <w:rPr>
          <w:rStyle w:val="da"/>
          <w:rFonts w:ascii="宋体" w:hAnsi="Calibri" w:cs="宋体" w:hint="eastAsia"/>
          <w:szCs w:val="21"/>
          <w:highlight w:val="white"/>
          <w:lang w:eastAsia="zh-CN"/>
        </w:rPr>
        <w:t>基金相关的证券交易场所的交易日以及国家法律法规规定需要对外披露基金净值的非交易日。</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二、估值对象</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基金所拥有的目标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基金份额、股票、债券和银行存款本息、应收款项、其它投资等资产及负债。</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三、估值原则</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基金管理人在确定相关金融资产和金融负债的公允价值时，应符合《企业会计准则》、监管部门有关规定。</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w:t>
      </w:r>
      <w:r>
        <w:rPr>
          <w:rStyle w:val="da"/>
          <w:rFonts w:ascii="宋体" w:hAnsi="Calibri" w:cs="宋体" w:hint="eastAsia"/>
          <w:szCs w:val="21"/>
          <w:highlight w:val="white"/>
          <w:lang w:eastAsia="zh-CN"/>
        </w:rPr>
        <w:t>大事件的，应采用最近交易日的报价确定公允价值。有充足证据表明估值日或最近交易日的报价不能真实反映公允价值的，应对报价进行调整，确定公允价值。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（二）对不存在活跃市场的投资品种，应采用在当前情况下适用并且有足够可利用数据和其</w:t>
      </w:r>
      <w:r>
        <w:rPr>
          <w:rStyle w:val="da"/>
          <w:rFonts w:ascii="宋体" w:hAnsi="Calibri" w:cs="宋体" w:hint="eastAsia"/>
          <w:szCs w:val="21"/>
          <w:highlight w:val="white"/>
          <w:lang w:eastAsia="zh-CN"/>
        </w:rPr>
        <w:t>他信息支持的估值技术确定公允价值。采用估值技术确定公允价值时，应优先使用可观察输入值，只有在无法取得相关资产或负债可观察输入值或取得不切实可行的情况下，才可以使用不可观察输入值。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（三）如经济环境发生重大变化或证券发行人发生影响证券价格的重大事件，使潜在估值调整对前一估值日的基金资产净值的影响在</w:t>
      </w:r>
      <w:r>
        <w:rPr>
          <w:rStyle w:val="da"/>
          <w:rFonts w:ascii="宋体" w:hAnsi="Calibri" w:cs="宋体" w:hint="eastAsia"/>
          <w:szCs w:val="21"/>
          <w:highlight w:val="white"/>
          <w:lang w:eastAsia="zh-CN"/>
        </w:rPr>
        <w:t>0.25%</w:t>
      </w:r>
      <w:r>
        <w:rPr>
          <w:rStyle w:val="da"/>
          <w:rFonts w:ascii="宋体" w:hAnsi="Calibri" w:cs="宋体" w:hint="eastAsia"/>
          <w:szCs w:val="21"/>
          <w:highlight w:val="white"/>
          <w:lang w:eastAsia="zh-CN"/>
        </w:rPr>
        <w:t>以上的，应对估值进行调整并确定公允价值。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四、估值方法</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1</w:t>
      </w:r>
      <w:r>
        <w:rPr>
          <w:rStyle w:val="da"/>
          <w:rFonts w:ascii="宋体" w:hAnsi="Calibri" w:cs="宋体" w:hint="eastAsia"/>
          <w:szCs w:val="21"/>
          <w:highlight w:val="white"/>
          <w:lang w:eastAsia="zh-CN"/>
        </w:rPr>
        <w:t>、目标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基金份额估值方法</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对持有的目标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基金份额，按估值日目标</w:t>
      </w:r>
      <w:r>
        <w:rPr>
          <w:rStyle w:val="da"/>
          <w:rFonts w:ascii="宋体" w:hAnsi="Calibri" w:cs="宋体" w:hint="eastAsia"/>
          <w:szCs w:val="21"/>
          <w:highlight w:val="white"/>
          <w:lang w:eastAsia="zh-CN"/>
        </w:rPr>
        <w:t>ETF</w:t>
      </w:r>
      <w:r>
        <w:rPr>
          <w:rStyle w:val="da"/>
          <w:rFonts w:ascii="宋体" w:hAnsi="Calibri" w:cs="宋体" w:hint="eastAsia"/>
          <w:szCs w:val="21"/>
          <w:highlight w:val="white"/>
          <w:lang w:eastAsia="zh-CN"/>
        </w:rPr>
        <w:t>基金的份额净值估值。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2</w:t>
      </w:r>
      <w:r>
        <w:rPr>
          <w:rStyle w:val="da"/>
          <w:rFonts w:ascii="宋体" w:hAnsi="Calibri" w:cs="宋体" w:hint="eastAsia"/>
          <w:szCs w:val="21"/>
          <w:highlight w:val="white"/>
          <w:lang w:eastAsia="zh-CN"/>
        </w:rPr>
        <w:t>、交易所上市的有价证券（包括股票等），以其估值日</w:t>
      </w:r>
      <w:r>
        <w:rPr>
          <w:rStyle w:val="da"/>
          <w:rFonts w:ascii="宋体" w:hAnsi="Calibri" w:cs="宋体" w:hint="eastAsia"/>
          <w:szCs w:val="21"/>
          <w:highlight w:val="white"/>
          <w:lang w:eastAsia="zh-CN"/>
        </w:rPr>
        <w:t>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3</w:t>
      </w:r>
      <w:r>
        <w:rPr>
          <w:rStyle w:val="da"/>
          <w:rFonts w:ascii="宋体" w:hAnsi="Calibri" w:cs="宋体" w:hint="eastAsia"/>
          <w:szCs w:val="21"/>
          <w:highlight w:val="white"/>
          <w:lang w:eastAsia="zh-CN"/>
        </w:rPr>
        <w:t>、处于未上市期间的有价证券应区分如下情况处理：</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1</w:t>
      </w:r>
      <w:r>
        <w:rPr>
          <w:rStyle w:val="da"/>
          <w:rFonts w:ascii="宋体" w:hAnsi="Calibri" w:cs="宋体" w:hint="eastAsia"/>
          <w:szCs w:val="21"/>
          <w:highlight w:val="white"/>
          <w:lang w:eastAsia="zh-CN"/>
        </w:rPr>
        <w:t>）送股、转增股、配股和公开增发的新股，按估值日在证券交易所挂牌的同一股票的估值方法估值；该日无交易的，以最近一日的市价（收盘价）估值；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2</w:t>
      </w:r>
      <w:r>
        <w:rPr>
          <w:rStyle w:val="da"/>
          <w:rFonts w:ascii="宋体" w:hAnsi="Calibri" w:cs="宋体" w:hint="eastAsia"/>
          <w:szCs w:val="21"/>
          <w:highlight w:val="white"/>
          <w:lang w:eastAsia="zh-CN"/>
        </w:rPr>
        <w:t>）首次公开发行未上市的股票，采用估值技术确定公允价值；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3</w:t>
      </w:r>
      <w:r>
        <w:rPr>
          <w:rStyle w:val="da"/>
          <w:rFonts w:ascii="宋体" w:hAnsi="Calibri" w:cs="宋体" w:hint="eastAsia"/>
          <w:szCs w:val="21"/>
          <w:highlight w:val="white"/>
          <w:lang w:eastAsia="zh-CN"/>
        </w:rPr>
        <w:t>）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4</w:t>
      </w:r>
      <w:r>
        <w:rPr>
          <w:rStyle w:val="da"/>
          <w:rFonts w:ascii="宋体" w:hAnsi="Calibri" w:cs="宋体" w:hint="eastAsia"/>
          <w:szCs w:val="21"/>
          <w:highlight w:val="white"/>
          <w:lang w:eastAsia="zh-CN"/>
        </w:rPr>
        <w:t>、对于已上市或已挂牌转让的不含权固定收益品种，选取估值日第三方估值基准服务机构提供的相应品种当日的估值全价进行估值。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5</w:t>
      </w:r>
      <w:r>
        <w:rPr>
          <w:rStyle w:val="da"/>
          <w:rFonts w:ascii="宋体" w:hAnsi="Calibri" w:cs="宋体" w:hint="eastAsia"/>
          <w:szCs w:val="21"/>
          <w:highlight w:val="white"/>
          <w:lang w:eastAsia="zh-CN"/>
        </w:rPr>
        <w:t>、对于已上市或已挂牌转让的含权固定收益品种，选取估值日第三方估值基准服务机构提供的相应品种当日的唯一估值全价或推荐估值全价进行估值。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对于含投资者回售权的固定收益品种，行使回售权的，在回售登记日至实际收款日期间选取第三方估值基准服务机构提供的相应品种的唯一估值全价或推荐估值全价进行估值。回售登记期截止日（含当日）后未行使回售权的按照长待偿期所对应的价格进行估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6</w:t>
      </w:r>
      <w:r>
        <w:rPr>
          <w:rStyle w:val="da"/>
          <w:rFonts w:ascii="宋体" w:hAnsi="Calibri" w:cs="宋体" w:hint="eastAsia"/>
          <w:szCs w:val="21"/>
          <w:highlight w:val="white"/>
          <w:lang w:eastAsia="zh-CN"/>
        </w:rPr>
        <w:t>、对于在交易所市场上市</w:t>
      </w:r>
      <w:r>
        <w:rPr>
          <w:rStyle w:val="da"/>
          <w:rFonts w:ascii="宋体" w:hAnsi="Calibri" w:cs="宋体" w:hint="eastAsia"/>
          <w:szCs w:val="21"/>
          <w:highlight w:val="white"/>
          <w:lang w:eastAsia="zh-CN"/>
        </w:rPr>
        <w:t>交易的公开发行的可转换债券等有活跃市场的含转股权的债券，实行全价交易的债券选取估值日收盘价作为估值全价；实行净价交易的债券选取估值日收盘价并加计每百元税前应计利息作为估值全价。</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7</w:t>
      </w:r>
      <w:r>
        <w:rPr>
          <w:rStyle w:val="da"/>
          <w:rFonts w:ascii="宋体" w:hAnsi="Calibri" w:cs="宋体" w:hint="eastAsia"/>
          <w:szCs w:val="21"/>
          <w:highlight w:val="white"/>
          <w:lang w:eastAsia="zh-CN"/>
        </w:rPr>
        <w:t>、对于未上市或未挂牌转让且不存在活跃市场的固定收益品种，采用在当前情况下适用并且有足够可利用数据和其他信息支持的估值技术确定其公允价值。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8</w:t>
      </w:r>
      <w:r>
        <w:rPr>
          <w:rStyle w:val="da"/>
          <w:rFonts w:ascii="宋体" w:hAnsi="Calibri" w:cs="宋体" w:hint="eastAsia"/>
          <w:szCs w:val="21"/>
          <w:highlight w:val="white"/>
          <w:lang w:eastAsia="zh-CN"/>
        </w:rPr>
        <w:t>、期货合约以估值当日结算价进行估值，估值当日无结算价的，且最近交易日后经济环境未发生重大变化的，采用最近交易日结算价估值。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9</w:t>
      </w:r>
      <w:r>
        <w:rPr>
          <w:rStyle w:val="da"/>
          <w:rFonts w:ascii="宋体" w:hAnsi="Calibri" w:cs="宋体" w:hint="eastAsia"/>
          <w:szCs w:val="21"/>
          <w:highlight w:val="white"/>
          <w:lang w:eastAsia="zh-CN"/>
        </w:rPr>
        <w:t>、本基金投资期权，根据相关法律法规以及监管部门的规定估值。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10</w:t>
      </w:r>
      <w:r>
        <w:rPr>
          <w:rStyle w:val="da"/>
          <w:rFonts w:ascii="宋体" w:hAnsi="Calibri" w:cs="宋体" w:hint="eastAsia"/>
          <w:szCs w:val="21"/>
          <w:highlight w:val="white"/>
          <w:lang w:eastAsia="zh-CN"/>
        </w:rPr>
        <w:t>、</w:t>
      </w:r>
      <w:r>
        <w:rPr>
          <w:rStyle w:val="da"/>
          <w:rFonts w:ascii="宋体" w:hAnsi="Calibri" w:cs="宋体" w:hint="eastAsia"/>
          <w:szCs w:val="21"/>
          <w:highlight w:val="white"/>
          <w:lang w:eastAsia="zh-CN"/>
        </w:rPr>
        <w:t>本基金参与融资业务的，按照相关法律法规、监管部门和行业协会的相关规定进行估值。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11</w:t>
      </w:r>
      <w:r>
        <w:rPr>
          <w:rStyle w:val="da"/>
          <w:rFonts w:ascii="宋体" w:hAnsi="Calibri" w:cs="宋体" w:hint="eastAsia"/>
          <w:szCs w:val="21"/>
          <w:highlight w:val="white"/>
          <w:lang w:eastAsia="zh-CN"/>
        </w:rPr>
        <w:t>、本基金参与转融通证券出借业务的，按照相关法律法规和行业协会的相关规定进行估值。</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12</w:t>
      </w:r>
      <w:r>
        <w:rPr>
          <w:rStyle w:val="da"/>
          <w:rFonts w:ascii="宋体" w:hAnsi="Calibri" w:cs="宋体" w:hint="eastAsia"/>
          <w:szCs w:val="21"/>
          <w:highlight w:val="white"/>
          <w:lang w:eastAsia="zh-CN"/>
        </w:rPr>
        <w:t>、本基金投资存托凭证的估值核算，依照境内上市交易的股票执行。</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13</w:t>
      </w:r>
      <w:r>
        <w:rPr>
          <w:rStyle w:val="da"/>
          <w:rFonts w:ascii="宋体" w:hAnsi="Calibri" w:cs="宋体"/>
          <w:szCs w:val="21"/>
          <w:highlight w:val="white"/>
          <w:lang w:eastAsia="zh-CN"/>
        </w:rPr>
        <w:t>、如有充分理由表明按上述方法进行估值不能客观反映其公允价值的，基金管理人可根据具体情况与基金托管人商定后，按最能反映公允价值的价格估值。</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14</w:t>
      </w:r>
      <w:r>
        <w:rPr>
          <w:rStyle w:val="da"/>
          <w:rFonts w:ascii="宋体" w:hAnsi="Calibri" w:cs="宋体"/>
          <w:szCs w:val="21"/>
          <w:highlight w:val="white"/>
          <w:lang w:eastAsia="zh-CN"/>
        </w:rPr>
        <w:t>、当发生大额申购或赎回情形时，基金管理人可以采用摆动定价机制，以确保基金估值的公平性。</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15</w:t>
      </w:r>
      <w:r>
        <w:rPr>
          <w:rStyle w:val="da"/>
          <w:rFonts w:ascii="宋体" w:hAnsi="Calibri" w:cs="宋体"/>
          <w:szCs w:val="21"/>
          <w:highlight w:val="white"/>
          <w:lang w:eastAsia="zh-CN"/>
        </w:rPr>
        <w:t>、相关法律法规以及监管部门有强制规定的，从</w:t>
      </w:r>
      <w:r>
        <w:rPr>
          <w:rStyle w:val="da"/>
          <w:rFonts w:ascii="宋体" w:hAnsi="Calibri" w:cs="宋体"/>
          <w:szCs w:val="21"/>
          <w:highlight w:val="white"/>
          <w:lang w:eastAsia="zh-CN"/>
        </w:rPr>
        <w:t>其规定。如有新增事项，按国家最新规定估值。</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如基金管理人或基金托管人发现基金估值违反基金合同订明的估值方法、程序及相关法律法规的规定或者未能充分维护基金份额持有人利益时，应立即通知对方，共同查明原因，双方协商解决。</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五、估值程序</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w:t>
      </w:r>
      <w:r>
        <w:rPr>
          <w:rStyle w:val="da"/>
          <w:rFonts w:ascii="宋体" w:hAnsi="Calibri" w:cs="宋体"/>
          <w:szCs w:val="21"/>
          <w:highlight w:val="white"/>
          <w:lang w:eastAsia="zh-CN"/>
        </w:rPr>
        <w:t>、基金份额净值是按照每个</w:t>
      </w:r>
      <w:r>
        <w:rPr>
          <w:rStyle w:val="da"/>
          <w:rFonts w:ascii="宋体" w:hAnsi="Calibri" w:cs="宋体"/>
          <w:szCs w:val="21"/>
          <w:highlight w:val="white"/>
          <w:lang w:eastAsia="zh-CN"/>
        </w:rPr>
        <w:t>估值日闭市后，基金资产净值除以当日基金份额的余额数量计算，精确到</w:t>
      </w:r>
      <w:r>
        <w:rPr>
          <w:rStyle w:val="da"/>
          <w:rFonts w:ascii="宋体" w:hAnsi="Calibri" w:cs="宋体"/>
          <w:szCs w:val="21"/>
          <w:highlight w:val="white"/>
          <w:lang w:eastAsia="zh-CN"/>
        </w:rPr>
        <w:t>0.0001</w:t>
      </w:r>
      <w:r>
        <w:rPr>
          <w:rStyle w:val="da"/>
          <w:rFonts w:ascii="宋体" w:hAnsi="Calibri" w:cs="宋体"/>
          <w:szCs w:val="21"/>
          <w:highlight w:val="white"/>
          <w:lang w:eastAsia="zh-CN"/>
        </w:rPr>
        <w:t>元，小数点后第</w:t>
      </w:r>
      <w:r>
        <w:rPr>
          <w:rStyle w:val="da"/>
          <w:rFonts w:ascii="宋体" w:hAnsi="Calibri" w:cs="宋体"/>
          <w:szCs w:val="21"/>
          <w:highlight w:val="white"/>
          <w:lang w:eastAsia="zh-CN"/>
        </w:rPr>
        <w:t>5</w:t>
      </w:r>
      <w:r>
        <w:rPr>
          <w:rStyle w:val="da"/>
          <w:rFonts w:ascii="宋体" w:hAnsi="Calibri" w:cs="宋体"/>
          <w:szCs w:val="21"/>
          <w:highlight w:val="white"/>
          <w:lang w:eastAsia="zh-CN"/>
        </w:rPr>
        <w:t>位四舍五入。基金管理人可以设立大额赎回情形下的净值精度应急调整机制。国家另有规定的，从其规定。</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每个估值日计算基金资产净值及基金份额净值，并按规定公告。</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w:t>
      </w:r>
      <w:r>
        <w:rPr>
          <w:rStyle w:val="da"/>
          <w:rFonts w:ascii="宋体" w:hAnsi="Calibri" w:cs="宋体"/>
          <w:szCs w:val="21"/>
          <w:highlight w:val="white"/>
          <w:lang w:eastAsia="zh-CN"/>
        </w:rPr>
        <w:t>、基金管理人应每个估值日对基金资产估值。但基金管理人根据法律法规或基金合同的规定暂停估值时除外。基金管理人每个估值日对基金资产估值后，将基金份额净值结果发送基金托管人，经基金托管人复核无误后，由基金管理人按规定对外公布。</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六、估值错误的处理</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基金管理人和基金托管人</w:t>
      </w:r>
      <w:r>
        <w:rPr>
          <w:rStyle w:val="da"/>
          <w:rFonts w:ascii="宋体" w:hAnsi="Calibri" w:cs="宋体"/>
          <w:szCs w:val="21"/>
          <w:highlight w:val="white"/>
          <w:lang w:eastAsia="zh-CN"/>
        </w:rPr>
        <w:t>将采取必要、适当、合理的措施确保基金资产估值的准确性、及时性。当基金份额净值小数点后</w:t>
      </w:r>
      <w:r>
        <w:rPr>
          <w:rStyle w:val="da"/>
          <w:rFonts w:ascii="宋体" w:hAnsi="Calibri" w:cs="宋体"/>
          <w:szCs w:val="21"/>
          <w:highlight w:val="white"/>
          <w:lang w:eastAsia="zh-CN"/>
        </w:rPr>
        <w:t>4</w:t>
      </w:r>
      <w:r>
        <w:rPr>
          <w:rStyle w:val="da"/>
          <w:rFonts w:ascii="宋体" w:hAnsi="Calibri" w:cs="宋体"/>
          <w:szCs w:val="21"/>
          <w:highlight w:val="white"/>
          <w:lang w:eastAsia="zh-CN"/>
        </w:rPr>
        <w:t>位以内（含第</w:t>
      </w:r>
      <w:r>
        <w:rPr>
          <w:rStyle w:val="da"/>
          <w:rFonts w:ascii="宋体" w:hAnsi="Calibri" w:cs="宋体"/>
          <w:szCs w:val="21"/>
          <w:highlight w:val="white"/>
          <w:lang w:eastAsia="zh-CN"/>
        </w:rPr>
        <w:t>4</w:t>
      </w:r>
      <w:r>
        <w:rPr>
          <w:rStyle w:val="da"/>
          <w:rFonts w:ascii="宋体" w:hAnsi="Calibri" w:cs="宋体"/>
          <w:szCs w:val="21"/>
          <w:highlight w:val="white"/>
          <w:lang w:eastAsia="zh-CN"/>
        </w:rPr>
        <w:t>位）发生估值错误时，视为基金份额净值错误。</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基金合同的当事人应按照以下约定处理：</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w:t>
      </w:r>
      <w:r>
        <w:rPr>
          <w:rStyle w:val="da"/>
          <w:rFonts w:ascii="宋体" w:hAnsi="Calibri" w:cs="宋体"/>
          <w:szCs w:val="21"/>
          <w:highlight w:val="white"/>
          <w:lang w:eastAsia="zh-CN"/>
        </w:rPr>
        <w:t>、估值错误类型</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本基金运作过程中，如果由于基金管理人或基金托管人、或登记机构、或销售机构、或投资人自身的过错造成估值错误，导致其他当事人遭受损失的，过错的责任人应当对由于该估值错误遭受损失当事人（</w:t>
      </w:r>
      <w:r>
        <w:rPr>
          <w:rStyle w:val="da"/>
          <w:rFonts w:ascii="宋体" w:hAnsi="Calibri" w:cs="宋体"/>
          <w:szCs w:val="21"/>
          <w:highlight w:val="white"/>
          <w:lang w:eastAsia="zh-CN"/>
        </w:rPr>
        <w:t>“</w:t>
      </w:r>
      <w:r>
        <w:rPr>
          <w:rStyle w:val="da"/>
          <w:rFonts w:ascii="宋体" w:hAnsi="Calibri" w:cs="宋体"/>
          <w:szCs w:val="21"/>
          <w:highlight w:val="white"/>
          <w:lang w:eastAsia="zh-CN"/>
        </w:rPr>
        <w:t>受损方</w:t>
      </w:r>
      <w:r>
        <w:rPr>
          <w:rStyle w:val="da"/>
          <w:rFonts w:ascii="宋体" w:hAnsi="Calibri" w:cs="宋体"/>
          <w:szCs w:val="21"/>
          <w:highlight w:val="white"/>
          <w:lang w:eastAsia="zh-CN"/>
        </w:rPr>
        <w:t>”</w:t>
      </w:r>
      <w:r>
        <w:rPr>
          <w:rStyle w:val="da"/>
          <w:rFonts w:ascii="宋体" w:hAnsi="Calibri" w:cs="宋体"/>
          <w:szCs w:val="21"/>
          <w:highlight w:val="white"/>
          <w:lang w:eastAsia="zh-CN"/>
        </w:rPr>
        <w:t>）的直接损失按下述</w:t>
      </w:r>
      <w:r>
        <w:rPr>
          <w:rStyle w:val="da"/>
          <w:rFonts w:ascii="宋体" w:hAnsi="Calibri" w:cs="宋体"/>
          <w:szCs w:val="21"/>
          <w:highlight w:val="white"/>
          <w:lang w:eastAsia="zh-CN"/>
        </w:rPr>
        <w:t>“</w:t>
      </w:r>
      <w:r>
        <w:rPr>
          <w:rStyle w:val="da"/>
          <w:rFonts w:ascii="宋体" w:hAnsi="Calibri" w:cs="宋体"/>
          <w:szCs w:val="21"/>
          <w:highlight w:val="white"/>
          <w:lang w:eastAsia="zh-CN"/>
        </w:rPr>
        <w:t>估值错误处理原则</w:t>
      </w:r>
      <w:r>
        <w:rPr>
          <w:rStyle w:val="da"/>
          <w:rFonts w:ascii="宋体" w:hAnsi="Calibri" w:cs="宋体"/>
          <w:szCs w:val="21"/>
          <w:highlight w:val="white"/>
          <w:lang w:eastAsia="zh-CN"/>
        </w:rPr>
        <w:t>”</w:t>
      </w:r>
      <w:r>
        <w:rPr>
          <w:rStyle w:val="da"/>
          <w:rFonts w:ascii="宋体" w:hAnsi="Calibri" w:cs="宋体"/>
          <w:szCs w:val="21"/>
          <w:highlight w:val="white"/>
          <w:lang w:eastAsia="zh-CN"/>
        </w:rPr>
        <w:t>给予赔偿，承担赔偿责任。</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上述估值错误的主要类型包括但不限于：资料申报差错、数据传输</w:t>
      </w:r>
      <w:r>
        <w:rPr>
          <w:rStyle w:val="da"/>
          <w:rFonts w:ascii="宋体" w:hAnsi="Calibri" w:cs="宋体"/>
          <w:szCs w:val="21"/>
          <w:highlight w:val="white"/>
          <w:lang w:eastAsia="zh-CN"/>
        </w:rPr>
        <w:t>差错、数据计算差错、系统故障差错、下达指令差错等。</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w:t>
      </w:r>
      <w:r>
        <w:rPr>
          <w:rStyle w:val="da"/>
          <w:rFonts w:ascii="宋体" w:hAnsi="Calibri" w:cs="宋体"/>
          <w:szCs w:val="21"/>
          <w:highlight w:val="white"/>
          <w:lang w:eastAsia="zh-CN"/>
        </w:rPr>
        <w:t>、估值错误处理原则</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1</w:t>
      </w:r>
      <w:r>
        <w:rPr>
          <w:rStyle w:val="da"/>
          <w:rFonts w:ascii="宋体" w:hAnsi="Calibri" w:cs="宋体"/>
          <w:szCs w:val="21"/>
          <w:highlight w:val="white"/>
          <w:lang w:eastAsia="zh-CN"/>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2</w:t>
      </w:r>
      <w:r>
        <w:rPr>
          <w:rStyle w:val="da"/>
          <w:rFonts w:ascii="宋体" w:hAnsi="Calibri" w:cs="宋体"/>
          <w:szCs w:val="21"/>
          <w:highlight w:val="white"/>
          <w:lang w:eastAsia="zh-CN"/>
        </w:rPr>
        <w:t>）估值错误的责任方对有关当事人的直接损失负责，不对间接损失负责，并且仅对估值错误的有关直接当事人负责，不对第三方负责。</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3</w:t>
      </w:r>
      <w:r>
        <w:rPr>
          <w:rStyle w:val="da"/>
          <w:rFonts w:ascii="宋体" w:hAnsi="Calibri" w:cs="宋体"/>
          <w:szCs w:val="21"/>
          <w:highlight w:val="white"/>
          <w:lang w:eastAsia="zh-CN"/>
        </w:rPr>
        <w:t>）因估值错误而获得不当得利的当事人负有及时返还不当得利的义务。但估值错误责任方仍应对估值错误负责。如果由于获得不当得利的当事人不返还或不全部返还不当得利造成其他当事人的利益损失（</w:t>
      </w:r>
      <w:r>
        <w:rPr>
          <w:rStyle w:val="da"/>
          <w:rFonts w:ascii="宋体" w:hAnsi="Calibri" w:cs="宋体"/>
          <w:szCs w:val="21"/>
          <w:highlight w:val="white"/>
          <w:lang w:eastAsia="zh-CN"/>
        </w:rPr>
        <w:t>“</w:t>
      </w:r>
      <w:r>
        <w:rPr>
          <w:rStyle w:val="da"/>
          <w:rFonts w:ascii="宋体" w:hAnsi="Calibri" w:cs="宋体"/>
          <w:szCs w:val="21"/>
          <w:highlight w:val="white"/>
          <w:lang w:eastAsia="zh-CN"/>
        </w:rPr>
        <w:t>受损方</w:t>
      </w:r>
      <w:r>
        <w:rPr>
          <w:rStyle w:val="da"/>
          <w:rFonts w:ascii="宋体" w:hAnsi="Calibri" w:cs="宋体"/>
          <w:szCs w:val="21"/>
          <w:highlight w:val="white"/>
          <w:lang w:eastAsia="zh-CN"/>
        </w:rPr>
        <w:t>”</w:t>
      </w:r>
      <w:r>
        <w:rPr>
          <w:rStyle w:val="da"/>
          <w:rFonts w:ascii="宋体" w:hAnsi="Calibri" w:cs="宋体"/>
          <w:szCs w:val="21"/>
          <w:highlight w:val="white"/>
          <w:lang w:eastAsia="zh-CN"/>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w:t>
      </w:r>
      <w:r>
        <w:rPr>
          <w:rStyle w:val="da"/>
          <w:rFonts w:ascii="宋体" w:hAnsi="Calibri" w:cs="宋体"/>
          <w:szCs w:val="21"/>
          <w:highlight w:val="white"/>
          <w:lang w:eastAsia="zh-CN"/>
        </w:rPr>
        <w:t>获得的赔偿额加上已经获得的不当得利返还的总和超过其实际损失的差额部分支付给估值错误责任方。</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4</w:t>
      </w:r>
      <w:r>
        <w:rPr>
          <w:rStyle w:val="da"/>
          <w:rFonts w:ascii="宋体" w:hAnsi="Calibri" w:cs="宋体"/>
          <w:szCs w:val="21"/>
          <w:highlight w:val="white"/>
          <w:lang w:eastAsia="zh-CN"/>
        </w:rPr>
        <w:t>）估值错误调整采用尽量恢复至假设未发生估值错误的正确情形的方式。</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3</w:t>
      </w:r>
      <w:r>
        <w:rPr>
          <w:rStyle w:val="da"/>
          <w:rFonts w:ascii="宋体" w:hAnsi="Calibri" w:cs="宋体"/>
          <w:szCs w:val="21"/>
          <w:highlight w:val="white"/>
          <w:lang w:eastAsia="zh-CN"/>
        </w:rPr>
        <w:t>、估值错误处理程序</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估值错误被发现后，有关的当事人应当及时进行处理，处理的程序如下：</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1</w:t>
      </w:r>
      <w:r>
        <w:rPr>
          <w:rStyle w:val="da"/>
          <w:rFonts w:ascii="宋体" w:hAnsi="Calibri" w:cs="宋体"/>
          <w:szCs w:val="21"/>
          <w:highlight w:val="white"/>
          <w:lang w:eastAsia="zh-CN"/>
        </w:rPr>
        <w:t>）查明估值错误发生的原因，列明所有的当事人，并根据估值错误发生的原因确定估值错误的责任方；</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2</w:t>
      </w:r>
      <w:r>
        <w:rPr>
          <w:rStyle w:val="da"/>
          <w:rFonts w:ascii="宋体" w:hAnsi="Calibri" w:cs="宋体"/>
          <w:szCs w:val="21"/>
          <w:highlight w:val="white"/>
          <w:lang w:eastAsia="zh-CN"/>
        </w:rPr>
        <w:t>）根据估值错误处理原则或当事人协商的方法对因估值错误造成的损失进行评估；</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3</w:t>
      </w:r>
      <w:r>
        <w:rPr>
          <w:rStyle w:val="da"/>
          <w:rFonts w:ascii="宋体" w:hAnsi="Calibri" w:cs="宋体"/>
          <w:szCs w:val="21"/>
          <w:highlight w:val="white"/>
          <w:lang w:eastAsia="zh-CN"/>
        </w:rPr>
        <w:t>）根据估值错误处理原则或当事人协商的方法由估值错误的责任方进行更正和赔偿损失；</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4</w:t>
      </w:r>
      <w:r>
        <w:rPr>
          <w:rStyle w:val="da"/>
          <w:rFonts w:ascii="宋体" w:hAnsi="Calibri" w:cs="宋体"/>
          <w:szCs w:val="21"/>
          <w:highlight w:val="white"/>
          <w:lang w:eastAsia="zh-CN"/>
        </w:rPr>
        <w:t>）根据估值错误处理的方法，需要修改基金登记机构交易数据的，由基金登记机构进行更正，并就估值错误的更正向有关当事人进行确认。</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4</w:t>
      </w:r>
      <w:r>
        <w:rPr>
          <w:rStyle w:val="da"/>
          <w:rFonts w:ascii="宋体" w:hAnsi="Calibri" w:cs="宋体"/>
          <w:szCs w:val="21"/>
          <w:highlight w:val="white"/>
          <w:lang w:eastAsia="zh-CN"/>
        </w:rPr>
        <w:t>、基金份额净值估值错误处理的方法如下：</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1</w:t>
      </w:r>
      <w:r>
        <w:rPr>
          <w:rStyle w:val="da"/>
          <w:rFonts w:ascii="宋体" w:hAnsi="Calibri" w:cs="宋体"/>
          <w:szCs w:val="21"/>
          <w:highlight w:val="white"/>
          <w:lang w:eastAsia="zh-CN"/>
        </w:rPr>
        <w:t>）基金份额净值计算出现错误时，基金管理人应当立即予以纠正，通报基金托管人，并采取合理的措施防止损失进一步扩大。</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2</w:t>
      </w:r>
      <w:r>
        <w:rPr>
          <w:rStyle w:val="da"/>
          <w:rFonts w:ascii="宋体" w:hAnsi="Calibri" w:cs="宋体"/>
          <w:szCs w:val="21"/>
          <w:highlight w:val="white"/>
          <w:lang w:eastAsia="zh-CN"/>
        </w:rPr>
        <w:t>）错误偏差达到基金份额净值的</w:t>
      </w:r>
      <w:r>
        <w:rPr>
          <w:rStyle w:val="da"/>
          <w:rFonts w:ascii="宋体" w:hAnsi="Calibri" w:cs="宋体"/>
          <w:szCs w:val="21"/>
          <w:highlight w:val="white"/>
          <w:lang w:eastAsia="zh-CN"/>
        </w:rPr>
        <w:t>0.25%</w:t>
      </w:r>
      <w:r>
        <w:rPr>
          <w:rStyle w:val="da"/>
          <w:rFonts w:ascii="宋体" w:hAnsi="Calibri" w:cs="宋体"/>
          <w:szCs w:val="21"/>
          <w:highlight w:val="white"/>
          <w:lang w:eastAsia="zh-CN"/>
        </w:rPr>
        <w:t>时，基金管理人应当通报基金托管人并报中国证监会备案；错误偏差达到基金份额净值的</w:t>
      </w:r>
      <w:r>
        <w:rPr>
          <w:rStyle w:val="da"/>
          <w:rFonts w:ascii="宋体" w:hAnsi="Calibri" w:cs="宋体"/>
          <w:szCs w:val="21"/>
          <w:highlight w:val="white"/>
          <w:lang w:eastAsia="zh-CN"/>
        </w:rPr>
        <w:t>0.5%</w:t>
      </w:r>
      <w:r>
        <w:rPr>
          <w:rStyle w:val="da"/>
          <w:rFonts w:ascii="宋体" w:hAnsi="Calibri" w:cs="宋体"/>
          <w:szCs w:val="21"/>
          <w:highlight w:val="white"/>
          <w:lang w:eastAsia="zh-CN"/>
        </w:rPr>
        <w:t>时，基金管理人应当公告，并报中国证监会备案。</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3</w:t>
      </w:r>
      <w:r>
        <w:rPr>
          <w:rStyle w:val="da"/>
          <w:rFonts w:ascii="宋体" w:hAnsi="Calibri" w:cs="宋体"/>
          <w:szCs w:val="21"/>
          <w:highlight w:val="white"/>
          <w:lang w:eastAsia="zh-CN"/>
        </w:rPr>
        <w:t>）当基金份额净值计算差错给基金和基金份额持有人造成损失需要进行赔偿时，基金管理人和基金托管人应根据实际情况界定双方承担的责任，经确认后按以下条款进行赔偿：</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①</w:t>
      </w:r>
      <w:r>
        <w:rPr>
          <w:rStyle w:val="da"/>
          <w:rFonts w:ascii="宋体" w:hAnsi="Calibri" w:cs="宋体"/>
          <w:szCs w:val="21"/>
          <w:highlight w:val="white"/>
          <w:lang w:eastAsia="zh-CN"/>
        </w:rPr>
        <w:t>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②</w:t>
      </w:r>
      <w:r>
        <w:rPr>
          <w:rStyle w:val="da"/>
          <w:rFonts w:ascii="宋体" w:hAnsi="Calibri" w:cs="宋体"/>
          <w:szCs w:val="21"/>
          <w:highlight w:val="white"/>
          <w:lang w:eastAsia="zh-CN"/>
        </w:rPr>
        <w:t>若基金管理人计算的基金份额净值已由基金托管人复核确认后公告，由此给基金份额持有人造成损失的，应根据法律法规的规定对投资者或基金支付赔偿金，就实际</w:t>
      </w:r>
      <w:r>
        <w:rPr>
          <w:rStyle w:val="da"/>
          <w:rFonts w:ascii="宋体" w:hAnsi="Calibri" w:cs="宋体"/>
          <w:szCs w:val="21"/>
          <w:highlight w:val="white"/>
          <w:lang w:eastAsia="zh-CN"/>
        </w:rPr>
        <w:t>向投资者或基金支付的赔偿金额，基金管理人与基金托管人按照过错程度各自承担相应的责任。</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③</w:t>
      </w:r>
      <w:r>
        <w:rPr>
          <w:rStyle w:val="da"/>
          <w:rFonts w:ascii="宋体" w:hAnsi="Calibri" w:cs="宋体"/>
          <w:szCs w:val="21"/>
          <w:highlight w:val="white"/>
          <w:lang w:eastAsia="zh-CN"/>
        </w:rPr>
        <w:t>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④</w:t>
      </w:r>
      <w:r>
        <w:rPr>
          <w:rStyle w:val="da"/>
          <w:rFonts w:ascii="宋体" w:hAnsi="Calibri" w:cs="宋体"/>
          <w:szCs w:val="21"/>
          <w:highlight w:val="white"/>
          <w:lang w:eastAsia="zh-CN"/>
        </w:rPr>
        <w:t>由于基金管理人提供的信息错误（包括但不限于基金申购或赎回金额等），进而导致基金份额净值计算错误而引起的基金份额持有人和基金财产的损失，由基金管理人负责赔付。</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4</w:t>
      </w:r>
      <w:r>
        <w:rPr>
          <w:rStyle w:val="da"/>
          <w:rFonts w:ascii="宋体" w:hAnsi="Calibri" w:cs="宋体"/>
          <w:szCs w:val="21"/>
          <w:highlight w:val="white"/>
          <w:lang w:eastAsia="zh-CN"/>
        </w:rPr>
        <w:t>）前述内容如法律法规或监管机关另有规</w:t>
      </w:r>
      <w:r>
        <w:rPr>
          <w:rStyle w:val="da"/>
          <w:rFonts w:ascii="宋体" w:hAnsi="Calibri" w:cs="宋体"/>
          <w:szCs w:val="21"/>
          <w:highlight w:val="white"/>
          <w:lang w:eastAsia="zh-CN"/>
        </w:rPr>
        <w:t>定的，从其规定处理。</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七、暂停估值的情形</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w:t>
      </w:r>
      <w:r>
        <w:rPr>
          <w:rStyle w:val="da"/>
          <w:rFonts w:ascii="宋体" w:hAnsi="Calibri" w:cs="宋体"/>
          <w:szCs w:val="21"/>
          <w:highlight w:val="white"/>
          <w:lang w:eastAsia="zh-CN"/>
        </w:rPr>
        <w:t>、基金投资所涉及的证券交易市场遇法定节假日或因其他原因暂停营业时；</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w:t>
      </w:r>
      <w:r>
        <w:rPr>
          <w:rStyle w:val="da"/>
          <w:rFonts w:ascii="宋体" w:hAnsi="Calibri" w:cs="宋体"/>
          <w:szCs w:val="21"/>
          <w:highlight w:val="white"/>
          <w:lang w:eastAsia="zh-CN"/>
        </w:rPr>
        <w:t>、因不可抗力致使基金管理人、基金托管人无法准确评估基金资产价值时；</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3</w:t>
      </w:r>
      <w:r>
        <w:rPr>
          <w:rStyle w:val="da"/>
          <w:rFonts w:ascii="宋体" w:hAnsi="Calibri" w:cs="宋体"/>
          <w:szCs w:val="21"/>
          <w:highlight w:val="white"/>
          <w:lang w:eastAsia="zh-CN"/>
        </w:rPr>
        <w:t>、当特定资产占前一估值日基金资产净值</w:t>
      </w:r>
      <w:r>
        <w:rPr>
          <w:rStyle w:val="da"/>
          <w:rFonts w:ascii="宋体" w:hAnsi="Calibri" w:cs="宋体"/>
          <w:szCs w:val="21"/>
          <w:highlight w:val="white"/>
          <w:lang w:eastAsia="zh-CN"/>
        </w:rPr>
        <w:t>50%</w:t>
      </w:r>
      <w:r>
        <w:rPr>
          <w:rStyle w:val="da"/>
          <w:rFonts w:ascii="宋体" w:hAnsi="Calibri" w:cs="宋体"/>
          <w:szCs w:val="21"/>
          <w:highlight w:val="white"/>
          <w:lang w:eastAsia="zh-CN"/>
        </w:rPr>
        <w:t>以上的，经与基金托管人协商确认后，基金管理人应当暂停估值；</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4</w:t>
      </w:r>
      <w:r>
        <w:rPr>
          <w:rStyle w:val="da"/>
          <w:rFonts w:ascii="宋体" w:hAnsi="Calibri" w:cs="宋体"/>
          <w:szCs w:val="21"/>
          <w:highlight w:val="white"/>
          <w:lang w:eastAsia="zh-CN"/>
        </w:rPr>
        <w:t>、基金所投资的目标</w:t>
      </w:r>
      <w:r>
        <w:rPr>
          <w:rStyle w:val="da"/>
          <w:rFonts w:ascii="宋体" w:hAnsi="Calibri" w:cs="宋体"/>
          <w:szCs w:val="21"/>
          <w:highlight w:val="white"/>
          <w:lang w:eastAsia="zh-CN"/>
        </w:rPr>
        <w:t>ETF</w:t>
      </w:r>
      <w:r>
        <w:rPr>
          <w:rStyle w:val="da"/>
          <w:rFonts w:ascii="宋体" w:hAnsi="Calibri" w:cs="宋体"/>
          <w:szCs w:val="21"/>
          <w:highlight w:val="white"/>
          <w:lang w:eastAsia="zh-CN"/>
        </w:rPr>
        <w:t>发生暂停估值、暂停公告基金份额净值的情形；</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5</w:t>
      </w:r>
      <w:r>
        <w:rPr>
          <w:rStyle w:val="da"/>
          <w:rFonts w:ascii="宋体" w:hAnsi="Calibri" w:cs="宋体"/>
          <w:szCs w:val="21"/>
          <w:highlight w:val="white"/>
          <w:lang w:eastAsia="zh-CN"/>
        </w:rPr>
        <w:t>、中国证监会和基金合同认定的其它情形。</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八、基金净值的确认</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用于基金信息披露的基金资产净值和基金份额净值由基金管理人负责计算，基金托管人负责进行复核。基金</w:t>
      </w:r>
      <w:r>
        <w:rPr>
          <w:rStyle w:val="da"/>
          <w:rFonts w:ascii="宋体" w:hAnsi="Calibri" w:cs="宋体"/>
          <w:szCs w:val="21"/>
          <w:highlight w:val="white"/>
          <w:lang w:eastAsia="zh-CN"/>
        </w:rPr>
        <w:t>管理人应于每个开放日交易结束后计算当日的基金资产净值和基金份额净值并发送给基金托管人。基金托管人对净值计算结果复核确认后发送给基金管理人，由基金管理人按规定对基金净值予以公布。</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九、特殊情况的处理</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w:t>
      </w:r>
      <w:r>
        <w:rPr>
          <w:rStyle w:val="da"/>
          <w:rFonts w:ascii="宋体" w:hAnsi="Calibri" w:cs="宋体"/>
          <w:szCs w:val="21"/>
          <w:highlight w:val="white"/>
          <w:lang w:eastAsia="zh-CN"/>
        </w:rPr>
        <w:t>、基金管理人或基金托管人按估值方法的第</w:t>
      </w:r>
      <w:r>
        <w:rPr>
          <w:rStyle w:val="da"/>
          <w:rFonts w:ascii="宋体" w:hAnsi="Calibri" w:cs="宋体"/>
          <w:szCs w:val="21"/>
          <w:highlight w:val="white"/>
          <w:lang w:eastAsia="zh-CN"/>
        </w:rPr>
        <w:t>13</w:t>
      </w:r>
      <w:r>
        <w:rPr>
          <w:rStyle w:val="da"/>
          <w:rFonts w:ascii="宋体" w:hAnsi="Calibri" w:cs="宋体"/>
          <w:szCs w:val="21"/>
          <w:highlight w:val="white"/>
          <w:lang w:eastAsia="zh-CN"/>
        </w:rPr>
        <w:t>项进行估值时，所造成的误差不作为基金资产估值错误处理。</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w:t>
      </w:r>
      <w:r>
        <w:rPr>
          <w:rStyle w:val="da"/>
          <w:rFonts w:ascii="宋体" w:hAnsi="Calibri" w:cs="宋体"/>
          <w:szCs w:val="21"/>
          <w:highlight w:val="white"/>
          <w:lang w:eastAsia="zh-CN"/>
        </w:rPr>
        <w:t>、由于不可抗力，或证券交易所、登记结算机构、指数编制机构及存款银行等第三方机构发送的数据错误，或国家会计政策变更、市场规则变更等非基金管理人与基金托管人原因，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十、实施侧袋机制期间的基金资产估值</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本基金实施侧袋机制的，应根据本部分的约定对主袋账户资产进行估值并披露主袋账户的基金资产净值和份</w:t>
      </w:r>
      <w:r>
        <w:rPr>
          <w:rStyle w:val="da"/>
          <w:rFonts w:ascii="宋体" w:hAnsi="Calibri" w:cs="宋体"/>
          <w:szCs w:val="21"/>
          <w:highlight w:val="white"/>
          <w:lang w:eastAsia="zh-CN"/>
        </w:rPr>
        <w:t>额净值，暂停披露侧袋账户份额净值。</w:t>
      </w:r>
    </w:p>
    <w:p w:rsidR="004A090B">
      <w:pPr>
        <w:pStyle w:val="Heading1"/>
        <w:spacing w:before="317" w:after="317" w:line="360" w:lineRule="auto"/>
        <w:ind w:firstLine="420"/>
        <w:rPr>
          <w:rFonts w:ascii="宋体" w:eastAsia="宋体" w:hAnsi="Calibri" w:cs="宋体"/>
          <w:bCs/>
          <w:sz w:val="30"/>
          <w:szCs w:val="30"/>
        </w:rPr>
      </w:pPr>
      <w:r>
        <w:rPr>
          <w:rFonts w:ascii="宋体" w:eastAsia="宋体" w:hAnsi="Calibri" w:cs="宋体"/>
          <w:sz w:val="21"/>
          <w:szCs w:val="21"/>
          <w:lang w:eastAsia="zh-CN"/>
        </w:rPr>
        <w:br w:type="page"/>
      </w:r>
      <w:bookmarkStart w:id="1833" w:name="_Toc129511537"/>
      <w:r>
        <w:rPr>
          <w:rFonts w:ascii="宋体" w:eastAsia="宋体" w:hAnsi="Calibri" w:cs="宋体"/>
          <w:sz w:val="30"/>
          <w:szCs w:val="30"/>
        </w:rPr>
        <w:t>第</w:t>
      </w:r>
      <w:r>
        <w:rPr>
          <w:rFonts w:ascii="宋体" w:eastAsia="宋体" w:hAnsi="Calibri" w:cs="宋体" w:hint="eastAsia"/>
          <w:sz w:val="30"/>
          <w:szCs w:val="30"/>
        </w:rPr>
        <w:t>十</w:t>
      </w:r>
      <w:bookmarkStart w:id="1834" w:name="_Toc332373553"/>
      <w:r>
        <w:rPr>
          <w:rFonts w:ascii="宋体" w:eastAsia="宋体" w:hAnsi="Calibri" w:cs="宋体"/>
          <w:sz w:val="30"/>
          <w:szCs w:val="30"/>
        </w:rPr>
        <w:t>五</w:t>
      </w:r>
      <w:r>
        <w:rPr>
          <w:rFonts w:ascii="宋体" w:eastAsia="宋体" w:hAnsi="Calibri" w:cs="宋体" w:hint="eastAsia"/>
          <w:sz w:val="30"/>
          <w:szCs w:val="30"/>
        </w:rPr>
        <w:t>部分</w:t>
      </w:r>
      <w:r>
        <w:rPr>
          <w:rFonts w:ascii="宋体" w:eastAsia="宋体" w:hAnsi="Calibri" w:cs="宋体"/>
          <w:sz w:val="30"/>
          <w:szCs w:val="30"/>
        </w:rPr>
        <w:t xml:space="preserve"> </w:t>
      </w:r>
      <w:r>
        <w:rPr>
          <w:rFonts w:ascii="宋体" w:eastAsia="宋体" w:hAnsi="Calibri" w:cs="宋体" w:hint="eastAsia"/>
          <w:sz w:val="30"/>
          <w:szCs w:val="30"/>
        </w:rPr>
        <w:t>基金的收益分配</w:t>
      </w:r>
      <w:bookmarkEnd w:id="1833"/>
      <w:bookmarkEnd w:id="1834"/>
    </w:p>
    <w:p w:rsidR="004A090B">
      <w:pPr>
        <w:spacing w:line="360" w:lineRule="auto"/>
        <w:ind w:firstLine="420"/>
        <w:rPr>
          <w:rStyle w:val="da"/>
          <w:rFonts w:cs="宋体"/>
          <w:lang w:eastAsia="zh-CN"/>
        </w:rPr>
      </w:pPr>
      <w:r>
        <w:rPr>
          <w:rStyle w:val="da"/>
          <w:rFonts w:cs="宋体" w:hint="eastAsia"/>
          <w:lang w:eastAsia="zh-CN"/>
        </w:rPr>
        <w:t>一、基金利润的构成</w:t>
      </w:r>
    </w:p>
    <w:p w:rsidR="004A090B">
      <w:pPr>
        <w:spacing w:line="360" w:lineRule="auto"/>
        <w:ind w:firstLine="420"/>
        <w:rPr>
          <w:rStyle w:val="da"/>
          <w:rFonts w:cs="宋体"/>
          <w:lang w:eastAsia="zh-CN"/>
        </w:rPr>
      </w:pPr>
      <w:r>
        <w:rPr>
          <w:rStyle w:val="da"/>
          <w:rFonts w:cs="宋体" w:hint="eastAsia"/>
          <w:lang w:eastAsia="zh-CN"/>
        </w:rPr>
        <w:t>基金利润指基金利息收入、投资收益、公允价值变动收益和其他收入扣除相关费用后的余额，基金已实现收益指基金利润减去公允价值变动收益后的余额。</w:t>
      </w:r>
    </w:p>
    <w:p w:rsidR="004A090B">
      <w:pPr>
        <w:spacing w:line="360" w:lineRule="auto"/>
        <w:ind w:firstLine="420"/>
        <w:rPr>
          <w:rStyle w:val="da"/>
          <w:rFonts w:cs="宋体"/>
          <w:lang w:eastAsia="zh-CN"/>
        </w:rPr>
      </w:pPr>
      <w:r>
        <w:rPr>
          <w:rStyle w:val="da"/>
          <w:rFonts w:cs="宋体" w:hint="eastAsia"/>
          <w:lang w:eastAsia="zh-CN"/>
        </w:rPr>
        <w:t>二、基金可供分配利润</w:t>
      </w:r>
    </w:p>
    <w:p w:rsidR="004A090B">
      <w:pPr>
        <w:spacing w:line="360" w:lineRule="auto"/>
        <w:ind w:firstLine="420"/>
        <w:rPr>
          <w:rStyle w:val="da"/>
          <w:rFonts w:cs="宋体"/>
          <w:lang w:eastAsia="zh-CN"/>
        </w:rPr>
      </w:pPr>
      <w:r>
        <w:rPr>
          <w:rStyle w:val="da"/>
          <w:rFonts w:cs="宋体" w:hint="eastAsia"/>
          <w:lang w:eastAsia="zh-CN"/>
        </w:rPr>
        <w:t>基金可供分配利润指截至收益分配基准日基金未分配利润与未分配利润中已实现收益的孰低数。</w:t>
      </w:r>
    </w:p>
    <w:p w:rsidR="004A090B">
      <w:pPr>
        <w:spacing w:line="360" w:lineRule="auto"/>
        <w:ind w:firstLine="420"/>
        <w:rPr>
          <w:rFonts w:ascii="宋体" w:hAnsi="Calibri"/>
          <w:bCs/>
          <w:szCs w:val="21"/>
          <w:lang w:eastAsia="zh-CN"/>
        </w:rPr>
      </w:pPr>
      <w:r>
        <w:rPr>
          <w:rStyle w:val="da"/>
          <w:rFonts w:ascii="宋体" w:hAnsi="Calibri" w:cs="宋体" w:hint="eastAsia"/>
          <w:lang w:eastAsia="zh-CN"/>
        </w:rPr>
        <w:t>三、</w:t>
      </w:r>
      <w:r>
        <w:rPr>
          <w:rFonts w:ascii="宋体" w:hAnsi="Calibri" w:hint="eastAsia"/>
          <w:bCs/>
          <w:szCs w:val="21"/>
          <w:lang w:eastAsia="zh-CN"/>
        </w:rPr>
        <w:t>基金收益分配原则</w:t>
      </w:r>
    </w:p>
    <w:p w:rsidR="004A090B">
      <w:pPr>
        <w:spacing w:line="360" w:lineRule="auto"/>
        <w:ind w:firstLine="420" w:firstLineChars="200"/>
        <w:rPr>
          <w:rFonts w:ascii="宋体" w:hAnsi="Calibri"/>
          <w:bCs/>
          <w:szCs w:val="21"/>
          <w:lang w:eastAsia="zh-CN"/>
        </w:rPr>
      </w:pPr>
      <w:r>
        <w:rPr>
          <w:rFonts w:ascii="宋体" w:hAnsi="Calibri" w:hint="eastAsia"/>
          <w:bCs/>
          <w:szCs w:val="21"/>
          <w:highlight w:val="white"/>
          <w:lang w:eastAsia="zh-CN"/>
        </w:rPr>
        <w:t>1</w:t>
      </w:r>
      <w:r>
        <w:rPr>
          <w:rFonts w:ascii="宋体" w:hAnsi="Calibri" w:hint="eastAsia"/>
          <w:bCs/>
          <w:szCs w:val="21"/>
          <w:highlight w:val="white"/>
          <w:lang w:eastAsia="zh-CN"/>
        </w:rPr>
        <w:t>、本基金收益分配方式分两种：现金分红与红利再投资，投资者可选择现金红利或将现金红利自动转为对应类别的基金份额进行再投资；若投资者不选择，本基金默认的收益分配方式是现金分红；</w:t>
      </w:r>
    </w:p>
    <w:p w:rsidR="004A090B">
      <w:pPr>
        <w:spacing w:line="360" w:lineRule="auto"/>
        <w:ind w:firstLine="420" w:firstLineChars="200"/>
        <w:rPr>
          <w:rFonts w:ascii="宋体" w:hAnsi="Calibri"/>
          <w:bCs/>
          <w:szCs w:val="21"/>
          <w:lang w:eastAsia="zh-CN"/>
        </w:rPr>
      </w:pPr>
      <w:r>
        <w:rPr>
          <w:rFonts w:ascii="宋体" w:hAnsi="Calibri" w:hint="eastAsia"/>
          <w:bCs/>
          <w:szCs w:val="21"/>
          <w:highlight w:val="white"/>
          <w:lang w:eastAsia="zh-CN"/>
        </w:rPr>
        <w:t>2</w:t>
      </w:r>
      <w:r>
        <w:rPr>
          <w:rFonts w:ascii="宋体" w:hAnsi="Calibri" w:hint="eastAsia"/>
          <w:bCs/>
          <w:szCs w:val="21"/>
          <w:highlight w:val="white"/>
          <w:lang w:eastAsia="zh-CN"/>
        </w:rPr>
        <w:t>、本基金各基金份额类别在费用收取上不同，其对应的可分配收益可能有所不同。同一类别的每一基金份额享有同等分配权；</w:t>
      </w:r>
    </w:p>
    <w:p w:rsidR="004A090B">
      <w:pPr>
        <w:spacing w:line="360" w:lineRule="auto"/>
        <w:ind w:firstLine="420" w:firstLineChars="200"/>
        <w:rPr>
          <w:rFonts w:ascii="宋体" w:hAnsi="Calibri"/>
          <w:bCs/>
          <w:szCs w:val="21"/>
          <w:lang w:eastAsia="zh-CN"/>
        </w:rPr>
      </w:pPr>
      <w:r>
        <w:rPr>
          <w:rFonts w:ascii="宋体" w:hAnsi="Calibri" w:hint="eastAsia"/>
          <w:bCs/>
          <w:szCs w:val="21"/>
          <w:highlight w:val="white"/>
          <w:lang w:eastAsia="zh-CN"/>
        </w:rPr>
        <w:t>3</w:t>
      </w:r>
      <w:r>
        <w:rPr>
          <w:rFonts w:ascii="宋体" w:hAnsi="Calibri" w:hint="eastAsia"/>
          <w:bCs/>
          <w:szCs w:val="21"/>
          <w:highlight w:val="white"/>
          <w:lang w:eastAsia="zh-CN"/>
        </w:rPr>
        <w:t>、在符合以下有关基金分红条件的情形下，基金管理人可以根据实际情况进行收益分配，具体分配方案以届时的公告为准：</w:t>
      </w:r>
    </w:p>
    <w:p w:rsidR="004A090B">
      <w:pPr>
        <w:spacing w:line="360" w:lineRule="auto"/>
        <w:ind w:firstLine="420" w:firstLineChars="200"/>
        <w:rPr>
          <w:rFonts w:ascii="宋体" w:hAnsi="Calibri"/>
          <w:bCs/>
          <w:szCs w:val="21"/>
          <w:lang w:eastAsia="zh-CN"/>
        </w:rPr>
      </w:pPr>
      <w:r>
        <w:rPr>
          <w:rFonts w:ascii="宋体" w:hAnsi="Calibri" w:hint="eastAsia"/>
          <w:bCs/>
          <w:szCs w:val="21"/>
          <w:highlight w:val="white"/>
          <w:lang w:eastAsia="zh-CN"/>
        </w:rPr>
        <w:t>（</w:t>
      </w:r>
      <w:r>
        <w:rPr>
          <w:rFonts w:ascii="宋体" w:hAnsi="Calibri" w:hint="eastAsia"/>
          <w:bCs/>
          <w:szCs w:val="21"/>
          <w:highlight w:val="white"/>
          <w:lang w:eastAsia="zh-CN"/>
        </w:rPr>
        <w:t>1</w:t>
      </w:r>
      <w:r>
        <w:rPr>
          <w:rFonts w:ascii="宋体" w:hAnsi="Calibri" w:hint="eastAsia"/>
          <w:bCs/>
          <w:szCs w:val="21"/>
          <w:highlight w:val="white"/>
          <w:lang w:eastAsia="zh-CN"/>
        </w:rPr>
        <w:t>）本基金收益评价日核定的基金累计报酬率超过业绩比较基准同期累计报酬率或者基金可供分配利润金额大于</w:t>
      </w:r>
      <w:r>
        <w:rPr>
          <w:rFonts w:ascii="宋体" w:hAnsi="Calibri" w:hint="eastAsia"/>
          <w:bCs/>
          <w:szCs w:val="21"/>
          <w:highlight w:val="white"/>
          <w:lang w:eastAsia="zh-CN"/>
        </w:rPr>
        <w:t>0</w:t>
      </w:r>
      <w:r>
        <w:rPr>
          <w:rFonts w:ascii="宋体" w:hAnsi="Calibri" w:hint="eastAsia"/>
          <w:bCs/>
          <w:szCs w:val="21"/>
          <w:highlight w:val="white"/>
          <w:lang w:eastAsia="zh-CN"/>
        </w:rPr>
        <w:t>元时，基</w:t>
      </w:r>
      <w:r>
        <w:rPr>
          <w:rFonts w:ascii="宋体" w:hAnsi="Calibri" w:hint="eastAsia"/>
          <w:bCs/>
          <w:szCs w:val="21"/>
          <w:highlight w:val="white"/>
          <w:lang w:eastAsia="zh-CN"/>
        </w:rPr>
        <w:t>金管理人可进行收益分配</w:t>
      </w:r>
      <w:r>
        <w:rPr>
          <w:rFonts w:ascii="宋体" w:hAnsi="Calibri" w:hint="eastAsia"/>
          <w:bCs/>
          <w:szCs w:val="21"/>
          <w:lang w:eastAsia="zh-CN"/>
        </w:rPr>
        <w:t>；若《基金合同》生效不满</w:t>
      </w:r>
      <w:r>
        <w:rPr>
          <w:rFonts w:ascii="宋体" w:hAnsi="Calibri" w:hint="eastAsia"/>
          <w:bCs/>
          <w:szCs w:val="21"/>
          <w:lang w:eastAsia="zh-CN"/>
        </w:rPr>
        <w:t>3</w:t>
      </w:r>
      <w:r>
        <w:rPr>
          <w:rFonts w:ascii="宋体" w:hAnsi="Calibri" w:hint="eastAsia"/>
          <w:bCs/>
          <w:szCs w:val="21"/>
          <w:lang w:eastAsia="zh-CN"/>
        </w:rPr>
        <w:t>个月可不进行收益分配；</w:t>
      </w:r>
    </w:p>
    <w:p w:rsidR="004A090B">
      <w:pPr>
        <w:spacing w:line="360" w:lineRule="auto"/>
        <w:ind w:firstLine="420" w:firstLineChars="200"/>
        <w:rPr>
          <w:rFonts w:ascii="宋体" w:hAnsi="Calibri"/>
          <w:bCs/>
          <w:szCs w:val="21"/>
          <w:lang w:eastAsia="zh-CN"/>
        </w:rPr>
      </w:pPr>
      <w:r>
        <w:rPr>
          <w:rFonts w:ascii="宋体" w:hAnsi="Calibri" w:hint="eastAsia"/>
          <w:bCs/>
          <w:szCs w:val="21"/>
          <w:highlight w:val="white"/>
          <w:lang w:eastAsia="zh-CN"/>
        </w:rPr>
        <w:t>（</w:t>
      </w:r>
      <w:r>
        <w:rPr>
          <w:rFonts w:ascii="宋体" w:hAnsi="Calibri" w:hint="eastAsia"/>
          <w:bCs/>
          <w:szCs w:val="21"/>
          <w:highlight w:val="white"/>
          <w:lang w:eastAsia="zh-CN"/>
        </w:rPr>
        <w:t>2</w:t>
      </w:r>
      <w:r>
        <w:rPr>
          <w:rFonts w:ascii="宋体" w:hAnsi="Calibri" w:hint="eastAsia"/>
          <w:bCs/>
          <w:szCs w:val="21"/>
          <w:highlight w:val="white"/>
          <w:lang w:eastAsia="zh-CN"/>
        </w:rPr>
        <w:t>）当基金收益分配根据基金相对业绩比较基准的超额收益率决定时，基于本基金的特点，本基金收益分配无需以弥补亏损为前提，收益分配后基金份额净值有可能低于面值；当基金收益分配根据基金可供分配利润金额决定时，本基金收益分配后基金份额净值不能低于面值，即基金收益分配基准日的基金份额净值减去每单位基金份额收益分配金额后不能低于面值；</w:t>
      </w:r>
    </w:p>
    <w:p w:rsidR="004A090B">
      <w:pPr>
        <w:spacing w:line="360" w:lineRule="auto"/>
        <w:ind w:firstLine="420" w:firstLineChars="200"/>
        <w:rPr>
          <w:rFonts w:ascii="宋体" w:hAnsi="Calibri"/>
          <w:bCs/>
          <w:szCs w:val="21"/>
          <w:lang w:eastAsia="zh-CN"/>
        </w:rPr>
      </w:pPr>
      <w:r>
        <w:rPr>
          <w:rFonts w:ascii="宋体" w:hAnsi="Calibri" w:hint="eastAsia"/>
          <w:bCs/>
          <w:szCs w:val="21"/>
          <w:highlight w:val="white"/>
          <w:lang w:eastAsia="zh-CN"/>
        </w:rPr>
        <w:t>4</w:t>
      </w:r>
      <w:r>
        <w:rPr>
          <w:rFonts w:ascii="宋体" w:hAnsi="Calibri" w:hint="eastAsia"/>
          <w:bCs/>
          <w:szCs w:val="21"/>
          <w:highlight w:val="white"/>
          <w:lang w:eastAsia="zh-CN"/>
        </w:rPr>
        <w:t>、在对基金份额持有人利益无实质不利影响的前提下，基金管理人</w:t>
      </w:r>
      <w:r>
        <w:rPr>
          <w:rFonts w:ascii="宋体" w:hAnsi="Calibri" w:hint="eastAsia"/>
          <w:bCs/>
          <w:szCs w:val="21"/>
          <w:lang w:eastAsia="zh-CN"/>
        </w:rPr>
        <w:t>履行适当程序后</w:t>
      </w:r>
      <w:r>
        <w:rPr>
          <w:rFonts w:ascii="宋体" w:hAnsi="Calibri" w:hint="eastAsia"/>
          <w:bCs/>
          <w:szCs w:val="21"/>
          <w:highlight w:val="white"/>
          <w:lang w:eastAsia="zh-CN"/>
        </w:rPr>
        <w:t>可调整基金收益的分配原则和支付方式</w:t>
      </w:r>
      <w:r>
        <w:rPr>
          <w:rFonts w:ascii="宋体" w:hAnsi="Calibri" w:hint="eastAsia"/>
          <w:bCs/>
          <w:szCs w:val="21"/>
          <w:highlight w:val="white"/>
          <w:lang w:eastAsia="zh-CN"/>
        </w:rPr>
        <w:t>；</w:t>
      </w:r>
    </w:p>
    <w:p w:rsidR="004A090B">
      <w:pPr>
        <w:spacing w:line="360" w:lineRule="auto"/>
        <w:ind w:firstLine="420" w:firstLineChars="200"/>
        <w:rPr>
          <w:rFonts w:ascii="宋体" w:hAnsi="Calibri"/>
          <w:bCs/>
          <w:szCs w:val="21"/>
          <w:lang w:eastAsia="zh-CN"/>
        </w:rPr>
      </w:pPr>
      <w:r>
        <w:rPr>
          <w:rFonts w:ascii="宋体" w:hAnsi="Calibri" w:hint="eastAsia"/>
          <w:bCs/>
          <w:szCs w:val="21"/>
          <w:highlight w:val="white"/>
          <w:lang w:eastAsia="zh-CN"/>
        </w:rPr>
        <w:t>5</w:t>
      </w:r>
      <w:r>
        <w:rPr>
          <w:rFonts w:ascii="宋体" w:hAnsi="Calibri" w:hint="eastAsia"/>
          <w:bCs/>
          <w:szCs w:val="21"/>
          <w:highlight w:val="white"/>
          <w:lang w:eastAsia="zh-CN"/>
        </w:rPr>
        <w:t>、法律法规或监管机关另有规定的，从其规定。</w:t>
      </w:r>
    </w:p>
    <w:p w:rsidR="004A090B">
      <w:pPr>
        <w:spacing w:line="360" w:lineRule="auto"/>
        <w:ind w:firstLine="420" w:firstLineChars="200"/>
        <w:rPr>
          <w:rFonts w:ascii="宋体" w:hAnsi="宋体"/>
          <w:bCs/>
          <w:szCs w:val="21"/>
          <w:lang w:eastAsia="zh-CN"/>
        </w:rPr>
      </w:pPr>
      <w:r>
        <w:rPr>
          <w:rFonts w:ascii="宋体" w:hAnsi="宋体" w:hint="eastAsia"/>
          <w:bCs/>
          <w:szCs w:val="21"/>
          <w:lang w:eastAsia="zh-CN"/>
        </w:rPr>
        <w:t>四、</w:t>
      </w:r>
      <w:r>
        <w:rPr>
          <w:rStyle w:val="da"/>
          <w:rFonts w:ascii="宋体" w:hAnsi="宋体" w:cs="宋体" w:hint="eastAsia"/>
          <w:lang w:eastAsia="zh-CN"/>
        </w:rPr>
        <w:t>基金相对业绩比较基准的超额收益率计算</w:t>
      </w:r>
    </w:p>
    <w:p w:rsidR="004A090B">
      <w:pPr>
        <w:spacing w:line="360" w:lineRule="auto"/>
        <w:ind w:firstLine="420"/>
        <w:rPr>
          <w:lang w:eastAsia="zh-CN"/>
        </w:rPr>
      </w:pPr>
      <w:r>
        <w:rPr>
          <w:rStyle w:val="da"/>
          <w:rFonts w:ascii="宋体" w:hAnsi="Calibri" w:cs="宋体"/>
          <w:highlight w:val="white"/>
          <w:lang w:eastAsia="zh-CN"/>
        </w:rPr>
        <w:t>在收益评价日，基金管理人计算基金累计报酬率、业绩比较基准同期累计报酬率。</w:t>
      </w:r>
      <w:r>
        <w:rPr>
          <w:rStyle w:val="da"/>
          <w:rFonts w:ascii="宋体" w:hAnsi="Calibri" w:cs="宋体"/>
          <w:highlight w:val="white"/>
          <w:lang w:eastAsia="zh-CN"/>
        </w:rPr>
        <w:t xml:space="preserve"> </w:t>
      </w:r>
    </w:p>
    <w:p w:rsidR="004A090B">
      <w:pPr>
        <w:spacing w:line="360" w:lineRule="auto"/>
        <w:ind w:firstLine="420"/>
        <w:rPr>
          <w:lang w:eastAsia="zh-CN"/>
        </w:rPr>
      </w:pPr>
      <w:r>
        <w:rPr>
          <w:rStyle w:val="da"/>
          <w:rFonts w:ascii="宋体" w:hAnsi="Calibri" w:cs="宋体"/>
          <w:highlight w:val="white"/>
          <w:lang w:eastAsia="zh-CN"/>
        </w:rPr>
        <w:t>基金收益评价日本基金相对业绩比较基准的超额收益率＝基金累计报酬率</w:t>
      </w:r>
      <w:r>
        <w:rPr>
          <w:rStyle w:val="da"/>
          <w:rFonts w:ascii="宋体" w:hAnsi="Calibri" w:cs="宋体"/>
          <w:highlight w:val="white"/>
          <w:lang w:eastAsia="zh-CN"/>
        </w:rPr>
        <w:t xml:space="preserve"> - </w:t>
      </w:r>
      <w:r>
        <w:rPr>
          <w:rStyle w:val="da"/>
          <w:rFonts w:ascii="宋体" w:hAnsi="Calibri" w:cs="宋体"/>
          <w:highlight w:val="white"/>
          <w:lang w:eastAsia="zh-CN"/>
        </w:rPr>
        <w:t>业绩比较基准同期累计报酬率</w:t>
      </w:r>
    </w:p>
    <w:p w:rsidR="004A090B">
      <w:pPr>
        <w:spacing w:line="360" w:lineRule="auto"/>
        <w:ind w:firstLine="420"/>
        <w:rPr>
          <w:lang w:eastAsia="zh-CN"/>
        </w:rPr>
      </w:pPr>
      <w:r>
        <w:rPr>
          <w:rStyle w:val="da"/>
          <w:rFonts w:ascii="宋体" w:hAnsi="Calibri" w:cs="宋体"/>
          <w:highlight w:val="white"/>
          <w:lang w:eastAsia="zh-CN"/>
        </w:rPr>
        <w:t>基金累计报酬率</w:t>
      </w:r>
      <w:r>
        <w:rPr>
          <w:rStyle w:val="da"/>
          <w:rFonts w:ascii="宋体" w:hAnsi="Calibri" w:cs="宋体"/>
          <w:highlight w:val="white"/>
          <w:lang w:eastAsia="zh-CN"/>
        </w:rPr>
        <w:t>=</w:t>
      </w:r>
      <w:r>
        <w:rPr>
          <w:rStyle w:val="da"/>
          <w:rFonts w:ascii="宋体" w:hAnsi="Calibri" w:cs="宋体"/>
          <w:highlight w:val="white"/>
          <w:lang w:eastAsia="zh-CN"/>
        </w:rPr>
        <w:t>收益评价日基金份额净值（如基金合同生效满</w:t>
      </w:r>
      <w:r>
        <w:rPr>
          <w:rStyle w:val="da"/>
          <w:rFonts w:ascii="宋体" w:hAnsi="Calibri" w:cs="宋体"/>
          <w:highlight w:val="white"/>
          <w:lang w:eastAsia="zh-CN"/>
        </w:rPr>
        <w:t>3</w:t>
      </w:r>
      <w:r>
        <w:rPr>
          <w:rStyle w:val="da"/>
          <w:rFonts w:ascii="宋体" w:hAnsi="Calibri" w:cs="宋体"/>
          <w:highlight w:val="white"/>
          <w:lang w:eastAsia="zh-CN"/>
        </w:rPr>
        <w:t>个月后基金份额发生折算，则采用剔除折算因素的基金份额净值）</w:t>
      </w:r>
      <w:r>
        <w:rPr>
          <w:rStyle w:val="da"/>
          <w:rFonts w:ascii="宋体" w:hAnsi="Calibri" w:cs="宋体"/>
          <w:highlight w:val="white"/>
          <w:lang w:eastAsia="zh-CN"/>
        </w:rPr>
        <w:t>/</w:t>
      </w:r>
      <w:r>
        <w:rPr>
          <w:rStyle w:val="da"/>
          <w:rFonts w:ascii="宋体" w:hAnsi="Calibri" w:cs="宋体"/>
          <w:highlight w:val="white"/>
          <w:lang w:eastAsia="zh-CN"/>
        </w:rPr>
        <w:t>基金合同生效日所对应的</w:t>
      </w:r>
      <w:r>
        <w:rPr>
          <w:rStyle w:val="da"/>
          <w:rFonts w:ascii="宋体" w:hAnsi="Calibri" w:cs="宋体"/>
          <w:highlight w:val="white"/>
          <w:lang w:eastAsia="zh-CN"/>
        </w:rPr>
        <w:t>3</w:t>
      </w:r>
      <w:r>
        <w:rPr>
          <w:rStyle w:val="da"/>
          <w:rFonts w:ascii="宋体" w:hAnsi="Calibri" w:cs="宋体"/>
          <w:highlight w:val="white"/>
          <w:lang w:eastAsia="zh-CN"/>
        </w:rPr>
        <w:t>个月月度对日的前一工作日基金份额净值</w:t>
      </w:r>
      <w:r>
        <w:rPr>
          <w:rStyle w:val="da"/>
          <w:rFonts w:ascii="宋体" w:hAnsi="Calibri" w:cs="宋体"/>
          <w:highlight w:val="white"/>
          <w:lang w:eastAsia="zh-CN"/>
        </w:rPr>
        <w:t>-100%</w:t>
      </w:r>
    </w:p>
    <w:p w:rsidR="004A090B">
      <w:pPr>
        <w:spacing w:line="360" w:lineRule="auto"/>
        <w:ind w:firstLine="420"/>
        <w:rPr>
          <w:rStyle w:val="da"/>
          <w:rFonts w:ascii="宋体" w:hAnsi="Calibri" w:cs="宋体"/>
          <w:highlight w:val="magenta"/>
          <w:lang w:eastAsia="zh-CN"/>
        </w:rPr>
      </w:pPr>
      <w:r>
        <w:rPr>
          <w:rStyle w:val="da"/>
          <w:rFonts w:ascii="宋体" w:hAnsi="Calibri" w:cs="宋体"/>
          <w:highlight w:val="white"/>
          <w:lang w:eastAsia="zh-CN"/>
        </w:rPr>
        <w:t>剔除折算因素的基金份额净值＝</w:t>
      </w:r>
    </w:p>
    <w:p w:rsidR="004A090B">
      <w:pPr>
        <w:spacing w:line="360" w:lineRule="auto"/>
        <w:ind w:firstLine="420"/>
      </w:pPr>
      <w:r>
        <w:rPr>
          <w:bCs/>
          <w:position w:val="-28"/>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85pt;height:35.55pt" o:ole="">
            <v:imagedata r:id="rId17" o:title=""/>
          </v:shape>
          <o:OLEObject Type="Embed" ProgID="Equation.3" ShapeID="_x0000_i1025" DrawAspect="Content" ObjectID="_1850899076" r:id="rId18"/>
        </w:object>
      </w:r>
    </w:p>
    <w:p w:rsidR="004A090B">
      <w:pPr>
        <w:spacing w:line="360" w:lineRule="auto"/>
        <w:ind w:firstLine="420"/>
        <w:rPr>
          <w:lang w:eastAsia="zh-CN"/>
        </w:rPr>
      </w:pPr>
      <w:r>
        <w:rPr>
          <w:rFonts w:ascii="宋体" w:hAnsi="Calibri"/>
          <w:bCs/>
          <w:szCs w:val="21"/>
          <w:highlight w:val="white"/>
          <w:lang w:eastAsia="zh-CN"/>
        </w:rPr>
        <w:t>注：</w:t>
      </w:r>
      <w:r>
        <w:rPr>
          <w:rFonts w:ascii="宋体" w:hAnsi="Calibri"/>
          <w:bCs/>
        </w:rPr>
        <w:object>
          <v:shape id="_x0000_i1026" type="#_x0000_t75" style="width:17.15pt;height:21.45pt" o:ole="">
            <v:imagedata r:id="rId19" o:title=""/>
          </v:shape>
          <o:OLEObject Type="Embed" ProgID="Equation.DSMT4" ShapeID="_x0000_i1026" DrawAspect="Content" ObjectID="_1850899077" r:id="rId20"/>
        </w:object>
      </w:r>
      <w:r>
        <w:rPr>
          <w:rFonts w:ascii="宋体" w:hAnsi="Calibri"/>
          <w:bCs/>
          <w:szCs w:val="21"/>
          <w:highlight w:val="white"/>
          <w:lang w:eastAsia="zh-CN"/>
        </w:rPr>
        <w:t>为连乘符号</w:t>
      </w:r>
      <w:r>
        <w:rPr>
          <w:rFonts w:ascii="宋体" w:hAnsi="宋体" w:cs="宋体"/>
          <w:color w:val="000000"/>
          <w:highlight w:val="white"/>
          <w:lang w:eastAsia="zh-CN"/>
        </w:rPr>
        <w:t>。当基金份额折算比例为</w:t>
      </w:r>
      <w:r>
        <w:rPr>
          <w:rFonts w:ascii="宋体" w:hAnsi="宋体" w:cs="宋体"/>
          <w:color w:val="000000"/>
          <w:highlight w:val="white"/>
          <w:lang w:eastAsia="zh-CN"/>
        </w:rPr>
        <w:t>N</w:t>
      </w:r>
      <w:r>
        <w:rPr>
          <w:rFonts w:ascii="宋体" w:hAnsi="宋体" w:cs="宋体"/>
          <w:color w:val="000000"/>
          <w:highlight w:val="white"/>
          <w:lang w:eastAsia="zh-CN"/>
        </w:rPr>
        <w:t>时，表示每一份基金份额折算为</w:t>
      </w:r>
      <w:r>
        <w:rPr>
          <w:rFonts w:ascii="宋体" w:hAnsi="宋体" w:cs="宋体"/>
          <w:color w:val="000000"/>
          <w:highlight w:val="white"/>
          <w:lang w:eastAsia="zh-CN"/>
        </w:rPr>
        <w:t>N</w:t>
      </w:r>
      <w:r>
        <w:rPr>
          <w:rFonts w:ascii="宋体" w:hAnsi="宋体" w:cs="宋体"/>
          <w:color w:val="000000"/>
          <w:highlight w:val="white"/>
          <w:lang w:eastAsia="zh-CN"/>
        </w:rPr>
        <w:t>份。</w:t>
      </w:r>
    </w:p>
    <w:p w:rsidR="004A090B">
      <w:pPr>
        <w:spacing w:line="360" w:lineRule="auto"/>
        <w:ind w:firstLine="420" w:firstLineChars="200"/>
        <w:rPr>
          <w:rFonts w:ascii="宋体" w:hAnsi="宋体" w:cs="宋体"/>
          <w:color w:val="000000"/>
          <w:lang w:eastAsia="zh-CN"/>
        </w:rPr>
      </w:pPr>
      <w:r>
        <w:rPr>
          <w:rFonts w:ascii="宋体" w:hAnsi="宋体" w:cs="宋体" w:hint="eastAsia"/>
          <w:color w:val="000000"/>
          <w:lang w:eastAsia="zh-CN"/>
        </w:rPr>
        <w:t>业绩比较基准同期累计报酬率为基金合同生效日所对应的</w:t>
      </w:r>
      <w:r>
        <w:rPr>
          <w:rFonts w:ascii="宋体" w:hAnsi="宋体" w:cs="宋体" w:hint="eastAsia"/>
          <w:color w:val="000000"/>
          <w:lang w:eastAsia="zh-CN"/>
        </w:rPr>
        <w:t>3</w:t>
      </w:r>
      <w:r>
        <w:rPr>
          <w:rFonts w:ascii="宋体" w:hAnsi="宋体" w:cs="宋体" w:hint="eastAsia"/>
          <w:color w:val="000000"/>
          <w:lang w:eastAsia="zh-CN"/>
        </w:rPr>
        <w:t>个月月度对日至收益评价日期间的业绩比较基准收益率。</w:t>
      </w:r>
    </w:p>
    <w:p w:rsidR="004A090B">
      <w:pPr>
        <w:spacing w:line="360" w:lineRule="auto"/>
        <w:ind w:firstLine="420" w:firstLineChars="200"/>
        <w:rPr>
          <w:rFonts w:ascii="宋体" w:hAnsi="Calibri"/>
          <w:bCs/>
          <w:szCs w:val="21"/>
          <w:lang w:eastAsia="zh-CN"/>
        </w:rPr>
      </w:pPr>
      <w:r>
        <w:rPr>
          <w:rFonts w:ascii="宋体" w:hAnsi="Calibri" w:hint="eastAsia"/>
          <w:bCs/>
          <w:szCs w:val="21"/>
          <w:lang w:eastAsia="zh-CN"/>
        </w:rPr>
        <w:t>五、收益分配方案</w:t>
      </w:r>
    </w:p>
    <w:p w:rsidR="004A090B">
      <w:pPr>
        <w:spacing w:line="360" w:lineRule="auto"/>
        <w:ind w:firstLine="420" w:firstLineChars="200"/>
        <w:rPr>
          <w:rFonts w:ascii="宋体" w:hAnsi="Calibri"/>
          <w:bCs/>
          <w:szCs w:val="21"/>
          <w:lang w:eastAsia="zh-CN"/>
        </w:rPr>
      </w:pPr>
      <w:r>
        <w:rPr>
          <w:rFonts w:ascii="宋体" w:hAnsi="Calibri" w:hint="eastAsia"/>
          <w:bCs/>
          <w:szCs w:val="21"/>
          <w:highlight w:val="white"/>
          <w:lang w:eastAsia="zh-CN"/>
        </w:rPr>
        <w:t>基金收益分配方案中应载明基金收益分配对象、分配时间、分配数额、分配方式等内容。</w:t>
      </w:r>
    </w:p>
    <w:p w:rsidR="004A090B">
      <w:pPr>
        <w:spacing w:line="360" w:lineRule="auto"/>
        <w:ind w:firstLine="420" w:firstLineChars="200"/>
        <w:rPr>
          <w:rFonts w:ascii="宋体" w:hAnsi="Calibri"/>
          <w:bCs/>
          <w:szCs w:val="21"/>
          <w:lang w:eastAsia="zh-CN"/>
        </w:rPr>
      </w:pPr>
      <w:r>
        <w:rPr>
          <w:rFonts w:ascii="宋体" w:hAnsi="Calibri" w:hint="eastAsia"/>
          <w:bCs/>
          <w:szCs w:val="21"/>
          <w:lang w:eastAsia="zh-CN"/>
        </w:rPr>
        <w:t>六、收益分配方案的确定、公告与实施</w:t>
      </w:r>
    </w:p>
    <w:p w:rsidR="004A090B">
      <w:pPr>
        <w:spacing w:line="360" w:lineRule="auto"/>
        <w:ind w:firstLine="420" w:firstLineChars="200"/>
        <w:rPr>
          <w:rFonts w:ascii="宋体" w:hAnsi="Calibri"/>
          <w:bCs/>
          <w:szCs w:val="21"/>
          <w:lang w:eastAsia="zh-CN"/>
        </w:rPr>
      </w:pPr>
      <w:r>
        <w:rPr>
          <w:rFonts w:ascii="宋体" w:hAnsi="Calibri" w:hint="eastAsia"/>
          <w:bCs/>
          <w:szCs w:val="21"/>
          <w:highlight w:val="white"/>
          <w:lang w:eastAsia="zh-CN"/>
        </w:rPr>
        <w:t>本基金收益分配方案由基金管理人拟定，并由基金托管人复核，在</w:t>
      </w:r>
      <w:r>
        <w:rPr>
          <w:rFonts w:ascii="宋体" w:hAnsi="Calibri" w:hint="eastAsia"/>
          <w:bCs/>
          <w:szCs w:val="21"/>
          <w:highlight w:val="white"/>
          <w:lang w:eastAsia="zh-CN"/>
        </w:rPr>
        <w:t>2</w:t>
      </w:r>
      <w:r>
        <w:rPr>
          <w:rFonts w:ascii="宋体" w:hAnsi="Calibri" w:hint="eastAsia"/>
          <w:bCs/>
          <w:szCs w:val="21"/>
          <w:highlight w:val="white"/>
          <w:lang w:eastAsia="zh-CN"/>
        </w:rPr>
        <w:t>日内在规定媒介公告。</w:t>
      </w:r>
    </w:p>
    <w:p w:rsidR="004A090B">
      <w:pPr>
        <w:spacing w:line="360" w:lineRule="auto"/>
        <w:ind w:firstLine="420" w:firstLineChars="200"/>
        <w:rPr>
          <w:rFonts w:ascii="宋体" w:hAnsi="Calibri"/>
          <w:bCs/>
          <w:szCs w:val="21"/>
          <w:lang w:eastAsia="zh-CN"/>
        </w:rPr>
      </w:pPr>
      <w:r>
        <w:rPr>
          <w:rFonts w:ascii="宋体" w:hAnsi="Calibri" w:hint="eastAsia"/>
          <w:bCs/>
          <w:szCs w:val="21"/>
          <w:lang w:eastAsia="zh-CN"/>
        </w:rPr>
        <w:t>七、基金收益分配中发生的费用</w:t>
      </w:r>
    </w:p>
    <w:p w:rsidR="004A090B">
      <w:pPr>
        <w:spacing w:line="360" w:lineRule="auto"/>
        <w:ind w:firstLine="420"/>
        <w:rPr>
          <w:rStyle w:val="da"/>
          <w:rFonts w:ascii="宋体" w:hAnsi="Calibri" w:cs="宋体"/>
          <w:lang w:eastAsia="zh-CN"/>
        </w:rPr>
      </w:pPr>
      <w:r>
        <w:rPr>
          <w:rFonts w:ascii="宋体" w:hAnsi="Calibri" w:hint="eastAsia"/>
          <w:bCs/>
          <w:szCs w:val="21"/>
          <w:highlight w:val="white"/>
          <w:lang w:eastAsia="zh-CN"/>
        </w:rPr>
        <w:t>基金收益分配时所发生的银行转账或其他手续费用由投资者自行承担。当投资者的现金红利小于一定金额，不足以支付银行转账或其他手续费用时，基金登记机构可将基金份额持有人的现金红利自动转为对应类别的基金份额。红利再投资的计算方法，依照《业务规则》执行。</w:t>
      </w:r>
    </w:p>
    <w:p w:rsidR="004A090B">
      <w:pPr>
        <w:spacing w:line="360" w:lineRule="auto"/>
        <w:ind w:firstLine="420"/>
        <w:rPr>
          <w:rStyle w:val="da"/>
          <w:rFonts w:ascii="宋体" w:hAnsi="Calibri" w:cs="宋体"/>
          <w:lang w:eastAsia="zh-CN"/>
        </w:rPr>
      </w:pPr>
      <w:r>
        <w:rPr>
          <w:rStyle w:val="da"/>
          <w:rFonts w:ascii="宋体" w:hAnsi="Calibri" w:cs="宋体" w:hint="eastAsia"/>
          <w:lang w:eastAsia="zh-CN"/>
        </w:rPr>
        <w:t>八、实施侧袋机制期间的收益分配</w:t>
      </w:r>
    </w:p>
    <w:p w:rsidR="004A090B">
      <w:pPr>
        <w:spacing w:line="360" w:lineRule="auto"/>
        <w:ind w:firstLine="420"/>
        <w:rPr>
          <w:rStyle w:val="da"/>
          <w:rFonts w:ascii="宋体" w:hAnsi="Calibri" w:cs="宋体"/>
          <w:lang w:eastAsia="zh-CN"/>
        </w:rPr>
      </w:pPr>
      <w:r>
        <w:rPr>
          <w:rStyle w:val="da"/>
          <w:rFonts w:ascii="宋体" w:hAnsi="Calibri" w:cs="宋体" w:hint="eastAsia"/>
          <w:highlight w:val="white"/>
          <w:lang w:eastAsia="zh-CN"/>
        </w:rPr>
        <w:t>本基金实施侧袋机制的，侧袋账户不进行收益分配</w:t>
      </w:r>
      <w:r>
        <w:rPr>
          <w:rStyle w:val="da"/>
          <w:rFonts w:ascii="宋体" w:hAnsi="Calibri" w:cs="宋体" w:hint="eastAsia"/>
          <w:lang w:eastAsia="zh-CN"/>
        </w:rPr>
        <w:t>。</w:t>
      </w:r>
    </w:p>
    <w:p w:rsidR="004A090B">
      <w:pPr>
        <w:spacing w:line="360" w:lineRule="auto"/>
        <w:ind w:firstLine="420"/>
        <w:rPr>
          <w:rFonts w:ascii="宋体" w:hAnsi="Calibri" w:cs="宋体"/>
          <w:szCs w:val="21"/>
          <w:lang w:eastAsia="zh-CN"/>
        </w:rPr>
      </w:pPr>
      <w:r>
        <w:rPr>
          <w:rStyle w:val="da"/>
          <w:rFonts w:ascii="宋体" w:hAnsi="Calibri" w:cs="宋体"/>
          <w:lang w:eastAsia="zh-CN"/>
        </w:rPr>
        <w:br w:type="page"/>
      </w:r>
    </w:p>
    <w:p w:rsidR="004A090B">
      <w:pPr>
        <w:pStyle w:val="Heading1"/>
        <w:spacing w:before="317" w:after="317" w:line="360" w:lineRule="auto"/>
        <w:ind w:firstLine="600"/>
        <w:rPr>
          <w:rFonts w:ascii="宋体" w:eastAsia="宋体" w:hAnsi="Calibri" w:cs="宋体"/>
          <w:sz w:val="30"/>
          <w:szCs w:val="30"/>
          <w:lang w:eastAsia="zh-CN"/>
        </w:rPr>
      </w:pPr>
      <w:bookmarkStart w:id="1835" w:name="_Toc129511538"/>
      <w:r>
        <w:rPr>
          <w:rFonts w:ascii="宋体" w:eastAsia="宋体" w:hAnsi="Calibri" w:cs="宋体" w:hint="eastAsia"/>
          <w:sz w:val="30"/>
          <w:szCs w:val="30"/>
          <w:lang w:eastAsia="zh-CN"/>
        </w:rPr>
        <w:t>第十</w:t>
      </w:r>
      <w:bookmarkStart w:id="1836" w:name="_Toc332373560"/>
      <w:r>
        <w:rPr>
          <w:rFonts w:ascii="宋体" w:eastAsia="宋体" w:hAnsi="Calibri" w:cs="宋体"/>
          <w:sz w:val="30"/>
          <w:szCs w:val="30"/>
          <w:lang w:eastAsia="zh-CN"/>
        </w:rPr>
        <w:t>六</w:t>
      </w:r>
      <w:r>
        <w:rPr>
          <w:rFonts w:ascii="宋体" w:eastAsia="宋体" w:hAnsi="Calibri" w:cs="宋体" w:hint="eastAsia"/>
          <w:sz w:val="30"/>
          <w:szCs w:val="30"/>
          <w:lang w:eastAsia="zh-CN"/>
        </w:rPr>
        <w:t>部分</w:t>
      </w:r>
      <w:r>
        <w:rPr>
          <w:rFonts w:ascii="宋体" w:eastAsia="宋体" w:hAnsi="Calibri" w:cs="宋体"/>
          <w:sz w:val="30"/>
          <w:szCs w:val="30"/>
          <w:lang w:eastAsia="zh-CN"/>
        </w:rPr>
        <w:t xml:space="preserve"> </w:t>
      </w:r>
      <w:r>
        <w:rPr>
          <w:rFonts w:ascii="宋体" w:eastAsia="宋体" w:hAnsi="Calibri" w:cs="宋体" w:hint="eastAsia"/>
          <w:sz w:val="30"/>
          <w:szCs w:val="30"/>
          <w:lang w:eastAsia="zh-CN"/>
        </w:rPr>
        <w:t>基金的费用与税收</w:t>
      </w:r>
      <w:bookmarkEnd w:id="1835"/>
      <w:bookmarkEnd w:id="1836"/>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一、基金费用的种类</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w:t>
      </w:r>
      <w:r>
        <w:rPr>
          <w:rStyle w:val="da"/>
          <w:rFonts w:ascii="宋体" w:hAnsi="Calibri" w:cs="宋体"/>
          <w:szCs w:val="21"/>
          <w:highlight w:val="white"/>
          <w:lang w:eastAsia="zh-CN"/>
        </w:rPr>
        <w:t>、基金管理人的管理费；</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w:t>
      </w:r>
      <w:r>
        <w:rPr>
          <w:rStyle w:val="da"/>
          <w:rFonts w:ascii="宋体" w:hAnsi="Calibri" w:cs="宋体"/>
          <w:szCs w:val="21"/>
          <w:highlight w:val="white"/>
          <w:lang w:eastAsia="zh-CN"/>
        </w:rPr>
        <w:t>、基金托管人的托管费；</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3</w:t>
      </w:r>
      <w:r>
        <w:rPr>
          <w:rStyle w:val="da"/>
          <w:rFonts w:ascii="宋体" w:hAnsi="Calibri" w:cs="宋体"/>
          <w:szCs w:val="21"/>
          <w:highlight w:val="white"/>
          <w:lang w:eastAsia="zh-CN"/>
        </w:rPr>
        <w:t>、销售服务费；</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4</w:t>
      </w:r>
      <w:r>
        <w:rPr>
          <w:rStyle w:val="da"/>
          <w:rFonts w:ascii="宋体" w:hAnsi="Calibri" w:cs="宋体"/>
          <w:szCs w:val="21"/>
          <w:highlight w:val="white"/>
          <w:lang w:eastAsia="zh-CN"/>
        </w:rPr>
        <w:t>、《基金合同》生效后与基金相关的信息披露费用；</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5</w:t>
      </w:r>
      <w:r>
        <w:rPr>
          <w:rStyle w:val="da"/>
          <w:rFonts w:ascii="宋体" w:hAnsi="Calibri" w:cs="宋体"/>
          <w:szCs w:val="21"/>
          <w:highlight w:val="white"/>
          <w:lang w:eastAsia="zh-CN"/>
        </w:rPr>
        <w:t>、《基金合同》生效后与基金相关的会计师费、律师费、诉讼费和仲裁费；</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6</w:t>
      </w:r>
      <w:r>
        <w:rPr>
          <w:rStyle w:val="da"/>
          <w:rFonts w:ascii="宋体" w:hAnsi="Calibri" w:cs="宋体"/>
          <w:szCs w:val="21"/>
          <w:highlight w:val="white"/>
          <w:lang w:eastAsia="zh-CN"/>
        </w:rPr>
        <w:t>、基金份额持有人大会费用；</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7</w:t>
      </w:r>
      <w:r>
        <w:rPr>
          <w:rStyle w:val="da"/>
          <w:rFonts w:ascii="宋体" w:hAnsi="Calibri" w:cs="宋体"/>
          <w:szCs w:val="21"/>
          <w:highlight w:val="white"/>
          <w:lang w:eastAsia="zh-CN"/>
        </w:rPr>
        <w:t>、基金的证券</w:t>
      </w:r>
      <w:r>
        <w:rPr>
          <w:rStyle w:val="da"/>
          <w:rFonts w:ascii="宋体" w:hAnsi="Calibri" w:cs="宋体"/>
          <w:szCs w:val="21"/>
          <w:highlight w:val="white"/>
          <w:lang w:eastAsia="zh-CN"/>
        </w:rPr>
        <w:t>/</w:t>
      </w:r>
      <w:r>
        <w:rPr>
          <w:rStyle w:val="da"/>
          <w:rFonts w:ascii="宋体" w:hAnsi="Calibri" w:cs="宋体"/>
          <w:szCs w:val="21"/>
          <w:highlight w:val="white"/>
          <w:lang w:eastAsia="zh-CN"/>
        </w:rPr>
        <w:t>期货交易费用；</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8</w:t>
      </w:r>
      <w:r>
        <w:rPr>
          <w:rStyle w:val="da"/>
          <w:rFonts w:ascii="宋体" w:hAnsi="Calibri" w:cs="宋体"/>
          <w:szCs w:val="21"/>
          <w:highlight w:val="white"/>
          <w:lang w:eastAsia="zh-CN"/>
        </w:rPr>
        <w:t>、基金的银行汇划费用；</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9</w:t>
      </w:r>
      <w:r>
        <w:rPr>
          <w:rStyle w:val="da"/>
          <w:rFonts w:ascii="宋体" w:hAnsi="Calibri" w:cs="宋体"/>
          <w:szCs w:val="21"/>
          <w:highlight w:val="white"/>
          <w:lang w:eastAsia="zh-CN"/>
        </w:rPr>
        <w:t>、证券账户开户费用、银行账户维护费用；</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10</w:t>
      </w:r>
      <w:r>
        <w:rPr>
          <w:rStyle w:val="da"/>
          <w:rFonts w:ascii="宋体" w:hAnsi="Calibri" w:cs="宋体"/>
          <w:szCs w:val="21"/>
          <w:highlight w:val="white"/>
          <w:lang w:eastAsia="zh-CN"/>
        </w:rPr>
        <w:t>、按照国家有关规定和《基金合同》约定，可以在基金财产中列支的其他费用。</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二、基金费用计提方法、计提标准和支付方式</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1</w:t>
      </w:r>
      <w:r>
        <w:rPr>
          <w:rStyle w:val="da"/>
          <w:rFonts w:ascii="宋体" w:hAnsi="Calibri" w:cs="宋体"/>
          <w:szCs w:val="21"/>
          <w:highlight w:val="white"/>
          <w:lang w:eastAsia="zh-CN"/>
        </w:rPr>
        <w:t>、基金管理人的管理费</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本基金的管理费按前一日基金资产净值扣除前一日所持有目标</w:t>
      </w:r>
      <w:r>
        <w:rPr>
          <w:rStyle w:val="da"/>
          <w:rFonts w:ascii="宋体" w:hAnsi="Calibri" w:cs="宋体"/>
          <w:szCs w:val="21"/>
          <w:highlight w:val="white"/>
          <w:lang w:eastAsia="zh-CN"/>
        </w:rPr>
        <w:t>ETF</w:t>
      </w:r>
      <w:r>
        <w:rPr>
          <w:rStyle w:val="da"/>
          <w:rFonts w:ascii="宋体" w:hAnsi="Calibri" w:cs="宋体"/>
          <w:szCs w:val="21"/>
          <w:highlight w:val="white"/>
          <w:lang w:eastAsia="zh-CN"/>
        </w:rPr>
        <w:t>公允价值后的余额（若为负数，则取</w:t>
      </w:r>
      <w:r>
        <w:rPr>
          <w:rStyle w:val="da"/>
          <w:rFonts w:ascii="宋体" w:hAnsi="Calibri" w:cs="宋体"/>
          <w:szCs w:val="21"/>
          <w:highlight w:val="white"/>
          <w:lang w:eastAsia="zh-CN"/>
        </w:rPr>
        <w:t>0</w:t>
      </w:r>
      <w:r>
        <w:rPr>
          <w:rStyle w:val="da"/>
          <w:rFonts w:ascii="宋体" w:hAnsi="Calibri" w:cs="宋体"/>
          <w:szCs w:val="21"/>
          <w:highlight w:val="white"/>
          <w:lang w:eastAsia="zh-CN"/>
        </w:rPr>
        <w:t>）的</w:t>
      </w:r>
      <w:r>
        <w:rPr>
          <w:rStyle w:val="da"/>
          <w:rFonts w:ascii="宋体" w:hAnsi="Calibri" w:cs="宋体"/>
          <w:szCs w:val="21"/>
          <w:highlight w:val="white"/>
          <w:lang w:eastAsia="zh-CN"/>
        </w:rPr>
        <w:t>0.50%</w:t>
      </w:r>
      <w:r>
        <w:rPr>
          <w:rStyle w:val="da"/>
          <w:rFonts w:ascii="宋体" w:hAnsi="Calibri" w:cs="宋体"/>
          <w:szCs w:val="21"/>
          <w:highlight w:val="white"/>
          <w:lang w:eastAsia="zh-CN"/>
        </w:rPr>
        <w:t>年费率计提。</w:t>
      </w:r>
      <w:r>
        <w:rPr>
          <w:rStyle w:val="da"/>
          <w:rFonts w:ascii="宋体" w:hAnsi="Calibri" w:cs="宋体"/>
          <w:szCs w:val="21"/>
          <w:highlight w:val="white"/>
          <w:lang w:eastAsia="zh-CN"/>
        </w:rPr>
        <w:t>管理费的计算方法如下：</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H</w:t>
      </w:r>
      <w:r>
        <w:rPr>
          <w:rStyle w:val="da"/>
          <w:rFonts w:ascii="宋体" w:hAnsi="Calibri" w:cs="宋体"/>
          <w:szCs w:val="21"/>
          <w:highlight w:val="white"/>
          <w:lang w:eastAsia="zh-CN"/>
        </w:rPr>
        <w:t>＝</w:t>
      </w:r>
      <w:r>
        <w:rPr>
          <w:rStyle w:val="da"/>
          <w:rFonts w:ascii="宋体" w:hAnsi="Calibri" w:cs="宋体"/>
          <w:szCs w:val="21"/>
          <w:highlight w:val="white"/>
          <w:lang w:eastAsia="zh-CN"/>
        </w:rPr>
        <w:t>E</w:t>
      </w:r>
      <w:r>
        <w:rPr>
          <w:rStyle w:val="da"/>
          <w:rFonts w:ascii="宋体" w:hAnsi="Calibri" w:cs="宋体"/>
          <w:szCs w:val="21"/>
          <w:highlight w:val="white"/>
          <w:lang w:eastAsia="zh-CN"/>
        </w:rPr>
        <w:t>×</w:t>
      </w:r>
      <w:r>
        <w:rPr>
          <w:rStyle w:val="da"/>
          <w:rFonts w:ascii="宋体" w:hAnsi="Calibri" w:cs="宋体"/>
          <w:szCs w:val="21"/>
          <w:highlight w:val="white"/>
          <w:lang w:eastAsia="zh-CN"/>
        </w:rPr>
        <w:t>0.50%</w:t>
      </w:r>
      <w:r>
        <w:rPr>
          <w:rStyle w:val="da"/>
          <w:rFonts w:ascii="宋体" w:hAnsi="Calibri" w:cs="宋体"/>
          <w:szCs w:val="21"/>
          <w:highlight w:val="white"/>
          <w:lang w:eastAsia="zh-CN"/>
        </w:rPr>
        <w:t>÷</w:t>
      </w:r>
      <w:r>
        <w:rPr>
          <w:rStyle w:val="da"/>
          <w:rFonts w:ascii="宋体" w:hAnsi="Calibri" w:cs="宋体"/>
          <w:szCs w:val="21"/>
          <w:highlight w:val="white"/>
          <w:lang w:eastAsia="zh-CN"/>
        </w:rPr>
        <w:t>当年天数</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H</w:t>
      </w:r>
      <w:r>
        <w:rPr>
          <w:rStyle w:val="da"/>
          <w:rFonts w:ascii="宋体" w:hAnsi="Calibri" w:cs="宋体"/>
          <w:szCs w:val="21"/>
          <w:highlight w:val="white"/>
          <w:lang w:eastAsia="zh-CN"/>
        </w:rPr>
        <w:t>为每日应计提的基金管理费</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E</w:t>
      </w:r>
      <w:r>
        <w:rPr>
          <w:rStyle w:val="da"/>
          <w:rFonts w:ascii="宋体" w:hAnsi="Calibri" w:cs="宋体"/>
          <w:szCs w:val="21"/>
          <w:highlight w:val="white"/>
          <w:lang w:eastAsia="zh-CN"/>
        </w:rPr>
        <w:t>为调整后的前一日的基金资产净值。调整后的前一日基金资产净值＝前一日基金资产净值－前一日本基金持有的目标</w:t>
      </w:r>
      <w:r>
        <w:rPr>
          <w:rStyle w:val="da"/>
          <w:rFonts w:ascii="宋体" w:hAnsi="Calibri" w:cs="宋体"/>
          <w:szCs w:val="21"/>
          <w:highlight w:val="white"/>
          <w:lang w:eastAsia="zh-CN"/>
        </w:rPr>
        <w:t>ETF</w:t>
      </w:r>
      <w:r>
        <w:rPr>
          <w:rStyle w:val="da"/>
          <w:rFonts w:ascii="宋体" w:hAnsi="Calibri" w:cs="宋体"/>
          <w:szCs w:val="21"/>
          <w:highlight w:val="white"/>
          <w:lang w:eastAsia="zh-CN"/>
        </w:rPr>
        <w:t>公允价值，金额为负时以零计</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基金管理费每日计提，逐日累计至每月月末，按月支付，经基金管理人与基金托管人双方核对无误后，基金托管人按照与基金管理人协商一致的方式于次月前</w:t>
      </w:r>
      <w:r>
        <w:rPr>
          <w:rStyle w:val="da"/>
          <w:rFonts w:ascii="宋体" w:hAnsi="Calibri" w:cs="宋体"/>
          <w:szCs w:val="21"/>
          <w:highlight w:val="white"/>
          <w:lang w:eastAsia="zh-CN"/>
        </w:rPr>
        <w:t>5</w:t>
      </w:r>
      <w:r>
        <w:rPr>
          <w:rStyle w:val="da"/>
          <w:rFonts w:ascii="宋体" w:hAnsi="Calibri" w:cs="宋体"/>
          <w:szCs w:val="21"/>
          <w:highlight w:val="white"/>
          <w:lang w:eastAsia="zh-CN"/>
        </w:rPr>
        <w:t>个工作日内从基金财产中一次性支付给基金管理人。若遇法定节假日、公休假或不可抗力等，支付日期顺延。</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2</w:t>
      </w:r>
      <w:r>
        <w:rPr>
          <w:rStyle w:val="da"/>
          <w:rFonts w:ascii="宋体" w:hAnsi="Calibri" w:cs="宋体"/>
          <w:szCs w:val="21"/>
          <w:highlight w:val="white"/>
          <w:lang w:eastAsia="zh-CN"/>
        </w:rPr>
        <w:t>、基金托管人的托管费</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本基金的托管费按前一日基金资产净值扣除前一日所持有目标</w:t>
      </w:r>
      <w:r>
        <w:rPr>
          <w:rStyle w:val="da"/>
          <w:rFonts w:ascii="宋体" w:hAnsi="Calibri" w:cs="宋体"/>
          <w:szCs w:val="21"/>
          <w:highlight w:val="white"/>
          <w:lang w:eastAsia="zh-CN"/>
        </w:rPr>
        <w:t>ETF</w:t>
      </w:r>
      <w:r>
        <w:rPr>
          <w:rStyle w:val="da"/>
          <w:rFonts w:ascii="宋体" w:hAnsi="Calibri" w:cs="宋体"/>
          <w:szCs w:val="21"/>
          <w:highlight w:val="white"/>
          <w:lang w:eastAsia="zh-CN"/>
        </w:rPr>
        <w:t>公允价值后的余额（若为负数，则取</w:t>
      </w:r>
      <w:r>
        <w:rPr>
          <w:rStyle w:val="da"/>
          <w:rFonts w:ascii="宋体" w:hAnsi="Calibri" w:cs="宋体"/>
          <w:szCs w:val="21"/>
          <w:highlight w:val="white"/>
          <w:lang w:eastAsia="zh-CN"/>
        </w:rPr>
        <w:t>0</w:t>
      </w:r>
      <w:r>
        <w:rPr>
          <w:rStyle w:val="da"/>
          <w:rFonts w:ascii="宋体" w:hAnsi="Calibri" w:cs="宋体"/>
          <w:szCs w:val="21"/>
          <w:highlight w:val="white"/>
          <w:lang w:eastAsia="zh-CN"/>
        </w:rPr>
        <w:t>）的</w:t>
      </w:r>
      <w:r>
        <w:rPr>
          <w:rStyle w:val="da"/>
          <w:rFonts w:ascii="宋体" w:hAnsi="Calibri" w:cs="宋体"/>
          <w:szCs w:val="21"/>
          <w:highlight w:val="white"/>
          <w:lang w:eastAsia="zh-CN"/>
        </w:rPr>
        <w:t>0.10%</w:t>
      </w:r>
      <w:r>
        <w:rPr>
          <w:rStyle w:val="da"/>
          <w:rFonts w:ascii="宋体" w:hAnsi="Calibri" w:cs="宋体"/>
          <w:szCs w:val="21"/>
          <w:highlight w:val="white"/>
          <w:lang w:eastAsia="zh-CN"/>
        </w:rPr>
        <w:t>年费率计提。托管费的计算方法如下：</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H</w:t>
      </w:r>
      <w:r>
        <w:rPr>
          <w:rStyle w:val="da"/>
          <w:rFonts w:ascii="宋体" w:hAnsi="Calibri" w:cs="宋体"/>
          <w:szCs w:val="21"/>
          <w:highlight w:val="white"/>
          <w:lang w:eastAsia="zh-CN"/>
        </w:rPr>
        <w:t>＝</w:t>
      </w:r>
      <w:r>
        <w:rPr>
          <w:rStyle w:val="da"/>
          <w:rFonts w:ascii="宋体" w:hAnsi="Calibri" w:cs="宋体"/>
          <w:szCs w:val="21"/>
          <w:highlight w:val="white"/>
          <w:lang w:eastAsia="zh-CN"/>
        </w:rPr>
        <w:t>E</w:t>
      </w:r>
      <w:r>
        <w:rPr>
          <w:rStyle w:val="da"/>
          <w:rFonts w:ascii="宋体" w:hAnsi="Calibri" w:cs="宋体"/>
          <w:szCs w:val="21"/>
          <w:highlight w:val="white"/>
          <w:lang w:eastAsia="zh-CN"/>
        </w:rPr>
        <w:t>×</w:t>
      </w:r>
      <w:r>
        <w:rPr>
          <w:rStyle w:val="da"/>
          <w:rFonts w:ascii="宋体" w:hAnsi="Calibri" w:cs="宋体"/>
          <w:szCs w:val="21"/>
          <w:highlight w:val="white"/>
          <w:lang w:eastAsia="zh-CN"/>
        </w:rPr>
        <w:t>0.10%</w:t>
      </w:r>
      <w:r>
        <w:rPr>
          <w:rStyle w:val="da"/>
          <w:rFonts w:ascii="宋体" w:hAnsi="Calibri" w:cs="宋体"/>
          <w:szCs w:val="21"/>
          <w:highlight w:val="white"/>
          <w:lang w:eastAsia="zh-CN"/>
        </w:rPr>
        <w:t>÷</w:t>
      </w:r>
      <w:r>
        <w:rPr>
          <w:rStyle w:val="da"/>
          <w:rFonts w:ascii="宋体" w:hAnsi="Calibri" w:cs="宋体"/>
          <w:szCs w:val="21"/>
          <w:highlight w:val="white"/>
          <w:lang w:eastAsia="zh-CN"/>
        </w:rPr>
        <w:t>当年天数</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H</w:t>
      </w:r>
      <w:r>
        <w:rPr>
          <w:rStyle w:val="da"/>
          <w:rFonts w:ascii="宋体" w:hAnsi="Calibri" w:cs="宋体"/>
          <w:szCs w:val="21"/>
          <w:highlight w:val="white"/>
          <w:lang w:eastAsia="zh-CN"/>
        </w:rPr>
        <w:t>为每日应计提的基金托管费</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E</w:t>
      </w:r>
      <w:r>
        <w:rPr>
          <w:rStyle w:val="da"/>
          <w:rFonts w:ascii="宋体" w:hAnsi="Calibri" w:cs="宋体"/>
          <w:szCs w:val="21"/>
          <w:highlight w:val="white"/>
          <w:lang w:eastAsia="zh-CN"/>
        </w:rPr>
        <w:t>为调整后的前一日的基金资产净值。调整后的前一日基金资产净值＝前一日基金资产净值－前一日本基金持有的目标</w:t>
      </w:r>
      <w:r>
        <w:rPr>
          <w:rStyle w:val="da"/>
          <w:rFonts w:ascii="宋体" w:hAnsi="Calibri" w:cs="宋体"/>
          <w:szCs w:val="21"/>
          <w:highlight w:val="white"/>
          <w:lang w:eastAsia="zh-CN"/>
        </w:rPr>
        <w:t>ETF</w:t>
      </w:r>
      <w:r>
        <w:rPr>
          <w:rStyle w:val="da"/>
          <w:rFonts w:ascii="宋体" w:hAnsi="Calibri" w:cs="宋体"/>
          <w:szCs w:val="21"/>
          <w:highlight w:val="white"/>
          <w:lang w:eastAsia="zh-CN"/>
        </w:rPr>
        <w:t>公允价值，金额为负时以零计</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基金托管费每日计提，逐日累计至每月月末，按月支付，经基金管理人与基金托管人双方核对无误后，基金托管人按照与基金管理人协商一致的方式于次月前</w:t>
      </w:r>
      <w:r>
        <w:rPr>
          <w:rStyle w:val="da"/>
          <w:rFonts w:ascii="宋体" w:hAnsi="Calibri" w:cs="宋体"/>
          <w:szCs w:val="21"/>
          <w:highlight w:val="white"/>
          <w:lang w:eastAsia="zh-CN"/>
        </w:rPr>
        <w:t>5</w:t>
      </w:r>
      <w:r>
        <w:rPr>
          <w:rStyle w:val="da"/>
          <w:rFonts w:ascii="宋体" w:hAnsi="Calibri" w:cs="宋体"/>
          <w:szCs w:val="21"/>
          <w:highlight w:val="white"/>
          <w:lang w:eastAsia="zh-CN"/>
        </w:rPr>
        <w:t>个工作日内从基金财产中一次性支取</w:t>
      </w:r>
      <w:r>
        <w:rPr>
          <w:rStyle w:val="da"/>
          <w:rFonts w:ascii="宋体" w:hAnsi="Calibri" w:cs="宋体"/>
          <w:szCs w:val="21"/>
          <w:highlight w:val="white"/>
          <w:lang w:eastAsia="zh-CN"/>
        </w:rPr>
        <w:t>。若遇法定节假日、公休假或不可抗力等，支付日期顺延。</w:t>
      </w:r>
      <w:r>
        <w:rPr>
          <w:rStyle w:val="da"/>
          <w:rFonts w:ascii="宋体" w:hAnsi="Calibri" w:cs="宋体"/>
          <w:szCs w:val="21"/>
          <w:highlight w:val="white"/>
          <w:lang w:eastAsia="zh-CN"/>
        </w:rPr>
        <w:t xml:space="preserve"> </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3</w:t>
      </w:r>
      <w:r>
        <w:rPr>
          <w:rStyle w:val="da"/>
          <w:rFonts w:ascii="宋体" w:hAnsi="Calibri" w:cs="宋体"/>
          <w:szCs w:val="21"/>
          <w:highlight w:val="white"/>
          <w:lang w:eastAsia="zh-CN"/>
        </w:rPr>
        <w:t>、销售服务费</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本基金</w:t>
      </w:r>
      <w:r>
        <w:rPr>
          <w:rStyle w:val="da"/>
          <w:rFonts w:ascii="宋体" w:hAnsi="Calibri" w:cs="宋体"/>
          <w:szCs w:val="21"/>
          <w:highlight w:val="white"/>
          <w:lang w:eastAsia="zh-CN"/>
        </w:rPr>
        <w:t>A</w:t>
      </w:r>
      <w:r>
        <w:rPr>
          <w:rStyle w:val="da"/>
          <w:rFonts w:ascii="宋体" w:hAnsi="Calibri" w:cs="宋体"/>
          <w:szCs w:val="21"/>
          <w:highlight w:val="white"/>
          <w:lang w:eastAsia="zh-CN"/>
        </w:rPr>
        <w:t>类基金份额不收取销售服务费，</w:t>
      </w:r>
      <w:r>
        <w:rPr>
          <w:rStyle w:val="da"/>
          <w:rFonts w:ascii="宋体" w:hAnsi="Calibri" w:cs="宋体"/>
          <w:szCs w:val="21"/>
          <w:highlight w:val="white"/>
          <w:lang w:eastAsia="zh-CN"/>
        </w:rPr>
        <w:t>C</w:t>
      </w:r>
      <w:r>
        <w:rPr>
          <w:rStyle w:val="da"/>
          <w:rFonts w:ascii="宋体" w:hAnsi="Calibri" w:cs="宋体"/>
          <w:szCs w:val="21"/>
          <w:highlight w:val="white"/>
          <w:lang w:eastAsia="zh-CN"/>
        </w:rPr>
        <w:t>类基金份额的销售服务费年费率为</w:t>
      </w:r>
      <w:r>
        <w:rPr>
          <w:rStyle w:val="da"/>
          <w:rFonts w:ascii="宋体" w:hAnsi="Calibri" w:cs="宋体"/>
          <w:szCs w:val="21"/>
          <w:highlight w:val="white"/>
          <w:lang w:eastAsia="zh-CN"/>
        </w:rPr>
        <w:t>0.20%</w:t>
      </w:r>
      <w:r>
        <w:rPr>
          <w:rStyle w:val="da"/>
          <w:rFonts w:ascii="宋体" w:hAnsi="Calibri" w:cs="宋体"/>
          <w:szCs w:val="21"/>
          <w:highlight w:val="white"/>
          <w:lang w:eastAsia="zh-CN"/>
        </w:rPr>
        <w:t>，按前一日</w:t>
      </w:r>
      <w:r>
        <w:rPr>
          <w:rStyle w:val="da"/>
          <w:rFonts w:ascii="宋体" w:hAnsi="Calibri" w:cs="宋体"/>
          <w:szCs w:val="21"/>
          <w:highlight w:val="white"/>
          <w:lang w:eastAsia="zh-CN"/>
        </w:rPr>
        <w:t>C</w:t>
      </w:r>
      <w:r>
        <w:rPr>
          <w:rStyle w:val="da"/>
          <w:rFonts w:ascii="宋体" w:hAnsi="Calibri" w:cs="宋体"/>
          <w:szCs w:val="21"/>
          <w:highlight w:val="white"/>
          <w:lang w:eastAsia="zh-CN"/>
        </w:rPr>
        <w:t>类基金资产净值的</w:t>
      </w:r>
      <w:r>
        <w:rPr>
          <w:rStyle w:val="da"/>
          <w:rFonts w:ascii="宋体" w:hAnsi="Calibri" w:cs="宋体"/>
          <w:szCs w:val="21"/>
          <w:highlight w:val="white"/>
          <w:lang w:eastAsia="zh-CN"/>
        </w:rPr>
        <w:t>0.20%</w:t>
      </w:r>
      <w:r>
        <w:rPr>
          <w:rStyle w:val="da"/>
          <w:rFonts w:ascii="宋体" w:hAnsi="Calibri" w:cs="宋体"/>
          <w:szCs w:val="21"/>
          <w:highlight w:val="white"/>
          <w:lang w:eastAsia="zh-CN"/>
        </w:rPr>
        <w:t>年费率计提。</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销售服务费的计算方法如下：</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H</w:t>
      </w:r>
      <w:r>
        <w:rPr>
          <w:rStyle w:val="da"/>
          <w:rFonts w:ascii="宋体" w:hAnsi="Calibri" w:cs="宋体"/>
          <w:szCs w:val="21"/>
          <w:highlight w:val="white"/>
          <w:lang w:eastAsia="zh-CN"/>
        </w:rPr>
        <w:t>＝</w:t>
      </w:r>
      <w:r>
        <w:rPr>
          <w:rStyle w:val="da"/>
          <w:rFonts w:ascii="宋体" w:hAnsi="Calibri" w:cs="宋体"/>
          <w:szCs w:val="21"/>
          <w:highlight w:val="white"/>
          <w:lang w:eastAsia="zh-CN"/>
        </w:rPr>
        <w:t>E</w:t>
      </w:r>
      <w:r>
        <w:rPr>
          <w:rStyle w:val="da"/>
          <w:rFonts w:ascii="宋体" w:hAnsi="Calibri" w:cs="宋体"/>
          <w:szCs w:val="21"/>
          <w:highlight w:val="white"/>
          <w:lang w:eastAsia="zh-CN"/>
        </w:rPr>
        <w:t>×</w:t>
      </w:r>
      <w:r>
        <w:rPr>
          <w:rStyle w:val="da"/>
          <w:rFonts w:ascii="宋体" w:hAnsi="Calibri" w:cs="宋体"/>
          <w:szCs w:val="21"/>
          <w:highlight w:val="white"/>
          <w:lang w:eastAsia="zh-CN"/>
        </w:rPr>
        <w:t>0.20%</w:t>
      </w:r>
      <w:r>
        <w:rPr>
          <w:rStyle w:val="da"/>
          <w:rFonts w:ascii="宋体" w:hAnsi="Calibri" w:cs="宋体"/>
          <w:szCs w:val="21"/>
          <w:highlight w:val="white"/>
          <w:lang w:eastAsia="zh-CN"/>
        </w:rPr>
        <w:t>÷</w:t>
      </w:r>
      <w:r>
        <w:rPr>
          <w:rStyle w:val="da"/>
          <w:rFonts w:ascii="宋体" w:hAnsi="Calibri" w:cs="宋体"/>
          <w:szCs w:val="21"/>
          <w:highlight w:val="white"/>
          <w:lang w:eastAsia="zh-CN"/>
        </w:rPr>
        <w:t>当年天数</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H</w:t>
      </w:r>
      <w:r>
        <w:rPr>
          <w:rStyle w:val="da"/>
          <w:rFonts w:ascii="宋体" w:hAnsi="Calibri" w:cs="宋体"/>
          <w:szCs w:val="21"/>
          <w:highlight w:val="white"/>
          <w:lang w:eastAsia="zh-CN"/>
        </w:rPr>
        <w:t>为</w:t>
      </w:r>
      <w:r>
        <w:rPr>
          <w:rStyle w:val="da"/>
          <w:rFonts w:ascii="宋体" w:hAnsi="Calibri" w:cs="宋体"/>
          <w:szCs w:val="21"/>
          <w:highlight w:val="white"/>
          <w:lang w:eastAsia="zh-CN"/>
        </w:rPr>
        <w:t>C</w:t>
      </w:r>
      <w:r>
        <w:rPr>
          <w:rStyle w:val="da"/>
          <w:rFonts w:ascii="宋体" w:hAnsi="Calibri" w:cs="宋体"/>
          <w:szCs w:val="21"/>
          <w:highlight w:val="white"/>
          <w:lang w:eastAsia="zh-CN"/>
        </w:rPr>
        <w:t>类基金份额每日应计提的销售服务费</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E</w:t>
      </w:r>
      <w:r>
        <w:rPr>
          <w:rStyle w:val="da"/>
          <w:rFonts w:ascii="宋体" w:hAnsi="Calibri" w:cs="宋体"/>
          <w:szCs w:val="21"/>
          <w:highlight w:val="white"/>
          <w:lang w:eastAsia="zh-CN"/>
        </w:rPr>
        <w:t>为</w:t>
      </w:r>
      <w:r>
        <w:rPr>
          <w:rStyle w:val="da"/>
          <w:rFonts w:ascii="宋体" w:hAnsi="Calibri" w:cs="宋体"/>
          <w:szCs w:val="21"/>
          <w:highlight w:val="white"/>
          <w:lang w:eastAsia="zh-CN"/>
        </w:rPr>
        <w:t>C</w:t>
      </w:r>
      <w:r>
        <w:rPr>
          <w:rStyle w:val="da"/>
          <w:rFonts w:ascii="宋体" w:hAnsi="Calibri" w:cs="宋体"/>
          <w:szCs w:val="21"/>
          <w:highlight w:val="white"/>
          <w:lang w:eastAsia="zh-CN"/>
        </w:rPr>
        <w:t>类基金份额前一日基金资产净值</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基金销售服务费每日计提。</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1</w:t>
      </w:r>
      <w:r>
        <w:rPr>
          <w:rStyle w:val="da"/>
          <w:rFonts w:ascii="宋体" w:hAnsi="Calibri" w:cs="宋体"/>
          <w:szCs w:val="21"/>
          <w:highlight w:val="white"/>
          <w:lang w:eastAsia="zh-CN"/>
        </w:rPr>
        <w:t>）通过基金管理人或其基金销售子公司投资的</w:t>
      </w:r>
      <w:r>
        <w:rPr>
          <w:rStyle w:val="da"/>
          <w:rFonts w:ascii="宋体" w:hAnsi="Calibri" w:cs="宋体"/>
          <w:szCs w:val="21"/>
          <w:highlight w:val="white"/>
          <w:lang w:eastAsia="zh-CN"/>
        </w:rPr>
        <w:t>C</w:t>
      </w:r>
      <w:r>
        <w:rPr>
          <w:rStyle w:val="da"/>
          <w:rFonts w:ascii="宋体" w:hAnsi="Calibri" w:cs="宋体"/>
          <w:szCs w:val="21"/>
          <w:highlight w:val="white"/>
          <w:lang w:eastAsia="zh-CN"/>
        </w:rPr>
        <w:t>类基金份额</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对于基金份额计提的销售服务费，在投资者赎回基金份额或基金合同终止时，随赎回款（或清算款）一并</w:t>
      </w:r>
      <w:r>
        <w:rPr>
          <w:rStyle w:val="da"/>
          <w:rFonts w:ascii="宋体" w:hAnsi="Calibri" w:cs="宋体"/>
          <w:szCs w:val="21"/>
          <w:highlight w:val="white"/>
          <w:lang w:eastAsia="zh-CN"/>
        </w:rPr>
        <w:t>返还给投资者</w:t>
      </w:r>
      <w:r>
        <w:rPr>
          <w:rStyle w:val="da"/>
          <w:rFonts w:ascii="宋体" w:hAnsi="Calibri" w:cs="宋体" w:hint="eastAsia"/>
          <w:szCs w:val="21"/>
          <w:lang w:eastAsia="zh-CN"/>
        </w:rPr>
        <w:t>；对于转换转出业务，销售服务费将作为转换转出份额对应的款项一并划转至转换转入的基金</w:t>
      </w:r>
      <w:r>
        <w:rPr>
          <w:rStyle w:val="da"/>
          <w:rFonts w:ascii="宋体" w:hAnsi="Calibri" w:cs="宋体"/>
          <w:szCs w:val="21"/>
          <w:highlight w:val="white"/>
          <w:lang w:eastAsia="zh-CN"/>
        </w:rPr>
        <w:t>。</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w:t>
      </w:r>
      <w:r>
        <w:rPr>
          <w:rStyle w:val="da"/>
          <w:rFonts w:ascii="宋体" w:hAnsi="Calibri" w:cs="宋体"/>
          <w:szCs w:val="21"/>
          <w:highlight w:val="white"/>
          <w:lang w:eastAsia="zh-CN"/>
        </w:rPr>
        <w:t>2</w:t>
      </w:r>
      <w:r>
        <w:rPr>
          <w:rStyle w:val="da"/>
          <w:rFonts w:ascii="宋体" w:hAnsi="Calibri" w:cs="宋体"/>
          <w:szCs w:val="21"/>
          <w:highlight w:val="white"/>
          <w:lang w:eastAsia="zh-CN"/>
        </w:rPr>
        <w:t>）通过其他销售机构投资的</w:t>
      </w:r>
      <w:r>
        <w:rPr>
          <w:rStyle w:val="da"/>
          <w:rFonts w:ascii="宋体" w:hAnsi="Calibri" w:cs="宋体"/>
          <w:szCs w:val="21"/>
          <w:highlight w:val="white"/>
          <w:lang w:eastAsia="zh-CN"/>
        </w:rPr>
        <w:t>C</w:t>
      </w:r>
      <w:r>
        <w:rPr>
          <w:rStyle w:val="da"/>
          <w:rFonts w:ascii="宋体" w:hAnsi="Calibri" w:cs="宋体"/>
          <w:szCs w:val="21"/>
          <w:highlight w:val="white"/>
          <w:lang w:eastAsia="zh-CN"/>
        </w:rPr>
        <w:t>类基金份额</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对于投资者持续持有期限不超过一年（即</w:t>
      </w:r>
      <w:r>
        <w:rPr>
          <w:rStyle w:val="da"/>
          <w:rFonts w:ascii="宋体" w:hAnsi="Calibri" w:cs="宋体"/>
          <w:szCs w:val="21"/>
          <w:highlight w:val="white"/>
          <w:lang w:eastAsia="zh-CN"/>
        </w:rPr>
        <w:t>365</w:t>
      </w:r>
      <w:r>
        <w:rPr>
          <w:rStyle w:val="da"/>
          <w:rFonts w:ascii="宋体" w:hAnsi="Calibri" w:cs="宋体"/>
          <w:szCs w:val="21"/>
          <w:highlight w:val="white"/>
          <w:lang w:eastAsia="zh-CN"/>
        </w:rPr>
        <w:t>天，下同）的基金份额计提的销售服务费，基金托管人按照与基金管理人协商一致的方式于次月前</w:t>
      </w:r>
      <w:r>
        <w:rPr>
          <w:rStyle w:val="da"/>
          <w:rFonts w:ascii="宋体" w:hAnsi="Calibri" w:cs="宋体"/>
          <w:szCs w:val="21"/>
          <w:highlight w:val="white"/>
          <w:lang w:eastAsia="zh-CN"/>
        </w:rPr>
        <w:t>5</w:t>
      </w:r>
      <w:r>
        <w:rPr>
          <w:rStyle w:val="da"/>
          <w:rFonts w:ascii="宋体" w:hAnsi="Calibri" w:cs="宋体"/>
          <w:szCs w:val="21"/>
          <w:highlight w:val="white"/>
          <w:lang w:eastAsia="zh-CN"/>
        </w:rPr>
        <w:t>个工作日内从基金财产中一次性支付。若遇法定节假日、公休假或不可抗力等，支付日期顺延。</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对于持续持有期限超过一年的基金份额继续计提的销售服务费，在投资者赎回基金份额或基金合同终止时，随赎回款（或清算款）一并返还给投资者</w:t>
      </w:r>
      <w:r>
        <w:rPr>
          <w:rStyle w:val="da"/>
          <w:rFonts w:ascii="宋体" w:hAnsi="Calibri" w:cs="宋体" w:hint="eastAsia"/>
          <w:szCs w:val="21"/>
          <w:lang w:eastAsia="zh-CN"/>
        </w:rPr>
        <w:t>；对于转换转出业务，销售服</w:t>
      </w:r>
      <w:r>
        <w:rPr>
          <w:rStyle w:val="da"/>
          <w:rFonts w:ascii="宋体" w:hAnsi="Calibri" w:cs="宋体" w:hint="eastAsia"/>
          <w:szCs w:val="21"/>
          <w:lang w:eastAsia="zh-CN"/>
        </w:rPr>
        <w:t>务费将作为转换转出份额对应的款项一并划转至转换转入的基金</w:t>
      </w:r>
      <w:r>
        <w:rPr>
          <w:rStyle w:val="da"/>
          <w:rFonts w:ascii="宋体" w:hAnsi="Calibri" w:cs="宋体"/>
          <w:szCs w:val="21"/>
          <w:highlight w:val="white"/>
          <w:lang w:eastAsia="zh-CN"/>
        </w:rPr>
        <w:t>。</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销售服务费计提后按规定收取或返还投资者的金额以登记机构的计算结果为准。</w:t>
      </w:r>
    </w:p>
    <w:p w:rsidR="004A090B">
      <w:pPr>
        <w:spacing w:line="360" w:lineRule="auto"/>
        <w:ind w:firstLine="420"/>
        <w:rPr>
          <w:rStyle w:val="da"/>
          <w:rFonts w:ascii="宋体" w:hAnsi="Calibri" w:cs="宋体"/>
          <w:szCs w:val="21"/>
          <w:lang w:eastAsia="zh-CN"/>
        </w:rPr>
      </w:pPr>
      <w:r>
        <w:rPr>
          <w:rStyle w:val="da"/>
          <w:rFonts w:ascii="宋体" w:hAnsi="Calibri" w:cs="宋体"/>
          <w:szCs w:val="21"/>
          <w:highlight w:val="white"/>
          <w:lang w:eastAsia="zh-CN"/>
        </w:rPr>
        <w:t>上述</w:t>
      </w:r>
      <w:r>
        <w:rPr>
          <w:rStyle w:val="da"/>
          <w:rFonts w:ascii="宋体" w:hAnsi="Calibri" w:cs="宋体"/>
          <w:szCs w:val="21"/>
          <w:highlight w:val="white"/>
          <w:lang w:eastAsia="zh-CN"/>
        </w:rPr>
        <w:t>“</w:t>
      </w:r>
      <w:r>
        <w:rPr>
          <w:rStyle w:val="da"/>
          <w:rFonts w:ascii="宋体" w:hAnsi="Calibri" w:cs="宋体"/>
          <w:szCs w:val="21"/>
          <w:highlight w:val="white"/>
          <w:lang w:eastAsia="zh-CN"/>
        </w:rPr>
        <w:t>一、基金费用的种类</w:t>
      </w:r>
      <w:r>
        <w:rPr>
          <w:rStyle w:val="da"/>
          <w:rFonts w:ascii="宋体" w:hAnsi="Calibri" w:cs="宋体"/>
          <w:szCs w:val="21"/>
          <w:highlight w:val="white"/>
          <w:lang w:eastAsia="zh-CN"/>
        </w:rPr>
        <w:t>”</w:t>
      </w:r>
      <w:r>
        <w:rPr>
          <w:rStyle w:val="da"/>
          <w:rFonts w:ascii="宋体" w:hAnsi="Calibri" w:cs="宋体"/>
          <w:szCs w:val="21"/>
          <w:highlight w:val="white"/>
          <w:lang w:eastAsia="zh-CN"/>
        </w:rPr>
        <w:t>中第</w:t>
      </w:r>
      <w:r>
        <w:rPr>
          <w:rStyle w:val="da"/>
          <w:rFonts w:ascii="宋体" w:hAnsi="Calibri" w:cs="宋体"/>
          <w:szCs w:val="21"/>
          <w:highlight w:val="white"/>
          <w:lang w:eastAsia="zh-CN"/>
        </w:rPr>
        <w:t>4</w:t>
      </w:r>
      <w:r>
        <w:rPr>
          <w:rStyle w:val="da"/>
          <w:rFonts w:ascii="宋体" w:hAnsi="Calibri" w:cs="宋体"/>
          <w:szCs w:val="21"/>
          <w:highlight w:val="white"/>
          <w:lang w:eastAsia="zh-CN"/>
        </w:rPr>
        <w:t>－</w:t>
      </w:r>
      <w:r>
        <w:rPr>
          <w:rStyle w:val="da"/>
          <w:rFonts w:ascii="宋体" w:hAnsi="Calibri" w:cs="宋体"/>
          <w:szCs w:val="21"/>
          <w:highlight w:val="white"/>
          <w:lang w:eastAsia="zh-CN"/>
        </w:rPr>
        <w:t>10</w:t>
      </w:r>
      <w:r>
        <w:rPr>
          <w:rStyle w:val="da"/>
          <w:rFonts w:ascii="宋体" w:hAnsi="Calibri" w:cs="宋体"/>
          <w:szCs w:val="21"/>
          <w:highlight w:val="white"/>
          <w:lang w:eastAsia="zh-CN"/>
        </w:rPr>
        <w:t>项费用，根据有关法规及相应协议规定，按费用实际支出金额列入当期费用，由基金托管人从基金财产中支付。</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三、不列入基金费用的项目</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下列费用不列入基金费用：</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1</w:t>
      </w:r>
      <w:r>
        <w:rPr>
          <w:rStyle w:val="da"/>
          <w:rFonts w:ascii="宋体" w:hAnsi="Calibri" w:cs="宋体" w:hint="eastAsia"/>
          <w:szCs w:val="21"/>
          <w:highlight w:val="white"/>
          <w:lang w:eastAsia="zh-CN"/>
        </w:rPr>
        <w:t>、基金管理人和基金托管人因未履行或未完全履行义务导致的费用支出或基金财产的损失；</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2</w:t>
      </w:r>
      <w:r>
        <w:rPr>
          <w:rStyle w:val="da"/>
          <w:rFonts w:ascii="宋体" w:hAnsi="Calibri" w:cs="宋体" w:hint="eastAsia"/>
          <w:szCs w:val="21"/>
          <w:highlight w:val="white"/>
          <w:lang w:eastAsia="zh-CN"/>
        </w:rPr>
        <w:t>、基金管理人和基金托管人处理与基金运作无关的事项发生的费用；</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3</w:t>
      </w:r>
      <w:r>
        <w:rPr>
          <w:rStyle w:val="da"/>
          <w:rFonts w:ascii="宋体" w:hAnsi="Calibri" w:cs="宋体" w:hint="eastAsia"/>
          <w:szCs w:val="21"/>
          <w:highlight w:val="white"/>
          <w:lang w:eastAsia="zh-CN"/>
        </w:rPr>
        <w:t>、《基金合同》生效前的相关费用；</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4</w:t>
      </w:r>
      <w:r>
        <w:rPr>
          <w:rStyle w:val="da"/>
          <w:rFonts w:ascii="宋体" w:hAnsi="Calibri" w:cs="宋体" w:hint="eastAsia"/>
          <w:szCs w:val="21"/>
          <w:highlight w:val="white"/>
          <w:lang w:eastAsia="zh-CN"/>
        </w:rPr>
        <w:t>、标的指数许可使用费。标的指数许可使用费由基金管理人承担，不得从基金财产中列支；</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5</w:t>
      </w:r>
      <w:r>
        <w:rPr>
          <w:rStyle w:val="da"/>
          <w:rFonts w:ascii="宋体" w:hAnsi="Calibri" w:cs="宋体" w:hint="eastAsia"/>
          <w:szCs w:val="21"/>
          <w:highlight w:val="white"/>
          <w:lang w:eastAsia="zh-CN"/>
        </w:rPr>
        <w:t>、其他根据相关法律法规及中国证监会的有关规定不得列入基金费用的项目。</w:t>
      </w:r>
    </w:p>
    <w:p w:rsidR="004A090B">
      <w:pPr>
        <w:spacing w:line="360" w:lineRule="auto"/>
        <w:ind w:firstLine="420"/>
        <w:rPr>
          <w:rStyle w:val="da"/>
          <w:rFonts w:ascii="宋体" w:hAnsi="Calibri" w:cs="宋体"/>
          <w:szCs w:val="21"/>
          <w:lang w:eastAsia="zh-CN"/>
        </w:rPr>
      </w:pPr>
      <w:bookmarkStart w:id="1837" w:name="_Hlt88827255"/>
      <w:bookmarkStart w:id="1838" w:name="_Toc332373564"/>
      <w:bookmarkEnd w:id="1837"/>
      <w:r>
        <w:rPr>
          <w:rStyle w:val="da"/>
          <w:rFonts w:ascii="宋体" w:hAnsi="Calibri" w:cs="宋体" w:hint="eastAsia"/>
          <w:szCs w:val="21"/>
          <w:lang w:eastAsia="zh-CN"/>
        </w:rPr>
        <w:t>四、实施侧袋机制期间的基金费用</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highlight w:val="white"/>
          <w:lang w:eastAsia="zh-CN"/>
        </w:rPr>
        <w:t>本基金实施侧袋机制的，与侧袋账户有关的费用可以从侧袋账户中列支，但应待侧袋账户资产变现后方可列支，有关费用可酌情收取或减免，但不得收取管理费</w:t>
      </w:r>
      <w:r>
        <w:rPr>
          <w:rStyle w:val="da"/>
          <w:rFonts w:ascii="宋体" w:hAnsi="Calibri" w:cs="宋体" w:hint="eastAsia"/>
          <w:szCs w:val="21"/>
          <w:lang w:eastAsia="zh-CN"/>
        </w:rPr>
        <w:t>。</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五、与基金销售有关的费用</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1</w:t>
      </w:r>
      <w:r>
        <w:rPr>
          <w:rStyle w:val="da"/>
          <w:rFonts w:ascii="宋体" w:hAnsi="Calibri" w:cs="宋体" w:hint="eastAsia"/>
          <w:szCs w:val="21"/>
          <w:lang w:eastAsia="zh-CN"/>
        </w:rPr>
        <w:t>、本基金认购费的费率水平、计算公式、收取方式和使用方式请详见本招募说明书“基金的募集安排”中“认购安排”中的相关规定。</w:t>
      </w:r>
    </w:p>
    <w:p w:rsidR="004A090B">
      <w:pPr>
        <w:spacing w:line="360" w:lineRule="auto"/>
        <w:ind w:firstLine="420"/>
        <w:rPr>
          <w:rStyle w:val="da"/>
          <w:rFonts w:ascii="宋体" w:hAnsi="Calibri" w:cs="宋体"/>
          <w:szCs w:val="21"/>
          <w:lang w:eastAsia="zh-CN"/>
        </w:rPr>
      </w:pPr>
      <w:r>
        <w:rPr>
          <w:rStyle w:val="da"/>
          <w:rFonts w:ascii="宋体" w:hAnsi="Calibri" w:cs="宋体"/>
          <w:szCs w:val="21"/>
          <w:lang w:eastAsia="zh-CN"/>
        </w:rPr>
        <w:t>2</w:t>
      </w:r>
      <w:r>
        <w:rPr>
          <w:rStyle w:val="da"/>
          <w:rFonts w:ascii="宋体" w:hAnsi="Calibri" w:cs="宋体" w:hint="eastAsia"/>
          <w:szCs w:val="21"/>
          <w:lang w:eastAsia="zh-CN"/>
        </w:rPr>
        <w:t>、本基金申购费、赎回费的费率水</w:t>
      </w:r>
      <w:r>
        <w:rPr>
          <w:rStyle w:val="da"/>
          <w:rFonts w:ascii="宋体" w:hAnsi="Calibri" w:cs="宋体" w:hint="eastAsia"/>
          <w:szCs w:val="21"/>
          <w:lang w:eastAsia="zh-CN"/>
        </w:rPr>
        <w:t>平、计算公式、收取方式和使用方式请详见本招募说明书“基金份额的申购、赎回”中的“基金的申购费和赎回费”与“申购和赎回的数额和价格”中的相关规定。</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六、基金税收</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本基金运作过程中涉及的各纳税主体，其纳税义务按国家税收法律、法规执行。基金财产投资的相关税收，由基金份额持有人承担，基金管理人或者其他扣缴义务人按照国家有关税收征收的规定代扣代缴。</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本基金在投资和运作过程中如发生增值税等应税行为，相应的增值税、附加税费以及可能涉及的税收滞纳金等由基金财产承担，届时基金管理人可通过本基金托管账户直接缴付，或划付至基金管</w:t>
      </w:r>
      <w:r>
        <w:rPr>
          <w:rFonts w:ascii="宋体" w:hAnsi="Calibri" w:cs="宋体" w:hint="eastAsia"/>
          <w:bCs/>
          <w:szCs w:val="21"/>
          <w:highlight w:val="white"/>
          <w:lang w:eastAsia="zh-CN"/>
        </w:rPr>
        <w:t>理人账户并由基金管理人按照相关规定申报缴纳。如果基金管理人先行垫付上述增值税等税费的，基金管理人有权从基金财产中划扣抵偿。本基金清算后若基金管理人被税务机关要求补缴上述税费及可能涉及的滞纳金等，基金管理人有权向投资人就相关金额进行追偿。</w:t>
      </w:r>
      <w:bookmarkEnd w:id="1838"/>
    </w:p>
    <w:p w:rsidR="004A090B">
      <w:pPr>
        <w:widowControl/>
        <w:jc w:val="left"/>
        <w:rPr>
          <w:rFonts w:ascii="宋体" w:hAnsi="Calibri" w:cs="宋体"/>
          <w:sz w:val="30"/>
          <w:szCs w:val="32"/>
          <w:lang w:eastAsia="zh-CN"/>
        </w:rPr>
      </w:pPr>
      <w:r>
        <w:rPr>
          <w:rFonts w:ascii="宋体" w:hAnsi="Calibri" w:cs="宋体"/>
          <w:sz w:val="30"/>
          <w:lang w:eastAsia="zh-CN"/>
        </w:rPr>
        <w:br w:type="page"/>
      </w:r>
    </w:p>
    <w:p w:rsidR="004A090B">
      <w:pPr>
        <w:pStyle w:val="Heading1"/>
        <w:spacing w:before="317" w:after="317" w:line="360" w:lineRule="auto"/>
        <w:ind w:firstLine="600"/>
        <w:rPr>
          <w:rFonts w:ascii="宋体" w:eastAsia="宋体" w:hAnsi="Calibri" w:cs="宋体"/>
          <w:bCs/>
          <w:sz w:val="30"/>
          <w:szCs w:val="30"/>
          <w:lang w:eastAsia="zh-CN"/>
        </w:rPr>
      </w:pPr>
      <w:bookmarkStart w:id="1839" w:name="_Toc129511539"/>
      <w:r>
        <w:rPr>
          <w:rFonts w:ascii="宋体" w:eastAsia="宋体" w:hAnsi="Calibri" w:cs="宋体" w:hint="eastAsia"/>
          <w:sz w:val="30"/>
          <w:szCs w:val="30"/>
          <w:lang w:eastAsia="zh-CN"/>
        </w:rPr>
        <w:t>第十</w:t>
      </w:r>
      <w:bookmarkStart w:id="1840" w:name="_Toc332373566"/>
      <w:r>
        <w:rPr>
          <w:rFonts w:ascii="宋体" w:eastAsia="宋体" w:hAnsi="Calibri" w:cs="宋体"/>
          <w:sz w:val="30"/>
          <w:szCs w:val="30"/>
          <w:lang w:eastAsia="zh-CN"/>
        </w:rPr>
        <w:t>七</w:t>
      </w:r>
      <w:r>
        <w:rPr>
          <w:rFonts w:ascii="宋体" w:eastAsia="宋体" w:hAnsi="Calibri" w:cs="宋体" w:hint="eastAsia"/>
          <w:sz w:val="30"/>
          <w:szCs w:val="30"/>
          <w:lang w:eastAsia="zh-CN"/>
        </w:rPr>
        <w:t>部分</w:t>
      </w:r>
      <w:r>
        <w:rPr>
          <w:rFonts w:ascii="宋体" w:eastAsia="宋体" w:hAnsi="Calibri" w:cs="宋体"/>
          <w:sz w:val="30"/>
          <w:szCs w:val="30"/>
          <w:lang w:eastAsia="zh-CN"/>
        </w:rPr>
        <w:t xml:space="preserve"> </w:t>
      </w:r>
      <w:r>
        <w:rPr>
          <w:rFonts w:ascii="宋体" w:eastAsia="宋体" w:hAnsi="Calibri" w:cs="宋体" w:hint="eastAsia"/>
          <w:sz w:val="30"/>
          <w:szCs w:val="30"/>
          <w:lang w:eastAsia="zh-CN"/>
        </w:rPr>
        <w:t>基金的会计与审计</w:t>
      </w:r>
      <w:bookmarkEnd w:id="1839"/>
      <w:bookmarkEnd w:id="1840"/>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一、基金会计政策</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1</w:t>
      </w:r>
      <w:r>
        <w:rPr>
          <w:rFonts w:ascii="宋体" w:hAnsi="Calibri" w:cs="宋体" w:hint="eastAsia"/>
          <w:bCs/>
          <w:szCs w:val="21"/>
          <w:highlight w:val="white"/>
          <w:lang w:eastAsia="zh-CN"/>
        </w:rPr>
        <w:t>、基金管理人为本基金的基金会计责任方；</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2</w:t>
      </w:r>
      <w:r>
        <w:rPr>
          <w:rFonts w:ascii="宋体" w:hAnsi="Calibri" w:cs="宋体" w:hint="eastAsia"/>
          <w:bCs/>
          <w:szCs w:val="21"/>
          <w:highlight w:val="white"/>
          <w:lang w:eastAsia="zh-CN"/>
        </w:rPr>
        <w:t>、基金的会计年度为公历年度的</w:t>
      </w:r>
      <w:r>
        <w:rPr>
          <w:rFonts w:ascii="宋体" w:hAnsi="Calibri" w:cs="宋体" w:hint="eastAsia"/>
          <w:bCs/>
          <w:szCs w:val="21"/>
          <w:highlight w:val="white"/>
          <w:lang w:eastAsia="zh-CN"/>
        </w:rPr>
        <w:t>1</w:t>
      </w:r>
      <w:r>
        <w:rPr>
          <w:rFonts w:ascii="宋体" w:hAnsi="Calibri" w:cs="宋体" w:hint="eastAsia"/>
          <w:bCs/>
          <w:szCs w:val="21"/>
          <w:highlight w:val="white"/>
          <w:lang w:eastAsia="zh-CN"/>
        </w:rPr>
        <w:t>月</w:t>
      </w:r>
      <w:r>
        <w:rPr>
          <w:rFonts w:ascii="宋体" w:hAnsi="Calibri" w:cs="宋体" w:hint="eastAsia"/>
          <w:bCs/>
          <w:szCs w:val="21"/>
          <w:highlight w:val="white"/>
          <w:lang w:eastAsia="zh-CN"/>
        </w:rPr>
        <w:t>1</w:t>
      </w:r>
      <w:r>
        <w:rPr>
          <w:rFonts w:ascii="宋体" w:hAnsi="Calibri" w:cs="宋体" w:hint="eastAsia"/>
          <w:bCs/>
          <w:szCs w:val="21"/>
          <w:highlight w:val="white"/>
          <w:lang w:eastAsia="zh-CN"/>
        </w:rPr>
        <w:t>日至</w:t>
      </w:r>
      <w:r>
        <w:rPr>
          <w:rFonts w:ascii="宋体" w:hAnsi="Calibri" w:cs="宋体" w:hint="eastAsia"/>
          <w:bCs/>
          <w:szCs w:val="21"/>
          <w:highlight w:val="white"/>
          <w:lang w:eastAsia="zh-CN"/>
        </w:rPr>
        <w:t>12</w:t>
      </w:r>
      <w:r>
        <w:rPr>
          <w:rFonts w:ascii="宋体" w:hAnsi="Calibri" w:cs="宋体" w:hint="eastAsia"/>
          <w:bCs/>
          <w:szCs w:val="21"/>
          <w:highlight w:val="white"/>
          <w:lang w:eastAsia="zh-CN"/>
        </w:rPr>
        <w:t>月</w:t>
      </w:r>
      <w:r>
        <w:rPr>
          <w:rFonts w:ascii="宋体" w:hAnsi="Calibri" w:cs="宋体" w:hint="eastAsia"/>
          <w:bCs/>
          <w:szCs w:val="21"/>
          <w:highlight w:val="white"/>
          <w:lang w:eastAsia="zh-CN"/>
        </w:rPr>
        <w:t>31</w:t>
      </w:r>
      <w:r>
        <w:rPr>
          <w:rFonts w:ascii="宋体" w:hAnsi="Calibri" w:cs="宋体" w:hint="eastAsia"/>
          <w:bCs/>
          <w:szCs w:val="21"/>
          <w:highlight w:val="white"/>
          <w:lang w:eastAsia="zh-CN"/>
        </w:rPr>
        <w:t>日；基金首次募集的会计年度按如下原则：如果《基金合同》生效少于</w:t>
      </w:r>
      <w:r>
        <w:rPr>
          <w:rFonts w:ascii="宋体" w:hAnsi="Calibri" w:cs="宋体" w:hint="eastAsia"/>
          <w:bCs/>
          <w:szCs w:val="21"/>
          <w:highlight w:val="white"/>
          <w:lang w:eastAsia="zh-CN"/>
        </w:rPr>
        <w:t>2</w:t>
      </w:r>
      <w:r>
        <w:rPr>
          <w:rFonts w:ascii="宋体" w:hAnsi="Calibri" w:cs="宋体" w:hint="eastAsia"/>
          <w:bCs/>
          <w:szCs w:val="21"/>
          <w:highlight w:val="white"/>
          <w:lang w:eastAsia="zh-CN"/>
        </w:rPr>
        <w:t>个月，可以并入下一个会计年度；</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3</w:t>
      </w:r>
      <w:r>
        <w:rPr>
          <w:rFonts w:ascii="宋体" w:hAnsi="Calibri" w:cs="宋体" w:hint="eastAsia"/>
          <w:bCs/>
          <w:szCs w:val="21"/>
          <w:highlight w:val="white"/>
          <w:lang w:eastAsia="zh-CN"/>
        </w:rPr>
        <w:t>、基金核算以人民币为记账本位币，以人民币元为记账单位；</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4</w:t>
      </w:r>
      <w:r>
        <w:rPr>
          <w:rFonts w:ascii="宋体" w:hAnsi="Calibri" w:cs="宋体" w:hint="eastAsia"/>
          <w:bCs/>
          <w:szCs w:val="21"/>
          <w:highlight w:val="white"/>
          <w:lang w:eastAsia="zh-CN"/>
        </w:rPr>
        <w:t>、会计制度执行国家有关会计制度；</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5</w:t>
      </w:r>
      <w:r>
        <w:rPr>
          <w:rFonts w:ascii="宋体" w:hAnsi="Calibri" w:cs="宋体" w:hint="eastAsia"/>
          <w:bCs/>
          <w:szCs w:val="21"/>
          <w:highlight w:val="white"/>
          <w:lang w:eastAsia="zh-CN"/>
        </w:rPr>
        <w:t>、本基金独立建账、独立核算；</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6</w:t>
      </w:r>
      <w:r>
        <w:rPr>
          <w:rFonts w:ascii="宋体" w:hAnsi="Calibri" w:cs="宋体" w:hint="eastAsia"/>
          <w:bCs/>
          <w:szCs w:val="21"/>
          <w:highlight w:val="white"/>
          <w:lang w:eastAsia="zh-CN"/>
        </w:rPr>
        <w:t>、基金管理人及基金托管人各自保留完整的会计账目、凭证并进行日常的会计核算，按照有关规定编制基金会计报表；</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7</w:t>
      </w:r>
      <w:r>
        <w:rPr>
          <w:rFonts w:ascii="宋体" w:hAnsi="Calibri" w:cs="宋体" w:hint="eastAsia"/>
          <w:bCs/>
          <w:szCs w:val="21"/>
          <w:highlight w:val="white"/>
          <w:lang w:eastAsia="zh-CN"/>
        </w:rPr>
        <w:t>、基金托管人每月与基金管理人就基金的会计核算、报表编制等进行核对确认。</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二、基金的年度审计</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1</w:t>
      </w:r>
      <w:r>
        <w:rPr>
          <w:rFonts w:ascii="宋体" w:hAnsi="Calibri" w:cs="宋体" w:hint="eastAsia"/>
          <w:bCs/>
          <w:szCs w:val="21"/>
          <w:highlight w:val="white"/>
          <w:lang w:eastAsia="zh-CN"/>
        </w:rPr>
        <w:t>、基金管理人聘请与基金管理人、基金托管人相互独立的符合《证券法》规定的会计师事务所及其注册会计师对本基金的年度财务报表进行审计。</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2</w:t>
      </w:r>
      <w:r>
        <w:rPr>
          <w:rFonts w:ascii="宋体" w:hAnsi="Calibri" w:cs="宋体" w:hint="eastAsia"/>
          <w:bCs/>
          <w:szCs w:val="21"/>
          <w:highlight w:val="white"/>
          <w:lang w:eastAsia="zh-CN"/>
        </w:rPr>
        <w:t>、会计师事务所更换经办注册会计师，应事先征得基金管</w:t>
      </w:r>
      <w:r>
        <w:rPr>
          <w:rFonts w:ascii="宋体" w:hAnsi="Calibri" w:cs="宋体" w:hint="eastAsia"/>
          <w:bCs/>
          <w:szCs w:val="21"/>
          <w:highlight w:val="white"/>
          <w:lang w:eastAsia="zh-CN"/>
        </w:rPr>
        <w:t>理人同意。</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3</w:t>
      </w:r>
      <w:r>
        <w:rPr>
          <w:rFonts w:ascii="宋体" w:hAnsi="Calibri" w:cs="宋体" w:hint="eastAsia"/>
          <w:bCs/>
          <w:szCs w:val="21"/>
          <w:highlight w:val="white"/>
          <w:lang w:eastAsia="zh-CN"/>
        </w:rPr>
        <w:t>、基金管理人认为有充足理由更换会计师事务所，须通报基金托管人。更换会计师事务所需在</w:t>
      </w:r>
      <w:r>
        <w:rPr>
          <w:rFonts w:ascii="宋体" w:hAnsi="Calibri" w:cs="宋体" w:hint="eastAsia"/>
          <w:bCs/>
          <w:szCs w:val="21"/>
          <w:highlight w:val="white"/>
          <w:lang w:eastAsia="zh-CN"/>
        </w:rPr>
        <w:t>2</w:t>
      </w:r>
      <w:r>
        <w:rPr>
          <w:rFonts w:ascii="宋体" w:hAnsi="Calibri" w:cs="宋体" w:hint="eastAsia"/>
          <w:bCs/>
          <w:szCs w:val="21"/>
          <w:highlight w:val="white"/>
          <w:lang w:eastAsia="zh-CN"/>
        </w:rPr>
        <w:t>日内在规定媒介公告。</w:t>
      </w:r>
    </w:p>
    <w:p w:rsidR="004A090B">
      <w:pPr>
        <w:pStyle w:val="Heading1"/>
        <w:spacing w:before="317" w:after="317" w:line="360" w:lineRule="auto"/>
        <w:ind w:firstLine="420"/>
        <w:rPr>
          <w:rFonts w:ascii="宋体" w:eastAsia="宋体" w:hAnsi="Calibri" w:cs="宋体"/>
          <w:sz w:val="30"/>
          <w:szCs w:val="30"/>
        </w:rPr>
      </w:pPr>
      <w:bookmarkStart w:id="1841" w:name="_Hlt4221115"/>
      <w:bookmarkEnd w:id="1841"/>
      <w:r>
        <w:rPr>
          <w:rFonts w:ascii="宋体" w:eastAsia="宋体" w:hAnsi="Calibri" w:cs="宋体"/>
          <w:sz w:val="21"/>
          <w:szCs w:val="21"/>
          <w:lang w:eastAsia="zh-CN"/>
        </w:rPr>
        <w:br w:type="column"/>
      </w:r>
      <w:bookmarkStart w:id="1842" w:name="_Toc129511540"/>
      <w:r>
        <w:rPr>
          <w:rFonts w:ascii="宋体" w:eastAsia="宋体" w:hAnsi="Calibri" w:cs="宋体"/>
          <w:sz w:val="30"/>
          <w:szCs w:val="30"/>
        </w:rPr>
        <w:t>第</w:t>
      </w:r>
      <w:r>
        <w:rPr>
          <w:rFonts w:ascii="宋体" w:eastAsia="宋体" w:hAnsi="Calibri" w:cs="宋体" w:hint="eastAsia"/>
          <w:sz w:val="30"/>
          <w:szCs w:val="30"/>
        </w:rPr>
        <w:t>十</w:t>
      </w:r>
      <w:bookmarkStart w:id="1843" w:name="_Toc332373569"/>
      <w:r>
        <w:rPr>
          <w:rFonts w:ascii="宋体" w:eastAsia="宋体" w:hAnsi="Calibri" w:cs="宋体"/>
          <w:sz w:val="30"/>
          <w:szCs w:val="30"/>
        </w:rPr>
        <w:t>八</w:t>
      </w:r>
      <w:r>
        <w:rPr>
          <w:rFonts w:ascii="宋体" w:eastAsia="宋体" w:hAnsi="Calibri" w:cs="宋体" w:hint="eastAsia"/>
          <w:sz w:val="30"/>
          <w:szCs w:val="30"/>
        </w:rPr>
        <w:t>部分</w:t>
      </w:r>
      <w:r>
        <w:rPr>
          <w:rFonts w:ascii="宋体" w:eastAsia="宋体" w:hAnsi="Calibri" w:cs="宋体"/>
          <w:sz w:val="30"/>
          <w:szCs w:val="30"/>
        </w:rPr>
        <w:t xml:space="preserve"> </w:t>
      </w:r>
      <w:r>
        <w:rPr>
          <w:rFonts w:ascii="宋体" w:eastAsia="宋体" w:hAnsi="Calibri" w:cs="宋体" w:hint="eastAsia"/>
          <w:sz w:val="30"/>
          <w:szCs w:val="30"/>
        </w:rPr>
        <w:t>基金的信息披露</w:t>
      </w:r>
      <w:bookmarkEnd w:id="1842"/>
      <w:bookmarkEnd w:id="1843"/>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一、本基金的信息披露应符合《基金法》《运作办法》《信息披露办法》《流动性风险管理规定》《基金合同》及其他有关规定。相关法律法规关于信息披露的披露内容、披露方式、披露时间、登载媒介、报备方式等规定发生变化时，本基金从其最新规定。</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二、信息披露义务人</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本基金信息披露义务人包括基金管理人、基金托管人、召集基金份额持有人大会的基金份额持有人等法律、行政法规和中国证监会规定的自然人、法人和非法人组织。</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本基金信息披露义务人以保护基金份额持有人利益为根本出发点，按照法律法规和中国证监会的规定披露基金信息，并保证所披露信息的真实性、准确性、完整性、及时性、简明性和易得性。</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本基金信息披露义务人应当在中国证监会规定时间内，将应予披露的基金信息通过规定媒介披露，并保证基金投资者能够按照《基金合同》约定的时间和方式查阅或者复制公开披露的信息资料。</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三、本基金信息披露义务</w:t>
      </w:r>
      <w:r>
        <w:rPr>
          <w:rFonts w:ascii="宋体" w:hAnsi="Calibri" w:cs="宋体" w:hint="eastAsia"/>
          <w:bCs/>
          <w:szCs w:val="21"/>
          <w:highlight w:val="white"/>
          <w:lang w:eastAsia="zh-CN"/>
        </w:rPr>
        <w:t>人承诺公开披露的基金信息，不得有下列行为：</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1</w:t>
      </w:r>
      <w:r>
        <w:rPr>
          <w:rFonts w:ascii="宋体" w:hAnsi="Calibri" w:cs="宋体" w:hint="eastAsia"/>
          <w:bCs/>
          <w:szCs w:val="21"/>
          <w:highlight w:val="white"/>
          <w:lang w:eastAsia="zh-CN"/>
        </w:rPr>
        <w:t>、虚假记载、误导性陈述或者重大遗漏；</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2</w:t>
      </w:r>
      <w:r>
        <w:rPr>
          <w:rFonts w:ascii="宋体" w:hAnsi="Calibri" w:cs="宋体" w:hint="eastAsia"/>
          <w:bCs/>
          <w:szCs w:val="21"/>
          <w:highlight w:val="white"/>
          <w:lang w:eastAsia="zh-CN"/>
        </w:rPr>
        <w:t>、对证券投资业绩进行预测；</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3</w:t>
      </w:r>
      <w:r>
        <w:rPr>
          <w:rFonts w:ascii="宋体" w:hAnsi="Calibri" w:cs="宋体" w:hint="eastAsia"/>
          <w:bCs/>
          <w:szCs w:val="21"/>
          <w:highlight w:val="white"/>
          <w:lang w:eastAsia="zh-CN"/>
        </w:rPr>
        <w:t>、违规承诺收益或者承担损失；</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4</w:t>
      </w:r>
      <w:r>
        <w:rPr>
          <w:rFonts w:ascii="宋体" w:hAnsi="Calibri" w:cs="宋体" w:hint="eastAsia"/>
          <w:bCs/>
          <w:szCs w:val="21"/>
          <w:highlight w:val="white"/>
          <w:lang w:eastAsia="zh-CN"/>
        </w:rPr>
        <w:t>、诋毁其他基金管理人、基金托管人或者基金销售机构；</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5</w:t>
      </w:r>
      <w:r>
        <w:rPr>
          <w:rFonts w:ascii="宋体" w:hAnsi="Calibri" w:cs="宋体" w:hint="eastAsia"/>
          <w:bCs/>
          <w:szCs w:val="21"/>
          <w:highlight w:val="white"/>
          <w:lang w:eastAsia="zh-CN"/>
        </w:rPr>
        <w:t>、登载任何自然人、法人和非法人组织的祝贺性、恭维性或推荐性的文字；</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6</w:t>
      </w:r>
      <w:r>
        <w:rPr>
          <w:rFonts w:ascii="宋体" w:hAnsi="Calibri" w:cs="宋体" w:hint="eastAsia"/>
          <w:bCs/>
          <w:szCs w:val="21"/>
          <w:highlight w:val="white"/>
          <w:lang w:eastAsia="zh-CN"/>
        </w:rPr>
        <w:t>、中国证监会禁止的其他行为。</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四、本基金公开披露的信息应采用中文文本。如同时采用外文文本的，基金信息披露义务人应保证不同文本的内容一致。不同文本之间发生歧义的，以中文文本为准。</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本基金公开披露的信息采用阿拉伯数字；除特别说明外，货币单位为人民币元。</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五、公开披露的基金信息</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公开披露的基金信息包括：</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（一）基金招募说明书、《基金合同》、基金托管协议、基金产品资料概要</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1</w:t>
      </w:r>
      <w:r>
        <w:rPr>
          <w:rFonts w:ascii="宋体" w:hAnsi="Calibri" w:cs="宋体" w:hint="eastAsia"/>
          <w:bCs/>
          <w:szCs w:val="21"/>
          <w:highlight w:val="white"/>
          <w:lang w:eastAsia="zh-CN"/>
        </w:rPr>
        <w:t>、《基金合同》是界定《基金合同》当事人的各项权利、义务关系，明确基金份额持有人大会召开的规则及具体程序，说明基金产品的特性等涉及基金投资者重大利益的事项的法律文件。</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2</w:t>
      </w:r>
      <w:r>
        <w:rPr>
          <w:rFonts w:ascii="宋体" w:hAnsi="Calibri" w:cs="宋体" w:hint="eastAsia"/>
          <w:bCs/>
          <w:szCs w:val="21"/>
          <w:highlight w:val="white"/>
          <w:lang w:eastAsia="zh-CN"/>
        </w:rPr>
        <w:t>、基金招募说明书应当最大限度地披露影响基金投资者决策的全部事项，说明基金认购、申购和赎回安排、基金投资、基金产品特性、风险揭示、信息披露及基金份额持有人</w:t>
      </w:r>
      <w:r>
        <w:rPr>
          <w:rFonts w:ascii="宋体" w:hAnsi="Calibri" w:cs="宋体" w:hint="eastAsia"/>
          <w:bCs/>
          <w:szCs w:val="21"/>
          <w:highlight w:val="white"/>
          <w:lang w:eastAsia="zh-CN"/>
        </w:rPr>
        <w:t>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3</w:t>
      </w:r>
      <w:r>
        <w:rPr>
          <w:rFonts w:ascii="宋体" w:hAnsi="Calibri" w:cs="宋体" w:hint="eastAsia"/>
          <w:bCs/>
          <w:szCs w:val="21"/>
          <w:highlight w:val="white"/>
          <w:lang w:eastAsia="zh-CN"/>
        </w:rPr>
        <w:t>、基金托管协议是界定基金托管人和基金管理人在基金财产保管及基金运作监督等活动中的权利、义务关系的法律文件。</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4</w:t>
      </w:r>
      <w:r>
        <w:rPr>
          <w:rFonts w:ascii="宋体" w:hAnsi="Calibri" w:cs="宋体" w:hint="eastAsia"/>
          <w:bCs/>
          <w:szCs w:val="21"/>
          <w:highlight w:val="white"/>
          <w:lang w:eastAsia="zh-CN"/>
        </w:rPr>
        <w:t>、基金产品资料概要是基金招募说明书的摘要文件，用于向投资者提供简明的基金概要信息。《基金合同》生效后，基金产品资料概要的信息发生重大变更的，基金管理人应当</w:t>
      </w:r>
      <w:r>
        <w:rPr>
          <w:rFonts w:ascii="宋体" w:hAnsi="Calibri" w:cs="宋体" w:hint="eastAsia"/>
          <w:bCs/>
          <w:szCs w:val="21"/>
          <w:highlight w:val="white"/>
          <w:lang w:eastAsia="zh-CN"/>
        </w:rPr>
        <w:t>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w:t>
      </w:r>
      <w:r>
        <w:rPr>
          <w:rFonts w:ascii="宋体" w:hAnsi="Calibri" w:cs="宋体" w:hint="eastAsia"/>
          <w:bCs/>
          <w:szCs w:val="21"/>
          <w:highlight w:val="white"/>
          <w:lang w:eastAsia="zh-CN"/>
        </w:rPr>
        <w:t>管人应当同时将基金合同、基金托管协议登载在网站上。</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（二）基金份额发售公告</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基金管理人应当就基金份额发售的具体事宜编制基金份额发售公告，并在披露招募说明书的当日登载于规定媒介上。</w:t>
      </w:r>
    </w:p>
    <w:p w:rsidR="004A090B">
      <w:pPr>
        <w:spacing w:line="360" w:lineRule="auto"/>
        <w:ind w:firstLine="420"/>
        <w:rPr>
          <w:rFonts w:ascii="宋体" w:hAnsi="Calibri" w:cs="宋体"/>
          <w:bCs/>
          <w:szCs w:val="21"/>
        </w:rPr>
      </w:pPr>
      <w:r>
        <w:rPr>
          <w:rFonts w:ascii="宋体" w:hAnsi="Calibri" w:cs="宋体" w:hint="eastAsia"/>
          <w:bCs/>
          <w:szCs w:val="21"/>
          <w:highlight w:val="white"/>
        </w:rPr>
        <w:t>（三）《基金合同》生效公告</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基金管理人应当在收到中国证监会确认文件的次日在规定媒介上登载《基金合同》生效公告。</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（四）基金净值信息</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《基金合同》生效后，在开始办理基金份额申购或者赎回前，基金管理人应当至少每周在规定网站披露一次基金份额净值和基金份额累计净值。</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在开始办理基金份额申购或者赎回后，基金管理人应当在不晚于每个开放日的次日，通过规定网站、基金销售机构网站或者营业网点披露开放日的基金份额净值和基金份额累计净值。</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基金管理人应当在不晚于半年度和年度最后一日的次日，在规定网站披露半年度和年度最后一日的基金份额净值和基金份额累计净值。</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（五）基金份额申购、赎回价格</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基金管理人应当在《基金合同》、招募说明书等信息披露文件上载明基金份额申购、赎回价格的计算方式及有关申购、赎回费率，并保证投资者能够在基金销售机构网站或营业网点查阅或者复制前述信息资料。</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（六）基金定期</w:t>
      </w:r>
      <w:r>
        <w:rPr>
          <w:rFonts w:ascii="宋体" w:hAnsi="Calibri" w:cs="宋体" w:hint="eastAsia"/>
          <w:bCs/>
          <w:szCs w:val="21"/>
          <w:highlight w:val="white"/>
          <w:lang w:eastAsia="zh-CN"/>
        </w:rPr>
        <w:t>报告，包括基金年度报告、基金中期报告和基金季度报告</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基金管理人应当在每年结束之日起三个月内，编制完成基金年度报告，将年度报告登载在规定网站上，并将年度报告提示性公告登载在规定报刊上。基金年度报告中的财务会计报告应当经过符合《证券法》规定的会计师事务所审计。</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基金管理人应当在上半年结束之日起两个月内，编制完成基金中期报告，将中期报告登载在规定网站上，并将中期报告提示性公告登载在规定报刊上。</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基金管理人应当在季度结束之日起</w:t>
      </w:r>
      <w:r>
        <w:rPr>
          <w:rFonts w:ascii="宋体" w:hAnsi="Calibri" w:cs="宋体" w:hint="eastAsia"/>
          <w:bCs/>
          <w:szCs w:val="21"/>
          <w:highlight w:val="white"/>
          <w:lang w:eastAsia="zh-CN"/>
        </w:rPr>
        <w:t>15</w:t>
      </w:r>
      <w:r>
        <w:rPr>
          <w:rFonts w:ascii="宋体" w:hAnsi="Calibri" w:cs="宋体" w:hint="eastAsia"/>
          <w:bCs/>
          <w:szCs w:val="21"/>
          <w:highlight w:val="white"/>
          <w:lang w:eastAsia="zh-CN"/>
        </w:rPr>
        <w:t>个工作日内，编制完成基金季度报告，将季度报告登载在规定网站上，并将季度报告提示性公告登</w:t>
      </w:r>
      <w:r>
        <w:rPr>
          <w:rFonts w:ascii="宋体" w:hAnsi="Calibri" w:cs="宋体" w:hint="eastAsia"/>
          <w:bCs/>
          <w:szCs w:val="21"/>
          <w:highlight w:val="white"/>
          <w:lang w:eastAsia="zh-CN"/>
        </w:rPr>
        <w:t>载在规定报刊上。</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《基金合同》生效不足</w:t>
      </w:r>
      <w:r>
        <w:rPr>
          <w:rFonts w:ascii="宋体" w:hAnsi="Calibri" w:cs="宋体" w:hint="eastAsia"/>
          <w:bCs/>
          <w:szCs w:val="21"/>
          <w:highlight w:val="white"/>
          <w:lang w:eastAsia="zh-CN"/>
        </w:rPr>
        <w:t>2</w:t>
      </w:r>
      <w:r>
        <w:rPr>
          <w:rFonts w:ascii="宋体" w:hAnsi="Calibri" w:cs="宋体" w:hint="eastAsia"/>
          <w:bCs/>
          <w:szCs w:val="21"/>
          <w:highlight w:val="white"/>
          <w:lang w:eastAsia="zh-CN"/>
        </w:rPr>
        <w:t>个月的，基金管理人可以不编制当期季度报告、中期报告或者年度报告。</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如报告期内出现单一投资者持有基金份额达到或超过基金总份额</w:t>
      </w:r>
      <w:r>
        <w:rPr>
          <w:rFonts w:ascii="宋体" w:hAnsi="Calibri" w:cs="宋体" w:hint="eastAsia"/>
          <w:bCs/>
          <w:szCs w:val="21"/>
          <w:highlight w:val="white"/>
          <w:lang w:eastAsia="zh-CN"/>
        </w:rPr>
        <w:t>20%</w:t>
      </w:r>
      <w:r>
        <w:rPr>
          <w:rFonts w:ascii="宋体" w:hAnsi="Calibri" w:cs="宋体" w:hint="eastAsia"/>
          <w:bCs/>
          <w:szCs w:val="21"/>
          <w:highlight w:val="white"/>
          <w:lang w:eastAsia="zh-CN"/>
        </w:rPr>
        <w:t>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基金管理人应当在基金年度报告和中期报告中披露基金组合资产情况及其流动性风险分析等。</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（七）临时报告</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本基金发生重大事件，有关信息</w:t>
      </w:r>
      <w:r>
        <w:rPr>
          <w:rFonts w:ascii="宋体" w:hAnsi="Calibri" w:cs="宋体" w:hint="eastAsia"/>
          <w:bCs/>
          <w:szCs w:val="21"/>
          <w:highlight w:val="white"/>
          <w:lang w:eastAsia="zh-CN"/>
        </w:rPr>
        <w:t>披露义务人应当在</w:t>
      </w:r>
      <w:r>
        <w:rPr>
          <w:rFonts w:ascii="宋体" w:hAnsi="Calibri" w:cs="宋体" w:hint="eastAsia"/>
          <w:bCs/>
          <w:szCs w:val="21"/>
          <w:highlight w:val="white"/>
          <w:lang w:eastAsia="zh-CN"/>
        </w:rPr>
        <w:t>2</w:t>
      </w:r>
      <w:r>
        <w:rPr>
          <w:rFonts w:ascii="宋体" w:hAnsi="Calibri" w:cs="宋体" w:hint="eastAsia"/>
          <w:bCs/>
          <w:szCs w:val="21"/>
          <w:highlight w:val="white"/>
          <w:lang w:eastAsia="zh-CN"/>
        </w:rPr>
        <w:t>日内编制临时报告书，并登载在规定报刊和规定网站上。</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前款所称重大事件，是指可能对基金份额持有人权益或者基金份额的价格产生重大影响的下列事件：</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1</w:t>
      </w:r>
      <w:r>
        <w:rPr>
          <w:rFonts w:ascii="宋体" w:hAnsi="Calibri" w:cs="宋体" w:hint="eastAsia"/>
          <w:bCs/>
          <w:szCs w:val="21"/>
          <w:highlight w:val="white"/>
          <w:lang w:eastAsia="zh-CN"/>
        </w:rPr>
        <w:t>、基金份额持有人大会的召开及决定的事项；</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2</w:t>
      </w:r>
      <w:r>
        <w:rPr>
          <w:rFonts w:ascii="宋体" w:hAnsi="Calibri" w:cs="宋体" w:hint="eastAsia"/>
          <w:bCs/>
          <w:szCs w:val="21"/>
          <w:highlight w:val="white"/>
          <w:lang w:eastAsia="zh-CN"/>
        </w:rPr>
        <w:t>、基金合同终止、基金清算；</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3</w:t>
      </w:r>
      <w:r>
        <w:rPr>
          <w:rFonts w:ascii="宋体" w:hAnsi="Calibri" w:cs="宋体" w:hint="eastAsia"/>
          <w:bCs/>
          <w:szCs w:val="21"/>
          <w:highlight w:val="white"/>
          <w:lang w:eastAsia="zh-CN"/>
        </w:rPr>
        <w:t>、转换基金运作方式、基金合并；</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4</w:t>
      </w:r>
      <w:r>
        <w:rPr>
          <w:rFonts w:ascii="宋体" w:hAnsi="Calibri" w:cs="宋体" w:hint="eastAsia"/>
          <w:bCs/>
          <w:szCs w:val="21"/>
          <w:highlight w:val="white"/>
          <w:lang w:eastAsia="zh-CN"/>
        </w:rPr>
        <w:t>、更换基金管理人、基金托管人、基金份额登记机构，基金改聘会计师事务所；</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5</w:t>
      </w:r>
      <w:r>
        <w:rPr>
          <w:rFonts w:ascii="宋体" w:hAnsi="Calibri" w:cs="宋体" w:hint="eastAsia"/>
          <w:bCs/>
          <w:szCs w:val="21"/>
          <w:highlight w:val="white"/>
          <w:lang w:eastAsia="zh-CN"/>
        </w:rPr>
        <w:t>、基金管理人委托基金服务机构代为办理基金的份额登记、核算、估值等事项，基金托管人委托基金服务机构代为办理基金的核算、估值、复核等事项；</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6</w:t>
      </w:r>
      <w:r>
        <w:rPr>
          <w:rFonts w:ascii="宋体" w:hAnsi="Calibri" w:cs="宋体" w:hint="eastAsia"/>
          <w:bCs/>
          <w:szCs w:val="21"/>
          <w:highlight w:val="white"/>
          <w:lang w:eastAsia="zh-CN"/>
        </w:rPr>
        <w:t>、基金管理人、基金托管人的法定名称、住所发生变更；</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7</w:t>
      </w:r>
      <w:r>
        <w:rPr>
          <w:rFonts w:ascii="宋体" w:hAnsi="Calibri" w:cs="宋体" w:hint="eastAsia"/>
          <w:bCs/>
          <w:szCs w:val="21"/>
          <w:highlight w:val="white"/>
          <w:lang w:eastAsia="zh-CN"/>
        </w:rPr>
        <w:t>、基金管理公司变更持有百分之五以上股权的股东、基金管理人的实际控制人变更；</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8</w:t>
      </w:r>
      <w:r>
        <w:rPr>
          <w:rFonts w:ascii="宋体" w:hAnsi="Calibri" w:cs="宋体" w:hint="eastAsia"/>
          <w:bCs/>
          <w:szCs w:val="21"/>
          <w:highlight w:val="white"/>
          <w:lang w:eastAsia="zh-CN"/>
        </w:rPr>
        <w:t>、基金募集期延长或提前结束募集；</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9</w:t>
      </w:r>
      <w:r>
        <w:rPr>
          <w:rFonts w:ascii="宋体" w:hAnsi="Calibri" w:cs="宋体" w:hint="eastAsia"/>
          <w:bCs/>
          <w:szCs w:val="21"/>
          <w:highlight w:val="white"/>
          <w:lang w:eastAsia="zh-CN"/>
        </w:rPr>
        <w:t>、基金管理人的高级管理人员、基金经理和基金托管人专门基金托管部门负责人发生变动；</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10</w:t>
      </w:r>
      <w:r>
        <w:rPr>
          <w:rFonts w:ascii="宋体" w:hAnsi="Calibri" w:cs="宋体" w:hint="eastAsia"/>
          <w:bCs/>
          <w:szCs w:val="21"/>
          <w:highlight w:val="white"/>
          <w:lang w:eastAsia="zh-CN"/>
        </w:rPr>
        <w:t>、基金管理人的董事在最近</w:t>
      </w:r>
      <w:r>
        <w:rPr>
          <w:rFonts w:ascii="宋体" w:hAnsi="Calibri" w:cs="宋体" w:hint="eastAsia"/>
          <w:bCs/>
          <w:szCs w:val="21"/>
          <w:highlight w:val="white"/>
          <w:lang w:eastAsia="zh-CN"/>
        </w:rPr>
        <w:t>12</w:t>
      </w:r>
      <w:r>
        <w:rPr>
          <w:rFonts w:ascii="宋体" w:hAnsi="Calibri" w:cs="宋体" w:hint="eastAsia"/>
          <w:bCs/>
          <w:szCs w:val="21"/>
          <w:highlight w:val="white"/>
          <w:lang w:eastAsia="zh-CN"/>
        </w:rPr>
        <w:t>个月内变更超过百分之五十，基金管理人、基金托管人专门基金托管部门的主要业务人员在最近</w:t>
      </w:r>
      <w:r>
        <w:rPr>
          <w:rFonts w:ascii="宋体" w:hAnsi="Calibri" w:cs="宋体" w:hint="eastAsia"/>
          <w:bCs/>
          <w:szCs w:val="21"/>
          <w:highlight w:val="white"/>
          <w:lang w:eastAsia="zh-CN"/>
        </w:rPr>
        <w:t>12</w:t>
      </w:r>
      <w:r>
        <w:rPr>
          <w:rFonts w:ascii="宋体" w:hAnsi="Calibri" w:cs="宋体" w:hint="eastAsia"/>
          <w:bCs/>
          <w:szCs w:val="21"/>
          <w:highlight w:val="white"/>
          <w:lang w:eastAsia="zh-CN"/>
        </w:rPr>
        <w:t>个月内变动超过百分之三十；</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11</w:t>
      </w:r>
      <w:r>
        <w:rPr>
          <w:rFonts w:ascii="宋体" w:hAnsi="Calibri" w:cs="宋体" w:hint="eastAsia"/>
          <w:bCs/>
          <w:szCs w:val="21"/>
          <w:highlight w:val="white"/>
          <w:lang w:eastAsia="zh-CN"/>
        </w:rPr>
        <w:t>、涉及基金财产、基金管理业务、基金托管业务的诉讼或仲裁；</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12</w:t>
      </w:r>
      <w:r>
        <w:rPr>
          <w:rFonts w:ascii="宋体" w:hAnsi="Calibri" w:cs="宋体" w:hint="eastAsia"/>
          <w:bCs/>
          <w:szCs w:val="21"/>
          <w:highlight w:val="white"/>
          <w:lang w:eastAsia="zh-CN"/>
        </w:rPr>
        <w:t>、基金管理人或其高级管理人员、基金经理因基金管</w:t>
      </w:r>
      <w:r>
        <w:rPr>
          <w:rFonts w:ascii="宋体" w:hAnsi="Calibri" w:cs="宋体" w:hint="eastAsia"/>
          <w:bCs/>
          <w:szCs w:val="21"/>
          <w:highlight w:val="white"/>
          <w:lang w:eastAsia="zh-CN"/>
        </w:rPr>
        <w:t>理业务相关行为受到重大行政处罚、刑事处罚，基金托管人或其专门基金托管部门负责人因基金托管业务相关行为受到重大行政处罚、刑事处罚；</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13</w:t>
      </w:r>
      <w:r>
        <w:rPr>
          <w:rFonts w:ascii="宋体" w:hAnsi="Calibri" w:cs="宋体" w:hint="eastAsia"/>
          <w:bCs/>
          <w:szCs w:val="21"/>
          <w:highlight w:val="white"/>
          <w:lang w:eastAsia="zh-CN"/>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14</w:t>
      </w:r>
      <w:r>
        <w:rPr>
          <w:rFonts w:ascii="宋体" w:hAnsi="Calibri" w:cs="宋体" w:hint="eastAsia"/>
          <w:bCs/>
          <w:szCs w:val="21"/>
          <w:highlight w:val="white"/>
          <w:lang w:eastAsia="zh-CN"/>
        </w:rPr>
        <w:t>、基金收益分配事项；</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15</w:t>
      </w:r>
      <w:r>
        <w:rPr>
          <w:rFonts w:ascii="宋体" w:hAnsi="Calibri" w:cs="宋体" w:hint="eastAsia"/>
          <w:bCs/>
          <w:szCs w:val="21"/>
          <w:highlight w:val="white"/>
          <w:lang w:eastAsia="zh-CN"/>
        </w:rPr>
        <w:t>、管理费、托管费、销售服务费、申购费、赎回费等费用计提标准、计提方式和费率发生变更；</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16</w:t>
      </w:r>
      <w:r>
        <w:rPr>
          <w:rFonts w:ascii="宋体" w:hAnsi="Calibri" w:cs="宋体" w:hint="eastAsia"/>
          <w:bCs/>
          <w:szCs w:val="21"/>
          <w:highlight w:val="white"/>
          <w:lang w:eastAsia="zh-CN"/>
        </w:rPr>
        <w:t>、基金份额净值计价错误达基金份额净值百分之零点五；</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17</w:t>
      </w:r>
      <w:r>
        <w:rPr>
          <w:rFonts w:ascii="宋体" w:hAnsi="Calibri" w:cs="宋体" w:hint="eastAsia"/>
          <w:bCs/>
          <w:szCs w:val="21"/>
          <w:highlight w:val="white"/>
          <w:lang w:eastAsia="zh-CN"/>
        </w:rPr>
        <w:t>、本基金开始办理申购、赎回；</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18</w:t>
      </w:r>
      <w:r>
        <w:rPr>
          <w:rFonts w:ascii="宋体" w:hAnsi="Calibri" w:cs="宋体" w:hint="eastAsia"/>
          <w:bCs/>
          <w:szCs w:val="21"/>
          <w:highlight w:val="white"/>
          <w:lang w:eastAsia="zh-CN"/>
        </w:rPr>
        <w:t>、本基金发生巨额赎回并延期办理；</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19</w:t>
      </w:r>
      <w:r>
        <w:rPr>
          <w:rFonts w:ascii="宋体" w:hAnsi="Calibri" w:cs="宋体" w:hint="eastAsia"/>
          <w:bCs/>
          <w:szCs w:val="21"/>
          <w:highlight w:val="white"/>
          <w:lang w:eastAsia="zh-CN"/>
        </w:rPr>
        <w:t>、本基金连续发生巨额赎回并暂停接受赎回申请或延缓支付赎回款项；</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20</w:t>
      </w:r>
      <w:r>
        <w:rPr>
          <w:rFonts w:ascii="宋体" w:hAnsi="Calibri" w:cs="宋体" w:hint="eastAsia"/>
          <w:bCs/>
          <w:szCs w:val="21"/>
          <w:highlight w:val="white"/>
          <w:lang w:eastAsia="zh-CN"/>
        </w:rPr>
        <w:t>、本基金暂停接受申购、赎回申请或重新接受申购、赎回申请；</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21</w:t>
      </w:r>
      <w:r>
        <w:rPr>
          <w:rFonts w:ascii="宋体" w:hAnsi="Calibri" w:cs="宋体" w:hint="eastAsia"/>
          <w:bCs/>
          <w:szCs w:val="21"/>
          <w:highlight w:val="white"/>
          <w:lang w:eastAsia="zh-CN"/>
        </w:rPr>
        <w:t>、调整基金份额类别的设置；</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22</w:t>
      </w:r>
      <w:r>
        <w:rPr>
          <w:rFonts w:ascii="宋体" w:hAnsi="Calibri" w:cs="宋体" w:hint="eastAsia"/>
          <w:bCs/>
          <w:szCs w:val="21"/>
          <w:highlight w:val="white"/>
          <w:lang w:eastAsia="zh-CN"/>
        </w:rPr>
        <w:t>、基金推出新业务或服务；</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23</w:t>
      </w:r>
      <w:r>
        <w:rPr>
          <w:rFonts w:ascii="宋体" w:hAnsi="Calibri" w:cs="宋体" w:hint="eastAsia"/>
          <w:bCs/>
          <w:szCs w:val="21"/>
          <w:highlight w:val="white"/>
          <w:lang w:eastAsia="zh-CN"/>
        </w:rPr>
        <w:t>、发生涉及基金申购、赎回事项调整或潜在影响投资者赎回等重大事项时；</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24</w:t>
      </w:r>
      <w:r>
        <w:rPr>
          <w:rFonts w:ascii="宋体" w:hAnsi="Calibri" w:cs="宋体" w:hint="eastAsia"/>
          <w:bCs/>
          <w:szCs w:val="21"/>
          <w:highlight w:val="white"/>
          <w:lang w:eastAsia="zh-CN"/>
        </w:rPr>
        <w:t>、基金管理人采用摆动定价机制进行估值；</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25</w:t>
      </w:r>
      <w:r>
        <w:rPr>
          <w:rFonts w:ascii="宋体" w:hAnsi="Calibri" w:cs="宋体" w:hint="eastAsia"/>
          <w:bCs/>
          <w:szCs w:val="21"/>
          <w:highlight w:val="white"/>
          <w:lang w:eastAsia="zh-CN"/>
        </w:rPr>
        <w:t>、目标</w:t>
      </w:r>
      <w:r>
        <w:rPr>
          <w:rFonts w:ascii="宋体" w:hAnsi="Calibri" w:cs="宋体" w:hint="eastAsia"/>
          <w:bCs/>
          <w:szCs w:val="21"/>
          <w:highlight w:val="white"/>
          <w:lang w:eastAsia="zh-CN"/>
        </w:rPr>
        <w:t>ETF</w:t>
      </w:r>
      <w:r>
        <w:rPr>
          <w:rFonts w:ascii="宋体" w:hAnsi="Calibri" w:cs="宋体" w:hint="eastAsia"/>
          <w:bCs/>
          <w:szCs w:val="21"/>
          <w:highlight w:val="white"/>
          <w:lang w:eastAsia="zh-CN"/>
        </w:rPr>
        <w:t>变更；</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26</w:t>
      </w:r>
      <w:r>
        <w:rPr>
          <w:rFonts w:ascii="宋体" w:hAnsi="Calibri" w:cs="宋体" w:hint="eastAsia"/>
          <w:bCs/>
          <w:szCs w:val="21"/>
          <w:highlight w:val="white"/>
          <w:lang w:eastAsia="zh-CN"/>
        </w:rPr>
        <w:t>、基金信息披露义务人认为可能对基金份额持有人权益或者基金份额的价格产生重大影响的其他事项或中国证监会规定</w:t>
      </w:r>
      <w:r>
        <w:rPr>
          <w:rFonts w:ascii="宋体" w:hAnsi="Calibri" w:cs="宋体" w:hint="eastAsia"/>
          <w:bCs/>
          <w:szCs w:val="21"/>
          <w:highlight w:val="white"/>
          <w:lang w:eastAsia="zh-CN"/>
        </w:rPr>
        <w:t>的其他事项。</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（八）澄清公告</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（九）清算报告</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基金合同终止的，基金管理人应当依法组织基金财产清算小组对基金财产进行清算并作出清算报告。基金财产清算小组应当将清算报告登载在规定网站上，并将清算报告提示性公告登载在规定报刊上。</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（十）基金份额持有人大会决议</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基金份额持有人大会决定的事项，应当依法报中国证监会备案，并</w:t>
      </w:r>
      <w:r>
        <w:rPr>
          <w:rFonts w:ascii="宋体" w:hAnsi="Calibri" w:cs="宋体" w:hint="eastAsia"/>
          <w:bCs/>
          <w:szCs w:val="21"/>
          <w:highlight w:val="white"/>
          <w:lang w:eastAsia="zh-CN"/>
        </w:rPr>
        <w:t>予以公告。</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（十一）实施侧袋机制期间的信息披露</w:t>
      </w:r>
    </w:p>
    <w:p w:rsidR="004A090B">
      <w:pPr>
        <w:spacing w:line="360" w:lineRule="auto"/>
        <w:ind w:firstLine="420"/>
        <w:rPr>
          <w:rFonts w:ascii="宋体" w:hAnsi="Calibri" w:cs="宋体"/>
          <w:bCs/>
          <w:szCs w:val="21"/>
          <w:lang w:eastAsia="zh-CN"/>
        </w:rPr>
      </w:pPr>
      <w:r>
        <w:rPr>
          <w:rFonts w:ascii="宋体" w:hAnsi="Calibri" w:cs="宋体" w:hint="eastAsia"/>
          <w:bCs/>
          <w:szCs w:val="21"/>
          <w:highlight w:val="white"/>
          <w:lang w:eastAsia="zh-CN"/>
        </w:rPr>
        <w:t>本基金实施侧袋机制的，相关信息披露义务人应当根据法律法规、基金合同和招募说明书的规定进行信息披露</w:t>
      </w:r>
      <w:r>
        <w:rPr>
          <w:rFonts w:ascii="宋体" w:hAnsi="Calibri" w:cs="宋体" w:hint="eastAsia"/>
          <w:bCs/>
          <w:szCs w:val="21"/>
          <w:lang w:eastAsia="zh-CN"/>
        </w:rPr>
        <w:t>，详见本招募说明书“侧袋机制”部分的规定。</w:t>
      </w:r>
    </w:p>
    <w:p w:rsidR="004A090B">
      <w:pPr>
        <w:spacing w:line="360" w:lineRule="auto"/>
        <w:ind w:firstLine="420"/>
        <w:rPr>
          <w:rFonts w:ascii="宋体" w:hAnsi="Calibri" w:cs="宋体"/>
          <w:szCs w:val="21"/>
          <w:lang w:eastAsia="zh-CN"/>
        </w:rPr>
      </w:pPr>
      <w:r>
        <w:rPr>
          <w:rFonts w:ascii="宋体" w:hAnsi="Calibri" w:cs="宋体" w:hint="eastAsia"/>
          <w:bCs/>
          <w:szCs w:val="21"/>
          <w:highlight w:val="white"/>
          <w:lang w:eastAsia="zh-CN"/>
        </w:rPr>
        <w:t>（十二）中国证监会规定的其他信息</w:t>
      </w:r>
    </w:p>
    <w:p w:rsidR="004A090B">
      <w:pPr>
        <w:spacing w:line="360" w:lineRule="auto"/>
        <w:ind w:firstLine="420"/>
        <w:rPr>
          <w:rFonts w:ascii="宋体" w:hAnsi="Calibri" w:cs="宋体"/>
          <w:szCs w:val="21"/>
          <w:lang w:eastAsia="zh-CN"/>
        </w:rPr>
      </w:pPr>
      <w:r>
        <w:rPr>
          <w:rFonts w:ascii="宋体" w:hAnsi="Calibri" w:cs="宋体" w:hint="eastAsia"/>
          <w:bCs/>
          <w:szCs w:val="21"/>
          <w:highlight w:val="white"/>
          <w:lang w:eastAsia="zh-CN"/>
        </w:rPr>
        <w:t>若本基金投资股指期货、国债期货、资产支持证券、股票期权，参与融资及转融通证券出借业务，基金管理人将按相关法律法规要求进行披露。</w:t>
      </w:r>
    </w:p>
    <w:p w:rsidR="004A090B">
      <w:pPr>
        <w:spacing w:line="360" w:lineRule="auto"/>
        <w:ind w:firstLine="420"/>
        <w:rPr>
          <w:rFonts w:ascii="宋体" w:hAnsi="Calibri" w:cs="宋体"/>
          <w:szCs w:val="21"/>
          <w:lang w:eastAsia="zh-CN"/>
        </w:rPr>
      </w:pPr>
      <w:r>
        <w:rPr>
          <w:rFonts w:ascii="宋体" w:hAnsi="Calibri" w:cs="宋体" w:hint="eastAsia"/>
          <w:bCs/>
          <w:szCs w:val="21"/>
          <w:highlight w:val="white"/>
          <w:lang w:eastAsia="zh-CN"/>
        </w:rPr>
        <w:t>当相关法律法规关于上述信息披露的规定发生变化时，基金管理人将按最新规定进行信息披露。</w:t>
      </w:r>
    </w:p>
    <w:p w:rsidR="004A090B">
      <w:pPr>
        <w:spacing w:line="360" w:lineRule="auto"/>
        <w:ind w:firstLine="420"/>
        <w:rPr>
          <w:rFonts w:ascii="宋体" w:hAnsi="Calibri" w:cs="宋体"/>
          <w:szCs w:val="21"/>
          <w:lang w:eastAsia="zh-CN"/>
        </w:rPr>
      </w:pPr>
      <w:r>
        <w:rPr>
          <w:rFonts w:ascii="宋体" w:hAnsi="Calibri" w:cs="宋体" w:hint="eastAsia"/>
          <w:bCs/>
          <w:szCs w:val="21"/>
          <w:highlight w:val="white"/>
          <w:lang w:eastAsia="zh-CN"/>
        </w:rPr>
        <w:t>六、信息披露事务管理</w:t>
      </w:r>
    </w:p>
    <w:p w:rsidR="004A090B">
      <w:pPr>
        <w:spacing w:line="360" w:lineRule="auto"/>
        <w:ind w:firstLine="420"/>
        <w:rPr>
          <w:rFonts w:ascii="宋体" w:hAnsi="Calibri" w:cs="宋体"/>
          <w:szCs w:val="21"/>
          <w:lang w:eastAsia="zh-CN"/>
        </w:rPr>
      </w:pPr>
      <w:r>
        <w:rPr>
          <w:rFonts w:ascii="宋体" w:hAnsi="Calibri" w:cs="宋体" w:hint="eastAsia"/>
          <w:bCs/>
          <w:szCs w:val="21"/>
          <w:highlight w:val="white"/>
          <w:lang w:eastAsia="zh-CN"/>
        </w:rPr>
        <w:t>基金管理人、基金托管人应当建立健全信息披露管理制度，指</w:t>
      </w:r>
      <w:r>
        <w:rPr>
          <w:rFonts w:ascii="宋体" w:hAnsi="Calibri" w:cs="宋体" w:hint="eastAsia"/>
          <w:bCs/>
          <w:szCs w:val="21"/>
          <w:highlight w:val="white"/>
          <w:lang w:eastAsia="zh-CN"/>
        </w:rPr>
        <w:t>定专门部门及高级管理人员负责管理信息披露事务。</w:t>
      </w:r>
    </w:p>
    <w:p w:rsidR="004A090B">
      <w:pPr>
        <w:spacing w:line="360" w:lineRule="auto"/>
        <w:ind w:firstLine="420"/>
        <w:rPr>
          <w:rFonts w:ascii="宋体" w:hAnsi="Calibri" w:cs="宋体"/>
          <w:szCs w:val="21"/>
          <w:lang w:eastAsia="zh-CN"/>
        </w:rPr>
      </w:pPr>
      <w:r>
        <w:rPr>
          <w:rFonts w:ascii="宋体" w:hAnsi="Calibri" w:cs="宋体" w:hint="eastAsia"/>
          <w:bCs/>
          <w:szCs w:val="21"/>
          <w:highlight w:val="white"/>
          <w:lang w:eastAsia="zh-CN"/>
        </w:rPr>
        <w:t>基金信息披露义务人公开披露基金信息，应当符合中国证监会相关基金信息披露内容与格式准则等法规的规定。</w:t>
      </w:r>
    </w:p>
    <w:p w:rsidR="004A090B">
      <w:pPr>
        <w:spacing w:line="360" w:lineRule="auto"/>
        <w:ind w:firstLine="420"/>
        <w:rPr>
          <w:rFonts w:ascii="宋体" w:hAnsi="Calibri" w:cs="宋体"/>
          <w:szCs w:val="21"/>
          <w:lang w:eastAsia="zh-CN"/>
        </w:rPr>
      </w:pPr>
      <w:r>
        <w:rPr>
          <w:rFonts w:ascii="宋体" w:hAnsi="Calibri" w:cs="宋体" w:hint="eastAsia"/>
          <w:bCs/>
          <w:szCs w:val="21"/>
          <w:highlight w:val="white"/>
          <w:lang w:eastAsia="zh-CN"/>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公开披露的相关基金信息进行复核、审查，并向基金管理人进行书面或电子确认。</w:t>
      </w:r>
    </w:p>
    <w:p w:rsidR="004A090B">
      <w:pPr>
        <w:spacing w:line="360" w:lineRule="auto"/>
        <w:ind w:firstLine="420"/>
        <w:rPr>
          <w:rFonts w:ascii="宋体" w:hAnsi="Calibri" w:cs="宋体"/>
          <w:szCs w:val="21"/>
          <w:lang w:eastAsia="zh-CN"/>
        </w:rPr>
      </w:pPr>
      <w:r>
        <w:rPr>
          <w:rFonts w:ascii="宋体" w:hAnsi="Calibri" w:cs="宋体" w:hint="eastAsia"/>
          <w:bCs/>
          <w:szCs w:val="21"/>
          <w:highlight w:val="white"/>
          <w:lang w:eastAsia="zh-CN"/>
        </w:rPr>
        <w:t>基金管理人、基金托管人应当在规定报刊中选择一家报刊披露本基金信息。基金管理人、基金托管人应当向中国证监会基金电子披露网站报送拟披露的基金信息，并保证相关报送信息的真实、准确、完整、及时。</w:t>
      </w:r>
    </w:p>
    <w:p w:rsidR="004A090B">
      <w:pPr>
        <w:spacing w:line="360" w:lineRule="auto"/>
        <w:ind w:firstLine="420"/>
        <w:rPr>
          <w:rFonts w:ascii="宋体" w:hAnsi="Calibri" w:cs="宋体"/>
          <w:szCs w:val="21"/>
          <w:lang w:eastAsia="zh-CN"/>
        </w:rPr>
      </w:pPr>
      <w:r>
        <w:rPr>
          <w:rFonts w:ascii="宋体" w:hAnsi="Calibri" w:cs="宋体" w:hint="eastAsia"/>
          <w:bCs/>
          <w:szCs w:val="21"/>
          <w:highlight w:val="white"/>
          <w:lang w:eastAsia="zh-CN"/>
        </w:rPr>
        <w:t>基金管理人、基金托管人除依法在规定媒介上披露信息外，还可以根据需要在其他公共媒介披露信息，但是其他公共媒介不得早于规定媒介披露信息，并且在不同媒介上披露同一信息的内容应当一致。</w:t>
      </w:r>
    </w:p>
    <w:p w:rsidR="004A090B">
      <w:pPr>
        <w:spacing w:line="360" w:lineRule="auto"/>
        <w:ind w:firstLine="420"/>
        <w:rPr>
          <w:rFonts w:ascii="宋体" w:hAnsi="Calibri" w:cs="宋体"/>
          <w:szCs w:val="21"/>
          <w:lang w:eastAsia="zh-CN"/>
        </w:rPr>
      </w:pPr>
      <w:r>
        <w:rPr>
          <w:rFonts w:ascii="宋体" w:hAnsi="Calibri" w:cs="宋体" w:hint="eastAsia"/>
          <w:bCs/>
          <w:szCs w:val="21"/>
          <w:highlight w:val="white"/>
          <w:lang w:eastAsia="zh-CN"/>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rsidR="004A090B">
      <w:pPr>
        <w:spacing w:line="360" w:lineRule="auto"/>
        <w:ind w:firstLine="420"/>
        <w:rPr>
          <w:rFonts w:ascii="宋体" w:hAnsi="Calibri" w:cs="宋体"/>
          <w:szCs w:val="21"/>
          <w:lang w:eastAsia="zh-CN"/>
        </w:rPr>
      </w:pPr>
      <w:r>
        <w:rPr>
          <w:rFonts w:ascii="宋体" w:hAnsi="Calibri" w:cs="宋体" w:hint="eastAsia"/>
          <w:bCs/>
          <w:szCs w:val="21"/>
          <w:highlight w:val="white"/>
          <w:lang w:eastAsia="zh-CN"/>
        </w:rPr>
        <w:t>七、信息披露文件的存放与查阅</w:t>
      </w:r>
    </w:p>
    <w:p w:rsidR="004A090B">
      <w:pPr>
        <w:spacing w:line="360" w:lineRule="auto"/>
        <w:ind w:firstLine="420"/>
        <w:rPr>
          <w:rFonts w:ascii="宋体" w:hAnsi="Calibri" w:cs="宋体"/>
          <w:szCs w:val="21"/>
          <w:lang w:eastAsia="zh-CN"/>
        </w:rPr>
      </w:pPr>
      <w:r>
        <w:rPr>
          <w:rFonts w:ascii="宋体" w:hAnsi="Calibri" w:cs="宋体" w:hint="eastAsia"/>
          <w:bCs/>
          <w:szCs w:val="21"/>
          <w:highlight w:val="white"/>
          <w:lang w:eastAsia="zh-CN"/>
        </w:rPr>
        <w:t>依法必须披露的信息发布后，基金管理人、基金托管人应当按照相关法律法规规定将信息置备于公司办公场所，供社会公众查阅、复制。</w:t>
      </w:r>
    </w:p>
    <w:p w:rsidR="004A090B">
      <w:pPr>
        <w:widowControl/>
        <w:jc w:val="left"/>
        <w:rPr>
          <w:rFonts w:ascii="宋体" w:hAnsi="Calibri" w:cs="宋体"/>
          <w:sz w:val="30"/>
          <w:szCs w:val="32"/>
          <w:lang w:eastAsia="zh-CN"/>
        </w:rPr>
      </w:pPr>
      <w:bookmarkStart w:id="1844" w:name="_Toc46676683"/>
      <w:bookmarkStart w:id="1845" w:name="_Toc46737675"/>
      <w:r>
        <w:rPr>
          <w:rFonts w:ascii="宋体" w:hAnsi="Calibri" w:cs="宋体"/>
          <w:sz w:val="30"/>
          <w:lang w:eastAsia="zh-CN"/>
        </w:rPr>
        <w:br w:type="page"/>
      </w:r>
    </w:p>
    <w:p w:rsidR="004A090B">
      <w:pPr>
        <w:pStyle w:val="Heading1"/>
        <w:spacing w:before="317" w:after="317" w:line="360" w:lineRule="auto"/>
        <w:ind w:firstLine="600"/>
        <w:rPr>
          <w:rFonts w:ascii="宋体" w:eastAsia="宋体" w:hAnsi="Calibri" w:cs="宋体"/>
          <w:sz w:val="30"/>
          <w:szCs w:val="30"/>
          <w:lang w:eastAsia="zh-CN"/>
        </w:rPr>
      </w:pPr>
      <w:bookmarkStart w:id="1846" w:name="_Toc129511541"/>
      <w:r>
        <w:rPr>
          <w:rFonts w:ascii="宋体" w:eastAsia="宋体" w:hAnsi="Calibri" w:cs="宋体" w:hint="eastAsia"/>
          <w:sz w:val="30"/>
          <w:szCs w:val="30"/>
          <w:lang w:eastAsia="zh-CN"/>
        </w:rPr>
        <w:t>第十</w:t>
      </w:r>
      <w:r>
        <w:rPr>
          <w:rFonts w:ascii="宋体" w:eastAsia="宋体" w:hAnsi="Calibri" w:cs="宋体"/>
          <w:sz w:val="30"/>
          <w:szCs w:val="30"/>
          <w:lang w:eastAsia="zh-CN"/>
        </w:rPr>
        <w:t>九</w:t>
      </w:r>
      <w:r>
        <w:rPr>
          <w:rFonts w:ascii="宋体" w:eastAsia="宋体" w:hAnsi="Calibri" w:cs="宋体" w:hint="eastAsia"/>
          <w:sz w:val="30"/>
          <w:szCs w:val="30"/>
          <w:lang w:eastAsia="zh-CN"/>
        </w:rPr>
        <w:t>部分</w:t>
      </w:r>
      <w:r>
        <w:rPr>
          <w:rFonts w:ascii="宋体" w:eastAsia="宋体" w:hAnsi="Calibri" w:cs="宋体"/>
          <w:sz w:val="30"/>
          <w:szCs w:val="30"/>
          <w:lang w:eastAsia="zh-CN"/>
        </w:rPr>
        <w:t xml:space="preserve"> </w:t>
      </w:r>
      <w:r>
        <w:rPr>
          <w:rFonts w:ascii="宋体" w:eastAsia="宋体" w:hAnsi="Calibri" w:cs="宋体" w:hint="eastAsia"/>
          <w:sz w:val="30"/>
          <w:szCs w:val="30"/>
          <w:lang w:eastAsia="zh-CN"/>
        </w:rPr>
        <w:t>侧袋机制</w:t>
      </w:r>
      <w:bookmarkEnd w:id="1844"/>
      <w:bookmarkEnd w:id="1845"/>
      <w:bookmarkEnd w:id="1846"/>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一、侧袋机制的实施条件和程序</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当基金</w:t>
      </w:r>
      <w:r>
        <w:rPr>
          <w:rFonts w:ascii="宋体" w:hAnsi="Calibri" w:cs="宋体" w:hint="eastAsia"/>
          <w:bCs/>
          <w:szCs w:val="21"/>
          <w:lang w:eastAsia="zh-CN"/>
        </w:rPr>
        <w:t>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基金管理人应当在启用侧袋机制后及时发布临时公告，并及时聘请符合《证券法》规定的会计师事务所进行审计并披露专项审计意见。</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二、实施侧袋机制期间基金份额的申购与赎回</w:t>
      </w:r>
    </w:p>
    <w:p w:rsidR="004A090B">
      <w:pPr>
        <w:spacing w:line="360" w:lineRule="auto"/>
        <w:ind w:firstLine="420"/>
        <w:rPr>
          <w:rFonts w:ascii="宋体" w:hAnsi="Calibri" w:cs="宋体"/>
          <w:bCs/>
          <w:szCs w:val="21"/>
          <w:lang w:eastAsia="zh-CN"/>
        </w:rPr>
      </w:pPr>
      <w:r>
        <w:rPr>
          <w:rFonts w:ascii="宋体" w:hAnsi="Calibri" w:cs="宋体"/>
          <w:bCs/>
          <w:szCs w:val="21"/>
          <w:lang w:eastAsia="zh-CN"/>
        </w:rPr>
        <w:t>1</w:t>
      </w:r>
      <w:r>
        <w:rPr>
          <w:rFonts w:ascii="宋体" w:hAnsi="Calibri" w:cs="宋体" w:hint="eastAsia"/>
          <w:bCs/>
          <w:szCs w:val="21"/>
          <w:lang w:eastAsia="zh-CN"/>
        </w:rPr>
        <w:t>、启用侧袋机制当日，本基金登记机构以基金份额持有人的原有账户份额为基础，确认基金份额持有人的相应侧袋账户份额；当日收到的申购申请，按照启用侧袋机制后的主袋账户</w:t>
      </w:r>
      <w:r>
        <w:rPr>
          <w:rFonts w:ascii="宋体" w:hAnsi="Calibri" w:cs="宋体" w:hint="eastAsia"/>
          <w:bCs/>
          <w:szCs w:val="21"/>
          <w:lang w:eastAsia="zh-CN"/>
        </w:rPr>
        <w:t>份额办理；当日收到的赎回申请，仅办理主袋账户份额的赎回申请并支付赎回款项。</w:t>
      </w:r>
    </w:p>
    <w:p w:rsidR="004A090B">
      <w:pPr>
        <w:spacing w:line="360" w:lineRule="auto"/>
        <w:ind w:firstLine="420"/>
        <w:rPr>
          <w:rFonts w:ascii="宋体" w:hAnsi="Calibri" w:cs="宋体"/>
          <w:bCs/>
          <w:szCs w:val="21"/>
          <w:lang w:eastAsia="zh-CN"/>
        </w:rPr>
      </w:pPr>
      <w:r>
        <w:rPr>
          <w:rFonts w:ascii="宋体" w:hAnsi="Calibri" w:cs="宋体"/>
          <w:bCs/>
          <w:szCs w:val="21"/>
          <w:lang w:eastAsia="zh-CN"/>
        </w:rPr>
        <w:t>2</w:t>
      </w:r>
      <w:r>
        <w:rPr>
          <w:rFonts w:ascii="宋体" w:hAnsi="Calibri" w:cs="宋体" w:hint="eastAsia"/>
          <w:bCs/>
          <w:szCs w:val="21"/>
          <w:lang w:eastAsia="zh-CN"/>
        </w:rPr>
        <w:t>、实施侧袋机制期间，基金管理人不办理侧袋账户份额的申购、赎回和转换；同时，基金管理人按照基金合同和招募说明书约定的政策办理主袋账户份额的赎回，并根据主袋账户运作情况确定是否暂停申购。本招募说明书“基金份额的申购、赎回”部分的申购、赎回规定适用于主袋账户份额。</w:t>
      </w:r>
    </w:p>
    <w:p w:rsidR="004A090B">
      <w:pPr>
        <w:spacing w:line="360" w:lineRule="auto"/>
        <w:ind w:firstLine="420"/>
        <w:rPr>
          <w:rFonts w:ascii="宋体" w:hAnsi="Calibri" w:cs="宋体"/>
          <w:bCs/>
          <w:szCs w:val="21"/>
          <w:lang w:eastAsia="zh-CN"/>
        </w:rPr>
      </w:pPr>
      <w:r>
        <w:rPr>
          <w:rFonts w:ascii="宋体" w:hAnsi="Calibri" w:cs="宋体"/>
          <w:bCs/>
          <w:szCs w:val="21"/>
          <w:lang w:eastAsia="zh-CN"/>
        </w:rPr>
        <w:t>3</w:t>
      </w:r>
      <w:r>
        <w:rPr>
          <w:rFonts w:ascii="宋体" w:hAnsi="Calibri" w:cs="宋体" w:hint="eastAsia"/>
          <w:bCs/>
          <w:szCs w:val="21"/>
          <w:lang w:eastAsia="zh-CN"/>
        </w:rPr>
        <w:t>、基金管理人应按照主袋账户的份额净值办理主袋账户份额的申购和赎回。巨额赎回按照单个开放日内主袋账户份额净赎回申请超过前一开放日主袋账户总份额的</w:t>
      </w:r>
      <w:r>
        <w:rPr>
          <w:rFonts w:ascii="宋体" w:hAnsi="Calibri" w:cs="宋体"/>
          <w:bCs/>
          <w:szCs w:val="21"/>
          <w:lang w:eastAsia="zh-CN"/>
        </w:rPr>
        <w:t>10%</w:t>
      </w:r>
      <w:r>
        <w:rPr>
          <w:rFonts w:ascii="宋体" w:hAnsi="Calibri" w:cs="宋体" w:hint="eastAsia"/>
          <w:bCs/>
          <w:szCs w:val="21"/>
          <w:lang w:eastAsia="zh-CN"/>
        </w:rPr>
        <w:t>认定。</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三、实施侧袋机制</w:t>
      </w:r>
      <w:r>
        <w:rPr>
          <w:rFonts w:ascii="宋体" w:hAnsi="Calibri" w:cs="宋体" w:hint="eastAsia"/>
          <w:bCs/>
          <w:szCs w:val="21"/>
          <w:lang w:eastAsia="zh-CN"/>
        </w:rPr>
        <w:t>期间的基金投资</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侧袋机制实施期间，招募说明书“基金的投资”部分约定的投资组合比例、投资策略、组合限制、业绩比较基准、风险收益特征等约定仅适用于主袋账户。基金管理人计算各项投资运作指标和基金业绩指标时应当以主袋账户资产</w:t>
      </w:r>
      <w:r>
        <w:rPr>
          <w:rFonts w:ascii="宋体" w:hAnsi="Calibri" w:cs="宋体"/>
          <w:bCs/>
          <w:szCs w:val="21"/>
          <w:lang w:eastAsia="zh-CN"/>
        </w:rPr>
        <w:t>为基准</w:t>
      </w:r>
      <w:r>
        <w:rPr>
          <w:rFonts w:ascii="宋体" w:hAnsi="Calibri" w:cs="宋体" w:hint="eastAsia"/>
          <w:bCs/>
          <w:szCs w:val="21"/>
          <w:lang w:eastAsia="zh-CN"/>
        </w:rPr>
        <w:t>。</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基金管理人原则上应当在侧袋机制启动后</w:t>
      </w:r>
      <w:r>
        <w:rPr>
          <w:rFonts w:ascii="宋体" w:hAnsi="Calibri" w:cs="宋体"/>
          <w:bCs/>
          <w:szCs w:val="21"/>
          <w:lang w:eastAsia="zh-CN"/>
        </w:rPr>
        <w:t>20</w:t>
      </w:r>
      <w:r>
        <w:rPr>
          <w:rFonts w:ascii="宋体" w:hAnsi="Calibri" w:cs="宋体" w:hint="eastAsia"/>
          <w:bCs/>
          <w:szCs w:val="21"/>
          <w:lang w:eastAsia="zh-CN"/>
        </w:rPr>
        <w:t>个交易日内完成对主袋账户投资组合的调整，因资产流动性受限等中国证监会规定的情形除外。</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基金管理人不得在侧袋账户中进行除特定资产处置变现以外的其他投资操作。</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四、侧袋账户中特定资产的处置变现和支付</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特定资产以可出售、可转让、恢复交易等方式恢复流动性后，基金管理人应当按照基金份额持有人利益最大化原则，采取将特定资产予以处置变现等方式，及时向侧袋账户份额持有人支付对应款项。</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终止侧袋机制后，基金管理人及时聘请符合《证券法》规定的会计师事务所进行审计并披露专项审计意见。</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五、侧袋机制的信息披露</w:t>
      </w:r>
    </w:p>
    <w:p w:rsidR="004A090B">
      <w:pPr>
        <w:spacing w:line="360" w:lineRule="auto"/>
        <w:ind w:firstLine="420"/>
        <w:rPr>
          <w:rFonts w:ascii="宋体" w:hAnsi="Calibri" w:cs="宋体"/>
          <w:bCs/>
          <w:szCs w:val="21"/>
          <w:lang w:eastAsia="zh-CN"/>
        </w:rPr>
      </w:pPr>
      <w:r>
        <w:rPr>
          <w:rFonts w:ascii="宋体" w:hAnsi="Calibri" w:cs="宋体"/>
          <w:bCs/>
          <w:szCs w:val="21"/>
          <w:lang w:eastAsia="zh-CN"/>
        </w:rPr>
        <w:t>1</w:t>
      </w:r>
      <w:r>
        <w:rPr>
          <w:rFonts w:ascii="宋体" w:hAnsi="Calibri" w:cs="宋体" w:hint="eastAsia"/>
          <w:bCs/>
          <w:szCs w:val="21"/>
          <w:lang w:eastAsia="zh-CN"/>
        </w:rPr>
        <w:t>、临时公告</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在启用侧袋机制、处置特定资产、终止侧袋机制以及发生其他可能对投资者利益产生重大影响的事项后，基金管理人应及时发布临时公告。</w:t>
      </w:r>
    </w:p>
    <w:p w:rsidR="004A090B">
      <w:pPr>
        <w:spacing w:line="360" w:lineRule="auto"/>
        <w:ind w:firstLine="420"/>
        <w:rPr>
          <w:rFonts w:ascii="宋体" w:hAnsi="Calibri" w:cs="宋体"/>
          <w:bCs/>
          <w:szCs w:val="21"/>
          <w:lang w:eastAsia="zh-CN"/>
        </w:rPr>
      </w:pPr>
      <w:r>
        <w:rPr>
          <w:rFonts w:ascii="宋体" w:hAnsi="Calibri" w:cs="宋体"/>
          <w:bCs/>
          <w:szCs w:val="21"/>
          <w:lang w:eastAsia="zh-CN"/>
        </w:rPr>
        <w:t>2</w:t>
      </w:r>
      <w:r>
        <w:rPr>
          <w:rFonts w:ascii="宋体" w:hAnsi="Calibri" w:cs="宋体" w:hint="eastAsia"/>
          <w:bCs/>
          <w:szCs w:val="21"/>
          <w:lang w:eastAsia="zh-CN"/>
        </w:rPr>
        <w:t>、基金净值信息</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基金管理人应按照招募说明书“基金的信息披露”部分规定的基金净值信息披露方式和频率披露主袋账户份额的基金份额净值和基金份额累计净值。实施侧袋机制期间本基金暂停披露侧袋账户份额净值。</w:t>
      </w:r>
    </w:p>
    <w:p w:rsidR="004A090B">
      <w:pPr>
        <w:spacing w:line="360" w:lineRule="auto"/>
        <w:ind w:firstLine="420"/>
        <w:rPr>
          <w:rFonts w:ascii="宋体" w:hAnsi="Calibri" w:cs="宋体"/>
          <w:bCs/>
          <w:szCs w:val="21"/>
          <w:lang w:eastAsia="zh-CN"/>
        </w:rPr>
      </w:pPr>
      <w:r>
        <w:rPr>
          <w:rFonts w:ascii="宋体" w:hAnsi="Calibri" w:cs="宋体"/>
          <w:bCs/>
          <w:szCs w:val="21"/>
          <w:lang w:eastAsia="zh-CN"/>
        </w:rPr>
        <w:t>3</w:t>
      </w:r>
      <w:r>
        <w:rPr>
          <w:rFonts w:ascii="宋体" w:hAnsi="Calibri" w:cs="宋体" w:hint="eastAsia"/>
          <w:bCs/>
          <w:szCs w:val="21"/>
          <w:lang w:eastAsia="zh-CN"/>
        </w:rPr>
        <w:t>、定期报告</w:t>
      </w: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侧袋机制实施期间，基金管理人应当在基金定期报告中披露报告期内特定资产处置进展情况，披露报告期末特定资产可变现净值或净值区间的，需同时注明不作为特定资产最终变现价格的承诺。</w:t>
      </w:r>
    </w:p>
    <w:p w:rsidR="004A090B">
      <w:pPr>
        <w:widowControl/>
        <w:jc w:val="left"/>
        <w:rPr>
          <w:rFonts w:ascii="宋体" w:hAnsi="Calibri" w:cs="宋体"/>
          <w:sz w:val="30"/>
          <w:szCs w:val="32"/>
          <w:lang w:eastAsia="zh-CN"/>
        </w:rPr>
      </w:pPr>
      <w:r>
        <w:rPr>
          <w:rFonts w:ascii="宋体" w:hAnsi="Calibri" w:cs="宋体"/>
          <w:sz w:val="30"/>
          <w:lang w:eastAsia="zh-CN"/>
        </w:rPr>
        <w:br w:type="page"/>
      </w:r>
    </w:p>
    <w:p w:rsidR="004A090B">
      <w:pPr>
        <w:pStyle w:val="Heading1"/>
        <w:spacing w:before="317" w:after="317" w:line="360" w:lineRule="auto"/>
        <w:ind w:firstLine="600"/>
        <w:rPr>
          <w:rFonts w:ascii="宋体" w:eastAsia="宋体" w:hAnsi="Calibri" w:cs="宋体"/>
          <w:sz w:val="30"/>
          <w:szCs w:val="30"/>
          <w:lang w:eastAsia="zh-CN"/>
        </w:rPr>
      </w:pPr>
      <w:bookmarkStart w:id="1847" w:name="_Toc129511542"/>
      <w:r>
        <w:rPr>
          <w:rFonts w:ascii="宋体" w:eastAsia="宋体" w:hAnsi="Calibri" w:cs="宋体" w:hint="eastAsia"/>
          <w:sz w:val="30"/>
          <w:szCs w:val="30"/>
          <w:lang w:eastAsia="zh-CN"/>
        </w:rPr>
        <w:t>第二十</w:t>
      </w:r>
      <w:bookmarkStart w:id="1848" w:name="_Toc332373573"/>
      <w:r>
        <w:rPr>
          <w:rFonts w:ascii="宋体" w:eastAsia="宋体" w:hAnsi="Calibri" w:cs="宋体"/>
          <w:sz w:val="30"/>
          <w:szCs w:val="30"/>
          <w:lang w:eastAsia="zh-CN"/>
        </w:rPr>
        <w:t>部分</w:t>
      </w:r>
      <w:r>
        <w:rPr>
          <w:rFonts w:ascii="宋体" w:eastAsia="宋体" w:hAnsi="Calibri" w:cs="宋体"/>
          <w:sz w:val="30"/>
          <w:szCs w:val="30"/>
          <w:lang w:eastAsia="zh-CN"/>
        </w:rPr>
        <w:t xml:space="preserve"> </w:t>
      </w:r>
      <w:r>
        <w:rPr>
          <w:rFonts w:ascii="宋体" w:eastAsia="宋体" w:hAnsi="Calibri" w:cs="宋体"/>
          <w:sz w:val="30"/>
          <w:szCs w:val="30"/>
          <w:lang w:eastAsia="zh-CN"/>
        </w:rPr>
        <w:t>风险揭示</w:t>
      </w:r>
      <w:bookmarkEnd w:id="1847"/>
      <w:bookmarkEnd w:id="1848"/>
    </w:p>
    <w:p w:rsidR="004A090B">
      <w:pPr>
        <w:spacing w:line="360" w:lineRule="auto"/>
        <w:ind w:firstLine="420"/>
        <w:rPr>
          <w:rFonts w:ascii="宋体" w:hAnsi="Calibri" w:cs="宋体"/>
          <w:szCs w:val="21"/>
          <w:lang w:eastAsia="zh-CN"/>
        </w:rPr>
      </w:pPr>
      <w:bookmarkStart w:id="1849" w:name="_Toc332373574"/>
      <w:r>
        <w:rPr>
          <w:rFonts w:ascii="宋体" w:hAnsi="Calibri" w:cs="宋体" w:hint="eastAsia"/>
          <w:szCs w:val="21"/>
          <w:lang w:eastAsia="zh-CN"/>
        </w:rPr>
        <w:t>一、本基金的特有风险</w:t>
      </w:r>
    </w:p>
    <w:p w:rsidR="004A090B">
      <w:pPr>
        <w:spacing w:line="360" w:lineRule="auto"/>
        <w:ind w:firstLine="420"/>
        <w:rPr>
          <w:lang w:eastAsia="zh-CN"/>
        </w:rPr>
      </w:pPr>
      <w:r>
        <w:rPr>
          <w:rFonts w:ascii="宋体" w:hAnsi="宋体" w:cs="宋体"/>
          <w:color w:val="000000"/>
          <w:spacing w:val="-2"/>
          <w:highlight w:val="white"/>
          <w:lang w:eastAsia="zh-CN"/>
        </w:rPr>
        <w:t>1</w:t>
      </w:r>
      <w:r>
        <w:rPr>
          <w:rFonts w:ascii="宋体" w:hAnsi="宋体" w:cs="宋体"/>
          <w:color w:val="000000"/>
          <w:spacing w:val="-2"/>
          <w:highlight w:val="white"/>
          <w:lang w:eastAsia="zh-CN"/>
        </w:rPr>
        <w:t>、投资科创板、创业板股票的风险</w:t>
      </w:r>
    </w:p>
    <w:p w:rsidR="004A090B">
      <w:pPr>
        <w:spacing w:line="360" w:lineRule="auto"/>
        <w:ind w:firstLine="420"/>
        <w:rPr>
          <w:lang w:eastAsia="zh-CN"/>
        </w:rPr>
      </w:pPr>
      <w:r>
        <w:rPr>
          <w:rFonts w:ascii="宋体" w:hAnsi="宋体" w:cs="宋体"/>
          <w:color w:val="000000"/>
          <w:spacing w:val="-2"/>
          <w:highlight w:val="white"/>
          <w:lang w:eastAsia="zh-CN"/>
        </w:rPr>
        <w:t>本基金目标</w:t>
      </w:r>
      <w:r>
        <w:rPr>
          <w:rFonts w:ascii="宋体" w:hAnsi="宋体" w:cs="宋体"/>
          <w:color w:val="000000"/>
          <w:spacing w:val="-2"/>
          <w:highlight w:val="white"/>
          <w:lang w:eastAsia="zh-CN"/>
        </w:rPr>
        <w:t>ETF</w:t>
      </w:r>
      <w:r>
        <w:rPr>
          <w:rFonts w:ascii="宋体" w:hAnsi="宋体" w:cs="宋体"/>
          <w:color w:val="000000"/>
          <w:spacing w:val="-2"/>
          <w:highlight w:val="white"/>
          <w:lang w:eastAsia="zh-CN"/>
        </w:rPr>
        <w:t>主要投资于科创板、创业板股票，本基金也可直接投资于科创板、创业板股票，科创板、创业板股票在发行、上市、交易、退市等方面的规则与其他板块存在差异，本基金须承受投资于科创板、创业板上市公司相关的特有风险，包括但不限于：</w:t>
      </w:r>
    </w:p>
    <w:p w:rsidR="004A090B">
      <w:pPr>
        <w:spacing w:line="360" w:lineRule="auto"/>
        <w:ind w:firstLine="420"/>
        <w:rPr>
          <w:lang w:eastAsia="zh-CN"/>
        </w:rPr>
      </w:pPr>
      <w:r>
        <w:rPr>
          <w:rFonts w:ascii="宋体" w:hAnsi="宋体" w:cs="宋体"/>
          <w:color w:val="000000"/>
          <w:spacing w:val="-2"/>
          <w:highlight w:val="white"/>
          <w:lang w:eastAsia="zh-CN"/>
        </w:rPr>
        <w:t>（</w:t>
      </w:r>
      <w:r>
        <w:rPr>
          <w:rFonts w:ascii="宋体" w:hAnsi="宋体" w:cs="宋体"/>
          <w:color w:val="000000"/>
          <w:spacing w:val="-2"/>
          <w:highlight w:val="white"/>
          <w:lang w:eastAsia="zh-CN"/>
        </w:rPr>
        <w:t>1</w:t>
      </w:r>
      <w:r>
        <w:rPr>
          <w:rFonts w:ascii="宋体" w:hAnsi="宋体" w:cs="宋体"/>
          <w:color w:val="000000"/>
          <w:spacing w:val="-2"/>
          <w:highlight w:val="white"/>
          <w:lang w:eastAsia="zh-CN"/>
        </w:rPr>
        <w:t>）投资科创板股票的风险</w:t>
      </w:r>
    </w:p>
    <w:p w:rsidR="004A090B">
      <w:pPr>
        <w:spacing w:line="360" w:lineRule="auto"/>
        <w:ind w:firstLine="420"/>
        <w:rPr>
          <w:lang w:eastAsia="zh-CN"/>
        </w:rPr>
      </w:pPr>
      <w:r>
        <w:rPr>
          <w:rFonts w:ascii="宋体" w:hAnsi="宋体" w:cs="宋体"/>
          <w:color w:val="000000"/>
          <w:spacing w:val="-2"/>
          <w:highlight w:val="white"/>
          <w:lang w:eastAsia="zh-CN"/>
        </w:rPr>
        <w:t>1</w:t>
      </w:r>
      <w:r>
        <w:rPr>
          <w:rFonts w:ascii="宋体" w:hAnsi="宋体" w:cs="宋体"/>
          <w:color w:val="000000"/>
          <w:spacing w:val="-2"/>
          <w:highlight w:val="white"/>
          <w:lang w:eastAsia="zh-CN"/>
        </w:rPr>
        <w:t>）科创板企业退市风险</w:t>
      </w:r>
    </w:p>
    <w:p w:rsidR="004A090B">
      <w:pPr>
        <w:spacing w:line="360" w:lineRule="auto"/>
        <w:ind w:firstLine="420"/>
        <w:rPr>
          <w:lang w:eastAsia="zh-CN"/>
        </w:rPr>
      </w:pPr>
      <w:r>
        <w:rPr>
          <w:rFonts w:ascii="宋体" w:hAnsi="宋体" w:cs="宋体"/>
          <w:color w:val="000000"/>
          <w:spacing w:val="-2"/>
          <w:highlight w:val="white"/>
          <w:lang w:eastAsia="zh-CN"/>
        </w:rPr>
        <w:t>科创板退市制度较主板更为严格，退市时间更短，退市速度更快，退市情形更多，且不再设置暂停上市、恢复上市和重新上市环节。一旦所投资的科创板股票进入退市流程，将面临退出难度较大、成本较高的风险。</w:t>
      </w:r>
    </w:p>
    <w:p w:rsidR="004A090B">
      <w:pPr>
        <w:spacing w:line="360" w:lineRule="auto"/>
        <w:ind w:firstLine="420"/>
        <w:rPr>
          <w:lang w:eastAsia="zh-CN"/>
        </w:rPr>
      </w:pPr>
      <w:r>
        <w:rPr>
          <w:rFonts w:ascii="宋体" w:hAnsi="宋体" w:cs="宋体"/>
          <w:color w:val="000000"/>
          <w:spacing w:val="-2"/>
          <w:highlight w:val="white"/>
          <w:lang w:eastAsia="zh-CN"/>
        </w:rPr>
        <w:t>2</w:t>
      </w:r>
      <w:r>
        <w:rPr>
          <w:rFonts w:ascii="宋体" w:hAnsi="宋体" w:cs="宋体"/>
          <w:color w:val="000000"/>
          <w:spacing w:val="-2"/>
          <w:highlight w:val="white"/>
          <w:lang w:eastAsia="zh-CN"/>
        </w:rPr>
        <w:t>）市场风险</w:t>
      </w:r>
    </w:p>
    <w:p w:rsidR="004A090B">
      <w:pPr>
        <w:spacing w:line="360" w:lineRule="auto"/>
        <w:ind w:firstLine="420"/>
        <w:rPr>
          <w:lang w:eastAsia="zh-CN"/>
        </w:rPr>
      </w:pPr>
      <w:r>
        <w:rPr>
          <w:rFonts w:ascii="宋体" w:hAnsi="宋体" w:cs="宋体"/>
          <w:color w:val="000000"/>
          <w:spacing w:val="-2"/>
          <w:highlight w:val="white"/>
          <w:lang w:eastAsia="zh-CN"/>
        </w:rPr>
        <w:t>科创板企业相对集中于高新</w:t>
      </w:r>
      <w:r>
        <w:rPr>
          <w:rFonts w:ascii="宋体" w:hAnsi="宋体" w:cs="宋体"/>
          <w:color w:val="000000"/>
          <w:spacing w:val="-2"/>
          <w:highlight w:val="white"/>
          <w:lang w:eastAsia="zh-CN"/>
        </w:rPr>
        <w:t>技术和战略新兴产业领域，大多数企业为初创型公司，上市门槛略低于</w:t>
      </w:r>
      <w:r>
        <w:rPr>
          <w:rFonts w:ascii="宋体" w:hAnsi="宋体" w:cs="宋体"/>
          <w:color w:val="000000"/>
          <w:spacing w:val="-2"/>
          <w:highlight w:val="white"/>
          <w:lang w:eastAsia="zh-CN"/>
        </w:rPr>
        <w:t>A</w:t>
      </w:r>
      <w:r>
        <w:rPr>
          <w:rFonts w:ascii="宋体" w:hAnsi="宋体" w:cs="宋体"/>
          <w:color w:val="000000"/>
          <w:spacing w:val="-2"/>
          <w:highlight w:val="white"/>
          <w:lang w:eastAsia="zh-CN"/>
        </w:rPr>
        <w:t>股其他板块，企业未来盈利、现金流、估值等均存在不确定性，个股投资风险加大。此外，科创板企业普遍具有前景不确定、业绩波动大、风险高的特征，市场可比公司较少，估值与发行定价难度较大。同时，科创板竞价交易较主板设置了更宽的涨跌幅限制（上市后的前</w:t>
      </w:r>
      <w:r>
        <w:rPr>
          <w:rFonts w:ascii="宋体" w:hAnsi="宋体" w:cs="宋体"/>
          <w:color w:val="000000"/>
          <w:spacing w:val="-2"/>
          <w:highlight w:val="white"/>
          <w:lang w:eastAsia="zh-CN"/>
        </w:rPr>
        <w:t>5</w:t>
      </w:r>
      <w:r>
        <w:rPr>
          <w:rFonts w:ascii="宋体" w:hAnsi="宋体" w:cs="宋体"/>
          <w:color w:val="000000"/>
          <w:spacing w:val="-2"/>
          <w:highlight w:val="white"/>
          <w:lang w:eastAsia="zh-CN"/>
        </w:rPr>
        <w:t>个交易日不设涨跌幅限制，其后涨跌幅限制为</w:t>
      </w:r>
      <w:r>
        <w:rPr>
          <w:rFonts w:ascii="宋体" w:hAnsi="宋体" w:cs="宋体"/>
          <w:color w:val="000000"/>
          <w:spacing w:val="-2"/>
          <w:highlight w:val="white"/>
          <w:lang w:eastAsia="zh-CN"/>
        </w:rPr>
        <w:t>20%</w:t>
      </w:r>
      <w:r>
        <w:rPr>
          <w:rFonts w:ascii="宋体" w:hAnsi="宋体" w:cs="宋体"/>
          <w:color w:val="000000"/>
          <w:spacing w:val="-2"/>
          <w:highlight w:val="white"/>
          <w:lang w:eastAsia="zh-CN"/>
        </w:rPr>
        <w:t>）、科创板股票上市首日即可作为融资融券标的，可能导致较大的股票价格波动。</w:t>
      </w:r>
    </w:p>
    <w:p w:rsidR="004A090B">
      <w:pPr>
        <w:spacing w:line="360" w:lineRule="auto"/>
        <w:ind w:firstLine="420"/>
        <w:rPr>
          <w:lang w:eastAsia="zh-CN"/>
        </w:rPr>
      </w:pPr>
      <w:r>
        <w:rPr>
          <w:rFonts w:ascii="宋体" w:hAnsi="宋体" w:cs="宋体"/>
          <w:color w:val="000000"/>
          <w:spacing w:val="-2"/>
          <w:highlight w:val="white"/>
          <w:lang w:eastAsia="zh-CN"/>
        </w:rPr>
        <w:t>3</w:t>
      </w:r>
      <w:r>
        <w:rPr>
          <w:rFonts w:ascii="宋体" w:hAnsi="宋体" w:cs="宋体"/>
          <w:color w:val="000000"/>
          <w:spacing w:val="-2"/>
          <w:highlight w:val="white"/>
          <w:lang w:eastAsia="zh-CN"/>
        </w:rPr>
        <w:t>）流动性风险</w:t>
      </w:r>
    </w:p>
    <w:p w:rsidR="004A090B">
      <w:pPr>
        <w:spacing w:line="360" w:lineRule="auto"/>
        <w:ind w:firstLine="420"/>
        <w:rPr>
          <w:lang w:eastAsia="zh-CN"/>
        </w:rPr>
      </w:pPr>
      <w:r>
        <w:rPr>
          <w:rFonts w:ascii="宋体" w:hAnsi="宋体" w:cs="宋体"/>
          <w:color w:val="000000"/>
          <w:spacing w:val="-2"/>
          <w:highlight w:val="white"/>
          <w:lang w:eastAsia="zh-CN"/>
        </w:rPr>
        <w:t>科创板投资门槛较高，由此可能导致整体流动性相对较弱。此外，科创板股票网下</w:t>
      </w:r>
      <w:r>
        <w:rPr>
          <w:rFonts w:ascii="宋体" w:hAnsi="宋体" w:cs="宋体"/>
          <w:color w:val="000000"/>
          <w:spacing w:val="-2"/>
          <w:highlight w:val="white"/>
          <w:lang w:eastAsia="zh-CN"/>
        </w:rPr>
        <w:t>发行时，获配账户存在被随机抽中设置一定期限限售期的可能，由此可能导致基金面临无法及时变现及其他相关流动性风险。</w:t>
      </w:r>
    </w:p>
    <w:p w:rsidR="004A090B">
      <w:pPr>
        <w:spacing w:line="360" w:lineRule="auto"/>
        <w:ind w:firstLine="420"/>
        <w:rPr>
          <w:lang w:eastAsia="zh-CN"/>
        </w:rPr>
      </w:pPr>
      <w:r>
        <w:rPr>
          <w:rFonts w:ascii="宋体" w:hAnsi="宋体" w:cs="宋体"/>
          <w:color w:val="000000"/>
          <w:spacing w:val="-2"/>
          <w:highlight w:val="white"/>
          <w:lang w:eastAsia="zh-CN"/>
        </w:rPr>
        <w:t>4</w:t>
      </w:r>
      <w:r>
        <w:rPr>
          <w:rFonts w:ascii="宋体" w:hAnsi="宋体" w:cs="宋体"/>
          <w:color w:val="000000"/>
          <w:spacing w:val="-2"/>
          <w:highlight w:val="white"/>
          <w:lang w:eastAsia="zh-CN"/>
        </w:rPr>
        <w:t>）监管规则变化的风险</w:t>
      </w:r>
    </w:p>
    <w:p w:rsidR="004A090B">
      <w:pPr>
        <w:spacing w:line="360" w:lineRule="auto"/>
        <w:ind w:firstLine="420" w:firstLineChars="200"/>
        <w:rPr>
          <w:rFonts w:ascii="宋体" w:hAnsi="宋体" w:cs="宋体"/>
          <w:color w:val="000000"/>
          <w:spacing w:val="-2"/>
          <w:szCs w:val="21"/>
          <w:lang w:eastAsia="zh-CN"/>
        </w:rPr>
      </w:pPr>
      <w:r>
        <w:rPr>
          <w:rFonts w:ascii="宋体" w:hAnsi="宋体" w:cs="宋体"/>
          <w:color w:val="000000"/>
          <w:spacing w:val="-2"/>
          <w:highlight w:val="white"/>
          <w:lang w:eastAsia="zh-CN"/>
        </w:rPr>
        <w:t>科创板股票相关法律、行政法规、部门规章、规范性文件和交易所业务规则，可能根据市场情况进行修改完善，或者补充制定新的法律法规和业务规则，导致基金投资运作产生相应调整变化。</w:t>
      </w:r>
    </w:p>
    <w:p w:rsidR="004A090B">
      <w:pPr>
        <w:spacing w:line="360" w:lineRule="auto"/>
        <w:ind w:firstLine="420" w:firstLineChars="200"/>
        <w:rPr>
          <w:lang w:eastAsia="zh-CN"/>
        </w:rPr>
      </w:pPr>
      <w:r>
        <w:rPr>
          <w:rFonts w:ascii="宋体" w:hAnsi="宋体" w:cs="宋体"/>
          <w:color w:val="000000"/>
          <w:spacing w:val="-2"/>
          <w:highlight w:val="white"/>
          <w:lang w:eastAsia="zh-CN"/>
        </w:rPr>
        <w:t>（</w:t>
      </w:r>
      <w:r>
        <w:rPr>
          <w:rFonts w:ascii="宋体" w:hAnsi="宋体" w:cs="宋体"/>
          <w:color w:val="000000"/>
          <w:spacing w:val="-2"/>
          <w:highlight w:val="white"/>
          <w:lang w:eastAsia="zh-CN"/>
        </w:rPr>
        <w:t>2</w:t>
      </w:r>
      <w:r>
        <w:rPr>
          <w:rFonts w:ascii="宋体" w:hAnsi="宋体" w:cs="宋体"/>
          <w:color w:val="000000"/>
          <w:spacing w:val="-2"/>
          <w:highlight w:val="white"/>
          <w:lang w:eastAsia="zh-CN"/>
        </w:rPr>
        <w:t>）投资创业板股票的风险</w:t>
      </w:r>
    </w:p>
    <w:p w:rsidR="004A090B">
      <w:pPr>
        <w:spacing w:line="360" w:lineRule="auto"/>
        <w:ind w:firstLine="420" w:firstLineChars="200"/>
        <w:rPr>
          <w:lang w:eastAsia="zh-CN"/>
        </w:rPr>
      </w:pPr>
      <w:r>
        <w:rPr>
          <w:rFonts w:ascii="宋体" w:hAnsi="宋体" w:cs="宋体"/>
          <w:color w:val="000000"/>
          <w:spacing w:val="-2"/>
          <w:highlight w:val="white"/>
          <w:lang w:eastAsia="zh-CN"/>
        </w:rPr>
        <w:t>1</w:t>
      </w:r>
      <w:r>
        <w:rPr>
          <w:rFonts w:ascii="宋体" w:hAnsi="宋体" w:cs="宋体"/>
          <w:color w:val="000000"/>
          <w:spacing w:val="-2"/>
          <w:highlight w:val="white"/>
          <w:lang w:eastAsia="zh-CN"/>
        </w:rPr>
        <w:t>）无法盈利甚至出现较大亏损的风险</w:t>
      </w:r>
    </w:p>
    <w:p w:rsidR="004A090B">
      <w:pPr>
        <w:spacing w:line="360" w:lineRule="auto"/>
        <w:ind w:firstLine="420" w:firstLineChars="200"/>
        <w:rPr>
          <w:lang w:eastAsia="zh-CN"/>
        </w:rPr>
      </w:pPr>
      <w:r>
        <w:rPr>
          <w:rFonts w:ascii="宋体" w:hAnsi="宋体" w:cs="宋体"/>
          <w:color w:val="000000"/>
          <w:spacing w:val="-2"/>
          <w:highlight w:val="white"/>
          <w:lang w:eastAsia="zh-CN"/>
        </w:rPr>
        <w:t>创业板上市公司往往高度依赖新技术、新模式、新业态，且多为轻资产结构，具有技术迭代快、产业升级快、模式易复制、业绩波动大等特点，公司上市后的持续</w:t>
      </w:r>
      <w:r>
        <w:rPr>
          <w:rFonts w:ascii="宋体" w:hAnsi="宋体" w:cs="宋体"/>
          <w:color w:val="000000"/>
          <w:spacing w:val="-2"/>
          <w:highlight w:val="white"/>
          <w:lang w:eastAsia="zh-CN"/>
        </w:rPr>
        <w:t>创新能力、盈利能力和抗风险能力具有较大的不确定性。创业板上市公司可能存在首次公开发行前最近</w:t>
      </w:r>
      <w:r>
        <w:rPr>
          <w:rFonts w:ascii="宋体" w:hAnsi="宋体" w:cs="宋体"/>
          <w:color w:val="000000"/>
          <w:spacing w:val="-2"/>
          <w:highlight w:val="white"/>
          <w:lang w:eastAsia="zh-CN"/>
        </w:rPr>
        <w:t>3</w:t>
      </w:r>
      <w:r>
        <w:rPr>
          <w:rFonts w:ascii="宋体" w:hAnsi="宋体" w:cs="宋体"/>
          <w:color w:val="000000"/>
          <w:spacing w:val="-2"/>
          <w:highlight w:val="white"/>
          <w:lang w:eastAsia="zh-CN"/>
        </w:rPr>
        <w:t>个会计年度未能连续盈利、公开发行并上市时尚未盈利、有累计未弥补亏损，以及在上市后仍无法盈利、持续亏损、无法进行利润分配等情形。</w:t>
      </w:r>
    </w:p>
    <w:p w:rsidR="004A090B">
      <w:pPr>
        <w:spacing w:line="360" w:lineRule="auto"/>
        <w:ind w:firstLine="420" w:firstLineChars="200"/>
        <w:rPr>
          <w:lang w:eastAsia="zh-CN"/>
        </w:rPr>
      </w:pPr>
      <w:r>
        <w:rPr>
          <w:rFonts w:ascii="宋体" w:hAnsi="宋体" w:cs="宋体"/>
          <w:color w:val="000000"/>
          <w:spacing w:val="-2"/>
          <w:highlight w:val="white"/>
          <w:lang w:eastAsia="zh-CN"/>
        </w:rPr>
        <w:t>因此，本基金投资于创业板企业面临无法盈利甚至可能导致较大亏损的风险。投资者投资于本基金前，须对创业板市场（包括创业板股票的价格影响因素和交易规则等）有一定了解和认知</w:t>
      </w:r>
      <w:r w:rsidR="005379C6">
        <w:rPr>
          <w:rFonts w:ascii="宋体" w:hAnsi="宋体" w:cs="宋体" w:hint="eastAsia"/>
          <w:color w:val="000000"/>
          <w:spacing w:val="-2"/>
          <w:highlight w:val="white"/>
          <w:lang w:eastAsia="zh-CN"/>
        </w:rPr>
        <w:t>，</w:t>
      </w:r>
      <w:r>
        <w:rPr>
          <w:rFonts w:ascii="宋体" w:hAnsi="宋体" w:cs="宋体"/>
          <w:color w:val="000000"/>
          <w:spacing w:val="-2"/>
          <w:highlight w:val="white"/>
          <w:lang w:eastAsia="zh-CN"/>
        </w:rPr>
        <w:t>在理性判断的基础上做出审慎投资选择。</w:t>
      </w:r>
    </w:p>
    <w:p w:rsidR="004A090B">
      <w:pPr>
        <w:spacing w:line="360" w:lineRule="auto"/>
        <w:ind w:firstLine="420" w:firstLineChars="200"/>
        <w:rPr>
          <w:lang w:eastAsia="zh-CN"/>
        </w:rPr>
      </w:pPr>
      <w:r>
        <w:rPr>
          <w:rFonts w:ascii="宋体" w:hAnsi="宋体" w:cs="宋体"/>
          <w:color w:val="000000"/>
          <w:spacing w:val="-2"/>
          <w:highlight w:val="white"/>
          <w:lang w:eastAsia="zh-CN"/>
        </w:rPr>
        <w:t>2</w:t>
      </w:r>
      <w:r>
        <w:rPr>
          <w:rFonts w:ascii="宋体" w:hAnsi="宋体" w:cs="宋体"/>
          <w:color w:val="000000"/>
          <w:spacing w:val="-2"/>
          <w:highlight w:val="white"/>
          <w:lang w:eastAsia="zh-CN"/>
        </w:rPr>
        <w:t>）股价大幅波动的风险</w:t>
      </w:r>
    </w:p>
    <w:p w:rsidR="004A090B">
      <w:pPr>
        <w:spacing w:line="360" w:lineRule="auto"/>
        <w:ind w:firstLine="420" w:firstLineChars="200"/>
        <w:rPr>
          <w:lang w:eastAsia="zh-CN"/>
        </w:rPr>
      </w:pPr>
      <w:r>
        <w:rPr>
          <w:rFonts w:ascii="宋体" w:hAnsi="宋体" w:cs="宋体"/>
          <w:color w:val="000000"/>
          <w:spacing w:val="-2"/>
          <w:highlight w:val="white"/>
          <w:lang w:eastAsia="zh-CN"/>
        </w:rPr>
        <w:t>实施注册制后，创业板股票竞价交易设置较宽的涨跌幅限制，首次公开</w:t>
      </w:r>
      <w:r>
        <w:rPr>
          <w:rFonts w:ascii="宋体" w:hAnsi="宋体" w:cs="宋体"/>
          <w:color w:val="000000"/>
          <w:spacing w:val="-2"/>
          <w:highlight w:val="white"/>
          <w:lang w:eastAsia="zh-CN"/>
        </w:rPr>
        <w:t>发行上市的股票，上市后的前</w:t>
      </w:r>
      <w:r>
        <w:rPr>
          <w:rFonts w:ascii="宋体" w:hAnsi="宋体" w:cs="宋体"/>
          <w:color w:val="000000"/>
          <w:spacing w:val="-2"/>
          <w:highlight w:val="white"/>
          <w:lang w:eastAsia="zh-CN"/>
        </w:rPr>
        <w:t>5</w:t>
      </w:r>
      <w:r>
        <w:rPr>
          <w:rFonts w:ascii="宋体" w:hAnsi="宋体" w:cs="宋体"/>
          <w:color w:val="000000"/>
          <w:spacing w:val="-2"/>
          <w:highlight w:val="white"/>
          <w:lang w:eastAsia="zh-CN"/>
        </w:rPr>
        <w:t>个交易日不设涨跌幅限制，其后涨跌幅限制为</w:t>
      </w:r>
      <w:r>
        <w:rPr>
          <w:rFonts w:ascii="宋体" w:hAnsi="宋体" w:cs="宋体"/>
          <w:color w:val="000000"/>
          <w:spacing w:val="-2"/>
          <w:highlight w:val="white"/>
          <w:lang w:eastAsia="zh-CN"/>
        </w:rPr>
        <w:t>20%</w:t>
      </w:r>
      <w:r>
        <w:rPr>
          <w:rFonts w:ascii="宋体" w:hAnsi="宋体" w:cs="宋体"/>
          <w:color w:val="000000"/>
          <w:spacing w:val="-2"/>
          <w:highlight w:val="white"/>
          <w:lang w:eastAsia="zh-CN"/>
        </w:rPr>
        <w:t>，且创业板股票上市首日即可作为融资融券标的，创业板股票股价存在波动较大的风险。</w:t>
      </w:r>
    </w:p>
    <w:p w:rsidR="004A090B">
      <w:pPr>
        <w:spacing w:line="360" w:lineRule="auto"/>
        <w:ind w:firstLine="420" w:firstLineChars="200"/>
        <w:rPr>
          <w:lang w:eastAsia="zh-CN"/>
        </w:rPr>
      </w:pPr>
      <w:r>
        <w:rPr>
          <w:rFonts w:ascii="宋体" w:hAnsi="宋体" w:cs="宋体"/>
          <w:color w:val="000000"/>
          <w:spacing w:val="-2"/>
          <w:highlight w:val="white"/>
          <w:lang w:eastAsia="zh-CN"/>
        </w:rPr>
        <w:t>3</w:t>
      </w:r>
      <w:r>
        <w:rPr>
          <w:rFonts w:ascii="宋体" w:hAnsi="宋体" w:cs="宋体"/>
          <w:color w:val="000000"/>
          <w:spacing w:val="-2"/>
          <w:highlight w:val="white"/>
          <w:lang w:eastAsia="zh-CN"/>
        </w:rPr>
        <w:t>）创业板企业退市风险</w:t>
      </w:r>
    </w:p>
    <w:p w:rsidR="004A090B">
      <w:pPr>
        <w:spacing w:line="360" w:lineRule="auto"/>
        <w:ind w:firstLine="420" w:firstLineChars="200"/>
        <w:rPr>
          <w:lang w:eastAsia="zh-CN"/>
        </w:rPr>
      </w:pPr>
      <w:r>
        <w:rPr>
          <w:rFonts w:ascii="宋体" w:hAnsi="宋体" w:cs="宋体"/>
          <w:color w:val="000000"/>
          <w:spacing w:val="-2"/>
          <w:highlight w:val="white"/>
          <w:lang w:eastAsia="zh-CN"/>
        </w:rPr>
        <w:t>创业板退市制度更为严格，退市情形更多，市值低于规定标准、上市公司信息披露或者规范运作存在重大缺陷的可能导致退市；执行标准更严，明显丧失持续经营能力，仅依赖与主业无关的贸易或者不具备商业实质的关联交易维持收入的上市公司可能会被退市。</w:t>
      </w:r>
    </w:p>
    <w:p w:rsidR="004A090B">
      <w:pPr>
        <w:spacing w:line="360" w:lineRule="auto"/>
        <w:ind w:firstLine="420" w:firstLineChars="200"/>
        <w:rPr>
          <w:lang w:eastAsia="zh-CN"/>
        </w:rPr>
      </w:pPr>
      <w:r>
        <w:rPr>
          <w:rFonts w:ascii="宋体" w:hAnsi="宋体" w:cs="宋体"/>
          <w:color w:val="000000"/>
          <w:spacing w:val="-2"/>
          <w:highlight w:val="white"/>
          <w:lang w:eastAsia="zh-CN"/>
        </w:rPr>
        <w:t>4</w:t>
      </w:r>
      <w:r>
        <w:rPr>
          <w:rFonts w:ascii="宋体" w:hAnsi="宋体" w:cs="宋体"/>
          <w:color w:val="000000"/>
          <w:spacing w:val="-2"/>
          <w:highlight w:val="white"/>
          <w:lang w:eastAsia="zh-CN"/>
        </w:rPr>
        <w:t>）红筹企业的投资风险</w:t>
      </w:r>
    </w:p>
    <w:p w:rsidR="004A090B">
      <w:pPr>
        <w:spacing w:line="360" w:lineRule="auto"/>
        <w:ind w:firstLine="420" w:firstLineChars="200"/>
        <w:rPr>
          <w:lang w:eastAsia="zh-CN"/>
        </w:rPr>
      </w:pPr>
      <w:r>
        <w:rPr>
          <w:rFonts w:ascii="宋体" w:hAnsi="宋体" w:cs="宋体"/>
          <w:color w:val="000000"/>
          <w:spacing w:val="-2"/>
          <w:highlight w:val="white"/>
          <w:lang w:eastAsia="zh-CN"/>
        </w:rPr>
        <w:t>符合相关规定的红筹企业可以在创业板上市。红筹企业在境外注册，可能采用协议控制架构，在信息披露、分红派息等方面可能与境内注册的上市公司存在差异。红筹企业注册地、境外上市地等地法律法规对当地投资者提供的保护</w:t>
      </w:r>
      <w:r>
        <w:rPr>
          <w:rFonts w:ascii="宋体" w:hAnsi="宋体" w:cs="宋体"/>
          <w:color w:val="000000"/>
          <w:spacing w:val="-2"/>
          <w:highlight w:val="white"/>
          <w:lang w:eastAsia="zh-CN"/>
        </w:rPr>
        <w:t>,</w:t>
      </w:r>
      <w:r>
        <w:rPr>
          <w:rFonts w:ascii="宋体" w:hAnsi="宋体" w:cs="宋体"/>
          <w:color w:val="000000"/>
          <w:spacing w:val="-2"/>
          <w:highlight w:val="white"/>
          <w:lang w:eastAsia="zh-CN"/>
        </w:rPr>
        <w:t>可能与境内法律为境内投资者提供的保护存在差异。</w:t>
      </w:r>
    </w:p>
    <w:p w:rsidR="004A090B">
      <w:pPr>
        <w:spacing w:line="360" w:lineRule="auto"/>
        <w:ind w:firstLine="420" w:firstLineChars="200"/>
        <w:rPr>
          <w:lang w:eastAsia="zh-CN"/>
        </w:rPr>
      </w:pPr>
      <w:r>
        <w:rPr>
          <w:rFonts w:ascii="宋体" w:hAnsi="宋体" w:cs="宋体"/>
          <w:color w:val="000000"/>
          <w:spacing w:val="-2"/>
          <w:highlight w:val="white"/>
          <w:lang w:eastAsia="zh-CN"/>
        </w:rPr>
        <w:t>红筹企业可以发行股票或存托凭证。存托凭证由存托人签发、以境外证券为基础在中国境内发行，代表境外基础证券权益。红筹企业存托凭证持有人实际享有的权益与境外基础证券持有人的权益虽然基本相当</w:t>
      </w:r>
      <w:r>
        <w:rPr>
          <w:rFonts w:ascii="宋体" w:hAnsi="宋体" w:cs="宋体"/>
          <w:color w:val="000000"/>
          <w:spacing w:val="-2"/>
          <w:highlight w:val="white"/>
          <w:lang w:eastAsia="zh-CN"/>
        </w:rPr>
        <w:t>,</w:t>
      </w:r>
      <w:r>
        <w:rPr>
          <w:rFonts w:ascii="宋体" w:hAnsi="宋体" w:cs="宋体"/>
          <w:color w:val="000000"/>
          <w:spacing w:val="-2"/>
          <w:highlight w:val="white"/>
          <w:lang w:eastAsia="zh-CN"/>
        </w:rPr>
        <w:t>但并不能等同于直接持有境外基础证券。投资者将应当充分知悉存托协议和相关规则的</w:t>
      </w:r>
      <w:r>
        <w:rPr>
          <w:rFonts w:ascii="宋体" w:hAnsi="宋体" w:cs="宋体"/>
          <w:color w:val="000000"/>
          <w:spacing w:val="-2"/>
          <w:highlight w:val="white"/>
          <w:lang w:eastAsia="zh-CN"/>
        </w:rPr>
        <w:t>具体内容，了解并接受在交易和持有红筹企业股票或存托凭证过程中可能存在的风险。</w:t>
      </w:r>
    </w:p>
    <w:p w:rsidR="004A090B">
      <w:pPr>
        <w:spacing w:line="360" w:lineRule="auto"/>
        <w:ind w:firstLine="420" w:firstLineChars="200"/>
        <w:rPr>
          <w:lang w:eastAsia="zh-CN"/>
        </w:rPr>
      </w:pPr>
      <w:r>
        <w:rPr>
          <w:rFonts w:ascii="宋体" w:hAnsi="宋体" w:cs="宋体"/>
          <w:color w:val="000000"/>
          <w:spacing w:val="-2"/>
          <w:highlight w:val="white"/>
          <w:lang w:eastAsia="zh-CN"/>
        </w:rPr>
        <w:t>5</w:t>
      </w:r>
      <w:r>
        <w:rPr>
          <w:rFonts w:ascii="宋体" w:hAnsi="宋体" w:cs="宋体"/>
          <w:color w:val="000000"/>
          <w:spacing w:val="-2"/>
          <w:highlight w:val="white"/>
          <w:lang w:eastAsia="zh-CN"/>
        </w:rPr>
        <w:t>）监管规则变化的风险</w:t>
      </w:r>
    </w:p>
    <w:p w:rsidR="004A090B">
      <w:pPr>
        <w:spacing w:line="360" w:lineRule="auto"/>
        <w:ind w:firstLine="420" w:firstLineChars="200"/>
        <w:rPr>
          <w:lang w:eastAsia="zh-CN"/>
        </w:rPr>
      </w:pPr>
      <w:r>
        <w:rPr>
          <w:rFonts w:ascii="宋体" w:hAnsi="宋体" w:cs="宋体"/>
          <w:color w:val="000000"/>
          <w:spacing w:val="-2"/>
          <w:highlight w:val="white"/>
          <w:lang w:eastAsia="zh-CN"/>
        </w:rPr>
        <w:t>创业板相关法律、行政法规、部门规章、规范性文件（以下简称法律法规）和交易所业务规则，可能根据市场情况进行修改，或者制定新的法律法规和业务规则，导致基金投资运作产生相应调整变化。</w:t>
      </w:r>
    </w:p>
    <w:p w:rsidR="004A090B">
      <w:pPr>
        <w:spacing w:line="360" w:lineRule="auto"/>
        <w:ind w:firstLine="420" w:firstLineChars="200"/>
        <w:rPr>
          <w:rFonts w:ascii="宋体" w:hAnsi="Calibri"/>
          <w:spacing w:val="-2"/>
          <w:szCs w:val="21"/>
          <w:lang w:eastAsia="zh-CN"/>
        </w:rPr>
      </w:pPr>
      <w:r>
        <w:rPr>
          <w:rFonts w:ascii="宋体" w:hAnsi="Calibri"/>
          <w:spacing w:val="-2"/>
          <w:szCs w:val="21"/>
          <w:lang w:eastAsia="zh-CN"/>
        </w:rPr>
        <w:t>2</w:t>
      </w:r>
      <w:r>
        <w:rPr>
          <w:rFonts w:ascii="宋体" w:hAnsi="Calibri"/>
          <w:spacing w:val="-2"/>
          <w:szCs w:val="21"/>
          <w:lang w:eastAsia="zh-CN"/>
        </w:rPr>
        <w:t>、指数化投资的风险</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本基金投资于目标</w:t>
      </w:r>
      <w:r>
        <w:rPr>
          <w:rFonts w:ascii="宋体" w:hAnsi="Calibri" w:hint="eastAsia"/>
          <w:spacing w:val="-2"/>
          <w:szCs w:val="21"/>
          <w:lang w:eastAsia="zh-CN"/>
        </w:rPr>
        <w:t>ETF</w:t>
      </w:r>
      <w:r>
        <w:rPr>
          <w:rFonts w:ascii="宋体" w:hAnsi="Calibri" w:hint="eastAsia"/>
          <w:spacing w:val="-2"/>
          <w:szCs w:val="21"/>
          <w:lang w:eastAsia="zh-CN"/>
        </w:rPr>
        <w:t>的资产不低于基金资产净值的</w:t>
      </w:r>
      <w:r>
        <w:rPr>
          <w:rFonts w:ascii="宋体" w:hAnsi="Calibri" w:hint="eastAsia"/>
          <w:spacing w:val="-2"/>
          <w:szCs w:val="21"/>
          <w:lang w:eastAsia="zh-CN"/>
        </w:rPr>
        <w:t>90%</w:t>
      </w:r>
      <w:r>
        <w:rPr>
          <w:rFonts w:ascii="宋体" w:hAnsi="Calibri" w:hint="eastAsia"/>
          <w:spacing w:val="-2"/>
          <w:szCs w:val="21"/>
          <w:lang w:eastAsia="zh-CN"/>
        </w:rPr>
        <w:t>，目标</w:t>
      </w:r>
      <w:r>
        <w:rPr>
          <w:rFonts w:ascii="宋体" w:hAnsi="Calibri" w:hint="eastAsia"/>
          <w:spacing w:val="-2"/>
          <w:szCs w:val="21"/>
          <w:lang w:eastAsia="zh-CN"/>
        </w:rPr>
        <w:t>ETF</w:t>
      </w:r>
      <w:r>
        <w:rPr>
          <w:rFonts w:ascii="宋体" w:hAnsi="Calibri" w:hint="eastAsia"/>
          <w:spacing w:val="-2"/>
          <w:szCs w:val="21"/>
          <w:lang w:eastAsia="zh-CN"/>
        </w:rPr>
        <w:t>投资标的指数成份股及备选成份股的资产不低于基金资产净值的</w:t>
      </w:r>
      <w:r>
        <w:rPr>
          <w:rFonts w:ascii="宋体" w:hAnsi="Calibri" w:hint="eastAsia"/>
          <w:spacing w:val="-2"/>
          <w:szCs w:val="21"/>
          <w:lang w:eastAsia="zh-CN"/>
        </w:rPr>
        <w:t>90%</w:t>
      </w:r>
      <w:r>
        <w:rPr>
          <w:rFonts w:ascii="宋体" w:hAnsi="Calibri"/>
          <w:spacing w:val="-2"/>
          <w:szCs w:val="21"/>
          <w:lang w:eastAsia="zh-CN"/>
        </w:rPr>
        <w:t>，业绩表现将会随着标的指数的波动而波动；同时本基金在多数情况下将维持较高的股票仓位，在股票市场下跌的过程中，可能面临基金净值与标的指数同步下跌的风险。</w:t>
      </w:r>
    </w:p>
    <w:p w:rsidR="004A090B">
      <w:pPr>
        <w:spacing w:line="360" w:lineRule="auto"/>
        <w:ind w:firstLine="420" w:firstLineChars="200"/>
        <w:rPr>
          <w:rFonts w:ascii="宋体" w:hAnsi="Calibri"/>
          <w:bCs/>
          <w:szCs w:val="21"/>
          <w:lang w:eastAsia="zh-CN"/>
        </w:rPr>
      </w:pPr>
      <w:r>
        <w:rPr>
          <w:rFonts w:ascii="宋体" w:hAnsi="Calibri" w:hint="eastAsia"/>
          <w:bCs/>
          <w:szCs w:val="21"/>
          <w:lang w:eastAsia="zh-CN"/>
        </w:rPr>
        <w:t>（</w:t>
      </w:r>
      <w:r>
        <w:rPr>
          <w:rFonts w:ascii="宋体" w:hAnsi="Calibri" w:hint="eastAsia"/>
          <w:bCs/>
          <w:szCs w:val="21"/>
          <w:lang w:eastAsia="zh-CN"/>
        </w:rPr>
        <w:t>1</w:t>
      </w:r>
      <w:r>
        <w:rPr>
          <w:rFonts w:ascii="宋体" w:hAnsi="Calibri" w:hint="eastAsia"/>
          <w:bCs/>
          <w:szCs w:val="21"/>
          <w:lang w:eastAsia="zh-CN"/>
        </w:rPr>
        <w:t>）标的指数回报与股票市场平均回报偏离的风险</w:t>
      </w:r>
    </w:p>
    <w:p w:rsidR="004A090B">
      <w:pPr>
        <w:spacing w:line="360" w:lineRule="auto"/>
        <w:ind w:firstLine="420" w:firstLineChars="200"/>
        <w:rPr>
          <w:rFonts w:ascii="宋体" w:hAnsi="Calibri"/>
          <w:bCs/>
          <w:szCs w:val="21"/>
          <w:lang w:eastAsia="zh-CN"/>
        </w:rPr>
      </w:pPr>
      <w:r>
        <w:rPr>
          <w:rFonts w:ascii="宋体" w:hAnsi="Calibri" w:hint="eastAsia"/>
          <w:bCs/>
          <w:szCs w:val="21"/>
          <w:lang w:eastAsia="zh-CN"/>
        </w:rPr>
        <w:t>标的指数并不能代表整个股票市场。标的指数成份股的平均回报率与整个股票市场的平均回报率可能存在偏离。</w:t>
      </w:r>
    </w:p>
    <w:p w:rsidR="004A090B">
      <w:pPr>
        <w:spacing w:line="360" w:lineRule="auto"/>
        <w:ind w:firstLine="420" w:firstLineChars="200"/>
        <w:rPr>
          <w:rFonts w:ascii="宋体" w:hAnsi="Calibri"/>
          <w:spacing w:val="-2"/>
          <w:szCs w:val="21"/>
          <w:lang w:eastAsia="zh-CN"/>
        </w:rPr>
      </w:pPr>
      <w:r>
        <w:rPr>
          <w:rFonts w:ascii="宋体" w:hAnsi="Calibri"/>
          <w:spacing w:val="-2"/>
          <w:szCs w:val="21"/>
          <w:lang w:eastAsia="zh-CN"/>
        </w:rPr>
        <w:t>（</w:t>
      </w:r>
      <w:r>
        <w:rPr>
          <w:rFonts w:ascii="宋体" w:hAnsi="Calibri"/>
          <w:spacing w:val="-2"/>
          <w:szCs w:val="21"/>
          <w:lang w:eastAsia="zh-CN"/>
        </w:rPr>
        <w:t>2</w:t>
      </w:r>
      <w:r>
        <w:rPr>
          <w:rFonts w:ascii="宋体" w:hAnsi="Calibri"/>
          <w:spacing w:val="-2"/>
          <w:szCs w:val="21"/>
          <w:lang w:eastAsia="zh-CN"/>
        </w:rPr>
        <w:t>）标的指数波动的风险</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目标</w:t>
      </w:r>
      <w:r>
        <w:rPr>
          <w:rFonts w:ascii="宋体" w:hAnsi="Calibri" w:hint="eastAsia"/>
          <w:spacing w:val="-2"/>
          <w:szCs w:val="21"/>
          <w:lang w:eastAsia="zh-CN"/>
        </w:rPr>
        <w:t>ETF</w:t>
      </w:r>
      <w:r>
        <w:rPr>
          <w:rFonts w:ascii="宋体" w:hAnsi="Calibri" w:hint="eastAsia"/>
          <w:spacing w:val="-2"/>
          <w:szCs w:val="21"/>
          <w:lang w:eastAsia="zh-CN"/>
        </w:rPr>
        <w:t>标的指数成份股及备选成份股的价格可能受到政治因素、经济因素、上市公司经营状况、投资者心理和交易制度等各种因素的影响而波动，导致指数波动。由于本基金主要投资于目标</w:t>
      </w:r>
      <w:r>
        <w:rPr>
          <w:rFonts w:ascii="宋体" w:hAnsi="Calibri" w:hint="eastAsia"/>
          <w:spacing w:val="-2"/>
          <w:szCs w:val="21"/>
          <w:lang w:eastAsia="zh-CN"/>
        </w:rPr>
        <w:t>ETF</w:t>
      </w:r>
      <w:r>
        <w:rPr>
          <w:rFonts w:ascii="宋体" w:hAnsi="Calibri" w:hint="eastAsia"/>
          <w:spacing w:val="-2"/>
          <w:szCs w:val="21"/>
          <w:lang w:eastAsia="zh-CN"/>
        </w:rPr>
        <w:t>，基金收益</w:t>
      </w:r>
      <w:r>
        <w:rPr>
          <w:rFonts w:ascii="宋体" w:hAnsi="Calibri" w:hint="eastAsia"/>
          <w:spacing w:val="-2"/>
          <w:szCs w:val="21"/>
          <w:lang w:eastAsia="zh-CN"/>
        </w:rPr>
        <w:t>水平会因为目标</w:t>
      </w:r>
      <w:r>
        <w:rPr>
          <w:rFonts w:ascii="宋体" w:hAnsi="Calibri" w:hint="eastAsia"/>
          <w:spacing w:val="-2"/>
          <w:szCs w:val="21"/>
          <w:lang w:eastAsia="zh-CN"/>
        </w:rPr>
        <w:t>ETF</w:t>
      </w:r>
      <w:r>
        <w:rPr>
          <w:rFonts w:ascii="宋体" w:hAnsi="Calibri" w:hint="eastAsia"/>
          <w:spacing w:val="-2"/>
          <w:szCs w:val="21"/>
          <w:lang w:eastAsia="zh-CN"/>
        </w:rPr>
        <w:t>标的指数的波动发生变化，从而产生风险。</w:t>
      </w:r>
    </w:p>
    <w:p w:rsidR="004A090B">
      <w:pPr>
        <w:spacing w:line="360" w:lineRule="auto"/>
        <w:ind w:firstLine="420" w:firstLineChars="200"/>
        <w:rPr>
          <w:rFonts w:ascii="宋体" w:hAnsi="Calibri"/>
          <w:spacing w:val="-2"/>
          <w:szCs w:val="21"/>
          <w:lang w:eastAsia="zh-CN"/>
        </w:rPr>
      </w:pPr>
      <w:r>
        <w:rPr>
          <w:rFonts w:ascii="宋体" w:hAnsi="Calibri"/>
          <w:spacing w:val="-2"/>
          <w:szCs w:val="21"/>
          <w:lang w:eastAsia="zh-CN"/>
        </w:rPr>
        <w:t>（</w:t>
      </w:r>
      <w:r>
        <w:rPr>
          <w:rFonts w:ascii="宋体" w:hAnsi="Calibri"/>
          <w:spacing w:val="-2"/>
          <w:szCs w:val="21"/>
          <w:lang w:eastAsia="zh-CN"/>
        </w:rPr>
        <w:t>3</w:t>
      </w:r>
      <w:r>
        <w:rPr>
          <w:rFonts w:ascii="宋体" w:hAnsi="Calibri"/>
          <w:spacing w:val="-2"/>
          <w:szCs w:val="21"/>
          <w:lang w:eastAsia="zh-CN"/>
        </w:rPr>
        <w:t>）</w:t>
      </w:r>
      <w:r>
        <w:rPr>
          <w:rFonts w:ascii="宋体" w:hAnsi="Calibri" w:hint="eastAsia"/>
          <w:spacing w:val="-2"/>
          <w:szCs w:val="21"/>
          <w:lang w:eastAsia="zh-CN"/>
        </w:rPr>
        <w:t>指数成份股主要集中于人工智能主题公司</w:t>
      </w:r>
      <w:r>
        <w:rPr>
          <w:rFonts w:ascii="宋体" w:hAnsi="Calibri" w:hint="eastAsia"/>
          <w:bCs/>
          <w:szCs w:val="21"/>
          <w:lang w:eastAsia="zh-CN"/>
        </w:rPr>
        <w:t>的</w:t>
      </w:r>
      <w:r>
        <w:rPr>
          <w:rFonts w:ascii="宋体" w:hAnsi="Calibri" w:hint="eastAsia"/>
          <w:spacing w:val="-2"/>
          <w:szCs w:val="21"/>
          <w:lang w:eastAsia="zh-CN"/>
        </w:rPr>
        <w:t>集中度风险</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目标</w:t>
      </w:r>
      <w:r>
        <w:rPr>
          <w:rFonts w:ascii="宋体" w:hAnsi="Calibri" w:hint="eastAsia"/>
          <w:spacing w:val="-2"/>
          <w:szCs w:val="21"/>
          <w:lang w:eastAsia="zh-CN"/>
        </w:rPr>
        <w:t>ETF</w:t>
      </w:r>
      <w:r>
        <w:rPr>
          <w:rFonts w:ascii="宋体" w:hAnsi="Calibri" w:hint="eastAsia"/>
          <w:spacing w:val="-2"/>
          <w:szCs w:val="21"/>
          <w:lang w:eastAsia="zh-CN"/>
        </w:rPr>
        <w:t>标的指数成份股主要集中于人工智能主题公司，须承受因政府政策变化、行业景气度变化等影响人工智能主题公司的因素所带来的</w:t>
      </w:r>
      <w:r>
        <w:rPr>
          <w:rFonts w:ascii="宋体" w:hAnsi="Calibri" w:hint="eastAsia"/>
          <w:bCs/>
          <w:szCs w:val="21"/>
          <w:lang w:eastAsia="zh-CN"/>
        </w:rPr>
        <w:t>相关</w:t>
      </w:r>
      <w:r>
        <w:rPr>
          <w:rFonts w:ascii="宋体" w:hAnsi="Calibri" w:hint="eastAsia"/>
          <w:spacing w:val="-2"/>
          <w:szCs w:val="21"/>
          <w:lang w:eastAsia="zh-CN"/>
        </w:rPr>
        <w:t>风险。</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w:t>
      </w:r>
      <w:r>
        <w:rPr>
          <w:rFonts w:ascii="宋体" w:hAnsi="Calibri"/>
          <w:spacing w:val="-2"/>
          <w:szCs w:val="21"/>
          <w:lang w:eastAsia="zh-CN"/>
        </w:rPr>
        <w:t>4</w:t>
      </w:r>
      <w:r>
        <w:rPr>
          <w:rFonts w:ascii="宋体" w:hAnsi="Calibri" w:hint="eastAsia"/>
          <w:spacing w:val="-2"/>
          <w:szCs w:val="21"/>
          <w:lang w:eastAsia="zh-CN"/>
        </w:rPr>
        <w:t>）部分成份股权重较大的风险</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根据本基金标的指数编制方案，存在个别成份股权重较大、集中度较高的情况，可能使基金面临较大波动风险或流动性风险。</w:t>
      </w:r>
    </w:p>
    <w:p w:rsidR="004A090B">
      <w:pPr>
        <w:spacing w:line="360" w:lineRule="auto"/>
        <w:ind w:firstLine="420" w:firstLineChars="200"/>
        <w:rPr>
          <w:rFonts w:ascii="宋体" w:hAnsi="Calibri"/>
          <w:bCs/>
          <w:szCs w:val="21"/>
          <w:lang w:eastAsia="zh-CN"/>
        </w:rPr>
      </w:pPr>
      <w:r>
        <w:rPr>
          <w:rFonts w:ascii="宋体" w:hAnsi="Calibri" w:hint="eastAsia"/>
          <w:bCs/>
          <w:szCs w:val="21"/>
          <w:highlight w:val="white"/>
          <w:lang w:eastAsia="zh-CN"/>
        </w:rPr>
        <w:t>（</w:t>
      </w:r>
      <w:r>
        <w:rPr>
          <w:rFonts w:ascii="宋体" w:hAnsi="Calibri" w:hint="eastAsia"/>
          <w:bCs/>
          <w:szCs w:val="21"/>
          <w:highlight w:val="white"/>
          <w:lang w:eastAsia="zh-CN"/>
        </w:rPr>
        <w:t>5</w:t>
      </w:r>
      <w:r>
        <w:rPr>
          <w:rFonts w:ascii="宋体" w:hAnsi="Calibri" w:hint="eastAsia"/>
          <w:bCs/>
          <w:szCs w:val="21"/>
          <w:highlight w:val="white"/>
          <w:lang w:eastAsia="zh-CN"/>
        </w:rPr>
        <w:t>）标的指数发布时间较短的风险</w:t>
      </w:r>
    </w:p>
    <w:p w:rsidR="004A090B">
      <w:pPr>
        <w:spacing w:line="360" w:lineRule="auto"/>
        <w:ind w:firstLine="420" w:firstLineChars="200"/>
        <w:rPr>
          <w:rFonts w:ascii="宋体" w:hAnsi="Calibri"/>
          <w:bCs/>
          <w:szCs w:val="21"/>
          <w:lang w:eastAsia="zh-CN"/>
        </w:rPr>
      </w:pPr>
      <w:r>
        <w:rPr>
          <w:rFonts w:ascii="宋体" w:hAnsi="Calibri" w:hint="eastAsia"/>
          <w:bCs/>
          <w:szCs w:val="21"/>
          <w:highlight w:val="white"/>
          <w:lang w:eastAsia="zh-CN"/>
        </w:rPr>
        <w:t>本基金标的指数发布时间较短，可回溯历史数据的时间也较短，无法代表过往完整的业绩表现</w:t>
      </w:r>
      <w:r>
        <w:rPr>
          <w:rFonts w:ascii="宋体" w:hAnsi="Calibri" w:hint="eastAsia"/>
          <w:bCs/>
          <w:szCs w:val="21"/>
          <w:highlight w:val="white"/>
          <w:lang w:eastAsia="zh-CN"/>
        </w:rPr>
        <w:t>，也不预示其未来走势。</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w:t>
      </w:r>
      <w:r>
        <w:rPr>
          <w:rFonts w:ascii="宋体" w:hAnsi="Calibri" w:hint="eastAsia"/>
          <w:spacing w:val="-2"/>
          <w:szCs w:val="21"/>
          <w:lang w:eastAsia="zh-CN"/>
        </w:rPr>
        <w:t>6</w:t>
      </w:r>
      <w:r>
        <w:rPr>
          <w:rFonts w:ascii="宋体" w:hAnsi="Calibri" w:hint="eastAsia"/>
          <w:spacing w:val="-2"/>
          <w:szCs w:val="21"/>
          <w:lang w:eastAsia="zh-CN"/>
        </w:rPr>
        <w:t>）成份股停牌的风险</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标的指数成份股可能因各种原因临时或长期停牌，发生成份股停牌时可能面临如下风险：</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1</w:t>
      </w:r>
      <w:r>
        <w:rPr>
          <w:rFonts w:ascii="宋体" w:hAnsi="Calibri" w:hint="eastAsia"/>
          <w:spacing w:val="-2"/>
          <w:szCs w:val="21"/>
          <w:lang w:eastAsia="zh-CN"/>
        </w:rPr>
        <w:t>）目标</w:t>
      </w:r>
      <w:r>
        <w:rPr>
          <w:rFonts w:ascii="宋体" w:hAnsi="Calibri" w:hint="eastAsia"/>
          <w:spacing w:val="-2"/>
          <w:szCs w:val="21"/>
          <w:lang w:eastAsia="zh-CN"/>
        </w:rPr>
        <w:t>ETF</w:t>
      </w:r>
      <w:r>
        <w:rPr>
          <w:rFonts w:ascii="宋体" w:hAnsi="Calibri" w:hint="eastAsia"/>
          <w:spacing w:val="-2"/>
          <w:szCs w:val="21"/>
          <w:lang w:eastAsia="zh-CN"/>
        </w:rPr>
        <w:t>可能因无法及时调整投资组合而导致本基金跟踪偏离度和跟踪误差扩大。</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2</w:t>
      </w:r>
      <w:r>
        <w:rPr>
          <w:rFonts w:ascii="宋体" w:hAnsi="Calibri" w:hint="eastAsia"/>
          <w:spacing w:val="-2"/>
          <w:szCs w:val="21"/>
          <w:lang w:eastAsia="zh-CN"/>
        </w:rPr>
        <w:t>）在极端情况下，标的指数成份股可能大面积停牌，目标</w:t>
      </w:r>
      <w:r>
        <w:rPr>
          <w:rFonts w:ascii="宋体" w:hAnsi="Calibri" w:hint="eastAsia"/>
          <w:spacing w:val="-2"/>
          <w:szCs w:val="21"/>
          <w:lang w:eastAsia="zh-CN"/>
        </w:rPr>
        <w:t>ETF</w:t>
      </w:r>
      <w:r>
        <w:rPr>
          <w:rFonts w:ascii="宋体" w:hAnsi="Calibri" w:hint="eastAsia"/>
          <w:spacing w:val="-2"/>
          <w:szCs w:val="21"/>
          <w:lang w:eastAsia="zh-CN"/>
        </w:rPr>
        <w:t>可能无法及时卖出成份股以获取足额的符合要求的赎回对价，由此基金管理人可能在申购赎回清单中设置较低的赎回份额上限或者采取暂停赎回的措施，本基金将面临无法赎回全部或部分</w:t>
      </w:r>
      <w:r>
        <w:rPr>
          <w:rFonts w:ascii="宋体" w:hAnsi="Calibri" w:hint="eastAsia"/>
          <w:spacing w:val="-2"/>
          <w:szCs w:val="21"/>
          <w:lang w:eastAsia="zh-CN"/>
        </w:rPr>
        <w:t>ETF</w:t>
      </w:r>
      <w:r>
        <w:rPr>
          <w:rFonts w:ascii="宋体" w:hAnsi="Calibri" w:hint="eastAsia"/>
          <w:spacing w:val="-2"/>
          <w:szCs w:val="21"/>
          <w:lang w:eastAsia="zh-CN"/>
        </w:rPr>
        <w:t>份额的风险。</w:t>
      </w:r>
    </w:p>
    <w:p w:rsidR="004A090B">
      <w:pPr>
        <w:spacing w:line="360" w:lineRule="auto"/>
        <w:ind w:firstLine="420"/>
        <w:rPr>
          <w:lang w:eastAsia="zh-CN"/>
        </w:rPr>
      </w:pPr>
      <w:r>
        <w:rPr>
          <w:rFonts w:ascii="宋体" w:hAnsi="Calibri"/>
          <w:spacing w:val="-2"/>
          <w:szCs w:val="21"/>
          <w:highlight w:val="white"/>
          <w:lang w:eastAsia="zh-CN"/>
        </w:rPr>
        <w:t>（</w:t>
      </w:r>
      <w:r>
        <w:rPr>
          <w:rFonts w:ascii="宋体" w:hAnsi="Calibri"/>
          <w:spacing w:val="-2"/>
          <w:szCs w:val="21"/>
          <w:highlight w:val="white"/>
          <w:lang w:eastAsia="zh-CN"/>
        </w:rPr>
        <w:t>7</w:t>
      </w:r>
      <w:r>
        <w:rPr>
          <w:rFonts w:ascii="宋体" w:hAnsi="Calibri"/>
          <w:spacing w:val="-2"/>
          <w:szCs w:val="21"/>
          <w:highlight w:val="white"/>
          <w:lang w:eastAsia="zh-CN"/>
        </w:rPr>
        <w:t>）基金分红特殊安排的风险</w:t>
      </w:r>
    </w:p>
    <w:p w:rsidR="004A090B">
      <w:pPr>
        <w:spacing w:line="360" w:lineRule="auto"/>
        <w:ind w:firstLine="420"/>
        <w:rPr>
          <w:lang w:eastAsia="zh-CN"/>
        </w:rPr>
      </w:pPr>
      <w:r>
        <w:rPr>
          <w:rFonts w:ascii="宋体" w:hAnsi="Calibri" w:hint="eastAsia"/>
          <w:bCs/>
          <w:szCs w:val="21"/>
          <w:highlight w:val="white"/>
          <w:lang w:eastAsia="zh-CN"/>
        </w:rPr>
        <w:t>本基金设定了不同的基金分红条件：</w:t>
      </w:r>
    </w:p>
    <w:p w:rsidR="004A090B">
      <w:pPr>
        <w:spacing w:line="360" w:lineRule="auto"/>
        <w:ind w:firstLine="420"/>
        <w:rPr>
          <w:lang w:eastAsia="zh-CN"/>
        </w:rPr>
      </w:pPr>
      <w:r>
        <w:rPr>
          <w:rFonts w:ascii="宋体" w:hAnsi="Calibri"/>
          <w:spacing w:val="-2"/>
          <w:szCs w:val="21"/>
          <w:highlight w:val="white"/>
          <w:lang w:eastAsia="zh-CN"/>
        </w:rPr>
        <w:t>1</w:t>
      </w:r>
      <w:r>
        <w:rPr>
          <w:rFonts w:ascii="宋体" w:hAnsi="Calibri"/>
          <w:spacing w:val="-2"/>
          <w:szCs w:val="21"/>
          <w:highlight w:val="white"/>
          <w:lang w:eastAsia="zh-CN"/>
        </w:rPr>
        <w:t>）当基金相对业绩比较基准的超额收益大于</w:t>
      </w:r>
      <w:r>
        <w:rPr>
          <w:rFonts w:ascii="宋体" w:hAnsi="Calibri"/>
          <w:spacing w:val="-2"/>
          <w:szCs w:val="21"/>
          <w:highlight w:val="white"/>
          <w:lang w:eastAsia="zh-CN"/>
        </w:rPr>
        <w:t>0</w:t>
      </w:r>
      <w:r>
        <w:rPr>
          <w:rFonts w:ascii="宋体" w:hAnsi="Calibri"/>
          <w:spacing w:val="-2"/>
          <w:szCs w:val="21"/>
          <w:highlight w:val="white"/>
          <w:lang w:eastAsia="zh-CN"/>
        </w:rPr>
        <w:t>时，基金管理人可进行收益分配。在此情形下，基于本基金的特点，本基金收益分配无需以弥补亏损为前提，收益分配后可能存在基金份额净值低于面值的风险；</w:t>
      </w:r>
    </w:p>
    <w:p w:rsidR="004A090B">
      <w:pPr>
        <w:spacing w:line="360" w:lineRule="auto"/>
        <w:ind w:firstLine="420"/>
        <w:rPr>
          <w:lang w:eastAsia="zh-CN"/>
        </w:rPr>
      </w:pPr>
      <w:r>
        <w:rPr>
          <w:rFonts w:ascii="宋体" w:hAnsi="Calibri"/>
          <w:spacing w:val="-2"/>
          <w:szCs w:val="21"/>
          <w:highlight w:val="white"/>
          <w:lang w:eastAsia="zh-CN"/>
        </w:rPr>
        <w:t>2</w:t>
      </w:r>
      <w:r>
        <w:rPr>
          <w:rFonts w:ascii="宋体" w:hAnsi="Calibri"/>
          <w:spacing w:val="-2"/>
          <w:szCs w:val="21"/>
          <w:highlight w:val="white"/>
          <w:lang w:eastAsia="zh-CN"/>
        </w:rPr>
        <w:t>）当基金可供分配利润金额高于</w:t>
      </w:r>
      <w:r>
        <w:rPr>
          <w:rFonts w:ascii="宋体" w:hAnsi="Calibri"/>
          <w:spacing w:val="-2"/>
          <w:szCs w:val="21"/>
          <w:highlight w:val="white"/>
          <w:lang w:eastAsia="zh-CN"/>
        </w:rPr>
        <w:t>0</w:t>
      </w:r>
      <w:r>
        <w:rPr>
          <w:rFonts w:ascii="宋体" w:hAnsi="Calibri"/>
          <w:spacing w:val="-2"/>
          <w:szCs w:val="21"/>
          <w:highlight w:val="white"/>
          <w:lang w:eastAsia="zh-CN"/>
        </w:rPr>
        <w:t>元时，基金管理人可进行收益分配。在此情形下，基金收益分配后基金份额净值不能低于面值，即基金收益分配基准日的基金份额净值减去每单位基金份额收益分配金额后不能低于面值</w:t>
      </w:r>
      <w:r>
        <w:rPr>
          <w:rFonts w:ascii="宋体" w:hAnsi="Calibri" w:hint="eastAsia"/>
          <w:spacing w:val="-2"/>
          <w:szCs w:val="21"/>
          <w:highlight w:val="white"/>
          <w:lang w:eastAsia="zh-CN"/>
        </w:rPr>
        <w:t>；</w:t>
      </w:r>
    </w:p>
    <w:p w:rsidR="004A090B">
      <w:pPr>
        <w:spacing w:line="360" w:lineRule="auto"/>
        <w:ind w:firstLine="420"/>
        <w:rPr>
          <w:lang w:eastAsia="zh-CN"/>
        </w:rPr>
      </w:pPr>
      <w:r>
        <w:rPr>
          <w:rFonts w:ascii="宋体" w:hAnsi="Calibri"/>
          <w:spacing w:val="-2"/>
          <w:szCs w:val="21"/>
          <w:highlight w:val="white"/>
          <w:lang w:eastAsia="zh-CN"/>
        </w:rPr>
        <w:t>3</w:t>
      </w:r>
      <w:r>
        <w:rPr>
          <w:rFonts w:ascii="宋体" w:hAnsi="Calibri"/>
          <w:spacing w:val="-2"/>
          <w:szCs w:val="21"/>
          <w:highlight w:val="white"/>
          <w:lang w:eastAsia="zh-CN"/>
        </w:rPr>
        <w:t>）在符合有关基金分红条件的情形下，基金管理人可以根据实际情况进行收益分配，具体分配方案以届时的公告为准。</w:t>
      </w:r>
    </w:p>
    <w:p w:rsidR="004A090B">
      <w:pPr>
        <w:spacing w:line="360" w:lineRule="auto"/>
        <w:ind w:firstLine="420" w:firstLineChars="200"/>
        <w:rPr>
          <w:rFonts w:ascii="宋体" w:hAnsi="Calibri"/>
          <w:spacing w:val="-2"/>
          <w:szCs w:val="21"/>
          <w:lang w:eastAsia="zh-CN"/>
        </w:rPr>
      </w:pPr>
      <w:r>
        <w:rPr>
          <w:rFonts w:ascii="宋体" w:hAnsi="Calibri"/>
          <w:spacing w:val="-2"/>
          <w:szCs w:val="21"/>
          <w:highlight w:val="white"/>
          <w:lang w:eastAsia="zh-CN"/>
        </w:rPr>
        <w:t>以上分红安排较为特</w:t>
      </w:r>
      <w:r>
        <w:rPr>
          <w:rFonts w:ascii="宋体" w:hAnsi="Calibri"/>
          <w:spacing w:val="-2"/>
          <w:szCs w:val="21"/>
          <w:highlight w:val="white"/>
          <w:lang w:eastAsia="zh-CN"/>
        </w:rPr>
        <w:t>殊，可能对投资者的投资行为和结果产生一定的影响。此外，在分红过程中可能因证券买卖价格波动、证券交易成本、基金仓位变动等对基金跟踪误差有所影响。请投资者知悉上述事项并做好相应安排。</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w:t>
      </w:r>
      <w:r>
        <w:rPr>
          <w:rFonts w:ascii="宋体" w:hAnsi="Calibri" w:hint="eastAsia"/>
          <w:spacing w:val="-2"/>
          <w:szCs w:val="21"/>
          <w:lang w:eastAsia="zh-CN"/>
        </w:rPr>
        <w:t>8</w:t>
      </w:r>
      <w:r>
        <w:rPr>
          <w:rFonts w:ascii="宋体" w:hAnsi="Calibri" w:hint="eastAsia"/>
          <w:spacing w:val="-2"/>
          <w:szCs w:val="21"/>
          <w:lang w:eastAsia="zh-CN"/>
        </w:rPr>
        <w:t>）基金收益率与业绩比较基准收益率偏离的风险，主要影响因素包括：</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1</w:t>
      </w:r>
      <w:r>
        <w:rPr>
          <w:rFonts w:ascii="宋体" w:hAnsi="Calibri" w:hint="eastAsia"/>
          <w:spacing w:val="-2"/>
          <w:szCs w:val="21"/>
          <w:lang w:eastAsia="zh-CN"/>
        </w:rPr>
        <w:t>）目标</w:t>
      </w:r>
      <w:r>
        <w:rPr>
          <w:rFonts w:ascii="宋体" w:hAnsi="Calibri" w:hint="eastAsia"/>
          <w:spacing w:val="-2"/>
          <w:szCs w:val="21"/>
          <w:lang w:eastAsia="zh-CN"/>
        </w:rPr>
        <w:t>ETF</w:t>
      </w:r>
      <w:r>
        <w:rPr>
          <w:rFonts w:ascii="宋体" w:hAnsi="Calibri" w:hint="eastAsia"/>
          <w:spacing w:val="-2"/>
          <w:szCs w:val="21"/>
          <w:lang w:eastAsia="zh-CN"/>
        </w:rPr>
        <w:t>对指数的跟踪误差：本基金主要通过投资于目标</w:t>
      </w:r>
      <w:r>
        <w:rPr>
          <w:rFonts w:ascii="宋体" w:hAnsi="Calibri" w:hint="eastAsia"/>
          <w:spacing w:val="-2"/>
          <w:szCs w:val="21"/>
          <w:lang w:eastAsia="zh-CN"/>
        </w:rPr>
        <w:t>ETF</w:t>
      </w:r>
      <w:r>
        <w:rPr>
          <w:rFonts w:ascii="宋体" w:hAnsi="Calibri" w:hint="eastAsia"/>
          <w:spacing w:val="-2"/>
          <w:szCs w:val="21"/>
          <w:lang w:eastAsia="zh-CN"/>
        </w:rPr>
        <w:t>实现对业绩比较基准的紧密跟踪，目标</w:t>
      </w:r>
      <w:r>
        <w:rPr>
          <w:rFonts w:ascii="宋体" w:hAnsi="Calibri" w:hint="eastAsia"/>
          <w:spacing w:val="-2"/>
          <w:szCs w:val="21"/>
          <w:lang w:eastAsia="zh-CN"/>
        </w:rPr>
        <w:t>ETF</w:t>
      </w:r>
      <w:r>
        <w:rPr>
          <w:rFonts w:ascii="宋体" w:hAnsi="Calibri" w:hint="eastAsia"/>
          <w:spacing w:val="-2"/>
          <w:szCs w:val="21"/>
          <w:lang w:eastAsia="zh-CN"/>
        </w:rPr>
        <w:t>对指数的跟踪误差会影响本基金对业绩比较基准的跟踪误差；</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2</w:t>
      </w:r>
      <w:r>
        <w:rPr>
          <w:rFonts w:ascii="宋体" w:hAnsi="Calibri" w:hint="eastAsia"/>
          <w:spacing w:val="-2"/>
          <w:szCs w:val="21"/>
          <w:lang w:eastAsia="zh-CN"/>
        </w:rPr>
        <w:t>）本基金发生申购赎回、管理费和托管费收取等其他导致基金跟踪误差的情形。</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w:t>
      </w:r>
      <w:r>
        <w:rPr>
          <w:rFonts w:ascii="宋体" w:hAnsi="Calibri"/>
          <w:spacing w:val="-2"/>
          <w:szCs w:val="21"/>
          <w:lang w:eastAsia="zh-CN"/>
        </w:rPr>
        <w:t>9</w:t>
      </w:r>
      <w:r>
        <w:rPr>
          <w:rFonts w:ascii="宋体" w:hAnsi="Calibri" w:hint="eastAsia"/>
          <w:spacing w:val="-2"/>
          <w:szCs w:val="21"/>
          <w:lang w:eastAsia="zh-CN"/>
        </w:rPr>
        <w:t>）跟踪误差控制未达约定目标的风险</w:t>
      </w:r>
    </w:p>
    <w:p w:rsidR="004A090B">
      <w:pPr>
        <w:spacing w:line="360" w:lineRule="auto"/>
        <w:ind w:firstLine="420" w:firstLineChars="200"/>
        <w:rPr>
          <w:rFonts w:ascii="宋体" w:hAnsi="Calibri"/>
          <w:spacing w:val="-2"/>
          <w:szCs w:val="21"/>
          <w:lang w:eastAsia="zh-CN"/>
        </w:rPr>
      </w:pPr>
      <w:r>
        <w:rPr>
          <w:rFonts w:ascii="宋体" w:hAnsi="Calibri" w:hint="eastAsia"/>
          <w:szCs w:val="21"/>
          <w:lang w:eastAsia="zh-CN"/>
        </w:rPr>
        <w:t>本基金为目标</w:t>
      </w:r>
      <w:r>
        <w:rPr>
          <w:rFonts w:ascii="宋体" w:hAnsi="Calibri" w:hint="eastAsia"/>
          <w:szCs w:val="21"/>
          <w:lang w:eastAsia="zh-CN"/>
        </w:rPr>
        <w:t>ETF</w:t>
      </w:r>
      <w:r>
        <w:rPr>
          <w:rFonts w:ascii="宋体" w:hAnsi="Calibri" w:hint="eastAsia"/>
          <w:szCs w:val="21"/>
          <w:lang w:eastAsia="zh-CN"/>
        </w:rPr>
        <w:t>的联接基金，主要通过投资于目标</w:t>
      </w:r>
      <w:r>
        <w:rPr>
          <w:rFonts w:ascii="宋体" w:hAnsi="Calibri" w:hint="eastAsia"/>
          <w:szCs w:val="21"/>
          <w:lang w:eastAsia="zh-CN"/>
        </w:rPr>
        <w:t>ETF</w:t>
      </w:r>
      <w:r>
        <w:rPr>
          <w:rFonts w:ascii="宋体" w:hAnsi="Calibri" w:hint="eastAsia"/>
          <w:szCs w:val="21"/>
          <w:lang w:eastAsia="zh-CN"/>
        </w:rPr>
        <w:t>实现对业绩比较基准的紧密跟踪，力争将日均跟踪偏离度的绝对值控制在</w:t>
      </w:r>
      <w:r>
        <w:rPr>
          <w:rFonts w:ascii="宋体" w:hAnsi="Calibri" w:hint="eastAsia"/>
          <w:szCs w:val="21"/>
          <w:lang w:eastAsia="zh-CN"/>
        </w:rPr>
        <w:t>0.35%</w:t>
      </w:r>
      <w:r>
        <w:rPr>
          <w:rFonts w:ascii="宋体" w:hAnsi="Calibri" w:hint="eastAsia"/>
          <w:szCs w:val="21"/>
          <w:lang w:eastAsia="zh-CN"/>
        </w:rPr>
        <w:t>以内，年化跟踪误差控制在</w:t>
      </w:r>
      <w:r>
        <w:rPr>
          <w:rFonts w:ascii="宋体" w:hAnsi="Calibri" w:hint="eastAsia"/>
          <w:szCs w:val="21"/>
          <w:lang w:eastAsia="zh-CN"/>
        </w:rPr>
        <w:t>4%</w:t>
      </w:r>
      <w:r>
        <w:rPr>
          <w:rFonts w:ascii="宋体" w:hAnsi="Calibri" w:hint="eastAsia"/>
          <w:szCs w:val="21"/>
          <w:lang w:eastAsia="zh-CN"/>
        </w:rPr>
        <w:t>以内</w:t>
      </w:r>
      <w:r>
        <w:rPr>
          <w:rFonts w:ascii="宋体" w:hAnsi="Calibri" w:hint="eastAsia"/>
          <w:spacing w:val="-2"/>
          <w:szCs w:val="21"/>
          <w:lang w:eastAsia="zh-CN"/>
        </w:rPr>
        <w:t>，但因标的指数编制规则调整或其他因素可能导致跟踪误差超过上述范围，本基金净值表现与指数价格走势可能发生较大偏离</w:t>
      </w:r>
      <w:r>
        <w:rPr>
          <w:rFonts w:ascii="宋体" w:hAnsi="Calibri" w:hint="eastAsia"/>
          <w:szCs w:val="21"/>
          <w:lang w:eastAsia="zh-CN"/>
        </w:rPr>
        <w:t>。</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w:t>
      </w:r>
      <w:r>
        <w:rPr>
          <w:rFonts w:ascii="宋体" w:hAnsi="Calibri" w:hint="eastAsia"/>
          <w:spacing w:val="-2"/>
          <w:szCs w:val="21"/>
          <w:lang w:eastAsia="zh-CN"/>
        </w:rPr>
        <w:t>10</w:t>
      </w:r>
      <w:r>
        <w:rPr>
          <w:rFonts w:ascii="宋体" w:hAnsi="Calibri" w:hint="eastAsia"/>
          <w:spacing w:val="-2"/>
          <w:szCs w:val="21"/>
          <w:lang w:eastAsia="zh-CN"/>
        </w:rPr>
        <w:t>）标的指数值计算出错的风险</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尽管</w:t>
      </w:r>
      <w:r>
        <w:rPr>
          <w:rFonts w:ascii="宋体" w:hAnsi="Calibri"/>
          <w:spacing w:val="-2"/>
          <w:szCs w:val="21"/>
          <w:lang w:eastAsia="zh-CN"/>
        </w:rPr>
        <w:t>指数公司</w:t>
      </w:r>
      <w:r>
        <w:rPr>
          <w:rFonts w:ascii="宋体" w:hAnsi="Calibri" w:hint="eastAsia"/>
          <w:spacing w:val="-2"/>
          <w:szCs w:val="21"/>
          <w:lang w:eastAsia="zh-CN"/>
        </w:rPr>
        <w:t>将采取一切必要措施以确保指数的准确性，但不对此作任何保证，亦不因指数的任何错误对任何人负责。因此，如果标的指数值出现错误，投资人参考指数值进行投资决策，则可能</w:t>
      </w:r>
      <w:r>
        <w:rPr>
          <w:rFonts w:ascii="宋体" w:hAnsi="Calibri" w:hint="eastAsia"/>
          <w:spacing w:val="-2"/>
          <w:szCs w:val="21"/>
          <w:lang w:eastAsia="zh-CN"/>
        </w:rPr>
        <w:t>导致损失。</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w:t>
      </w:r>
      <w:r>
        <w:rPr>
          <w:rFonts w:ascii="宋体" w:hAnsi="Calibri"/>
          <w:spacing w:val="-2"/>
          <w:szCs w:val="21"/>
          <w:lang w:eastAsia="zh-CN"/>
        </w:rPr>
        <w:t>11</w:t>
      </w:r>
      <w:r>
        <w:rPr>
          <w:rFonts w:ascii="宋体" w:hAnsi="Calibri" w:hint="eastAsia"/>
          <w:spacing w:val="-2"/>
          <w:szCs w:val="21"/>
          <w:lang w:eastAsia="zh-CN"/>
        </w:rPr>
        <w:t>）标的指数编制方案带来的风险</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本基金标的指数由指数编制机构发布并管理和维护，指数编制机构有权停止编制标的指数、变更标的指数编制方案。而指数编制方案基于其样本空间仅能选取部分证券予以构建，其表征性与可投资性可能存在不成熟或不完备之处。</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当指数编制机构变更标的指数编制方案，导致指数成份股样本与权重发生调整，基金管理人需调整目标</w:t>
      </w:r>
      <w:r>
        <w:rPr>
          <w:rFonts w:ascii="宋体" w:hAnsi="Calibri" w:hint="eastAsia"/>
          <w:spacing w:val="-2"/>
          <w:szCs w:val="21"/>
          <w:lang w:eastAsia="zh-CN"/>
        </w:rPr>
        <w:t>ETF</w:t>
      </w:r>
      <w:r>
        <w:rPr>
          <w:rFonts w:ascii="宋体" w:hAnsi="Calibri" w:hint="eastAsia"/>
          <w:spacing w:val="-2"/>
          <w:szCs w:val="21"/>
          <w:lang w:eastAsia="zh-CN"/>
        </w:rPr>
        <w:t>和本基金投资组合，从而可能增加基金运作难度、跟踪误差和组合调整的风险与成本，并可能导致基金风险收益特征发生较大变化。此外，当市场环境发生变化，但指数编制机构未能及时</w:t>
      </w:r>
      <w:r>
        <w:rPr>
          <w:rFonts w:ascii="宋体" w:hAnsi="Calibri" w:hint="eastAsia"/>
          <w:spacing w:val="-2"/>
          <w:szCs w:val="21"/>
          <w:lang w:eastAsia="zh-CN"/>
        </w:rPr>
        <w:t>对指数编制方案进行调整时，可能导致标的指数的表现与总体市场表现存在差异，从而影响投资收益。投资人需关注并承担上述风险，谨慎作出投资决策。</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w:t>
      </w:r>
      <w:r>
        <w:rPr>
          <w:rFonts w:ascii="宋体" w:hAnsi="Calibri"/>
          <w:spacing w:val="-2"/>
          <w:szCs w:val="21"/>
          <w:lang w:eastAsia="zh-CN"/>
        </w:rPr>
        <w:t>12</w:t>
      </w:r>
      <w:r>
        <w:rPr>
          <w:rFonts w:ascii="宋体" w:hAnsi="Calibri" w:hint="eastAsia"/>
          <w:spacing w:val="-2"/>
          <w:szCs w:val="21"/>
          <w:lang w:eastAsia="zh-CN"/>
        </w:rPr>
        <w:t>）指数编制机构停止服务的风险</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本基金的标的指数由指数编制机构发布并管理和维护，未来指数编制机构可能由于各种原因停止对指数的管理和维护，本基金将根据基金合同的约定自该情形发生之日起十个工作日向中国证监会报告并提出解决方案，如转换运作方式，与其他基金合并、或者终止基金合同等，并在</w:t>
      </w:r>
      <w:r>
        <w:rPr>
          <w:rFonts w:ascii="宋体" w:hAnsi="Calibri" w:hint="eastAsia"/>
          <w:spacing w:val="-2"/>
          <w:szCs w:val="21"/>
          <w:lang w:eastAsia="zh-CN"/>
        </w:rPr>
        <w:t>6</w:t>
      </w:r>
      <w:r>
        <w:rPr>
          <w:rFonts w:ascii="宋体" w:hAnsi="Calibri" w:hint="eastAsia"/>
          <w:spacing w:val="-2"/>
          <w:szCs w:val="21"/>
          <w:lang w:eastAsia="zh-CN"/>
        </w:rPr>
        <w:t>个月内召集基金份额持有人大会进行表决，基金份额持有人大会未成功召开或就上述事项表决未通过的</w:t>
      </w:r>
      <w:r>
        <w:rPr>
          <w:rFonts w:ascii="宋体" w:hAnsi="Calibri" w:hint="eastAsia"/>
          <w:spacing w:val="-2"/>
          <w:szCs w:val="21"/>
          <w:lang w:eastAsia="zh-CN"/>
        </w:rPr>
        <w:t>，基金合同终止。投资人将面临转换运作方式、与其他基金合并、或者终止基金合同等风险。</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自指数编制机构停止标的指数的编制及发布至解决方案确定期间，基金管理人应按照指数编制机构提供的最近一个交易日的指数信息遵循基金份额持有人利益优先原则维持基金投资运作，该期间由于标的指数不再更新等原因可能导致指数表现与相关市场表现存在差异，影响投资收益。</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3</w:t>
      </w:r>
      <w:r>
        <w:rPr>
          <w:rFonts w:ascii="宋体" w:hAnsi="Calibri" w:hint="eastAsia"/>
          <w:spacing w:val="-2"/>
          <w:szCs w:val="21"/>
          <w:lang w:eastAsia="zh-CN"/>
        </w:rPr>
        <w:t>、联接基金的特殊风险</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w:t>
      </w:r>
      <w:r>
        <w:rPr>
          <w:rFonts w:ascii="宋体" w:hAnsi="Calibri" w:hint="eastAsia"/>
          <w:spacing w:val="-2"/>
          <w:szCs w:val="21"/>
          <w:lang w:eastAsia="zh-CN"/>
        </w:rPr>
        <w:t>1</w:t>
      </w:r>
      <w:r>
        <w:rPr>
          <w:rFonts w:ascii="宋体" w:hAnsi="Calibri" w:hint="eastAsia"/>
          <w:spacing w:val="-2"/>
          <w:szCs w:val="21"/>
          <w:lang w:eastAsia="zh-CN"/>
        </w:rPr>
        <w:t>）可能具有与目标</w:t>
      </w:r>
      <w:r>
        <w:rPr>
          <w:rFonts w:ascii="宋体" w:hAnsi="Calibri" w:hint="eastAsia"/>
          <w:spacing w:val="-2"/>
          <w:szCs w:val="21"/>
          <w:lang w:eastAsia="zh-CN"/>
        </w:rPr>
        <w:t>ETF</w:t>
      </w:r>
      <w:r>
        <w:rPr>
          <w:rFonts w:ascii="宋体" w:hAnsi="Calibri" w:hint="eastAsia"/>
          <w:spacing w:val="-2"/>
          <w:szCs w:val="21"/>
          <w:lang w:eastAsia="zh-CN"/>
        </w:rPr>
        <w:t>不同的风险收益特征及净值增长率的风险</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由于本基金在投资限制、运作机制和投资策略等方面与目标</w:t>
      </w:r>
      <w:r>
        <w:rPr>
          <w:rFonts w:ascii="宋体" w:hAnsi="Calibri" w:hint="eastAsia"/>
          <w:spacing w:val="-2"/>
          <w:szCs w:val="21"/>
          <w:lang w:eastAsia="zh-CN"/>
        </w:rPr>
        <w:t>ETF</w:t>
      </w:r>
      <w:r>
        <w:rPr>
          <w:rFonts w:ascii="宋体" w:hAnsi="Calibri" w:hint="eastAsia"/>
          <w:spacing w:val="-2"/>
          <w:szCs w:val="21"/>
          <w:lang w:eastAsia="zh-CN"/>
        </w:rPr>
        <w:t>不同，因此本基金可能具有与目标</w:t>
      </w:r>
      <w:r>
        <w:rPr>
          <w:rFonts w:ascii="宋体" w:hAnsi="Calibri" w:hint="eastAsia"/>
          <w:spacing w:val="-2"/>
          <w:szCs w:val="21"/>
          <w:lang w:eastAsia="zh-CN"/>
        </w:rPr>
        <w:t>ETF</w:t>
      </w:r>
      <w:r>
        <w:rPr>
          <w:rFonts w:ascii="宋体" w:hAnsi="Calibri" w:hint="eastAsia"/>
          <w:spacing w:val="-2"/>
          <w:szCs w:val="21"/>
          <w:lang w:eastAsia="zh-CN"/>
        </w:rPr>
        <w:t>不同的风险收益特征及净值增长率。</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w:t>
      </w:r>
      <w:r>
        <w:rPr>
          <w:rFonts w:ascii="宋体" w:hAnsi="Calibri" w:hint="eastAsia"/>
          <w:spacing w:val="-2"/>
          <w:szCs w:val="21"/>
          <w:lang w:eastAsia="zh-CN"/>
        </w:rPr>
        <w:t>2</w:t>
      </w:r>
      <w:r>
        <w:rPr>
          <w:rFonts w:ascii="宋体" w:hAnsi="Calibri" w:hint="eastAsia"/>
          <w:spacing w:val="-2"/>
          <w:szCs w:val="21"/>
          <w:lang w:eastAsia="zh-CN"/>
        </w:rPr>
        <w:t>）目标</w:t>
      </w:r>
      <w:r>
        <w:rPr>
          <w:rFonts w:ascii="宋体" w:hAnsi="Calibri" w:hint="eastAsia"/>
          <w:spacing w:val="-2"/>
          <w:szCs w:val="21"/>
          <w:lang w:eastAsia="zh-CN"/>
        </w:rPr>
        <w:t>ETF</w:t>
      </w:r>
      <w:r>
        <w:rPr>
          <w:rFonts w:ascii="宋体" w:hAnsi="Calibri" w:hint="eastAsia"/>
          <w:spacing w:val="-2"/>
          <w:szCs w:val="21"/>
          <w:lang w:eastAsia="zh-CN"/>
        </w:rPr>
        <w:t>面临的风险可能直接或间接成为本基金的风险</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本基金属于联接基金，主要投资于目标</w:t>
      </w:r>
      <w:r>
        <w:rPr>
          <w:rFonts w:ascii="宋体" w:hAnsi="Calibri" w:hint="eastAsia"/>
          <w:spacing w:val="-2"/>
          <w:szCs w:val="21"/>
          <w:lang w:eastAsia="zh-CN"/>
        </w:rPr>
        <w:t>ETF</w:t>
      </w:r>
      <w:r>
        <w:rPr>
          <w:rFonts w:ascii="宋体" w:hAnsi="Calibri" w:hint="eastAsia"/>
          <w:spacing w:val="-2"/>
          <w:szCs w:val="21"/>
          <w:lang w:eastAsia="zh-CN"/>
        </w:rPr>
        <w:t>，因此目标</w:t>
      </w:r>
      <w:r>
        <w:rPr>
          <w:rFonts w:ascii="宋体" w:hAnsi="Calibri" w:hint="eastAsia"/>
          <w:spacing w:val="-2"/>
          <w:szCs w:val="21"/>
          <w:lang w:eastAsia="zh-CN"/>
        </w:rPr>
        <w:t>ETF</w:t>
      </w:r>
      <w:r>
        <w:rPr>
          <w:rFonts w:ascii="宋体" w:hAnsi="Calibri" w:hint="eastAsia"/>
          <w:spacing w:val="-2"/>
          <w:szCs w:val="21"/>
          <w:lang w:eastAsia="zh-CN"/>
        </w:rPr>
        <w:t>面临的风险可能直接或间接成为本基金的风险，投资者应知悉并关注目标</w:t>
      </w:r>
      <w:r>
        <w:rPr>
          <w:rFonts w:ascii="宋体" w:hAnsi="Calibri" w:hint="eastAsia"/>
          <w:spacing w:val="-2"/>
          <w:szCs w:val="21"/>
          <w:lang w:eastAsia="zh-CN"/>
        </w:rPr>
        <w:t>ETF</w:t>
      </w:r>
      <w:r>
        <w:rPr>
          <w:rFonts w:ascii="宋体" w:hAnsi="Calibri" w:hint="eastAsia"/>
          <w:spacing w:val="-2"/>
          <w:szCs w:val="21"/>
          <w:lang w:eastAsia="zh-CN"/>
        </w:rPr>
        <w:t>招募说明书等文件中的风险揭示内容。</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w:t>
      </w:r>
      <w:r>
        <w:rPr>
          <w:rFonts w:ascii="宋体" w:hAnsi="Calibri" w:hint="eastAsia"/>
          <w:spacing w:val="-2"/>
          <w:szCs w:val="21"/>
          <w:lang w:eastAsia="zh-CN"/>
        </w:rPr>
        <w:t>3</w:t>
      </w:r>
      <w:r>
        <w:rPr>
          <w:rFonts w:ascii="宋体" w:hAnsi="Calibri" w:hint="eastAsia"/>
          <w:spacing w:val="-2"/>
          <w:szCs w:val="21"/>
          <w:lang w:eastAsia="zh-CN"/>
        </w:rPr>
        <w:t>）由目标</w:t>
      </w:r>
      <w:r>
        <w:rPr>
          <w:rFonts w:ascii="宋体" w:hAnsi="Calibri" w:hint="eastAsia"/>
          <w:spacing w:val="-2"/>
          <w:szCs w:val="21"/>
          <w:lang w:eastAsia="zh-CN"/>
        </w:rPr>
        <w:t>ETF</w:t>
      </w:r>
      <w:r>
        <w:rPr>
          <w:rFonts w:ascii="宋体" w:hAnsi="Calibri" w:hint="eastAsia"/>
          <w:spacing w:val="-2"/>
          <w:szCs w:val="21"/>
          <w:lang w:eastAsia="zh-CN"/>
        </w:rPr>
        <w:t>的联接基金变更为直接投资目标</w:t>
      </w:r>
      <w:r>
        <w:rPr>
          <w:rFonts w:ascii="宋体" w:hAnsi="Calibri" w:hint="eastAsia"/>
          <w:spacing w:val="-2"/>
          <w:szCs w:val="21"/>
          <w:lang w:eastAsia="zh-CN"/>
        </w:rPr>
        <w:t>ETF</w:t>
      </w:r>
      <w:r>
        <w:rPr>
          <w:rFonts w:ascii="宋体" w:hAnsi="Calibri" w:hint="eastAsia"/>
          <w:spacing w:val="-2"/>
          <w:szCs w:val="21"/>
          <w:lang w:eastAsia="zh-CN"/>
        </w:rPr>
        <w:t>标的指数成份股及备选成份股的指数基金的风险。</w:t>
      </w:r>
    </w:p>
    <w:p w:rsidR="004A090B">
      <w:pPr>
        <w:spacing w:line="360" w:lineRule="auto"/>
        <w:ind w:firstLine="420" w:firstLineChars="200"/>
        <w:rPr>
          <w:rFonts w:ascii="宋体" w:hAnsi="Calibri"/>
          <w:spacing w:val="-2"/>
          <w:szCs w:val="21"/>
          <w:lang w:eastAsia="zh-CN"/>
        </w:rPr>
      </w:pPr>
      <w:r>
        <w:rPr>
          <w:rFonts w:ascii="宋体" w:hAnsi="Calibri" w:hint="eastAsia"/>
          <w:spacing w:val="-2"/>
          <w:szCs w:val="21"/>
          <w:lang w:eastAsia="zh-CN"/>
        </w:rPr>
        <w:t>当目标</w:t>
      </w:r>
      <w:r>
        <w:rPr>
          <w:rFonts w:ascii="宋体" w:hAnsi="Calibri" w:hint="eastAsia"/>
          <w:spacing w:val="-2"/>
          <w:szCs w:val="21"/>
          <w:lang w:eastAsia="zh-CN"/>
        </w:rPr>
        <w:t>ETF</w:t>
      </w:r>
      <w:r>
        <w:rPr>
          <w:rFonts w:ascii="宋体" w:hAnsi="Calibri" w:hint="eastAsia"/>
          <w:spacing w:val="-2"/>
          <w:szCs w:val="21"/>
          <w:lang w:eastAsia="zh-CN"/>
        </w:rPr>
        <w:t>发生基金合同约定的特殊情况时，本基金可能由目标</w:t>
      </w:r>
      <w:r>
        <w:rPr>
          <w:rFonts w:ascii="宋体" w:hAnsi="Calibri" w:hint="eastAsia"/>
          <w:spacing w:val="-2"/>
          <w:szCs w:val="21"/>
          <w:lang w:eastAsia="zh-CN"/>
        </w:rPr>
        <w:t>ETF</w:t>
      </w:r>
      <w:r>
        <w:rPr>
          <w:rFonts w:ascii="宋体" w:hAnsi="Calibri" w:hint="eastAsia"/>
          <w:spacing w:val="-2"/>
          <w:szCs w:val="21"/>
          <w:lang w:eastAsia="zh-CN"/>
        </w:rPr>
        <w:t>的联接基金变更为直接投资目标</w:t>
      </w:r>
      <w:r>
        <w:rPr>
          <w:rFonts w:ascii="宋体" w:hAnsi="Calibri" w:hint="eastAsia"/>
          <w:spacing w:val="-2"/>
          <w:szCs w:val="21"/>
          <w:lang w:eastAsia="zh-CN"/>
        </w:rPr>
        <w:t>ETF</w:t>
      </w:r>
      <w:r>
        <w:rPr>
          <w:rFonts w:ascii="宋体" w:hAnsi="Calibri" w:hint="eastAsia"/>
          <w:spacing w:val="-2"/>
          <w:szCs w:val="21"/>
          <w:lang w:eastAsia="zh-CN"/>
        </w:rPr>
        <w:t>标的指数成份股及备选成份股的指数基金，投资者届时须承担变</w:t>
      </w:r>
      <w:r>
        <w:rPr>
          <w:rFonts w:ascii="宋体" w:hAnsi="Calibri" w:hint="eastAsia"/>
          <w:spacing w:val="-2"/>
          <w:szCs w:val="21"/>
          <w:lang w:eastAsia="zh-CN"/>
        </w:rPr>
        <w:t>更基金类型所带来的风险。</w:t>
      </w:r>
    </w:p>
    <w:p w:rsidR="004A090B">
      <w:pPr>
        <w:spacing w:line="360" w:lineRule="auto"/>
        <w:ind w:firstLine="420" w:firstLineChars="200"/>
        <w:rPr>
          <w:rFonts w:ascii="宋体" w:hAnsi="Calibri"/>
          <w:bCs/>
          <w:szCs w:val="21"/>
          <w:lang w:eastAsia="zh-CN"/>
        </w:rPr>
      </w:pPr>
      <w:r>
        <w:rPr>
          <w:rFonts w:ascii="宋体" w:hAnsi="Calibri" w:hint="eastAsia"/>
          <w:bCs/>
          <w:color w:val="000000" w:themeColor="text1"/>
          <w:szCs w:val="21"/>
          <w:lang w:eastAsia="zh-CN"/>
        </w:rPr>
        <w:t>4</w:t>
      </w:r>
      <w:r>
        <w:rPr>
          <w:rFonts w:ascii="宋体" w:hAnsi="Calibri" w:hint="eastAsia"/>
          <w:bCs/>
          <w:color w:val="000000" w:themeColor="text1"/>
          <w:szCs w:val="21"/>
          <w:lang w:eastAsia="zh-CN"/>
        </w:rPr>
        <w:t>、本基金可投资北京证券交易所股票，北京证券交易所主要服务于创新型中小企业，在发行、上市、交易、退市等方面的规则与其他交易场所存在差异，基金投资北京证券交易所股票可能面临中小企业经营风险、股价大幅波动风险、企业退市风险、流动性风险、监管规则变化的风险等，从而可能对基金净值带来不利影响或损失。</w:t>
      </w:r>
    </w:p>
    <w:p w:rsidR="004A090B">
      <w:pPr>
        <w:spacing w:line="360" w:lineRule="auto"/>
        <w:ind w:firstLine="420" w:firstLineChars="200"/>
        <w:rPr>
          <w:rFonts w:ascii="宋体" w:hAnsi="Calibri"/>
          <w:spacing w:val="-2"/>
          <w:szCs w:val="21"/>
          <w:lang w:eastAsia="zh-CN"/>
        </w:rPr>
      </w:pPr>
      <w:r>
        <w:rPr>
          <w:rFonts w:ascii="宋体" w:hAnsi="Calibri"/>
          <w:spacing w:val="-2"/>
          <w:szCs w:val="21"/>
          <w:lang w:eastAsia="zh-CN"/>
        </w:rPr>
        <w:t>5</w:t>
      </w:r>
      <w:r>
        <w:rPr>
          <w:rFonts w:ascii="宋体" w:hAnsi="Calibri"/>
          <w:spacing w:val="-2"/>
          <w:szCs w:val="21"/>
          <w:lang w:eastAsia="zh-CN"/>
        </w:rPr>
        <w:t>、本基金投资特定品种的特有风险</w:t>
      </w:r>
    </w:p>
    <w:p w:rsidR="004A090B">
      <w:pPr>
        <w:spacing w:line="360" w:lineRule="auto"/>
        <w:ind w:firstLine="420" w:firstLineChars="200"/>
        <w:rPr>
          <w:rFonts w:ascii="宋体" w:hAnsi="Calibri"/>
          <w:szCs w:val="21"/>
          <w:lang w:eastAsia="zh-CN"/>
        </w:rPr>
      </w:pPr>
      <w:r>
        <w:rPr>
          <w:rFonts w:ascii="宋体" w:hAnsi="Calibri"/>
          <w:spacing w:val="-2"/>
          <w:szCs w:val="21"/>
          <w:lang w:eastAsia="zh-CN"/>
        </w:rPr>
        <w:t>（</w:t>
      </w:r>
      <w:r>
        <w:rPr>
          <w:rFonts w:ascii="宋体" w:hAnsi="Calibri"/>
          <w:spacing w:val="-2"/>
          <w:szCs w:val="21"/>
          <w:lang w:eastAsia="zh-CN"/>
        </w:rPr>
        <w:t>1</w:t>
      </w:r>
      <w:r>
        <w:rPr>
          <w:rFonts w:ascii="宋体" w:hAnsi="Calibri"/>
          <w:spacing w:val="-2"/>
          <w:szCs w:val="21"/>
          <w:lang w:eastAsia="zh-CN"/>
        </w:rPr>
        <w:t>）本基金投资范围包括股指期货、</w:t>
      </w:r>
      <w:r>
        <w:rPr>
          <w:rFonts w:ascii="宋体" w:hAnsi="Calibri" w:hint="eastAsia"/>
          <w:spacing w:val="-2"/>
          <w:szCs w:val="21"/>
          <w:lang w:eastAsia="zh-CN"/>
        </w:rPr>
        <w:t>国债期货、</w:t>
      </w:r>
      <w:r>
        <w:rPr>
          <w:rFonts w:ascii="宋体" w:hAnsi="Calibri"/>
          <w:spacing w:val="-2"/>
          <w:szCs w:val="21"/>
          <w:lang w:eastAsia="zh-CN"/>
        </w:rPr>
        <w:t>股票期权等金融衍生品，股指期货、</w:t>
      </w:r>
      <w:r>
        <w:rPr>
          <w:rFonts w:ascii="宋体" w:hAnsi="Calibri" w:hint="eastAsia"/>
          <w:spacing w:val="-2"/>
          <w:szCs w:val="21"/>
          <w:lang w:eastAsia="zh-CN"/>
        </w:rPr>
        <w:t>国债期货、</w:t>
      </w:r>
      <w:r>
        <w:rPr>
          <w:rFonts w:ascii="宋体" w:hAnsi="Calibri"/>
          <w:spacing w:val="-2"/>
          <w:szCs w:val="21"/>
          <w:lang w:eastAsia="zh-CN"/>
        </w:rPr>
        <w:t>股票期权等金融衍生品投资可能给本基金带来额外风险。投资股指期货、</w:t>
      </w:r>
      <w:r>
        <w:rPr>
          <w:rFonts w:ascii="宋体" w:hAnsi="Calibri" w:hint="eastAsia"/>
          <w:spacing w:val="-2"/>
          <w:szCs w:val="21"/>
          <w:lang w:eastAsia="zh-CN"/>
        </w:rPr>
        <w:t>国债期货</w:t>
      </w:r>
      <w:r>
        <w:rPr>
          <w:rFonts w:ascii="宋体" w:hAnsi="Calibri"/>
          <w:spacing w:val="-2"/>
          <w:szCs w:val="21"/>
          <w:lang w:eastAsia="zh-CN"/>
        </w:rPr>
        <w:t>的风险包括但不限于杠杆风险、保证金风险、期货价格与基金投资品种价格的相关度降低带来的风险等；投资股票期权的风险包括但不限于市场风险、流动性风险、交易对手信用风险、操作风险、保证金风险等；由此可能增加本基金净值的波动性。</w:t>
      </w:r>
    </w:p>
    <w:p w:rsidR="004A090B">
      <w:pPr>
        <w:spacing w:line="360" w:lineRule="auto"/>
        <w:ind w:firstLine="420" w:firstLineChars="200"/>
        <w:rPr>
          <w:rFonts w:ascii="宋体" w:hAnsi="Calibri"/>
          <w:spacing w:val="-2"/>
          <w:szCs w:val="21"/>
          <w:lang w:eastAsia="zh-CN"/>
        </w:rPr>
      </w:pPr>
      <w:r>
        <w:rPr>
          <w:rFonts w:ascii="宋体" w:hAnsi="Calibri"/>
          <w:spacing w:val="-2"/>
          <w:szCs w:val="21"/>
          <w:lang w:eastAsia="zh-CN"/>
        </w:rPr>
        <w:t>（</w:t>
      </w:r>
      <w:r>
        <w:rPr>
          <w:rFonts w:ascii="宋体" w:hAnsi="Calibri"/>
          <w:spacing w:val="-2"/>
          <w:szCs w:val="21"/>
          <w:lang w:eastAsia="zh-CN"/>
        </w:rPr>
        <w:t>2</w:t>
      </w:r>
      <w:r>
        <w:rPr>
          <w:rFonts w:ascii="宋体" w:hAnsi="Calibri"/>
          <w:spacing w:val="-2"/>
          <w:szCs w:val="21"/>
          <w:lang w:eastAsia="zh-CN"/>
        </w:rPr>
        <w:t>）本基金的投资范围包括资产支持证券，资产支持证券存在一定的信用风险、利率风险、流动性风险、提前偿付风险、操作风险和法律风险，由此可能给基金净值带来不利影响或损失。</w:t>
      </w:r>
    </w:p>
    <w:p w:rsidR="004A090B">
      <w:pPr>
        <w:spacing w:line="360" w:lineRule="auto"/>
        <w:ind w:firstLine="420" w:firstLineChars="200"/>
        <w:rPr>
          <w:rFonts w:ascii="宋体" w:hAnsi="Calibri"/>
          <w:spacing w:val="-2"/>
          <w:szCs w:val="21"/>
          <w:lang w:eastAsia="zh-CN"/>
        </w:rPr>
      </w:pPr>
      <w:r>
        <w:rPr>
          <w:rFonts w:ascii="宋体" w:hAnsi="Calibri"/>
          <w:spacing w:val="-2"/>
          <w:szCs w:val="21"/>
          <w:lang w:eastAsia="zh-CN"/>
        </w:rPr>
        <w:t>（</w:t>
      </w:r>
      <w:r>
        <w:rPr>
          <w:rFonts w:ascii="宋体" w:hAnsi="Calibri"/>
          <w:spacing w:val="-2"/>
          <w:szCs w:val="21"/>
          <w:lang w:eastAsia="zh-CN"/>
        </w:rPr>
        <w:t>3</w:t>
      </w:r>
      <w:r>
        <w:rPr>
          <w:rFonts w:ascii="宋体" w:hAnsi="Calibri"/>
          <w:spacing w:val="-2"/>
          <w:szCs w:val="21"/>
          <w:lang w:eastAsia="zh-CN"/>
        </w:rPr>
        <w:t>）本基金的投资范围包括存托凭证，除与其他投资于股票的基金所面临的共同风险外，本基金还将面临存托凭证价格大幅波动甚至出现较</w:t>
      </w:r>
      <w:r>
        <w:rPr>
          <w:rFonts w:ascii="宋体" w:hAnsi="Calibri"/>
          <w:spacing w:val="-2"/>
          <w:szCs w:val="21"/>
          <w:lang w:eastAsia="zh-CN"/>
        </w:rPr>
        <w:t>大亏损的风险，以及与存托凭证发行机制相关的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4A090B">
      <w:pPr>
        <w:spacing w:line="360" w:lineRule="auto"/>
        <w:ind w:firstLine="420" w:firstLineChars="200"/>
        <w:rPr>
          <w:rFonts w:ascii="宋体" w:hAnsi="Calibri"/>
          <w:spacing w:val="-2"/>
          <w:szCs w:val="21"/>
          <w:lang w:eastAsia="zh-CN"/>
        </w:rPr>
      </w:pPr>
      <w:r>
        <w:rPr>
          <w:rFonts w:ascii="宋体" w:hAnsi="Calibri"/>
          <w:spacing w:val="-2"/>
          <w:szCs w:val="21"/>
          <w:lang w:eastAsia="zh-CN"/>
        </w:rPr>
        <w:t>6</w:t>
      </w:r>
      <w:r>
        <w:rPr>
          <w:rFonts w:ascii="宋体" w:hAnsi="Calibri"/>
          <w:spacing w:val="-2"/>
          <w:szCs w:val="21"/>
          <w:lang w:eastAsia="zh-CN"/>
        </w:rPr>
        <w:t>、参与转融通证券出借业务的风险</w:t>
      </w:r>
    </w:p>
    <w:p w:rsidR="004A090B">
      <w:pPr>
        <w:spacing w:line="360" w:lineRule="auto"/>
        <w:ind w:firstLine="420" w:firstLineChars="200"/>
        <w:rPr>
          <w:rFonts w:ascii="宋体" w:hAnsi="Calibri"/>
          <w:spacing w:val="-2"/>
          <w:szCs w:val="21"/>
          <w:lang w:eastAsia="zh-CN"/>
        </w:rPr>
      </w:pPr>
      <w:r>
        <w:rPr>
          <w:rFonts w:ascii="宋体" w:hAnsi="Calibri"/>
          <w:spacing w:val="-2"/>
          <w:szCs w:val="21"/>
          <w:lang w:eastAsia="zh-CN"/>
        </w:rPr>
        <w:t>本基金可参与转融通证券出借业务，面临的风险包括但不限于：（</w:t>
      </w:r>
      <w:r>
        <w:rPr>
          <w:rFonts w:ascii="宋体" w:hAnsi="Calibri"/>
          <w:spacing w:val="-2"/>
          <w:szCs w:val="21"/>
          <w:lang w:eastAsia="zh-CN"/>
        </w:rPr>
        <w:t>1</w:t>
      </w:r>
      <w:r>
        <w:rPr>
          <w:rFonts w:ascii="宋体" w:hAnsi="Calibri"/>
          <w:spacing w:val="-2"/>
          <w:szCs w:val="21"/>
          <w:lang w:eastAsia="zh-CN"/>
        </w:rPr>
        <w:t>）流动性风险，指面临大额赎回时，可能因证券出借原因发生无法及时变现支付赎回款项的风险；（</w:t>
      </w:r>
      <w:r>
        <w:rPr>
          <w:rFonts w:ascii="宋体" w:hAnsi="Calibri"/>
          <w:spacing w:val="-2"/>
          <w:szCs w:val="21"/>
          <w:lang w:eastAsia="zh-CN"/>
        </w:rPr>
        <w:t>2</w:t>
      </w:r>
      <w:r>
        <w:rPr>
          <w:rFonts w:ascii="宋体" w:hAnsi="Calibri"/>
          <w:spacing w:val="-2"/>
          <w:szCs w:val="21"/>
          <w:lang w:eastAsia="zh-CN"/>
        </w:rPr>
        <w:t>）信用风险，指证券出借对手方可能无法及时归还证券、无法支付相应权益补偿及借券费用的风险；（</w:t>
      </w:r>
      <w:r>
        <w:rPr>
          <w:rFonts w:ascii="宋体" w:hAnsi="Calibri"/>
          <w:spacing w:val="-2"/>
          <w:szCs w:val="21"/>
          <w:lang w:eastAsia="zh-CN"/>
        </w:rPr>
        <w:t>3</w:t>
      </w:r>
      <w:r>
        <w:rPr>
          <w:rFonts w:ascii="宋体" w:hAnsi="Calibri"/>
          <w:spacing w:val="-2"/>
          <w:szCs w:val="21"/>
          <w:lang w:eastAsia="zh-CN"/>
        </w:rPr>
        <w:t>）市场风险，指证券出借后可能面临出借期间无法及时处置证券的市场风险；（</w:t>
      </w:r>
      <w:r>
        <w:rPr>
          <w:rFonts w:ascii="宋体" w:hAnsi="Calibri"/>
          <w:spacing w:val="-2"/>
          <w:szCs w:val="21"/>
          <w:lang w:eastAsia="zh-CN"/>
        </w:rPr>
        <w:t>4</w:t>
      </w:r>
      <w:r>
        <w:rPr>
          <w:rFonts w:ascii="宋体" w:hAnsi="Calibri"/>
          <w:spacing w:val="-2"/>
          <w:szCs w:val="21"/>
          <w:lang w:eastAsia="zh-CN"/>
        </w:rPr>
        <w:t>）其他风险，如宏观政策变化、证券市场剧烈波动、个别证券出现重大事件、交易对手方违约、业务规则调整、信息技术不能正常运行等风险。</w:t>
      </w:r>
    </w:p>
    <w:p w:rsidR="004A090B">
      <w:pPr>
        <w:spacing w:line="360" w:lineRule="auto"/>
        <w:ind w:firstLine="420" w:firstLineChars="200"/>
        <w:rPr>
          <w:rFonts w:ascii="宋体" w:hAnsi="Calibri"/>
          <w:spacing w:val="-2"/>
          <w:szCs w:val="21"/>
          <w:lang w:eastAsia="zh-CN"/>
        </w:rPr>
      </w:pPr>
      <w:r>
        <w:rPr>
          <w:rFonts w:ascii="宋体" w:hAnsi="Calibri"/>
          <w:spacing w:val="-2"/>
          <w:szCs w:val="21"/>
          <w:lang w:eastAsia="zh-CN"/>
        </w:rPr>
        <w:t>7</w:t>
      </w:r>
      <w:r>
        <w:rPr>
          <w:rFonts w:ascii="宋体" w:hAnsi="Calibri"/>
          <w:spacing w:val="-2"/>
          <w:szCs w:val="21"/>
          <w:lang w:eastAsia="zh-CN"/>
        </w:rPr>
        <w:t>、本基金为发起式基金，本基金发起资金来源于基金管理人固有资金。发起资</w:t>
      </w:r>
      <w:r>
        <w:rPr>
          <w:rFonts w:ascii="宋体" w:hAnsi="Calibri"/>
          <w:spacing w:val="-2"/>
          <w:szCs w:val="21"/>
          <w:lang w:eastAsia="zh-CN"/>
        </w:rPr>
        <w:t>金提供方认购基金的金额不少于</w:t>
      </w:r>
      <w:r>
        <w:rPr>
          <w:rFonts w:ascii="宋体" w:hAnsi="Calibri"/>
          <w:spacing w:val="-2"/>
          <w:szCs w:val="21"/>
          <w:lang w:eastAsia="zh-CN"/>
        </w:rPr>
        <w:t>1000</w:t>
      </w:r>
      <w:r>
        <w:rPr>
          <w:rFonts w:ascii="宋体" w:hAnsi="Calibri"/>
          <w:spacing w:val="-2"/>
          <w:szCs w:val="21"/>
          <w:lang w:eastAsia="zh-CN"/>
        </w:rPr>
        <w:t>万元人民币，且持有认购份额的期限不少于</w:t>
      </w:r>
      <w:r>
        <w:rPr>
          <w:rFonts w:ascii="宋体" w:hAnsi="Calibri"/>
          <w:spacing w:val="-2"/>
          <w:szCs w:val="21"/>
          <w:lang w:eastAsia="zh-CN"/>
        </w:rPr>
        <w:t>3</w:t>
      </w:r>
      <w:r>
        <w:rPr>
          <w:rFonts w:ascii="宋体" w:hAnsi="Calibri"/>
          <w:spacing w:val="-2"/>
          <w:szCs w:val="21"/>
          <w:lang w:eastAsia="zh-CN"/>
        </w:rPr>
        <w:t>年。本基金发起资金提供方对本基金的发起认购，并不代表对本基金的风险或收益的任何判断、预测、推荐和保证，发起资金也并不用于对投资人投资亏损的补偿，投资人及发起资金认购人均自行承担投资风险。本基金发起资金认购的本基金份额持有期限自基金合同生效日起满</w:t>
      </w:r>
      <w:r>
        <w:rPr>
          <w:rFonts w:ascii="宋体" w:hAnsi="Calibri"/>
          <w:spacing w:val="-2"/>
          <w:szCs w:val="21"/>
          <w:lang w:eastAsia="zh-CN"/>
        </w:rPr>
        <w:t>3</w:t>
      </w:r>
      <w:r>
        <w:rPr>
          <w:rFonts w:ascii="宋体" w:hAnsi="Calibri"/>
          <w:spacing w:val="-2"/>
          <w:szCs w:val="21"/>
          <w:lang w:eastAsia="zh-CN"/>
        </w:rPr>
        <w:t>年后，发起资金提供方将根据自身情况决定是否继续持有，届时发起资金提供方有可能赎回认购的本基金份额。</w:t>
      </w:r>
    </w:p>
    <w:p w:rsidR="004A090B">
      <w:pPr>
        <w:spacing w:line="360" w:lineRule="auto"/>
        <w:ind w:firstLine="420" w:firstLineChars="200"/>
        <w:rPr>
          <w:rFonts w:ascii="宋体" w:hAnsi="Calibri"/>
          <w:spacing w:val="-2"/>
          <w:szCs w:val="21"/>
          <w:lang w:eastAsia="zh-CN"/>
        </w:rPr>
      </w:pPr>
      <w:r>
        <w:rPr>
          <w:rFonts w:ascii="宋体" w:hAnsi="Calibri"/>
          <w:spacing w:val="-2"/>
          <w:szCs w:val="21"/>
          <w:lang w:eastAsia="zh-CN"/>
        </w:rPr>
        <w:t>8</w:t>
      </w:r>
      <w:r>
        <w:rPr>
          <w:rFonts w:ascii="宋体" w:hAnsi="Calibri"/>
          <w:spacing w:val="-2"/>
          <w:szCs w:val="21"/>
          <w:lang w:eastAsia="zh-CN"/>
        </w:rPr>
        <w:t>、</w:t>
      </w:r>
      <w:r>
        <w:rPr>
          <w:rFonts w:ascii="宋体" w:hAnsi="Calibri" w:hint="eastAsia"/>
          <w:bCs/>
          <w:szCs w:val="21"/>
          <w:lang w:eastAsia="zh-CN"/>
        </w:rPr>
        <w:t>基金合同</w:t>
      </w:r>
      <w:r>
        <w:rPr>
          <w:rFonts w:ascii="宋体" w:hAnsi="Calibri"/>
          <w:bCs/>
          <w:szCs w:val="21"/>
          <w:lang w:eastAsia="zh-CN"/>
        </w:rPr>
        <w:t>终止</w:t>
      </w:r>
      <w:r>
        <w:rPr>
          <w:rFonts w:ascii="宋体" w:hAnsi="Calibri" w:hint="eastAsia"/>
          <w:bCs/>
          <w:szCs w:val="21"/>
          <w:lang w:eastAsia="zh-CN"/>
        </w:rPr>
        <w:t>的</w:t>
      </w:r>
      <w:r>
        <w:rPr>
          <w:rFonts w:ascii="宋体" w:hAnsi="Calibri"/>
          <w:bCs/>
          <w:szCs w:val="21"/>
          <w:lang w:eastAsia="zh-CN"/>
        </w:rPr>
        <w:t>风险</w:t>
      </w:r>
    </w:p>
    <w:p w:rsidR="004A090B">
      <w:pPr>
        <w:spacing w:line="360" w:lineRule="auto"/>
        <w:ind w:firstLine="420"/>
        <w:rPr>
          <w:rFonts w:ascii="宋体" w:hAnsi="Calibri"/>
          <w:spacing w:val="-2"/>
          <w:szCs w:val="21"/>
          <w:lang w:eastAsia="zh-CN"/>
        </w:rPr>
      </w:pPr>
      <w:r>
        <w:rPr>
          <w:rFonts w:ascii="宋体" w:hAnsi="Calibri" w:hint="eastAsia"/>
          <w:spacing w:val="-2"/>
          <w:szCs w:val="21"/>
          <w:lang w:eastAsia="zh-CN"/>
        </w:rPr>
        <w:t>基金合同生效之日起三年后的年度对应日，若基金资产净值低于</w:t>
      </w:r>
      <w:r>
        <w:rPr>
          <w:rFonts w:ascii="宋体" w:hAnsi="Calibri" w:hint="eastAsia"/>
          <w:spacing w:val="-2"/>
          <w:szCs w:val="21"/>
          <w:lang w:eastAsia="zh-CN"/>
        </w:rPr>
        <w:t>2</w:t>
      </w:r>
      <w:r>
        <w:rPr>
          <w:rFonts w:ascii="宋体" w:hAnsi="Calibri" w:hint="eastAsia"/>
          <w:spacing w:val="-2"/>
          <w:szCs w:val="21"/>
          <w:lang w:eastAsia="zh-CN"/>
        </w:rPr>
        <w:t>亿元，基金合同自动终止且不得通过召开基金份额持有人大会的方式延续，投资人将面临基金合同可能终止的不确定性风险。</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二、市场风险</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本基金投资于证券市场，而证券市场价格因受到经济因素、政治因素、投资者心理和交易制度等各种因素的影响而产生波动，从而导致基金收益水平发生变化，产生风险。主要的风险因素包括：</w:t>
      </w:r>
    </w:p>
    <w:p w:rsidR="004A090B">
      <w:pPr>
        <w:spacing w:line="360" w:lineRule="auto"/>
        <w:ind w:firstLine="420"/>
        <w:rPr>
          <w:rFonts w:ascii="宋体" w:hAnsi="Calibri" w:cs="宋体"/>
          <w:szCs w:val="21"/>
          <w:lang w:eastAsia="zh-CN"/>
        </w:rPr>
      </w:pPr>
      <w:r>
        <w:rPr>
          <w:rFonts w:ascii="宋体" w:hAnsi="Calibri" w:cs="宋体"/>
          <w:szCs w:val="21"/>
          <w:lang w:eastAsia="zh-CN"/>
        </w:rPr>
        <w:t>1</w:t>
      </w:r>
      <w:r>
        <w:rPr>
          <w:rFonts w:ascii="宋体" w:hAnsi="Calibri" w:cs="宋体" w:hint="eastAsia"/>
          <w:szCs w:val="21"/>
          <w:lang w:eastAsia="zh-CN"/>
        </w:rPr>
        <w:t>、政策风险</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因国家宏观政策（如货币政策、财政政策、产业政策、地区发展政策等）发生变化，导致市场价格波动而产生风险。</w:t>
      </w:r>
    </w:p>
    <w:p w:rsidR="004A090B">
      <w:pPr>
        <w:spacing w:line="360" w:lineRule="auto"/>
        <w:ind w:firstLine="420"/>
        <w:rPr>
          <w:rFonts w:ascii="宋体" w:hAnsi="Calibri" w:cs="宋体"/>
          <w:szCs w:val="21"/>
          <w:lang w:eastAsia="zh-CN"/>
        </w:rPr>
      </w:pPr>
      <w:r>
        <w:rPr>
          <w:rFonts w:ascii="宋体" w:hAnsi="Calibri" w:cs="宋体"/>
          <w:szCs w:val="21"/>
          <w:lang w:eastAsia="zh-CN"/>
        </w:rPr>
        <w:t>2</w:t>
      </w:r>
      <w:r>
        <w:rPr>
          <w:rFonts w:ascii="宋体" w:hAnsi="Calibri" w:cs="宋体" w:hint="eastAsia"/>
          <w:szCs w:val="21"/>
          <w:lang w:eastAsia="zh-CN"/>
        </w:rPr>
        <w:t>、利率风险</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利率风险主要是指因金融市</w:t>
      </w:r>
      <w:r>
        <w:rPr>
          <w:rFonts w:ascii="宋体" w:hAnsi="Calibri" w:cs="宋体" w:hint="eastAsia"/>
          <w:szCs w:val="21"/>
          <w:lang w:eastAsia="zh-CN"/>
        </w:rPr>
        <w:t>场利率的波动而导致证券市场价格和收益率变动的风险。利率直接影响着债券的价格和收益率，影响着企业的融资成本和利润。本基金可投资于股票和债券，其收益水平可能会受到利率变化的影响。</w:t>
      </w:r>
    </w:p>
    <w:p w:rsidR="004A090B">
      <w:pPr>
        <w:spacing w:line="360" w:lineRule="auto"/>
        <w:ind w:firstLine="420"/>
        <w:rPr>
          <w:rFonts w:ascii="宋体" w:hAnsi="Calibri" w:cs="宋体"/>
          <w:szCs w:val="21"/>
          <w:lang w:eastAsia="zh-CN"/>
        </w:rPr>
      </w:pPr>
      <w:r>
        <w:rPr>
          <w:rFonts w:ascii="宋体" w:hAnsi="Calibri" w:cs="宋体"/>
          <w:szCs w:val="21"/>
          <w:lang w:eastAsia="zh-CN"/>
        </w:rPr>
        <w:t>3</w:t>
      </w:r>
      <w:r>
        <w:rPr>
          <w:rFonts w:ascii="宋体" w:hAnsi="Calibri" w:cs="宋体" w:hint="eastAsia"/>
          <w:szCs w:val="21"/>
          <w:lang w:eastAsia="zh-CN"/>
        </w:rPr>
        <w:t>、购买力风险</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如果发生通货膨胀，基金投资于证券所获得的收益可能会被通货膨胀抵消，从而影响基金资产的实际收益率。</w:t>
      </w:r>
    </w:p>
    <w:p w:rsidR="004A090B">
      <w:pPr>
        <w:spacing w:line="360" w:lineRule="auto"/>
        <w:ind w:firstLine="420"/>
        <w:rPr>
          <w:rFonts w:ascii="宋体" w:hAnsi="Calibri" w:cs="宋体"/>
          <w:szCs w:val="21"/>
          <w:lang w:eastAsia="zh-CN"/>
        </w:rPr>
      </w:pPr>
      <w:r>
        <w:rPr>
          <w:rFonts w:ascii="宋体" w:hAnsi="Calibri" w:cs="宋体"/>
          <w:szCs w:val="21"/>
          <w:lang w:eastAsia="zh-CN"/>
        </w:rPr>
        <w:t>4</w:t>
      </w:r>
      <w:r>
        <w:rPr>
          <w:rFonts w:ascii="宋体" w:hAnsi="Calibri" w:cs="宋体" w:hint="eastAsia"/>
          <w:szCs w:val="21"/>
          <w:lang w:eastAsia="zh-CN"/>
        </w:rPr>
        <w:t>、信用风险</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信用风险主要指债券、票据发行主体、存款银行信用状况可能恶化而可能产生的到期不能兑付的风险。</w:t>
      </w:r>
    </w:p>
    <w:p w:rsidR="004A090B">
      <w:pPr>
        <w:spacing w:line="360" w:lineRule="auto"/>
        <w:ind w:firstLine="420"/>
        <w:rPr>
          <w:rFonts w:ascii="宋体" w:hAnsi="Calibri" w:cs="宋体"/>
          <w:szCs w:val="21"/>
          <w:lang w:eastAsia="zh-CN"/>
        </w:rPr>
      </w:pPr>
      <w:r>
        <w:rPr>
          <w:rFonts w:ascii="宋体" w:hAnsi="Calibri" w:cs="宋体"/>
          <w:szCs w:val="21"/>
          <w:lang w:eastAsia="zh-CN"/>
        </w:rPr>
        <w:t>5</w:t>
      </w:r>
      <w:r>
        <w:rPr>
          <w:rFonts w:ascii="宋体" w:hAnsi="Calibri" w:cs="宋体" w:hint="eastAsia"/>
          <w:szCs w:val="21"/>
          <w:lang w:eastAsia="zh-CN"/>
        </w:rPr>
        <w:t>、公司经营风险</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上市公司的经营状况受多种因素的影响，如管理能力、行业竞争、市场前景、技术更新、新产品研究开发等都会</w:t>
      </w:r>
      <w:r>
        <w:rPr>
          <w:rFonts w:ascii="宋体" w:hAnsi="Calibri" w:cs="宋体" w:hint="eastAsia"/>
          <w:szCs w:val="21"/>
          <w:lang w:eastAsia="zh-CN"/>
        </w:rPr>
        <w:t>导致公司盈利发生变化。如果基金所投资的上市公司经营不善，其股票价格可能下跌，或者能够用于分配的利润减少，使基金投资收益下降。虽然基金可以通过投资多样化来分散这种非系统风险，但不能完全避免。</w:t>
      </w:r>
    </w:p>
    <w:p w:rsidR="004A090B">
      <w:pPr>
        <w:spacing w:line="360" w:lineRule="auto"/>
        <w:ind w:firstLine="420"/>
        <w:rPr>
          <w:rFonts w:ascii="宋体" w:hAnsi="Calibri" w:cs="宋体"/>
          <w:szCs w:val="21"/>
          <w:lang w:eastAsia="zh-CN"/>
        </w:rPr>
      </w:pPr>
      <w:r>
        <w:rPr>
          <w:rFonts w:ascii="宋体" w:hAnsi="Calibri" w:cs="宋体"/>
          <w:szCs w:val="21"/>
          <w:lang w:eastAsia="zh-CN"/>
        </w:rPr>
        <w:t>6</w:t>
      </w:r>
      <w:r>
        <w:rPr>
          <w:rFonts w:ascii="宋体" w:hAnsi="Calibri" w:cs="宋体" w:hint="eastAsia"/>
          <w:szCs w:val="21"/>
          <w:lang w:eastAsia="zh-CN"/>
        </w:rPr>
        <w:t>、经济周期风险</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随着经济运行的周期性变化，证券市场的收益水平也呈周期性变化，基金投资的收益水平也会随之变化，从而产生风险。</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三、流动性风险</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1</w:t>
      </w:r>
      <w:r>
        <w:rPr>
          <w:rFonts w:ascii="宋体" w:hAnsi="Calibri" w:cs="宋体" w:hint="eastAsia"/>
          <w:szCs w:val="21"/>
          <w:lang w:eastAsia="zh-CN"/>
        </w:rPr>
        <w:t>、</w:t>
      </w:r>
      <w:r>
        <w:rPr>
          <w:rFonts w:ascii="宋体" w:hAnsi="Calibri" w:cs="宋体"/>
          <w:szCs w:val="21"/>
          <w:lang w:eastAsia="zh-CN"/>
        </w:rPr>
        <w:t>流</w:t>
      </w:r>
      <w:r>
        <w:rPr>
          <w:rFonts w:ascii="宋体" w:hAnsi="Calibri" w:cs="宋体" w:hint="eastAsia"/>
          <w:szCs w:val="21"/>
          <w:lang w:eastAsia="zh-CN"/>
        </w:rPr>
        <w:t>动</w:t>
      </w:r>
      <w:r>
        <w:rPr>
          <w:rFonts w:ascii="宋体" w:hAnsi="Calibri" w:cs="宋体"/>
          <w:szCs w:val="21"/>
          <w:lang w:eastAsia="zh-CN"/>
        </w:rPr>
        <w:t>性风险评估</w:t>
      </w:r>
    </w:p>
    <w:p w:rsidR="004A090B">
      <w:pPr>
        <w:spacing w:line="360" w:lineRule="auto"/>
        <w:ind w:firstLine="420"/>
        <w:rPr>
          <w:rFonts w:ascii="宋体" w:hAnsi="Calibri" w:cs="宋体"/>
          <w:szCs w:val="21"/>
          <w:lang w:eastAsia="zh-CN"/>
        </w:rPr>
      </w:pPr>
      <w:r>
        <w:rPr>
          <w:rFonts w:ascii="宋体" w:hAnsi="Calibri" w:hint="eastAsia"/>
          <w:spacing w:val="-2"/>
          <w:szCs w:val="21"/>
          <w:lang w:eastAsia="zh-CN"/>
        </w:rPr>
        <w:t>本基金是</w:t>
      </w:r>
      <w:r>
        <w:rPr>
          <w:rFonts w:ascii="宋体" w:hAnsi="Calibri" w:hint="eastAsia"/>
          <w:spacing w:val="-2"/>
          <w:szCs w:val="21"/>
          <w:lang w:eastAsia="zh-CN"/>
        </w:rPr>
        <w:t>ETF</w:t>
      </w:r>
      <w:r>
        <w:rPr>
          <w:rFonts w:ascii="宋体" w:hAnsi="Calibri" w:hint="eastAsia"/>
          <w:spacing w:val="-2"/>
          <w:szCs w:val="21"/>
          <w:lang w:eastAsia="zh-CN"/>
        </w:rPr>
        <w:t>联接基金，主要投资于具有良好流动性的金融工具，包括目标</w:t>
      </w:r>
      <w:r>
        <w:rPr>
          <w:rFonts w:ascii="宋体" w:hAnsi="Calibri" w:hint="eastAsia"/>
          <w:spacing w:val="-2"/>
          <w:szCs w:val="21"/>
          <w:lang w:eastAsia="zh-CN"/>
        </w:rPr>
        <w:t>ETF</w:t>
      </w:r>
      <w:r>
        <w:rPr>
          <w:rFonts w:ascii="宋体" w:hAnsi="Calibri" w:hint="eastAsia"/>
          <w:spacing w:val="-2"/>
          <w:szCs w:val="21"/>
          <w:lang w:eastAsia="zh-CN"/>
        </w:rPr>
        <w:t>、标的指数成份股及备选成份股。此外，为更好地实现投资目标，本基金可少量投资于非成份股、债券、货币市场工具、金融衍生品以及法律法规或中国证监会允许基金投资的其他金融工具。一般情况下，上述资产市场流动性较好。但不排除在特定阶段、特定市场环境下特定投资标的出现流动性较差的情况，因此，本基金投资于上述资产时，可能存在以下流动性风险：一是基金管理人建仓或进行组合调整时，可能由于特定投资标的流动性相对不足而无法按预期的价格买卖或申赎目标</w:t>
      </w:r>
      <w:r>
        <w:rPr>
          <w:rFonts w:ascii="宋体" w:hAnsi="Calibri" w:hint="eastAsia"/>
          <w:spacing w:val="-2"/>
          <w:szCs w:val="21"/>
          <w:lang w:eastAsia="zh-CN"/>
        </w:rPr>
        <w:t>ETF</w:t>
      </w:r>
      <w:r>
        <w:rPr>
          <w:rFonts w:ascii="宋体" w:hAnsi="Calibri" w:hint="eastAsia"/>
          <w:spacing w:val="-2"/>
          <w:szCs w:val="21"/>
          <w:lang w:eastAsia="zh-CN"/>
        </w:rPr>
        <w:t>；二</w:t>
      </w:r>
      <w:r>
        <w:rPr>
          <w:rFonts w:ascii="宋体" w:hAnsi="Calibri" w:hint="eastAsia"/>
          <w:spacing w:val="-2"/>
          <w:szCs w:val="21"/>
          <w:lang w:eastAsia="zh-CN"/>
        </w:rPr>
        <w:t>是为应付投资者的赎回，基金被迫以不适当的价格卖出或赎回目标</w:t>
      </w:r>
      <w:r>
        <w:rPr>
          <w:rFonts w:ascii="宋体" w:hAnsi="Calibri" w:hint="eastAsia"/>
          <w:spacing w:val="-2"/>
          <w:szCs w:val="21"/>
          <w:lang w:eastAsia="zh-CN"/>
        </w:rPr>
        <w:t>ETF</w:t>
      </w:r>
      <w:r>
        <w:rPr>
          <w:rFonts w:ascii="宋体" w:hAnsi="Calibri" w:hint="eastAsia"/>
          <w:spacing w:val="-2"/>
          <w:szCs w:val="21"/>
          <w:lang w:eastAsia="zh-CN"/>
        </w:rPr>
        <w:t>，或卖出股票、债券、其他资产。两者均可能使基金净值受到不利影响。</w:t>
      </w:r>
    </w:p>
    <w:p w:rsidR="004A090B">
      <w:pPr>
        <w:spacing w:line="360" w:lineRule="auto"/>
        <w:ind w:firstLine="420"/>
        <w:rPr>
          <w:rFonts w:ascii="宋体" w:hAnsi="Calibri" w:cs="宋体"/>
          <w:szCs w:val="21"/>
          <w:lang w:eastAsia="zh-CN"/>
        </w:rPr>
      </w:pPr>
      <w:r>
        <w:rPr>
          <w:rFonts w:ascii="宋体" w:hAnsi="Calibri" w:cs="宋体"/>
          <w:szCs w:val="21"/>
          <w:lang w:eastAsia="zh-CN"/>
        </w:rPr>
        <w:t>2</w:t>
      </w:r>
      <w:r>
        <w:rPr>
          <w:rFonts w:ascii="宋体" w:hAnsi="Calibri" w:cs="宋体" w:hint="eastAsia"/>
          <w:szCs w:val="21"/>
          <w:lang w:eastAsia="zh-CN"/>
        </w:rPr>
        <w:t>、</w:t>
      </w:r>
      <w:r>
        <w:rPr>
          <w:rFonts w:ascii="宋体" w:hAnsi="Calibri" w:cs="宋体"/>
          <w:szCs w:val="21"/>
          <w:lang w:eastAsia="zh-CN"/>
        </w:rPr>
        <w:t>巨额赎回情形下</w:t>
      </w:r>
      <w:r>
        <w:rPr>
          <w:rFonts w:ascii="宋体" w:hAnsi="Calibri" w:cs="宋体" w:hint="eastAsia"/>
          <w:szCs w:val="21"/>
          <w:lang w:eastAsia="zh-CN"/>
        </w:rPr>
        <w:t>的流动性</w:t>
      </w:r>
      <w:r>
        <w:rPr>
          <w:rFonts w:ascii="宋体" w:hAnsi="Calibri" w:cs="宋体"/>
          <w:szCs w:val="21"/>
          <w:lang w:eastAsia="zh-CN"/>
        </w:rPr>
        <w:t>风险管理措施</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当本基金发生巨额赎回时，基金管理人可以根据基金当时的资产组合状况决定全额赎回或部分延期赎回；此外，如出现连续两个或两个以上开放日发生巨额赎回，可暂停接受投资人的赎回申请或延缓支付赎回款项；当</w:t>
      </w:r>
      <w:r>
        <w:rPr>
          <w:rFonts w:ascii="宋体" w:hAnsi="Calibri" w:cs="宋体"/>
          <w:szCs w:val="21"/>
          <w:lang w:eastAsia="zh-CN"/>
        </w:rPr>
        <w:t>本基金发生巨额赎回且</w:t>
      </w:r>
      <w:r>
        <w:rPr>
          <w:rFonts w:ascii="宋体" w:hAnsi="Calibri" w:cs="宋体" w:hint="eastAsia"/>
          <w:szCs w:val="21"/>
          <w:lang w:eastAsia="zh-CN"/>
        </w:rPr>
        <w:t>单个基金份额持有人的赎回申请超过上一开放日基金总份额</w:t>
      </w:r>
      <w:r>
        <w:rPr>
          <w:rFonts w:ascii="宋体" w:hAnsi="Calibri" w:cs="宋体" w:hint="eastAsia"/>
          <w:szCs w:val="21"/>
          <w:lang w:eastAsia="zh-CN"/>
        </w:rPr>
        <w:t>10%</w:t>
      </w:r>
      <w:r>
        <w:rPr>
          <w:rFonts w:ascii="宋体" w:hAnsi="Calibri" w:cs="宋体" w:hint="eastAsia"/>
          <w:szCs w:val="21"/>
          <w:lang w:eastAsia="zh-CN"/>
        </w:rPr>
        <w:t>的，基金管理人有权对该单个基金份额持有人超出该比例的赎回申请实施延期办理。</w:t>
      </w:r>
      <w:r>
        <w:rPr>
          <w:rFonts w:ascii="宋体" w:hAnsi="Calibri" w:cs="宋体" w:hint="eastAsia"/>
          <w:szCs w:val="21"/>
          <w:lang w:eastAsia="zh-CN"/>
        </w:rPr>
        <w:t>具体</w:t>
      </w:r>
      <w:r>
        <w:rPr>
          <w:rFonts w:ascii="宋体" w:hAnsi="Calibri" w:cs="宋体"/>
          <w:szCs w:val="21"/>
          <w:lang w:eastAsia="zh-CN"/>
        </w:rPr>
        <w:t>情形、</w:t>
      </w:r>
      <w:r>
        <w:rPr>
          <w:rFonts w:ascii="宋体" w:hAnsi="Calibri" w:cs="宋体" w:hint="eastAsia"/>
          <w:szCs w:val="21"/>
          <w:lang w:eastAsia="zh-CN"/>
        </w:rPr>
        <w:t>程序见</w:t>
      </w:r>
      <w:r>
        <w:rPr>
          <w:rFonts w:ascii="宋体" w:hAnsi="Calibri" w:cs="宋体"/>
          <w:szCs w:val="21"/>
          <w:lang w:eastAsia="zh-CN"/>
        </w:rPr>
        <w:t>招募说明书</w:t>
      </w:r>
      <w:r>
        <w:rPr>
          <w:rFonts w:ascii="宋体" w:hAnsi="Calibri" w:cs="宋体" w:hint="eastAsia"/>
          <w:szCs w:val="21"/>
          <w:lang w:eastAsia="zh-CN"/>
        </w:rPr>
        <w:t>“基金份额的申购、赎回”之“</w:t>
      </w:r>
      <w:r>
        <w:rPr>
          <w:rFonts w:ascii="宋体" w:hAnsi="Calibri" w:cs="宋体"/>
          <w:szCs w:val="21"/>
          <w:lang w:eastAsia="zh-CN"/>
        </w:rPr>
        <w:t>巨额赎回的</w:t>
      </w:r>
      <w:r>
        <w:rPr>
          <w:rFonts w:ascii="宋体" w:hAnsi="Calibri" w:cs="宋体"/>
          <w:color w:val="000000"/>
          <w:szCs w:val="21"/>
          <w:lang w:eastAsia="zh-CN"/>
        </w:rPr>
        <w:t>情形</w:t>
      </w:r>
      <w:r>
        <w:rPr>
          <w:rFonts w:ascii="宋体" w:hAnsi="Calibri" w:cs="宋体"/>
          <w:szCs w:val="21"/>
          <w:lang w:eastAsia="zh-CN"/>
        </w:rPr>
        <w:t>及处理方式</w:t>
      </w:r>
      <w:r>
        <w:rPr>
          <w:rFonts w:ascii="宋体" w:hAnsi="Calibri" w:cs="宋体" w:hint="eastAsia"/>
          <w:szCs w:val="21"/>
          <w:lang w:eastAsia="zh-CN"/>
        </w:rPr>
        <w:t>”。</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发生</w:t>
      </w:r>
      <w:r>
        <w:rPr>
          <w:rFonts w:ascii="宋体" w:hAnsi="Calibri" w:cs="宋体"/>
          <w:szCs w:val="21"/>
          <w:lang w:eastAsia="zh-CN"/>
        </w:rPr>
        <w:t>上述情形时，投资人面临无法</w:t>
      </w:r>
      <w:r>
        <w:rPr>
          <w:rFonts w:ascii="宋体" w:hAnsi="Calibri" w:cs="宋体" w:hint="eastAsia"/>
          <w:szCs w:val="21"/>
          <w:lang w:eastAsia="zh-CN"/>
        </w:rPr>
        <w:t>全</w:t>
      </w:r>
      <w:r>
        <w:rPr>
          <w:rFonts w:ascii="宋体" w:hAnsi="Calibri" w:cs="宋体"/>
          <w:szCs w:val="21"/>
          <w:lang w:eastAsia="zh-CN"/>
        </w:rPr>
        <w:t>部赎回或无法及时获得</w:t>
      </w:r>
      <w:r>
        <w:rPr>
          <w:rFonts w:ascii="宋体" w:hAnsi="Calibri" w:cs="宋体" w:hint="eastAsia"/>
          <w:szCs w:val="21"/>
          <w:lang w:eastAsia="zh-CN"/>
        </w:rPr>
        <w:t>赎</w:t>
      </w:r>
      <w:r>
        <w:rPr>
          <w:rFonts w:ascii="宋体" w:hAnsi="Calibri" w:cs="宋体"/>
          <w:szCs w:val="21"/>
          <w:lang w:eastAsia="zh-CN"/>
        </w:rPr>
        <w:t>回资金的风险</w:t>
      </w:r>
      <w:r>
        <w:rPr>
          <w:rFonts w:ascii="宋体" w:hAnsi="Calibri" w:cs="宋体" w:hint="eastAsia"/>
          <w:szCs w:val="21"/>
          <w:lang w:eastAsia="zh-CN"/>
        </w:rPr>
        <w:t>。在</w:t>
      </w:r>
      <w:r>
        <w:rPr>
          <w:rFonts w:ascii="宋体" w:hAnsi="Calibri" w:cs="宋体"/>
          <w:szCs w:val="21"/>
          <w:lang w:eastAsia="zh-CN"/>
        </w:rPr>
        <w:t>本基金暂停</w:t>
      </w:r>
      <w:r>
        <w:rPr>
          <w:rFonts w:ascii="宋体" w:hAnsi="Calibri" w:cs="宋体" w:hint="eastAsia"/>
          <w:szCs w:val="21"/>
          <w:lang w:eastAsia="zh-CN"/>
        </w:rPr>
        <w:t>或</w:t>
      </w:r>
      <w:r>
        <w:rPr>
          <w:rFonts w:ascii="宋体" w:hAnsi="Calibri" w:cs="宋体"/>
          <w:szCs w:val="21"/>
          <w:lang w:eastAsia="zh-CN"/>
        </w:rPr>
        <w:t>延期办理</w:t>
      </w:r>
      <w:r>
        <w:rPr>
          <w:rFonts w:ascii="宋体" w:hAnsi="Calibri" w:cs="宋体" w:hint="eastAsia"/>
          <w:szCs w:val="21"/>
          <w:lang w:eastAsia="zh-CN"/>
        </w:rPr>
        <w:t>投资者</w:t>
      </w:r>
      <w:r>
        <w:rPr>
          <w:rFonts w:ascii="宋体" w:hAnsi="Calibri" w:cs="宋体"/>
          <w:szCs w:val="21"/>
          <w:lang w:eastAsia="zh-CN"/>
        </w:rPr>
        <w:t>赎回申请</w:t>
      </w:r>
      <w:r>
        <w:rPr>
          <w:rFonts w:ascii="宋体" w:hAnsi="Calibri" w:cs="宋体" w:hint="eastAsia"/>
          <w:szCs w:val="21"/>
          <w:lang w:eastAsia="zh-CN"/>
        </w:rPr>
        <w:t>的</w:t>
      </w:r>
      <w:r>
        <w:rPr>
          <w:rFonts w:ascii="宋体" w:hAnsi="Calibri" w:cs="宋体"/>
          <w:szCs w:val="21"/>
          <w:lang w:eastAsia="zh-CN"/>
        </w:rPr>
        <w:t>情况下，投资者</w:t>
      </w:r>
      <w:r>
        <w:rPr>
          <w:rFonts w:ascii="宋体" w:hAnsi="Calibri" w:cs="宋体" w:hint="eastAsia"/>
          <w:szCs w:val="21"/>
          <w:lang w:eastAsia="zh-CN"/>
        </w:rPr>
        <w:t>未能</w:t>
      </w:r>
      <w:r>
        <w:rPr>
          <w:rFonts w:ascii="宋体" w:hAnsi="Calibri" w:cs="宋体"/>
          <w:szCs w:val="21"/>
          <w:lang w:eastAsia="zh-CN"/>
        </w:rPr>
        <w:t>赎回的基金份额还将面临净值波动的风险。</w:t>
      </w:r>
    </w:p>
    <w:p w:rsidR="004A090B">
      <w:pPr>
        <w:spacing w:line="360" w:lineRule="auto"/>
        <w:ind w:firstLine="420"/>
        <w:rPr>
          <w:rFonts w:ascii="宋体" w:hAnsi="Calibri" w:cs="宋体"/>
          <w:szCs w:val="21"/>
          <w:lang w:eastAsia="zh-CN"/>
        </w:rPr>
      </w:pPr>
      <w:r>
        <w:rPr>
          <w:rFonts w:ascii="宋体" w:hAnsi="Calibri" w:cs="宋体"/>
          <w:szCs w:val="21"/>
          <w:lang w:eastAsia="zh-CN"/>
        </w:rPr>
        <w:t>3</w:t>
      </w:r>
      <w:r>
        <w:rPr>
          <w:rFonts w:ascii="宋体" w:hAnsi="Calibri" w:cs="宋体" w:hint="eastAsia"/>
          <w:szCs w:val="21"/>
          <w:lang w:eastAsia="zh-CN"/>
        </w:rPr>
        <w:t>、除巨额</w:t>
      </w:r>
      <w:r>
        <w:rPr>
          <w:rFonts w:ascii="宋体" w:hAnsi="Calibri" w:cs="宋体"/>
          <w:szCs w:val="21"/>
          <w:lang w:eastAsia="zh-CN"/>
        </w:rPr>
        <w:t>赎回情形外</w:t>
      </w:r>
      <w:r>
        <w:rPr>
          <w:rFonts w:ascii="宋体" w:hAnsi="Calibri" w:cs="宋体" w:hint="eastAsia"/>
          <w:szCs w:val="21"/>
          <w:lang w:eastAsia="zh-CN"/>
        </w:rPr>
        <w:t>实施</w:t>
      </w:r>
      <w:r>
        <w:rPr>
          <w:rFonts w:ascii="宋体" w:hAnsi="Calibri" w:cs="宋体"/>
          <w:szCs w:val="21"/>
          <w:lang w:eastAsia="zh-CN"/>
        </w:rPr>
        <w:t>备</w:t>
      </w:r>
      <w:r>
        <w:rPr>
          <w:rFonts w:ascii="宋体" w:hAnsi="Calibri" w:cs="宋体" w:hint="eastAsia"/>
          <w:szCs w:val="21"/>
          <w:lang w:eastAsia="zh-CN"/>
        </w:rPr>
        <w:t>用</w:t>
      </w:r>
      <w:r>
        <w:rPr>
          <w:rFonts w:ascii="宋体" w:hAnsi="Calibri" w:cs="宋体"/>
          <w:szCs w:val="21"/>
          <w:lang w:eastAsia="zh-CN"/>
        </w:rPr>
        <w:t>的流动性风险管理工具的情形、程序及对投资者的潜在影响</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除</w:t>
      </w:r>
      <w:r>
        <w:rPr>
          <w:rFonts w:ascii="宋体" w:hAnsi="Calibri" w:cs="宋体"/>
          <w:szCs w:val="21"/>
          <w:lang w:eastAsia="zh-CN"/>
        </w:rPr>
        <w:t>巨额赎回</w:t>
      </w:r>
      <w:r>
        <w:rPr>
          <w:rFonts w:ascii="宋体" w:hAnsi="Calibri" w:cs="宋体" w:hint="eastAsia"/>
          <w:szCs w:val="21"/>
          <w:lang w:eastAsia="zh-CN"/>
        </w:rPr>
        <w:t>情形外</w:t>
      </w:r>
      <w:r>
        <w:rPr>
          <w:rFonts w:ascii="宋体" w:hAnsi="Calibri" w:cs="宋体"/>
          <w:szCs w:val="21"/>
          <w:lang w:eastAsia="zh-CN"/>
        </w:rPr>
        <w:t>，</w:t>
      </w:r>
      <w:r>
        <w:rPr>
          <w:rFonts w:ascii="宋体" w:hAnsi="Calibri" w:cs="宋体" w:hint="eastAsia"/>
          <w:szCs w:val="21"/>
          <w:lang w:eastAsia="zh-CN"/>
        </w:rPr>
        <w:t>本基金</w:t>
      </w:r>
      <w:r>
        <w:rPr>
          <w:rFonts w:ascii="宋体" w:hAnsi="Calibri" w:cs="宋体"/>
          <w:szCs w:val="21"/>
          <w:lang w:eastAsia="zh-CN"/>
        </w:rPr>
        <w:t>备用流动性风险管理工具</w:t>
      </w:r>
      <w:r>
        <w:rPr>
          <w:rFonts w:ascii="宋体" w:hAnsi="Calibri" w:cs="宋体" w:hint="eastAsia"/>
          <w:szCs w:val="21"/>
          <w:lang w:eastAsia="zh-CN"/>
        </w:rPr>
        <w:t>包括但</w:t>
      </w:r>
      <w:r>
        <w:rPr>
          <w:rFonts w:ascii="宋体" w:hAnsi="Calibri" w:cs="宋体"/>
          <w:szCs w:val="21"/>
          <w:lang w:eastAsia="zh-CN"/>
        </w:rPr>
        <w:t>不限于</w:t>
      </w:r>
      <w:r>
        <w:rPr>
          <w:rFonts w:ascii="宋体" w:hAnsi="Calibri" w:cs="宋体" w:hint="eastAsia"/>
          <w:szCs w:val="21"/>
          <w:lang w:eastAsia="zh-CN"/>
        </w:rPr>
        <w:t>暂停</w:t>
      </w:r>
      <w:r>
        <w:rPr>
          <w:rFonts w:ascii="宋体" w:hAnsi="Calibri" w:cs="宋体"/>
          <w:szCs w:val="21"/>
          <w:lang w:eastAsia="zh-CN"/>
        </w:rPr>
        <w:t>接受赎回申请、延缓支付赎回款项、收取短期赎回费、暂停基金估值</w:t>
      </w:r>
      <w:r>
        <w:rPr>
          <w:rFonts w:ascii="宋体" w:hAnsi="Calibri" w:cs="宋体" w:hint="eastAsia"/>
          <w:szCs w:val="21"/>
          <w:lang w:eastAsia="zh-CN"/>
        </w:rPr>
        <w:t>、</w:t>
      </w:r>
      <w:r>
        <w:rPr>
          <w:rFonts w:ascii="宋体" w:hAnsi="Calibri" w:cs="宋体"/>
          <w:szCs w:val="21"/>
          <w:lang w:eastAsia="zh-CN"/>
        </w:rPr>
        <w:t>摆动定价</w:t>
      </w:r>
      <w:r>
        <w:rPr>
          <w:rFonts w:ascii="宋体" w:hAnsi="Calibri" w:cs="宋体" w:hint="eastAsia"/>
          <w:szCs w:val="21"/>
          <w:lang w:eastAsia="zh-CN"/>
        </w:rPr>
        <w:t>、实施侧袋机制以及证</w:t>
      </w:r>
      <w:r>
        <w:rPr>
          <w:rFonts w:ascii="宋体" w:hAnsi="Calibri" w:cs="宋体"/>
          <w:szCs w:val="21"/>
          <w:lang w:eastAsia="zh-CN"/>
        </w:rPr>
        <w:t>监会认定的其他措施。</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暂停</w:t>
      </w:r>
      <w:r>
        <w:rPr>
          <w:rFonts w:ascii="宋体" w:hAnsi="Calibri" w:cs="宋体"/>
          <w:szCs w:val="21"/>
          <w:lang w:eastAsia="zh-CN"/>
        </w:rPr>
        <w:t>接受</w:t>
      </w:r>
      <w:r>
        <w:rPr>
          <w:rFonts w:ascii="宋体" w:hAnsi="Calibri" w:cs="宋体"/>
          <w:szCs w:val="21"/>
          <w:lang w:eastAsia="zh-CN"/>
        </w:rPr>
        <w:t>赎回申请、延缓支付赎回款项</w:t>
      </w:r>
      <w:r>
        <w:rPr>
          <w:rFonts w:ascii="宋体" w:hAnsi="Calibri" w:cs="宋体" w:hint="eastAsia"/>
          <w:szCs w:val="21"/>
          <w:lang w:eastAsia="zh-CN"/>
        </w:rPr>
        <w:t>等</w:t>
      </w:r>
      <w:r>
        <w:rPr>
          <w:rFonts w:ascii="宋体" w:hAnsi="Calibri" w:cs="宋体"/>
          <w:szCs w:val="21"/>
          <w:lang w:eastAsia="zh-CN"/>
        </w:rPr>
        <w:t>工具的情形、程序</w:t>
      </w:r>
      <w:r>
        <w:rPr>
          <w:rFonts w:ascii="宋体" w:hAnsi="Calibri" w:cs="宋体" w:hint="eastAsia"/>
          <w:szCs w:val="21"/>
          <w:lang w:eastAsia="zh-CN"/>
        </w:rPr>
        <w:t>见招募</w:t>
      </w:r>
      <w:r>
        <w:rPr>
          <w:rFonts w:ascii="宋体" w:hAnsi="Calibri" w:cs="宋体"/>
          <w:szCs w:val="21"/>
          <w:lang w:eastAsia="zh-CN"/>
        </w:rPr>
        <w:t>说明</w:t>
      </w:r>
      <w:r>
        <w:rPr>
          <w:rFonts w:ascii="宋体" w:hAnsi="Calibri" w:cs="宋体" w:hint="eastAsia"/>
          <w:szCs w:val="21"/>
          <w:lang w:eastAsia="zh-CN"/>
        </w:rPr>
        <w:t>书“基金份额的申购、赎回”</w:t>
      </w:r>
      <w:r>
        <w:rPr>
          <w:rFonts w:ascii="宋体" w:hAnsi="Calibri" w:cs="宋体"/>
          <w:szCs w:val="21"/>
          <w:lang w:eastAsia="zh-CN"/>
        </w:rPr>
        <w:t>之</w:t>
      </w:r>
      <w:r>
        <w:rPr>
          <w:rFonts w:ascii="宋体" w:hAnsi="Calibri" w:cs="宋体" w:hint="eastAsia"/>
          <w:szCs w:val="21"/>
          <w:lang w:eastAsia="zh-CN"/>
        </w:rPr>
        <w:t>“</w:t>
      </w:r>
      <w:r>
        <w:rPr>
          <w:rFonts w:ascii="宋体" w:hAnsi="Calibri" w:cs="宋体"/>
          <w:color w:val="000000"/>
          <w:szCs w:val="21"/>
          <w:lang w:eastAsia="zh-CN"/>
        </w:rPr>
        <w:t>暂停赎回或延缓支付赎回款项的情形</w:t>
      </w:r>
      <w:r>
        <w:rPr>
          <w:rFonts w:ascii="宋体" w:hAnsi="Calibri" w:cs="宋体" w:hint="eastAsia"/>
          <w:szCs w:val="21"/>
          <w:lang w:eastAsia="zh-CN"/>
        </w:rPr>
        <w:t>”的相关规定。若</w:t>
      </w:r>
      <w:r>
        <w:rPr>
          <w:rFonts w:ascii="宋体" w:hAnsi="Calibri" w:cs="宋体"/>
          <w:szCs w:val="21"/>
          <w:lang w:eastAsia="zh-CN"/>
        </w:rPr>
        <w:t>本基金暂停赎回申请</w:t>
      </w:r>
      <w:r>
        <w:rPr>
          <w:rFonts w:ascii="宋体" w:hAnsi="Calibri" w:cs="宋体" w:hint="eastAsia"/>
          <w:szCs w:val="21"/>
          <w:lang w:eastAsia="zh-CN"/>
        </w:rPr>
        <w:t>，</w:t>
      </w:r>
      <w:r>
        <w:rPr>
          <w:rFonts w:ascii="宋体" w:hAnsi="Calibri" w:cs="宋体"/>
          <w:szCs w:val="21"/>
          <w:lang w:eastAsia="zh-CN"/>
        </w:rPr>
        <w:t>投资</w:t>
      </w:r>
      <w:r>
        <w:rPr>
          <w:rFonts w:ascii="宋体" w:hAnsi="Calibri" w:cs="宋体" w:hint="eastAsia"/>
          <w:szCs w:val="21"/>
          <w:lang w:eastAsia="zh-CN"/>
        </w:rPr>
        <w:t>者在</w:t>
      </w:r>
      <w:r>
        <w:rPr>
          <w:rFonts w:ascii="宋体" w:hAnsi="Calibri" w:cs="宋体"/>
          <w:szCs w:val="21"/>
          <w:lang w:eastAsia="zh-CN"/>
        </w:rPr>
        <w:t>暂停赎回期间将</w:t>
      </w:r>
      <w:r>
        <w:rPr>
          <w:rFonts w:ascii="宋体" w:hAnsi="Calibri" w:cs="宋体" w:hint="eastAsia"/>
          <w:szCs w:val="21"/>
          <w:lang w:eastAsia="zh-CN"/>
        </w:rPr>
        <w:t>无法</w:t>
      </w:r>
      <w:r>
        <w:rPr>
          <w:rFonts w:ascii="宋体" w:hAnsi="Calibri" w:cs="宋体"/>
          <w:szCs w:val="21"/>
          <w:lang w:eastAsia="zh-CN"/>
        </w:rPr>
        <w:t>赎回</w:t>
      </w:r>
      <w:r>
        <w:rPr>
          <w:rFonts w:ascii="宋体" w:hAnsi="Calibri" w:cs="宋体" w:hint="eastAsia"/>
          <w:szCs w:val="21"/>
          <w:lang w:eastAsia="zh-CN"/>
        </w:rPr>
        <w:t>其持有</w:t>
      </w:r>
      <w:r>
        <w:rPr>
          <w:rFonts w:ascii="宋体" w:hAnsi="Calibri" w:cs="宋体"/>
          <w:szCs w:val="21"/>
          <w:lang w:eastAsia="zh-CN"/>
        </w:rPr>
        <w:t>的基金份额。</w:t>
      </w:r>
      <w:r>
        <w:rPr>
          <w:rFonts w:ascii="宋体" w:hAnsi="Calibri" w:cs="宋体" w:hint="eastAsia"/>
          <w:szCs w:val="21"/>
          <w:lang w:eastAsia="zh-CN"/>
        </w:rPr>
        <w:t>若本</w:t>
      </w:r>
      <w:r>
        <w:rPr>
          <w:rFonts w:ascii="宋体" w:hAnsi="Calibri" w:cs="宋体"/>
          <w:szCs w:val="21"/>
          <w:lang w:eastAsia="zh-CN"/>
        </w:rPr>
        <w:t>基金延缓</w:t>
      </w:r>
      <w:r>
        <w:rPr>
          <w:rFonts w:ascii="宋体" w:hAnsi="Calibri" w:cs="宋体" w:hint="eastAsia"/>
          <w:szCs w:val="21"/>
          <w:lang w:eastAsia="zh-CN"/>
        </w:rPr>
        <w:t>支付</w:t>
      </w:r>
      <w:r>
        <w:rPr>
          <w:rFonts w:ascii="宋体" w:hAnsi="Calibri" w:cs="宋体"/>
          <w:szCs w:val="21"/>
          <w:lang w:eastAsia="zh-CN"/>
        </w:rPr>
        <w:t>赎回</w:t>
      </w:r>
      <w:r>
        <w:rPr>
          <w:rFonts w:ascii="宋体" w:hAnsi="Calibri" w:cs="宋体" w:hint="eastAsia"/>
          <w:szCs w:val="21"/>
          <w:lang w:eastAsia="zh-CN"/>
        </w:rPr>
        <w:t>款项，赎回</w:t>
      </w:r>
      <w:r>
        <w:rPr>
          <w:rFonts w:ascii="宋体" w:hAnsi="Calibri" w:cs="宋体"/>
          <w:szCs w:val="21"/>
          <w:lang w:eastAsia="zh-CN"/>
        </w:rPr>
        <w:t>款</w:t>
      </w:r>
      <w:r>
        <w:rPr>
          <w:rFonts w:ascii="宋体" w:hAnsi="Calibri" w:cs="宋体" w:hint="eastAsia"/>
          <w:szCs w:val="21"/>
          <w:lang w:eastAsia="zh-CN"/>
        </w:rPr>
        <w:t>支付</w:t>
      </w:r>
      <w:r>
        <w:rPr>
          <w:rFonts w:ascii="宋体" w:hAnsi="Calibri" w:cs="宋体"/>
          <w:szCs w:val="21"/>
          <w:lang w:eastAsia="zh-CN"/>
        </w:rPr>
        <w:t>时间将后延</w:t>
      </w:r>
      <w:r>
        <w:rPr>
          <w:rFonts w:ascii="宋体" w:hAnsi="Calibri" w:cs="宋体" w:hint="eastAsia"/>
          <w:szCs w:val="21"/>
          <w:lang w:eastAsia="zh-CN"/>
        </w:rPr>
        <w:t>，可能对</w:t>
      </w:r>
      <w:r>
        <w:rPr>
          <w:rFonts w:ascii="宋体" w:hAnsi="Calibri" w:cs="宋体"/>
          <w:szCs w:val="21"/>
          <w:lang w:eastAsia="zh-CN"/>
        </w:rPr>
        <w:t>投资者的资金安排带来不利影响。</w:t>
      </w:r>
    </w:p>
    <w:p w:rsidR="004A090B">
      <w:pPr>
        <w:spacing w:line="360" w:lineRule="auto"/>
        <w:ind w:firstLine="420"/>
        <w:rPr>
          <w:rFonts w:ascii="宋体" w:hAnsi="Calibri" w:cs="宋体"/>
          <w:szCs w:val="21"/>
          <w:lang w:eastAsia="zh-CN"/>
        </w:rPr>
      </w:pPr>
      <w:r>
        <w:rPr>
          <w:rFonts w:ascii="宋体" w:hAnsi="Calibri" w:cs="宋体"/>
          <w:szCs w:val="21"/>
          <w:lang w:eastAsia="zh-CN"/>
        </w:rPr>
        <w:t>短期赎回费</w:t>
      </w:r>
      <w:r>
        <w:rPr>
          <w:rFonts w:ascii="宋体" w:hAnsi="Calibri" w:cs="宋体" w:hint="eastAsia"/>
          <w:szCs w:val="21"/>
          <w:lang w:eastAsia="zh-CN"/>
        </w:rPr>
        <w:t>适用</w:t>
      </w:r>
      <w:r>
        <w:rPr>
          <w:rFonts w:ascii="宋体" w:hAnsi="Calibri" w:cs="宋体"/>
          <w:szCs w:val="21"/>
          <w:lang w:eastAsia="zh-CN"/>
        </w:rPr>
        <w:t>于</w:t>
      </w:r>
      <w:r>
        <w:rPr>
          <w:rFonts w:ascii="宋体" w:hAnsi="Calibri" w:cs="宋体" w:hint="eastAsia"/>
          <w:szCs w:val="21"/>
          <w:lang w:eastAsia="zh-CN"/>
        </w:rPr>
        <w:t>持续持有期少于</w:t>
      </w:r>
      <w:r>
        <w:rPr>
          <w:rFonts w:ascii="宋体" w:hAnsi="Calibri" w:cs="宋体"/>
          <w:szCs w:val="21"/>
          <w:lang w:eastAsia="zh-CN"/>
        </w:rPr>
        <w:t>7</w:t>
      </w:r>
      <w:r>
        <w:rPr>
          <w:rFonts w:ascii="宋体" w:hAnsi="Calibri" w:cs="宋体" w:hint="eastAsia"/>
          <w:szCs w:val="21"/>
          <w:lang w:eastAsia="zh-CN"/>
        </w:rPr>
        <w:t>日的投资者，</w:t>
      </w:r>
      <w:r>
        <w:rPr>
          <w:rFonts w:ascii="宋体" w:hAnsi="Calibri" w:cs="宋体"/>
          <w:szCs w:val="21"/>
          <w:lang w:eastAsia="zh-CN"/>
        </w:rPr>
        <w:t>费率为</w:t>
      </w:r>
      <w:r>
        <w:rPr>
          <w:rFonts w:ascii="宋体" w:hAnsi="Calibri" w:cs="宋体"/>
          <w:szCs w:val="21"/>
          <w:lang w:eastAsia="zh-CN"/>
        </w:rPr>
        <w:t>1.5%</w:t>
      </w:r>
      <w:r>
        <w:rPr>
          <w:rFonts w:ascii="宋体" w:hAnsi="Calibri" w:cs="宋体" w:hint="eastAsia"/>
          <w:szCs w:val="21"/>
          <w:lang w:eastAsia="zh-CN"/>
        </w:rPr>
        <w:t>。</w:t>
      </w:r>
      <w:r>
        <w:rPr>
          <w:rFonts w:ascii="宋体" w:hAnsi="Calibri" w:cs="宋体"/>
          <w:szCs w:val="21"/>
          <w:lang w:eastAsia="zh-CN"/>
        </w:rPr>
        <w:t>短期赎回费</w:t>
      </w:r>
      <w:r>
        <w:rPr>
          <w:rFonts w:ascii="宋体" w:hAnsi="Calibri" w:cs="宋体" w:hint="eastAsia"/>
          <w:szCs w:val="21"/>
          <w:lang w:eastAsia="zh-CN"/>
        </w:rPr>
        <w:t>由赎回基金份额的基金份额持有人承担，在基金份额持有人赎回基金份额时收取。短期</w:t>
      </w:r>
      <w:r>
        <w:rPr>
          <w:rFonts w:ascii="宋体" w:hAnsi="Calibri" w:cs="宋体"/>
          <w:szCs w:val="21"/>
          <w:lang w:eastAsia="zh-CN"/>
        </w:rPr>
        <w:t>赎回费的</w:t>
      </w:r>
      <w:r>
        <w:rPr>
          <w:rFonts w:ascii="宋体" w:hAnsi="Calibri" w:cs="宋体" w:hint="eastAsia"/>
          <w:szCs w:val="21"/>
          <w:lang w:eastAsia="zh-CN"/>
        </w:rPr>
        <w:t>收取</w:t>
      </w:r>
      <w:r>
        <w:rPr>
          <w:rFonts w:ascii="宋体" w:hAnsi="Calibri" w:cs="宋体"/>
          <w:szCs w:val="21"/>
          <w:lang w:eastAsia="zh-CN"/>
        </w:rPr>
        <w:t>将</w:t>
      </w:r>
      <w:r>
        <w:rPr>
          <w:rFonts w:ascii="宋体" w:hAnsi="Calibri" w:cs="宋体" w:hint="eastAsia"/>
          <w:szCs w:val="21"/>
          <w:lang w:eastAsia="zh-CN"/>
        </w:rPr>
        <w:t>使得</w:t>
      </w:r>
      <w:r>
        <w:rPr>
          <w:rFonts w:ascii="宋体" w:hAnsi="Calibri" w:cs="宋体"/>
          <w:szCs w:val="21"/>
          <w:lang w:eastAsia="zh-CN"/>
        </w:rPr>
        <w:t>投资者</w:t>
      </w:r>
      <w:r>
        <w:rPr>
          <w:rFonts w:ascii="宋体" w:hAnsi="Calibri" w:cs="宋体" w:hint="eastAsia"/>
          <w:szCs w:val="21"/>
          <w:lang w:eastAsia="zh-CN"/>
        </w:rPr>
        <w:t>在持续</w:t>
      </w:r>
      <w:r>
        <w:rPr>
          <w:rFonts w:ascii="宋体" w:hAnsi="Calibri" w:cs="宋体"/>
          <w:szCs w:val="21"/>
          <w:lang w:eastAsia="zh-CN"/>
        </w:rPr>
        <w:t>持有期限少于</w:t>
      </w:r>
      <w:r>
        <w:rPr>
          <w:rFonts w:ascii="宋体" w:hAnsi="Calibri" w:cs="宋体"/>
          <w:szCs w:val="21"/>
          <w:lang w:eastAsia="zh-CN"/>
        </w:rPr>
        <w:t>7</w:t>
      </w:r>
      <w:r>
        <w:rPr>
          <w:rFonts w:ascii="宋体" w:hAnsi="Calibri" w:cs="宋体"/>
          <w:szCs w:val="21"/>
          <w:lang w:eastAsia="zh-CN"/>
        </w:rPr>
        <w:t>日时</w:t>
      </w:r>
      <w:r>
        <w:rPr>
          <w:rFonts w:ascii="宋体" w:hAnsi="Calibri" w:cs="宋体" w:hint="eastAsia"/>
          <w:szCs w:val="21"/>
          <w:lang w:eastAsia="zh-CN"/>
        </w:rPr>
        <w:t>会</w:t>
      </w:r>
      <w:r>
        <w:rPr>
          <w:rFonts w:ascii="宋体" w:hAnsi="Calibri" w:cs="宋体"/>
          <w:szCs w:val="21"/>
          <w:lang w:eastAsia="zh-CN"/>
        </w:rPr>
        <w:t>承担较高的赎回费</w:t>
      </w:r>
      <w:r>
        <w:rPr>
          <w:rFonts w:ascii="宋体" w:hAnsi="Calibri" w:cs="宋体" w:hint="eastAsia"/>
          <w:szCs w:val="21"/>
          <w:lang w:eastAsia="zh-CN"/>
        </w:rPr>
        <w:t>。</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暂停基金</w:t>
      </w:r>
      <w:r>
        <w:rPr>
          <w:rFonts w:ascii="宋体" w:hAnsi="Calibri" w:cs="宋体"/>
          <w:szCs w:val="21"/>
          <w:lang w:eastAsia="zh-CN"/>
        </w:rPr>
        <w:t>估值</w:t>
      </w:r>
      <w:r>
        <w:rPr>
          <w:rFonts w:ascii="宋体" w:hAnsi="Calibri" w:cs="宋体" w:hint="eastAsia"/>
          <w:szCs w:val="21"/>
          <w:lang w:eastAsia="zh-CN"/>
        </w:rPr>
        <w:t>的</w:t>
      </w:r>
      <w:r>
        <w:rPr>
          <w:rFonts w:ascii="宋体" w:hAnsi="Calibri" w:cs="宋体"/>
          <w:szCs w:val="21"/>
          <w:lang w:eastAsia="zh-CN"/>
        </w:rPr>
        <w:t>情形、程序</w:t>
      </w:r>
      <w:r>
        <w:rPr>
          <w:rFonts w:ascii="宋体" w:hAnsi="Calibri" w:cs="宋体" w:hint="eastAsia"/>
          <w:szCs w:val="21"/>
          <w:lang w:eastAsia="zh-CN"/>
        </w:rPr>
        <w:t>见招募</w:t>
      </w:r>
      <w:r>
        <w:rPr>
          <w:rFonts w:ascii="宋体" w:hAnsi="Calibri" w:cs="宋体"/>
          <w:szCs w:val="21"/>
          <w:lang w:eastAsia="zh-CN"/>
        </w:rPr>
        <w:t>说明</w:t>
      </w:r>
      <w:r>
        <w:rPr>
          <w:rFonts w:ascii="宋体" w:hAnsi="Calibri" w:cs="宋体" w:hint="eastAsia"/>
          <w:szCs w:val="21"/>
          <w:lang w:eastAsia="zh-CN"/>
        </w:rPr>
        <w:t>书“基金资产的估值”</w:t>
      </w:r>
      <w:r>
        <w:rPr>
          <w:rFonts w:ascii="宋体" w:hAnsi="Calibri" w:cs="宋体"/>
          <w:szCs w:val="21"/>
          <w:lang w:eastAsia="zh-CN"/>
        </w:rPr>
        <w:t>之</w:t>
      </w:r>
      <w:r>
        <w:rPr>
          <w:rFonts w:ascii="宋体" w:hAnsi="Calibri" w:cs="宋体" w:hint="eastAsia"/>
          <w:szCs w:val="21"/>
          <w:lang w:eastAsia="zh-CN"/>
        </w:rPr>
        <w:t>“暂停估值的情形”的相关规定。若</w:t>
      </w:r>
      <w:r>
        <w:rPr>
          <w:rFonts w:ascii="宋体" w:hAnsi="Calibri" w:cs="宋体"/>
          <w:szCs w:val="21"/>
          <w:lang w:eastAsia="zh-CN"/>
        </w:rPr>
        <w:t>本基金暂停基金估值，</w:t>
      </w:r>
      <w:r>
        <w:rPr>
          <w:rFonts w:ascii="宋体" w:hAnsi="Calibri" w:cs="宋体" w:hint="eastAsia"/>
          <w:szCs w:val="21"/>
          <w:lang w:eastAsia="zh-CN"/>
        </w:rPr>
        <w:t>一方面</w:t>
      </w:r>
      <w:r>
        <w:rPr>
          <w:rFonts w:ascii="宋体" w:hAnsi="Calibri" w:cs="宋体"/>
          <w:szCs w:val="21"/>
          <w:lang w:eastAsia="zh-CN"/>
        </w:rPr>
        <w:t>投资者将无法知晓本基金的基金份额净值，</w:t>
      </w:r>
      <w:r>
        <w:rPr>
          <w:rFonts w:ascii="宋体" w:hAnsi="Calibri" w:cs="宋体" w:hint="eastAsia"/>
          <w:szCs w:val="21"/>
          <w:lang w:eastAsia="zh-CN"/>
        </w:rPr>
        <w:t>另一方面基金</w:t>
      </w:r>
      <w:r>
        <w:rPr>
          <w:rFonts w:ascii="宋体" w:hAnsi="Calibri" w:cs="宋体"/>
          <w:szCs w:val="21"/>
          <w:lang w:eastAsia="zh-CN"/>
        </w:rPr>
        <w:t>将</w:t>
      </w:r>
      <w:r>
        <w:rPr>
          <w:rFonts w:ascii="宋体" w:hAnsi="Calibri" w:cs="宋体" w:hint="eastAsia"/>
          <w:szCs w:val="21"/>
          <w:lang w:eastAsia="zh-CN"/>
        </w:rPr>
        <w:t>延缓支付赎回款项或暂停接受基金申购赎回申请</w:t>
      </w:r>
      <w:r>
        <w:rPr>
          <w:rFonts w:ascii="宋体" w:hAnsi="Calibri" w:cs="宋体"/>
          <w:szCs w:val="21"/>
          <w:lang w:eastAsia="zh-CN"/>
        </w:rPr>
        <w:t>，</w:t>
      </w:r>
      <w:r>
        <w:rPr>
          <w:rFonts w:ascii="宋体" w:hAnsi="Calibri" w:cs="宋体" w:hint="eastAsia"/>
          <w:szCs w:val="21"/>
          <w:lang w:eastAsia="zh-CN"/>
        </w:rPr>
        <w:t>延缓支付赎回款项</w:t>
      </w:r>
      <w:r>
        <w:rPr>
          <w:rFonts w:ascii="宋体" w:hAnsi="Calibri" w:cs="宋体"/>
          <w:szCs w:val="21"/>
          <w:lang w:eastAsia="zh-CN"/>
        </w:rPr>
        <w:t>可能影响投资</w:t>
      </w:r>
      <w:r>
        <w:rPr>
          <w:rFonts w:ascii="宋体" w:hAnsi="Calibri" w:cs="宋体" w:hint="eastAsia"/>
          <w:szCs w:val="21"/>
          <w:lang w:eastAsia="zh-CN"/>
        </w:rPr>
        <w:t>者</w:t>
      </w:r>
      <w:r>
        <w:rPr>
          <w:rFonts w:ascii="宋体" w:hAnsi="Calibri" w:cs="宋体"/>
          <w:szCs w:val="21"/>
          <w:lang w:eastAsia="zh-CN"/>
        </w:rPr>
        <w:t>的资金安排</w:t>
      </w:r>
      <w:r>
        <w:rPr>
          <w:rFonts w:ascii="宋体" w:hAnsi="Calibri" w:cs="宋体" w:hint="eastAsia"/>
          <w:szCs w:val="21"/>
          <w:lang w:eastAsia="zh-CN"/>
        </w:rPr>
        <w:t>，暂停接受基金申购赎回申请将</w:t>
      </w:r>
      <w:r>
        <w:rPr>
          <w:rFonts w:ascii="宋体" w:hAnsi="Calibri" w:cs="宋体"/>
          <w:szCs w:val="21"/>
          <w:lang w:eastAsia="zh-CN"/>
        </w:rPr>
        <w:t>导致投资者无法申购或赎回本基金。</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采用</w:t>
      </w:r>
      <w:r>
        <w:rPr>
          <w:rFonts w:ascii="宋体" w:hAnsi="Calibri" w:cs="宋体"/>
          <w:szCs w:val="21"/>
          <w:lang w:eastAsia="zh-CN"/>
        </w:rPr>
        <w:t>摆动定价</w:t>
      </w:r>
      <w:r>
        <w:rPr>
          <w:rFonts w:ascii="宋体" w:hAnsi="Calibri" w:cs="宋体" w:hint="eastAsia"/>
          <w:szCs w:val="21"/>
          <w:lang w:eastAsia="zh-CN"/>
        </w:rPr>
        <w:t>机制的</w:t>
      </w:r>
      <w:r>
        <w:rPr>
          <w:rFonts w:ascii="宋体" w:hAnsi="Calibri" w:cs="宋体"/>
          <w:szCs w:val="21"/>
          <w:lang w:eastAsia="zh-CN"/>
        </w:rPr>
        <w:t>情形、程序</w:t>
      </w:r>
      <w:r>
        <w:rPr>
          <w:rFonts w:ascii="宋体" w:hAnsi="Calibri" w:cs="宋体" w:hint="eastAsia"/>
          <w:szCs w:val="21"/>
          <w:lang w:eastAsia="zh-CN"/>
        </w:rPr>
        <w:t>见招募</w:t>
      </w:r>
      <w:r>
        <w:rPr>
          <w:rFonts w:ascii="宋体" w:hAnsi="Calibri" w:cs="宋体"/>
          <w:szCs w:val="21"/>
          <w:lang w:eastAsia="zh-CN"/>
        </w:rPr>
        <w:t>说明</w:t>
      </w:r>
      <w:r>
        <w:rPr>
          <w:rFonts w:ascii="宋体" w:hAnsi="Calibri" w:cs="宋体" w:hint="eastAsia"/>
          <w:szCs w:val="21"/>
          <w:lang w:eastAsia="zh-CN"/>
        </w:rPr>
        <w:t>书“基金资产的估值”</w:t>
      </w:r>
      <w:r>
        <w:rPr>
          <w:rFonts w:ascii="宋体" w:hAnsi="Calibri" w:cs="宋体"/>
          <w:szCs w:val="21"/>
          <w:lang w:eastAsia="zh-CN"/>
        </w:rPr>
        <w:t>之</w:t>
      </w:r>
      <w:r>
        <w:rPr>
          <w:rFonts w:ascii="宋体" w:hAnsi="Calibri" w:cs="宋体" w:hint="eastAsia"/>
          <w:szCs w:val="21"/>
          <w:lang w:eastAsia="zh-CN"/>
        </w:rPr>
        <w:t>“</w:t>
      </w:r>
      <w:r>
        <w:rPr>
          <w:rStyle w:val="da"/>
          <w:rFonts w:ascii="宋体" w:hAnsi="Calibri" w:cs="宋体"/>
          <w:szCs w:val="21"/>
          <w:lang w:eastAsia="zh-CN"/>
        </w:rPr>
        <w:t>估值方法</w:t>
      </w:r>
      <w:r>
        <w:rPr>
          <w:rFonts w:ascii="宋体" w:hAnsi="Calibri" w:cs="宋体" w:hint="eastAsia"/>
          <w:szCs w:val="21"/>
          <w:lang w:eastAsia="zh-CN"/>
        </w:rPr>
        <w:t>”的相关规定。</w:t>
      </w:r>
      <w:r>
        <w:rPr>
          <w:rFonts w:ascii="宋体" w:hAnsi="Calibri" w:cs="宋体"/>
          <w:szCs w:val="21"/>
          <w:lang w:eastAsia="zh-CN"/>
        </w:rPr>
        <w:t>若</w:t>
      </w:r>
      <w:r>
        <w:rPr>
          <w:rFonts w:ascii="宋体" w:hAnsi="Calibri" w:cs="宋体" w:hint="eastAsia"/>
          <w:szCs w:val="21"/>
          <w:lang w:eastAsia="zh-CN"/>
        </w:rPr>
        <w:t>本</w:t>
      </w:r>
      <w:r>
        <w:rPr>
          <w:rFonts w:ascii="宋体" w:hAnsi="Calibri" w:cs="宋体"/>
          <w:szCs w:val="21"/>
          <w:lang w:eastAsia="zh-CN"/>
        </w:rPr>
        <w:t>基金采取摆动定价机制，</w:t>
      </w:r>
      <w:r>
        <w:rPr>
          <w:rFonts w:ascii="宋体" w:hAnsi="Calibri" w:cs="宋体" w:hint="eastAsia"/>
          <w:szCs w:val="21"/>
          <w:lang w:eastAsia="zh-CN"/>
        </w:rPr>
        <w:t>投资</w:t>
      </w:r>
      <w:r>
        <w:rPr>
          <w:rFonts w:ascii="宋体" w:hAnsi="Calibri" w:cs="宋体"/>
          <w:szCs w:val="21"/>
          <w:lang w:eastAsia="zh-CN"/>
        </w:rPr>
        <w:t>者申购基金获得的</w:t>
      </w:r>
      <w:r>
        <w:rPr>
          <w:rFonts w:ascii="宋体" w:hAnsi="Calibri" w:cs="宋体" w:hint="eastAsia"/>
          <w:szCs w:val="21"/>
          <w:lang w:eastAsia="zh-CN"/>
        </w:rPr>
        <w:t>申购</w:t>
      </w:r>
      <w:r>
        <w:rPr>
          <w:rFonts w:ascii="宋体" w:hAnsi="Calibri" w:cs="宋体"/>
          <w:szCs w:val="21"/>
          <w:lang w:eastAsia="zh-CN"/>
        </w:rPr>
        <w:t>份额</w:t>
      </w:r>
      <w:r>
        <w:rPr>
          <w:rFonts w:ascii="宋体" w:hAnsi="Calibri" w:cs="宋体" w:hint="eastAsia"/>
          <w:szCs w:val="21"/>
          <w:lang w:eastAsia="zh-CN"/>
        </w:rPr>
        <w:t>及赎回</w:t>
      </w:r>
      <w:r>
        <w:rPr>
          <w:rFonts w:ascii="宋体" w:hAnsi="Calibri" w:cs="宋体"/>
          <w:szCs w:val="21"/>
          <w:lang w:eastAsia="zh-CN"/>
        </w:rPr>
        <w:t>基金获得的赎回金额均可能受到不利影响。</w:t>
      </w:r>
    </w:p>
    <w:p w:rsidR="004A090B">
      <w:pPr>
        <w:spacing w:line="360" w:lineRule="auto"/>
        <w:ind w:firstLine="420"/>
        <w:rPr>
          <w:rFonts w:ascii="宋体" w:hAnsi="Calibri" w:cs="宋体"/>
          <w:szCs w:val="21"/>
          <w:lang w:eastAsia="zh-CN"/>
        </w:rPr>
      </w:pPr>
      <w:r>
        <w:rPr>
          <w:rFonts w:ascii="宋体" w:hAnsi="Calibri" w:cs="宋体"/>
          <w:szCs w:val="21"/>
          <w:lang w:eastAsia="zh-CN"/>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仅主袋账户份额正常开放赎回，因此启用侧袋机制时持有基金份额的持有人将在启用侧袋机制后同时拥有主袋账户份额和侧袋账户份额，侧袋账户份额不能赎回，其对应特定资产的变现时间具有不确定性，最终变现价格也具有不确定性并且有可能大幅低于启用侧袋机制时的特定资产的估值，基金份额持有人可</w:t>
      </w:r>
      <w:r>
        <w:rPr>
          <w:rFonts w:ascii="宋体" w:hAnsi="Calibri" w:cs="宋体"/>
          <w:szCs w:val="21"/>
          <w:lang w:eastAsia="zh-CN"/>
        </w:rPr>
        <w:t>能因此面临损失。</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实施侧袋机制期间，基金管理人计算各项投资运作指标和基金业绩指标时以主袋账户资产为基准，不反映侧袋账户特定资产的真实价值及变化情况。本基金不披露侧袋账户份额的净值，即便基金管理人在基金定期报告中披露报告期末特定资产可变现净值或净值区间的，也不作为特定资产最终变现价格的承诺，对于特定资产的公允价值和最终变现价格，基金管理人不承担任何保证和承诺的责任。</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基金管理人将根据主袋账户运作情况合理确定申购政策，因此实施侧袋机制后主袋账户份额存在暂停申购的可能。</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四、管理风险</w:t>
      </w:r>
    </w:p>
    <w:p w:rsidR="004A090B">
      <w:pPr>
        <w:spacing w:line="360" w:lineRule="auto"/>
        <w:ind w:firstLine="420"/>
        <w:rPr>
          <w:rFonts w:ascii="宋体" w:hAnsi="Calibri" w:cs="宋体"/>
          <w:szCs w:val="21"/>
          <w:lang w:eastAsia="zh-CN"/>
        </w:rPr>
      </w:pPr>
      <w:r>
        <w:rPr>
          <w:rFonts w:ascii="宋体" w:hAnsi="Calibri" w:cs="宋体"/>
          <w:szCs w:val="21"/>
          <w:lang w:eastAsia="zh-CN"/>
        </w:rPr>
        <w:t>1</w:t>
      </w:r>
      <w:r>
        <w:rPr>
          <w:rFonts w:ascii="宋体" w:hAnsi="Calibri" w:cs="宋体" w:hint="eastAsia"/>
          <w:szCs w:val="21"/>
          <w:lang w:eastAsia="zh-CN"/>
        </w:rPr>
        <w:t>、在基金管理运作过程中，基</w:t>
      </w:r>
      <w:r>
        <w:rPr>
          <w:rFonts w:ascii="宋体" w:hAnsi="Calibri" w:cs="宋体" w:hint="eastAsia"/>
          <w:szCs w:val="21"/>
          <w:lang w:eastAsia="zh-CN"/>
        </w:rPr>
        <w:t>金管理人的知识、经验、判断、决策、技能等，会影响其对信息的占有以及对经济形势、证券价格走势的判断，从而影响基金收益水平。</w:t>
      </w:r>
    </w:p>
    <w:p w:rsidR="004A090B">
      <w:pPr>
        <w:spacing w:line="360" w:lineRule="auto"/>
        <w:ind w:firstLine="420"/>
        <w:rPr>
          <w:rFonts w:ascii="宋体" w:hAnsi="Calibri" w:cs="宋体"/>
          <w:szCs w:val="21"/>
          <w:lang w:eastAsia="zh-CN"/>
        </w:rPr>
      </w:pPr>
      <w:r>
        <w:rPr>
          <w:rFonts w:ascii="宋体" w:hAnsi="Calibri" w:cs="宋体"/>
          <w:szCs w:val="21"/>
          <w:lang w:eastAsia="zh-CN"/>
        </w:rPr>
        <w:t>2</w:t>
      </w:r>
      <w:r>
        <w:rPr>
          <w:rFonts w:ascii="宋体" w:hAnsi="Calibri" w:cs="宋体" w:hint="eastAsia"/>
          <w:szCs w:val="21"/>
          <w:lang w:eastAsia="zh-CN"/>
        </w:rPr>
        <w:t>、基金管理人的管理手段和管理技术等因素的变化也会影响基金收益水平。</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五、税收风险</w:t>
      </w:r>
    </w:p>
    <w:p w:rsidR="004A090B">
      <w:pPr>
        <w:spacing w:line="360" w:lineRule="auto"/>
        <w:ind w:firstLine="420"/>
        <w:rPr>
          <w:rFonts w:ascii="宋体" w:hAnsi="Calibri" w:cs="宋体"/>
          <w:szCs w:val="21"/>
          <w:lang w:eastAsia="zh-CN"/>
        </w:rPr>
      </w:pPr>
      <w:r>
        <w:rPr>
          <w:rFonts w:ascii="宋体" w:hAnsi="Calibri" w:cs="宋体"/>
          <w:szCs w:val="21"/>
          <w:lang w:eastAsia="zh-CN"/>
        </w:rPr>
        <w:t>在本基金存续期间，税收征管部门可能会对增值税等应税行为的认定以及适用的税率等进行调整。届时，基金管理人将执行更新后的政策，可能会因此导致基金资产实际承担的税费发生变化。该等情况下，基金管理人有权根据法律法规及税收政策的变化相应调整税收处理，该等调整可能会影响到基金投资者的收益，也可能导致基金财产的估值调整</w:t>
      </w:r>
      <w:r>
        <w:rPr>
          <w:rFonts w:ascii="宋体" w:hAnsi="Calibri" w:cs="宋体"/>
          <w:szCs w:val="21"/>
          <w:lang w:eastAsia="zh-CN"/>
        </w:rPr>
        <w:t>。由于前述税收政策变化导致对基金资产的收益影响，将由持有该基金的基金投资者承担。对于现有税收政策未明确事项，本基金主要参照行业协会建议方案进行处理，可能会与税收征管认定存在差异，从而产生税费补缴及滞纳金，该等税费及滞纳金将由基金财产承担。</w:t>
      </w:r>
    </w:p>
    <w:p w:rsidR="004A090B">
      <w:pPr>
        <w:spacing w:line="360" w:lineRule="auto"/>
        <w:ind w:firstLine="420"/>
        <w:rPr>
          <w:rFonts w:ascii="宋体" w:hAnsi="Calibri" w:cs="宋体"/>
          <w:szCs w:val="21"/>
          <w:lang w:eastAsia="zh-CN"/>
        </w:rPr>
      </w:pPr>
      <w:r>
        <w:rPr>
          <w:rFonts w:ascii="宋体" w:hAnsi="Calibri" w:cs="宋体"/>
          <w:szCs w:val="21"/>
          <w:lang w:eastAsia="zh-CN"/>
        </w:rPr>
        <w:t>六、</w:t>
      </w:r>
      <w:r>
        <w:rPr>
          <w:rFonts w:ascii="宋体" w:hAnsi="Calibri" w:cs="宋体" w:hint="eastAsia"/>
          <w:szCs w:val="21"/>
          <w:lang w:eastAsia="zh-CN"/>
        </w:rPr>
        <w:t>本基金法律文件中涉及基金风险特征的表述与销售机构对基金的风险评级可能不一致的风险</w:t>
      </w:r>
    </w:p>
    <w:p w:rsidR="004A090B">
      <w:pPr>
        <w:spacing w:line="360" w:lineRule="auto"/>
        <w:ind w:firstLine="420"/>
        <w:rPr>
          <w:rFonts w:ascii="宋体" w:hAnsi="Calibri" w:cs="宋体"/>
          <w:szCs w:val="21"/>
          <w:lang w:eastAsia="zh-CN"/>
        </w:rPr>
      </w:pPr>
      <w:r>
        <w:rPr>
          <w:rFonts w:ascii="宋体" w:hAnsi="Calibri" w:cs="宋体"/>
          <w:szCs w:val="21"/>
          <w:lang w:eastAsia="zh-CN"/>
        </w:rPr>
        <w:t>本基金基金合同、招募说明书等法律文件中涉及基金风险收益特征或风险状况的表述仅为主要基于基金投资方向与策略特点的概括性表述；而本基金各销售机构依据中国证券投资基金业协会发布的《基金募集机构</w:t>
      </w:r>
      <w:r>
        <w:rPr>
          <w:rFonts w:ascii="宋体" w:hAnsi="Calibri" w:cs="宋体"/>
          <w:szCs w:val="21"/>
          <w:lang w:eastAsia="zh-CN"/>
        </w:rPr>
        <w:t>投资者适当性管理实施指引（试行）》及内部评级标准，将基金产品按照风险由低到高顺序进行风险级别评定划分，其风险评级结果所依据的评价要素可能更多、范围更广，与本基金法律文件中的风险收益特征或风险状况表述并不必然一致或存在对应关系。同时，不同销售机构因其采取的具体评价标准和方法的差异，对同一产品风险级别的评定也可能各有不同；销售机构还可能根据监管要求、市场变化及基金实际运作情况等适时调整对本基金的风险评级。敬请投资人知悉，在购买本基金时按照销售机构的要求完成风险承受能力与产品风险之间的匹配检验，并须及时关注销售机</w:t>
      </w:r>
      <w:r>
        <w:rPr>
          <w:rFonts w:ascii="宋体" w:hAnsi="Calibri" w:cs="宋体"/>
          <w:szCs w:val="21"/>
          <w:lang w:eastAsia="zh-CN"/>
        </w:rPr>
        <w:t>构对于本基金风险评级的调整情况，谨慎作出投资决策。</w:t>
      </w:r>
    </w:p>
    <w:p w:rsidR="004A090B">
      <w:pPr>
        <w:spacing w:line="360" w:lineRule="auto"/>
        <w:ind w:firstLine="420"/>
        <w:rPr>
          <w:rStyle w:val="da"/>
          <w:rFonts w:ascii="宋体" w:hAnsi="Calibri" w:cs="宋体"/>
          <w:szCs w:val="21"/>
          <w:lang w:eastAsia="zh-CN"/>
        </w:rPr>
      </w:pPr>
      <w:r>
        <w:rPr>
          <w:rStyle w:val="da"/>
          <w:rFonts w:ascii="宋体" w:hAnsi="Calibri" w:cs="宋体" w:hint="eastAsia"/>
          <w:szCs w:val="21"/>
          <w:lang w:eastAsia="zh-CN"/>
        </w:rPr>
        <w:t>七、其他风险</w:t>
      </w:r>
    </w:p>
    <w:p w:rsidR="004A090B">
      <w:pPr>
        <w:spacing w:line="360" w:lineRule="auto"/>
        <w:ind w:firstLine="420"/>
        <w:rPr>
          <w:rFonts w:ascii="宋体" w:hAnsi="Calibri" w:cs="宋体"/>
          <w:szCs w:val="21"/>
          <w:lang w:eastAsia="zh-CN"/>
        </w:rPr>
      </w:pPr>
      <w:r>
        <w:rPr>
          <w:rFonts w:ascii="宋体" w:hAnsi="Calibri" w:cs="宋体"/>
          <w:szCs w:val="21"/>
          <w:lang w:eastAsia="zh-CN"/>
        </w:rPr>
        <w:t>1</w:t>
      </w:r>
      <w:r>
        <w:rPr>
          <w:rFonts w:ascii="宋体" w:hAnsi="Calibri" w:cs="宋体" w:hint="eastAsia"/>
          <w:szCs w:val="21"/>
          <w:lang w:eastAsia="zh-CN"/>
        </w:rPr>
        <w:t>、因技术因素而产生的风险，如电脑等技术系统的故障或差错产生的风险。</w:t>
      </w:r>
    </w:p>
    <w:p w:rsidR="004A090B">
      <w:pPr>
        <w:spacing w:line="360" w:lineRule="auto"/>
        <w:ind w:firstLine="420"/>
        <w:rPr>
          <w:rFonts w:ascii="宋体" w:hAnsi="Calibri" w:cs="宋体"/>
          <w:szCs w:val="21"/>
          <w:lang w:eastAsia="zh-CN"/>
        </w:rPr>
      </w:pPr>
      <w:r>
        <w:rPr>
          <w:rFonts w:ascii="宋体" w:hAnsi="Calibri" w:cs="宋体"/>
          <w:szCs w:val="21"/>
          <w:lang w:eastAsia="zh-CN"/>
        </w:rPr>
        <w:t>2</w:t>
      </w:r>
      <w:r>
        <w:rPr>
          <w:rFonts w:ascii="宋体" w:hAnsi="Calibri" w:cs="宋体" w:hint="eastAsia"/>
          <w:szCs w:val="21"/>
          <w:lang w:eastAsia="zh-CN"/>
        </w:rPr>
        <w:t>、因战争、自然灾害等不可抗力导致的基金管理人、基金托管人、基金服务机构等机构无法正常工作，从而影响基金运作的风险。</w:t>
      </w:r>
    </w:p>
    <w:p w:rsidR="004A090B">
      <w:pPr>
        <w:spacing w:line="360" w:lineRule="auto"/>
        <w:ind w:firstLine="420"/>
        <w:rPr>
          <w:rFonts w:ascii="宋体" w:hAnsi="Calibri" w:cs="宋体"/>
          <w:szCs w:val="21"/>
          <w:lang w:eastAsia="zh-CN"/>
        </w:rPr>
      </w:pPr>
      <w:r>
        <w:rPr>
          <w:rFonts w:ascii="宋体" w:hAnsi="Calibri" w:cs="宋体"/>
          <w:szCs w:val="21"/>
          <w:lang w:eastAsia="zh-CN"/>
        </w:rPr>
        <w:t>3</w:t>
      </w:r>
      <w:r>
        <w:rPr>
          <w:rFonts w:ascii="宋体" w:hAnsi="Calibri" w:cs="宋体" w:hint="eastAsia"/>
          <w:szCs w:val="21"/>
          <w:lang w:eastAsia="zh-CN"/>
        </w:rPr>
        <w:t>、因金融市场危机、代理商违约、基金托管人违约等超出基金管理人自身控制能力的因素出现，可能导致基金或者基金份额持有人利益受损的风险。</w:t>
      </w:r>
    </w:p>
    <w:p w:rsidR="004A090B">
      <w:pPr>
        <w:spacing w:line="360" w:lineRule="auto"/>
        <w:ind w:firstLine="420"/>
        <w:rPr>
          <w:rFonts w:ascii="宋体" w:hAnsi="Calibri" w:cs="宋体"/>
          <w:szCs w:val="21"/>
          <w:lang w:eastAsia="zh-CN"/>
        </w:rPr>
      </w:pPr>
      <w:r>
        <w:rPr>
          <w:rFonts w:ascii="宋体" w:hAnsi="Calibri" w:cs="宋体"/>
          <w:szCs w:val="21"/>
          <w:lang w:eastAsia="zh-CN"/>
        </w:rPr>
        <w:t>4</w:t>
      </w:r>
      <w:r>
        <w:rPr>
          <w:rFonts w:ascii="宋体" w:hAnsi="Calibri" w:cs="宋体" w:hint="eastAsia"/>
          <w:szCs w:val="21"/>
          <w:lang w:eastAsia="zh-CN"/>
        </w:rPr>
        <w:t>、因固定收益类金融工具主要在场外市场进行交易，场外市场交易现阶段自动化程度较场内市场低，本基金在投资运作过程中可能面临操作</w:t>
      </w:r>
      <w:r>
        <w:rPr>
          <w:rFonts w:ascii="宋体" w:hAnsi="Calibri" w:cs="宋体" w:hint="eastAsia"/>
          <w:szCs w:val="21"/>
          <w:lang w:eastAsia="zh-CN"/>
        </w:rPr>
        <w:t>风险。</w:t>
      </w:r>
    </w:p>
    <w:p w:rsidR="004A090B">
      <w:pPr>
        <w:spacing w:line="360" w:lineRule="auto"/>
        <w:ind w:firstLine="420"/>
        <w:rPr>
          <w:rFonts w:ascii="宋体" w:hAnsi="Calibri"/>
          <w:lang w:eastAsia="zh-CN"/>
        </w:rPr>
      </w:pPr>
      <w:r>
        <w:rPr>
          <w:rFonts w:ascii="宋体" w:hAnsi="Calibri" w:cs="宋体"/>
          <w:color w:val="000000"/>
          <w:szCs w:val="21"/>
          <w:lang w:eastAsia="zh-CN"/>
        </w:rPr>
        <w:t>5</w:t>
      </w:r>
      <w:r>
        <w:rPr>
          <w:rFonts w:ascii="宋体" w:hAnsi="Calibri" w:cs="宋体"/>
          <w:color w:val="000000"/>
          <w:szCs w:val="21"/>
          <w:lang w:eastAsia="zh-CN"/>
        </w:rPr>
        <w:t>、</w:t>
      </w:r>
      <w:r>
        <w:rPr>
          <w:rFonts w:ascii="宋体" w:hAnsi="Calibri" w:cs="宋体" w:hint="eastAsia"/>
          <w:szCs w:val="21"/>
          <w:lang w:eastAsia="zh-CN"/>
        </w:rPr>
        <w:t>其他意外导致的风险。</w:t>
      </w:r>
    </w:p>
    <w:p w:rsidR="004A090B">
      <w:pPr>
        <w:pStyle w:val="Heading1"/>
        <w:spacing w:before="317" w:after="317" w:line="360" w:lineRule="auto"/>
        <w:ind w:firstLine="600"/>
        <w:rPr>
          <w:rFonts w:ascii="宋体" w:eastAsia="宋体" w:hAnsi="Calibri" w:cs="宋体"/>
          <w:sz w:val="30"/>
          <w:szCs w:val="30"/>
          <w:lang w:eastAsia="zh-CN"/>
        </w:rPr>
      </w:pPr>
      <w:r>
        <w:rPr>
          <w:rFonts w:ascii="宋体" w:eastAsia="宋体" w:hAnsi="Calibri" w:cs="宋体" w:hint="eastAsia"/>
          <w:sz w:val="30"/>
          <w:lang w:eastAsia="zh-CN"/>
        </w:rPr>
        <w:br w:type="column"/>
      </w:r>
      <w:bookmarkStart w:id="1850" w:name="_Toc129511543"/>
      <w:bookmarkEnd w:id="1849"/>
      <w:r>
        <w:rPr>
          <w:rFonts w:ascii="宋体" w:eastAsia="宋体" w:hAnsi="Calibri" w:cs="宋体" w:hint="eastAsia"/>
          <w:sz w:val="30"/>
          <w:szCs w:val="30"/>
          <w:lang w:eastAsia="zh-CN"/>
        </w:rPr>
        <w:t>第二十</w:t>
      </w:r>
      <w:bookmarkStart w:id="1851" w:name="_Toc332373579"/>
      <w:r>
        <w:rPr>
          <w:rFonts w:ascii="宋体" w:eastAsia="宋体" w:hAnsi="Calibri" w:cs="宋体" w:hint="eastAsia"/>
          <w:sz w:val="30"/>
          <w:szCs w:val="30"/>
          <w:lang w:eastAsia="zh-CN"/>
        </w:rPr>
        <w:t>一部分</w:t>
      </w:r>
      <w:r>
        <w:rPr>
          <w:rFonts w:ascii="宋体" w:eastAsia="宋体" w:hAnsi="Calibri" w:cs="宋体"/>
          <w:sz w:val="30"/>
          <w:szCs w:val="30"/>
          <w:lang w:eastAsia="zh-CN"/>
        </w:rPr>
        <w:t xml:space="preserve"> </w:t>
      </w:r>
      <w:r>
        <w:rPr>
          <w:rFonts w:ascii="宋体" w:eastAsia="宋体" w:hAnsi="Calibri" w:cs="宋体" w:hint="eastAsia"/>
          <w:sz w:val="30"/>
          <w:szCs w:val="30"/>
          <w:lang w:eastAsia="zh-CN"/>
        </w:rPr>
        <w:t>基金合同的变更、终止与基金财产的清算</w:t>
      </w:r>
      <w:bookmarkEnd w:id="1850"/>
      <w:bookmarkEnd w:id="1851"/>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一、《基金合同》的变更</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1</w:t>
      </w:r>
      <w:r>
        <w:rPr>
          <w:rFonts w:ascii="宋体" w:hAnsi="Calibri" w:cs="宋体" w:hint="eastAsia"/>
          <w:szCs w:val="21"/>
          <w:highlight w:val="white"/>
          <w:lang w:eastAsia="zh-CN"/>
        </w:rPr>
        <w:t>、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2</w:t>
      </w:r>
      <w:r>
        <w:rPr>
          <w:rFonts w:ascii="宋体" w:hAnsi="Calibri" w:cs="宋体" w:hint="eastAsia"/>
          <w:szCs w:val="21"/>
          <w:highlight w:val="white"/>
          <w:lang w:eastAsia="zh-CN"/>
        </w:rPr>
        <w:t>、关于《基金合同》变更的基金份额持有人大会决议自生效后方可执行，自决议生效后两日内在规定媒介公告。</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二、《基金合同》的终止事由</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有下列情形之一的，经履行相关程序后，《基金合同》应当终止：</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1</w:t>
      </w:r>
      <w:r>
        <w:rPr>
          <w:rFonts w:ascii="宋体" w:hAnsi="Calibri" w:cs="宋体" w:hint="eastAsia"/>
          <w:szCs w:val="21"/>
          <w:highlight w:val="white"/>
          <w:lang w:eastAsia="zh-CN"/>
        </w:rPr>
        <w:t>、《基金合同》生效之日起三年后的年度对应日，若基金资产净值低于</w:t>
      </w:r>
      <w:r>
        <w:rPr>
          <w:rFonts w:ascii="宋体" w:hAnsi="Calibri" w:cs="宋体" w:hint="eastAsia"/>
          <w:szCs w:val="21"/>
          <w:highlight w:val="white"/>
          <w:lang w:eastAsia="zh-CN"/>
        </w:rPr>
        <w:t>2</w:t>
      </w:r>
      <w:r>
        <w:rPr>
          <w:rFonts w:ascii="宋体" w:hAnsi="Calibri" w:cs="宋体" w:hint="eastAsia"/>
          <w:szCs w:val="21"/>
          <w:highlight w:val="white"/>
          <w:lang w:eastAsia="zh-CN"/>
        </w:rPr>
        <w:t>亿元的；若届时的法律法规或中国证监会规定发生变化，上述终止规定被取消、更改或补充，则本基金可以参照届时有效的法律法规或中国证监会规定执行；</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2</w:t>
      </w:r>
      <w:r>
        <w:rPr>
          <w:rFonts w:ascii="宋体" w:hAnsi="Calibri" w:cs="宋体" w:hint="eastAsia"/>
          <w:szCs w:val="21"/>
          <w:highlight w:val="white"/>
          <w:lang w:eastAsia="zh-CN"/>
        </w:rPr>
        <w:t>、基金份额持有人大会决定终止的；</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3</w:t>
      </w:r>
      <w:r>
        <w:rPr>
          <w:rFonts w:ascii="宋体" w:hAnsi="Calibri" w:cs="宋体" w:hint="eastAsia"/>
          <w:szCs w:val="21"/>
          <w:highlight w:val="white"/>
          <w:lang w:eastAsia="zh-CN"/>
        </w:rPr>
        <w:t>、基金管理人、基金托管人职责终止，在</w:t>
      </w:r>
      <w:r>
        <w:rPr>
          <w:rFonts w:ascii="宋体" w:hAnsi="Calibri" w:cs="宋体" w:hint="eastAsia"/>
          <w:szCs w:val="21"/>
          <w:highlight w:val="white"/>
          <w:lang w:eastAsia="zh-CN"/>
        </w:rPr>
        <w:t>6</w:t>
      </w:r>
      <w:r>
        <w:rPr>
          <w:rFonts w:ascii="宋体" w:hAnsi="Calibri" w:cs="宋体" w:hint="eastAsia"/>
          <w:szCs w:val="21"/>
          <w:highlight w:val="white"/>
          <w:lang w:eastAsia="zh-CN"/>
        </w:rPr>
        <w:t>个月内没有新基金管理人、新基金托管人承接的；</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4</w:t>
      </w:r>
      <w:r>
        <w:rPr>
          <w:rFonts w:ascii="宋体" w:hAnsi="Calibri" w:cs="宋体" w:hint="eastAsia"/>
          <w:szCs w:val="21"/>
          <w:highlight w:val="white"/>
          <w:lang w:eastAsia="zh-CN"/>
        </w:rPr>
        <w:t>、出现标的指数不符合法律法规及监管要求（因成份股价格波动等指数编制方法变动之外的因素致使标的指数不符合要求的情形除外）、</w:t>
      </w:r>
      <w:r>
        <w:rPr>
          <w:rFonts w:ascii="宋体" w:hAnsi="Calibri" w:cs="宋体" w:hint="eastAsia"/>
          <w:szCs w:val="21"/>
          <w:highlight w:val="white"/>
          <w:lang w:eastAsia="zh-CN"/>
        </w:rPr>
        <w:t>指数编制机构退出等情形，基金管理人召集基金份额持有人大会对解决方案进行表决，基金份额持有人大会未成功召开或就上述事项表决未通过的；</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5</w:t>
      </w:r>
      <w:r>
        <w:rPr>
          <w:rFonts w:ascii="宋体" w:hAnsi="Calibri" w:cs="宋体" w:hint="eastAsia"/>
          <w:szCs w:val="21"/>
          <w:highlight w:val="white"/>
          <w:lang w:eastAsia="zh-CN"/>
        </w:rPr>
        <w:t>、《基金合同》约定的其他情形；</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6</w:t>
      </w:r>
      <w:r>
        <w:rPr>
          <w:rFonts w:ascii="宋体" w:hAnsi="Calibri" w:cs="宋体" w:hint="eastAsia"/>
          <w:szCs w:val="21"/>
          <w:highlight w:val="white"/>
          <w:lang w:eastAsia="zh-CN"/>
        </w:rPr>
        <w:t>、相关法律法规和中国证监会规定的其他情况。</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三、基金财产的清算</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1</w:t>
      </w:r>
      <w:r>
        <w:rPr>
          <w:rFonts w:ascii="宋体" w:hAnsi="Calibri" w:cs="宋体" w:hint="eastAsia"/>
          <w:szCs w:val="21"/>
          <w:highlight w:val="white"/>
          <w:lang w:eastAsia="zh-CN"/>
        </w:rPr>
        <w:t>、基金财产清算小组：自出现《基金合同》终止事由之日起</w:t>
      </w:r>
      <w:r>
        <w:rPr>
          <w:rFonts w:ascii="宋体" w:hAnsi="Calibri" w:cs="宋体" w:hint="eastAsia"/>
          <w:szCs w:val="21"/>
          <w:highlight w:val="white"/>
          <w:lang w:eastAsia="zh-CN"/>
        </w:rPr>
        <w:t>30</w:t>
      </w:r>
      <w:r>
        <w:rPr>
          <w:rFonts w:ascii="宋体" w:hAnsi="Calibri" w:cs="宋体" w:hint="eastAsia"/>
          <w:szCs w:val="21"/>
          <w:highlight w:val="white"/>
          <w:lang w:eastAsia="zh-CN"/>
        </w:rPr>
        <w:t>个工作日内成立清算小组，基金管理人组织基金财产清算小组并在中国证监会的监督下进行基金清算。</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2</w:t>
      </w:r>
      <w:r>
        <w:rPr>
          <w:rFonts w:ascii="宋体" w:hAnsi="Calibri" w:cs="宋体" w:hint="eastAsia"/>
          <w:szCs w:val="21"/>
          <w:highlight w:val="white"/>
          <w:lang w:eastAsia="zh-CN"/>
        </w:rPr>
        <w:t>、基金财产清算小组组成：基金财产清算小组成员由基金管理人、基金托管人、注册会计师、律师以及中国证监会指定的人员组成。基金财产清算小组可以聘用必要的工作人员。</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3</w:t>
      </w:r>
      <w:r>
        <w:rPr>
          <w:rFonts w:ascii="宋体" w:hAnsi="Calibri" w:cs="宋体" w:hint="eastAsia"/>
          <w:szCs w:val="21"/>
          <w:highlight w:val="white"/>
          <w:lang w:eastAsia="zh-CN"/>
        </w:rPr>
        <w:t>、基金财产清算小组职责：基金财产清算小组负责基金财产的保管、清理、估价、变现和分配。基金财产清算小组可以依法进行必要的民事活动。</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4</w:t>
      </w:r>
      <w:r>
        <w:rPr>
          <w:rFonts w:ascii="宋体" w:hAnsi="Calibri" w:cs="宋体" w:hint="eastAsia"/>
          <w:szCs w:val="21"/>
          <w:highlight w:val="white"/>
          <w:lang w:eastAsia="zh-CN"/>
        </w:rPr>
        <w:t>、基金财产清算程序：</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1</w:t>
      </w:r>
      <w:r>
        <w:rPr>
          <w:rFonts w:ascii="宋体" w:hAnsi="Calibri" w:cs="宋体" w:hint="eastAsia"/>
          <w:szCs w:val="21"/>
          <w:highlight w:val="white"/>
          <w:lang w:eastAsia="zh-CN"/>
        </w:rPr>
        <w:t>）《基金合同》终止情形出现时，由基金财产清算小组统一接管基金；</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2</w:t>
      </w:r>
      <w:r>
        <w:rPr>
          <w:rFonts w:ascii="宋体" w:hAnsi="Calibri" w:cs="宋体" w:hint="eastAsia"/>
          <w:szCs w:val="21"/>
          <w:highlight w:val="white"/>
          <w:lang w:eastAsia="zh-CN"/>
        </w:rPr>
        <w:t>）对基金财产和债权债务进行清理和确认；</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3</w:t>
      </w:r>
      <w:r>
        <w:rPr>
          <w:rFonts w:ascii="宋体" w:hAnsi="Calibri" w:cs="宋体" w:hint="eastAsia"/>
          <w:szCs w:val="21"/>
          <w:highlight w:val="white"/>
          <w:lang w:eastAsia="zh-CN"/>
        </w:rPr>
        <w:t>）对基金财产进行估值和变现；</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4</w:t>
      </w:r>
      <w:r>
        <w:rPr>
          <w:rFonts w:ascii="宋体" w:hAnsi="Calibri" w:cs="宋体" w:hint="eastAsia"/>
          <w:szCs w:val="21"/>
          <w:highlight w:val="white"/>
          <w:lang w:eastAsia="zh-CN"/>
        </w:rPr>
        <w:t>）制作清算报告；</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5</w:t>
      </w:r>
      <w:r>
        <w:rPr>
          <w:rFonts w:ascii="宋体" w:hAnsi="Calibri" w:cs="宋体" w:hint="eastAsia"/>
          <w:szCs w:val="21"/>
          <w:highlight w:val="white"/>
          <w:lang w:eastAsia="zh-CN"/>
        </w:rPr>
        <w:t>）聘请会计师事务所对清算</w:t>
      </w:r>
      <w:r>
        <w:rPr>
          <w:rFonts w:ascii="宋体" w:hAnsi="Calibri" w:cs="宋体" w:hint="eastAsia"/>
          <w:szCs w:val="21"/>
          <w:highlight w:val="white"/>
          <w:lang w:eastAsia="zh-CN"/>
        </w:rPr>
        <w:t>报告进行外部审计，聘请律师事务所对清算报告出具法律意见书；</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6</w:t>
      </w:r>
      <w:r>
        <w:rPr>
          <w:rFonts w:ascii="宋体" w:hAnsi="Calibri" w:cs="宋体" w:hint="eastAsia"/>
          <w:szCs w:val="21"/>
          <w:highlight w:val="white"/>
          <w:lang w:eastAsia="zh-CN"/>
        </w:rPr>
        <w:t>）将清算报告报中国证监会备案并公告；</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7</w:t>
      </w:r>
      <w:r>
        <w:rPr>
          <w:rFonts w:ascii="宋体" w:hAnsi="Calibri" w:cs="宋体" w:hint="eastAsia"/>
          <w:szCs w:val="21"/>
          <w:highlight w:val="white"/>
          <w:lang w:eastAsia="zh-CN"/>
        </w:rPr>
        <w:t>）对基金剩余财产进行分配。</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5</w:t>
      </w:r>
      <w:r>
        <w:rPr>
          <w:rFonts w:ascii="宋体" w:hAnsi="Calibri" w:cs="宋体" w:hint="eastAsia"/>
          <w:szCs w:val="21"/>
          <w:highlight w:val="white"/>
          <w:lang w:eastAsia="zh-CN"/>
        </w:rPr>
        <w:t>、基金财产清算的期限为</w:t>
      </w:r>
      <w:r>
        <w:rPr>
          <w:rFonts w:ascii="宋体" w:hAnsi="Calibri" w:cs="宋体" w:hint="eastAsia"/>
          <w:szCs w:val="21"/>
          <w:highlight w:val="white"/>
          <w:lang w:eastAsia="zh-CN"/>
        </w:rPr>
        <w:t>6</w:t>
      </w:r>
      <w:r>
        <w:rPr>
          <w:rFonts w:ascii="宋体" w:hAnsi="Calibri" w:cs="宋体" w:hint="eastAsia"/>
          <w:szCs w:val="21"/>
          <w:highlight w:val="white"/>
          <w:lang w:eastAsia="zh-CN"/>
        </w:rPr>
        <w:t>个月，但因本基金所持证券的流动性受到限制而不能及时变现的，清算期限相应顺延。</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四、清算费用</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清算费用是指基金财产清算小组在进行基金清算过程中发生的所有合理费用，清算费用由基金财产清算小组优先从基金财产中支付。</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五、基金财产清算剩余资产的分配</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依据基金财产清算的分配方案，将基金财产清算后的全部剩余资产扣除基金财产清算费用、交纳所欠税款并清偿基金债务后，按基金份额持有人持有的基金份额比例进行分配。分配金额需加上返还基金份额持有人的销售服务费（如有）。</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六、基金财产清算的公告</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w:t>
      </w:r>
      <w:r>
        <w:rPr>
          <w:rFonts w:ascii="宋体" w:hAnsi="Calibri" w:cs="宋体" w:hint="eastAsia"/>
          <w:szCs w:val="21"/>
          <w:highlight w:val="white"/>
          <w:lang w:eastAsia="zh-CN"/>
        </w:rPr>
        <w:t>5</w:t>
      </w:r>
      <w:r>
        <w:rPr>
          <w:rFonts w:ascii="宋体" w:hAnsi="Calibri" w:cs="宋体" w:hint="eastAsia"/>
          <w:szCs w:val="21"/>
          <w:highlight w:val="white"/>
          <w:lang w:eastAsia="zh-CN"/>
        </w:rPr>
        <w:t>个工作日内由基金财产清算小组进行公告。</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七、基金财产清算账册及文件的保存</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基金财</w:t>
      </w:r>
      <w:r>
        <w:rPr>
          <w:rFonts w:ascii="宋体" w:hAnsi="Calibri" w:cs="宋体" w:hint="eastAsia"/>
          <w:szCs w:val="21"/>
          <w:highlight w:val="white"/>
          <w:lang w:eastAsia="zh-CN"/>
        </w:rPr>
        <w:t>产清算账册及有关文件由基金托管人保存</w:t>
      </w:r>
      <w:r>
        <w:rPr>
          <w:rFonts w:ascii="宋体" w:hAnsi="Calibri" w:cs="宋体" w:hint="eastAsia"/>
          <w:szCs w:val="21"/>
          <w:highlight w:val="white"/>
          <w:lang w:eastAsia="zh-CN"/>
        </w:rPr>
        <w:t>20</w:t>
      </w:r>
      <w:r>
        <w:rPr>
          <w:rFonts w:ascii="宋体" w:hAnsi="Calibri" w:cs="宋体" w:hint="eastAsia"/>
          <w:szCs w:val="21"/>
          <w:highlight w:val="white"/>
          <w:lang w:eastAsia="zh-CN"/>
        </w:rPr>
        <w:t>年以上。</w:t>
      </w:r>
    </w:p>
    <w:p w:rsidR="004A090B">
      <w:pPr>
        <w:pStyle w:val="Heading1"/>
        <w:spacing w:before="317" w:after="317" w:line="360" w:lineRule="auto"/>
        <w:ind w:firstLine="600"/>
        <w:rPr>
          <w:rFonts w:ascii="宋体" w:eastAsia="宋体" w:hAnsi="Calibri" w:cs="宋体"/>
          <w:sz w:val="30"/>
          <w:szCs w:val="30"/>
          <w:lang w:eastAsia="zh-CN"/>
        </w:rPr>
      </w:pPr>
      <w:r>
        <w:rPr>
          <w:rFonts w:ascii="宋体" w:eastAsia="宋体" w:hAnsi="Calibri" w:cs="宋体" w:hint="eastAsia"/>
          <w:sz w:val="30"/>
          <w:lang w:eastAsia="zh-CN"/>
        </w:rPr>
        <w:br w:type="column"/>
      </w:r>
      <w:bookmarkStart w:id="1852" w:name="_Toc129511544"/>
      <w:r>
        <w:rPr>
          <w:rFonts w:ascii="宋体" w:eastAsia="宋体" w:hAnsi="Calibri" w:cs="宋体" w:hint="eastAsia"/>
          <w:sz w:val="30"/>
          <w:szCs w:val="30"/>
          <w:lang w:eastAsia="zh-CN"/>
        </w:rPr>
        <w:t>第二</w:t>
      </w:r>
      <w:bookmarkStart w:id="1853" w:name="_Toc332373588"/>
      <w:r>
        <w:rPr>
          <w:rFonts w:ascii="宋体" w:eastAsia="宋体" w:hAnsi="Calibri" w:cs="宋体" w:hint="eastAsia"/>
          <w:sz w:val="30"/>
          <w:szCs w:val="30"/>
          <w:lang w:eastAsia="zh-CN"/>
        </w:rPr>
        <w:t>十</w:t>
      </w:r>
      <w:r>
        <w:rPr>
          <w:rFonts w:ascii="宋体" w:eastAsia="宋体" w:hAnsi="Calibri" w:cs="宋体"/>
          <w:sz w:val="30"/>
          <w:szCs w:val="30"/>
          <w:lang w:eastAsia="zh-CN"/>
        </w:rPr>
        <w:t>二</w:t>
      </w:r>
      <w:r>
        <w:rPr>
          <w:rFonts w:ascii="宋体" w:eastAsia="宋体" w:hAnsi="Calibri" w:cs="宋体" w:hint="eastAsia"/>
          <w:sz w:val="30"/>
          <w:szCs w:val="30"/>
          <w:lang w:eastAsia="zh-CN"/>
        </w:rPr>
        <w:t>部分</w:t>
      </w:r>
      <w:r>
        <w:rPr>
          <w:rFonts w:ascii="宋体" w:eastAsia="宋体" w:hAnsi="Calibri" w:cs="宋体"/>
          <w:sz w:val="30"/>
          <w:szCs w:val="30"/>
          <w:lang w:eastAsia="zh-CN"/>
        </w:rPr>
        <w:t xml:space="preserve"> </w:t>
      </w:r>
      <w:r>
        <w:rPr>
          <w:rFonts w:ascii="宋体" w:eastAsia="宋体" w:hAnsi="Calibri" w:cs="宋体" w:hint="eastAsia"/>
          <w:sz w:val="30"/>
          <w:szCs w:val="30"/>
          <w:lang w:eastAsia="zh-CN"/>
        </w:rPr>
        <w:t>基金合同的内容摘要</w:t>
      </w:r>
      <w:bookmarkEnd w:id="1852"/>
      <w:bookmarkEnd w:id="1853"/>
    </w:p>
    <w:p w:rsidR="004A090B">
      <w:pPr>
        <w:spacing w:line="360" w:lineRule="auto"/>
        <w:ind w:firstLine="420"/>
        <w:rPr>
          <w:rFonts w:ascii="宋体" w:hAnsi="Calibri" w:cs="宋体"/>
          <w:szCs w:val="21"/>
          <w:lang w:eastAsia="zh-CN"/>
        </w:rPr>
      </w:pPr>
      <w:bookmarkStart w:id="1854" w:name="_Toc516750717"/>
      <w:r>
        <w:rPr>
          <w:rFonts w:ascii="宋体" w:hAnsi="Calibri" w:cs="宋体" w:hint="eastAsia"/>
          <w:szCs w:val="21"/>
          <w:lang w:eastAsia="zh-CN"/>
        </w:rPr>
        <w:t>第一节</w:t>
      </w:r>
      <w:r>
        <w:rPr>
          <w:rFonts w:ascii="宋体" w:hAnsi="Calibri" w:cs="宋体" w:hint="eastAsia"/>
          <w:szCs w:val="21"/>
          <w:lang w:eastAsia="zh-CN"/>
        </w:rPr>
        <w:t xml:space="preserve"> </w:t>
      </w:r>
      <w:r>
        <w:rPr>
          <w:rFonts w:ascii="宋体" w:hAnsi="Calibri" w:cs="宋体" w:hint="eastAsia"/>
          <w:szCs w:val="21"/>
          <w:lang w:eastAsia="zh-CN"/>
        </w:rPr>
        <w:t>基金份额持有人、基金管理人和基金托管人的权利、义务</w:t>
      </w:r>
      <w:bookmarkEnd w:id="1854"/>
    </w:p>
    <w:p w:rsidR="004A090B">
      <w:pPr>
        <w:spacing w:line="360" w:lineRule="auto"/>
        <w:ind w:firstLine="420"/>
        <w:rPr>
          <w:rFonts w:ascii="宋体" w:hAnsi="Calibri" w:cs="宋体"/>
          <w:szCs w:val="21"/>
          <w:lang w:eastAsia="zh-CN"/>
        </w:rPr>
      </w:pPr>
      <w:r>
        <w:rPr>
          <w:rFonts w:ascii="宋体" w:hAnsi="Calibri" w:cs="宋体" w:hint="eastAsia"/>
          <w:szCs w:val="21"/>
          <w:lang w:eastAsia="zh-CN"/>
        </w:rPr>
        <w:t>一、基金份额持有人的权利、义务</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1</w:t>
      </w:r>
      <w:r>
        <w:rPr>
          <w:rFonts w:ascii="宋体" w:hAnsi="Calibri" w:cs="宋体"/>
          <w:szCs w:val="21"/>
          <w:highlight w:val="white"/>
          <w:lang w:eastAsia="zh-CN"/>
        </w:rPr>
        <w:t>、根据《基金法》、《运作办法》及其他有关规定，基金份额持有人的权利包括但不限于：</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w:t>
      </w:r>
      <w:r>
        <w:rPr>
          <w:rFonts w:ascii="宋体" w:hAnsi="Calibri" w:cs="宋体"/>
          <w:szCs w:val="21"/>
          <w:highlight w:val="white"/>
          <w:lang w:eastAsia="zh-CN"/>
        </w:rPr>
        <w:t>）分享基金财产收益；</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w:t>
      </w:r>
      <w:r>
        <w:rPr>
          <w:rFonts w:ascii="宋体" w:hAnsi="Calibri" w:cs="宋体"/>
          <w:szCs w:val="21"/>
          <w:highlight w:val="white"/>
          <w:lang w:eastAsia="zh-CN"/>
        </w:rPr>
        <w:t>）参与分配清算后的剩余基金财产；</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3</w:t>
      </w:r>
      <w:r>
        <w:rPr>
          <w:rFonts w:ascii="宋体" w:hAnsi="Calibri" w:cs="宋体"/>
          <w:szCs w:val="21"/>
          <w:highlight w:val="white"/>
          <w:lang w:eastAsia="zh-CN"/>
        </w:rPr>
        <w:t>）依法转让或者申请赎回其持有的基金份额；</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4</w:t>
      </w:r>
      <w:r>
        <w:rPr>
          <w:rFonts w:ascii="宋体" w:hAnsi="Calibri" w:cs="宋体"/>
          <w:szCs w:val="21"/>
          <w:highlight w:val="white"/>
          <w:lang w:eastAsia="zh-CN"/>
        </w:rPr>
        <w:t>）按照规定要求召开基金份额持有人大会或者召集基金份额持有人大会；</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5</w:t>
      </w:r>
      <w:r>
        <w:rPr>
          <w:rFonts w:ascii="宋体" w:hAnsi="Calibri" w:cs="宋体"/>
          <w:szCs w:val="21"/>
          <w:highlight w:val="white"/>
          <w:lang w:eastAsia="zh-CN"/>
        </w:rPr>
        <w:t>）出席或者委派代表出席本基金或目标</w:t>
      </w:r>
      <w:r>
        <w:rPr>
          <w:rFonts w:ascii="宋体" w:hAnsi="Calibri" w:cs="宋体"/>
          <w:szCs w:val="21"/>
          <w:highlight w:val="white"/>
          <w:lang w:eastAsia="zh-CN"/>
        </w:rPr>
        <w:t>ETF</w:t>
      </w:r>
      <w:r>
        <w:rPr>
          <w:rFonts w:ascii="宋体" w:hAnsi="Calibri" w:cs="宋体"/>
          <w:szCs w:val="21"/>
          <w:highlight w:val="white"/>
          <w:lang w:eastAsia="zh-CN"/>
        </w:rPr>
        <w:t>的基金份额持有人大会，对本基金或目标</w:t>
      </w:r>
      <w:r>
        <w:rPr>
          <w:rFonts w:ascii="宋体" w:hAnsi="Calibri" w:cs="宋体"/>
          <w:szCs w:val="21"/>
          <w:highlight w:val="white"/>
          <w:lang w:eastAsia="zh-CN"/>
        </w:rPr>
        <w:t>ETF</w:t>
      </w:r>
      <w:r>
        <w:rPr>
          <w:rFonts w:ascii="宋体" w:hAnsi="Calibri" w:cs="宋体"/>
          <w:szCs w:val="21"/>
          <w:highlight w:val="white"/>
          <w:lang w:eastAsia="zh-CN"/>
        </w:rPr>
        <w:t>的基金份额持有人大会审议事项行使表决权；</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6</w:t>
      </w:r>
      <w:r>
        <w:rPr>
          <w:rFonts w:ascii="宋体" w:hAnsi="Calibri" w:cs="宋体"/>
          <w:szCs w:val="21"/>
          <w:highlight w:val="white"/>
          <w:lang w:eastAsia="zh-CN"/>
        </w:rPr>
        <w:t>）查阅或者复制公开披露的基金信息资料；</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7</w:t>
      </w:r>
      <w:r>
        <w:rPr>
          <w:rFonts w:ascii="宋体" w:hAnsi="Calibri" w:cs="宋体"/>
          <w:szCs w:val="21"/>
          <w:highlight w:val="white"/>
          <w:lang w:eastAsia="zh-CN"/>
        </w:rPr>
        <w:t>）监督基金管理人的投资运作；</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8</w:t>
      </w:r>
      <w:r>
        <w:rPr>
          <w:rFonts w:ascii="宋体" w:hAnsi="Calibri" w:cs="宋体"/>
          <w:szCs w:val="21"/>
          <w:highlight w:val="white"/>
          <w:lang w:eastAsia="zh-CN"/>
        </w:rPr>
        <w:t>）对基金管理人、基金托管人、基金服务机构损害其合法权益的行为依法提起诉讼或仲裁；</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9</w:t>
      </w:r>
      <w:r>
        <w:rPr>
          <w:rFonts w:ascii="宋体" w:hAnsi="Calibri" w:cs="宋体"/>
          <w:szCs w:val="21"/>
          <w:highlight w:val="white"/>
          <w:lang w:eastAsia="zh-CN"/>
        </w:rPr>
        <w:t>）法律法规及中国证监会规定的和《基金合同》约定的其他权利。</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2</w:t>
      </w:r>
      <w:r>
        <w:rPr>
          <w:rFonts w:ascii="宋体" w:hAnsi="Calibri" w:cs="宋体"/>
          <w:szCs w:val="21"/>
          <w:highlight w:val="white"/>
          <w:lang w:eastAsia="zh-CN"/>
        </w:rPr>
        <w:t>、根据《基金法》、《运作办法》及其他有关规定，基金份额持有人的义务包括但不限于：</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w:t>
      </w:r>
      <w:r>
        <w:rPr>
          <w:rFonts w:ascii="宋体" w:hAnsi="Calibri" w:cs="宋体"/>
          <w:szCs w:val="21"/>
          <w:highlight w:val="white"/>
          <w:lang w:eastAsia="zh-CN"/>
        </w:rPr>
        <w:t>）认真阅读并遵守《基金合同》、招募说明书等信息披露文件；</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w:t>
      </w:r>
      <w:r>
        <w:rPr>
          <w:rFonts w:ascii="宋体" w:hAnsi="Calibri" w:cs="宋体"/>
          <w:szCs w:val="21"/>
          <w:highlight w:val="white"/>
          <w:lang w:eastAsia="zh-CN"/>
        </w:rPr>
        <w:t>）了解</w:t>
      </w:r>
      <w:r>
        <w:rPr>
          <w:rFonts w:ascii="宋体" w:hAnsi="Calibri" w:cs="宋体"/>
          <w:szCs w:val="21"/>
          <w:highlight w:val="white"/>
          <w:lang w:eastAsia="zh-CN"/>
        </w:rPr>
        <w:t>所投资基金产品，了解自身风险承受能力，自主判断基金的投资价值，自主做出投资决策，自行承担投资风险；</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3</w:t>
      </w:r>
      <w:r>
        <w:rPr>
          <w:rFonts w:ascii="宋体" w:hAnsi="Calibri" w:cs="宋体"/>
          <w:szCs w:val="21"/>
          <w:highlight w:val="white"/>
          <w:lang w:eastAsia="zh-CN"/>
        </w:rPr>
        <w:t>）关注基金信息披露，及时行使权利和履行义务；</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4</w:t>
      </w:r>
      <w:r>
        <w:rPr>
          <w:rFonts w:ascii="宋体" w:hAnsi="Calibri" w:cs="宋体"/>
          <w:szCs w:val="21"/>
          <w:highlight w:val="white"/>
          <w:lang w:eastAsia="zh-CN"/>
        </w:rPr>
        <w:t>）交纳基金认购、申购款项及法律法规和《基金合同》所规定的费用；</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5</w:t>
      </w:r>
      <w:r>
        <w:rPr>
          <w:rFonts w:ascii="宋体" w:hAnsi="Calibri" w:cs="宋体"/>
          <w:szCs w:val="21"/>
          <w:highlight w:val="white"/>
          <w:lang w:eastAsia="zh-CN"/>
        </w:rPr>
        <w:t>）在其持有的基金份额范围内，承担基金亏损或者《基金合同》终止的有限责任；</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6</w:t>
      </w:r>
      <w:r>
        <w:rPr>
          <w:rFonts w:ascii="宋体" w:hAnsi="Calibri" w:cs="宋体"/>
          <w:szCs w:val="21"/>
          <w:highlight w:val="white"/>
          <w:lang w:eastAsia="zh-CN"/>
        </w:rPr>
        <w:t>）不从事任何有损基金及其他《基金合同》当事人合法权益的活动；</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7</w:t>
      </w:r>
      <w:r>
        <w:rPr>
          <w:rFonts w:ascii="宋体" w:hAnsi="Calibri" w:cs="宋体"/>
          <w:szCs w:val="21"/>
          <w:highlight w:val="white"/>
          <w:lang w:eastAsia="zh-CN"/>
        </w:rPr>
        <w:t>）执行生效的基金份额持有人大会的决议；</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8</w:t>
      </w:r>
      <w:r>
        <w:rPr>
          <w:rFonts w:ascii="宋体" w:hAnsi="Calibri" w:cs="宋体"/>
          <w:szCs w:val="21"/>
          <w:highlight w:val="white"/>
          <w:lang w:eastAsia="zh-CN"/>
        </w:rPr>
        <w:t>）返还在基金交易过程中因任何原因获得的不当得利；</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9</w:t>
      </w:r>
      <w:r>
        <w:rPr>
          <w:rFonts w:ascii="宋体" w:hAnsi="Calibri" w:cs="宋体"/>
          <w:szCs w:val="21"/>
          <w:highlight w:val="white"/>
          <w:lang w:eastAsia="zh-CN"/>
        </w:rPr>
        <w:t>）法律法规及中国证监会规定的和《基金合同》约定的其他义务。</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二、基金管理人的权利与义务</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1</w:t>
      </w:r>
      <w:r>
        <w:rPr>
          <w:rFonts w:ascii="宋体" w:hAnsi="Calibri" w:cs="宋体"/>
          <w:szCs w:val="21"/>
          <w:highlight w:val="white"/>
          <w:lang w:eastAsia="zh-CN"/>
        </w:rPr>
        <w:t>、根据《基金法》、《运作办法》及其他有关规定，基金管理人的权利包括但不限于：</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w:t>
      </w:r>
      <w:r>
        <w:rPr>
          <w:rFonts w:ascii="宋体" w:hAnsi="Calibri" w:cs="宋体"/>
          <w:szCs w:val="21"/>
          <w:highlight w:val="white"/>
          <w:lang w:eastAsia="zh-CN"/>
        </w:rPr>
        <w:t>）依法募集资金；</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w:t>
      </w:r>
      <w:r>
        <w:rPr>
          <w:rFonts w:ascii="宋体" w:hAnsi="Calibri" w:cs="宋体"/>
          <w:szCs w:val="21"/>
          <w:highlight w:val="white"/>
          <w:lang w:eastAsia="zh-CN"/>
        </w:rPr>
        <w:t>）自《基金合同》生效之日起，根据法律法规和《基金合同》独立运用并管理基金财产；</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3</w:t>
      </w:r>
      <w:r>
        <w:rPr>
          <w:rFonts w:ascii="宋体" w:hAnsi="Calibri" w:cs="宋体"/>
          <w:szCs w:val="21"/>
          <w:highlight w:val="white"/>
          <w:lang w:eastAsia="zh-CN"/>
        </w:rPr>
        <w:t>）依照《基金合同》收取基金管理费以及法律法规规定或中国证监会批准的其他费用；</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4</w:t>
      </w:r>
      <w:r>
        <w:rPr>
          <w:rFonts w:ascii="宋体" w:hAnsi="Calibri" w:cs="宋体"/>
          <w:szCs w:val="21"/>
          <w:highlight w:val="white"/>
          <w:lang w:eastAsia="zh-CN"/>
        </w:rPr>
        <w:t>）销售基金份额；</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5</w:t>
      </w:r>
      <w:r>
        <w:rPr>
          <w:rFonts w:ascii="宋体" w:hAnsi="Calibri" w:cs="宋体"/>
          <w:szCs w:val="21"/>
          <w:highlight w:val="white"/>
          <w:lang w:eastAsia="zh-CN"/>
        </w:rPr>
        <w:t>）按照规定召集基金份额持有人大会；</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6</w:t>
      </w:r>
      <w:r>
        <w:rPr>
          <w:rFonts w:ascii="宋体" w:hAnsi="Calibri" w:cs="宋体"/>
          <w:szCs w:val="21"/>
          <w:highlight w:val="white"/>
          <w:lang w:eastAsia="zh-CN"/>
        </w:rPr>
        <w:t>）依据《基金合同》及有关法律规定监督基金托管人，如认为基金托管人违反了《基金合同》及国</w:t>
      </w:r>
      <w:r>
        <w:rPr>
          <w:rFonts w:ascii="宋体" w:hAnsi="Calibri" w:cs="宋体"/>
          <w:szCs w:val="21"/>
          <w:highlight w:val="white"/>
          <w:lang w:eastAsia="zh-CN"/>
        </w:rPr>
        <w:t>家有关法律规定，应呈报中国证监会和其他监管部门，并采取必要措施保护基金投资者的利益；</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7</w:t>
      </w:r>
      <w:r>
        <w:rPr>
          <w:rFonts w:ascii="宋体" w:hAnsi="Calibri" w:cs="宋体"/>
          <w:szCs w:val="21"/>
          <w:highlight w:val="white"/>
          <w:lang w:eastAsia="zh-CN"/>
        </w:rPr>
        <w:t>）在基金托管人更换时，提名新的基金托管人；</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8</w:t>
      </w:r>
      <w:r>
        <w:rPr>
          <w:rFonts w:ascii="宋体" w:hAnsi="Calibri" w:cs="宋体"/>
          <w:szCs w:val="21"/>
          <w:highlight w:val="white"/>
          <w:lang w:eastAsia="zh-CN"/>
        </w:rPr>
        <w:t>）选择、更换基金销售机构，对基金销售机构的相关行为进行监督和处理；</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9</w:t>
      </w:r>
      <w:r>
        <w:rPr>
          <w:rFonts w:ascii="宋体" w:hAnsi="Calibri" w:cs="宋体"/>
          <w:szCs w:val="21"/>
          <w:highlight w:val="white"/>
          <w:lang w:eastAsia="zh-CN"/>
        </w:rPr>
        <w:t>）担任或委托其他符合条件的机构担任基金登记机构办理基金登记业务并获得《基金合同》规定的费用；</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10</w:t>
      </w:r>
      <w:r>
        <w:rPr>
          <w:rFonts w:ascii="宋体" w:hAnsi="Calibri" w:cs="宋体"/>
          <w:szCs w:val="21"/>
          <w:highlight w:val="white"/>
          <w:lang w:eastAsia="zh-CN"/>
        </w:rPr>
        <w:t>）依据《基金合同》及有关法律规定决定基金收益的分配方案；</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11</w:t>
      </w:r>
      <w:r>
        <w:rPr>
          <w:rFonts w:ascii="宋体" w:hAnsi="Calibri" w:cs="宋体"/>
          <w:szCs w:val="21"/>
          <w:highlight w:val="white"/>
          <w:lang w:eastAsia="zh-CN"/>
        </w:rPr>
        <w:t>）在《基金合同》约定的范围内，拒绝或暂停受理申购、赎回及转换申请；</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12</w:t>
      </w:r>
      <w:r>
        <w:rPr>
          <w:rFonts w:ascii="宋体" w:hAnsi="Calibri" w:cs="宋体"/>
          <w:szCs w:val="21"/>
          <w:highlight w:val="white"/>
          <w:lang w:eastAsia="zh-CN"/>
        </w:rPr>
        <w:t>）依照法律法规为基金的利益对被投资公司行使股东权利，为基金的利益行使因基金财产投资于证券所产生的权利；</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13</w:t>
      </w:r>
      <w:r>
        <w:rPr>
          <w:rFonts w:ascii="宋体" w:hAnsi="Calibri" w:cs="宋体"/>
          <w:szCs w:val="21"/>
          <w:highlight w:val="white"/>
          <w:lang w:eastAsia="zh-CN"/>
        </w:rPr>
        <w:t>）在法律法规允许的前提下，为基金的利益依法为基金进行融资、融券及转融通证券出借业务；</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14</w:t>
      </w:r>
      <w:r>
        <w:rPr>
          <w:rFonts w:ascii="宋体" w:hAnsi="Calibri" w:cs="宋体"/>
          <w:szCs w:val="21"/>
          <w:highlight w:val="white"/>
          <w:lang w:eastAsia="zh-CN"/>
        </w:rPr>
        <w:t>）以基金管理人的名义，代表基金份额持有人的利益行使诉讼权利或者实施其他法律行为；</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15</w:t>
      </w:r>
      <w:r>
        <w:rPr>
          <w:rFonts w:ascii="宋体" w:hAnsi="Calibri" w:cs="宋体"/>
          <w:szCs w:val="21"/>
          <w:highlight w:val="white"/>
          <w:lang w:eastAsia="zh-CN"/>
        </w:rPr>
        <w:t>）选择、更换律师事务所、会计师事务所、证券经纪商或其他为基金提供服务的外部机构；</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16</w:t>
      </w:r>
      <w:r>
        <w:rPr>
          <w:rFonts w:ascii="宋体" w:hAnsi="Calibri" w:cs="宋体"/>
          <w:szCs w:val="21"/>
          <w:highlight w:val="white"/>
          <w:lang w:eastAsia="zh-CN"/>
        </w:rPr>
        <w:t>）在符合有关法律、法规的前提下，制订和调整有关基金认购、申购、赎回、转换、非交易过户、转托管和收益分配等的业务规则；</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17</w:t>
      </w:r>
      <w:r>
        <w:rPr>
          <w:rFonts w:ascii="宋体" w:hAnsi="Calibri" w:cs="宋体"/>
          <w:szCs w:val="21"/>
          <w:highlight w:val="white"/>
          <w:lang w:eastAsia="zh-CN"/>
        </w:rPr>
        <w:t>）在</w:t>
      </w:r>
      <w:r>
        <w:rPr>
          <w:rFonts w:ascii="宋体" w:hAnsi="Calibri" w:cs="宋体"/>
          <w:szCs w:val="21"/>
          <w:highlight w:val="white"/>
          <w:lang w:eastAsia="zh-CN"/>
        </w:rPr>
        <w:t>不违反法律法规和监管规定且对基金份额持有人利益无实质不利影响的前提下，为支付本基金应付的赎回、交易清算等款项，基金管理人有权代表基金份额持有人以基金资产作为质押进行融资；</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18</w:t>
      </w:r>
      <w:r>
        <w:rPr>
          <w:rFonts w:ascii="宋体" w:hAnsi="Calibri" w:cs="宋体"/>
          <w:szCs w:val="21"/>
          <w:highlight w:val="white"/>
          <w:lang w:eastAsia="zh-CN"/>
        </w:rPr>
        <w:t>）委托第三方机构办理本基金的交易、清算、估值、结算等业务；</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19</w:t>
      </w:r>
      <w:r>
        <w:rPr>
          <w:rFonts w:ascii="宋体" w:hAnsi="Calibri" w:cs="宋体"/>
          <w:szCs w:val="21"/>
          <w:highlight w:val="white"/>
          <w:lang w:eastAsia="zh-CN"/>
        </w:rPr>
        <w:t>）法律法规及中国证监会规定的和《基金合同》约定的其他权利。</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2</w:t>
      </w:r>
      <w:r>
        <w:rPr>
          <w:rFonts w:ascii="宋体" w:hAnsi="Calibri" w:cs="宋体"/>
          <w:szCs w:val="21"/>
          <w:highlight w:val="white"/>
          <w:lang w:eastAsia="zh-CN"/>
        </w:rPr>
        <w:t>、根据《基金法》、《运作办法》及其他有关规定，基金管理人的义务包括但不限于：</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w:t>
      </w:r>
      <w:r>
        <w:rPr>
          <w:rFonts w:ascii="宋体" w:hAnsi="Calibri" w:cs="宋体"/>
          <w:szCs w:val="21"/>
          <w:highlight w:val="white"/>
          <w:lang w:eastAsia="zh-CN"/>
        </w:rPr>
        <w:t>）依法募集资金，办理或者委托经中国证监会认定的其他机构办理基金份额的发售、申购、赎回和登记事宜；</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w:t>
      </w:r>
      <w:r>
        <w:rPr>
          <w:rFonts w:ascii="宋体" w:hAnsi="Calibri" w:cs="宋体"/>
          <w:szCs w:val="21"/>
          <w:highlight w:val="white"/>
          <w:lang w:eastAsia="zh-CN"/>
        </w:rPr>
        <w:t>）办理基金备案手续；</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3</w:t>
      </w:r>
      <w:r>
        <w:rPr>
          <w:rFonts w:ascii="宋体" w:hAnsi="Calibri" w:cs="宋体"/>
          <w:szCs w:val="21"/>
          <w:highlight w:val="white"/>
          <w:lang w:eastAsia="zh-CN"/>
        </w:rPr>
        <w:t>）自《基金合同》生效之日起，以诚实信用、谨慎勤勉的原则管理和运用基金财产；</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4</w:t>
      </w:r>
      <w:r>
        <w:rPr>
          <w:rFonts w:ascii="宋体" w:hAnsi="Calibri" w:cs="宋体"/>
          <w:szCs w:val="21"/>
          <w:highlight w:val="white"/>
          <w:lang w:eastAsia="zh-CN"/>
        </w:rPr>
        <w:t>）配备足够的具有专业资格的人员进行基金投资分析、决策，以专业化的经营方式管理和运作基金财产；</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5</w:t>
      </w:r>
      <w:r>
        <w:rPr>
          <w:rFonts w:ascii="宋体" w:hAnsi="Calibri" w:cs="宋体"/>
          <w:szCs w:val="21"/>
          <w:highlight w:val="white"/>
          <w:lang w:eastAsia="zh-CN"/>
        </w:rPr>
        <w:t>）建立健全内部风险控制、监察与稽核、财务管理及人事管理等制度，保证所管理的基金财产和基金管理人的财产相互独立，对所管理的不同基金分别管理，分别记账，进行证券投资；</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6</w:t>
      </w:r>
      <w:r>
        <w:rPr>
          <w:rFonts w:ascii="宋体" w:hAnsi="Calibri" w:cs="宋体"/>
          <w:szCs w:val="21"/>
          <w:highlight w:val="white"/>
          <w:lang w:eastAsia="zh-CN"/>
        </w:rPr>
        <w:t>）除依据《基金法》、《基金合同》及其他有关规定外，不得利用基金财产为自己及任何第三人谋取利益，不得委托第三人运作基金财产；</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7</w:t>
      </w:r>
      <w:r>
        <w:rPr>
          <w:rFonts w:ascii="宋体" w:hAnsi="Calibri" w:cs="宋体"/>
          <w:szCs w:val="21"/>
          <w:highlight w:val="white"/>
          <w:lang w:eastAsia="zh-CN"/>
        </w:rPr>
        <w:t>）依法接受基金托管人的监督；</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8</w:t>
      </w:r>
      <w:r>
        <w:rPr>
          <w:rFonts w:ascii="宋体" w:hAnsi="Calibri" w:cs="宋体"/>
          <w:szCs w:val="21"/>
          <w:highlight w:val="white"/>
          <w:lang w:eastAsia="zh-CN"/>
        </w:rPr>
        <w:t>）采取适当合理的措施使计算基金份额认购、申购、赎回和注销价格的方法符合《基金合同》等法律文件的规定，按有关规定计算并公告基金净值信息，确定基金份额申购、赎回的价格；</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9</w:t>
      </w:r>
      <w:r>
        <w:rPr>
          <w:rFonts w:ascii="宋体" w:hAnsi="Calibri" w:cs="宋体"/>
          <w:szCs w:val="21"/>
          <w:highlight w:val="white"/>
          <w:lang w:eastAsia="zh-CN"/>
        </w:rPr>
        <w:t>）进行基金会计核算并编制基金财务会计报告；</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10</w:t>
      </w:r>
      <w:r>
        <w:rPr>
          <w:rFonts w:ascii="宋体" w:hAnsi="Calibri" w:cs="宋体"/>
          <w:szCs w:val="21"/>
          <w:highlight w:val="white"/>
          <w:lang w:eastAsia="zh-CN"/>
        </w:rPr>
        <w:t>）编制季度报告、中期报告和年度报告；</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11</w:t>
      </w:r>
      <w:r>
        <w:rPr>
          <w:rFonts w:ascii="宋体" w:hAnsi="Calibri" w:cs="宋体"/>
          <w:szCs w:val="21"/>
          <w:highlight w:val="white"/>
          <w:lang w:eastAsia="zh-CN"/>
        </w:rPr>
        <w:t>）严格按照《基金法》、《基金合同》及其他有关规定，履行信息披露及报告义务；</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12</w:t>
      </w:r>
      <w:r>
        <w:rPr>
          <w:rFonts w:ascii="宋体" w:hAnsi="Calibri" w:cs="宋体"/>
          <w:szCs w:val="21"/>
          <w:highlight w:val="white"/>
          <w:lang w:eastAsia="zh-CN"/>
        </w:rPr>
        <w:t>）保守基金商业秘密，不泄露基金投资计划、投资意向等。除《基金法》、《基金合同》及其他有关规定另有规定外，在基金信息公开披露前应予保密，不向他人泄露，但应监管机构、司法</w:t>
      </w:r>
      <w:r>
        <w:rPr>
          <w:rFonts w:ascii="宋体" w:hAnsi="Calibri" w:cs="宋体"/>
          <w:szCs w:val="21"/>
          <w:highlight w:val="white"/>
          <w:lang w:eastAsia="zh-CN"/>
        </w:rPr>
        <w:t>机关等有权机关的要求，或因审计、法律等外部专业顾问提供服务需要而向其提供的情况除外；</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13</w:t>
      </w:r>
      <w:r>
        <w:rPr>
          <w:rFonts w:ascii="宋体" w:hAnsi="Calibri" w:cs="宋体"/>
          <w:szCs w:val="21"/>
          <w:highlight w:val="white"/>
          <w:lang w:eastAsia="zh-CN"/>
        </w:rPr>
        <w:t>）按《基金合同》的约定确定基金收益分配方案，及时向基金份额持有人分配基金收益；</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14</w:t>
      </w:r>
      <w:r>
        <w:rPr>
          <w:rFonts w:ascii="宋体" w:hAnsi="Calibri" w:cs="宋体"/>
          <w:szCs w:val="21"/>
          <w:highlight w:val="white"/>
          <w:lang w:eastAsia="zh-CN"/>
        </w:rPr>
        <w:t>）按规定受理申购与赎回申请，及时、足额支付赎回款项；</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15</w:t>
      </w:r>
      <w:r>
        <w:rPr>
          <w:rFonts w:ascii="宋体" w:hAnsi="Calibri" w:cs="宋体"/>
          <w:szCs w:val="21"/>
          <w:highlight w:val="white"/>
          <w:lang w:eastAsia="zh-CN"/>
        </w:rPr>
        <w:t>）依据《基金法》、《基金合同》及其他有关规定召集基金份额持有人大会或配合基金托管人、基金份额持有人依法召集基金份额持有人大会；</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16</w:t>
      </w:r>
      <w:r>
        <w:rPr>
          <w:rFonts w:ascii="宋体" w:hAnsi="Calibri" w:cs="宋体"/>
          <w:szCs w:val="21"/>
          <w:highlight w:val="white"/>
          <w:lang w:eastAsia="zh-CN"/>
        </w:rPr>
        <w:t>）按规定保存基金财产管理业务活动的会计账册、报表、记录和其他相关资料</w:t>
      </w:r>
      <w:r>
        <w:rPr>
          <w:rFonts w:ascii="宋体" w:hAnsi="Calibri" w:cs="宋体"/>
          <w:szCs w:val="21"/>
          <w:highlight w:val="white"/>
          <w:lang w:eastAsia="zh-CN"/>
        </w:rPr>
        <w:t>20</w:t>
      </w:r>
      <w:r>
        <w:rPr>
          <w:rFonts w:ascii="宋体" w:hAnsi="Calibri" w:cs="宋体"/>
          <w:szCs w:val="21"/>
          <w:highlight w:val="white"/>
          <w:lang w:eastAsia="zh-CN"/>
        </w:rPr>
        <w:t>年以上；</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17</w:t>
      </w:r>
      <w:r>
        <w:rPr>
          <w:rFonts w:ascii="宋体" w:hAnsi="Calibri" w:cs="宋体"/>
          <w:szCs w:val="21"/>
          <w:highlight w:val="white"/>
          <w:lang w:eastAsia="zh-CN"/>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18</w:t>
      </w:r>
      <w:r>
        <w:rPr>
          <w:rFonts w:ascii="宋体" w:hAnsi="Calibri" w:cs="宋体"/>
          <w:szCs w:val="21"/>
          <w:highlight w:val="white"/>
          <w:lang w:eastAsia="zh-CN"/>
        </w:rPr>
        <w:t>）组织并参加基金财产清算小组，参与基金财产的保管、清理、估价、变现和分配；</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19</w:t>
      </w:r>
      <w:r>
        <w:rPr>
          <w:rFonts w:ascii="宋体" w:hAnsi="Calibri" w:cs="宋体"/>
          <w:szCs w:val="21"/>
          <w:highlight w:val="white"/>
          <w:lang w:eastAsia="zh-CN"/>
        </w:rPr>
        <w:t>）面临解散、依法被撤销或者被依法宣告破产时，及时报告中国证监会并通知基金托管人；</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20</w:t>
      </w:r>
      <w:r>
        <w:rPr>
          <w:rFonts w:ascii="宋体" w:hAnsi="Calibri" w:cs="宋体"/>
          <w:szCs w:val="21"/>
          <w:highlight w:val="white"/>
          <w:lang w:eastAsia="zh-CN"/>
        </w:rPr>
        <w:t>）因违反《基金合同》导致基金财产的损失或损害基金份额持有人合法权益时，应当承担赔偿责任，其赔偿责任不因其退任而免除；</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21</w:t>
      </w:r>
      <w:r>
        <w:rPr>
          <w:rFonts w:ascii="宋体" w:hAnsi="Calibri" w:cs="宋体"/>
          <w:szCs w:val="21"/>
          <w:highlight w:val="white"/>
          <w:lang w:eastAsia="zh-CN"/>
        </w:rPr>
        <w:t>）监督基金托管人</w:t>
      </w:r>
      <w:r>
        <w:rPr>
          <w:rFonts w:ascii="宋体" w:hAnsi="Calibri" w:cs="宋体"/>
          <w:szCs w:val="21"/>
          <w:highlight w:val="white"/>
          <w:lang w:eastAsia="zh-CN"/>
        </w:rPr>
        <w:t>按法律法规和《基金合同》规定履行自己的义务，基金托管人违反《基金合同》造成基金财产损失时，基金管理人应为基金份额持有人利益向基金托管人追偿；</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22</w:t>
      </w:r>
      <w:r>
        <w:rPr>
          <w:rFonts w:ascii="宋体" w:hAnsi="Calibri" w:cs="宋体"/>
          <w:szCs w:val="21"/>
          <w:highlight w:val="white"/>
          <w:lang w:eastAsia="zh-CN"/>
        </w:rPr>
        <w:t>）当基金管理人将其义务委托第三方处理时，应当对第三方处理有关基金事务的行为承担责任；</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23</w:t>
      </w:r>
      <w:r>
        <w:rPr>
          <w:rFonts w:ascii="宋体" w:hAnsi="Calibri" w:cs="宋体"/>
          <w:szCs w:val="21"/>
          <w:highlight w:val="white"/>
          <w:lang w:eastAsia="zh-CN"/>
        </w:rPr>
        <w:t>）以基金管理人名义，代表基金份额持有人利益行使诉讼权利或实施其他法律行为；</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24</w:t>
      </w:r>
      <w:r>
        <w:rPr>
          <w:rFonts w:ascii="宋体" w:hAnsi="Calibri" w:cs="宋体"/>
          <w:szCs w:val="21"/>
          <w:highlight w:val="white"/>
          <w:lang w:eastAsia="zh-CN"/>
        </w:rPr>
        <w:t>）基金管理人在募集期间未能达到基金的备案条件，《基金合同》不能生效，基金管理人承担全部募集费用，将已募集资金并加计银行同期活期存款利息在基金募集期结束后</w:t>
      </w:r>
      <w:r>
        <w:rPr>
          <w:rFonts w:ascii="宋体" w:hAnsi="Calibri" w:cs="宋体"/>
          <w:szCs w:val="21"/>
          <w:highlight w:val="white"/>
          <w:lang w:eastAsia="zh-CN"/>
        </w:rPr>
        <w:t>30</w:t>
      </w:r>
      <w:r>
        <w:rPr>
          <w:rFonts w:ascii="宋体" w:hAnsi="Calibri" w:cs="宋体"/>
          <w:szCs w:val="21"/>
          <w:highlight w:val="white"/>
          <w:lang w:eastAsia="zh-CN"/>
        </w:rPr>
        <w:t>日内退还基金认购人；</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25</w:t>
      </w:r>
      <w:r>
        <w:rPr>
          <w:rFonts w:ascii="宋体" w:hAnsi="Calibri" w:cs="宋体"/>
          <w:szCs w:val="21"/>
          <w:highlight w:val="white"/>
          <w:lang w:eastAsia="zh-CN"/>
        </w:rPr>
        <w:t>）执行</w:t>
      </w:r>
      <w:r>
        <w:rPr>
          <w:rFonts w:ascii="宋体" w:hAnsi="Calibri" w:cs="宋体"/>
          <w:szCs w:val="21"/>
          <w:highlight w:val="white"/>
          <w:lang w:eastAsia="zh-CN"/>
        </w:rPr>
        <w:t>生效的基金份额持有人大会的决议；</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26</w:t>
      </w:r>
      <w:r>
        <w:rPr>
          <w:rFonts w:ascii="宋体" w:hAnsi="Calibri" w:cs="宋体"/>
          <w:szCs w:val="21"/>
          <w:highlight w:val="white"/>
          <w:lang w:eastAsia="zh-CN"/>
        </w:rPr>
        <w:t>）建立并保存基金份额持有人名册；</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27</w:t>
      </w:r>
      <w:r>
        <w:rPr>
          <w:rFonts w:ascii="宋体" w:hAnsi="Calibri" w:cs="宋体"/>
          <w:szCs w:val="21"/>
          <w:highlight w:val="white"/>
          <w:lang w:eastAsia="zh-CN"/>
        </w:rPr>
        <w:t>）法律法规及中国证监会规定的和《基金合同》约定的其他义务。</w:t>
      </w:r>
    </w:p>
    <w:p w:rsidR="004A090B">
      <w:pPr>
        <w:spacing w:line="360" w:lineRule="auto"/>
        <w:ind w:firstLine="420"/>
        <w:rPr>
          <w:rFonts w:ascii="宋体" w:hAnsi="Calibri" w:cs="宋体"/>
          <w:szCs w:val="21"/>
          <w:lang w:eastAsia="zh-CN"/>
        </w:rPr>
      </w:pPr>
      <w:r>
        <w:rPr>
          <w:rFonts w:ascii="宋体" w:hAnsi="Calibri" w:cs="宋体" w:hint="eastAsia"/>
          <w:szCs w:val="21"/>
          <w:lang w:eastAsia="zh-CN"/>
        </w:rPr>
        <w:t>三、基金托管人的权利与义务</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1</w:t>
      </w:r>
      <w:r>
        <w:rPr>
          <w:rFonts w:ascii="宋体" w:hAnsi="Calibri" w:cs="宋体"/>
          <w:szCs w:val="21"/>
          <w:highlight w:val="white"/>
          <w:lang w:eastAsia="zh-CN"/>
        </w:rPr>
        <w:t>、根据《基金法》、《运作办法》及其他有关规定，基金托管人的权利包括但不限于：</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w:t>
      </w:r>
      <w:r>
        <w:rPr>
          <w:rFonts w:ascii="宋体" w:hAnsi="Calibri" w:cs="宋体"/>
          <w:szCs w:val="21"/>
          <w:highlight w:val="white"/>
          <w:lang w:eastAsia="zh-CN"/>
        </w:rPr>
        <w:t>）自《基金合同》生效之日起，依法律法规和《基金合同》的规定安全保管基金财产；</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w:t>
      </w:r>
      <w:r>
        <w:rPr>
          <w:rFonts w:ascii="宋体" w:hAnsi="Calibri" w:cs="宋体"/>
          <w:szCs w:val="21"/>
          <w:highlight w:val="white"/>
          <w:lang w:eastAsia="zh-CN"/>
        </w:rPr>
        <w:t>）依《基金合同》约定获得基金托管费以及法律法规规定或监管部门批准的其他费用；</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3</w:t>
      </w:r>
      <w:r>
        <w:rPr>
          <w:rFonts w:ascii="宋体" w:hAnsi="Calibri" w:cs="宋体"/>
          <w:szCs w:val="21"/>
          <w:highlight w:val="white"/>
          <w:lang w:eastAsia="zh-CN"/>
        </w:rPr>
        <w:t>）监督基金管理人对本基金的投资运作，如发现基金管理人有违反《基金合同》及国家法律法规行为，对基金</w:t>
      </w:r>
      <w:r>
        <w:rPr>
          <w:rFonts w:ascii="宋体" w:hAnsi="Calibri" w:cs="宋体"/>
          <w:szCs w:val="21"/>
          <w:highlight w:val="white"/>
          <w:lang w:eastAsia="zh-CN"/>
        </w:rPr>
        <w:t>财产、其他当事人的利益造成重大损失的情形，应呈报中国证监会，并采取必要措施保护基金投资者的利益；</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4</w:t>
      </w:r>
      <w:r>
        <w:rPr>
          <w:rFonts w:ascii="宋体" w:hAnsi="Calibri" w:cs="宋体"/>
          <w:szCs w:val="21"/>
          <w:highlight w:val="white"/>
          <w:lang w:eastAsia="zh-CN"/>
        </w:rPr>
        <w:t>）根据相关市场规则，为基金开设资金账户、证券账户等投资所需账户、为基金办理证券交易资金清算；</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5</w:t>
      </w:r>
      <w:r>
        <w:rPr>
          <w:rFonts w:ascii="宋体" w:hAnsi="Calibri" w:cs="宋体"/>
          <w:szCs w:val="21"/>
          <w:highlight w:val="white"/>
          <w:lang w:eastAsia="zh-CN"/>
        </w:rPr>
        <w:t>）提议召开或召集基金份额持有人大会；</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6</w:t>
      </w:r>
      <w:r>
        <w:rPr>
          <w:rFonts w:ascii="宋体" w:hAnsi="Calibri" w:cs="宋体"/>
          <w:szCs w:val="21"/>
          <w:highlight w:val="white"/>
          <w:lang w:eastAsia="zh-CN"/>
        </w:rPr>
        <w:t>）在基金管理人更换时，提名新的基金管理人；</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7</w:t>
      </w:r>
      <w:r>
        <w:rPr>
          <w:rFonts w:ascii="宋体" w:hAnsi="Calibri" w:cs="宋体"/>
          <w:szCs w:val="21"/>
          <w:highlight w:val="white"/>
          <w:lang w:eastAsia="zh-CN"/>
        </w:rPr>
        <w:t>）法律法规及中国证监会规定的和《基金合同》约定的其他权利。</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2</w:t>
      </w:r>
      <w:r>
        <w:rPr>
          <w:rFonts w:ascii="宋体" w:hAnsi="Calibri" w:cs="宋体"/>
          <w:szCs w:val="21"/>
          <w:highlight w:val="white"/>
          <w:lang w:eastAsia="zh-CN"/>
        </w:rPr>
        <w:t>、根据《基金法》、《运作办法》及其他有关规定，基金托管人的义务包括但不限于：</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w:t>
      </w:r>
      <w:r>
        <w:rPr>
          <w:rFonts w:ascii="宋体" w:hAnsi="Calibri" w:cs="宋体"/>
          <w:szCs w:val="21"/>
          <w:highlight w:val="white"/>
          <w:lang w:eastAsia="zh-CN"/>
        </w:rPr>
        <w:t>）以诚实信用、勤勉尽责的原则持有并安全保管基金财产；</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w:t>
      </w:r>
      <w:r>
        <w:rPr>
          <w:rFonts w:ascii="宋体" w:hAnsi="Calibri" w:cs="宋体"/>
          <w:szCs w:val="21"/>
          <w:highlight w:val="white"/>
          <w:lang w:eastAsia="zh-CN"/>
        </w:rPr>
        <w:t>）设立专门的基金托管</w:t>
      </w:r>
      <w:r>
        <w:rPr>
          <w:rFonts w:ascii="宋体" w:hAnsi="Calibri" w:cs="宋体"/>
          <w:szCs w:val="21"/>
          <w:highlight w:val="white"/>
          <w:lang w:eastAsia="zh-CN"/>
        </w:rPr>
        <w:t>部门，具有符合要求的营业场所，配备足够的、合格的熟悉基金托管业务的专职人员，负责基金财产托管事宜；</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3</w:t>
      </w:r>
      <w:r>
        <w:rPr>
          <w:rFonts w:ascii="宋体" w:hAnsi="Calibri" w:cs="宋体"/>
          <w:szCs w:val="21"/>
          <w:highlight w:val="white"/>
          <w:lang w:eastAsia="zh-CN"/>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4</w:t>
      </w:r>
      <w:r>
        <w:rPr>
          <w:rFonts w:ascii="宋体" w:hAnsi="Calibri" w:cs="宋体"/>
          <w:szCs w:val="21"/>
          <w:highlight w:val="white"/>
          <w:lang w:eastAsia="zh-CN"/>
        </w:rPr>
        <w:t>）除依据《基金法》、《基金合同》及其他有关规定外，不得利用基金财产为自己及任何第三人谋取利益，不得委托第三人托管基金财产；</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5</w:t>
      </w:r>
      <w:r>
        <w:rPr>
          <w:rFonts w:ascii="宋体" w:hAnsi="Calibri" w:cs="宋体"/>
          <w:szCs w:val="21"/>
          <w:highlight w:val="white"/>
          <w:lang w:eastAsia="zh-CN"/>
        </w:rPr>
        <w:t>）保管由</w:t>
      </w:r>
      <w:r>
        <w:rPr>
          <w:rFonts w:ascii="宋体" w:hAnsi="Calibri" w:cs="宋体"/>
          <w:szCs w:val="21"/>
          <w:highlight w:val="white"/>
          <w:lang w:eastAsia="zh-CN"/>
        </w:rPr>
        <w:t>基金管理人代表基金签订的与基金有关的重大合同及有关凭证；</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6</w:t>
      </w:r>
      <w:r>
        <w:rPr>
          <w:rFonts w:ascii="宋体" w:hAnsi="Calibri" w:cs="宋体"/>
          <w:szCs w:val="21"/>
          <w:highlight w:val="white"/>
          <w:lang w:eastAsia="zh-CN"/>
        </w:rPr>
        <w:t>）按规定开设基金财产的资金账户和证券账户等投资所需账户，按照《基金合同》的约定，根据基金管理人的投资指令，及时办理清算、交割事宜；</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7</w:t>
      </w:r>
      <w:r>
        <w:rPr>
          <w:rFonts w:ascii="宋体" w:hAnsi="Calibri" w:cs="宋体"/>
          <w:szCs w:val="21"/>
          <w:highlight w:val="white"/>
          <w:lang w:eastAsia="zh-CN"/>
        </w:rPr>
        <w:t>）保守基金商业秘密，除《基金法》、《基金合同》及其他有关规定另有规定外，在基金信息公开披露前予以保密，不得向他人泄露，但应监管机构、司法机关等有权机关的要求，或因审计、法律等外部专业顾问提供服务需要而向其提供的情况除外；</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8</w:t>
      </w:r>
      <w:r>
        <w:rPr>
          <w:rFonts w:ascii="宋体" w:hAnsi="Calibri" w:cs="宋体"/>
          <w:szCs w:val="21"/>
          <w:highlight w:val="white"/>
          <w:lang w:eastAsia="zh-CN"/>
        </w:rPr>
        <w:t>）复核、审查基金管理人计算的基金资产净值、基金份额净值、基金份额申购、赎回价格；</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9</w:t>
      </w:r>
      <w:r>
        <w:rPr>
          <w:rFonts w:ascii="宋体" w:hAnsi="Calibri" w:cs="宋体"/>
          <w:szCs w:val="21"/>
          <w:highlight w:val="white"/>
          <w:lang w:eastAsia="zh-CN"/>
        </w:rPr>
        <w:t>）办理与基金托管业务活动有关的信息披露事项；</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10</w:t>
      </w:r>
      <w:r>
        <w:rPr>
          <w:rFonts w:ascii="宋体" w:hAnsi="Calibri" w:cs="宋体"/>
          <w:szCs w:val="21"/>
          <w:highlight w:val="white"/>
          <w:lang w:eastAsia="zh-CN"/>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11</w:t>
      </w:r>
      <w:r>
        <w:rPr>
          <w:rFonts w:ascii="宋体" w:hAnsi="Calibri" w:cs="宋体"/>
          <w:szCs w:val="21"/>
          <w:highlight w:val="white"/>
          <w:lang w:eastAsia="zh-CN"/>
        </w:rPr>
        <w:t>）保存基金托管业务活动的记录、账册、报表和其他相关资料</w:t>
      </w:r>
      <w:r>
        <w:rPr>
          <w:rFonts w:ascii="宋体" w:hAnsi="Calibri" w:cs="宋体"/>
          <w:szCs w:val="21"/>
          <w:highlight w:val="white"/>
          <w:lang w:eastAsia="zh-CN"/>
        </w:rPr>
        <w:t>20</w:t>
      </w:r>
      <w:r>
        <w:rPr>
          <w:rFonts w:ascii="宋体" w:hAnsi="Calibri" w:cs="宋体"/>
          <w:szCs w:val="21"/>
          <w:highlight w:val="white"/>
          <w:lang w:eastAsia="zh-CN"/>
        </w:rPr>
        <w:t>年以上；</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12</w:t>
      </w:r>
      <w:r>
        <w:rPr>
          <w:rFonts w:ascii="宋体" w:hAnsi="Calibri" w:cs="宋体"/>
          <w:szCs w:val="21"/>
          <w:highlight w:val="white"/>
          <w:lang w:eastAsia="zh-CN"/>
        </w:rPr>
        <w:t>）建立并保存基金份额持有人名册；</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13</w:t>
      </w:r>
      <w:r>
        <w:rPr>
          <w:rFonts w:ascii="宋体" w:hAnsi="Calibri" w:cs="宋体"/>
          <w:szCs w:val="21"/>
          <w:highlight w:val="white"/>
          <w:lang w:eastAsia="zh-CN"/>
        </w:rPr>
        <w:t>）按规定制作相关账册并与基金管理人核对；</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14</w:t>
      </w:r>
      <w:r>
        <w:rPr>
          <w:rFonts w:ascii="宋体" w:hAnsi="Calibri" w:cs="宋体"/>
          <w:szCs w:val="21"/>
          <w:highlight w:val="white"/>
          <w:lang w:eastAsia="zh-CN"/>
        </w:rPr>
        <w:t>）依据基金管理人的指令或有关规定向基金份额持有人支付基金收益和赎回款项</w:t>
      </w:r>
      <w:r>
        <w:rPr>
          <w:rFonts w:ascii="宋体" w:hAnsi="Calibri" w:cs="宋体"/>
          <w:szCs w:val="21"/>
          <w:highlight w:val="white"/>
          <w:lang w:eastAsia="zh-CN"/>
        </w:rPr>
        <w:t>；</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15</w:t>
      </w:r>
      <w:r>
        <w:rPr>
          <w:rFonts w:ascii="宋体" w:hAnsi="Calibri" w:cs="宋体"/>
          <w:szCs w:val="21"/>
          <w:highlight w:val="white"/>
          <w:lang w:eastAsia="zh-CN"/>
        </w:rPr>
        <w:t>）依据《基金法》、《基金合同》及其他有关规定，召集基金份额持有人大会或配合基金管理人、基金份额持有人依法召集基金份额持有人大会；</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16</w:t>
      </w:r>
      <w:r>
        <w:rPr>
          <w:rFonts w:ascii="宋体" w:hAnsi="Calibri" w:cs="宋体"/>
          <w:szCs w:val="21"/>
          <w:highlight w:val="white"/>
          <w:lang w:eastAsia="zh-CN"/>
        </w:rPr>
        <w:t>）按照法律法规和《基金合同》的规定监督基金管理人的投资运作；</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17</w:t>
      </w:r>
      <w:r>
        <w:rPr>
          <w:rFonts w:ascii="宋体" w:hAnsi="Calibri" w:cs="宋体"/>
          <w:szCs w:val="21"/>
          <w:highlight w:val="white"/>
          <w:lang w:eastAsia="zh-CN"/>
        </w:rPr>
        <w:t>）参加基金财产清算小组，参与基金财产的保管、清理、估价、变现和分配；</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18</w:t>
      </w:r>
      <w:r>
        <w:rPr>
          <w:rFonts w:ascii="宋体" w:hAnsi="Calibri" w:cs="宋体"/>
          <w:szCs w:val="21"/>
          <w:highlight w:val="white"/>
          <w:lang w:eastAsia="zh-CN"/>
        </w:rPr>
        <w:t>）面临解散、依法被撤销或者被依法宣告破产时，及时报告中国证监会和银行监管机构，并通知基金管理人；</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19</w:t>
      </w:r>
      <w:r>
        <w:rPr>
          <w:rFonts w:ascii="宋体" w:hAnsi="Calibri" w:cs="宋体"/>
          <w:szCs w:val="21"/>
          <w:highlight w:val="white"/>
          <w:lang w:eastAsia="zh-CN"/>
        </w:rPr>
        <w:t>）因违反《基金合同》导致基金财产损失时，应承担赔偿责任，其赔偿责任不因其退任而免除；</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20</w:t>
      </w:r>
      <w:r>
        <w:rPr>
          <w:rFonts w:ascii="宋体" w:hAnsi="Calibri" w:cs="宋体"/>
          <w:szCs w:val="21"/>
          <w:highlight w:val="white"/>
          <w:lang w:eastAsia="zh-CN"/>
        </w:rPr>
        <w:t>）按规定监督基金管理人按法</w:t>
      </w:r>
      <w:r>
        <w:rPr>
          <w:rFonts w:ascii="宋体" w:hAnsi="Calibri" w:cs="宋体"/>
          <w:szCs w:val="21"/>
          <w:highlight w:val="white"/>
          <w:lang w:eastAsia="zh-CN"/>
        </w:rPr>
        <w:t>律法规和《基金合同》规定履行自己的义务，基金管理人因违反《基金合同》造成基金财产损失时，应为基金份额持有人利益向基金管理人追偿；</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21</w:t>
      </w:r>
      <w:r>
        <w:rPr>
          <w:rFonts w:ascii="宋体" w:hAnsi="Calibri" w:cs="宋体"/>
          <w:szCs w:val="21"/>
          <w:highlight w:val="white"/>
          <w:lang w:eastAsia="zh-CN"/>
        </w:rPr>
        <w:t>）执行生效的基金份额持有人大会的决议；</w:t>
      </w:r>
    </w:p>
    <w:p w:rsidR="004A090B">
      <w:pPr>
        <w:spacing w:line="360" w:lineRule="auto"/>
        <w:ind w:firstLine="420"/>
        <w:rPr>
          <w:rFonts w:ascii="宋体" w:hAnsi="Calibri" w:cs="宋体"/>
          <w:szCs w:val="21"/>
          <w:lang w:eastAsia="zh-CN"/>
        </w:rPr>
      </w:pPr>
      <w:r>
        <w:rPr>
          <w:rFonts w:ascii="宋体" w:hAnsi="Calibri" w:cs="宋体"/>
          <w:szCs w:val="21"/>
          <w:highlight w:val="white"/>
          <w:lang w:eastAsia="zh-CN"/>
        </w:rPr>
        <w:t>（</w:t>
      </w:r>
      <w:r>
        <w:rPr>
          <w:rFonts w:ascii="宋体" w:hAnsi="Calibri" w:cs="宋体"/>
          <w:szCs w:val="21"/>
          <w:highlight w:val="white"/>
          <w:lang w:eastAsia="zh-CN"/>
        </w:rPr>
        <w:t>22</w:t>
      </w:r>
      <w:r>
        <w:rPr>
          <w:rFonts w:ascii="宋体" w:hAnsi="Calibri" w:cs="宋体"/>
          <w:szCs w:val="21"/>
          <w:highlight w:val="white"/>
          <w:lang w:eastAsia="zh-CN"/>
        </w:rPr>
        <w:t>）法律法规及中国证监会规定的和《基金合同》约定的其他义务。</w:t>
      </w:r>
    </w:p>
    <w:p w:rsidR="004A090B">
      <w:pPr>
        <w:spacing w:line="360" w:lineRule="auto"/>
        <w:ind w:firstLine="420"/>
        <w:rPr>
          <w:rFonts w:ascii="宋体" w:hAnsi="Calibri" w:cs="宋体"/>
          <w:szCs w:val="21"/>
          <w:lang w:eastAsia="zh-CN"/>
        </w:rPr>
      </w:pPr>
    </w:p>
    <w:p w:rsidR="004A090B">
      <w:pPr>
        <w:spacing w:line="360" w:lineRule="auto"/>
        <w:ind w:firstLine="420"/>
        <w:rPr>
          <w:rFonts w:ascii="宋体" w:hAnsi="Calibri" w:cs="宋体"/>
          <w:szCs w:val="21"/>
          <w:lang w:eastAsia="zh-CN"/>
        </w:rPr>
      </w:pPr>
      <w:r>
        <w:rPr>
          <w:rFonts w:ascii="宋体" w:hAnsi="Calibri" w:cs="宋体"/>
          <w:szCs w:val="21"/>
          <w:lang w:eastAsia="zh-CN"/>
        </w:rPr>
        <w:t>第</w:t>
      </w:r>
      <w:bookmarkStart w:id="1855" w:name="_Toc516750718"/>
      <w:r>
        <w:rPr>
          <w:rFonts w:ascii="宋体" w:hAnsi="Calibri" w:cs="宋体" w:hint="eastAsia"/>
          <w:szCs w:val="21"/>
          <w:lang w:eastAsia="zh-CN"/>
        </w:rPr>
        <w:t>二节</w:t>
      </w:r>
      <w:r>
        <w:rPr>
          <w:rFonts w:ascii="宋体" w:hAnsi="Calibri" w:cs="宋体" w:hint="eastAsia"/>
          <w:szCs w:val="21"/>
          <w:lang w:eastAsia="zh-CN"/>
        </w:rPr>
        <w:t xml:space="preserve"> </w:t>
      </w:r>
      <w:r>
        <w:rPr>
          <w:rFonts w:ascii="宋体" w:hAnsi="Calibri" w:cs="宋体" w:hint="eastAsia"/>
          <w:szCs w:val="21"/>
          <w:lang w:eastAsia="zh-CN"/>
        </w:rPr>
        <w:t>基金份额持有人大会召集、议事及表决的程序和规则</w:t>
      </w:r>
      <w:bookmarkEnd w:id="1855"/>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基金份额持有人大会由基金份额持有人组成，基金份额持有人的合法授权代表有权代表基金份额持有人出席会议并表决。基金份额持有人持有的每一基金份额拥有平等的投票权。</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鉴于本基金是目标</w:t>
      </w:r>
      <w:r>
        <w:rPr>
          <w:rFonts w:ascii="宋体" w:hAnsi="Calibri" w:cs="宋体" w:hint="eastAsia"/>
          <w:szCs w:val="21"/>
          <w:highlight w:val="white"/>
          <w:lang w:eastAsia="zh-CN"/>
        </w:rPr>
        <w:t>ETF</w:t>
      </w:r>
      <w:r>
        <w:rPr>
          <w:rFonts w:ascii="宋体" w:hAnsi="Calibri" w:cs="宋体" w:hint="eastAsia"/>
          <w:szCs w:val="21"/>
          <w:highlight w:val="white"/>
          <w:lang w:eastAsia="zh-CN"/>
        </w:rPr>
        <w:t>的联接基金，本基金的基金份额持有人可以凭所持有的本基金份额直接参加或者委派代表参加目标</w:t>
      </w:r>
      <w:r>
        <w:rPr>
          <w:rFonts w:ascii="宋体" w:hAnsi="Calibri" w:cs="宋体" w:hint="eastAsia"/>
          <w:szCs w:val="21"/>
          <w:highlight w:val="white"/>
          <w:lang w:eastAsia="zh-CN"/>
        </w:rPr>
        <w:t>ETF</w:t>
      </w:r>
      <w:r>
        <w:rPr>
          <w:rFonts w:ascii="宋体" w:hAnsi="Calibri" w:cs="宋体" w:hint="eastAsia"/>
          <w:szCs w:val="21"/>
          <w:highlight w:val="white"/>
          <w:lang w:eastAsia="zh-CN"/>
        </w:rPr>
        <w:t>基金份额持有人大会并表决。在计算参会份额和票数时，本基金的基金份额持有人持有的享有表决权的参会份额数和表决票数为：在目标</w:t>
      </w:r>
      <w:r>
        <w:rPr>
          <w:rFonts w:ascii="宋体" w:hAnsi="Calibri" w:cs="宋体" w:hint="eastAsia"/>
          <w:szCs w:val="21"/>
          <w:highlight w:val="white"/>
          <w:lang w:eastAsia="zh-CN"/>
        </w:rPr>
        <w:t>ETF</w:t>
      </w:r>
      <w:r>
        <w:rPr>
          <w:rFonts w:ascii="宋体" w:hAnsi="Calibri" w:cs="宋体" w:hint="eastAsia"/>
          <w:szCs w:val="21"/>
          <w:highlight w:val="white"/>
          <w:lang w:eastAsia="zh-CN"/>
        </w:rPr>
        <w:t>基金份额持有人大会的权益登记日，本基金持有目标</w:t>
      </w:r>
      <w:r>
        <w:rPr>
          <w:rFonts w:ascii="宋体" w:hAnsi="Calibri" w:cs="宋体" w:hint="eastAsia"/>
          <w:szCs w:val="21"/>
          <w:highlight w:val="white"/>
          <w:lang w:eastAsia="zh-CN"/>
        </w:rPr>
        <w:t>ETF</w:t>
      </w:r>
      <w:r>
        <w:rPr>
          <w:rFonts w:ascii="宋体" w:hAnsi="Calibri" w:cs="宋体" w:hint="eastAsia"/>
          <w:szCs w:val="21"/>
          <w:highlight w:val="white"/>
          <w:lang w:eastAsia="zh-CN"/>
        </w:rPr>
        <w:t>基金份额的总数乘以该持有人所持有的本基金份额占本基金总份额的比例，计算结果按照四舍五入的方法，保留到整数位。本基金份额折算为目标</w:t>
      </w:r>
      <w:r>
        <w:rPr>
          <w:rFonts w:ascii="宋体" w:hAnsi="Calibri" w:cs="宋体" w:hint="eastAsia"/>
          <w:szCs w:val="21"/>
          <w:highlight w:val="white"/>
          <w:lang w:eastAsia="zh-CN"/>
        </w:rPr>
        <w:t>ETF</w:t>
      </w:r>
      <w:r>
        <w:rPr>
          <w:rFonts w:ascii="宋体" w:hAnsi="Calibri" w:cs="宋体" w:hint="eastAsia"/>
          <w:szCs w:val="21"/>
          <w:highlight w:val="white"/>
          <w:lang w:eastAsia="zh-CN"/>
        </w:rPr>
        <w:t>后的每一参会份额和目标</w:t>
      </w:r>
      <w:r>
        <w:rPr>
          <w:rFonts w:ascii="宋体" w:hAnsi="Calibri" w:cs="宋体" w:hint="eastAsia"/>
          <w:szCs w:val="21"/>
          <w:highlight w:val="white"/>
          <w:lang w:eastAsia="zh-CN"/>
        </w:rPr>
        <w:t>ETF</w:t>
      </w:r>
      <w:r>
        <w:rPr>
          <w:rFonts w:ascii="宋体" w:hAnsi="Calibri" w:cs="宋体" w:hint="eastAsia"/>
          <w:szCs w:val="21"/>
          <w:highlight w:val="white"/>
          <w:lang w:eastAsia="zh-CN"/>
        </w:rPr>
        <w:t>的每一参会份额拥有平等的投票权。</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本基金的基金管理人不应以</w:t>
      </w:r>
      <w:r>
        <w:rPr>
          <w:rFonts w:ascii="宋体" w:hAnsi="Calibri" w:cs="宋体" w:hint="eastAsia"/>
          <w:szCs w:val="21"/>
          <w:highlight w:val="white"/>
          <w:lang w:eastAsia="zh-CN"/>
        </w:rPr>
        <w:t>本基金的名义代表本基金的全体基金份额持有人以目标</w:t>
      </w:r>
      <w:r>
        <w:rPr>
          <w:rFonts w:ascii="宋体" w:hAnsi="Calibri" w:cs="宋体" w:hint="eastAsia"/>
          <w:szCs w:val="21"/>
          <w:highlight w:val="white"/>
          <w:lang w:eastAsia="zh-CN"/>
        </w:rPr>
        <w:t>ETF</w:t>
      </w:r>
      <w:r>
        <w:rPr>
          <w:rFonts w:ascii="宋体" w:hAnsi="Calibri" w:cs="宋体" w:hint="eastAsia"/>
          <w:szCs w:val="21"/>
          <w:highlight w:val="white"/>
          <w:lang w:eastAsia="zh-CN"/>
        </w:rPr>
        <w:t>的基金份额持有人的身份行使表决权，但可接受本基金的特定基金份额持有人的委托以本基金的基金份额持有人代理人的身份出席目标</w:t>
      </w:r>
      <w:r>
        <w:rPr>
          <w:rFonts w:ascii="宋体" w:hAnsi="Calibri" w:cs="宋体" w:hint="eastAsia"/>
          <w:szCs w:val="21"/>
          <w:highlight w:val="white"/>
          <w:lang w:eastAsia="zh-CN"/>
        </w:rPr>
        <w:t>ETF</w:t>
      </w:r>
      <w:r>
        <w:rPr>
          <w:rFonts w:ascii="宋体" w:hAnsi="Calibri" w:cs="宋体" w:hint="eastAsia"/>
          <w:szCs w:val="21"/>
          <w:highlight w:val="white"/>
          <w:lang w:eastAsia="zh-CN"/>
        </w:rPr>
        <w:t>的基金份额持有人大会并参与表决。</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本基金的基金管理人代表本基金的基金份额持有人提议召开或召集目标</w:t>
      </w:r>
      <w:r>
        <w:rPr>
          <w:rFonts w:ascii="宋体" w:hAnsi="Calibri" w:cs="宋体" w:hint="eastAsia"/>
          <w:szCs w:val="21"/>
          <w:highlight w:val="white"/>
          <w:lang w:eastAsia="zh-CN"/>
        </w:rPr>
        <w:t>ETF</w:t>
      </w:r>
      <w:r>
        <w:rPr>
          <w:rFonts w:ascii="宋体" w:hAnsi="Calibri" w:cs="宋体" w:hint="eastAsia"/>
          <w:szCs w:val="21"/>
          <w:highlight w:val="white"/>
          <w:lang w:eastAsia="zh-CN"/>
        </w:rPr>
        <w:t>基金份额持有人大会的，须先遵照本基金《基金合同》的约定召开本基金的基金份额持有人大会，本基金的基金份额持有人大会决定提议召开或召集目标</w:t>
      </w:r>
      <w:r>
        <w:rPr>
          <w:rFonts w:ascii="宋体" w:hAnsi="Calibri" w:cs="宋体" w:hint="eastAsia"/>
          <w:szCs w:val="21"/>
          <w:highlight w:val="white"/>
          <w:lang w:eastAsia="zh-CN"/>
        </w:rPr>
        <w:t>ETF</w:t>
      </w:r>
      <w:r>
        <w:rPr>
          <w:rFonts w:ascii="宋体" w:hAnsi="Calibri" w:cs="宋体" w:hint="eastAsia"/>
          <w:szCs w:val="21"/>
          <w:highlight w:val="white"/>
          <w:lang w:eastAsia="zh-CN"/>
        </w:rPr>
        <w:t>基金份额持有人大会的，由本基金基金管理人代表本基金的基金份额持有人提议召开或召集目标</w:t>
      </w:r>
      <w:r>
        <w:rPr>
          <w:rFonts w:ascii="宋体" w:hAnsi="Calibri" w:cs="宋体" w:hint="eastAsia"/>
          <w:szCs w:val="21"/>
          <w:highlight w:val="white"/>
          <w:lang w:eastAsia="zh-CN"/>
        </w:rPr>
        <w:t>ETF</w:t>
      </w:r>
      <w:r>
        <w:rPr>
          <w:rFonts w:ascii="宋体" w:hAnsi="Calibri" w:cs="宋体" w:hint="eastAsia"/>
          <w:szCs w:val="21"/>
          <w:highlight w:val="white"/>
          <w:lang w:eastAsia="zh-CN"/>
        </w:rPr>
        <w:t>基</w:t>
      </w:r>
      <w:r>
        <w:rPr>
          <w:rFonts w:ascii="宋体" w:hAnsi="Calibri" w:cs="宋体" w:hint="eastAsia"/>
          <w:szCs w:val="21"/>
          <w:highlight w:val="white"/>
          <w:lang w:eastAsia="zh-CN"/>
        </w:rPr>
        <w:t>金份额持有人大会。</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本基金份额持有人大会不设日常机构。</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一、召开事由</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1</w:t>
      </w:r>
      <w:r>
        <w:rPr>
          <w:rFonts w:ascii="宋体" w:hAnsi="Calibri" w:cs="宋体" w:hint="eastAsia"/>
          <w:szCs w:val="21"/>
          <w:highlight w:val="white"/>
          <w:lang w:eastAsia="zh-CN"/>
        </w:rPr>
        <w:t>、除法律法规、中国证监会和基金合同另有规定外，当出现或需要决定下列事由之一的，应当召开基金份额持有人大会：</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1</w:t>
      </w:r>
      <w:r>
        <w:rPr>
          <w:rFonts w:ascii="宋体" w:hAnsi="Calibri" w:cs="宋体" w:hint="eastAsia"/>
          <w:szCs w:val="21"/>
          <w:highlight w:val="white"/>
          <w:lang w:eastAsia="zh-CN"/>
        </w:rPr>
        <w:t>）终止《基金合同》；</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2</w:t>
      </w:r>
      <w:r>
        <w:rPr>
          <w:rFonts w:ascii="宋体" w:hAnsi="Calibri" w:cs="宋体" w:hint="eastAsia"/>
          <w:szCs w:val="21"/>
          <w:highlight w:val="white"/>
          <w:lang w:eastAsia="zh-CN"/>
        </w:rPr>
        <w:t>）更换基金管理人；</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3</w:t>
      </w:r>
      <w:r>
        <w:rPr>
          <w:rFonts w:ascii="宋体" w:hAnsi="Calibri" w:cs="宋体" w:hint="eastAsia"/>
          <w:szCs w:val="21"/>
          <w:highlight w:val="white"/>
          <w:lang w:eastAsia="zh-CN"/>
        </w:rPr>
        <w:t>）更换基金托管人；</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4</w:t>
      </w:r>
      <w:r>
        <w:rPr>
          <w:rFonts w:ascii="宋体" w:hAnsi="Calibri" w:cs="宋体" w:hint="eastAsia"/>
          <w:szCs w:val="21"/>
          <w:highlight w:val="white"/>
          <w:lang w:eastAsia="zh-CN"/>
        </w:rPr>
        <w:t>）转换基金运作方式；</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5</w:t>
      </w:r>
      <w:r>
        <w:rPr>
          <w:rFonts w:ascii="宋体" w:hAnsi="Calibri" w:cs="宋体" w:hint="eastAsia"/>
          <w:szCs w:val="21"/>
          <w:highlight w:val="white"/>
          <w:lang w:eastAsia="zh-CN"/>
        </w:rPr>
        <w:t>）调整基金管理人、基金托管人的报酬标准；</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6</w:t>
      </w:r>
      <w:r>
        <w:rPr>
          <w:rFonts w:ascii="宋体" w:hAnsi="Calibri" w:cs="宋体" w:hint="eastAsia"/>
          <w:szCs w:val="21"/>
          <w:highlight w:val="white"/>
          <w:lang w:eastAsia="zh-CN"/>
        </w:rPr>
        <w:t>）变更基金类别；</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7</w:t>
      </w:r>
      <w:r>
        <w:rPr>
          <w:rFonts w:ascii="宋体" w:hAnsi="Calibri" w:cs="宋体" w:hint="eastAsia"/>
          <w:szCs w:val="21"/>
          <w:highlight w:val="white"/>
          <w:lang w:eastAsia="zh-CN"/>
        </w:rPr>
        <w:t>）本基金与其他基金的合并；</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8</w:t>
      </w:r>
      <w:r>
        <w:rPr>
          <w:rFonts w:ascii="宋体" w:hAnsi="Calibri" w:cs="宋体" w:hint="eastAsia"/>
          <w:szCs w:val="21"/>
          <w:highlight w:val="white"/>
          <w:lang w:eastAsia="zh-CN"/>
        </w:rPr>
        <w:t>）变更基金投资目标、范围或策略；</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9</w:t>
      </w:r>
      <w:r>
        <w:rPr>
          <w:rFonts w:ascii="宋体" w:hAnsi="Calibri" w:cs="宋体" w:hint="eastAsia"/>
          <w:szCs w:val="21"/>
          <w:highlight w:val="white"/>
          <w:lang w:eastAsia="zh-CN"/>
        </w:rPr>
        <w:t>）基金管理人代表本基金的基金份额持有人提议召开或召集目标</w:t>
      </w:r>
      <w:r>
        <w:rPr>
          <w:rFonts w:ascii="宋体" w:hAnsi="Calibri" w:cs="宋体" w:hint="eastAsia"/>
          <w:szCs w:val="21"/>
          <w:highlight w:val="white"/>
          <w:lang w:eastAsia="zh-CN"/>
        </w:rPr>
        <w:t>ETF</w:t>
      </w:r>
      <w:r>
        <w:rPr>
          <w:rFonts w:ascii="宋体" w:hAnsi="Calibri" w:cs="宋体" w:hint="eastAsia"/>
          <w:szCs w:val="21"/>
          <w:highlight w:val="white"/>
          <w:lang w:eastAsia="zh-CN"/>
        </w:rPr>
        <w:t>基金份额持有人大会；</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10</w:t>
      </w:r>
      <w:r>
        <w:rPr>
          <w:rFonts w:ascii="宋体" w:hAnsi="Calibri" w:cs="宋体" w:hint="eastAsia"/>
          <w:szCs w:val="21"/>
          <w:highlight w:val="white"/>
          <w:lang w:eastAsia="zh-CN"/>
        </w:rPr>
        <w:t>）变更基金份额持有人大会程序；</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11</w:t>
      </w:r>
      <w:r>
        <w:rPr>
          <w:rFonts w:ascii="宋体" w:hAnsi="Calibri" w:cs="宋体" w:hint="eastAsia"/>
          <w:szCs w:val="21"/>
          <w:highlight w:val="white"/>
          <w:lang w:eastAsia="zh-CN"/>
        </w:rPr>
        <w:t>）基金管理人或基金托管人要求召开基金份额持有人大会；</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12</w:t>
      </w:r>
      <w:r>
        <w:rPr>
          <w:rFonts w:ascii="宋体" w:hAnsi="Calibri" w:cs="宋体" w:hint="eastAsia"/>
          <w:szCs w:val="21"/>
          <w:highlight w:val="white"/>
          <w:lang w:eastAsia="zh-CN"/>
        </w:rPr>
        <w:t>）单独或合计持有本基金总份额</w:t>
      </w:r>
      <w:r>
        <w:rPr>
          <w:rFonts w:ascii="宋体" w:hAnsi="Calibri" w:cs="宋体" w:hint="eastAsia"/>
          <w:szCs w:val="21"/>
          <w:highlight w:val="white"/>
          <w:lang w:eastAsia="zh-CN"/>
        </w:rPr>
        <w:t>10%</w:t>
      </w:r>
      <w:r>
        <w:rPr>
          <w:rFonts w:ascii="宋体" w:hAnsi="Calibri" w:cs="宋体" w:hint="eastAsia"/>
          <w:szCs w:val="21"/>
          <w:highlight w:val="white"/>
          <w:lang w:eastAsia="zh-CN"/>
        </w:rPr>
        <w:t>以上（含</w:t>
      </w:r>
      <w:r>
        <w:rPr>
          <w:rFonts w:ascii="宋体" w:hAnsi="Calibri" w:cs="宋体" w:hint="eastAsia"/>
          <w:szCs w:val="21"/>
          <w:highlight w:val="white"/>
          <w:lang w:eastAsia="zh-CN"/>
        </w:rPr>
        <w:t>10%</w:t>
      </w:r>
      <w:r>
        <w:rPr>
          <w:rFonts w:ascii="宋体" w:hAnsi="Calibri" w:cs="宋体" w:hint="eastAsia"/>
          <w:szCs w:val="21"/>
          <w:highlight w:val="white"/>
          <w:lang w:eastAsia="zh-CN"/>
        </w:rPr>
        <w:t>）基金份额的基金份额持有人（以基金管理人收到提议当日的基金份额计算，下同）就同一事项书面要求召开基金份额持有人大会；</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13</w:t>
      </w:r>
      <w:r>
        <w:rPr>
          <w:rFonts w:ascii="宋体" w:hAnsi="Calibri" w:cs="宋体" w:hint="eastAsia"/>
          <w:szCs w:val="21"/>
          <w:highlight w:val="white"/>
          <w:lang w:eastAsia="zh-CN"/>
        </w:rPr>
        <w:t>）对基金合同当事人权利和义务产生重大影响的其他事项；</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14</w:t>
      </w:r>
      <w:r>
        <w:rPr>
          <w:rFonts w:ascii="宋体" w:hAnsi="Calibri" w:cs="宋体" w:hint="eastAsia"/>
          <w:szCs w:val="21"/>
          <w:highlight w:val="white"/>
          <w:lang w:eastAsia="zh-CN"/>
        </w:rPr>
        <w:t>）法律法规、《基金合同》或中国证监会规定的其他应当召开基金份额持有人大会的事项。</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2</w:t>
      </w:r>
      <w:r>
        <w:rPr>
          <w:rFonts w:ascii="宋体" w:hAnsi="Calibri" w:cs="宋体" w:hint="eastAsia"/>
          <w:szCs w:val="21"/>
          <w:highlight w:val="white"/>
          <w:lang w:eastAsia="zh-CN"/>
        </w:rPr>
        <w:t>、在法律法规规定和《基金合同》约定的范围内且对基金份额持有人利益无实质性不利影响的前提下，以</w:t>
      </w:r>
      <w:r>
        <w:rPr>
          <w:rFonts w:ascii="宋体" w:hAnsi="Calibri" w:cs="宋体" w:hint="eastAsia"/>
          <w:szCs w:val="21"/>
          <w:highlight w:val="white"/>
          <w:lang w:eastAsia="zh-CN"/>
        </w:rPr>
        <w:t>下情况可由基金管理人和基金托管人协商后修改，不需召开基金份额持有人大会：</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1</w:t>
      </w:r>
      <w:r>
        <w:rPr>
          <w:rFonts w:ascii="宋体" w:hAnsi="Calibri" w:cs="宋体" w:hint="eastAsia"/>
          <w:szCs w:val="21"/>
          <w:highlight w:val="white"/>
          <w:lang w:eastAsia="zh-CN"/>
        </w:rPr>
        <w:t>）调低销售服务费率；</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2</w:t>
      </w:r>
      <w:r>
        <w:rPr>
          <w:rFonts w:ascii="宋体" w:hAnsi="Calibri" w:cs="宋体" w:hint="eastAsia"/>
          <w:szCs w:val="21"/>
          <w:highlight w:val="white"/>
          <w:lang w:eastAsia="zh-CN"/>
        </w:rPr>
        <w:t>）法律法规要求增加的基金费用的收取；</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3</w:t>
      </w:r>
      <w:r>
        <w:rPr>
          <w:rFonts w:ascii="宋体" w:hAnsi="Calibri" w:cs="宋体" w:hint="eastAsia"/>
          <w:szCs w:val="21"/>
          <w:highlight w:val="white"/>
          <w:lang w:eastAsia="zh-CN"/>
        </w:rPr>
        <w:t>）在法律法规和《基金合同》规定的范围内，调整本基金的申购费率、收费方式或基金份额类别设置；</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4</w:t>
      </w:r>
      <w:r>
        <w:rPr>
          <w:rFonts w:ascii="宋体" w:hAnsi="Calibri" w:cs="宋体" w:hint="eastAsia"/>
          <w:szCs w:val="21"/>
          <w:highlight w:val="white"/>
          <w:lang w:eastAsia="zh-CN"/>
        </w:rPr>
        <w:t>）因相应的法律法规发生变动而应当对《基金合同》进行修改；</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5</w:t>
      </w:r>
      <w:r>
        <w:rPr>
          <w:rFonts w:ascii="宋体" w:hAnsi="Calibri" w:cs="宋体" w:hint="eastAsia"/>
          <w:szCs w:val="21"/>
          <w:highlight w:val="white"/>
          <w:lang w:eastAsia="zh-CN"/>
        </w:rPr>
        <w:t>）对《基金合同》的修改对基金份额持有人利益无实质性不利影响或修改不涉及《基金合同》当事人权利义务关系发生重大变化；</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6</w:t>
      </w:r>
      <w:r>
        <w:rPr>
          <w:rFonts w:ascii="宋体" w:hAnsi="Calibri" w:cs="宋体" w:hint="eastAsia"/>
          <w:szCs w:val="21"/>
          <w:highlight w:val="white"/>
          <w:lang w:eastAsia="zh-CN"/>
        </w:rPr>
        <w:t>）基金管理人、销售机构、登记机构在法律法规规定的范围内调整有关基金认购、申购、赎回、转换</w:t>
      </w:r>
      <w:r>
        <w:rPr>
          <w:rFonts w:ascii="宋体" w:hAnsi="Calibri" w:cs="宋体" w:hint="eastAsia"/>
          <w:szCs w:val="21"/>
          <w:highlight w:val="white"/>
          <w:lang w:eastAsia="zh-CN"/>
        </w:rPr>
        <w:t>、基金交易、非交易过户、转托管、转让、质押等业务的规则；</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szCs w:val="21"/>
          <w:highlight w:val="white"/>
          <w:lang w:eastAsia="zh-CN"/>
        </w:rPr>
        <w:t>7</w:t>
      </w:r>
      <w:r>
        <w:rPr>
          <w:rFonts w:ascii="宋体" w:hAnsi="Calibri" w:cs="宋体" w:hint="eastAsia"/>
          <w:szCs w:val="21"/>
          <w:highlight w:val="white"/>
          <w:lang w:eastAsia="zh-CN"/>
        </w:rPr>
        <w:t>）在法律法规或中国证监会允许的范围内推出新业务或服务；</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szCs w:val="21"/>
          <w:highlight w:val="white"/>
          <w:lang w:eastAsia="zh-CN"/>
        </w:rPr>
        <w:t>8</w:t>
      </w:r>
      <w:r>
        <w:rPr>
          <w:rFonts w:ascii="宋体" w:hAnsi="Calibri" w:cs="宋体" w:hint="eastAsia"/>
          <w:szCs w:val="21"/>
          <w:highlight w:val="white"/>
          <w:lang w:eastAsia="zh-CN"/>
        </w:rPr>
        <w:t>）按照法律法规和《基金合同》规定不需召开基金份额持有人大会的其他情形。</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二、会议召集人及召集方式</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1</w:t>
      </w:r>
      <w:r>
        <w:rPr>
          <w:rFonts w:ascii="宋体" w:hAnsi="Calibri" w:cs="宋体" w:hint="eastAsia"/>
          <w:szCs w:val="21"/>
          <w:highlight w:val="white"/>
          <w:lang w:eastAsia="zh-CN"/>
        </w:rPr>
        <w:t>、除法律法规规定或《基金合同》另有约定外，基金份额持有人大会由基金管理人召集。</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2</w:t>
      </w:r>
      <w:r>
        <w:rPr>
          <w:rFonts w:ascii="宋体" w:hAnsi="Calibri" w:cs="宋体" w:hint="eastAsia"/>
          <w:szCs w:val="21"/>
          <w:highlight w:val="white"/>
          <w:lang w:eastAsia="zh-CN"/>
        </w:rPr>
        <w:t>、基金管理人未按规定召集或不能召开时，由基金托管人召集。</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3</w:t>
      </w:r>
      <w:r>
        <w:rPr>
          <w:rFonts w:ascii="宋体" w:hAnsi="Calibri" w:cs="宋体" w:hint="eastAsia"/>
          <w:szCs w:val="21"/>
          <w:highlight w:val="white"/>
          <w:lang w:eastAsia="zh-CN"/>
        </w:rPr>
        <w:t>、基金托管人认为有必要召开基金份额持有人大会的，应当向基金管理人提出书面提议。基金管理人应当自收到书面提议之日起</w:t>
      </w:r>
      <w:r>
        <w:rPr>
          <w:rFonts w:ascii="宋体" w:hAnsi="Calibri" w:cs="宋体" w:hint="eastAsia"/>
          <w:szCs w:val="21"/>
          <w:highlight w:val="white"/>
          <w:lang w:eastAsia="zh-CN"/>
        </w:rPr>
        <w:t>10</w:t>
      </w:r>
      <w:r>
        <w:rPr>
          <w:rFonts w:ascii="宋体" w:hAnsi="Calibri" w:cs="宋体" w:hint="eastAsia"/>
          <w:szCs w:val="21"/>
          <w:highlight w:val="white"/>
          <w:lang w:eastAsia="zh-CN"/>
        </w:rPr>
        <w:t>日内决定是否召集，并书面告知基金托管人。基金管理人决定召集的，应当自出具书面决定之日起</w:t>
      </w:r>
      <w:r>
        <w:rPr>
          <w:rFonts w:ascii="宋体" w:hAnsi="Calibri" w:cs="宋体" w:hint="eastAsia"/>
          <w:szCs w:val="21"/>
          <w:highlight w:val="white"/>
          <w:lang w:eastAsia="zh-CN"/>
        </w:rPr>
        <w:t>60</w:t>
      </w:r>
      <w:r>
        <w:rPr>
          <w:rFonts w:ascii="宋体" w:hAnsi="Calibri" w:cs="宋体" w:hint="eastAsia"/>
          <w:szCs w:val="21"/>
          <w:highlight w:val="white"/>
          <w:lang w:eastAsia="zh-CN"/>
        </w:rPr>
        <w:t>日内召开；基金管理人决定不召集，基金托管人仍认为有必要召开的，应当由基金托管人自行召集，并自出具书面决定之日起</w:t>
      </w:r>
      <w:r>
        <w:rPr>
          <w:rFonts w:ascii="宋体" w:hAnsi="Calibri" w:cs="宋体" w:hint="eastAsia"/>
          <w:szCs w:val="21"/>
          <w:highlight w:val="white"/>
          <w:lang w:eastAsia="zh-CN"/>
        </w:rPr>
        <w:t>60</w:t>
      </w:r>
      <w:r>
        <w:rPr>
          <w:rFonts w:ascii="宋体" w:hAnsi="Calibri" w:cs="宋体" w:hint="eastAsia"/>
          <w:szCs w:val="21"/>
          <w:highlight w:val="white"/>
          <w:lang w:eastAsia="zh-CN"/>
        </w:rPr>
        <w:t>日内召开并告知基金管理人，基金管理人应当配合。</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4</w:t>
      </w:r>
      <w:r>
        <w:rPr>
          <w:rFonts w:ascii="宋体" w:hAnsi="Calibri" w:cs="宋体" w:hint="eastAsia"/>
          <w:szCs w:val="21"/>
          <w:highlight w:val="white"/>
          <w:lang w:eastAsia="zh-CN"/>
        </w:rPr>
        <w:t>、代表基金份额</w:t>
      </w:r>
      <w:r>
        <w:rPr>
          <w:rFonts w:ascii="宋体" w:hAnsi="Calibri" w:cs="宋体" w:hint="eastAsia"/>
          <w:szCs w:val="21"/>
          <w:highlight w:val="white"/>
          <w:lang w:eastAsia="zh-CN"/>
        </w:rPr>
        <w:t>10%</w:t>
      </w:r>
      <w:r>
        <w:rPr>
          <w:rFonts w:ascii="宋体" w:hAnsi="Calibri" w:cs="宋体" w:hint="eastAsia"/>
          <w:szCs w:val="21"/>
          <w:highlight w:val="white"/>
          <w:lang w:eastAsia="zh-CN"/>
        </w:rPr>
        <w:t>以上（含</w:t>
      </w:r>
      <w:r>
        <w:rPr>
          <w:rFonts w:ascii="宋体" w:hAnsi="Calibri" w:cs="宋体" w:hint="eastAsia"/>
          <w:szCs w:val="21"/>
          <w:highlight w:val="white"/>
          <w:lang w:eastAsia="zh-CN"/>
        </w:rPr>
        <w:t>10%</w:t>
      </w:r>
      <w:r>
        <w:rPr>
          <w:rFonts w:ascii="宋体" w:hAnsi="Calibri" w:cs="宋体" w:hint="eastAsia"/>
          <w:szCs w:val="21"/>
          <w:highlight w:val="white"/>
          <w:lang w:eastAsia="zh-CN"/>
        </w:rPr>
        <w:t>）的基金份额持有人就同一事项书面要求召开基金份</w:t>
      </w:r>
      <w:r>
        <w:rPr>
          <w:rFonts w:ascii="宋体" w:hAnsi="Calibri" w:cs="宋体" w:hint="eastAsia"/>
          <w:szCs w:val="21"/>
          <w:highlight w:val="white"/>
          <w:lang w:eastAsia="zh-CN"/>
        </w:rPr>
        <w:t>额持有人大会，应当向基金管理人提出书面提议。基金管理人应当自收到书面提议之日起</w:t>
      </w:r>
      <w:r>
        <w:rPr>
          <w:rFonts w:ascii="宋体" w:hAnsi="Calibri" w:cs="宋体" w:hint="eastAsia"/>
          <w:szCs w:val="21"/>
          <w:highlight w:val="white"/>
          <w:lang w:eastAsia="zh-CN"/>
        </w:rPr>
        <w:t>10</w:t>
      </w:r>
      <w:r>
        <w:rPr>
          <w:rFonts w:ascii="宋体" w:hAnsi="Calibri" w:cs="宋体" w:hint="eastAsia"/>
          <w:szCs w:val="21"/>
          <w:highlight w:val="white"/>
          <w:lang w:eastAsia="zh-CN"/>
        </w:rPr>
        <w:t>日内决定是否召集，并书面告知提出提议的基金份额持有人代表和基金托管人。基金管理人决定召集的，应当自出具书面决定之日起</w:t>
      </w:r>
      <w:r>
        <w:rPr>
          <w:rFonts w:ascii="宋体" w:hAnsi="Calibri" w:cs="宋体" w:hint="eastAsia"/>
          <w:szCs w:val="21"/>
          <w:highlight w:val="white"/>
          <w:lang w:eastAsia="zh-CN"/>
        </w:rPr>
        <w:t>60</w:t>
      </w:r>
      <w:r>
        <w:rPr>
          <w:rFonts w:ascii="宋体" w:hAnsi="Calibri" w:cs="宋体" w:hint="eastAsia"/>
          <w:szCs w:val="21"/>
          <w:highlight w:val="white"/>
          <w:lang w:eastAsia="zh-CN"/>
        </w:rPr>
        <w:t>日内召开；基金管理人决定不召集，代表基金份额</w:t>
      </w:r>
      <w:r>
        <w:rPr>
          <w:rFonts w:ascii="宋体" w:hAnsi="Calibri" w:cs="宋体" w:hint="eastAsia"/>
          <w:szCs w:val="21"/>
          <w:highlight w:val="white"/>
          <w:lang w:eastAsia="zh-CN"/>
        </w:rPr>
        <w:t>10%</w:t>
      </w:r>
      <w:r>
        <w:rPr>
          <w:rFonts w:ascii="宋体" w:hAnsi="Calibri" w:cs="宋体" w:hint="eastAsia"/>
          <w:szCs w:val="21"/>
          <w:highlight w:val="white"/>
          <w:lang w:eastAsia="zh-CN"/>
        </w:rPr>
        <w:t>以上（含</w:t>
      </w:r>
      <w:r>
        <w:rPr>
          <w:rFonts w:ascii="宋体" w:hAnsi="Calibri" w:cs="宋体" w:hint="eastAsia"/>
          <w:szCs w:val="21"/>
          <w:highlight w:val="white"/>
          <w:lang w:eastAsia="zh-CN"/>
        </w:rPr>
        <w:t>10%</w:t>
      </w:r>
      <w:r>
        <w:rPr>
          <w:rFonts w:ascii="宋体" w:hAnsi="Calibri" w:cs="宋体" w:hint="eastAsia"/>
          <w:szCs w:val="21"/>
          <w:highlight w:val="white"/>
          <w:lang w:eastAsia="zh-CN"/>
        </w:rPr>
        <w:t>）的基金份额持有人仍认为有必要召开的，应当向基金托管人提出书面提议。基金托管人应当自收到书面提议之日起</w:t>
      </w:r>
      <w:r>
        <w:rPr>
          <w:rFonts w:ascii="宋体" w:hAnsi="Calibri" w:cs="宋体" w:hint="eastAsia"/>
          <w:szCs w:val="21"/>
          <w:highlight w:val="white"/>
          <w:lang w:eastAsia="zh-CN"/>
        </w:rPr>
        <w:t>10</w:t>
      </w:r>
      <w:r>
        <w:rPr>
          <w:rFonts w:ascii="宋体" w:hAnsi="Calibri" w:cs="宋体" w:hint="eastAsia"/>
          <w:szCs w:val="21"/>
          <w:highlight w:val="white"/>
          <w:lang w:eastAsia="zh-CN"/>
        </w:rPr>
        <w:t>日内决定是否召集，并书面告知提出提议的基金份额持有人代表和基金管理人；基金托管人决定召集的，应当自出具书面决定之日起</w:t>
      </w:r>
      <w:r>
        <w:rPr>
          <w:rFonts w:ascii="宋体" w:hAnsi="Calibri" w:cs="宋体" w:hint="eastAsia"/>
          <w:szCs w:val="21"/>
          <w:highlight w:val="white"/>
          <w:lang w:eastAsia="zh-CN"/>
        </w:rPr>
        <w:t>60</w:t>
      </w:r>
      <w:r>
        <w:rPr>
          <w:rFonts w:ascii="宋体" w:hAnsi="Calibri" w:cs="宋体" w:hint="eastAsia"/>
          <w:szCs w:val="21"/>
          <w:highlight w:val="white"/>
          <w:lang w:eastAsia="zh-CN"/>
        </w:rPr>
        <w:t>日内召开并告知基金管</w:t>
      </w:r>
      <w:r>
        <w:rPr>
          <w:rFonts w:ascii="宋体" w:hAnsi="Calibri" w:cs="宋体" w:hint="eastAsia"/>
          <w:szCs w:val="21"/>
          <w:highlight w:val="white"/>
          <w:lang w:eastAsia="zh-CN"/>
        </w:rPr>
        <w:t>理人，基金管理人应当配合。</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5</w:t>
      </w:r>
      <w:r>
        <w:rPr>
          <w:rFonts w:ascii="宋体" w:hAnsi="Calibri" w:cs="宋体" w:hint="eastAsia"/>
          <w:szCs w:val="21"/>
          <w:highlight w:val="white"/>
          <w:lang w:eastAsia="zh-CN"/>
        </w:rPr>
        <w:t>、代表基金份额</w:t>
      </w:r>
      <w:r>
        <w:rPr>
          <w:rFonts w:ascii="宋体" w:hAnsi="Calibri" w:cs="宋体" w:hint="eastAsia"/>
          <w:szCs w:val="21"/>
          <w:highlight w:val="white"/>
          <w:lang w:eastAsia="zh-CN"/>
        </w:rPr>
        <w:t>10%</w:t>
      </w:r>
      <w:r>
        <w:rPr>
          <w:rFonts w:ascii="宋体" w:hAnsi="Calibri" w:cs="宋体" w:hint="eastAsia"/>
          <w:szCs w:val="21"/>
          <w:highlight w:val="white"/>
          <w:lang w:eastAsia="zh-CN"/>
        </w:rPr>
        <w:t>以上（含</w:t>
      </w:r>
      <w:r>
        <w:rPr>
          <w:rFonts w:ascii="宋体" w:hAnsi="Calibri" w:cs="宋体" w:hint="eastAsia"/>
          <w:szCs w:val="21"/>
          <w:highlight w:val="white"/>
          <w:lang w:eastAsia="zh-CN"/>
        </w:rPr>
        <w:t>10%</w:t>
      </w:r>
      <w:r>
        <w:rPr>
          <w:rFonts w:ascii="宋体" w:hAnsi="Calibri" w:cs="宋体" w:hint="eastAsia"/>
          <w:szCs w:val="21"/>
          <w:highlight w:val="white"/>
          <w:lang w:eastAsia="zh-CN"/>
        </w:rPr>
        <w:t>）的基金份额持有人就同一事项要求召开基金份额持有人大会，而基金管理人、基金托管人都不召集的，单独或合计代表基金份额</w:t>
      </w:r>
      <w:r>
        <w:rPr>
          <w:rFonts w:ascii="宋体" w:hAnsi="Calibri" w:cs="宋体" w:hint="eastAsia"/>
          <w:szCs w:val="21"/>
          <w:highlight w:val="white"/>
          <w:lang w:eastAsia="zh-CN"/>
        </w:rPr>
        <w:t>10%</w:t>
      </w:r>
      <w:r>
        <w:rPr>
          <w:rFonts w:ascii="宋体" w:hAnsi="Calibri" w:cs="宋体" w:hint="eastAsia"/>
          <w:szCs w:val="21"/>
          <w:highlight w:val="white"/>
          <w:lang w:eastAsia="zh-CN"/>
        </w:rPr>
        <w:t>以上（含</w:t>
      </w:r>
      <w:r>
        <w:rPr>
          <w:rFonts w:ascii="宋体" w:hAnsi="Calibri" w:cs="宋体" w:hint="eastAsia"/>
          <w:szCs w:val="21"/>
          <w:highlight w:val="white"/>
          <w:lang w:eastAsia="zh-CN"/>
        </w:rPr>
        <w:t>10%</w:t>
      </w:r>
      <w:r>
        <w:rPr>
          <w:rFonts w:ascii="宋体" w:hAnsi="Calibri" w:cs="宋体" w:hint="eastAsia"/>
          <w:szCs w:val="21"/>
          <w:highlight w:val="white"/>
          <w:lang w:eastAsia="zh-CN"/>
        </w:rPr>
        <w:t>）的基金份额持有人有权自行召集，并至少提前</w:t>
      </w:r>
      <w:r>
        <w:rPr>
          <w:rFonts w:ascii="宋体" w:hAnsi="Calibri" w:cs="宋体" w:hint="eastAsia"/>
          <w:szCs w:val="21"/>
          <w:highlight w:val="white"/>
          <w:lang w:eastAsia="zh-CN"/>
        </w:rPr>
        <w:t>30</w:t>
      </w:r>
      <w:r>
        <w:rPr>
          <w:rFonts w:ascii="宋体" w:hAnsi="Calibri" w:cs="宋体" w:hint="eastAsia"/>
          <w:szCs w:val="21"/>
          <w:highlight w:val="white"/>
          <w:lang w:eastAsia="zh-CN"/>
        </w:rPr>
        <w:t>日报中国证监会备案。基金份额持有人依法自行召集基金份额持有人大会的，基金管理人、基金托管人应当配合，不得阻碍、干扰。</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6</w:t>
      </w:r>
      <w:r>
        <w:rPr>
          <w:rFonts w:ascii="宋体" w:hAnsi="Calibri" w:cs="宋体" w:hint="eastAsia"/>
          <w:szCs w:val="21"/>
          <w:highlight w:val="white"/>
          <w:lang w:eastAsia="zh-CN"/>
        </w:rPr>
        <w:t>、基金份额持有人会议的召集人负责选择确定开会时间、地点、方式和权益登记日。</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三、召开基金份额持有人大会的通知时间、通知内容、通知方式</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1</w:t>
      </w:r>
      <w:r>
        <w:rPr>
          <w:rFonts w:ascii="宋体" w:hAnsi="Calibri" w:cs="宋体" w:hint="eastAsia"/>
          <w:szCs w:val="21"/>
          <w:highlight w:val="white"/>
          <w:lang w:eastAsia="zh-CN"/>
        </w:rPr>
        <w:t>、召开基金份额持有人大会，召集人应于会议召开前</w:t>
      </w:r>
      <w:r>
        <w:rPr>
          <w:rFonts w:ascii="宋体" w:hAnsi="Calibri" w:cs="宋体" w:hint="eastAsia"/>
          <w:szCs w:val="21"/>
          <w:highlight w:val="white"/>
          <w:lang w:eastAsia="zh-CN"/>
        </w:rPr>
        <w:t>30</w:t>
      </w:r>
      <w:r>
        <w:rPr>
          <w:rFonts w:ascii="宋体" w:hAnsi="Calibri" w:cs="宋体" w:hint="eastAsia"/>
          <w:szCs w:val="21"/>
          <w:highlight w:val="white"/>
          <w:lang w:eastAsia="zh-CN"/>
        </w:rPr>
        <w:t>日，在规定媒介公告。基金份额持有人大会通知应至少载明以下内容：</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1</w:t>
      </w:r>
      <w:r>
        <w:rPr>
          <w:rFonts w:ascii="宋体" w:hAnsi="Calibri" w:cs="宋体" w:hint="eastAsia"/>
          <w:szCs w:val="21"/>
          <w:highlight w:val="white"/>
          <w:lang w:eastAsia="zh-CN"/>
        </w:rPr>
        <w:t>）会议召开的时间、地点和会议形式；</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2</w:t>
      </w:r>
      <w:r>
        <w:rPr>
          <w:rFonts w:ascii="宋体" w:hAnsi="Calibri" w:cs="宋体" w:hint="eastAsia"/>
          <w:szCs w:val="21"/>
          <w:highlight w:val="white"/>
          <w:lang w:eastAsia="zh-CN"/>
        </w:rPr>
        <w:t>）会议拟审议的事项、议事程序和表决方式；</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3</w:t>
      </w:r>
      <w:r>
        <w:rPr>
          <w:rFonts w:ascii="宋体" w:hAnsi="Calibri" w:cs="宋体" w:hint="eastAsia"/>
          <w:szCs w:val="21"/>
          <w:highlight w:val="white"/>
          <w:lang w:eastAsia="zh-CN"/>
        </w:rPr>
        <w:t>）有权出席基金份额持有人大会的基金份额持有人的权益登记日；</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4</w:t>
      </w:r>
      <w:r>
        <w:rPr>
          <w:rFonts w:ascii="宋体" w:hAnsi="Calibri" w:cs="宋体" w:hint="eastAsia"/>
          <w:szCs w:val="21"/>
          <w:highlight w:val="white"/>
          <w:lang w:eastAsia="zh-CN"/>
        </w:rPr>
        <w:t>）授权委托证明的内容要求（包括但不限于代理人身份，代理权限和代理有效期限等）、送达时间和地点；</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5</w:t>
      </w:r>
      <w:r>
        <w:rPr>
          <w:rFonts w:ascii="宋体" w:hAnsi="Calibri" w:cs="宋体" w:hint="eastAsia"/>
          <w:szCs w:val="21"/>
          <w:highlight w:val="white"/>
          <w:lang w:eastAsia="zh-CN"/>
        </w:rPr>
        <w:t>）会务常设联系人姓名及联系电话；</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6</w:t>
      </w:r>
      <w:r>
        <w:rPr>
          <w:rFonts w:ascii="宋体" w:hAnsi="Calibri" w:cs="宋体" w:hint="eastAsia"/>
          <w:szCs w:val="21"/>
          <w:highlight w:val="white"/>
          <w:lang w:eastAsia="zh-CN"/>
        </w:rPr>
        <w:t>）出席会议者必须准备的文件和必须履行的手续；</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7</w:t>
      </w:r>
      <w:r>
        <w:rPr>
          <w:rFonts w:ascii="宋体" w:hAnsi="Calibri" w:cs="宋体" w:hint="eastAsia"/>
          <w:szCs w:val="21"/>
          <w:highlight w:val="white"/>
          <w:lang w:eastAsia="zh-CN"/>
        </w:rPr>
        <w:t>）召集人需要通知的其他事项。</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2</w:t>
      </w:r>
      <w:r>
        <w:rPr>
          <w:rFonts w:ascii="宋体" w:hAnsi="Calibri" w:cs="宋体" w:hint="eastAsia"/>
          <w:szCs w:val="21"/>
          <w:highlight w:val="white"/>
          <w:lang w:eastAsia="zh-CN"/>
        </w:rPr>
        <w:t>、采取通讯开会方式并进</w:t>
      </w:r>
      <w:r>
        <w:rPr>
          <w:rFonts w:ascii="宋体" w:hAnsi="Calibri" w:cs="宋体" w:hint="eastAsia"/>
          <w:szCs w:val="21"/>
          <w:highlight w:val="white"/>
          <w:lang w:eastAsia="zh-CN"/>
        </w:rPr>
        <w:t>行表决的情况下，由会议召集人决定在会议通知中说明本次基金份额持有人大会所采取的具体通讯方式、委托的公证机关及其联系方式和联系人、书面表决意见寄交的截止时间和收取方式。</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3</w:t>
      </w:r>
      <w:r>
        <w:rPr>
          <w:rFonts w:ascii="宋体" w:hAnsi="Calibri" w:cs="宋体" w:hint="eastAsia"/>
          <w:szCs w:val="21"/>
          <w:highlight w:val="white"/>
          <w:lang w:eastAsia="zh-CN"/>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w:t>
      </w:r>
      <w:r>
        <w:rPr>
          <w:rFonts w:ascii="宋体" w:hAnsi="Calibri" w:cs="宋体" w:hint="eastAsia"/>
          <w:szCs w:val="21"/>
          <w:highlight w:val="white"/>
          <w:lang w:eastAsia="zh-CN"/>
        </w:rPr>
        <w:t>决意见的计票效力。</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四、基金份额持有人出席会议的方式</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基金份额持有人大会可通过现场开会方式、通讯开会方式或法律法规、监管机构允许的其他方式召开，会议的召开方式由会议召集人确定。</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1</w:t>
      </w:r>
      <w:r>
        <w:rPr>
          <w:rFonts w:ascii="宋体" w:hAnsi="Calibri" w:cs="宋体" w:hint="eastAsia"/>
          <w:szCs w:val="21"/>
          <w:highlight w:val="white"/>
          <w:lang w:eastAsia="zh-CN"/>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1</w:t>
      </w:r>
      <w:r>
        <w:rPr>
          <w:rFonts w:ascii="宋体" w:hAnsi="Calibri" w:cs="宋体" w:hint="eastAsia"/>
          <w:szCs w:val="21"/>
          <w:highlight w:val="white"/>
          <w:lang w:eastAsia="zh-CN"/>
        </w:rPr>
        <w:t>）亲自出席会议者持有的有关证明文件、受托出席会议者出示的委托人的代理</w:t>
      </w:r>
      <w:r>
        <w:rPr>
          <w:rFonts w:ascii="宋体" w:hAnsi="Calibri" w:cs="宋体" w:hint="eastAsia"/>
          <w:szCs w:val="21"/>
          <w:highlight w:val="white"/>
          <w:lang w:eastAsia="zh-CN"/>
        </w:rPr>
        <w:t>投票授权委托证明及有关证明文件符合法律法规、《基金合同》和会议通知的规定；</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2</w:t>
      </w:r>
      <w:r>
        <w:rPr>
          <w:rFonts w:ascii="宋体" w:hAnsi="Calibri" w:cs="宋体" w:hint="eastAsia"/>
          <w:szCs w:val="21"/>
          <w:highlight w:val="white"/>
          <w:lang w:eastAsia="zh-CN"/>
        </w:rPr>
        <w:t>）经核对，到会者在权益登记日代表的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Pr>
          <w:rFonts w:ascii="宋体" w:hAnsi="Calibri" w:cs="宋体" w:hint="eastAsia"/>
          <w:szCs w:val="21"/>
          <w:highlight w:val="white"/>
          <w:lang w:eastAsia="zh-CN"/>
        </w:rPr>
        <w:t>3</w:t>
      </w:r>
      <w:r>
        <w:rPr>
          <w:rFonts w:ascii="宋体" w:hAnsi="Calibri" w:cs="宋体" w:hint="eastAsia"/>
          <w:szCs w:val="21"/>
          <w:highlight w:val="white"/>
          <w:lang w:eastAsia="zh-CN"/>
        </w:rPr>
        <w:t>个月以后、</w:t>
      </w:r>
      <w:r>
        <w:rPr>
          <w:rFonts w:ascii="宋体" w:hAnsi="Calibri" w:cs="宋体" w:hint="eastAsia"/>
          <w:szCs w:val="21"/>
          <w:highlight w:val="white"/>
          <w:lang w:eastAsia="zh-CN"/>
        </w:rPr>
        <w:t>6</w:t>
      </w:r>
      <w:r>
        <w:rPr>
          <w:rFonts w:ascii="宋体" w:hAnsi="Calibri" w:cs="宋体" w:hint="eastAsia"/>
          <w:szCs w:val="21"/>
          <w:highlight w:val="white"/>
          <w:lang w:eastAsia="zh-CN"/>
        </w:rPr>
        <w:t>个月以内，就原定审议事项重新召集基金份额持有人大会。重新召集的基金份额持有人大会到会者在权益登记日代表的有效的基金份额应不少于本基金在权益登记日基金总份额的三分之一（含三分之一）。</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2</w:t>
      </w:r>
      <w:r>
        <w:rPr>
          <w:rFonts w:ascii="宋体" w:hAnsi="Calibri" w:cs="宋体" w:hint="eastAsia"/>
          <w:szCs w:val="21"/>
          <w:highlight w:val="white"/>
          <w:lang w:eastAsia="zh-CN"/>
        </w:rPr>
        <w:t>、通讯开会。通讯开会系指基金份额持有人将其对表决事项的投票以书面形式或</w:t>
      </w:r>
      <w:r>
        <w:rPr>
          <w:rFonts w:ascii="宋体" w:hAnsi="Calibri" w:cs="宋体" w:hint="eastAsia"/>
          <w:szCs w:val="21"/>
          <w:highlight w:val="white"/>
          <w:lang w:eastAsia="zh-CN"/>
        </w:rPr>
        <w:t>基金合同约定的其他方式在表决截止日以前送达至召集人指定的地址。通讯开会应以书面方式或基金合同约定的其他方式进行表决。</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在同时符合以下条件时，通讯开会的方式视为有效：</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1</w:t>
      </w:r>
      <w:r>
        <w:rPr>
          <w:rFonts w:ascii="宋体" w:hAnsi="Calibri" w:cs="宋体" w:hint="eastAsia"/>
          <w:szCs w:val="21"/>
          <w:highlight w:val="white"/>
          <w:lang w:eastAsia="zh-CN"/>
        </w:rPr>
        <w:t>）会议召集人按《基金合同》约定公布会议通知后，在</w:t>
      </w:r>
      <w:r>
        <w:rPr>
          <w:rFonts w:ascii="宋体" w:hAnsi="Calibri" w:cs="宋体" w:hint="eastAsia"/>
          <w:szCs w:val="21"/>
          <w:highlight w:val="white"/>
          <w:lang w:eastAsia="zh-CN"/>
        </w:rPr>
        <w:t>2</w:t>
      </w:r>
      <w:r>
        <w:rPr>
          <w:rFonts w:ascii="宋体" w:hAnsi="Calibri" w:cs="宋体" w:hint="eastAsia"/>
          <w:szCs w:val="21"/>
          <w:highlight w:val="white"/>
          <w:lang w:eastAsia="zh-CN"/>
        </w:rPr>
        <w:t>个工作日内连续公布相关提示性公告；</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2</w:t>
      </w:r>
      <w:r>
        <w:rPr>
          <w:rFonts w:ascii="宋体" w:hAnsi="Calibri" w:cs="宋体" w:hint="eastAsia"/>
          <w:szCs w:val="21"/>
          <w:highlight w:val="white"/>
          <w:lang w:eastAsia="zh-CN"/>
        </w:rPr>
        <w:t>）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w:t>
      </w:r>
      <w:r>
        <w:rPr>
          <w:rFonts w:ascii="宋体" w:hAnsi="Calibri" w:cs="宋体" w:hint="eastAsia"/>
          <w:szCs w:val="21"/>
          <w:highlight w:val="white"/>
          <w:lang w:eastAsia="zh-CN"/>
        </w:rPr>
        <w:t>见；基金托管人或基金管理人经通知不参加收取书面表决意见的，不影响表决效力；</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3</w:t>
      </w:r>
      <w:r>
        <w:rPr>
          <w:rFonts w:ascii="宋体" w:hAnsi="Calibri" w:cs="宋体" w:hint="eastAsia"/>
          <w:szCs w:val="21"/>
          <w:highlight w:val="white"/>
          <w:lang w:eastAsia="zh-CN"/>
        </w:rPr>
        <w:t>）本人直接出具书面意见或授权他人代表出具书面意见的，基金份额持有人所持有的基金份额不小于在权益登记日基金总份额的二分之一（含二分之一）；若本人直接出具书面意见或授权他人代表出具书面意见基金份额持有人所持有的基金份额小于在权益登记日基金总份额的二分之一，召集人可以在原公告的基金份额持有人大会召开时间的</w:t>
      </w:r>
      <w:r>
        <w:rPr>
          <w:rFonts w:ascii="宋体" w:hAnsi="Calibri" w:cs="宋体" w:hint="eastAsia"/>
          <w:szCs w:val="21"/>
          <w:highlight w:val="white"/>
          <w:lang w:eastAsia="zh-CN"/>
        </w:rPr>
        <w:t>3</w:t>
      </w:r>
      <w:r>
        <w:rPr>
          <w:rFonts w:ascii="宋体" w:hAnsi="Calibri" w:cs="宋体" w:hint="eastAsia"/>
          <w:szCs w:val="21"/>
          <w:highlight w:val="white"/>
          <w:lang w:eastAsia="zh-CN"/>
        </w:rPr>
        <w:t>个月以后、</w:t>
      </w:r>
      <w:r>
        <w:rPr>
          <w:rFonts w:ascii="宋体" w:hAnsi="Calibri" w:cs="宋体" w:hint="eastAsia"/>
          <w:szCs w:val="21"/>
          <w:highlight w:val="white"/>
          <w:lang w:eastAsia="zh-CN"/>
        </w:rPr>
        <w:t>6</w:t>
      </w:r>
      <w:r>
        <w:rPr>
          <w:rFonts w:ascii="宋体" w:hAnsi="Calibri" w:cs="宋体" w:hint="eastAsia"/>
          <w:szCs w:val="21"/>
          <w:highlight w:val="white"/>
          <w:lang w:eastAsia="zh-CN"/>
        </w:rPr>
        <w:t>个月以内，就原定审议事项重新召集基金份额持有人大会。重新召集的基金份额持有人大会应当有代表三分之一以上（含三分之一）基</w:t>
      </w:r>
      <w:r>
        <w:rPr>
          <w:rFonts w:ascii="宋体" w:hAnsi="Calibri" w:cs="宋体" w:hint="eastAsia"/>
          <w:szCs w:val="21"/>
          <w:highlight w:val="white"/>
          <w:lang w:eastAsia="zh-CN"/>
        </w:rPr>
        <w:t>金份额的持有人直接出具书面意见或授权他人代表出具书面意见；</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4</w:t>
      </w:r>
      <w:r>
        <w:rPr>
          <w:rFonts w:ascii="宋体" w:hAnsi="Calibri" w:cs="宋体" w:hint="eastAsia"/>
          <w:szCs w:val="21"/>
          <w:highlight w:val="white"/>
          <w:lang w:eastAsia="zh-CN"/>
        </w:rPr>
        <w:t>）上述第（</w:t>
      </w:r>
      <w:r>
        <w:rPr>
          <w:rFonts w:ascii="宋体" w:hAnsi="Calibri" w:cs="宋体" w:hint="eastAsia"/>
          <w:szCs w:val="21"/>
          <w:highlight w:val="white"/>
          <w:lang w:eastAsia="zh-CN"/>
        </w:rPr>
        <w:t>3</w:t>
      </w:r>
      <w:r>
        <w:rPr>
          <w:rFonts w:ascii="宋体" w:hAnsi="Calibri" w:cs="宋体" w:hint="eastAsia"/>
          <w:szCs w:val="21"/>
          <w:highlight w:val="white"/>
          <w:lang w:eastAsia="zh-CN"/>
        </w:rPr>
        <w:t>）项中直接出具书面意见的基金份额持有人或受托代表他人出具书面意见的代理人，同时提交的有关证明文件、受托出具书面意见的代理人出示的委托人的代理投票授权委托证明及有关证明文件符合法律法规、《基金合同》和会议通知的规定，并与基金登记机构记录相符。</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3</w:t>
      </w:r>
      <w:r>
        <w:rPr>
          <w:rFonts w:ascii="宋体" w:hAnsi="Calibri" w:cs="宋体" w:hint="eastAsia"/>
          <w:szCs w:val="21"/>
          <w:highlight w:val="white"/>
          <w:lang w:eastAsia="zh-CN"/>
        </w:rPr>
        <w:t>、在不与法律法规冲突的前提下，基金份额持有人大会可通过网络、电话或其他方式召开，基金份额持有人可以采用书面、网络、电话、短信或其他方式进行表决，具体方式由会议召集人确定并在会议通知中列明。</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4</w:t>
      </w:r>
      <w:r>
        <w:rPr>
          <w:rFonts w:ascii="宋体" w:hAnsi="Calibri" w:cs="宋体" w:hint="eastAsia"/>
          <w:szCs w:val="21"/>
          <w:highlight w:val="white"/>
          <w:lang w:eastAsia="zh-CN"/>
        </w:rPr>
        <w:t>、基金份额持有人授权他人代为出席会议并表决的，授权方式可以采用书面、网络、电话、短信或其他方式，具体方式由会议召集人确定并在会议通知中列明。</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五、议事内容与程序</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1</w:t>
      </w:r>
      <w:r>
        <w:rPr>
          <w:rFonts w:ascii="宋体" w:hAnsi="Calibri" w:cs="宋体" w:hint="eastAsia"/>
          <w:szCs w:val="21"/>
          <w:highlight w:val="white"/>
          <w:lang w:eastAsia="zh-CN"/>
        </w:rPr>
        <w:t>、议事内容及提案权</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基金份额持有人大会的召集人发出召集会议的通知后，对原有提案的修改应当在基金份额持有人大会召开前及时公告。</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基金份额持有人大会不得对未事先公告的议事内容进行表决。</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2</w:t>
      </w:r>
      <w:r>
        <w:rPr>
          <w:rFonts w:ascii="宋体" w:hAnsi="Calibri" w:cs="宋体" w:hint="eastAsia"/>
          <w:szCs w:val="21"/>
          <w:highlight w:val="white"/>
          <w:lang w:eastAsia="zh-CN"/>
        </w:rPr>
        <w:t>、议事程序</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1</w:t>
      </w:r>
      <w:r>
        <w:rPr>
          <w:rFonts w:ascii="宋体" w:hAnsi="Calibri" w:cs="宋体" w:hint="eastAsia"/>
          <w:szCs w:val="21"/>
          <w:highlight w:val="white"/>
          <w:lang w:eastAsia="zh-CN"/>
        </w:rPr>
        <w:t>）现场开会</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w:t>
      </w:r>
      <w:r>
        <w:rPr>
          <w:rFonts w:ascii="宋体" w:hAnsi="Calibri" w:cs="宋体" w:hint="eastAsia"/>
          <w:szCs w:val="21"/>
          <w:highlight w:val="white"/>
          <w:lang w:eastAsia="zh-CN"/>
        </w:rPr>
        <w:t>出席大会的基金份额持有人和代理人所持表决权的</w:t>
      </w:r>
      <w:r>
        <w:rPr>
          <w:rFonts w:ascii="宋体" w:hAnsi="Calibri" w:cs="宋体" w:hint="eastAsia"/>
          <w:szCs w:val="21"/>
          <w:highlight w:val="white"/>
          <w:lang w:eastAsia="zh-CN"/>
        </w:rPr>
        <w:t>50%</w:t>
      </w:r>
      <w:r>
        <w:rPr>
          <w:rFonts w:ascii="宋体" w:hAnsi="Calibri" w:cs="宋体" w:hint="eastAsia"/>
          <w:szCs w:val="21"/>
          <w:highlight w:val="white"/>
          <w:lang w:eastAsia="zh-CN"/>
        </w:rPr>
        <w:t>以上（含</w:t>
      </w:r>
      <w:r>
        <w:rPr>
          <w:rFonts w:ascii="宋体" w:hAnsi="Calibri" w:cs="宋体" w:hint="eastAsia"/>
          <w:szCs w:val="21"/>
          <w:highlight w:val="white"/>
          <w:lang w:eastAsia="zh-CN"/>
        </w:rPr>
        <w:t>50%</w:t>
      </w:r>
      <w:r>
        <w:rPr>
          <w:rFonts w:ascii="宋体" w:hAnsi="Calibri" w:cs="宋体" w:hint="eastAsia"/>
          <w:szCs w:val="21"/>
          <w:highlight w:val="white"/>
          <w:lang w:eastAsia="zh-CN"/>
        </w:rPr>
        <w:t>）选举产生一名基金份额持有人作为该次基金份额持有人大会的主持人。基金管理人和基金托管人拒不出席或主持基金份额持有人大会，不影响基金份额持有人大会作出的决议的效力。</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会议召集人应当制作出席会议人员的签名册。签名册载明参加会议人员姓名（或单位名称）、身份证明文件号码、持有或代表有表决权的基金份额、委托人姓名（或单位名称）和联系方式等事项。</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2</w:t>
      </w:r>
      <w:r>
        <w:rPr>
          <w:rFonts w:ascii="宋体" w:hAnsi="Calibri" w:cs="宋体" w:hint="eastAsia"/>
          <w:szCs w:val="21"/>
          <w:highlight w:val="white"/>
          <w:lang w:eastAsia="zh-CN"/>
        </w:rPr>
        <w:t>）通讯开会</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在通讯开会的情况下，首先由召集人提前</w:t>
      </w:r>
      <w:r>
        <w:rPr>
          <w:rFonts w:ascii="宋体" w:hAnsi="Calibri" w:cs="宋体" w:hint="eastAsia"/>
          <w:szCs w:val="21"/>
          <w:highlight w:val="white"/>
          <w:lang w:eastAsia="zh-CN"/>
        </w:rPr>
        <w:t>30</w:t>
      </w:r>
      <w:r>
        <w:rPr>
          <w:rFonts w:ascii="宋体" w:hAnsi="Calibri" w:cs="宋体" w:hint="eastAsia"/>
          <w:szCs w:val="21"/>
          <w:highlight w:val="white"/>
          <w:lang w:eastAsia="zh-CN"/>
        </w:rPr>
        <w:t>日公布提案，在所通知的表决截止日期后</w:t>
      </w:r>
      <w:r>
        <w:rPr>
          <w:rFonts w:ascii="宋体" w:hAnsi="Calibri" w:cs="宋体" w:hint="eastAsia"/>
          <w:szCs w:val="21"/>
          <w:highlight w:val="white"/>
          <w:lang w:eastAsia="zh-CN"/>
        </w:rPr>
        <w:t>2</w:t>
      </w:r>
      <w:r>
        <w:rPr>
          <w:rFonts w:ascii="宋体" w:hAnsi="Calibri" w:cs="宋体" w:hint="eastAsia"/>
          <w:szCs w:val="21"/>
          <w:highlight w:val="white"/>
          <w:lang w:eastAsia="zh-CN"/>
        </w:rPr>
        <w:t>个工作日内在公证</w:t>
      </w:r>
      <w:r>
        <w:rPr>
          <w:rFonts w:ascii="宋体" w:hAnsi="Calibri" w:cs="宋体" w:hint="eastAsia"/>
          <w:szCs w:val="21"/>
          <w:highlight w:val="white"/>
          <w:lang w:eastAsia="zh-CN"/>
        </w:rPr>
        <w:t>机关监督下由召集人统计全部有效表决，在公证机关监督下形成决议。</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六、表决</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基金份额持有人所持每份基金份额有一票表决权。</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基金份额持有人大会决议分为一般决议和特别决议：</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1</w:t>
      </w:r>
      <w:r>
        <w:rPr>
          <w:rFonts w:ascii="宋体" w:hAnsi="Calibri" w:cs="宋体" w:hint="eastAsia"/>
          <w:szCs w:val="21"/>
          <w:highlight w:val="white"/>
          <w:lang w:eastAsia="zh-CN"/>
        </w:rPr>
        <w:t>、一般决议，一般决议须经参加大会的基金份额持有人或其代理人所持表决权的二分之一以上（含二分之一）通过方为有效；除下列第</w:t>
      </w:r>
      <w:r>
        <w:rPr>
          <w:rFonts w:ascii="宋体" w:hAnsi="Calibri" w:cs="宋体" w:hint="eastAsia"/>
          <w:szCs w:val="21"/>
          <w:highlight w:val="white"/>
          <w:lang w:eastAsia="zh-CN"/>
        </w:rPr>
        <w:t>2</w:t>
      </w:r>
      <w:r>
        <w:rPr>
          <w:rFonts w:ascii="宋体" w:hAnsi="Calibri" w:cs="宋体" w:hint="eastAsia"/>
          <w:szCs w:val="21"/>
          <w:highlight w:val="white"/>
          <w:lang w:eastAsia="zh-CN"/>
        </w:rPr>
        <w:t>项所规定的须以特别决议通过事项以外的其他事项均以一般决议的方式通过。</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2</w:t>
      </w:r>
      <w:r>
        <w:rPr>
          <w:rFonts w:ascii="宋体" w:hAnsi="Calibri" w:cs="宋体" w:hint="eastAsia"/>
          <w:szCs w:val="21"/>
          <w:highlight w:val="white"/>
          <w:lang w:eastAsia="zh-CN"/>
        </w:rPr>
        <w:t>、特别决议，特别决议应当经参加大会的基金份额持有人或其代理人所持表决权的三分之二以上（含三分之二）通过方可做出。除《基金合同》另有约定外，转换基金运作</w:t>
      </w:r>
      <w:r>
        <w:rPr>
          <w:rFonts w:ascii="宋体" w:hAnsi="Calibri" w:cs="宋体" w:hint="eastAsia"/>
          <w:szCs w:val="21"/>
          <w:highlight w:val="white"/>
          <w:lang w:eastAsia="zh-CN"/>
        </w:rPr>
        <w:t>方式、更换基金管理人或者基金托管人、终止《基金合同》、本基金与其他基金合并以特别决议通过方为有效。</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基金份额持有人大会采取记名方式进行投票表决。</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基金份额持有人大会的各项提案或同一项提案内并列的各项议题应当分开审议、逐项表决。</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七、计票</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1</w:t>
      </w:r>
      <w:r>
        <w:rPr>
          <w:rFonts w:ascii="宋体" w:hAnsi="Calibri" w:cs="宋体" w:hint="eastAsia"/>
          <w:szCs w:val="21"/>
          <w:highlight w:val="white"/>
          <w:lang w:eastAsia="zh-CN"/>
        </w:rPr>
        <w:t>、现场开会</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1</w:t>
      </w:r>
      <w:r>
        <w:rPr>
          <w:rFonts w:ascii="宋体" w:hAnsi="Calibri" w:cs="宋体" w:hint="eastAsia"/>
          <w:szCs w:val="21"/>
          <w:highlight w:val="white"/>
          <w:lang w:eastAsia="zh-CN"/>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2</w:t>
      </w:r>
      <w:r>
        <w:rPr>
          <w:rFonts w:ascii="宋体" w:hAnsi="Calibri" w:cs="宋体" w:hint="eastAsia"/>
          <w:szCs w:val="21"/>
          <w:highlight w:val="white"/>
          <w:lang w:eastAsia="zh-CN"/>
        </w:rPr>
        <w:t>）监票人应当</w:t>
      </w:r>
      <w:r>
        <w:rPr>
          <w:rFonts w:ascii="宋体" w:hAnsi="Calibri" w:cs="宋体" w:hint="eastAsia"/>
          <w:szCs w:val="21"/>
          <w:highlight w:val="white"/>
          <w:lang w:eastAsia="zh-CN"/>
        </w:rPr>
        <w:t>在基金份额持有人表决后立即进行清点并由大会主持人当场公布计票结果。</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3</w:t>
      </w:r>
      <w:r>
        <w:rPr>
          <w:rFonts w:ascii="宋体" w:hAnsi="Calibri" w:cs="宋体" w:hint="eastAsia"/>
          <w:szCs w:val="21"/>
          <w:highlight w:val="white"/>
          <w:lang w:eastAsia="zh-CN"/>
        </w:rPr>
        <w:t>）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4</w:t>
      </w:r>
      <w:r>
        <w:rPr>
          <w:rFonts w:ascii="宋体" w:hAnsi="Calibri" w:cs="宋体" w:hint="eastAsia"/>
          <w:szCs w:val="21"/>
          <w:highlight w:val="white"/>
          <w:lang w:eastAsia="zh-CN"/>
        </w:rPr>
        <w:t>）计票过程应由公证机关予以公证，基金管理人或基金托管人拒不出席大会的，不影响计票的效力。</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2</w:t>
      </w:r>
      <w:r>
        <w:rPr>
          <w:rFonts w:ascii="宋体" w:hAnsi="Calibri" w:cs="宋体" w:hint="eastAsia"/>
          <w:szCs w:val="21"/>
          <w:highlight w:val="white"/>
          <w:lang w:eastAsia="zh-CN"/>
        </w:rPr>
        <w:t>、通讯开会</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在通讯开会的情况下，计票方式为：由大会召集人授权的两名监督员在基金托管人授权代表（若由基金托管人召集，则为基金管理人授权</w:t>
      </w:r>
      <w:r>
        <w:rPr>
          <w:rFonts w:ascii="宋体" w:hAnsi="Calibri" w:cs="宋体" w:hint="eastAsia"/>
          <w:szCs w:val="21"/>
          <w:highlight w:val="white"/>
          <w:lang w:eastAsia="zh-CN"/>
        </w:rPr>
        <w:t>代表）的监督下进行计票，并由公证机关对其计票过程予以公证。基金管理人或基金托管人拒派代表对书面表决意见的计票进行监督的，不影响计票和表决结果。</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八、生效与公告</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基金份额持有人大会的决议，召集人应当自通过之日起</w:t>
      </w:r>
      <w:r>
        <w:rPr>
          <w:rFonts w:ascii="宋体" w:hAnsi="Calibri" w:cs="宋体" w:hint="eastAsia"/>
          <w:szCs w:val="21"/>
          <w:highlight w:val="white"/>
          <w:lang w:eastAsia="zh-CN"/>
        </w:rPr>
        <w:t>5</w:t>
      </w:r>
      <w:r>
        <w:rPr>
          <w:rFonts w:ascii="宋体" w:hAnsi="Calibri" w:cs="宋体" w:hint="eastAsia"/>
          <w:szCs w:val="21"/>
          <w:highlight w:val="white"/>
          <w:lang w:eastAsia="zh-CN"/>
        </w:rPr>
        <w:t>日内报中国证监会备案。</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基金份额持有人大会的决议自表决通过之日起生效。</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基金份额持有人大会决议自生效之日起</w:t>
      </w:r>
      <w:r>
        <w:rPr>
          <w:rFonts w:ascii="宋体" w:hAnsi="Calibri" w:cs="宋体" w:hint="eastAsia"/>
          <w:szCs w:val="21"/>
          <w:highlight w:val="white"/>
          <w:lang w:eastAsia="zh-CN"/>
        </w:rPr>
        <w:t>2</w:t>
      </w:r>
      <w:r>
        <w:rPr>
          <w:rFonts w:ascii="宋体" w:hAnsi="Calibri" w:cs="宋体" w:hint="eastAsia"/>
          <w:szCs w:val="21"/>
          <w:highlight w:val="white"/>
          <w:lang w:eastAsia="zh-CN"/>
        </w:rPr>
        <w:t>日内在规定媒介上公告。</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基金管理人、基金托管人和基金份额持有人应当执行生效的基金份额持有人大会的决议。生效的基金份额持有人大会决议对全体基金份额持有人、基金管理人、基金托管人均有约束力。</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九、实施侧袋机制期间基金份额持有人大会的特殊约定</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1</w:t>
      </w:r>
      <w:r>
        <w:rPr>
          <w:rFonts w:ascii="宋体" w:hAnsi="Calibri" w:cs="宋体" w:hint="eastAsia"/>
          <w:szCs w:val="21"/>
          <w:highlight w:val="white"/>
          <w:lang w:eastAsia="zh-CN"/>
        </w:rPr>
        <w:t>、基金份额持有人行使提议权、召集权、提名权所需单独或合计代表相关基金份额</w:t>
      </w:r>
      <w:r>
        <w:rPr>
          <w:rFonts w:ascii="宋体" w:hAnsi="Calibri" w:cs="宋体" w:hint="eastAsia"/>
          <w:szCs w:val="21"/>
          <w:highlight w:val="white"/>
          <w:lang w:eastAsia="zh-CN"/>
        </w:rPr>
        <w:t>10%</w:t>
      </w:r>
      <w:r>
        <w:rPr>
          <w:rFonts w:ascii="宋体" w:hAnsi="Calibri" w:cs="宋体" w:hint="eastAsia"/>
          <w:szCs w:val="21"/>
          <w:highlight w:val="white"/>
          <w:lang w:eastAsia="zh-CN"/>
        </w:rPr>
        <w:t>以上（含</w:t>
      </w:r>
      <w:r>
        <w:rPr>
          <w:rFonts w:ascii="宋体" w:hAnsi="Calibri" w:cs="宋体" w:hint="eastAsia"/>
          <w:szCs w:val="21"/>
          <w:highlight w:val="white"/>
          <w:lang w:eastAsia="zh-CN"/>
        </w:rPr>
        <w:t>10%</w:t>
      </w:r>
      <w:r>
        <w:rPr>
          <w:rFonts w:ascii="宋体" w:hAnsi="Calibri" w:cs="宋体" w:hint="eastAsia"/>
          <w:szCs w:val="21"/>
          <w:highlight w:val="white"/>
          <w:lang w:eastAsia="zh-CN"/>
        </w:rPr>
        <w:t>）；</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2</w:t>
      </w:r>
      <w:r>
        <w:rPr>
          <w:rFonts w:ascii="宋体" w:hAnsi="Calibri" w:cs="宋体" w:hint="eastAsia"/>
          <w:szCs w:val="21"/>
          <w:highlight w:val="white"/>
          <w:lang w:eastAsia="zh-CN"/>
        </w:rPr>
        <w:t>、现场开会的到会者在权益登记日代表的基金份额不少于本基金在权益登记日相关基金份额的二分之一（含二分之一）；</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3</w:t>
      </w:r>
      <w:r>
        <w:rPr>
          <w:rFonts w:ascii="宋体" w:hAnsi="Calibri" w:cs="宋体" w:hint="eastAsia"/>
          <w:szCs w:val="21"/>
          <w:highlight w:val="white"/>
          <w:lang w:eastAsia="zh-CN"/>
        </w:rPr>
        <w:t>、通讯开会的直接出具书面意见或授权他人代表出具书面意见的基金份额持有人所持有的基金份额不小于在权益登记日相关基金份额的二分之一（含二分之一）；</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4</w:t>
      </w:r>
      <w:r>
        <w:rPr>
          <w:rFonts w:ascii="宋体" w:hAnsi="Calibri" w:cs="宋体" w:hint="eastAsia"/>
          <w:szCs w:val="21"/>
          <w:highlight w:val="white"/>
          <w:lang w:eastAsia="zh-CN"/>
        </w:rPr>
        <w:t>、在参与基金份额持有人大会投票的基金份额持有人所持有的基金份额小于在权益登记日相关基金份额的二分之一、召集人在原公告的基金份额持有人大会召开时间的</w:t>
      </w:r>
      <w:r>
        <w:rPr>
          <w:rFonts w:ascii="宋体" w:hAnsi="Calibri" w:cs="宋体" w:hint="eastAsia"/>
          <w:szCs w:val="21"/>
          <w:highlight w:val="white"/>
          <w:lang w:eastAsia="zh-CN"/>
        </w:rPr>
        <w:t>3</w:t>
      </w:r>
      <w:r>
        <w:rPr>
          <w:rFonts w:ascii="宋体" w:hAnsi="Calibri" w:cs="宋体" w:hint="eastAsia"/>
          <w:szCs w:val="21"/>
          <w:highlight w:val="white"/>
          <w:lang w:eastAsia="zh-CN"/>
        </w:rPr>
        <w:t>个月以后、</w:t>
      </w:r>
      <w:r>
        <w:rPr>
          <w:rFonts w:ascii="宋体" w:hAnsi="Calibri" w:cs="宋体" w:hint="eastAsia"/>
          <w:szCs w:val="21"/>
          <w:highlight w:val="white"/>
          <w:lang w:eastAsia="zh-CN"/>
        </w:rPr>
        <w:t>6</w:t>
      </w:r>
      <w:r>
        <w:rPr>
          <w:rFonts w:ascii="宋体" w:hAnsi="Calibri" w:cs="宋体" w:hint="eastAsia"/>
          <w:szCs w:val="21"/>
          <w:highlight w:val="white"/>
          <w:lang w:eastAsia="zh-CN"/>
        </w:rPr>
        <w:t>个月以内就原定审议事项重新召集的基金份额持有人大会应当有代表三分之一以上（含三分之一）相关基金份额的持有人参与或授权他人参与基金份额持有人大会投票；</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5</w:t>
      </w:r>
      <w:r>
        <w:rPr>
          <w:rFonts w:ascii="宋体" w:hAnsi="Calibri" w:cs="宋体" w:hint="eastAsia"/>
          <w:szCs w:val="21"/>
          <w:highlight w:val="white"/>
          <w:lang w:eastAsia="zh-CN"/>
        </w:rPr>
        <w:t>、现场开会由出席大会的基金份额持有人和代理人所持表决</w:t>
      </w:r>
      <w:r>
        <w:rPr>
          <w:rFonts w:ascii="宋体" w:hAnsi="Calibri" w:cs="宋体" w:hint="eastAsia"/>
          <w:szCs w:val="21"/>
          <w:highlight w:val="white"/>
          <w:lang w:eastAsia="zh-CN"/>
        </w:rPr>
        <w:t>权的</w:t>
      </w:r>
      <w:r>
        <w:rPr>
          <w:rFonts w:ascii="宋体" w:hAnsi="Calibri" w:cs="宋体" w:hint="eastAsia"/>
          <w:szCs w:val="21"/>
          <w:highlight w:val="white"/>
          <w:lang w:eastAsia="zh-CN"/>
        </w:rPr>
        <w:t>50%</w:t>
      </w:r>
      <w:r>
        <w:rPr>
          <w:rFonts w:ascii="宋体" w:hAnsi="Calibri" w:cs="宋体" w:hint="eastAsia"/>
          <w:szCs w:val="21"/>
          <w:highlight w:val="white"/>
          <w:lang w:eastAsia="zh-CN"/>
        </w:rPr>
        <w:t>以上（含</w:t>
      </w:r>
      <w:r>
        <w:rPr>
          <w:rFonts w:ascii="宋体" w:hAnsi="Calibri" w:cs="宋体" w:hint="eastAsia"/>
          <w:szCs w:val="21"/>
          <w:highlight w:val="white"/>
          <w:lang w:eastAsia="zh-CN"/>
        </w:rPr>
        <w:t>50%</w:t>
      </w:r>
      <w:r>
        <w:rPr>
          <w:rFonts w:ascii="宋体" w:hAnsi="Calibri" w:cs="宋体" w:hint="eastAsia"/>
          <w:szCs w:val="21"/>
          <w:highlight w:val="white"/>
          <w:lang w:eastAsia="zh-CN"/>
        </w:rPr>
        <w:t>）选举产生一名基金份额持有人作为该次基金份额持有人大会的主持人；</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6</w:t>
      </w:r>
      <w:r>
        <w:rPr>
          <w:rFonts w:ascii="宋体" w:hAnsi="Calibri" w:cs="宋体" w:hint="eastAsia"/>
          <w:szCs w:val="21"/>
          <w:highlight w:val="white"/>
          <w:lang w:eastAsia="zh-CN"/>
        </w:rPr>
        <w:t>、一般决议须经参加大会的基金份额持有人或其代理人所持表决权的二分之一以上（含二分之一）通过；</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7</w:t>
      </w:r>
      <w:r>
        <w:rPr>
          <w:rFonts w:ascii="宋体" w:hAnsi="Calibri" w:cs="宋体" w:hint="eastAsia"/>
          <w:szCs w:val="21"/>
          <w:highlight w:val="white"/>
          <w:lang w:eastAsia="zh-CN"/>
        </w:rPr>
        <w:t>、特别决议应当经参加大会的基金份额持有人或其代理人所持表决权的三分之二以上（含三分之二）通过。</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同一主侧袋账户内的每份基金份额具有平等的表决权。</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十、本部分关于基金份额持有人大会召开事由、召开条件、议事程序、表决条件等规定，凡是直接引用法律法规或监管规则的部分，如将来法律法规修改导致相关内容被取消或变更的，基金管理人经与基</w:t>
      </w:r>
      <w:r>
        <w:rPr>
          <w:rFonts w:ascii="宋体" w:hAnsi="Calibri" w:cs="宋体" w:hint="eastAsia"/>
          <w:szCs w:val="21"/>
          <w:highlight w:val="white"/>
          <w:lang w:eastAsia="zh-CN"/>
        </w:rPr>
        <w:t>金托管人协商一致并提前公告后，可直接对本部分内容进行修改和调整，无需召开基金份额持有人大会审议。</w:t>
      </w:r>
    </w:p>
    <w:p w:rsidR="004A090B">
      <w:pPr>
        <w:spacing w:line="360" w:lineRule="auto"/>
        <w:ind w:firstLine="420"/>
        <w:rPr>
          <w:rFonts w:ascii="宋体" w:hAnsi="Calibri" w:cs="宋体"/>
          <w:szCs w:val="21"/>
          <w:lang w:eastAsia="zh-CN"/>
        </w:rPr>
      </w:pPr>
    </w:p>
    <w:p w:rsidR="004A090B">
      <w:pPr>
        <w:spacing w:line="360" w:lineRule="auto"/>
        <w:ind w:firstLine="420"/>
        <w:rPr>
          <w:rFonts w:ascii="宋体" w:hAnsi="Calibri" w:cs="宋体"/>
          <w:szCs w:val="21"/>
          <w:lang w:eastAsia="zh-CN"/>
        </w:rPr>
      </w:pPr>
      <w:bookmarkStart w:id="1856" w:name="_Hlt88820702"/>
      <w:bookmarkEnd w:id="1856"/>
      <w:r>
        <w:rPr>
          <w:rFonts w:ascii="宋体" w:hAnsi="Calibri" w:cs="宋体" w:hint="eastAsia"/>
          <w:szCs w:val="21"/>
          <w:lang w:eastAsia="zh-CN"/>
        </w:rPr>
        <w:t>第三节</w:t>
      </w:r>
      <w:r>
        <w:rPr>
          <w:rFonts w:ascii="宋体" w:hAnsi="Calibri" w:cs="宋体" w:hint="eastAsia"/>
          <w:szCs w:val="21"/>
          <w:lang w:eastAsia="zh-CN"/>
        </w:rPr>
        <w:t xml:space="preserve"> </w:t>
      </w:r>
      <w:r>
        <w:rPr>
          <w:rFonts w:ascii="宋体" w:hAnsi="Calibri" w:cs="宋体" w:hint="eastAsia"/>
          <w:szCs w:val="21"/>
          <w:lang w:eastAsia="zh-CN"/>
        </w:rPr>
        <w:t>基金合同解除和终止的事由、程序</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一、《基金合同》的变更</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1</w:t>
      </w:r>
      <w:r>
        <w:rPr>
          <w:rFonts w:ascii="宋体" w:hAnsi="Calibri" w:cs="宋体" w:hint="eastAsia"/>
          <w:szCs w:val="21"/>
          <w:highlight w:val="white"/>
          <w:lang w:eastAsia="zh-CN"/>
        </w:rPr>
        <w:t>、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2</w:t>
      </w:r>
      <w:r>
        <w:rPr>
          <w:rFonts w:ascii="宋体" w:hAnsi="Calibri" w:cs="宋体" w:hint="eastAsia"/>
          <w:szCs w:val="21"/>
          <w:highlight w:val="white"/>
          <w:lang w:eastAsia="zh-CN"/>
        </w:rPr>
        <w:t>、关于《基金合同》变更的基金份额持有人大会决议自生效后方可执行，自决议生效后两日内在规定媒介公告。</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二、《基金合</w:t>
      </w:r>
      <w:r>
        <w:rPr>
          <w:rFonts w:ascii="宋体" w:hAnsi="Calibri" w:cs="宋体" w:hint="eastAsia"/>
          <w:szCs w:val="21"/>
          <w:highlight w:val="white"/>
          <w:lang w:eastAsia="zh-CN"/>
        </w:rPr>
        <w:t>同》的终止事由</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有下列情形之一的，经履行相关程序后，《基金合同》应当终止：</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1</w:t>
      </w:r>
      <w:r>
        <w:rPr>
          <w:rFonts w:ascii="宋体" w:hAnsi="Calibri" w:cs="宋体" w:hint="eastAsia"/>
          <w:szCs w:val="21"/>
          <w:highlight w:val="white"/>
          <w:lang w:eastAsia="zh-CN"/>
        </w:rPr>
        <w:t>、《基金合同》生效之日起三年后的年度对应日，若基金资产净值低于</w:t>
      </w:r>
      <w:r>
        <w:rPr>
          <w:rFonts w:ascii="宋体" w:hAnsi="Calibri" w:cs="宋体" w:hint="eastAsia"/>
          <w:szCs w:val="21"/>
          <w:highlight w:val="white"/>
          <w:lang w:eastAsia="zh-CN"/>
        </w:rPr>
        <w:t>2</w:t>
      </w:r>
      <w:r>
        <w:rPr>
          <w:rFonts w:ascii="宋体" w:hAnsi="Calibri" w:cs="宋体" w:hint="eastAsia"/>
          <w:szCs w:val="21"/>
          <w:highlight w:val="white"/>
          <w:lang w:eastAsia="zh-CN"/>
        </w:rPr>
        <w:t>亿元的；若届时的法律法规或中国证监会规定发生变化，上述终止规定被取消、更改或补充，则本基金可以参照届时有效的法律法规或中国证监会规定执行；</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2</w:t>
      </w:r>
      <w:r>
        <w:rPr>
          <w:rFonts w:ascii="宋体" w:hAnsi="Calibri" w:cs="宋体" w:hint="eastAsia"/>
          <w:szCs w:val="21"/>
          <w:highlight w:val="white"/>
          <w:lang w:eastAsia="zh-CN"/>
        </w:rPr>
        <w:t>、基金份额持有人大会决定终止的；</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3</w:t>
      </w:r>
      <w:r>
        <w:rPr>
          <w:rFonts w:ascii="宋体" w:hAnsi="Calibri" w:cs="宋体" w:hint="eastAsia"/>
          <w:szCs w:val="21"/>
          <w:highlight w:val="white"/>
          <w:lang w:eastAsia="zh-CN"/>
        </w:rPr>
        <w:t>、基金管理人、基金托管人职责终止，在</w:t>
      </w:r>
      <w:r>
        <w:rPr>
          <w:rFonts w:ascii="宋体" w:hAnsi="Calibri" w:cs="宋体" w:hint="eastAsia"/>
          <w:szCs w:val="21"/>
          <w:highlight w:val="white"/>
          <w:lang w:eastAsia="zh-CN"/>
        </w:rPr>
        <w:t>6</w:t>
      </w:r>
      <w:r>
        <w:rPr>
          <w:rFonts w:ascii="宋体" w:hAnsi="Calibri" w:cs="宋体" w:hint="eastAsia"/>
          <w:szCs w:val="21"/>
          <w:highlight w:val="white"/>
          <w:lang w:eastAsia="zh-CN"/>
        </w:rPr>
        <w:t>个月内没有新基金管理人、新基金托管人承接的；</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4</w:t>
      </w:r>
      <w:r>
        <w:rPr>
          <w:rFonts w:ascii="宋体" w:hAnsi="Calibri" w:cs="宋体" w:hint="eastAsia"/>
          <w:szCs w:val="21"/>
          <w:highlight w:val="white"/>
          <w:lang w:eastAsia="zh-CN"/>
        </w:rPr>
        <w:t>、出现标的指数不符合法律法规及监管要求（因成份股价格波动等指数编制方法变动之外的因素致使标的指数不符合要</w:t>
      </w:r>
      <w:r>
        <w:rPr>
          <w:rFonts w:ascii="宋体" w:hAnsi="Calibri" w:cs="宋体" w:hint="eastAsia"/>
          <w:szCs w:val="21"/>
          <w:highlight w:val="white"/>
          <w:lang w:eastAsia="zh-CN"/>
        </w:rPr>
        <w:t>求的情形除外）、指数编制机构退出等情形，基金管理人召集基金份额持有人大会对解决方案进行表决，基金份额持有人大会未成功召开或就上述事项表决未通过的；</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5</w:t>
      </w:r>
      <w:r>
        <w:rPr>
          <w:rFonts w:ascii="宋体" w:hAnsi="Calibri" w:cs="宋体" w:hint="eastAsia"/>
          <w:szCs w:val="21"/>
          <w:highlight w:val="white"/>
          <w:lang w:eastAsia="zh-CN"/>
        </w:rPr>
        <w:t>、《基金合同》约定的其他情形；</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6</w:t>
      </w:r>
      <w:r>
        <w:rPr>
          <w:rFonts w:ascii="宋体" w:hAnsi="Calibri" w:cs="宋体" w:hint="eastAsia"/>
          <w:szCs w:val="21"/>
          <w:highlight w:val="white"/>
          <w:lang w:eastAsia="zh-CN"/>
        </w:rPr>
        <w:t>、相关法律法规和中国证监会规定的其他情况。</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三、基金财产的清算</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1</w:t>
      </w:r>
      <w:r>
        <w:rPr>
          <w:rFonts w:ascii="宋体" w:hAnsi="Calibri" w:cs="宋体" w:hint="eastAsia"/>
          <w:szCs w:val="21"/>
          <w:highlight w:val="white"/>
          <w:lang w:eastAsia="zh-CN"/>
        </w:rPr>
        <w:t>、基金财产清算小组：自出现《基金合同》终止事由之日起</w:t>
      </w:r>
      <w:r>
        <w:rPr>
          <w:rFonts w:ascii="宋体" w:hAnsi="Calibri" w:cs="宋体" w:hint="eastAsia"/>
          <w:szCs w:val="21"/>
          <w:highlight w:val="white"/>
          <w:lang w:eastAsia="zh-CN"/>
        </w:rPr>
        <w:t>30</w:t>
      </w:r>
      <w:r>
        <w:rPr>
          <w:rFonts w:ascii="宋体" w:hAnsi="Calibri" w:cs="宋体" w:hint="eastAsia"/>
          <w:szCs w:val="21"/>
          <w:highlight w:val="white"/>
          <w:lang w:eastAsia="zh-CN"/>
        </w:rPr>
        <w:t>个工作日内成立清算小组，基金管理人组织基金财产清算小组并在中国证监会的监督下进行基金清算。</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2</w:t>
      </w:r>
      <w:r>
        <w:rPr>
          <w:rFonts w:ascii="宋体" w:hAnsi="Calibri" w:cs="宋体" w:hint="eastAsia"/>
          <w:szCs w:val="21"/>
          <w:highlight w:val="white"/>
          <w:lang w:eastAsia="zh-CN"/>
        </w:rPr>
        <w:t>、基金财产清算小组组成：基金财产清算小组成员由基金管理人、基金托管人、注册会计师、律师以及中国证监会指定的人员组</w:t>
      </w:r>
      <w:r>
        <w:rPr>
          <w:rFonts w:ascii="宋体" w:hAnsi="Calibri" w:cs="宋体" w:hint="eastAsia"/>
          <w:szCs w:val="21"/>
          <w:highlight w:val="white"/>
          <w:lang w:eastAsia="zh-CN"/>
        </w:rPr>
        <w:t>成。基金财产清算小组可以聘用必要的工作人员。</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3</w:t>
      </w:r>
      <w:r>
        <w:rPr>
          <w:rFonts w:ascii="宋体" w:hAnsi="Calibri" w:cs="宋体" w:hint="eastAsia"/>
          <w:szCs w:val="21"/>
          <w:highlight w:val="white"/>
          <w:lang w:eastAsia="zh-CN"/>
        </w:rPr>
        <w:t>、基金财产清算小组职责：基金财产清算小组负责基金财产的保管、清理、估价、变现和分配。基金财产清算小组可以依法进行必要的民事活动。</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4</w:t>
      </w:r>
      <w:r>
        <w:rPr>
          <w:rFonts w:ascii="宋体" w:hAnsi="Calibri" w:cs="宋体" w:hint="eastAsia"/>
          <w:szCs w:val="21"/>
          <w:highlight w:val="white"/>
          <w:lang w:eastAsia="zh-CN"/>
        </w:rPr>
        <w:t>、基金财产清算程序：</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1</w:t>
      </w:r>
      <w:r>
        <w:rPr>
          <w:rFonts w:ascii="宋体" w:hAnsi="Calibri" w:cs="宋体" w:hint="eastAsia"/>
          <w:szCs w:val="21"/>
          <w:highlight w:val="white"/>
          <w:lang w:eastAsia="zh-CN"/>
        </w:rPr>
        <w:t>）《基金合同》终止情形出现时，由基金财产清算小组统一接管基金；</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2</w:t>
      </w:r>
      <w:r>
        <w:rPr>
          <w:rFonts w:ascii="宋体" w:hAnsi="Calibri" w:cs="宋体" w:hint="eastAsia"/>
          <w:szCs w:val="21"/>
          <w:highlight w:val="white"/>
          <w:lang w:eastAsia="zh-CN"/>
        </w:rPr>
        <w:t>）对基金财产和债权债务进行清理和确认；</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3</w:t>
      </w:r>
      <w:r>
        <w:rPr>
          <w:rFonts w:ascii="宋体" w:hAnsi="Calibri" w:cs="宋体" w:hint="eastAsia"/>
          <w:szCs w:val="21"/>
          <w:highlight w:val="white"/>
          <w:lang w:eastAsia="zh-CN"/>
        </w:rPr>
        <w:t>）对基金财产进行估值和变现；</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4</w:t>
      </w:r>
      <w:r>
        <w:rPr>
          <w:rFonts w:ascii="宋体" w:hAnsi="Calibri" w:cs="宋体" w:hint="eastAsia"/>
          <w:szCs w:val="21"/>
          <w:highlight w:val="white"/>
          <w:lang w:eastAsia="zh-CN"/>
        </w:rPr>
        <w:t>）制作清算报告；</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5</w:t>
      </w:r>
      <w:r>
        <w:rPr>
          <w:rFonts w:ascii="宋体" w:hAnsi="Calibri" w:cs="宋体" w:hint="eastAsia"/>
          <w:szCs w:val="21"/>
          <w:highlight w:val="white"/>
          <w:lang w:eastAsia="zh-CN"/>
        </w:rPr>
        <w:t>）聘请会计师事务所对清算报告进行外部审计，聘请律师事务所对清算报告出具法律意见书；</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6</w:t>
      </w:r>
      <w:r>
        <w:rPr>
          <w:rFonts w:ascii="宋体" w:hAnsi="Calibri" w:cs="宋体" w:hint="eastAsia"/>
          <w:szCs w:val="21"/>
          <w:highlight w:val="white"/>
          <w:lang w:eastAsia="zh-CN"/>
        </w:rPr>
        <w:t>）将清算报告报中国证监会备案并公告；</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w:t>
      </w:r>
      <w:r>
        <w:rPr>
          <w:rFonts w:ascii="宋体" w:hAnsi="Calibri" w:cs="宋体" w:hint="eastAsia"/>
          <w:szCs w:val="21"/>
          <w:highlight w:val="white"/>
          <w:lang w:eastAsia="zh-CN"/>
        </w:rPr>
        <w:t>7</w:t>
      </w:r>
      <w:r>
        <w:rPr>
          <w:rFonts w:ascii="宋体" w:hAnsi="Calibri" w:cs="宋体" w:hint="eastAsia"/>
          <w:szCs w:val="21"/>
          <w:highlight w:val="white"/>
          <w:lang w:eastAsia="zh-CN"/>
        </w:rPr>
        <w:t>）对基金剩余财产进行分配。</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5</w:t>
      </w:r>
      <w:r>
        <w:rPr>
          <w:rFonts w:ascii="宋体" w:hAnsi="Calibri" w:cs="宋体" w:hint="eastAsia"/>
          <w:szCs w:val="21"/>
          <w:highlight w:val="white"/>
          <w:lang w:eastAsia="zh-CN"/>
        </w:rPr>
        <w:t>、基金财产清算的期限为</w:t>
      </w:r>
      <w:r>
        <w:rPr>
          <w:rFonts w:ascii="宋体" w:hAnsi="Calibri" w:cs="宋体" w:hint="eastAsia"/>
          <w:szCs w:val="21"/>
          <w:highlight w:val="white"/>
          <w:lang w:eastAsia="zh-CN"/>
        </w:rPr>
        <w:t>6</w:t>
      </w:r>
      <w:r>
        <w:rPr>
          <w:rFonts w:ascii="宋体" w:hAnsi="Calibri" w:cs="宋体" w:hint="eastAsia"/>
          <w:szCs w:val="21"/>
          <w:highlight w:val="white"/>
          <w:lang w:eastAsia="zh-CN"/>
        </w:rPr>
        <w:t>个月，但因本基金所持证券的流动性受到限制而不能及时变现的，清算期限相应顺延。</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四、清算费用</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清算费用是指基金财产清算小组在进行基金清算过程中发生的所有合理费用，清算费用由基金财产清算小组优先从基金财产中支付。</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五、基金财产清算剩余资产的分配</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依据基金财产清算的分配方案，将基金财产清算后的全部剩余资产扣除基金财产清算费用、交纳所欠税款并清偿基金债务后，按基金份额持有人持有的基金份额比例进行分配。分配金额需加上返还基金份额持有人的销售服务费（如有）。</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六、基金财产清算的公告</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w:t>
      </w:r>
      <w:r>
        <w:rPr>
          <w:rFonts w:ascii="宋体" w:hAnsi="Calibri" w:cs="宋体" w:hint="eastAsia"/>
          <w:szCs w:val="21"/>
          <w:highlight w:val="white"/>
          <w:lang w:eastAsia="zh-CN"/>
        </w:rPr>
        <w:t>5</w:t>
      </w:r>
      <w:r>
        <w:rPr>
          <w:rFonts w:ascii="宋体" w:hAnsi="Calibri" w:cs="宋体" w:hint="eastAsia"/>
          <w:szCs w:val="21"/>
          <w:highlight w:val="white"/>
          <w:lang w:eastAsia="zh-CN"/>
        </w:rPr>
        <w:t>个工作日内由基金财产清算小组进行公告。</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七、基金财产清算账册及文件的保存</w:t>
      </w:r>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基金财产清算账册及有关文件由基金托管人保存</w:t>
      </w:r>
      <w:r>
        <w:rPr>
          <w:rFonts w:ascii="宋体" w:hAnsi="Calibri" w:cs="宋体" w:hint="eastAsia"/>
          <w:szCs w:val="21"/>
          <w:highlight w:val="white"/>
          <w:lang w:eastAsia="zh-CN"/>
        </w:rPr>
        <w:t>20</w:t>
      </w:r>
      <w:r>
        <w:rPr>
          <w:rFonts w:ascii="宋体" w:hAnsi="Calibri" w:cs="宋体" w:hint="eastAsia"/>
          <w:szCs w:val="21"/>
          <w:highlight w:val="white"/>
          <w:lang w:eastAsia="zh-CN"/>
        </w:rPr>
        <w:t>年以上。</w:t>
      </w:r>
    </w:p>
    <w:p w:rsidR="004A090B">
      <w:pPr>
        <w:spacing w:line="360" w:lineRule="auto"/>
        <w:ind w:firstLine="420"/>
        <w:rPr>
          <w:rFonts w:ascii="宋体" w:hAnsi="Calibri" w:cs="宋体"/>
          <w:szCs w:val="21"/>
          <w:lang w:eastAsia="zh-CN"/>
        </w:rPr>
      </w:pPr>
    </w:p>
    <w:p w:rsidR="004A090B">
      <w:pPr>
        <w:spacing w:line="360" w:lineRule="auto"/>
        <w:ind w:firstLine="420"/>
        <w:rPr>
          <w:rFonts w:ascii="宋体" w:hAnsi="Calibri" w:cs="宋体"/>
          <w:szCs w:val="21"/>
          <w:lang w:eastAsia="zh-CN"/>
        </w:rPr>
      </w:pPr>
      <w:r>
        <w:rPr>
          <w:rFonts w:ascii="宋体" w:hAnsi="Calibri" w:cs="宋体"/>
          <w:szCs w:val="21"/>
          <w:lang w:eastAsia="zh-CN"/>
        </w:rPr>
        <w:t>第</w:t>
      </w:r>
      <w:bookmarkStart w:id="1857" w:name="_Toc516750735"/>
      <w:r>
        <w:rPr>
          <w:rFonts w:ascii="宋体" w:hAnsi="Calibri" w:cs="宋体" w:hint="eastAsia"/>
          <w:szCs w:val="21"/>
          <w:lang w:eastAsia="zh-CN"/>
        </w:rPr>
        <w:t>四节</w:t>
      </w:r>
      <w:r>
        <w:rPr>
          <w:rFonts w:ascii="宋体" w:hAnsi="Calibri" w:cs="宋体" w:hint="eastAsia"/>
          <w:szCs w:val="21"/>
          <w:lang w:eastAsia="zh-CN"/>
        </w:rPr>
        <w:t xml:space="preserve"> </w:t>
      </w:r>
      <w:r>
        <w:rPr>
          <w:rFonts w:ascii="宋体" w:hAnsi="Calibri" w:cs="宋体" w:hint="eastAsia"/>
          <w:szCs w:val="21"/>
          <w:lang w:eastAsia="zh-CN"/>
        </w:rPr>
        <w:t>争议解决方式</w:t>
      </w:r>
      <w:bookmarkEnd w:id="1857"/>
    </w:p>
    <w:p w:rsidR="004A090B">
      <w:pPr>
        <w:spacing w:line="360" w:lineRule="auto"/>
        <w:ind w:firstLine="480"/>
        <w:rPr>
          <w:rFonts w:ascii="宋体" w:hAnsi="Calibri"/>
          <w:b/>
          <w:szCs w:val="21"/>
          <w:lang w:eastAsia="zh-CN"/>
        </w:rPr>
      </w:pPr>
      <w:r>
        <w:rPr>
          <w:rFonts w:ascii="宋体" w:hAnsi="Calibri" w:hint="eastAsia"/>
          <w:b/>
          <w:szCs w:val="21"/>
          <w:highlight w:val="white"/>
          <w:lang w:eastAsia="zh-CN"/>
        </w:rPr>
        <w:t>各方当事人同意，因《基金合同》而产生的或与《基金合同》有关的一切争议，基金合同当事人应尽量通过协商、调解途径解决，如经友好协商未能解决的</w:t>
      </w:r>
      <w:r>
        <w:rPr>
          <w:rFonts w:ascii="宋体" w:hAnsi="Calibri" w:hint="eastAsia"/>
          <w:b/>
          <w:szCs w:val="21"/>
          <w:highlight w:val="white"/>
          <w:lang w:eastAsia="zh-CN"/>
        </w:rPr>
        <w:t>，任何一方均有权将争议提交深圳国际仲裁院，按照深圳国际仲裁院届时有效的仲裁规则进行仲裁。仲裁地点为深圳市。仲裁裁决是终局的，对当事人均有约束力，除非仲裁裁决另有决定，仲裁费用由败诉方承担。</w:t>
      </w:r>
    </w:p>
    <w:p w:rsidR="004A090B" w:rsidRPr="008E2A9E">
      <w:pPr>
        <w:spacing w:line="360" w:lineRule="auto"/>
        <w:ind w:firstLine="480"/>
        <w:rPr>
          <w:rFonts w:ascii="宋体" w:hAnsi="Calibri"/>
          <w:b w:val="0"/>
          <w:szCs w:val="21"/>
          <w:lang w:eastAsia="zh-CN"/>
        </w:rPr>
      </w:pPr>
      <w:r w:rsidRPr="008E2A9E">
        <w:rPr>
          <w:rFonts w:ascii="宋体" w:hAnsi="Calibri" w:hint="eastAsia"/>
          <w:b w:val="0"/>
          <w:szCs w:val="21"/>
          <w:highlight w:val="white"/>
          <w:lang w:eastAsia="zh-CN"/>
        </w:rPr>
        <w:t>争议处理期间，基金合同当事人应恪守各自的职责，继续忠实、勤勉、尽责地履行基金合同规定的义务，维护基金份额持有人的合法权益。</w:t>
      </w:r>
    </w:p>
    <w:p w:rsidR="004A090B" w:rsidRPr="008E2A9E">
      <w:pPr>
        <w:spacing w:line="360" w:lineRule="auto"/>
        <w:ind w:firstLine="480"/>
        <w:rPr>
          <w:rFonts w:ascii="宋体" w:hAnsi="Calibri"/>
          <w:b w:val="0"/>
          <w:szCs w:val="21"/>
          <w:lang w:eastAsia="zh-CN"/>
        </w:rPr>
      </w:pPr>
      <w:r w:rsidRPr="008E2A9E">
        <w:rPr>
          <w:rFonts w:ascii="宋体" w:hAnsi="Calibri" w:hint="eastAsia"/>
          <w:b w:val="0"/>
          <w:szCs w:val="21"/>
          <w:highlight w:val="white"/>
          <w:lang w:eastAsia="zh-CN"/>
        </w:rPr>
        <w:t>《基金合同》受中国法律管辖。</w:t>
      </w:r>
    </w:p>
    <w:p w:rsidR="004A090B">
      <w:pPr>
        <w:spacing w:line="360" w:lineRule="auto"/>
        <w:ind w:firstLine="420"/>
        <w:rPr>
          <w:rFonts w:ascii="宋体" w:hAnsi="Calibri" w:cs="宋体"/>
          <w:szCs w:val="21"/>
          <w:lang w:eastAsia="zh-CN"/>
        </w:rPr>
      </w:pPr>
    </w:p>
    <w:p w:rsidR="004A090B">
      <w:pPr>
        <w:spacing w:line="360" w:lineRule="auto"/>
        <w:ind w:firstLine="420"/>
        <w:rPr>
          <w:rFonts w:ascii="宋体" w:hAnsi="Calibri" w:cs="宋体"/>
          <w:szCs w:val="21"/>
          <w:lang w:eastAsia="zh-CN"/>
        </w:rPr>
      </w:pPr>
      <w:r>
        <w:rPr>
          <w:rFonts w:ascii="宋体" w:hAnsi="Calibri" w:cs="宋体"/>
          <w:szCs w:val="21"/>
          <w:lang w:eastAsia="zh-CN"/>
        </w:rPr>
        <w:t>第</w:t>
      </w:r>
      <w:bookmarkStart w:id="1858" w:name="_Toc516750736"/>
      <w:r>
        <w:rPr>
          <w:rFonts w:ascii="宋体" w:hAnsi="Calibri" w:cs="宋体" w:hint="eastAsia"/>
          <w:szCs w:val="21"/>
          <w:lang w:eastAsia="zh-CN"/>
        </w:rPr>
        <w:t>五节</w:t>
      </w:r>
      <w:r>
        <w:rPr>
          <w:rFonts w:ascii="宋体" w:hAnsi="Calibri" w:cs="宋体" w:hint="eastAsia"/>
          <w:szCs w:val="21"/>
          <w:lang w:eastAsia="zh-CN"/>
        </w:rPr>
        <w:t xml:space="preserve"> </w:t>
      </w:r>
      <w:r>
        <w:rPr>
          <w:rFonts w:ascii="宋体" w:hAnsi="Calibri" w:cs="宋体" w:hint="eastAsia"/>
          <w:szCs w:val="21"/>
          <w:lang w:eastAsia="zh-CN"/>
        </w:rPr>
        <w:t>基金合同存放地和投资者取得基金合同的方式</w:t>
      </w:r>
      <w:bookmarkEnd w:id="1858"/>
    </w:p>
    <w:p w:rsidR="004A090B">
      <w:pPr>
        <w:spacing w:line="360" w:lineRule="auto"/>
        <w:ind w:firstLine="420"/>
        <w:rPr>
          <w:rFonts w:ascii="宋体" w:hAnsi="Calibri" w:cs="宋体"/>
          <w:szCs w:val="21"/>
          <w:lang w:eastAsia="zh-CN"/>
        </w:rPr>
      </w:pPr>
      <w:r>
        <w:rPr>
          <w:rFonts w:ascii="宋体" w:hAnsi="Calibri" w:cs="宋体" w:hint="eastAsia"/>
          <w:szCs w:val="21"/>
          <w:highlight w:val="white"/>
          <w:lang w:eastAsia="zh-CN"/>
        </w:rPr>
        <w:t>《基金合同》可印制成册，供投资者在基金管理人、基金托管人、销售机构的办公场所和营业场所查阅。</w:t>
      </w:r>
    </w:p>
    <w:p w:rsidR="004A090B">
      <w:pPr>
        <w:pStyle w:val="Heading1"/>
        <w:spacing w:before="317" w:after="317" w:line="360" w:lineRule="auto"/>
        <w:ind w:firstLine="420"/>
        <w:rPr>
          <w:rFonts w:ascii="宋体" w:eastAsia="宋体" w:hAnsi="Calibri" w:cs="宋体"/>
          <w:sz w:val="30"/>
          <w:szCs w:val="30"/>
          <w:lang w:eastAsia="zh-CN"/>
        </w:rPr>
      </w:pPr>
      <w:bookmarkStart w:id="1859" w:name="_Toc332373589"/>
      <w:r>
        <w:rPr>
          <w:rFonts w:ascii="宋体" w:eastAsia="宋体" w:hAnsi="Calibri" w:cs="宋体" w:hint="eastAsia"/>
          <w:bCs/>
          <w:sz w:val="21"/>
          <w:szCs w:val="21"/>
          <w:lang w:eastAsia="zh-CN"/>
        </w:rPr>
        <w:br w:type="page"/>
      </w:r>
      <w:bookmarkStart w:id="1860" w:name="_Toc129511545"/>
      <w:bookmarkEnd w:id="1859"/>
      <w:r>
        <w:rPr>
          <w:rFonts w:ascii="宋体" w:eastAsia="宋体" w:hAnsi="Calibri" w:cs="宋体" w:hint="eastAsia"/>
          <w:sz w:val="30"/>
          <w:szCs w:val="30"/>
          <w:lang w:eastAsia="zh-CN"/>
        </w:rPr>
        <w:t>第二</w:t>
      </w:r>
      <w:bookmarkStart w:id="1861" w:name="_Toc332374170"/>
      <w:bookmarkStart w:id="1862" w:name="_Toc332373590"/>
      <w:r>
        <w:rPr>
          <w:rFonts w:ascii="宋体" w:eastAsia="宋体" w:hAnsi="Calibri" w:cs="宋体" w:hint="eastAsia"/>
          <w:sz w:val="30"/>
          <w:szCs w:val="30"/>
          <w:lang w:eastAsia="zh-CN"/>
        </w:rPr>
        <w:t>十</w:t>
      </w:r>
      <w:r>
        <w:rPr>
          <w:rFonts w:ascii="宋体" w:eastAsia="宋体" w:hAnsi="Calibri" w:cs="宋体"/>
          <w:sz w:val="30"/>
          <w:szCs w:val="30"/>
          <w:lang w:eastAsia="zh-CN"/>
        </w:rPr>
        <w:t>三部分</w:t>
      </w:r>
      <w:r>
        <w:rPr>
          <w:rFonts w:ascii="宋体" w:eastAsia="宋体" w:hAnsi="Calibri" w:cs="宋体"/>
          <w:sz w:val="30"/>
          <w:szCs w:val="30"/>
          <w:lang w:eastAsia="zh-CN"/>
        </w:rPr>
        <w:t xml:space="preserve"> </w:t>
      </w:r>
      <w:r>
        <w:rPr>
          <w:rFonts w:ascii="宋体" w:eastAsia="宋体" w:hAnsi="Calibri" w:cs="宋体"/>
          <w:sz w:val="30"/>
          <w:szCs w:val="30"/>
          <w:lang w:eastAsia="zh-CN"/>
        </w:rPr>
        <w:t>基金托管协议的内容摘要</w:t>
      </w:r>
      <w:bookmarkEnd w:id="1860"/>
      <w:bookmarkEnd w:id="1861"/>
      <w:bookmarkEnd w:id="1862"/>
    </w:p>
    <w:p w:rsidR="004A090B">
      <w:pPr>
        <w:spacing w:line="360" w:lineRule="auto"/>
        <w:ind w:firstLine="420"/>
        <w:rPr>
          <w:rFonts w:ascii="宋体" w:hAnsi="Calibri" w:cs="宋体"/>
          <w:bCs/>
          <w:szCs w:val="21"/>
          <w:lang w:eastAsia="zh-CN"/>
        </w:rPr>
      </w:pPr>
      <w:r>
        <w:rPr>
          <w:rFonts w:ascii="宋体" w:hAnsi="Calibri" w:cs="宋体"/>
          <w:bCs/>
          <w:szCs w:val="21"/>
          <w:lang w:eastAsia="zh-CN"/>
        </w:rPr>
        <w:t>第一节</w:t>
      </w:r>
      <w:r>
        <w:rPr>
          <w:rFonts w:ascii="宋体" w:hAnsi="Calibri" w:cs="宋体"/>
          <w:bCs/>
          <w:szCs w:val="21"/>
          <w:lang w:eastAsia="zh-CN"/>
        </w:rPr>
        <w:t xml:space="preserve"> </w:t>
      </w:r>
      <w:r>
        <w:rPr>
          <w:rFonts w:ascii="宋体" w:hAnsi="Calibri" w:cs="宋体" w:hint="eastAsia"/>
          <w:bCs/>
          <w:szCs w:val="21"/>
          <w:lang w:eastAsia="zh-CN"/>
        </w:rPr>
        <w:t>托管协议当事人</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（一）基金管理人（也可称资产管理人）</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名称：易方达基金管理有限公司</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住所：广东省珠海市横琴新区荣粤道</w:t>
      </w:r>
      <w:r>
        <w:rPr>
          <w:rFonts w:ascii="宋体" w:hAnsi="Calibri" w:cs="宋体"/>
          <w:bCs/>
          <w:szCs w:val="21"/>
          <w:highlight w:val="white"/>
          <w:lang w:eastAsia="zh-CN"/>
        </w:rPr>
        <w:t>188</w:t>
      </w:r>
      <w:r>
        <w:rPr>
          <w:rFonts w:ascii="宋体" w:hAnsi="Calibri" w:cs="宋体"/>
          <w:bCs/>
          <w:szCs w:val="21"/>
          <w:highlight w:val="white"/>
          <w:lang w:eastAsia="zh-CN"/>
        </w:rPr>
        <w:t>号</w:t>
      </w:r>
      <w:r>
        <w:rPr>
          <w:rFonts w:ascii="宋体" w:hAnsi="Calibri" w:cs="宋体"/>
          <w:bCs/>
          <w:szCs w:val="21"/>
          <w:highlight w:val="white"/>
          <w:lang w:eastAsia="zh-CN"/>
        </w:rPr>
        <w:t>6</w:t>
      </w:r>
      <w:r>
        <w:rPr>
          <w:rFonts w:ascii="宋体" w:hAnsi="Calibri" w:cs="宋体"/>
          <w:bCs/>
          <w:szCs w:val="21"/>
          <w:highlight w:val="white"/>
          <w:lang w:eastAsia="zh-CN"/>
        </w:rPr>
        <w:t>层</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法定代表人：吴欣荣</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设立日期：</w:t>
      </w:r>
      <w:r>
        <w:rPr>
          <w:rFonts w:ascii="宋体" w:hAnsi="Calibri" w:cs="宋体"/>
          <w:bCs/>
          <w:szCs w:val="21"/>
          <w:highlight w:val="white"/>
          <w:lang w:eastAsia="zh-CN"/>
        </w:rPr>
        <w:t>2001</w:t>
      </w:r>
      <w:r>
        <w:rPr>
          <w:rFonts w:ascii="宋体" w:hAnsi="Calibri" w:cs="宋体"/>
          <w:bCs/>
          <w:szCs w:val="21"/>
          <w:highlight w:val="white"/>
          <w:lang w:eastAsia="zh-CN"/>
        </w:rPr>
        <w:t>年</w:t>
      </w:r>
      <w:r>
        <w:rPr>
          <w:rFonts w:ascii="宋体" w:hAnsi="Calibri" w:cs="宋体"/>
          <w:bCs/>
          <w:szCs w:val="21"/>
          <w:highlight w:val="white"/>
          <w:lang w:eastAsia="zh-CN"/>
        </w:rPr>
        <w:t>4</w:t>
      </w:r>
      <w:r>
        <w:rPr>
          <w:rFonts w:ascii="宋体" w:hAnsi="Calibri" w:cs="宋体"/>
          <w:bCs/>
          <w:szCs w:val="21"/>
          <w:highlight w:val="white"/>
          <w:lang w:eastAsia="zh-CN"/>
        </w:rPr>
        <w:t>月</w:t>
      </w:r>
      <w:r>
        <w:rPr>
          <w:rFonts w:ascii="宋体" w:hAnsi="Calibri" w:cs="宋体"/>
          <w:bCs/>
          <w:szCs w:val="21"/>
          <w:highlight w:val="white"/>
          <w:lang w:eastAsia="zh-CN"/>
        </w:rPr>
        <w:t>17</w:t>
      </w:r>
      <w:r>
        <w:rPr>
          <w:rFonts w:ascii="宋体" w:hAnsi="Calibri" w:cs="宋体"/>
          <w:bCs/>
          <w:szCs w:val="21"/>
          <w:highlight w:val="white"/>
          <w:lang w:eastAsia="zh-CN"/>
        </w:rPr>
        <w:t>日</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批准设立机关及批准设立文号：中国证券监督管理委员会，证监基金字</w:t>
      </w:r>
      <w:r>
        <w:rPr>
          <w:rFonts w:ascii="宋体" w:hAnsi="Calibri" w:cs="宋体"/>
          <w:bCs/>
          <w:szCs w:val="21"/>
          <w:highlight w:val="white"/>
          <w:lang w:eastAsia="zh-CN"/>
        </w:rPr>
        <w:t>[2001]4</w:t>
      </w:r>
      <w:r>
        <w:rPr>
          <w:rFonts w:ascii="宋体" w:hAnsi="Calibri" w:cs="宋体"/>
          <w:bCs/>
          <w:szCs w:val="21"/>
          <w:highlight w:val="white"/>
          <w:lang w:eastAsia="zh-CN"/>
        </w:rPr>
        <w:t>号</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组织形式：有限责任公司</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注册资本：</w:t>
      </w:r>
      <w:r>
        <w:rPr>
          <w:rFonts w:ascii="宋体" w:hAnsi="Calibri" w:cs="宋体"/>
          <w:bCs/>
          <w:szCs w:val="21"/>
          <w:highlight w:val="white"/>
          <w:lang w:eastAsia="zh-CN"/>
        </w:rPr>
        <w:t>13,244.2</w:t>
      </w:r>
      <w:r>
        <w:rPr>
          <w:rFonts w:ascii="宋体" w:hAnsi="Calibri" w:cs="宋体"/>
          <w:bCs/>
          <w:szCs w:val="21"/>
          <w:highlight w:val="white"/>
          <w:lang w:eastAsia="zh-CN"/>
        </w:rPr>
        <w:t>万元人民币</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存续期限：持续经营</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联系电话：</w:t>
      </w:r>
      <w:r>
        <w:rPr>
          <w:rFonts w:ascii="宋体" w:hAnsi="Calibri" w:cs="宋体"/>
          <w:bCs/>
          <w:szCs w:val="21"/>
          <w:highlight w:val="white"/>
          <w:lang w:eastAsia="zh-CN"/>
        </w:rPr>
        <w:t>4008818088</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（二）基金托管人（也可称资产托管人）</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名称：招商银行股份有限公司</w:t>
      </w:r>
      <w:r>
        <w:rPr>
          <w:rFonts w:ascii="宋体" w:hAnsi="Calibri" w:cs="宋体"/>
          <w:bCs/>
          <w:szCs w:val="21"/>
          <w:highlight w:val="white"/>
          <w:lang w:eastAsia="zh-CN"/>
        </w:rPr>
        <w:t>(</w:t>
      </w:r>
      <w:r>
        <w:rPr>
          <w:rFonts w:ascii="宋体" w:hAnsi="Calibri" w:cs="宋体"/>
          <w:bCs/>
          <w:szCs w:val="21"/>
          <w:highlight w:val="white"/>
          <w:lang w:eastAsia="zh-CN"/>
        </w:rPr>
        <w:t>简称：招商银行</w:t>
      </w:r>
      <w:r>
        <w:rPr>
          <w:rFonts w:ascii="宋体" w:hAnsi="Calibri" w:cs="宋体"/>
          <w:bCs/>
          <w:szCs w:val="21"/>
          <w:highlight w:val="white"/>
          <w:lang w:eastAsia="zh-CN"/>
        </w:rPr>
        <w:t>)</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住所：深圳市深南大道</w:t>
      </w:r>
      <w:r>
        <w:rPr>
          <w:rFonts w:ascii="宋体" w:hAnsi="Calibri" w:cs="宋体"/>
          <w:bCs/>
          <w:szCs w:val="21"/>
          <w:highlight w:val="white"/>
          <w:lang w:eastAsia="zh-CN"/>
        </w:rPr>
        <w:t>7088</w:t>
      </w:r>
      <w:r>
        <w:rPr>
          <w:rFonts w:ascii="宋体" w:hAnsi="Calibri" w:cs="宋体"/>
          <w:bCs/>
          <w:szCs w:val="21"/>
          <w:highlight w:val="white"/>
          <w:lang w:eastAsia="zh-CN"/>
        </w:rPr>
        <w:t>号招商银行大厦</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办公地址：深圳市深南大道</w:t>
      </w:r>
      <w:r>
        <w:rPr>
          <w:rFonts w:ascii="宋体" w:hAnsi="Calibri" w:cs="宋体"/>
          <w:bCs/>
          <w:szCs w:val="21"/>
          <w:highlight w:val="white"/>
          <w:lang w:eastAsia="zh-CN"/>
        </w:rPr>
        <w:t>7088</w:t>
      </w:r>
      <w:r>
        <w:rPr>
          <w:rFonts w:ascii="宋体" w:hAnsi="Calibri" w:cs="宋体"/>
          <w:bCs/>
          <w:szCs w:val="21"/>
          <w:highlight w:val="white"/>
          <w:lang w:eastAsia="zh-CN"/>
        </w:rPr>
        <w:t>号招商银行大厦</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邮政编码：</w:t>
      </w:r>
      <w:r>
        <w:rPr>
          <w:rFonts w:ascii="宋体" w:hAnsi="Calibri" w:cs="宋体"/>
          <w:bCs/>
          <w:szCs w:val="21"/>
          <w:highlight w:val="white"/>
          <w:lang w:eastAsia="zh-CN"/>
        </w:rPr>
        <w:t>518040</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法定代表人：缪建民</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成立时间：</w:t>
      </w:r>
      <w:r>
        <w:rPr>
          <w:rFonts w:ascii="宋体" w:hAnsi="Calibri" w:cs="宋体"/>
          <w:bCs/>
          <w:szCs w:val="21"/>
          <w:highlight w:val="white"/>
          <w:lang w:eastAsia="zh-CN"/>
        </w:rPr>
        <w:t>1987</w:t>
      </w:r>
      <w:r>
        <w:rPr>
          <w:rFonts w:ascii="宋体" w:hAnsi="Calibri" w:cs="宋体"/>
          <w:bCs/>
          <w:szCs w:val="21"/>
          <w:highlight w:val="white"/>
          <w:lang w:eastAsia="zh-CN"/>
        </w:rPr>
        <w:t>年</w:t>
      </w:r>
      <w:r>
        <w:rPr>
          <w:rFonts w:ascii="宋体" w:hAnsi="Calibri" w:cs="宋体"/>
          <w:bCs/>
          <w:szCs w:val="21"/>
          <w:highlight w:val="white"/>
          <w:lang w:eastAsia="zh-CN"/>
        </w:rPr>
        <w:t>3</w:t>
      </w:r>
      <w:r>
        <w:rPr>
          <w:rFonts w:ascii="宋体" w:hAnsi="Calibri" w:cs="宋体"/>
          <w:bCs/>
          <w:szCs w:val="21"/>
          <w:highlight w:val="white"/>
          <w:lang w:eastAsia="zh-CN"/>
        </w:rPr>
        <w:t>月</w:t>
      </w:r>
      <w:r>
        <w:rPr>
          <w:rFonts w:ascii="宋体" w:hAnsi="Calibri" w:cs="宋体"/>
          <w:bCs/>
          <w:szCs w:val="21"/>
          <w:highlight w:val="white"/>
          <w:lang w:eastAsia="zh-CN"/>
        </w:rPr>
        <w:t>31</w:t>
      </w:r>
      <w:r>
        <w:rPr>
          <w:rFonts w:ascii="宋体" w:hAnsi="Calibri" w:cs="宋体"/>
          <w:bCs/>
          <w:szCs w:val="21"/>
          <w:highlight w:val="white"/>
          <w:lang w:eastAsia="zh-CN"/>
        </w:rPr>
        <w:t>日</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基金托管业务批准文号：证监基金字</w:t>
      </w:r>
      <w:r>
        <w:rPr>
          <w:rFonts w:ascii="宋体" w:hAnsi="Calibri" w:cs="宋体"/>
          <w:bCs/>
          <w:szCs w:val="21"/>
          <w:highlight w:val="white"/>
          <w:lang w:eastAsia="zh-CN"/>
        </w:rPr>
        <w:t>[2002]83</w:t>
      </w:r>
      <w:r>
        <w:rPr>
          <w:rFonts w:ascii="宋体" w:hAnsi="Calibri" w:cs="宋体"/>
          <w:bCs/>
          <w:szCs w:val="21"/>
          <w:highlight w:val="white"/>
          <w:lang w:eastAsia="zh-CN"/>
        </w:rPr>
        <w:t>号</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组织形式：股份有限公司</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注册资本：人民币</w:t>
      </w:r>
      <w:r>
        <w:rPr>
          <w:rFonts w:ascii="宋体" w:hAnsi="Calibri" w:cs="宋体"/>
          <w:bCs/>
          <w:szCs w:val="21"/>
          <w:highlight w:val="white"/>
          <w:lang w:eastAsia="zh-CN"/>
        </w:rPr>
        <w:t>252.20</w:t>
      </w:r>
      <w:r>
        <w:rPr>
          <w:rFonts w:ascii="宋体" w:hAnsi="Calibri" w:cs="宋体"/>
          <w:bCs/>
          <w:szCs w:val="21"/>
          <w:highlight w:val="white"/>
          <w:lang w:eastAsia="zh-CN"/>
        </w:rPr>
        <w:t>亿元</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存续期间：持续经营</w:t>
      </w:r>
    </w:p>
    <w:p w:rsidR="004A090B">
      <w:pPr>
        <w:spacing w:line="360" w:lineRule="auto"/>
        <w:ind w:firstLine="420"/>
        <w:rPr>
          <w:rFonts w:ascii="宋体" w:hAnsi="Calibri" w:cs="宋体"/>
          <w:bCs/>
          <w:szCs w:val="21"/>
          <w:lang w:eastAsia="zh-CN"/>
        </w:rPr>
      </w:pPr>
    </w:p>
    <w:p w:rsidR="004A090B">
      <w:pPr>
        <w:spacing w:line="360" w:lineRule="auto"/>
        <w:ind w:firstLine="420"/>
        <w:rPr>
          <w:rFonts w:ascii="宋体" w:hAnsi="Calibri" w:cs="宋体"/>
          <w:bCs/>
          <w:szCs w:val="21"/>
          <w:lang w:eastAsia="zh-CN"/>
        </w:rPr>
      </w:pP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第二节</w:t>
      </w:r>
      <w:r>
        <w:rPr>
          <w:rFonts w:ascii="宋体" w:hAnsi="Calibri" w:cs="宋体" w:hint="eastAsia"/>
          <w:bCs/>
          <w:szCs w:val="21"/>
          <w:lang w:eastAsia="zh-CN"/>
        </w:rPr>
        <w:t xml:space="preserve"> </w:t>
      </w:r>
      <w:r>
        <w:rPr>
          <w:rFonts w:ascii="宋体" w:hAnsi="Calibri" w:cs="宋体" w:hint="eastAsia"/>
          <w:bCs/>
          <w:szCs w:val="21"/>
          <w:lang w:eastAsia="zh-CN"/>
        </w:rPr>
        <w:t>基金托管人对基金管理人的业务监督和核查</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（一）基金托管人根据有关法律法规的规定以及《基金合同》的约定，对基金投资范围、投资比例、投资限制、关联方交易等进行监督。《基金合同》明确约定基金投资证券选择标</w:t>
      </w:r>
      <w:r>
        <w:rPr>
          <w:rFonts w:ascii="宋体" w:hAnsi="Calibri" w:cs="宋体"/>
          <w:bCs/>
          <w:szCs w:val="21"/>
          <w:highlight w:val="white"/>
          <w:lang w:eastAsia="zh-CN"/>
        </w:rPr>
        <w:t>准的，基金管理人应事先或定期向基金托管人提供投资品种池，以便基金托管人对基金实际投资是否符合基金合同关于证券选择标准的约定进行监督。</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1.</w:t>
      </w:r>
      <w:r>
        <w:rPr>
          <w:rFonts w:ascii="宋体" w:hAnsi="Calibri" w:cs="宋体"/>
          <w:bCs/>
          <w:szCs w:val="21"/>
          <w:highlight w:val="white"/>
          <w:lang w:eastAsia="zh-CN"/>
        </w:rPr>
        <w:t>本基金的投资范围为：</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本基金的投资范围包括目标</w:t>
      </w:r>
      <w:r>
        <w:rPr>
          <w:rFonts w:ascii="宋体" w:hAnsi="Calibri" w:cs="宋体"/>
          <w:bCs/>
          <w:szCs w:val="21"/>
          <w:highlight w:val="white"/>
          <w:lang w:eastAsia="zh-CN"/>
        </w:rPr>
        <w:t>ETF</w:t>
      </w:r>
      <w:r>
        <w:rPr>
          <w:rFonts w:ascii="宋体" w:hAnsi="Calibri" w:cs="宋体"/>
          <w:bCs/>
          <w:szCs w:val="21"/>
          <w:highlight w:val="white"/>
          <w:lang w:eastAsia="zh-CN"/>
        </w:rPr>
        <w:t>、标的指数成份股及备选成份股（含存托凭证）、除标的指数成份股及备选成份股以外的其他股票（包括创业板、科创板及其他依法发行上市的股票、存托凭证）、债券（包括国债、央行票据、地方政府债、金融债、企业债、公司债、次级债、中期票据、短期融资券、超短期融资券、政府支持机构债券、可转换债券、可交换债券等）、债券回购、资产支持证券、银行存款、同业存单、货币市场工具、金融衍生工具（包括股指期货、国债期货、股票期权等）以及法律法规或中国证监会允许基金投资的其他金融工具。</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如法律法规或监管机构以后</w:t>
      </w:r>
      <w:r>
        <w:rPr>
          <w:rFonts w:ascii="宋体" w:hAnsi="Calibri" w:cs="宋体"/>
          <w:bCs/>
          <w:szCs w:val="21"/>
          <w:highlight w:val="white"/>
          <w:lang w:eastAsia="zh-CN"/>
        </w:rPr>
        <w:t>允许基金投资其他品种，基金管理人在履行适当程序后，本基金可以将其纳入投资范围。</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本基金将根据法律法规的规定参与转融通证券出借及融资业务。</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基金的投资组合比例为：本基金投资于目标</w:t>
      </w:r>
      <w:r>
        <w:rPr>
          <w:rFonts w:ascii="宋体" w:hAnsi="Calibri" w:cs="宋体"/>
          <w:bCs/>
          <w:szCs w:val="21"/>
          <w:highlight w:val="white"/>
          <w:lang w:eastAsia="zh-CN"/>
        </w:rPr>
        <w:t>ETF</w:t>
      </w:r>
      <w:r>
        <w:rPr>
          <w:rFonts w:ascii="宋体" w:hAnsi="Calibri" w:cs="宋体"/>
          <w:bCs/>
          <w:szCs w:val="21"/>
          <w:highlight w:val="white"/>
          <w:lang w:eastAsia="zh-CN"/>
        </w:rPr>
        <w:t>的资产不低于基金资产净值的</w:t>
      </w:r>
      <w:r>
        <w:rPr>
          <w:rFonts w:ascii="宋体" w:hAnsi="Calibri" w:cs="宋体"/>
          <w:bCs/>
          <w:szCs w:val="21"/>
          <w:highlight w:val="white"/>
          <w:lang w:eastAsia="zh-CN"/>
        </w:rPr>
        <w:t>90%</w:t>
      </w:r>
      <w:r>
        <w:rPr>
          <w:rFonts w:ascii="宋体" w:hAnsi="Calibri" w:cs="宋体"/>
          <w:bCs/>
          <w:szCs w:val="21"/>
          <w:highlight w:val="white"/>
          <w:lang w:eastAsia="zh-CN"/>
        </w:rPr>
        <w:t>，保持不低于基金资产净值</w:t>
      </w:r>
      <w:r>
        <w:rPr>
          <w:rFonts w:ascii="宋体" w:hAnsi="Calibri" w:cs="宋体"/>
          <w:bCs/>
          <w:szCs w:val="21"/>
          <w:highlight w:val="white"/>
          <w:lang w:eastAsia="zh-CN"/>
        </w:rPr>
        <w:t>5%</w:t>
      </w:r>
      <w:r>
        <w:rPr>
          <w:rFonts w:ascii="宋体" w:hAnsi="Calibri" w:cs="宋体"/>
          <w:bCs/>
          <w:szCs w:val="21"/>
          <w:highlight w:val="white"/>
          <w:lang w:eastAsia="zh-CN"/>
        </w:rPr>
        <w:t>的现金或者到期日在一年以内的政府债券，其中现金不包括结算备付金、存出保证金、应收申购款等。</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2.</w:t>
      </w:r>
      <w:r>
        <w:rPr>
          <w:rFonts w:ascii="宋体" w:hAnsi="Calibri" w:cs="宋体"/>
          <w:bCs/>
          <w:szCs w:val="21"/>
          <w:highlight w:val="white"/>
          <w:lang w:eastAsia="zh-CN"/>
        </w:rPr>
        <w:t>本基金各类品种的投资比例、投资限制为：</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1</w:t>
      </w:r>
      <w:r>
        <w:rPr>
          <w:rFonts w:ascii="宋体" w:hAnsi="Calibri" w:cs="宋体"/>
          <w:bCs/>
          <w:szCs w:val="21"/>
          <w:highlight w:val="white"/>
          <w:lang w:eastAsia="zh-CN"/>
        </w:rPr>
        <w:t>）本基金投资于目标</w:t>
      </w:r>
      <w:r>
        <w:rPr>
          <w:rFonts w:ascii="宋体" w:hAnsi="Calibri" w:cs="宋体"/>
          <w:bCs/>
          <w:szCs w:val="21"/>
          <w:highlight w:val="white"/>
          <w:lang w:eastAsia="zh-CN"/>
        </w:rPr>
        <w:t>ETF</w:t>
      </w:r>
      <w:r>
        <w:rPr>
          <w:rFonts w:ascii="宋体" w:hAnsi="Calibri" w:cs="宋体"/>
          <w:bCs/>
          <w:szCs w:val="21"/>
          <w:highlight w:val="white"/>
          <w:lang w:eastAsia="zh-CN"/>
        </w:rPr>
        <w:t>的资产不低于基金资产净值的</w:t>
      </w:r>
      <w:r>
        <w:rPr>
          <w:rFonts w:ascii="宋体" w:hAnsi="Calibri" w:cs="宋体"/>
          <w:bCs/>
          <w:szCs w:val="21"/>
          <w:highlight w:val="white"/>
          <w:lang w:eastAsia="zh-CN"/>
        </w:rPr>
        <w:t>90%</w:t>
      </w:r>
      <w:r>
        <w:rPr>
          <w:rFonts w:ascii="宋体" w:hAnsi="Calibri" w:cs="宋体"/>
          <w:bCs/>
          <w:szCs w:val="21"/>
          <w:highlight w:val="white"/>
          <w:lang w:eastAsia="zh-CN"/>
        </w:rPr>
        <w:t>；</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2</w:t>
      </w:r>
      <w:r>
        <w:rPr>
          <w:rFonts w:ascii="宋体" w:hAnsi="Calibri" w:cs="宋体"/>
          <w:bCs/>
          <w:szCs w:val="21"/>
          <w:highlight w:val="white"/>
          <w:lang w:eastAsia="zh-CN"/>
        </w:rPr>
        <w:t>）保持不低于基金资产净值</w:t>
      </w:r>
      <w:r>
        <w:rPr>
          <w:rFonts w:ascii="宋体" w:hAnsi="Calibri" w:cs="宋体"/>
          <w:bCs/>
          <w:szCs w:val="21"/>
          <w:highlight w:val="white"/>
          <w:lang w:eastAsia="zh-CN"/>
        </w:rPr>
        <w:t>5%</w:t>
      </w:r>
      <w:r>
        <w:rPr>
          <w:rFonts w:ascii="宋体" w:hAnsi="Calibri" w:cs="宋体"/>
          <w:bCs/>
          <w:szCs w:val="21"/>
          <w:highlight w:val="white"/>
          <w:lang w:eastAsia="zh-CN"/>
        </w:rPr>
        <w:t>的现金或者到期日在一年以内的政府债券，其中现金不包括结算备付金、存出保证金和应收申购款等；</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3</w:t>
      </w:r>
      <w:r>
        <w:rPr>
          <w:rFonts w:ascii="宋体" w:hAnsi="Calibri" w:cs="宋体"/>
          <w:bCs/>
          <w:szCs w:val="21"/>
          <w:highlight w:val="white"/>
          <w:lang w:eastAsia="zh-CN"/>
        </w:rPr>
        <w:t>）本基金投资于同一原始权益人的各类资产支持证券的比例，不得超过基金资产净值的</w:t>
      </w:r>
      <w:r>
        <w:rPr>
          <w:rFonts w:ascii="宋体" w:hAnsi="Calibri" w:cs="宋体"/>
          <w:bCs/>
          <w:szCs w:val="21"/>
          <w:highlight w:val="white"/>
          <w:lang w:eastAsia="zh-CN"/>
        </w:rPr>
        <w:t>10%</w:t>
      </w:r>
      <w:r>
        <w:rPr>
          <w:rFonts w:ascii="宋体" w:hAnsi="Calibri" w:cs="宋体"/>
          <w:bCs/>
          <w:szCs w:val="21"/>
          <w:highlight w:val="white"/>
          <w:lang w:eastAsia="zh-CN"/>
        </w:rPr>
        <w:t>；</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4</w:t>
      </w:r>
      <w:r>
        <w:rPr>
          <w:rFonts w:ascii="宋体" w:hAnsi="Calibri" w:cs="宋体"/>
          <w:bCs/>
          <w:szCs w:val="21"/>
          <w:highlight w:val="white"/>
          <w:lang w:eastAsia="zh-CN"/>
        </w:rPr>
        <w:t>）本基金持有的全部资产支持证券，其市值不得超过基金资产净值的</w:t>
      </w:r>
      <w:r>
        <w:rPr>
          <w:rFonts w:ascii="宋体" w:hAnsi="Calibri" w:cs="宋体"/>
          <w:bCs/>
          <w:szCs w:val="21"/>
          <w:highlight w:val="white"/>
          <w:lang w:eastAsia="zh-CN"/>
        </w:rPr>
        <w:t>20%</w:t>
      </w:r>
      <w:r>
        <w:rPr>
          <w:rFonts w:ascii="宋体" w:hAnsi="Calibri" w:cs="宋体"/>
          <w:bCs/>
          <w:szCs w:val="21"/>
          <w:highlight w:val="white"/>
          <w:lang w:eastAsia="zh-CN"/>
        </w:rPr>
        <w:t>；</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5</w:t>
      </w:r>
      <w:r>
        <w:rPr>
          <w:rFonts w:ascii="宋体" w:hAnsi="Calibri" w:cs="宋体"/>
          <w:bCs/>
          <w:szCs w:val="21"/>
          <w:highlight w:val="white"/>
          <w:lang w:eastAsia="zh-CN"/>
        </w:rPr>
        <w:t>）本基金持有的同一</w:t>
      </w:r>
      <w:r>
        <w:rPr>
          <w:rFonts w:ascii="宋体" w:hAnsi="Calibri" w:cs="宋体"/>
          <w:bCs/>
          <w:szCs w:val="21"/>
          <w:highlight w:val="white"/>
          <w:lang w:eastAsia="zh-CN"/>
        </w:rPr>
        <w:t>(</w:t>
      </w:r>
      <w:r>
        <w:rPr>
          <w:rFonts w:ascii="宋体" w:hAnsi="Calibri" w:cs="宋体"/>
          <w:bCs/>
          <w:szCs w:val="21"/>
          <w:highlight w:val="white"/>
          <w:lang w:eastAsia="zh-CN"/>
        </w:rPr>
        <w:t>指同一信用级别</w:t>
      </w:r>
      <w:r>
        <w:rPr>
          <w:rFonts w:ascii="宋体" w:hAnsi="Calibri" w:cs="宋体"/>
          <w:bCs/>
          <w:szCs w:val="21"/>
          <w:highlight w:val="white"/>
          <w:lang w:eastAsia="zh-CN"/>
        </w:rPr>
        <w:t>)</w:t>
      </w:r>
      <w:r>
        <w:rPr>
          <w:rFonts w:ascii="宋体" w:hAnsi="Calibri" w:cs="宋体"/>
          <w:bCs/>
          <w:szCs w:val="21"/>
          <w:highlight w:val="white"/>
          <w:lang w:eastAsia="zh-CN"/>
        </w:rPr>
        <w:t>资产支持证券的比例，不得超过该资产支持证券规模的</w:t>
      </w:r>
      <w:r>
        <w:rPr>
          <w:rFonts w:ascii="宋体" w:hAnsi="Calibri" w:cs="宋体"/>
          <w:bCs/>
          <w:szCs w:val="21"/>
          <w:highlight w:val="white"/>
          <w:lang w:eastAsia="zh-CN"/>
        </w:rPr>
        <w:t>10%</w:t>
      </w:r>
      <w:r>
        <w:rPr>
          <w:rFonts w:ascii="宋体" w:hAnsi="Calibri" w:cs="宋体"/>
          <w:bCs/>
          <w:szCs w:val="21"/>
          <w:highlight w:val="white"/>
          <w:lang w:eastAsia="zh-CN"/>
        </w:rPr>
        <w:t>；</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6</w:t>
      </w:r>
      <w:r>
        <w:rPr>
          <w:rFonts w:ascii="宋体" w:hAnsi="Calibri" w:cs="宋体"/>
          <w:bCs/>
          <w:szCs w:val="21"/>
          <w:highlight w:val="white"/>
          <w:lang w:eastAsia="zh-CN"/>
        </w:rPr>
        <w:t>）本基金管理人管理的全部基金投资于同一原始权益人的各类资产支持证券，不得超过其各类资产支持证券合计规模的</w:t>
      </w:r>
      <w:r>
        <w:rPr>
          <w:rFonts w:ascii="宋体" w:hAnsi="Calibri" w:cs="宋体"/>
          <w:bCs/>
          <w:szCs w:val="21"/>
          <w:highlight w:val="white"/>
          <w:lang w:eastAsia="zh-CN"/>
        </w:rPr>
        <w:t>10%</w:t>
      </w:r>
      <w:r>
        <w:rPr>
          <w:rFonts w:ascii="宋体" w:hAnsi="Calibri" w:cs="宋体"/>
          <w:bCs/>
          <w:szCs w:val="21"/>
          <w:highlight w:val="white"/>
          <w:lang w:eastAsia="zh-CN"/>
        </w:rPr>
        <w:t>；</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7</w:t>
      </w:r>
      <w:r>
        <w:rPr>
          <w:rFonts w:ascii="宋体" w:hAnsi="Calibri" w:cs="宋体"/>
          <w:bCs/>
          <w:szCs w:val="21"/>
          <w:highlight w:val="white"/>
          <w:lang w:eastAsia="zh-CN"/>
        </w:rPr>
        <w:t>）本</w:t>
      </w:r>
      <w:r>
        <w:rPr>
          <w:rFonts w:ascii="宋体" w:hAnsi="Calibri" w:cs="宋体"/>
          <w:bCs/>
          <w:szCs w:val="21"/>
          <w:highlight w:val="white"/>
          <w:lang w:eastAsia="zh-CN"/>
        </w:rPr>
        <w:t>基金应投资于信用级别评级为</w:t>
      </w:r>
      <w:r>
        <w:rPr>
          <w:rFonts w:ascii="宋体" w:hAnsi="Calibri" w:cs="宋体"/>
          <w:bCs/>
          <w:szCs w:val="21"/>
          <w:highlight w:val="white"/>
          <w:lang w:eastAsia="zh-CN"/>
        </w:rPr>
        <w:t>BBB</w:t>
      </w:r>
      <w:r>
        <w:rPr>
          <w:rFonts w:ascii="宋体" w:hAnsi="Calibri" w:cs="宋体"/>
          <w:bCs/>
          <w:szCs w:val="21"/>
          <w:highlight w:val="white"/>
          <w:lang w:eastAsia="zh-CN"/>
        </w:rPr>
        <w:t>以上</w:t>
      </w:r>
      <w:r>
        <w:rPr>
          <w:rFonts w:ascii="宋体" w:hAnsi="Calibri" w:cs="宋体"/>
          <w:bCs/>
          <w:szCs w:val="21"/>
          <w:highlight w:val="white"/>
          <w:lang w:eastAsia="zh-CN"/>
        </w:rPr>
        <w:t>(</w:t>
      </w:r>
      <w:r>
        <w:rPr>
          <w:rFonts w:ascii="宋体" w:hAnsi="Calibri" w:cs="宋体"/>
          <w:bCs/>
          <w:szCs w:val="21"/>
          <w:highlight w:val="white"/>
          <w:lang w:eastAsia="zh-CN"/>
        </w:rPr>
        <w:t>含</w:t>
      </w:r>
      <w:r>
        <w:rPr>
          <w:rFonts w:ascii="宋体" w:hAnsi="Calibri" w:cs="宋体"/>
          <w:bCs/>
          <w:szCs w:val="21"/>
          <w:highlight w:val="white"/>
          <w:lang w:eastAsia="zh-CN"/>
        </w:rPr>
        <w:t>BBB)</w:t>
      </w:r>
      <w:r>
        <w:rPr>
          <w:rFonts w:ascii="宋体" w:hAnsi="Calibri" w:cs="宋体"/>
          <w:bCs/>
          <w:szCs w:val="21"/>
          <w:highlight w:val="white"/>
          <w:lang w:eastAsia="zh-CN"/>
        </w:rPr>
        <w:t>的资产支持证券。基金持有资产支持证券期间，如果其信用等级下降、不再符合投资标准，应在评级报告发布之日起</w:t>
      </w:r>
      <w:r>
        <w:rPr>
          <w:rFonts w:ascii="宋体" w:hAnsi="Calibri" w:cs="宋体"/>
          <w:bCs/>
          <w:szCs w:val="21"/>
          <w:highlight w:val="white"/>
          <w:lang w:eastAsia="zh-CN"/>
        </w:rPr>
        <w:t>3</w:t>
      </w:r>
      <w:r>
        <w:rPr>
          <w:rFonts w:ascii="宋体" w:hAnsi="Calibri" w:cs="宋体"/>
          <w:bCs/>
          <w:szCs w:val="21"/>
          <w:highlight w:val="white"/>
          <w:lang w:eastAsia="zh-CN"/>
        </w:rPr>
        <w:t>个月内予以全部卖出；</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8</w:t>
      </w:r>
      <w:r>
        <w:rPr>
          <w:rFonts w:ascii="宋体" w:hAnsi="Calibri" w:cs="宋体"/>
          <w:bCs/>
          <w:szCs w:val="21"/>
          <w:highlight w:val="white"/>
          <w:lang w:eastAsia="zh-CN"/>
        </w:rPr>
        <w:t>）基金财产参与股票发行申购，本基金所申报的金额不超过本基金的总资产，本基金所申报的股票数量不超过拟发行股票公司本次发行股票的总量；</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9</w:t>
      </w:r>
      <w:r>
        <w:rPr>
          <w:rFonts w:ascii="宋体" w:hAnsi="Calibri" w:cs="宋体"/>
          <w:bCs/>
          <w:szCs w:val="21"/>
          <w:highlight w:val="white"/>
          <w:lang w:eastAsia="zh-CN"/>
        </w:rPr>
        <w:t>）本基金参与股指期货交易的，应当符合下列要求：在任何交易日日终，持有的买入股指期货合约价值，不得超过基金资产净值的</w:t>
      </w:r>
      <w:r>
        <w:rPr>
          <w:rFonts w:ascii="宋体" w:hAnsi="Calibri" w:cs="宋体"/>
          <w:bCs/>
          <w:szCs w:val="21"/>
          <w:highlight w:val="white"/>
          <w:lang w:eastAsia="zh-CN"/>
        </w:rPr>
        <w:t>10%</w:t>
      </w:r>
      <w:r>
        <w:rPr>
          <w:rFonts w:ascii="宋体" w:hAnsi="Calibri" w:cs="宋体"/>
          <w:bCs/>
          <w:szCs w:val="21"/>
          <w:highlight w:val="white"/>
          <w:lang w:eastAsia="zh-CN"/>
        </w:rPr>
        <w:t>；在任何交易日日终，持有的买入国债期货和股指期货合约价值与有价证券市值之和，不</w:t>
      </w:r>
      <w:r>
        <w:rPr>
          <w:rFonts w:ascii="宋体" w:hAnsi="Calibri" w:cs="宋体"/>
          <w:bCs/>
          <w:szCs w:val="21"/>
          <w:highlight w:val="white"/>
          <w:lang w:eastAsia="zh-CN"/>
        </w:rPr>
        <w:t>得超过基金资产净值的</w:t>
      </w:r>
      <w:r>
        <w:rPr>
          <w:rFonts w:ascii="宋体" w:hAnsi="Calibri" w:cs="宋体"/>
          <w:bCs/>
          <w:szCs w:val="21"/>
          <w:highlight w:val="white"/>
          <w:lang w:eastAsia="zh-CN"/>
        </w:rPr>
        <w:t>100%</w:t>
      </w:r>
      <w:r>
        <w:rPr>
          <w:rFonts w:ascii="宋体" w:hAnsi="Calibri" w:cs="宋体"/>
          <w:bCs/>
          <w:szCs w:val="21"/>
          <w:highlight w:val="white"/>
          <w:lang w:eastAsia="zh-CN"/>
        </w:rPr>
        <w:t>，其中，有价证券指目标</w:t>
      </w:r>
      <w:r>
        <w:rPr>
          <w:rFonts w:ascii="宋体" w:hAnsi="Calibri" w:cs="宋体"/>
          <w:bCs/>
          <w:szCs w:val="21"/>
          <w:highlight w:val="white"/>
          <w:lang w:eastAsia="zh-CN"/>
        </w:rPr>
        <w:t>ETF</w:t>
      </w:r>
      <w:r>
        <w:rPr>
          <w:rFonts w:ascii="宋体" w:hAnsi="Calibri" w:cs="宋体"/>
          <w:bCs/>
          <w:szCs w:val="21"/>
          <w:highlight w:val="white"/>
          <w:lang w:eastAsia="zh-CN"/>
        </w:rPr>
        <w:t>、股票、债券（不含到期日在一年以内的政府债券）、资产支持证券、买入返售金融资产（不含质押式回购）等；在任何交易日日终，持有的卖出股指期货合约价值不得超过基金持有的股票及目标</w:t>
      </w:r>
      <w:r>
        <w:rPr>
          <w:rFonts w:ascii="宋体" w:hAnsi="Calibri" w:cs="宋体"/>
          <w:bCs/>
          <w:szCs w:val="21"/>
          <w:highlight w:val="white"/>
          <w:lang w:eastAsia="zh-CN"/>
        </w:rPr>
        <w:t>ETF</w:t>
      </w:r>
      <w:r>
        <w:rPr>
          <w:rFonts w:ascii="宋体" w:hAnsi="Calibri" w:cs="宋体"/>
          <w:bCs/>
          <w:szCs w:val="21"/>
          <w:highlight w:val="white"/>
          <w:lang w:eastAsia="zh-CN"/>
        </w:rPr>
        <w:t>总市值的</w:t>
      </w:r>
      <w:r>
        <w:rPr>
          <w:rFonts w:ascii="宋体" w:hAnsi="Calibri" w:cs="宋体"/>
          <w:bCs/>
          <w:szCs w:val="21"/>
          <w:highlight w:val="white"/>
          <w:lang w:eastAsia="zh-CN"/>
        </w:rPr>
        <w:t>20%</w:t>
      </w:r>
      <w:r>
        <w:rPr>
          <w:rFonts w:ascii="宋体" w:hAnsi="Calibri" w:cs="宋体"/>
          <w:bCs/>
          <w:szCs w:val="21"/>
          <w:highlight w:val="white"/>
          <w:lang w:eastAsia="zh-CN"/>
        </w:rPr>
        <w:t>；持有的股票市值和买入、卖出股指期货合约价值，合计（轧差计算）应当符合基金合同关于股票投资比例的有关约定；在任何交易日内交易（不包括平仓）的股指期货合约的成交金额不得超过上一交易日基金资产净值的</w:t>
      </w:r>
      <w:r>
        <w:rPr>
          <w:rFonts w:ascii="宋体" w:hAnsi="Calibri" w:cs="宋体"/>
          <w:bCs/>
          <w:szCs w:val="21"/>
          <w:highlight w:val="white"/>
          <w:lang w:eastAsia="zh-CN"/>
        </w:rPr>
        <w:t>20%</w:t>
      </w:r>
      <w:r>
        <w:rPr>
          <w:rFonts w:ascii="宋体" w:hAnsi="Calibri" w:cs="宋体"/>
          <w:bCs/>
          <w:szCs w:val="21"/>
          <w:highlight w:val="white"/>
          <w:lang w:eastAsia="zh-CN"/>
        </w:rPr>
        <w:t>；每个交易日日终，扣除股指期货、国债期货合约需缴纳的交易保证金后</w:t>
      </w:r>
      <w:r>
        <w:rPr>
          <w:rFonts w:ascii="宋体" w:hAnsi="Calibri" w:cs="宋体"/>
          <w:bCs/>
          <w:szCs w:val="21"/>
          <w:highlight w:val="white"/>
          <w:lang w:eastAsia="zh-CN"/>
        </w:rPr>
        <w:t>，保持不低于基金资产净值</w:t>
      </w:r>
      <w:r>
        <w:rPr>
          <w:rFonts w:ascii="宋体" w:hAnsi="Calibri" w:cs="宋体"/>
          <w:bCs/>
          <w:szCs w:val="21"/>
          <w:highlight w:val="white"/>
          <w:lang w:eastAsia="zh-CN"/>
        </w:rPr>
        <w:t>5%</w:t>
      </w:r>
      <w:r>
        <w:rPr>
          <w:rFonts w:ascii="宋体" w:hAnsi="Calibri" w:cs="宋体"/>
          <w:bCs/>
          <w:szCs w:val="21"/>
          <w:highlight w:val="white"/>
          <w:lang w:eastAsia="zh-CN"/>
        </w:rPr>
        <w:t>的现金或者到期日在一年以内的政府债券，其中现金不包括结算备付金、存出保证金和应收申购款等；</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10</w:t>
      </w:r>
      <w:r>
        <w:rPr>
          <w:rFonts w:ascii="宋体" w:hAnsi="Calibri" w:cs="宋体"/>
          <w:bCs/>
          <w:szCs w:val="21"/>
          <w:highlight w:val="white"/>
          <w:lang w:eastAsia="zh-CN"/>
        </w:rPr>
        <w:t>）本基金参与国债期货交易的，应当符合下列要求：在任何交易日日终，本基金持有的买入国债期货合约价值，不得超过基金资产净值的</w:t>
      </w:r>
      <w:r>
        <w:rPr>
          <w:rFonts w:ascii="宋体" w:hAnsi="Calibri" w:cs="宋体"/>
          <w:bCs/>
          <w:szCs w:val="21"/>
          <w:highlight w:val="white"/>
          <w:lang w:eastAsia="zh-CN"/>
        </w:rPr>
        <w:t>15%</w:t>
      </w:r>
      <w:r>
        <w:rPr>
          <w:rFonts w:ascii="宋体" w:hAnsi="Calibri" w:cs="宋体"/>
          <w:bCs/>
          <w:szCs w:val="21"/>
          <w:highlight w:val="white"/>
          <w:lang w:eastAsia="zh-CN"/>
        </w:rPr>
        <w:t>；本基金在任何交易日日终，持有的卖出国债期货合约价值不得超过基金持有的债券总市值的</w:t>
      </w:r>
      <w:r>
        <w:rPr>
          <w:rFonts w:ascii="宋体" w:hAnsi="Calibri" w:cs="宋体"/>
          <w:bCs/>
          <w:szCs w:val="21"/>
          <w:highlight w:val="white"/>
          <w:lang w:eastAsia="zh-CN"/>
        </w:rPr>
        <w:t>30%</w:t>
      </w:r>
      <w:r>
        <w:rPr>
          <w:rFonts w:ascii="宋体" w:hAnsi="Calibri" w:cs="宋体"/>
          <w:bCs/>
          <w:szCs w:val="21"/>
          <w:highlight w:val="white"/>
          <w:lang w:eastAsia="zh-CN"/>
        </w:rPr>
        <w:t>；本基金在任何交易日内交易（不包括平仓）的国债期货合约的成交金额不得超过上一交易日基金资产净值的</w:t>
      </w:r>
      <w:r>
        <w:rPr>
          <w:rFonts w:ascii="宋体" w:hAnsi="Calibri" w:cs="宋体"/>
          <w:bCs/>
          <w:szCs w:val="21"/>
          <w:highlight w:val="white"/>
          <w:lang w:eastAsia="zh-CN"/>
        </w:rPr>
        <w:t>30%</w:t>
      </w:r>
      <w:r>
        <w:rPr>
          <w:rFonts w:ascii="宋体" w:hAnsi="Calibri" w:cs="宋体"/>
          <w:bCs/>
          <w:szCs w:val="21"/>
          <w:highlight w:val="white"/>
          <w:lang w:eastAsia="zh-CN"/>
        </w:rPr>
        <w:t>；本基金所持有的债券（不含到期日在一年以内的政府债券）市值和买入、卖出</w:t>
      </w:r>
      <w:r>
        <w:rPr>
          <w:rFonts w:ascii="宋体" w:hAnsi="Calibri" w:cs="宋体"/>
          <w:bCs/>
          <w:szCs w:val="21"/>
          <w:highlight w:val="white"/>
          <w:lang w:eastAsia="zh-CN"/>
        </w:rPr>
        <w:t>国债期货合约价值，合计（轧差计算）应当符合基金合同关于债券投资比例的有关约定；</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11</w:t>
      </w:r>
      <w:r>
        <w:rPr>
          <w:rFonts w:ascii="宋体" w:hAnsi="Calibri" w:cs="宋体"/>
          <w:bCs/>
          <w:szCs w:val="21"/>
          <w:highlight w:val="white"/>
          <w:lang w:eastAsia="zh-CN"/>
        </w:rPr>
        <w:t>）本基金参与股票期权交易的，应当符合下列要求：基金因未平仓的期权合约支付和收取的权利金总额不得超过基金资产净值的</w:t>
      </w:r>
      <w:r>
        <w:rPr>
          <w:rFonts w:ascii="宋体" w:hAnsi="Calibri" w:cs="宋体"/>
          <w:bCs/>
          <w:szCs w:val="21"/>
          <w:highlight w:val="white"/>
          <w:lang w:eastAsia="zh-CN"/>
        </w:rPr>
        <w:t>10%</w:t>
      </w:r>
      <w:r>
        <w:rPr>
          <w:rFonts w:ascii="宋体" w:hAnsi="Calibri" w:cs="宋体"/>
          <w:bCs/>
          <w:szCs w:val="21"/>
          <w:highlight w:val="white"/>
          <w:lang w:eastAsia="zh-CN"/>
        </w:rPr>
        <w:t>；开仓卖出认购期权的，应持有足额标的证券；开仓卖出认沽期权的，应持有合约行权所需的全额现金或交易所规则认可的可冲抵期权保证金的现金等价物；未平仓的期权合约面值不得超过基金资产净值的</w:t>
      </w:r>
      <w:r>
        <w:rPr>
          <w:rFonts w:ascii="宋体" w:hAnsi="Calibri" w:cs="宋体"/>
          <w:bCs/>
          <w:szCs w:val="21"/>
          <w:highlight w:val="white"/>
          <w:lang w:eastAsia="zh-CN"/>
        </w:rPr>
        <w:t>20%</w:t>
      </w:r>
      <w:r>
        <w:rPr>
          <w:rFonts w:ascii="宋体" w:hAnsi="Calibri" w:cs="宋体"/>
          <w:bCs/>
          <w:szCs w:val="21"/>
          <w:highlight w:val="white"/>
          <w:lang w:eastAsia="zh-CN"/>
        </w:rPr>
        <w:t>。其中，合约面值按照行权价乘以合约乘数计算；</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12</w:t>
      </w:r>
      <w:r>
        <w:rPr>
          <w:rFonts w:ascii="宋体" w:hAnsi="Calibri" w:cs="宋体"/>
          <w:bCs/>
          <w:szCs w:val="21"/>
          <w:highlight w:val="white"/>
          <w:lang w:eastAsia="zh-CN"/>
        </w:rPr>
        <w:t>）基金参与融资业务后，在任何交易日日终，持有的融资买入股票与其他有价证</w:t>
      </w:r>
      <w:r>
        <w:rPr>
          <w:rFonts w:ascii="宋体" w:hAnsi="Calibri" w:cs="宋体"/>
          <w:bCs/>
          <w:szCs w:val="21"/>
          <w:highlight w:val="white"/>
          <w:lang w:eastAsia="zh-CN"/>
        </w:rPr>
        <w:t>券市值之和，不得超过基金资产净值的</w:t>
      </w:r>
      <w:r>
        <w:rPr>
          <w:rFonts w:ascii="宋体" w:hAnsi="Calibri" w:cs="宋体"/>
          <w:bCs/>
          <w:szCs w:val="21"/>
          <w:highlight w:val="white"/>
          <w:lang w:eastAsia="zh-CN"/>
        </w:rPr>
        <w:t>95%</w:t>
      </w:r>
      <w:r>
        <w:rPr>
          <w:rFonts w:ascii="宋体" w:hAnsi="Calibri" w:cs="宋体"/>
          <w:bCs/>
          <w:szCs w:val="21"/>
          <w:highlight w:val="white"/>
          <w:lang w:eastAsia="zh-CN"/>
        </w:rPr>
        <w:t>；</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13</w:t>
      </w:r>
      <w:r>
        <w:rPr>
          <w:rFonts w:ascii="宋体" w:hAnsi="Calibri" w:cs="宋体"/>
          <w:bCs/>
          <w:szCs w:val="21"/>
          <w:highlight w:val="white"/>
          <w:lang w:eastAsia="zh-CN"/>
        </w:rPr>
        <w:t>）本基金参与转融通证券出借业务的，应当符合下列要求：出借证券资产不得超过基金资产净值的</w:t>
      </w:r>
      <w:r>
        <w:rPr>
          <w:rFonts w:ascii="宋体" w:hAnsi="Calibri" w:cs="宋体"/>
          <w:bCs/>
          <w:szCs w:val="21"/>
          <w:highlight w:val="white"/>
          <w:lang w:eastAsia="zh-CN"/>
        </w:rPr>
        <w:t>30%</w:t>
      </w:r>
      <w:r>
        <w:rPr>
          <w:rFonts w:ascii="宋体" w:hAnsi="Calibri" w:cs="宋体"/>
          <w:bCs/>
          <w:szCs w:val="21"/>
          <w:highlight w:val="white"/>
          <w:lang w:eastAsia="zh-CN"/>
        </w:rPr>
        <w:t>，出借期限在</w:t>
      </w:r>
      <w:r>
        <w:rPr>
          <w:rFonts w:ascii="宋体" w:hAnsi="Calibri" w:cs="宋体"/>
          <w:bCs/>
          <w:szCs w:val="21"/>
          <w:highlight w:val="white"/>
          <w:lang w:eastAsia="zh-CN"/>
        </w:rPr>
        <w:t>10</w:t>
      </w:r>
      <w:r>
        <w:rPr>
          <w:rFonts w:ascii="宋体" w:hAnsi="Calibri" w:cs="宋体"/>
          <w:bCs/>
          <w:szCs w:val="21"/>
          <w:highlight w:val="white"/>
          <w:lang w:eastAsia="zh-CN"/>
        </w:rPr>
        <w:t>个交易日以上的出借证券应纳入《流动性风险管理规定》所述流动性受限证券的范围；参与出借业务的单只证券不得超过基金持有该证券总量的</w:t>
      </w:r>
      <w:r>
        <w:rPr>
          <w:rFonts w:ascii="宋体" w:hAnsi="Calibri" w:cs="宋体"/>
          <w:bCs/>
          <w:szCs w:val="21"/>
          <w:highlight w:val="white"/>
          <w:lang w:eastAsia="zh-CN"/>
        </w:rPr>
        <w:t>50%</w:t>
      </w:r>
      <w:r>
        <w:rPr>
          <w:rFonts w:ascii="宋体" w:hAnsi="Calibri" w:cs="宋体"/>
          <w:bCs/>
          <w:szCs w:val="21"/>
          <w:highlight w:val="white"/>
          <w:lang w:eastAsia="zh-CN"/>
        </w:rPr>
        <w:t>；最近</w:t>
      </w:r>
      <w:r>
        <w:rPr>
          <w:rFonts w:ascii="宋体" w:hAnsi="Calibri" w:cs="宋体"/>
          <w:bCs/>
          <w:szCs w:val="21"/>
          <w:highlight w:val="white"/>
          <w:lang w:eastAsia="zh-CN"/>
        </w:rPr>
        <w:t>6</w:t>
      </w:r>
      <w:r>
        <w:rPr>
          <w:rFonts w:ascii="宋体" w:hAnsi="Calibri" w:cs="宋体"/>
          <w:bCs/>
          <w:szCs w:val="21"/>
          <w:highlight w:val="white"/>
          <w:lang w:eastAsia="zh-CN"/>
        </w:rPr>
        <w:t>个月内日均基金资产净值不得低于</w:t>
      </w:r>
      <w:r>
        <w:rPr>
          <w:rFonts w:ascii="宋体" w:hAnsi="Calibri" w:cs="宋体"/>
          <w:bCs/>
          <w:szCs w:val="21"/>
          <w:highlight w:val="white"/>
          <w:lang w:eastAsia="zh-CN"/>
        </w:rPr>
        <w:t>2</w:t>
      </w:r>
      <w:r>
        <w:rPr>
          <w:rFonts w:ascii="宋体" w:hAnsi="Calibri" w:cs="宋体"/>
          <w:bCs/>
          <w:szCs w:val="21"/>
          <w:highlight w:val="white"/>
          <w:lang w:eastAsia="zh-CN"/>
        </w:rPr>
        <w:t>亿元；证券出借的平均剩余期限不得超过</w:t>
      </w:r>
      <w:r>
        <w:rPr>
          <w:rFonts w:ascii="宋体" w:hAnsi="Calibri" w:cs="宋体"/>
          <w:bCs/>
          <w:szCs w:val="21"/>
          <w:highlight w:val="white"/>
          <w:lang w:eastAsia="zh-CN"/>
        </w:rPr>
        <w:t>30</w:t>
      </w:r>
      <w:r>
        <w:rPr>
          <w:rFonts w:ascii="宋体" w:hAnsi="Calibri" w:cs="宋体"/>
          <w:bCs/>
          <w:szCs w:val="21"/>
          <w:highlight w:val="white"/>
          <w:lang w:eastAsia="zh-CN"/>
        </w:rPr>
        <w:t>天，平均剩余期限按照市值加权平均计算；</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14</w:t>
      </w:r>
      <w:r>
        <w:rPr>
          <w:rFonts w:ascii="宋体" w:hAnsi="Calibri" w:cs="宋体"/>
          <w:bCs/>
          <w:szCs w:val="21"/>
          <w:highlight w:val="white"/>
          <w:lang w:eastAsia="zh-CN"/>
        </w:rPr>
        <w:t>）本基金主动投资于流动性受限资产的市值合计不得超过基金资产净值的</w:t>
      </w:r>
      <w:r>
        <w:rPr>
          <w:rFonts w:ascii="宋体" w:hAnsi="Calibri" w:cs="宋体"/>
          <w:bCs/>
          <w:szCs w:val="21"/>
          <w:highlight w:val="white"/>
          <w:lang w:eastAsia="zh-CN"/>
        </w:rPr>
        <w:t>15%</w:t>
      </w:r>
      <w:r>
        <w:rPr>
          <w:rFonts w:ascii="宋体" w:hAnsi="Calibri" w:cs="宋体"/>
          <w:bCs/>
          <w:szCs w:val="21"/>
          <w:highlight w:val="white"/>
          <w:lang w:eastAsia="zh-CN"/>
        </w:rPr>
        <w:t>；因证券市场波动、上市公</w:t>
      </w:r>
      <w:r>
        <w:rPr>
          <w:rFonts w:ascii="宋体" w:hAnsi="Calibri" w:cs="宋体"/>
          <w:bCs/>
          <w:szCs w:val="21"/>
          <w:highlight w:val="white"/>
          <w:lang w:eastAsia="zh-CN"/>
        </w:rPr>
        <w:t>司股票停牌、基金规模变动等基金管理人之外的因素致使基金不符合该比例限制的，基金管理人不得主动新增流动性受限资产的投资；</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15</w:t>
      </w:r>
      <w:r>
        <w:rPr>
          <w:rFonts w:ascii="宋体" w:hAnsi="Calibri" w:cs="宋体"/>
          <w:bCs/>
          <w:szCs w:val="21"/>
          <w:highlight w:val="white"/>
          <w:lang w:eastAsia="zh-CN"/>
        </w:rPr>
        <w:t>）本基金与私募类证券资管产品及中国证监会认定的其他主体为交易对手开展逆回购交易的，可接受质押品的资质要求应当与基金合同约定的投资范围保持一致；</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16</w:t>
      </w:r>
      <w:r>
        <w:rPr>
          <w:rFonts w:ascii="宋体" w:hAnsi="Calibri" w:cs="宋体"/>
          <w:bCs/>
          <w:szCs w:val="21"/>
          <w:highlight w:val="white"/>
          <w:lang w:eastAsia="zh-CN"/>
        </w:rPr>
        <w:t>）本基金资产总值不超过基金资产净值的</w:t>
      </w:r>
      <w:r>
        <w:rPr>
          <w:rFonts w:ascii="宋体" w:hAnsi="Calibri" w:cs="宋体"/>
          <w:bCs/>
          <w:szCs w:val="21"/>
          <w:highlight w:val="white"/>
          <w:lang w:eastAsia="zh-CN"/>
        </w:rPr>
        <w:t>140%</w:t>
      </w:r>
      <w:r>
        <w:rPr>
          <w:rFonts w:ascii="宋体" w:hAnsi="Calibri" w:cs="宋体"/>
          <w:bCs/>
          <w:szCs w:val="21"/>
          <w:highlight w:val="white"/>
          <w:lang w:eastAsia="zh-CN"/>
        </w:rPr>
        <w:t>；</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17</w:t>
      </w:r>
      <w:r>
        <w:rPr>
          <w:rFonts w:ascii="宋体" w:hAnsi="Calibri" w:cs="宋体"/>
          <w:bCs/>
          <w:szCs w:val="21"/>
          <w:highlight w:val="white"/>
          <w:lang w:eastAsia="zh-CN"/>
        </w:rPr>
        <w:t>）本基金投资存托凭证的比例限制依照境内上市交易的股票执行，与境内上市交易的股票合并计算；</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18</w:t>
      </w:r>
      <w:r>
        <w:rPr>
          <w:rFonts w:ascii="宋体" w:hAnsi="Calibri" w:cs="宋体"/>
          <w:bCs/>
          <w:szCs w:val="21"/>
          <w:highlight w:val="white"/>
          <w:lang w:eastAsia="zh-CN"/>
        </w:rPr>
        <w:t>）法律法规及中国证监会规定的和《基金合同》约定的其他投资限制。</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因证券</w:t>
      </w:r>
      <w:r>
        <w:rPr>
          <w:rFonts w:ascii="宋体" w:hAnsi="Calibri" w:cs="宋体"/>
          <w:bCs/>
          <w:szCs w:val="21"/>
          <w:highlight w:val="white"/>
          <w:lang w:eastAsia="zh-CN"/>
        </w:rPr>
        <w:t>/</w:t>
      </w:r>
      <w:r>
        <w:rPr>
          <w:rFonts w:ascii="宋体" w:hAnsi="Calibri" w:cs="宋体"/>
          <w:bCs/>
          <w:szCs w:val="21"/>
          <w:highlight w:val="white"/>
          <w:lang w:eastAsia="zh-CN"/>
        </w:rPr>
        <w:t>期货市场波动、</w:t>
      </w:r>
      <w:r>
        <w:rPr>
          <w:rFonts w:ascii="宋体" w:hAnsi="Calibri" w:cs="宋体"/>
          <w:bCs/>
          <w:szCs w:val="21"/>
          <w:highlight w:val="white"/>
          <w:lang w:eastAsia="zh-CN"/>
        </w:rPr>
        <w:t>证券发行人合并、基金规模变动、标的指数成份股调整、流动性限制、目标</w:t>
      </w:r>
      <w:r>
        <w:rPr>
          <w:rFonts w:ascii="宋体" w:hAnsi="Calibri" w:cs="宋体"/>
          <w:bCs/>
          <w:szCs w:val="21"/>
          <w:highlight w:val="white"/>
          <w:lang w:eastAsia="zh-CN"/>
        </w:rPr>
        <w:t>ETF</w:t>
      </w:r>
      <w:r>
        <w:rPr>
          <w:rFonts w:ascii="宋体" w:hAnsi="Calibri" w:cs="宋体"/>
          <w:bCs/>
          <w:szCs w:val="21"/>
          <w:highlight w:val="white"/>
          <w:lang w:eastAsia="zh-CN"/>
        </w:rPr>
        <w:t>暂停申购、赎回或二级市场交易停牌等基金管理人之外的因素致使基金投资比例不符合上述第（</w:t>
      </w:r>
      <w:r>
        <w:rPr>
          <w:rFonts w:ascii="宋体" w:hAnsi="Calibri" w:cs="宋体"/>
          <w:bCs/>
          <w:szCs w:val="21"/>
          <w:highlight w:val="white"/>
          <w:lang w:eastAsia="zh-CN"/>
        </w:rPr>
        <w:t>1</w:t>
      </w:r>
      <w:r>
        <w:rPr>
          <w:rFonts w:ascii="宋体" w:hAnsi="Calibri" w:cs="宋体"/>
          <w:bCs/>
          <w:szCs w:val="21"/>
          <w:highlight w:val="white"/>
          <w:lang w:eastAsia="zh-CN"/>
        </w:rPr>
        <w:t>）项规定投资比例的，基金管理人应当在</w:t>
      </w:r>
      <w:r>
        <w:rPr>
          <w:rFonts w:ascii="宋体" w:hAnsi="Calibri" w:cs="宋体"/>
          <w:bCs/>
          <w:szCs w:val="21"/>
          <w:highlight w:val="white"/>
          <w:lang w:eastAsia="zh-CN"/>
        </w:rPr>
        <w:t>20</w:t>
      </w:r>
      <w:r>
        <w:rPr>
          <w:rFonts w:ascii="宋体" w:hAnsi="Calibri" w:cs="宋体"/>
          <w:bCs/>
          <w:szCs w:val="21"/>
          <w:highlight w:val="white"/>
          <w:lang w:eastAsia="zh-CN"/>
        </w:rPr>
        <w:t>个交易日内进行调整；除上述（</w:t>
      </w:r>
      <w:r>
        <w:rPr>
          <w:rFonts w:ascii="宋体" w:hAnsi="Calibri" w:cs="宋体"/>
          <w:bCs/>
          <w:szCs w:val="21"/>
          <w:highlight w:val="white"/>
          <w:lang w:eastAsia="zh-CN"/>
        </w:rPr>
        <w:t>1</w:t>
      </w:r>
      <w:r>
        <w:rPr>
          <w:rFonts w:ascii="宋体" w:hAnsi="Calibri" w:cs="宋体"/>
          <w:bCs/>
          <w:szCs w:val="21"/>
          <w:highlight w:val="white"/>
          <w:lang w:eastAsia="zh-CN"/>
        </w:rPr>
        <w:t>）、（</w:t>
      </w:r>
      <w:r>
        <w:rPr>
          <w:rFonts w:ascii="宋体" w:hAnsi="Calibri" w:cs="宋体"/>
          <w:bCs/>
          <w:szCs w:val="21"/>
          <w:highlight w:val="white"/>
          <w:lang w:eastAsia="zh-CN"/>
        </w:rPr>
        <w:t>2</w:t>
      </w:r>
      <w:r>
        <w:rPr>
          <w:rFonts w:ascii="宋体" w:hAnsi="Calibri" w:cs="宋体"/>
          <w:bCs/>
          <w:szCs w:val="21"/>
          <w:highlight w:val="white"/>
          <w:lang w:eastAsia="zh-CN"/>
        </w:rPr>
        <w:t>）、（</w:t>
      </w:r>
      <w:r>
        <w:rPr>
          <w:rFonts w:ascii="宋体" w:hAnsi="Calibri" w:cs="宋体"/>
          <w:bCs/>
          <w:szCs w:val="21"/>
          <w:highlight w:val="white"/>
          <w:lang w:eastAsia="zh-CN"/>
        </w:rPr>
        <w:t>7</w:t>
      </w:r>
      <w:r>
        <w:rPr>
          <w:rFonts w:ascii="宋体" w:hAnsi="Calibri" w:cs="宋体"/>
          <w:bCs/>
          <w:szCs w:val="21"/>
          <w:highlight w:val="white"/>
          <w:lang w:eastAsia="zh-CN"/>
        </w:rPr>
        <w:t>）、（</w:t>
      </w:r>
      <w:r>
        <w:rPr>
          <w:rFonts w:ascii="宋体" w:hAnsi="Calibri" w:cs="宋体"/>
          <w:bCs/>
          <w:szCs w:val="21"/>
          <w:highlight w:val="white"/>
          <w:lang w:eastAsia="zh-CN"/>
        </w:rPr>
        <w:t>8</w:t>
      </w:r>
      <w:r>
        <w:rPr>
          <w:rFonts w:ascii="宋体" w:hAnsi="Calibri" w:cs="宋体"/>
          <w:bCs/>
          <w:szCs w:val="21"/>
          <w:highlight w:val="white"/>
          <w:lang w:eastAsia="zh-CN"/>
        </w:rPr>
        <w:t>）、（</w:t>
      </w:r>
      <w:r>
        <w:rPr>
          <w:rFonts w:ascii="宋体" w:hAnsi="Calibri" w:cs="宋体"/>
          <w:bCs/>
          <w:szCs w:val="21"/>
          <w:highlight w:val="white"/>
          <w:lang w:eastAsia="zh-CN"/>
        </w:rPr>
        <w:t>13</w:t>
      </w:r>
      <w:r>
        <w:rPr>
          <w:rFonts w:ascii="宋体" w:hAnsi="Calibri" w:cs="宋体"/>
          <w:bCs/>
          <w:szCs w:val="21"/>
          <w:highlight w:val="white"/>
          <w:lang w:eastAsia="zh-CN"/>
        </w:rPr>
        <w:t>）、（</w:t>
      </w:r>
      <w:r>
        <w:rPr>
          <w:rFonts w:ascii="宋体" w:hAnsi="Calibri" w:cs="宋体"/>
          <w:bCs/>
          <w:szCs w:val="21"/>
          <w:highlight w:val="white"/>
          <w:lang w:eastAsia="zh-CN"/>
        </w:rPr>
        <w:t>14</w:t>
      </w:r>
      <w:r>
        <w:rPr>
          <w:rFonts w:ascii="宋体" w:hAnsi="Calibri" w:cs="宋体"/>
          <w:bCs/>
          <w:szCs w:val="21"/>
          <w:highlight w:val="white"/>
          <w:lang w:eastAsia="zh-CN"/>
        </w:rPr>
        <w:t>）、（</w:t>
      </w:r>
      <w:r>
        <w:rPr>
          <w:rFonts w:ascii="宋体" w:hAnsi="Calibri" w:cs="宋体"/>
          <w:bCs/>
          <w:szCs w:val="21"/>
          <w:highlight w:val="white"/>
          <w:lang w:eastAsia="zh-CN"/>
        </w:rPr>
        <w:t>15</w:t>
      </w:r>
      <w:r>
        <w:rPr>
          <w:rFonts w:ascii="宋体" w:hAnsi="Calibri" w:cs="宋体"/>
          <w:bCs/>
          <w:szCs w:val="21"/>
          <w:highlight w:val="white"/>
          <w:lang w:eastAsia="zh-CN"/>
        </w:rPr>
        <w:t>）情形之外，因证券</w:t>
      </w:r>
      <w:r>
        <w:rPr>
          <w:rFonts w:ascii="宋体" w:hAnsi="Calibri" w:cs="宋体"/>
          <w:bCs/>
          <w:szCs w:val="21"/>
          <w:highlight w:val="white"/>
          <w:lang w:eastAsia="zh-CN"/>
        </w:rPr>
        <w:t>/</w:t>
      </w:r>
      <w:r>
        <w:rPr>
          <w:rFonts w:ascii="宋体" w:hAnsi="Calibri" w:cs="宋体"/>
          <w:bCs/>
          <w:szCs w:val="21"/>
          <w:highlight w:val="white"/>
          <w:lang w:eastAsia="zh-CN"/>
        </w:rPr>
        <w:t>期货市场波动、证券发行人合并、基金规模变动、标的指数成份股调整、流动性限制、目标</w:t>
      </w:r>
      <w:r>
        <w:rPr>
          <w:rFonts w:ascii="宋体" w:hAnsi="Calibri" w:cs="宋体"/>
          <w:bCs/>
          <w:szCs w:val="21"/>
          <w:highlight w:val="white"/>
          <w:lang w:eastAsia="zh-CN"/>
        </w:rPr>
        <w:t>ETF</w:t>
      </w:r>
      <w:r>
        <w:rPr>
          <w:rFonts w:ascii="宋体" w:hAnsi="Calibri" w:cs="宋体"/>
          <w:bCs/>
          <w:szCs w:val="21"/>
          <w:highlight w:val="white"/>
          <w:lang w:eastAsia="zh-CN"/>
        </w:rPr>
        <w:t>暂停申购、赎回或二级市场交易停牌等基金管理人之外的因素致使基金投资比例不符合上述规定投资比例的，基金管理人应当在</w:t>
      </w:r>
      <w:r>
        <w:rPr>
          <w:rFonts w:ascii="宋体" w:hAnsi="Calibri" w:cs="宋体"/>
          <w:bCs/>
          <w:szCs w:val="21"/>
          <w:highlight w:val="white"/>
          <w:lang w:eastAsia="zh-CN"/>
        </w:rPr>
        <w:t>10</w:t>
      </w:r>
      <w:r>
        <w:rPr>
          <w:rFonts w:ascii="宋体" w:hAnsi="Calibri" w:cs="宋体"/>
          <w:bCs/>
          <w:szCs w:val="21"/>
          <w:highlight w:val="white"/>
          <w:lang w:eastAsia="zh-CN"/>
        </w:rPr>
        <w:t>个交易日</w:t>
      </w:r>
      <w:r>
        <w:rPr>
          <w:rFonts w:ascii="宋体" w:hAnsi="Calibri" w:cs="宋体"/>
          <w:bCs/>
          <w:szCs w:val="21"/>
          <w:highlight w:val="white"/>
          <w:lang w:eastAsia="zh-CN"/>
        </w:rPr>
        <w:t>内进行调整，但中国证监会规定的特殊情形除外。因证券</w:t>
      </w:r>
      <w:r>
        <w:rPr>
          <w:rFonts w:ascii="宋体" w:hAnsi="Calibri" w:cs="宋体"/>
          <w:bCs/>
          <w:szCs w:val="21"/>
          <w:highlight w:val="white"/>
          <w:lang w:eastAsia="zh-CN"/>
        </w:rPr>
        <w:t>/</w:t>
      </w:r>
      <w:r>
        <w:rPr>
          <w:rFonts w:ascii="宋体" w:hAnsi="Calibri" w:cs="宋体"/>
          <w:bCs/>
          <w:szCs w:val="21"/>
          <w:highlight w:val="white"/>
          <w:lang w:eastAsia="zh-CN"/>
        </w:rPr>
        <w:t>期货市场波动、证券发行人合并、基金规模变动等基金管理人之外的因素致使基金投资不符合第（</w:t>
      </w:r>
      <w:r>
        <w:rPr>
          <w:rFonts w:ascii="宋体" w:hAnsi="Calibri" w:cs="宋体"/>
          <w:bCs/>
          <w:szCs w:val="21"/>
          <w:highlight w:val="white"/>
          <w:lang w:eastAsia="zh-CN"/>
        </w:rPr>
        <w:t>13</w:t>
      </w:r>
      <w:r>
        <w:rPr>
          <w:rFonts w:ascii="宋体" w:hAnsi="Calibri" w:cs="宋体"/>
          <w:bCs/>
          <w:szCs w:val="21"/>
          <w:highlight w:val="white"/>
          <w:lang w:eastAsia="zh-CN"/>
        </w:rPr>
        <w:t>）项规定的，基金管理人不得新增出借业务。法律法规或监管部门另有规定的，届时按最新规定执行。</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基金管理人应当自基金合同生效之日起</w:t>
      </w:r>
      <w:r>
        <w:rPr>
          <w:rFonts w:ascii="宋体" w:hAnsi="Calibri" w:cs="宋体"/>
          <w:bCs/>
          <w:szCs w:val="21"/>
          <w:highlight w:val="white"/>
          <w:lang w:eastAsia="zh-CN"/>
        </w:rPr>
        <w:t>6</w:t>
      </w:r>
      <w:r>
        <w:rPr>
          <w:rFonts w:ascii="宋体" w:hAnsi="Calibri" w:cs="宋体"/>
          <w:bCs/>
          <w:szCs w:val="21"/>
          <w:highlight w:val="white"/>
          <w:lang w:eastAsia="zh-CN"/>
        </w:rPr>
        <w:t>个月内使基金的投资组合比例符合基金合同的有关约定。在上述期间内，本基金的投资范围、投资策略应当符合基金合同的约定。基金托管人对基金的投资的监督与检查自基金合同生效之日起开始。</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3.</w:t>
      </w:r>
      <w:r>
        <w:rPr>
          <w:rFonts w:ascii="宋体" w:hAnsi="Calibri" w:cs="宋体"/>
          <w:bCs/>
          <w:szCs w:val="21"/>
          <w:highlight w:val="white"/>
          <w:lang w:eastAsia="zh-CN"/>
        </w:rPr>
        <w:t>本基金财产不得用于以下投资或者活动：</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1</w:t>
      </w:r>
      <w:r>
        <w:rPr>
          <w:rFonts w:ascii="宋体" w:hAnsi="Calibri" w:cs="宋体"/>
          <w:bCs/>
          <w:szCs w:val="21"/>
          <w:highlight w:val="white"/>
          <w:lang w:eastAsia="zh-CN"/>
        </w:rPr>
        <w:t>）承销证券；</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2</w:t>
      </w:r>
      <w:r>
        <w:rPr>
          <w:rFonts w:ascii="宋体" w:hAnsi="Calibri" w:cs="宋体"/>
          <w:bCs/>
          <w:szCs w:val="21"/>
          <w:highlight w:val="white"/>
          <w:lang w:eastAsia="zh-CN"/>
        </w:rPr>
        <w:t>）违反规定向他人贷款或者提供担保；</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3</w:t>
      </w:r>
      <w:r>
        <w:rPr>
          <w:rFonts w:ascii="宋体" w:hAnsi="Calibri" w:cs="宋体"/>
          <w:bCs/>
          <w:szCs w:val="21"/>
          <w:highlight w:val="white"/>
          <w:lang w:eastAsia="zh-CN"/>
        </w:rPr>
        <w:t>）从事承担无限责任的投资；</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4</w:t>
      </w:r>
      <w:r>
        <w:rPr>
          <w:rFonts w:ascii="宋体" w:hAnsi="Calibri" w:cs="宋体"/>
          <w:bCs/>
          <w:szCs w:val="21"/>
          <w:highlight w:val="white"/>
          <w:lang w:eastAsia="zh-CN"/>
        </w:rPr>
        <w:t>）向其基金管理人、基金托管人出资；</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5</w:t>
      </w:r>
      <w:r>
        <w:rPr>
          <w:rFonts w:ascii="宋体" w:hAnsi="Calibri" w:cs="宋体"/>
          <w:bCs/>
          <w:szCs w:val="21"/>
          <w:highlight w:val="white"/>
          <w:lang w:eastAsia="zh-CN"/>
        </w:rPr>
        <w:t>）从事内幕交易、操纵证券交易价格及其他不正当的证券交易活动；</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6</w:t>
      </w:r>
      <w:r>
        <w:rPr>
          <w:rFonts w:ascii="宋体" w:hAnsi="Calibri" w:cs="宋体"/>
          <w:bCs/>
          <w:szCs w:val="21"/>
          <w:highlight w:val="white"/>
          <w:lang w:eastAsia="zh-CN"/>
        </w:rPr>
        <w:t>）法律、行政法规和中国证监会规定禁止的其他活动。</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4.</w:t>
      </w:r>
      <w:r>
        <w:rPr>
          <w:rFonts w:ascii="宋体" w:hAnsi="Calibri" w:cs="宋体"/>
          <w:bCs/>
          <w:szCs w:val="21"/>
          <w:highlight w:val="white"/>
          <w:lang w:eastAsia="zh-CN"/>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w:t>
      </w:r>
      <w:r>
        <w:rPr>
          <w:rFonts w:ascii="宋体" w:hAnsi="Calibri" w:cs="宋体"/>
          <w:bCs/>
          <w:szCs w:val="21"/>
          <w:highlight w:val="white"/>
          <w:lang w:eastAsia="zh-CN"/>
        </w:rPr>
        <w:t>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5.</w:t>
      </w:r>
      <w:r>
        <w:rPr>
          <w:rFonts w:ascii="宋体" w:hAnsi="Calibri" w:cs="宋体"/>
          <w:bCs/>
          <w:szCs w:val="21"/>
          <w:highlight w:val="white"/>
          <w:lang w:eastAsia="zh-CN"/>
        </w:rPr>
        <w:t>法律法规或监管部门取消上述组合限制、禁止行为规定或从事关联交易的条件和要求，本基金可不受相关限制。法律法规或监管部门对上述组合限制、禁止行为规定或从事关联交易的条件和要求进行变更的，本基金可以变更后的规定为准。经与基金托管人协商一致，基金管理人</w:t>
      </w:r>
      <w:r>
        <w:rPr>
          <w:rFonts w:ascii="宋体" w:hAnsi="Calibri" w:cs="宋体" w:hint="eastAsia"/>
          <w:bCs/>
          <w:szCs w:val="21"/>
          <w:lang w:eastAsia="zh-CN"/>
        </w:rPr>
        <w:t>履行适当程序后</w:t>
      </w:r>
      <w:r>
        <w:rPr>
          <w:rFonts w:ascii="宋体" w:hAnsi="Calibri" w:cs="宋体"/>
          <w:bCs/>
          <w:szCs w:val="21"/>
          <w:highlight w:val="white"/>
          <w:lang w:eastAsia="zh-CN"/>
        </w:rPr>
        <w:t>可依据法律法规或监管部门规定</w:t>
      </w:r>
      <w:r>
        <w:rPr>
          <w:rFonts w:ascii="宋体" w:hAnsi="Calibri" w:cs="宋体"/>
          <w:bCs/>
          <w:szCs w:val="21"/>
          <w:highlight w:val="white"/>
          <w:lang w:eastAsia="zh-CN"/>
        </w:rPr>
        <w:t>对基金合同进行变更</w:t>
      </w:r>
      <w:r>
        <w:rPr>
          <w:rFonts w:ascii="宋体" w:hAnsi="Calibri" w:cs="宋体"/>
          <w:bCs/>
          <w:szCs w:val="21"/>
          <w:highlight w:val="white"/>
          <w:lang w:eastAsia="zh-CN"/>
        </w:rPr>
        <w:t>。</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二）基金托管人根据有关法律法规的规定及《基金合同》的约定，对基金管理人选择存款银行进行监督。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对于不符合规定的银行存款，基金托管人可以拒绝执行，并通知基金管理人。</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本基金投资银行存款应符合如下规定：</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1.</w:t>
      </w:r>
      <w:r>
        <w:rPr>
          <w:rFonts w:ascii="宋体" w:hAnsi="Calibri" w:cs="宋体"/>
          <w:bCs/>
          <w:szCs w:val="21"/>
          <w:highlight w:val="white"/>
          <w:lang w:eastAsia="zh-CN"/>
        </w:rPr>
        <w:t>本基金投资于有固定期限银行存款的比例不得超过</w:t>
      </w:r>
      <w:r>
        <w:rPr>
          <w:rFonts w:ascii="宋体" w:hAnsi="Calibri" w:cs="宋体"/>
          <w:bCs/>
          <w:szCs w:val="21"/>
          <w:highlight w:val="white"/>
          <w:lang w:eastAsia="zh-CN"/>
        </w:rPr>
        <w:t>基金资产净值的</w:t>
      </w:r>
      <w:r>
        <w:rPr>
          <w:rFonts w:ascii="宋体" w:hAnsi="Calibri" w:cs="宋体"/>
          <w:bCs/>
          <w:szCs w:val="21"/>
          <w:highlight w:val="white"/>
          <w:lang w:eastAsia="zh-CN"/>
        </w:rPr>
        <w:t>30%</w:t>
      </w:r>
      <w:r>
        <w:rPr>
          <w:rFonts w:ascii="宋体" w:hAnsi="Calibri" w:cs="宋体"/>
          <w:bCs/>
          <w:szCs w:val="21"/>
          <w:highlight w:val="white"/>
          <w:lang w:eastAsia="zh-CN"/>
        </w:rPr>
        <w:t>，但投资于有存款期限，根据协议可提前支取的银行存款，不受上述比例限制；投资于具有基金托管人资格的同一商业银行的银行存款、同业存单占基金资产净值的比例合计不得超过</w:t>
      </w:r>
      <w:r>
        <w:rPr>
          <w:rFonts w:ascii="宋体" w:hAnsi="Calibri" w:cs="宋体"/>
          <w:bCs/>
          <w:szCs w:val="21"/>
          <w:highlight w:val="white"/>
          <w:lang w:eastAsia="zh-CN"/>
        </w:rPr>
        <w:t>20%</w:t>
      </w:r>
      <w:r>
        <w:rPr>
          <w:rFonts w:ascii="宋体" w:hAnsi="Calibri" w:cs="宋体"/>
          <w:bCs/>
          <w:szCs w:val="21"/>
          <w:highlight w:val="white"/>
          <w:lang w:eastAsia="zh-CN"/>
        </w:rPr>
        <w:t>；投资于不具有基金托管人资格的同一商业银行的银行存款、同业存单占基金资产净值的比例合计不得超过</w:t>
      </w:r>
      <w:r>
        <w:rPr>
          <w:rFonts w:ascii="宋体" w:hAnsi="Calibri" w:cs="宋体"/>
          <w:bCs/>
          <w:szCs w:val="21"/>
          <w:highlight w:val="white"/>
          <w:lang w:eastAsia="zh-CN"/>
        </w:rPr>
        <w:t>5%</w:t>
      </w:r>
      <w:r>
        <w:rPr>
          <w:rFonts w:ascii="宋体" w:hAnsi="Calibri" w:cs="宋体"/>
          <w:bCs/>
          <w:szCs w:val="21"/>
          <w:highlight w:val="white"/>
          <w:lang w:eastAsia="zh-CN"/>
        </w:rPr>
        <w:t>。</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有关法律法规或监管部门制定或修改新的定期存款投资政策，基金管理人可相应调整投资组合限制的规定。</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2.</w:t>
      </w:r>
      <w:r>
        <w:rPr>
          <w:rFonts w:ascii="宋体" w:hAnsi="Calibri" w:cs="宋体"/>
          <w:bCs/>
          <w:szCs w:val="21"/>
          <w:highlight w:val="white"/>
          <w:lang w:eastAsia="zh-CN"/>
        </w:rPr>
        <w:t>基金管理人负责对本基金存款银行的评估与研究，建立健全银行存款的业务流程、岗位职责、风险控制措施和监察稽核制度，切实防范有关风</w:t>
      </w:r>
      <w:r>
        <w:rPr>
          <w:rFonts w:ascii="宋体" w:hAnsi="Calibri" w:cs="宋体"/>
          <w:bCs/>
          <w:szCs w:val="21"/>
          <w:highlight w:val="white"/>
          <w:lang w:eastAsia="zh-CN"/>
        </w:rPr>
        <w:t>险。基金托管人负责对本基金银行定期存款业务的监督与核查，审查、复核相关协议、账户资料、投资指令、存款证实书等有关文件，切实履行托管职责。</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1</w:t>
      </w:r>
      <w:r>
        <w:rPr>
          <w:rFonts w:ascii="宋体" w:hAnsi="Calibri" w:cs="宋体"/>
          <w:bCs/>
          <w:szCs w:val="21"/>
          <w:highlight w:val="white"/>
          <w:lang w:eastAsia="zh-CN"/>
        </w:rPr>
        <w:t>）基金管理人负责控制信用风险。信用风险主要包括存款银行的信用等级、存款银行的支付能力等涉及到存款银行选择方面的风险。因选择存款银行不当造成基金财产损失的，由基金管理人承担责任。</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2</w:t>
      </w:r>
      <w:r>
        <w:rPr>
          <w:rFonts w:ascii="宋体" w:hAnsi="Calibri" w:cs="宋体"/>
          <w:bCs/>
          <w:szCs w:val="21"/>
          <w:highlight w:val="white"/>
          <w:lang w:eastAsia="zh-CN"/>
        </w:rPr>
        <w:t>）基金管理人负责控制流动性风险，并承担因控制不力而造成的损失。流动性风险主要包括基金管理人要求全部提前支取、部分提前支取或到期支取而存款银行未能及时兑付的风险、基金投资银行存款不能满足基金</w:t>
      </w:r>
      <w:r>
        <w:rPr>
          <w:rFonts w:ascii="宋体" w:hAnsi="Calibri" w:cs="宋体"/>
          <w:bCs/>
          <w:szCs w:val="21"/>
          <w:highlight w:val="white"/>
          <w:lang w:eastAsia="zh-CN"/>
        </w:rPr>
        <w:t>正常结算业务的风险、因全部提前支取或部分提前支取而涉及的利息损失影响估值等涉及到基金流动性方面的风险。</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3</w:t>
      </w:r>
      <w:r>
        <w:rPr>
          <w:rFonts w:ascii="宋体" w:hAnsi="Calibri" w:cs="宋体"/>
          <w:bCs/>
          <w:szCs w:val="21"/>
          <w:highlight w:val="white"/>
          <w:lang w:eastAsia="zh-CN"/>
        </w:rPr>
        <w:t>）基金管理人须加强内部风险控制制度的建设。如因基金管理人员工职务行为导致基金财产受到损失的，需由基金管理人承担由此造成的损失。</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4</w:t>
      </w:r>
      <w:r>
        <w:rPr>
          <w:rFonts w:ascii="宋体" w:hAnsi="Calibri" w:cs="宋体"/>
          <w:bCs/>
          <w:szCs w:val="21"/>
          <w:highlight w:val="white"/>
          <w:lang w:eastAsia="zh-CN"/>
        </w:rPr>
        <w:t>）基金管理人与基金托管人在开展基金存款业务时，应严格遵守《基金法》、《运作办法》等有关法律法规，以及国家有关账户管理、利率管理、支付结算等的各项规定。</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（三）基金投资银行存款协议的签订、账户开设与管理、投资指令与资金划付、账目核对、到期兑付、提前支取</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1.</w:t>
      </w:r>
      <w:r>
        <w:rPr>
          <w:rFonts w:ascii="宋体" w:hAnsi="Calibri" w:cs="宋体"/>
          <w:bCs/>
          <w:szCs w:val="21"/>
          <w:highlight w:val="white"/>
          <w:lang w:eastAsia="zh-CN"/>
        </w:rPr>
        <w:t>基金投资银行存款</w:t>
      </w:r>
      <w:r>
        <w:rPr>
          <w:rFonts w:ascii="宋体" w:hAnsi="Calibri" w:cs="宋体"/>
          <w:bCs/>
          <w:szCs w:val="21"/>
          <w:highlight w:val="white"/>
          <w:lang w:eastAsia="zh-CN"/>
        </w:rPr>
        <w:t>协议的签订</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1</w:t>
      </w:r>
      <w:r>
        <w:rPr>
          <w:rFonts w:ascii="宋体" w:hAnsi="Calibri" w:cs="宋体"/>
          <w:bCs/>
          <w:szCs w:val="21"/>
          <w:highlight w:val="white"/>
          <w:lang w:eastAsia="zh-CN"/>
        </w:rPr>
        <w:t>）基金管理人应与符合资格的存款银行总行或其授权分行签订《基金存款业务总体合作协议》（以下简称《总体合作协议》），确定《存款协议书》的格式范本。《总体合作协议》和《存款协议书》的格式范本由基金托管人与基金管理人共同商定。</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2</w:t>
      </w:r>
      <w:r>
        <w:rPr>
          <w:rFonts w:ascii="宋体" w:hAnsi="Calibri" w:cs="宋体"/>
          <w:bCs/>
          <w:szCs w:val="21"/>
          <w:highlight w:val="white"/>
          <w:lang w:eastAsia="zh-CN"/>
        </w:rPr>
        <w:t>）基金托管人依据相关法规对《总体合作协议》和《存款协议书》的内容进行复核，审查存款银行资格等。</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3</w:t>
      </w:r>
      <w:r>
        <w:rPr>
          <w:rFonts w:ascii="宋体" w:hAnsi="Calibri" w:cs="宋体"/>
          <w:bCs/>
          <w:szCs w:val="21"/>
          <w:highlight w:val="white"/>
          <w:lang w:eastAsia="zh-CN"/>
        </w:rPr>
        <w:t>）基金管理人应在《存款协议书》中明确存款证实书或其他有效存款凭证的办理方式、邮寄地址、联系人和联系电话，以及存款证实书或其他有效凭证在邮寄过程中遗失后，存款余额的确认及兑付</w:t>
      </w:r>
      <w:r>
        <w:rPr>
          <w:rFonts w:ascii="宋体" w:hAnsi="Calibri" w:cs="宋体"/>
          <w:bCs/>
          <w:szCs w:val="21"/>
          <w:highlight w:val="white"/>
          <w:lang w:eastAsia="zh-CN"/>
        </w:rPr>
        <w:t>办法等。</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4</w:t>
      </w:r>
      <w:r>
        <w:rPr>
          <w:rFonts w:ascii="宋体" w:hAnsi="Calibri" w:cs="宋体"/>
          <w:bCs/>
          <w:szCs w:val="21"/>
          <w:highlight w:val="white"/>
          <w:lang w:eastAsia="zh-CN"/>
        </w:rPr>
        <w:t>）由存款银行指定的存放存款的分支机构（以下简称</w:t>
      </w:r>
      <w:r>
        <w:rPr>
          <w:rFonts w:ascii="宋体" w:hAnsi="Calibri" w:cs="宋体"/>
          <w:bCs/>
          <w:szCs w:val="21"/>
          <w:highlight w:val="white"/>
          <w:lang w:eastAsia="zh-CN"/>
        </w:rPr>
        <w:t>“</w:t>
      </w:r>
      <w:r>
        <w:rPr>
          <w:rFonts w:ascii="宋体" w:hAnsi="Calibri" w:cs="宋体"/>
          <w:bCs/>
          <w:szCs w:val="21"/>
          <w:highlight w:val="white"/>
          <w:lang w:eastAsia="zh-CN"/>
        </w:rPr>
        <w:t>存款分支机构</w:t>
      </w:r>
      <w:r>
        <w:rPr>
          <w:rFonts w:ascii="宋体" w:hAnsi="Calibri" w:cs="宋体"/>
          <w:bCs/>
          <w:szCs w:val="21"/>
          <w:highlight w:val="white"/>
          <w:lang w:eastAsia="zh-CN"/>
        </w:rPr>
        <w:t>”</w:t>
      </w:r>
      <w:r>
        <w:rPr>
          <w:rFonts w:ascii="宋体" w:hAnsi="Calibri" w:cs="宋体"/>
          <w:bCs/>
          <w:szCs w:val="21"/>
          <w:highlight w:val="white"/>
          <w:lang w:eastAsia="zh-CN"/>
        </w:rPr>
        <w:t>）寄送或上门交付存款证实书或其他有效存款凭证的，基金托管人可向存款分支机构的上级行发出存款余额询证函，存款分支机构及其上级行应予配合。</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5</w:t>
      </w:r>
      <w:r>
        <w:rPr>
          <w:rFonts w:ascii="宋体" w:hAnsi="Calibri" w:cs="宋体"/>
          <w:bCs/>
          <w:szCs w:val="21"/>
          <w:highlight w:val="white"/>
          <w:lang w:eastAsia="zh-CN"/>
        </w:rPr>
        <w:t>）基金管理人应在《存款协议书》中规定，基金存放到期或提前兑付的资金应全部划转到指定的基金托管账户，并在《存款协议书》写明账户名称和账号，未划入指定账户的，由存款银行承担一切责任。</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6</w:t>
      </w:r>
      <w:r>
        <w:rPr>
          <w:rFonts w:ascii="宋体" w:hAnsi="Calibri" w:cs="宋体"/>
          <w:bCs/>
          <w:szCs w:val="21"/>
          <w:highlight w:val="white"/>
          <w:lang w:eastAsia="zh-CN"/>
        </w:rPr>
        <w:t>）基金管理人应在《存款协议书》中规定，在存期内，如本基金银行账户、预留印鉴发生变更，基金管理人应及时书面通知存款</w:t>
      </w:r>
      <w:r>
        <w:rPr>
          <w:rFonts w:ascii="宋体" w:hAnsi="Calibri" w:cs="宋体"/>
          <w:bCs/>
          <w:szCs w:val="21"/>
          <w:highlight w:val="white"/>
          <w:lang w:eastAsia="zh-CN"/>
        </w:rPr>
        <w:t>行，书面通知应加盖基金托管人预留印鉴。存款分支机构应及时就变更事项向基金管理人、基金托管人出具正式书面确认书。变更通知的送达方式同开户手续。在存期内，存款分支机构和基金托管人的指定联系人变更，应及时加盖公章书面通知对方。</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7</w:t>
      </w:r>
      <w:r>
        <w:rPr>
          <w:rFonts w:ascii="宋体" w:hAnsi="Calibri" w:cs="宋体"/>
          <w:bCs/>
          <w:szCs w:val="21"/>
          <w:highlight w:val="white"/>
          <w:lang w:eastAsia="zh-CN"/>
        </w:rPr>
        <w:t>）基金管理人应在《存款协议书》中规定，因定期存款产生的存单不得被质押或以任何方式被抵押，不得用于转让和背书。</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2.</w:t>
      </w:r>
      <w:r>
        <w:rPr>
          <w:rFonts w:ascii="宋体" w:hAnsi="Calibri" w:cs="宋体"/>
          <w:bCs/>
          <w:szCs w:val="21"/>
          <w:highlight w:val="white"/>
          <w:lang w:eastAsia="zh-CN"/>
        </w:rPr>
        <w:t>基金投资银行存款时的账户开设与管理</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1</w:t>
      </w:r>
      <w:r>
        <w:rPr>
          <w:rFonts w:ascii="宋体" w:hAnsi="Calibri" w:cs="宋体"/>
          <w:bCs/>
          <w:szCs w:val="21"/>
          <w:highlight w:val="white"/>
          <w:lang w:eastAsia="zh-CN"/>
        </w:rPr>
        <w:t>）基金投资于银行存款时，基金管理人应当依据基金管理人与存款银行签订的《总体合作协议》、《存款协议书》等，以基金的名义在存款银行总行或</w:t>
      </w:r>
      <w:r>
        <w:rPr>
          <w:rFonts w:ascii="宋体" w:hAnsi="Calibri" w:cs="宋体"/>
          <w:bCs/>
          <w:szCs w:val="21"/>
          <w:highlight w:val="white"/>
          <w:lang w:eastAsia="zh-CN"/>
        </w:rPr>
        <w:t>授权分行指定的分支机构开立银行账户。</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2</w:t>
      </w:r>
      <w:r>
        <w:rPr>
          <w:rFonts w:ascii="宋体" w:hAnsi="Calibri" w:cs="宋体"/>
          <w:bCs/>
          <w:szCs w:val="21"/>
          <w:highlight w:val="white"/>
          <w:lang w:eastAsia="zh-CN"/>
        </w:rPr>
        <w:t>）基金投资于银行存款时的预留印鉴由基金托管人保管和使用。</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3.</w:t>
      </w:r>
      <w:r>
        <w:rPr>
          <w:rFonts w:ascii="宋体" w:hAnsi="Calibri" w:cs="宋体"/>
          <w:bCs/>
          <w:szCs w:val="21"/>
          <w:highlight w:val="white"/>
          <w:lang w:eastAsia="zh-CN"/>
        </w:rPr>
        <w:t>存款凭证传递、账目核对及到期兑付</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1</w:t>
      </w:r>
      <w:r>
        <w:rPr>
          <w:rFonts w:ascii="宋体" w:hAnsi="Calibri" w:cs="宋体"/>
          <w:bCs/>
          <w:szCs w:val="21"/>
          <w:highlight w:val="white"/>
          <w:lang w:eastAsia="zh-CN"/>
        </w:rPr>
        <w:t>）存款证实书等存款凭证传递</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存款资金只能存放于存款银行总行或者其授权分行指定的分支机构。基金管理人应在《存款协议书》中规定，存款银行分支机构应为基金开具存款证实书或其他有效存款凭证（下称</w:t>
      </w:r>
      <w:r>
        <w:rPr>
          <w:rFonts w:ascii="宋体" w:hAnsi="Calibri" w:cs="宋体"/>
          <w:bCs/>
          <w:szCs w:val="21"/>
          <w:highlight w:val="white"/>
          <w:lang w:eastAsia="zh-CN"/>
        </w:rPr>
        <w:t>“</w:t>
      </w:r>
      <w:r>
        <w:rPr>
          <w:rFonts w:ascii="宋体" w:hAnsi="Calibri" w:cs="宋体"/>
          <w:bCs/>
          <w:szCs w:val="21"/>
          <w:highlight w:val="white"/>
          <w:lang w:eastAsia="zh-CN"/>
        </w:rPr>
        <w:t>存款凭证</w:t>
      </w:r>
      <w:r>
        <w:rPr>
          <w:rFonts w:ascii="宋体" w:hAnsi="Calibri" w:cs="宋体"/>
          <w:bCs/>
          <w:szCs w:val="21"/>
          <w:highlight w:val="white"/>
          <w:lang w:eastAsia="zh-CN"/>
        </w:rPr>
        <w:t>”</w:t>
      </w:r>
      <w:r>
        <w:rPr>
          <w:rFonts w:ascii="宋体" w:hAnsi="Calibri" w:cs="宋体"/>
          <w:bCs/>
          <w:szCs w:val="21"/>
          <w:highlight w:val="white"/>
          <w:lang w:eastAsia="zh-CN"/>
        </w:rPr>
        <w:t>），该存款凭证为基金存款确认或到期提款的有效凭证，且对应每笔存款仅能开具唯一存款凭证。资金到账当日，由存款银行分支机构指定的会计主管传真一份存款凭证复印件并与基金托管人电话确认收妥后，将存款凭证原件通过快递寄送或上门交付至基金托管人指定联系人；若存款银行分支机构代为保管存款凭证的，由存款银行分支机构指定会计主管传真一份存款凭证复印件并与基金托管人电话确认收妥。</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2</w:t>
      </w:r>
      <w:r>
        <w:rPr>
          <w:rFonts w:ascii="宋体" w:hAnsi="Calibri" w:cs="宋体"/>
          <w:bCs/>
          <w:szCs w:val="21"/>
          <w:highlight w:val="white"/>
          <w:lang w:eastAsia="zh-CN"/>
        </w:rPr>
        <w:t>）存款凭证的遗失补办</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存款凭证在邮寄过程中遗失的，由基金管理人向存款银行提出补办申请，基金管理人应督促存款银行尽快补办存款凭证，并按以上（</w:t>
      </w:r>
      <w:r>
        <w:rPr>
          <w:rFonts w:ascii="宋体" w:hAnsi="Calibri" w:cs="宋体"/>
          <w:bCs/>
          <w:szCs w:val="21"/>
          <w:highlight w:val="white"/>
          <w:lang w:eastAsia="zh-CN"/>
        </w:rPr>
        <w:t>1</w:t>
      </w:r>
      <w:r>
        <w:rPr>
          <w:rFonts w:ascii="宋体" w:hAnsi="Calibri" w:cs="宋体"/>
          <w:bCs/>
          <w:szCs w:val="21"/>
          <w:highlight w:val="white"/>
          <w:lang w:eastAsia="zh-CN"/>
        </w:rPr>
        <w:t>）的</w:t>
      </w:r>
      <w:r>
        <w:rPr>
          <w:rFonts w:ascii="宋体" w:hAnsi="Calibri" w:cs="宋体"/>
          <w:bCs/>
          <w:szCs w:val="21"/>
          <w:highlight w:val="white"/>
          <w:lang w:eastAsia="zh-CN"/>
        </w:rPr>
        <w:t>方式快递或上门交付至基金托管人，原存款凭证自动作废。</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3</w:t>
      </w:r>
      <w:r>
        <w:rPr>
          <w:rFonts w:ascii="宋体" w:hAnsi="Calibri" w:cs="宋体"/>
          <w:bCs/>
          <w:szCs w:val="21"/>
          <w:highlight w:val="white"/>
          <w:lang w:eastAsia="zh-CN"/>
        </w:rPr>
        <w:t>）账目核对</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每个工作日，基金管理人应与基金托管人核对各项银行存款投资余额及应计利息。</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基金管理人应在《存款协议书》中规定，对于存期超过</w:t>
      </w:r>
      <w:r>
        <w:rPr>
          <w:rFonts w:ascii="宋体" w:hAnsi="Calibri" w:cs="宋体"/>
          <w:bCs/>
          <w:szCs w:val="21"/>
          <w:highlight w:val="white"/>
          <w:lang w:eastAsia="zh-CN"/>
        </w:rPr>
        <w:t>3</w:t>
      </w:r>
      <w:r>
        <w:rPr>
          <w:rFonts w:ascii="宋体" w:hAnsi="Calibri" w:cs="宋体"/>
          <w:bCs/>
          <w:szCs w:val="21"/>
          <w:highlight w:val="white"/>
          <w:lang w:eastAsia="zh-CN"/>
        </w:rPr>
        <w:t>个月的定期存款，基金托管人于每季度向存款银行发起查询查复，存款银行应按照人行查询查复的有关时限要求及时回复。基金管理人有责任督促存款银行及时回复查询查复。因存款银行未及时回复造成的资金被挪用、盗取的责任由存款银行承担。</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存款银行应配合基金托管人对存款凭证的询证，并在询证函上加盖存款银行公章寄送至基金托管人指定联系人。</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w:t>
      </w:r>
      <w:r>
        <w:rPr>
          <w:rFonts w:ascii="宋体" w:hAnsi="Calibri" w:cs="宋体"/>
          <w:bCs/>
          <w:szCs w:val="21"/>
          <w:highlight w:val="white"/>
          <w:lang w:eastAsia="zh-CN"/>
        </w:rPr>
        <w:t>4</w:t>
      </w:r>
      <w:r>
        <w:rPr>
          <w:rFonts w:ascii="宋体" w:hAnsi="Calibri" w:cs="宋体"/>
          <w:bCs/>
          <w:szCs w:val="21"/>
          <w:highlight w:val="white"/>
          <w:lang w:eastAsia="zh-CN"/>
        </w:rPr>
        <w:t>）到期兑付</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管理人提前通知基金托管人通过快递将存款凭证原件寄给存款银行分支机构指定的会计主管。存款银行未收到存款凭证原件的，应与基金托管人电话询问。存款到期前基金管理人与存款银行确认存款凭证收到并于到期日兑付存款本息事宜。</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托管人在存款到期日未收到存款本息或存款本息金额不符时，通知基金管理人与存款银行接洽存款到账时间及利息补付事宜。基金管理人应将接洽结果告知基金托管人，基金托管人收妥存款本息的当日通知基金管理人。</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基金管理人应在《存款协议书》中规定，存款凭证在邮寄过程中遗失的，存款银行应立即通</w:t>
      </w:r>
      <w:r>
        <w:rPr>
          <w:rFonts w:ascii="宋体" w:hAnsi="Calibri" w:cs="宋体"/>
          <w:bCs/>
          <w:szCs w:val="21"/>
          <w:highlight w:val="white"/>
          <w:lang w:eastAsia="zh-CN"/>
        </w:rPr>
        <w:t>知基金托管人，基金托管人在原存款凭证复印件上加盖公章并出具相关证明文件后，与存款银行指定会计主管电话确认后，存款银行应在到期日将存款本息划至指定的基金资金账户。如果存款到期日为法定节假日，存款银行顺延至到期后第一个工作日支付，存款银行需按原协议约定利率和实际延期天数支付延期利息。</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4.</w:t>
      </w:r>
      <w:r>
        <w:rPr>
          <w:rFonts w:ascii="宋体" w:hAnsi="Calibri" w:cs="宋体"/>
          <w:bCs/>
          <w:szCs w:val="21"/>
          <w:highlight w:val="white"/>
          <w:lang w:eastAsia="zh-CN"/>
        </w:rPr>
        <w:t>提前支取</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如果在存款期限内，由于基金规模发生缩减的原因或者出于流动性管理的需要等原因，基金管理人可以提前支取全部或部分资金。</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提前支取的具体事项按照基金管理人与存款银行签订的《存款协议书》执行。</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5.</w:t>
      </w:r>
      <w:r>
        <w:rPr>
          <w:rFonts w:ascii="宋体" w:hAnsi="Calibri" w:cs="宋体"/>
          <w:bCs/>
          <w:szCs w:val="21"/>
          <w:highlight w:val="white"/>
          <w:lang w:eastAsia="zh-CN"/>
        </w:rPr>
        <w:t>基金投资银行存款的监督</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基金托管人发现基金管理人在进行存款投资时有违反有关法律法规的规定及《基金合同》的约定的行为，应及时以书面形式通知基金管理人在</w:t>
      </w:r>
      <w:r>
        <w:rPr>
          <w:rFonts w:ascii="宋体" w:hAnsi="Calibri" w:cs="宋体"/>
          <w:bCs/>
          <w:szCs w:val="21"/>
          <w:highlight w:val="white"/>
          <w:lang w:eastAsia="zh-CN"/>
        </w:rPr>
        <w:t>10</w:t>
      </w:r>
      <w:r>
        <w:rPr>
          <w:rFonts w:ascii="宋体" w:hAnsi="Calibri" w:cs="宋体"/>
          <w:bCs/>
          <w:szCs w:val="21"/>
          <w:highlight w:val="white"/>
          <w:lang w:eastAsia="zh-CN"/>
        </w:rPr>
        <w:t>个工作日内纠正。基金管理人对基金托管人通知的违规事项未能在</w:t>
      </w:r>
      <w:r>
        <w:rPr>
          <w:rFonts w:ascii="宋体" w:hAnsi="Calibri" w:cs="宋体"/>
          <w:bCs/>
          <w:szCs w:val="21"/>
          <w:highlight w:val="white"/>
          <w:lang w:eastAsia="zh-CN"/>
        </w:rPr>
        <w:t>10</w:t>
      </w:r>
      <w:r>
        <w:rPr>
          <w:rFonts w:ascii="宋体" w:hAnsi="Calibri" w:cs="宋体"/>
          <w:bCs/>
          <w:szCs w:val="21"/>
          <w:highlight w:val="white"/>
          <w:lang w:eastAsia="zh-CN"/>
        </w:rPr>
        <w:t>个工作日内纠正的，基金托管人应报告中国证监会。基金托管人发现基金管理人有重大违规行为，应立即报告中国证监会，同时通知基金管理人在</w:t>
      </w:r>
      <w:r>
        <w:rPr>
          <w:rFonts w:ascii="宋体" w:hAnsi="Calibri" w:cs="宋体"/>
          <w:bCs/>
          <w:szCs w:val="21"/>
          <w:highlight w:val="white"/>
          <w:lang w:eastAsia="zh-CN"/>
        </w:rPr>
        <w:t xml:space="preserve">10 </w:t>
      </w:r>
      <w:r>
        <w:rPr>
          <w:rFonts w:ascii="宋体" w:hAnsi="Calibri" w:cs="宋体"/>
          <w:bCs/>
          <w:szCs w:val="21"/>
          <w:highlight w:val="white"/>
          <w:lang w:eastAsia="zh-CN"/>
        </w:rPr>
        <w:t>个工作日内纠正或拒绝结算，若因基金管理人拒不执行造成基金财产损失的，相关损失由基金管理人承担，基金托管人不承担任何责任。</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（四）基金托管人根据有关法律法规的规定及《基金合同》的约定，对基金</w:t>
      </w:r>
      <w:r>
        <w:rPr>
          <w:rFonts w:ascii="宋体" w:hAnsi="Calibri" w:cs="宋体"/>
          <w:bCs/>
          <w:szCs w:val="21"/>
          <w:highlight w:val="white"/>
          <w:lang w:eastAsia="zh-CN"/>
        </w:rPr>
        <w:t>管理人参与银行间债券市场进行监督。基金管理人应在基金投资运作之前向基金托管人提供符合法律法规及行业标准的、经慎重选择的、本基金适用的银行间债券市场交易对手名单并约定各交易对手所适用的交易结算方式。基金管理人有责任确保及时将更新后的交易对手名单发送给基金托管人，否则由此造成的损失应由基金管理人承担。如基金管理人在基金投资运作之前未向基金托管人提供银行间债券市场交易对手名单的，视为基金管理人认可全市场交易对手。基金管理人应严格按照交易对手名单的范围在银行间债券市场选择交易对手。基金托管人监督基金管理人是否按事前</w:t>
      </w:r>
      <w:r>
        <w:rPr>
          <w:rFonts w:ascii="宋体" w:hAnsi="Calibri" w:cs="宋体"/>
          <w:bCs/>
          <w:szCs w:val="21"/>
          <w:highlight w:val="white"/>
          <w:lang w:eastAsia="zh-CN"/>
        </w:rPr>
        <w:t>提供的银行间债券市场交易对手名单进行交易。在基金存续期间基金管理人可以调整交易对手名单，但应将调整结果至少提前一个工作日书面通知基金托管人。新名单确定时已与本次剔除的交易对手所进行但尚未结算的交易，仍应按照协议进行结算，但不得再发生新的交易。如基金管理人根据市场需要临时调整银行间债券交易对手名单及结算方式的，应向基金托管人说明理由，并在与交易对手发生交易前</w:t>
      </w:r>
      <w:r>
        <w:rPr>
          <w:rFonts w:ascii="宋体" w:hAnsi="Calibri" w:cs="宋体"/>
          <w:bCs/>
          <w:szCs w:val="21"/>
          <w:highlight w:val="white"/>
          <w:lang w:eastAsia="zh-CN"/>
        </w:rPr>
        <w:t>3</w:t>
      </w:r>
      <w:r>
        <w:rPr>
          <w:rFonts w:ascii="宋体" w:hAnsi="Calibri" w:cs="宋体"/>
          <w:bCs/>
          <w:szCs w:val="21"/>
          <w:highlight w:val="white"/>
          <w:lang w:eastAsia="zh-CN"/>
        </w:rPr>
        <w:t>个交易日内与基金托管人协商解决。</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基金管理人负责对交易对手的资信控制，按银行间债券市场的交易规则进行交易，并负责处理因交易对手不履行合同而造成的纠纷及损</w:t>
      </w:r>
      <w:r>
        <w:rPr>
          <w:rFonts w:ascii="宋体" w:hAnsi="Calibri" w:cs="宋体"/>
          <w:bCs/>
          <w:szCs w:val="21"/>
          <w:highlight w:val="white"/>
          <w:lang w:eastAsia="zh-CN"/>
        </w:rPr>
        <w:t>失。若未履约的交易对手在基金管理人确定的时间内仍未承担违约责任及其他相关法律责任的，基金管理人可以对相应损失先行予以承担，然后再向相关交易对手追偿。基金托管人则根据银行间债券市场成交单对合同履行情况进行监督。如基金托管人事后发现基金管理人没有按照事先约定的交易对手进行交易时，基金托管人应及时提醒基金管理人，基金托管人不承担由此造成的任何损失和责任。</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（五）本基金投资流通受限证券，应遵守《关于基金投资非公开发行股票等流通受限证券有关问题的通知》等有关监管规定。</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1.</w:t>
      </w:r>
      <w:r>
        <w:rPr>
          <w:rFonts w:ascii="宋体" w:hAnsi="Calibri" w:cs="宋体"/>
          <w:bCs/>
          <w:szCs w:val="21"/>
          <w:highlight w:val="white"/>
          <w:lang w:eastAsia="zh-CN"/>
        </w:rPr>
        <w:t>流通受限证券包括由《上市公司证券发行注册管理</w:t>
      </w:r>
      <w:r>
        <w:rPr>
          <w:rFonts w:ascii="宋体" w:hAnsi="Calibri" w:cs="宋体"/>
          <w:bCs/>
          <w:szCs w:val="21"/>
          <w:highlight w:val="white"/>
          <w:lang w:eastAsia="zh-CN"/>
        </w:rPr>
        <w:t>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本基金可以投资经中国证监会批准的非公开发行证券，且限于由中国证券登记结算有限责任公司、中央国债登记结算有限责任公司或银行间市场清算所股份有限公司负责登记和存管的，并可在证券交易所或全国银行间债券市场交易的证券。</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本基金不得投资未经中国证监会批准的非公开发行证券。</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本基金不得投资有锁定期但锁定期不明确的证券。</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2.</w:t>
      </w:r>
      <w:r>
        <w:rPr>
          <w:rFonts w:ascii="宋体" w:hAnsi="Calibri" w:cs="宋体"/>
          <w:bCs/>
          <w:szCs w:val="21"/>
          <w:highlight w:val="white"/>
          <w:lang w:eastAsia="zh-CN"/>
        </w:rPr>
        <w:t>基金管理人应在基金首次投资流通受限证券前，向基金托管人提供经基金管理人董事会批准的有关基金投资流通受限证券的投资决策流程、风险控制制度。基金投资非公开发行股票，基金管理人还应提供基金管理人董事会批准的流动性风险处置预案。上述资料应包括但不限于基金投资流通受限证券的投资额度和投资比例控制情况。</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管理人应至少于首次执行投资指令之前两个工作日将上述资料书面发至基金托管人，保证基金托管人有足够的时间进行审核。基金托管人应在收到上述资料后两个工作日内，以书面或其他双方认可的方式确认收到上述资料。</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基金管理人对本基</w:t>
      </w:r>
      <w:r>
        <w:rPr>
          <w:rFonts w:ascii="宋体" w:hAnsi="Calibri" w:cs="宋体"/>
          <w:bCs/>
          <w:szCs w:val="21"/>
          <w:highlight w:val="white"/>
          <w:lang w:eastAsia="zh-CN"/>
        </w:rPr>
        <w:t>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3.</w:t>
      </w:r>
      <w:r>
        <w:rPr>
          <w:rFonts w:ascii="宋体" w:hAnsi="Calibri" w:cs="宋体"/>
          <w:bCs/>
          <w:szCs w:val="21"/>
          <w:highlight w:val="white"/>
          <w:lang w:eastAsia="zh-CN"/>
        </w:rPr>
        <w:t>基金投资流通受限证券前，基金管理人应向基金托管人提供符合法律法规要求的有关书面信息，包括但不限于拟发行证券主体的中国证监会批准文件、发行证券数量、发行价格、锁定期，基金拟认购的数量、价格、总成本、应划付的认购款、资金划付时间等。基金管理人应保证上述信息的真实、完整，并应至少于拟执行投资指令前两个工作日将上述信息书面发至基金托管人，保证基金托管人有足够的时间进行审核。</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由于基金管理人未及时提供有关证券的具体的必要的信息，致使托管人无法审核认购指令而影响认购款项划拨的，基金托管人免于承担责任。</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4.</w:t>
      </w:r>
      <w:r>
        <w:rPr>
          <w:rFonts w:ascii="宋体" w:hAnsi="Calibri" w:cs="宋体"/>
          <w:bCs/>
          <w:szCs w:val="21"/>
          <w:highlight w:val="white"/>
          <w:lang w:eastAsia="zh-CN"/>
        </w:rPr>
        <w:t>基金托管</w:t>
      </w:r>
      <w:r>
        <w:rPr>
          <w:rFonts w:ascii="宋体" w:hAnsi="Calibri" w:cs="宋体"/>
          <w:bCs/>
          <w:szCs w:val="21"/>
          <w:highlight w:val="white"/>
          <w:lang w:eastAsia="zh-CN"/>
        </w:rPr>
        <w:t>人依照法律法规、《基金合同》、《托管协议》审核基金管理人投资流通受限证券的行为。如发现基金管理人违反了《基金合同》、《托管协议》以及其他相关法律法规的有关规定，应及时通知基金管理人，并呈报中国证监会，同时采取合理措施保护基金投资人的利益。基金托管人有权对基金管理人的违法、违规以及违反《基金合同》、《托管协议》的投资指令不予执行，并立即通知基金管理人纠正，基金管理人不予纠正或已代表基金签署合同不得不执行时，基金托管人应向中国证监会报告。</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5.</w:t>
      </w:r>
      <w:r>
        <w:rPr>
          <w:rFonts w:ascii="宋体" w:hAnsi="Calibri" w:cs="宋体"/>
          <w:bCs/>
          <w:szCs w:val="21"/>
          <w:highlight w:val="white"/>
          <w:lang w:eastAsia="zh-CN"/>
        </w:rPr>
        <w:t>基金管理人应在基金投资非公开发行股票后两个交易日内</w:t>
      </w:r>
      <w:r w:rsidR="005379C6">
        <w:rPr>
          <w:rFonts w:ascii="宋体" w:hAnsi="Calibri" w:cs="宋体" w:hint="eastAsia"/>
          <w:bCs/>
          <w:szCs w:val="21"/>
          <w:highlight w:val="white"/>
          <w:lang w:eastAsia="zh-CN"/>
        </w:rPr>
        <w:t>，</w:t>
      </w:r>
      <w:r>
        <w:rPr>
          <w:rFonts w:ascii="宋体" w:hAnsi="Calibri" w:cs="宋体"/>
          <w:bCs/>
          <w:szCs w:val="21"/>
          <w:highlight w:val="white"/>
          <w:lang w:eastAsia="zh-CN"/>
        </w:rPr>
        <w:t>在中国证监会规</w:t>
      </w:r>
      <w:r>
        <w:rPr>
          <w:rFonts w:ascii="宋体" w:hAnsi="Calibri" w:cs="宋体"/>
          <w:bCs/>
          <w:szCs w:val="21"/>
          <w:highlight w:val="white"/>
          <w:lang w:eastAsia="zh-CN"/>
        </w:rPr>
        <w:t>定媒介披露所投资非公开发行股票的名称、数量、总成本、账面价值</w:t>
      </w:r>
      <w:r w:rsidR="005379C6">
        <w:rPr>
          <w:rFonts w:ascii="宋体" w:hAnsi="Calibri" w:cs="宋体" w:hint="eastAsia"/>
          <w:bCs/>
          <w:szCs w:val="21"/>
          <w:highlight w:val="white"/>
          <w:lang w:eastAsia="zh-CN"/>
        </w:rPr>
        <w:t>，</w:t>
      </w:r>
      <w:r>
        <w:rPr>
          <w:rFonts w:ascii="宋体" w:hAnsi="Calibri" w:cs="宋体"/>
          <w:bCs/>
          <w:szCs w:val="21"/>
          <w:highlight w:val="white"/>
          <w:lang w:eastAsia="zh-CN"/>
        </w:rPr>
        <w:t>以及总成本和账面价值占基金资产净值的比例、锁定期等信息。</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（六）基金管理人应当对投资中期票据业务进行研究，认真评估中期票据投资业务的风险，本着审慎、勤勉尽责的原则进行中期票据的投资业务，并应符合法律法规及监管机构的相关规定。</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七）基金参与转融通证券出借业务，基金管理人应当遵守审慎经营的原则，配备技术系统和专业人员，制定科学合理的投资策略和风险管理制度，完善业务流程，有效防范和控制风险，基金托管人将对基金参与出借业务进行监督与复核。</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（八）基金</w:t>
      </w:r>
      <w:r>
        <w:rPr>
          <w:rFonts w:ascii="宋体" w:hAnsi="Calibri" w:cs="宋体"/>
          <w:bCs/>
          <w:szCs w:val="21"/>
          <w:highlight w:val="white"/>
          <w:lang w:eastAsia="zh-CN"/>
        </w:rPr>
        <w:t>托管人根据有关法律法规的规定及《基金合同》的约定，对基金资产净值计算、基金份额净值计算、基金费用开支及收入确定、基金收益分配、相关信息披露、基金宣传推介材料中登载基金业绩表现数据等进行监督和核查。</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九）基金托管人发现基金管理人的上述事项及投资指令或实际投资运作违反法律法规、《基金合同》和本托管协议的规定，应及时以电话、邮件或书面提示等方式通知基金管理人限期纠正。基金管理人应积极配合和协助基金托管人的监督和核查。基金管理人收到通知后应及时核对并回复基金托管人，对于收到的书面通知，基金管理人应以书面形式给基金</w:t>
      </w:r>
      <w:r>
        <w:rPr>
          <w:rFonts w:ascii="宋体" w:hAnsi="Calibri" w:cs="宋体"/>
          <w:bCs/>
          <w:szCs w:val="21"/>
          <w:highlight w:val="white"/>
          <w:lang w:eastAsia="zh-CN"/>
        </w:rPr>
        <w:t>托管人发出回函，就基金托管人的疑义进行解释或举证，说明违规原因及纠正期限。在上述规定期限内，基金托管人有权随时对通知事项进行复查，督促基金管理人改正。基金管理人对基金托管人通知的违规事项未能在限期内纠正的，基金托管人应报告中国证监会。</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十）基金管理人有义务配合和协助基金托管人依照法律法规、《基金合同》和本托管协议对基金业务执行核查。包括但不限于：对基金托管人发出的提示，基金管理人应在规定时间内答复并改正，或就基金托管人的疑义进行解释或举证；对基金托管人按照法律法规、基金合同和本托管协议的要求需向中国证监会</w:t>
      </w:r>
      <w:r>
        <w:rPr>
          <w:rFonts w:ascii="宋体" w:hAnsi="Calibri" w:cs="宋体"/>
          <w:bCs/>
          <w:szCs w:val="21"/>
          <w:highlight w:val="white"/>
          <w:lang w:eastAsia="zh-CN"/>
        </w:rPr>
        <w:t>报送基金监督报告的事项，基金管理人应积极配合提供相关数据资料和制度等。</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十一）若基金托管人发现基金管理人依据交易程序已经生效的指令违反法律、行政法规和其他有关规定，或者违反基金合同约定的，应当立即通知基金管理人及时纠正，由此造成的损失由基金管理人承担，基金托管人在履行其通知义务后，予以免责。</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（十二）基金托管人发现基金管理人有重大违规行为，应及时报告中国证监会，同时通知基金管理人限期纠正。</w:t>
      </w:r>
    </w:p>
    <w:p w:rsidR="004A090B">
      <w:pPr>
        <w:spacing w:line="360" w:lineRule="auto"/>
        <w:ind w:firstLine="420"/>
        <w:rPr>
          <w:rFonts w:ascii="宋体" w:hAnsi="Calibri" w:cs="宋体"/>
          <w:bCs/>
          <w:szCs w:val="21"/>
          <w:lang w:eastAsia="zh-CN"/>
        </w:rPr>
      </w:pPr>
    </w:p>
    <w:p w:rsidR="004A090B">
      <w:pPr>
        <w:spacing w:line="360" w:lineRule="auto"/>
        <w:ind w:firstLine="420"/>
        <w:rPr>
          <w:rFonts w:ascii="宋体" w:hAnsi="Calibri" w:cs="宋体"/>
          <w:bCs/>
          <w:szCs w:val="21"/>
          <w:lang w:eastAsia="zh-CN"/>
        </w:rPr>
      </w:pP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第三节</w:t>
      </w:r>
      <w:r>
        <w:rPr>
          <w:rFonts w:ascii="宋体" w:hAnsi="Calibri" w:cs="宋体" w:hint="eastAsia"/>
          <w:bCs/>
          <w:szCs w:val="21"/>
          <w:lang w:eastAsia="zh-CN"/>
        </w:rPr>
        <w:t xml:space="preserve"> </w:t>
      </w:r>
      <w:r>
        <w:rPr>
          <w:rFonts w:ascii="宋体" w:hAnsi="Calibri" w:cs="宋体" w:hint="eastAsia"/>
          <w:bCs/>
          <w:szCs w:val="21"/>
          <w:lang w:eastAsia="zh-CN"/>
        </w:rPr>
        <w:t>基金管理人对基金托管人的业务核查</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（一）基金管理人对基金托管人履行托管职责情况进行核查，核查事项包括基金</w:t>
      </w:r>
      <w:r>
        <w:rPr>
          <w:rFonts w:ascii="宋体" w:hAnsi="Calibri" w:cs="宋体"/>
          <w:bCs/>
          <w:szCs w:val="21"/>
          <w:highlight w:val="white"/>
          <w:lang w:eastAsia="zh-CN"/>
        </w:rPr>
        <w:t>托管人安全保管基金财产、开设基金财产的资金账户、证券账户等投资所需账户、复核基金管理人计算的基金资产净值和基金份额净值、根据基金管理人指令办理清算交收、相关信息披露和监督基金投资运作等行为。</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二）基金管理人发现基金托管人擅自挪用基金财产、未对基金财产实行分账管理、未执行或无故延迟执行基金管理人资金划拨指令、泄露基金投资信息等违反《基金法》、基金合同、托管协议及其他有关规定时，应及时以书面形式通知基金托管人限期纠正。基金托管人收到书面通知后应在下一工作日前及时核对并以书面形式给基金管理人发出回函，说明违规原</w:t>
      </w:r>
      <w:r>
        <w:rPr>
          <w:rFonts w:ascii="宋体" w:hAnsi="Calibri" w:cs="宋体"/>
          <w:bCs/>
          <w:szCs w:val="21"/>
          <w:highlight w:val="white"/>
          <w:lang w:eastAsia="zh-CN"/>
        </w:rPr>
        <w:t>因及纠正期限，并保证在规定期限内及时改正。在上述规定期限内，基金管理人有权随时对通知事项进行复查，督促基金托管人改正。因基金托管人原因造成基金财产损失的，基金托管人应承担相应的责任。</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三）基金托管人有义务配合和协助基金管理人依照法律法规、基金合同和本托管协议对基金业务执行核查，包括但不限于：对基金管理人发出的书面提示，基金托管人应在规定时间内答复并改正，或就基金管理人的疑义进行解释或举证；基金托管人应积极配合提供相关资料以供基金管理人核查托管财产的完整性和真实性。</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（四）基金管理人发现基金托管人有重大违规行为，应及时报告中国证监会，同时通知基金托管人限期纠正，并将纠正结果报告中国证监会。</w:t>
      </w:r>
    </w:p>
    <w:p w:rsidR="004A090B">
      <w:pPr>
        <w:spacing w:line="360" w:lineRule="auto"/>
        <w:ind w:firstLine="420"/>
        <w:rPr>
          <w:rFonts w:ascii="宋体" w:hAnsi="Calibri" w:cs="宋体"/>
          <w:bCs/>
          <w:szCs w:val="21"/>
          <w:lang w:eastAsia="zh-CN"/>
        </w:rPr>
      </w:pP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第四节</w:t>
      </w:r>
      <w:r>
        <w:rPr>
          <w:rFonts w:ascii="宋体" w:hAnsi="Calibri" w:cs="宋体" w:hint="eastAsia"/>
          <w:bCs/>
          <w:szCs w:val="21"/>
          <w:lang w:eastAsia="zh-CN"/>
        </w:rPr>
        <w:t xml:space="preserve"> </w:t>
      </w:r>
      <w:r>
        <w:rPr>
          <w:rFonts w:ascii="宋体" w:hAnsi="Calibri" w:cs="宋体" w:hint="eastAsia"/>
          <w:bCs/>
          <w:szCs w:val="21"/>
          <w:lang w:eastAsia="zh-CN"/>
        </w:rPr>
        <w:t>基金财产的保管</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（一）基金财产保管的原则</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1.</w:t>
      </w:r>
      <w:r>
        <w:rPr>
          <w:rFonts w:ascii="宋体" w:hAnsi="Calibri" w:cs="宋体"/>
          <w:bCs/>
          <w:szCs w:val="21"/>
          <w:highlight w:val="white"/>
          <w:lang w:eastAsia="zh-CN"/>
        </w:rPr>
        <w:t>基金财产应独立于基金管理人、基金托管人的固有财产。</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2.</w:t>
      </w:r>
      <w:r>
        <w:rPr>
          <w:rFonts w:ascii="宋体" w:hAnsi="Calibri" w:cs="宋体"/>
          <w:bCs/>
          <w:szCs w:val="21"/>
          <w:highlight w:val="white"/>
          <w:lang w:eastAsia="zh-CN"/>
        </w:rPr>
        <w:t>基金托管人应安全保管基金财产。</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3.</w:t>
      </w:r>
      <w:r>
        <w:rPr>
          <w:rFonts w:ascii="宋体" w:hAnsi="Calibri" w:cs="宋体"/>
          <w:bCs/>
          <w:szCs w:val="21"/>
          <w:highlight w:val="white"/>
          <w:lang w:eastAsia="zh-CN"/>
        </w:rPr>
        <w:t>基金托管人按照规定开设基金财产投资所需的相关账户。</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4.</w:t>
      </w:r>
      <w:r>
        <w:rPr>
          <w:rFonts w:ascii="宋体" w:hAnsi="Calibri" w:cs="宋体"/>
          <w:bCs/>
          <w:szCs w:val="21"/>
          <w:highlight w:val="white"/>
          <w:lang w:eastAsia="zh-CN"/>
        </w:rPr>
        <w:t>基金托管人对所托管的不同基金财产分别设置账户，确保基金财产的完整与独立。</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5.</w:t>
      </w:r>
      <w:r>
        <w:rPr>
          <w:rFonts w:ascii="宋体" w:hAnsi="Calibri" w:cs="宋体"/>
          <w:bCs/>
          <w:szCs w:val="21"/>
          <w:highlight w:val="white"/>
          <w:lang w:eastAsia="zh-CN"/>
        </w:rPr>
        <w:t>基金托管人根据基金管理人的指令，按照基金合同和本协议的约定保管基金财产。未经基金管理人的正当指令，不得自</w:t>
      </w:r>
      <w:r>
        <w:rPr>
          <w:rFonts w:ascii="宋体" w:hAnsi="Calibri" w:cs="宋体"/>
          <w:bCs/>
          <w:szCs w:val="21"/>
          <w:highlight w:val="white"/>
          <w:lang w:eastAsia="zh-CN"/>
        </w:rPr>
        <w:t>行运用、处分、分配基金的任何资产。不属于基金托管人实际有效控制下的资产及实物证券等在基金托管人保管期间的损坏、灭失，基金托管人不承担由此产生的责任。</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6.</w:t>
      </w:r>
      <w:r>
        <w:rPr>
          <w:rFonts w:ascii="宋体" w:hAnsi="Calibri" w:cs="宋体"/>
          <w:bCs/>
          <w:szCs w:val="21"/>
          <w:highlight w:val="white"/>
          <w:lang w:eastAsia="zh-CN"/>
        </w:rPr>
        <w:t>对于因为基金投资产生的应收资产，如基金托管人无法从公开信息或基金管理人提供的书面资料中获取到账日期信息的，应由基金管理人负责与有关当事人确定到账日期并通知基金托管人，到账日基金财产没有到达基金资金账户的，基金托管人应及时通知基金管理人采取措施进行催收，基金管理人应负责向有关当事人追偿基金财产的损失。</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7.</w:t>
      </w:r>
      <w:r>
        <w:rPr>
          <w:rFonts w:ascii="宋体" w:hAnsi="Calibri" w:cs="宋体"/>
          <w:bCs/>
          <w:szCs w:val="21"/>
          <w:highlight w:val="white"/>
          <w:lang w:eastAsia="zh-CN"/>
        </w:rPr>
        <w:t>基金托管人对因为基金管理人投资产生的存放或存管在基金</w:t>
      </w:r>
      <w:r>
        <w:rPr>
          <w:rFonts w:ascii="宋体" w:hAnsi="Calibri" w:cs="宋体"/>
          <w:bCs/>
          <w:szCs w:val="21"/>
          <w:highlight w:val="white"/>
          <w:lang w:eastAsia="zh-CN"/>
        </w:rPr>
        <w:t>托管人以外机构的基金资产，或交由期货公司或证券公司负责清算交收的基金资产（包括但不限于期货保证金账户内的资金、期货合约等）及其收益，由于该等机构或该机构会员单位等本协议当事人外第三方的欺诈、疏忽、过失或破产等原因给基金资产造成的损失等不承担责任。</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8.</w:t>
      </w:r>
      <w:r>
        <w:rPr>
          <w:rFonts w:ascii="宋体" w:hAnsi="Calibri" w:cs="宋体"/>
          <w:bCs/>
          <w:szCs w:val="21"/>
          <w:highlight w:val="white"/>
          <w:lang w:eastAsia="zh-CN"/>
        </w:rPr>
        <w:t>除依据法律法规和基金合同的规定外，基金托管人不得委托第三人托管基金财产。</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（二）基金募集期间及募集资金的验资</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1.</w:t>
      </w:r>
      <w:r>
        <w:rPr>
          <w:rFonts w:ascii="宋体" w:hAnsi="Calibri" w:cs="宋体"/>
          <w:bCs/>
          <w:szCs w:val="21"/>
          <w:highlight w:val="white"/>
          <w:lang w:eastAsia="zh-CN"/>
        </w:rPr>
        <w:t>基金募集期间募集的资金应存放于专用账户。</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2.</w:t>
      </w:r>
      <w:r>
        <w:rPr>
          <w:rFonts w:ascii="宋体" w:hAnsi="Calibri" w:cs="宋体"/>
          <w:bCs/>
          <w:szCs w:val="21"/>
          <w:highlight w:val="white"/>
          <w:lang w:eastAsia="zh-CN"/>
        </w:rPr>
        <w:t>基金募集期满或基金停止募集时，募集的基金份额总额、基金募集金额、基金份额持有人人数符合《基金法》、《运作办法》等有关规定后，属于基金财产的全部资金应划入基金托管人为基金开立的基金资金账户，同时在规定时间内，基金管理人应聘请符合《证券法》规定的会计师事务所进行验资，出具验资报告。出具的验资报告由参加验资的</w:t>
      </w:r>
      <w:r>
        <w:rPr>
          <w:rFonts w:ascii="宋体" w:hAnsi="Calibri" w:cs="宋体"/>
          <w:bCs/>
          <w:szCs w:val="21"/>
          <w:highlight w:val="white"/>
          <w:lang w:eastAsia="zh-CN"/>
        </w:rPr>
        <w:t>2</w:t>
      </w:r>
      <w:r>
        <w:rPr>
          <w:rFonts w:ascii="宋体" w:hAnsi="Calibri" w:cs="宋体"/>
          <w:bCs/>
          <w:szCs w:val="21"/>
          <w:highlight w:val="white"/>
          <w:lang w:eastAsia="zh-CN"/>
        </w:rPr>
        <w:t>名或</w:t>
      </w:r>
      <w:r>
        <w:rPr>
          <w:rFonts w:ascii="宋体" w:hAnsi="Calibri" w:cs="宋体"/>
          <w:bCs/>
          <w:szCs w:val="21"/>
          <w:highlight w:val="white"/>
          <w:lang w:eastAsia="zh-CN"/>
        </w:rPr>
        <w:t>2</w:t>
      </w:r>
      <w:r>
        <w:rPr>
          <w:rFonts w:ascii="宋体" w:hAnsi="Calibri" w:cs="宋体"/>
          <w:bCs/>
          <w:szCs w:val="21"/>
          <w:highlight w:val="white"/>
          <w:lang w:eastAsia="zh-CN"/>
        </w:rPr>
        <w:t>名以上中国注册会计师签字方为有效。</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3.</w:t>
      </w:r>
      <w:r>
        <w:rPr>
          <w:rFonts w:ascii="宋体" w:hAnsi="Calibri" w:cs="宋体"/>
          <w:bCs/>
          <w:szCs w:val="21"/>
          <w:highlight w:val="white"/>
          <w:lang w:eastAsia="zh-CN"/>
        </w:rPr>
        <w:t>若基金募集期限届满，未能达到基金合同生效的条件，由基金管理人按规定办理退款等事宜。</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（三）基金资金账户的开立和管理</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1.</w:t>
      </w:r>
      <w:r>
        <w:rPr>
          <w:rFonts w:ascii="宋体" w:hAnsi="Calibri" w:cs="宋体"/>
          <w:bCs/>
          <w:szCs w:val="21"/>
          <w:highlight w:val="white"/>
          <w:lang w:eastAsia="zh-CN"/>
        </w:rPr>
        <w:t>基金托管人以本基金的名义在其营业机构</w:t>
      </w:r>
      <w:r>
        <w:rPr>
          <w:rFonts w:ascii="宋体" w:hAnsi="Calibri" w:cs="宋体"/>
          <w:bCs/>
          <w:szCs w:val="21"/>
          <w:highlight w:val="white"/>
          <w:lang w:eastAsia="zh-CN"/>
        </w:rPr>
        <w:t>开立基金的资金账户（也可称为</w:t>
      </w:r>
      <w:r>
        <w:rPr>
          <w:rFonts w:ascii="宋体" w:hAnsi="Calibri" w:cs="宋体"/>
          <w:bCs/>
          <w:szCs w:val="21"/>
          <w:highlight w:val="white"/>
          <w:lang w:eastAsia="zh-CN"/>
        </w:rPr>
        <w:t>“</w:t>
      </w:r>
      <w:r>
        <w:rPr>
          <w:rFonts w:ascii="宋体" w:hAnsi="Calibri" w:cs="宋体"/>
          <w:bCs/>
          <w:szCs w:val="21"/>
          <w:highlight w:val="white"/>
          <w:lang w:eastAsia="zh-CN"/>
        </w:rPr>
        <w:t>托管账户</w:t>
      </w:r>
      <w:r>
        <w:rPr>
          <w:rFonts w:ascii="宋体" w:hAnsi="Calibri" w:cs="宋体"/>
          <w:bCs/>
          <w:szCs w:val="21"/>
          <w:highlight w:val="white"/>
          <w:lang w:eastAsia="zh-CN"/>
        </w:rPr>
        <w:t>”</w:t>
      </w:r>
      <w:r>
        <w:rPr>
          <w:rFonts w:ascii="宋体" w:hAnsi="Calibri" w:cs="宋体"/>
          <w:bCs/>
          <w:szCs w:val="21"/>
          <w:highlight w:val="white"/>
          <w:lang w:eastAsia="zh-CN"/>
        </w:rPr>
        <w:t>），保管基金的银行存款，并根据基金管理人的指令办理资金收付。托管资金账户名称原则上应当包含开户主体和产品名称字样，具体名称以实际开立为准，预留印鉴为基金托管人印章。</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2.</w:t>
      </w:r>
      <w:r>
        <w:rPr>
          <w:rFonts w:ascii="宋体" w:hAnsi="Calibri" w:cs="宋体"/>
          <w:bCs/>
          <w:szCs w:val="21"/>
          <w:highlight w:val="white"/>
          <w:lang w:eastAsia="zh-CN"/>
        </w:rPr>
        <w:t>基金资金账户的开立和使用，限于满足开展本基金业务的需要。基金托管人和基金管理人不得假借本基金的名义开立任何其他银行账户；亦不得使用基金的任何账户进行本基金业务以外的活动。</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3.</w:t>
      </w:r>
      <w:r>
        <w:rPr>
          <w:rFonts w:ascii="宋体" w:hAnsi="Calibri" w:cs="宋体"/>
          <w:bCs/>
          <w:szCs w:val="21"/>
          <w:highlight w:val="white"/>
          <w:lang w:eastAsia="zh-CN"/>
        </w:rPr>
        <w:t>基金资金账户的开立和管理应符合法律法规及银行业监督管理机构的有关规定。</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（四）基金证券账户和结算备付金账户的开立和管理</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1.</w:t>
      </w:r>
      <w:r>
        <w:rPr>
          <w:rFonts w:ascii="宋体" w:hAnsi="Calibri" w:cs="宋体"/>
          <w:bCs/>
          <w:szCs w:val="21"/>
          <w:highlight w:val="white"/>
          <w:lang w:eastAsia="zh-CN"/>
        </w:rPr>
        <w:t>基</w:t>
      </w:r>
      <w:r>
        <w:rPr>
          <w:rFonts w:ascii="宋体" w:hAnsi="Calibri" w:cs="宋体"/>
          <w:bCs/>
          <w:szCs w:val="21"/>
          <w:highlight w:val="white"/>
          <w:lang w:eastAsia="zh-CN"/>
        </w:rPr>
        <w:t>金托管人在中国证券登记结算有限责任公司为基金开立基金托管人与基金联名的证券账户。</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2.</w:t>
      </w:r>
      <w:r>
        <w:rPr>
          <w:rFonts w:ascii="宋体" w:hAnsi="Calibri" w:cs="宋体"/>
          <w:bCs/>
          <w:szCs w:val="21"/>
          <w:highlight w:val="white"/>
          <w:lang w:eastAsia="zh-CN"/>
        </w:rPr>
        <w:t>基金证券账户的开立和使用，仅限于满足开展本基金业务的需要。基金托管人和基金管理人不得出借或未经对方同意擅自转让基金的任何证券账户，亦不得使用基金的任何账户进行本基金业务以外的活动。</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3.</w:t>
      </w:r>
      <w:r>
        <w:rPr>
          <w:rFonts w:ascii="宋体" w:hAnsi="Calibri" w:cs="宋体"/>
          <w:bCs/>
          <w:szCs w:val="21"/>
          <w:highlight w:val="white"/>
          <w:lang w:eastAsia="zh-CN"/>
        </w:rPr>
        <w:t>基金证券账户的开立和证券账户卡的保管由基金托管人负责，账户资产的管理和运用由基金管理人负责。</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4.</w:t>
      </w:r>
      <w:r>
        <w:rPr>
          <w:rFonts w:ascii="宋体" w:hAnsi="Calibri" w:cs="宋体"/>
          <w:bCs/>
          <w:szCs w:val="21"/>
          <w:highlight w:val="white"/>
          <w:lang w:eastAsia="zh-CN"/>
        </w:rPr>
        <w:t>基金托管人以基金托管人的名义在中国证券登记结算有限责任公司开立结算备付金账户，并代表所托管的基金完成与中国证券登记结算有限责任公司的一级法人清</w:t>
      </w:r>
      <w:r>
        <w:rPr>
          <w:rFonts w:ascii="宋体" w:hAnsi="Calibri" w:cs="宋体"/>
          <w:bCs/>
          <w:szCs w:val="21"/>
          <w:highlight w:val="white"/>
          <w:lang w:eastAsia="zh-CN"/>
        </w:rPr>
        <w:t>算工作，基金管理人应予以积极协助。结算备付金、结算保证金等的收取按照中国证券登记结算有限责任公司的规定执行。</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5.</w:t>
      </w:r>
      <w:r>
        <w:rPr>
          <w:rFonts w:ascii="宋体" w:hAnsi="Calibri" w:cs="宋体"/>
          <w:bCs/>
          <w:szCs w:val="21"/>
          <w:highlight w:val="white"/>
          <w:lang w:eastAsia="zh-CN"/>
        </w:rPr>
        <w:t>若中国证监会或其他监管机构在本托管协议订立日之后允许基金从事其他投资品种的投资业务，涉及相关账户的开立、使用的，按有关规定开立、使用并管理；若无相关规定，则基金托管人比照上述关于账户开立、使用的规定执行。</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（五）债券托管账户的开设和管理</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基金合同生效后，基金托管人根据中国人民银行、中央国债登记结算有限责任公司和银行间市场清算所股份有限公司的有关规定，以基金的名义在银行间市场登记结算机构开立债券托</w:t>
      </w:r>
      <w:r>
        <w:rPr>
          <w:rFonts w:ascii="宋体" w:hAnsi="Calibri" w:cs="宋体"/>
          <w:bCs/>
          <w:szCs w:val="21"/>
          <w:highlight w:val="white"/>
          <w:lang w:eastAsia="zh-CN"/>
        </w:rPr>
        <w:t>管账户，并代表基金进行银行间市场债券的结算。</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（六）其他账户的开立和管理</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1.</w:t>
      </w:r>
      <w:r>
        <w:rPr>
          <w:rFonts w:ascii="宋体" w:hAnsi="Calibri" w:cs="宋体"/>
          <w:bCs/>
          <w:szCs w:val="21"/>
          <w:highlight w:val="white"/>
          <w:lang w:eastAsia="zh-CN"/>
        </w:rPr>
        <w:t>基金管理人根据投资需要按照规定开立期货保证金账户及期货交易编码等，基金托管人按照规定开立投资所需账户。完成上述账户开立后，基金管理人应以书面形式将期货公司提供的期货保证金账户的初始资金密码和市场监控中心的登录用户名及密码告知基金托管人。资金密码和市场监控中心登录密码重置由基金管理人进行，重置后务必及时通知基金托管人。</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基金托管人和基金管理人应当在开户过程中相互配合，并提供所需资料。基金管理人保证所提供的账户开户材料的真实性和有效性</w:t>
      </w:r>
      <w:r>
        <w:rPr>
          <w:rFonts w:ascii="宋体" w:hAnsi="Calibri" w:cs="宋体"/>
          <w:bCs/>
          <w:szCs w:val="21"/>
          <w:highlight w:val="white"/>
          <w:lang w:eastAsia="zh-CN"/>
        </w:rPr>
        <w:t>，且在相关资料变更后及时将变更的资料提供给基金托管人。</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2.</w:t>
      </w:r>
      <w:r>
        <w:rPr>
          <w:rFonts w:ascii="宋体" w:hAnsi="Calibri" w:cs="宋体"/>
          <w:bCs/>
          <w:szCs w:val="21"/>
          <w:highlight w:val="white"/>
          <w:lang w:eastAsia="zh-CN"/>
        </w:rPr>
        <w:t>因业务发展需要而开立的其他账户，可以根据法律法规和基金合同的规定，由基金管理人协助基金托管人按照有关法律法规和本协议的约定协商后开立。新账户按有关规定使用并管理。</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3.</w:t>
      </w:r>
      <w:r>
        <w:rPr>
          <w:rFonts w:ascii="宋体" w:hAnsi="Calibri" w:cs="宋体"/>
          <w:bCs/>
          <w:szCs w:val="21"/>
          <w:highlight w:val="white"/>
          <w:lang w:eastAsia="zh-CN"/>
        </w:rPr>
        <w:t>法律法规等有关规定对相关账户的开立和管理另有规定的，从其规定办理。</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（七）基金财产投资的有关有价凭证等的保管</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基金财产投资的有关实物证券等有价凭证按约定由基金托管人存放于基金托管人的保管库，或存入中央国债登记结算有限责任公司、银行间市场清算所股份有限公司、中国证券登记结算有限责任公司</w:t>
      </w:r>
      <w:r>
        <w:rPr>
          <w:rFonts w:ascii="宋体" w:hAnsi="Calibri" w:cs="宋体"/>
          <w:bCs/>
          <w:szCs w:val="21"/>
          <w:highlight w:val="white"/>
          <w:lang w:eastAsia="zh-CN"/>
        </w:rPr>
        <w:t>或票据营业中心的代保管库，实物保管凭证由基金托管人持有。实物证券等有价凭证的购买和转让，由基金托管人根据基金管理人的指令办理。基金托管人对由上述存放机构及基金托管人以外机构实际有效控制的有价凭证不承担保管责任。</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（八）与基金财产有关的重大合同的保管</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由基金管理人代表基金签署的、与基金财产有关的重大合同的原件分别由基金管理人、基金托管人保管。除本协议另有规定外，基金管理人代表基金签署的与基金财产有关的重大合同应保证基金管理人和基金托管人至少各持有一份正本的原件。基金管理人应在重大合同签署后及时将重大合同传真给</w:t>
      </w:r>
      <w:r>
        <w:rPr>
          <w:rFonts w:ascii="宋体" w:hAnsi="Calibri" w:cs="宋体"/>
          <w:bCs/>
          <w:szCs w:val="21"/>
          <w:highlight w:val="white"/>
          <w:lang w:eastAsia="zh-CN"/>
        </w:rPr>
        <w:t>基金托管人，并在三十个工作日内将正本送达基金托管人处。因基金管理人发送的合同传真件与事后送达的合同原件不一致所造成的后果，由基金管理人负责。重大合同的保管期限为基金合同终止后不少于</w:t>
      </w:r>
      <w:r>
        <w:rPr>
          <w:rFonts w:ascii="宋体" w:hAnsi="Calibri" w:cs="宋体"/>
          <w:bCs/>
          <w:szCs w:val="21"/>
          <w:highlight w:val="white"/>
          <w:lang w:eastAsia="zh-CN"/>
        </w:rPr>
        <w:t>20</w:t>
      </w:r>
      <w:r>
        <w:rPr>
          <w:rFonts w:ascii="宋体" w:hAnsi="Calibri" w:cs="宋体"/>
          <w:bCs/>
          <w:szCs w:val="21"/>
          <w:highlight w:val="white"/>
          <w:lang w:eastAsia="zh-CN"/>
        </w:rPr>
        <w:t>年。</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对于无法取得二份以上的正本的，基金管理人应向基金托管人提供加盖公章的合同传真件，未经双方协商一致，合同原件不得转移。基金管理人向基金托管人提供的合同传真件与基金管理人留存原件不一致的，以传真件为准。</w:t>
      </w:r>
    </w:p>
    <w:p w:rsidR="004A090B">
      <w:pPr>
        <w:spacing w:line="360" w:lineRule="auto"/>
        <w:ind w:firstLine="420"/>
        <w:rPr>
          <w:rFonts w:ascii="宋体" w:hAnsi="Calibri" w:cs="宋体"/>
          <w:bCs/>
          <w:szCs w:val="21"/>
          <w:lang w:eastAsia="zh-CN"/>
        </w:rPr>
      </w:pP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第五节</w:t>
      </w:r>
      <w:r>
        <w:rPr>
          <w:rFonts w:ascii="宋体" w:hAnsi="Calibri" w:cs="宋体" w:hint="eastAsia"/>
          <w:bCs/>
          <w:szCs w:val="21"/>
          <w:lang w:eastAsia="zh-CN"/>
        </w:rPr>
        <w:t xml:space="preserve"> </w:t>
      </w:r>
      <w:r>
        <w:rPr>
          <w:rFonts w:ascii="宋体" w:hAnsi="Calibri" w:cs="宋体" w:hint="eastAsia"/>
          <w:bCs/>
          <w:szCs w:val="21"/>
          <w:lang w:eastAsia="zh-CN"/>
        </w:rPr>
        <w:t>基金资产净值计算与复核</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（一）基金资产净值的计算、复核与完成的时间及程序</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1.</w:t>
      </w:r>
      <w:r>
        <w:rPr>
          <w:rFonts w:ascii="宋体" w:hAnsi="Calibri" w:cs="宋体"/>
          <w:bCs/>
          <w:szCs w:val="21"/>
          <w:highlight w:val="white"/>
          <w:lang w:eastAsia="zh-CN"/>
        </w:rPr>
        <w:t>基金资产净值</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基金资产净值是指基金资产总值减去基金负债后的价值。</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基金份额净值是指估值日基金资产净值除以估值日基金份额余额数量，基金份额净值的计算，精确到</w:t>
      </w:r>
      <w:r>
        <w:rPr>
          <w:rFonts w:ascii="宋体" w:hAnsi="Calibri" w:cs="宋体"/>
          <w:bCs/>
          <w:szCs w:val="21"/>
          <w:highlight w:val="white"/>
          <w:lang w:eastAsia="zh-CN"/>
        </w:rPr>
        <w:t>0.0001</w:t>
      </w:r>
      <w:r>
        <w:rPr>
          <w:rFonts w:ascii="宋体" w:hAnsi="Calibri" w:cs="宋体"/>
          <w:bCs/>
          <w:szCs w:val="21"/>
          <w:highlight w:val="white"/>
          <w:lang w:eastAsia="zh-CN"/>
        </w:rPr>
        <w:t>元，小数点后第五位四舍五入，国家另有规定的，从其规定。</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基金管理人每个估值日计算基金资产净值、基金份额净值，经基金托管人复核，按规定公告。</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2.</w:t>
      </w:r>
      <w:r>
        <w:rPr>
          <w:rFonts w:ascii="宋体" w:hAnsi="Calibri" w:cs="宋体"/>
          <w:bCs/>
          <w:szCs w:val="21"/>
          <w:highlight w:val="white"/>
          <w:lang w:eastAsia="zh-CN"/>
        </w:rPr>
        <w:t>复核程序</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基金管理人每个估值日对基金资产进行估值后，将基金资产净值、基金份额净值发送基金托管人，经基金托管人复核无误后，由基金管理人按规定对外公布。</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3.</w:t>
      </w:r>
      <w:r>
        <w:rPr>
          <w:rFonts w:ascii="宋体" w:hAnsi="Calibri" w:cs="宋体"/>
          <w:bCs/>
          <w:szCs w:val="21"/>
          <w:highlight w:val="white"/>
          <w:lang w:eastAsia="zh-CN"/>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资产净值的计算结果对外予以公布。</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（二）基金资产的估值</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基金管理人及基金托管人应当按照《基金合同》的约定进行估值。</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（三）基金份额净值错误的处理方式</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基金管理人及基金托管人应当按照《基金合同》的约定处理份额净值错误。</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（四）基金会计制度</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按国家有关部门规定的会计制度执行。</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（五）基金账</w:t>
      </w:r>
      <w:r>
        <w:rPr>
          <w:rFonts w:ascii="宋体" w:hAnsi="Calibri" w:cs="宋体"/>
          <w:bCs/>
          <w:szCs w:val="21"/>
          <w:highlight w:val="white"/>
          <w:lang w:eastAsia="zh-CN"/>
        </w:rPr>
        <w:t>册的建立</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管理人和基金托管人在基金合同生效后，应按照双方约定的同一记账方法和会计处理原则，分别独立地设置、记录和保管本基金的全套账册，对相关各方各自的账册定期进行核对，互相监督，以保证基金资产的安全。</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（六）基金财务报表与报告的编制和复核</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1.</w:t>
      </w:r>
      <w:r>
        <w:rPr>
          <w:rFonts w:ascii="宋体" w:hAnsi="Calibri" w:cs="宋体"/>
          <w:bCs/>
          <w:szCs w:val="21"/>
          <w:highlight w:val="white"/>
          <w:lang w:eastAsia="zh-CN"/>
        </w:rPr>
        <w:t>财务报表的编制</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基金财务报表由基金管理人编制，基金托管人复核。</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2.</w:t>
      </w:r>
      <w:r>
        <w:rPr>
          <w:rFonts w:ascii="宋体" w:hAnsi="Calibri" w:cs="宋体"/>
          <w:bCs/>
          <w:szCs w:val="21"/>
          <w:highlight w:val="white"/>
          <w:lang w:eastAsia="zh-CN"/>
        </w:rPr>
        <w:t>报表复核</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基金托管人在收到基金管理人编制的基金财务报表后，进行独立的复核。核对不符时，应及时通知基金管理人共同查出原因，进行调整，直至双方数据完全一致。</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3.</w:t>
      </w:r>
      <w:r>
        <w:rPr>
          <w:rFonts w:ascii="宋体" w:hAnsi="Calibri" w:cs="宋体"/>
          <w:bCs/>
          <w:szCs w:val="21"/>
          <w:highlight w:val="white"/>
          <w:lang w:eastAsia="zh-CN"/>
        </w:rPr>
        <w:t>财务报表的编制与复核时间安排</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基金管理</w:t>
      </w:r>
      <w:r>
        <w:rPr>
          <w:rFonts w:ascii="宋体" w:hAnsi="Calibri" w:cs="宋体"/>
          <w:bCs/>
          <w:szCs w:val="21"/>
          <w:highlight w:val="white"/>
          <w:lang w:eastAsia="zh-CN"/>
        </w:rPr>
        <w:t>人、基金托管人应当在每月结束后</w:t>
      </w:r>
      <w:r>
        <w:rPr>
          <w:rFonts w:ascii="宋体" w:hAnsi="Calibri" w:cs="宋体"/>
          <w:bCs/>
          <w:szCs w:val="21"/>
          <w:highlight w:val="white"/>
          <w:lang w:eastAsia="zh-CN"/>
        </w:rPr>
        <w:t>5</w:t>
      </w:r>
      <w:r>
        <w:rPr>
          <w:rFonts w:ascii="宋体" w:hAnsi="Calibri" w:cs="宋体"/>
          <w:bCs/>
          <w:szCs w:val="21"/>
          <w:highlight w:val="white"/>
          <w:lang w:eastAsia="zh-CN"/>
        </w:rPr>
        <w:t>个工作日内完成月度报表的编制及复核；在每个季度结束之日起</w:t>
      </w:r>
      <w:r>
        <w:rPr>
          <w:rFonts w:ascii="宋体" w:hAnsi="Calibri" w:cs="宋体"/>
          <w:bCs/>
          <w:szCs w:val="21"/>
          <w:highlight w:val="white"/>
          <w:lang w:eastAsia="zh-CN"/>
        </w:rPr>
        <w:t>15</w:t>
      </w:r>
      <w:r>
        <w:rPr>
          <w:rFonts w:ascii="宋体" w:hAnsi="Calibri" w:cs="宋体"/>
          <w:bCs/>
          <w:szCs w:val="21"/>
          <w:highlight w:val="white"/>
          <w:lang w:eastAsia="zh-CN"/>
        </w:rPr>
        <w:t>个工作日内完成基金季度报告的编制及复核；在上半年结束之日起</w:t>
      </w:r>
      <w:r>
        <w:rPr>
          <w:rFonts w:ascii="宋体" w:hAnsi="Calibri" w:cs="宋体"/>
          <w:bCs/>
          <w:szCs w:val="21"/>
          <w:highlight w:val="white"/>
          <w:lang w:eastAsia="zh-CN"/>
        </w:rPr>
        <w:t>2</w:t>
      </w:r>
      <w:r>
        <w:rPr>
          <w:rFonts w:ascii="宋体" w:hAnsi="Calibri" w:cs="宋体"/>
          <w:bCs/>
          <w:szCs w:val="21"/>
          <w:highlight w:val="white"/>
          <w:lang w:eastAsia="zh-CN"/>
        </w:rPr>
        <w:t>个月内完成基金中期报告的编制及复核；在每年结束之日起三个月内完成基金年度报告的编制及复核。基金托管人在复核过程中，发现双方的报表存在不符时，基金管理人和基金托管人应共同查明原因，进行调整，调整以国家有关规定为准。基金年度报告的财务会计报告应当经过符合《证券法》规定的会计师事务所审计。基金合同生效不足两个月的，基金管理人可以不编制当期季度报告、中期报告或者年度</w:t>
      </w:r>
      <w:r>
        <w:rPr>
          <w:rFonts w:ascii="宋体" w:hAnsi="Calibri" w:cs="宋体"/>
          <w:bCs/>
          <w:szCs w:val="21"/>
          <w:highlight w:val="white"/>
          <w:lang w:eastAsia="zh-CN"/>
        </w:rPr>
        <w:t>报告。</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（七）在有需要时，基金管理人应每季度向基金托管人提供基金业绩比较基准的基础数据和编制结果。</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（八）实施侧袋机制期间的基金资产估值</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本基金实施侧袋机制的，应根据本部分的约定对主袋账户资产进行估值并披露主袋账户的基金资产净值和份额净值，暂停披露侧袋账户份额净值。</w:t>
      </w:r>
    </w:p>
    <w:p w:rsidR="004A090B">
      <w:pPr>
        <w:spacing w:line="360" w:lineRule="auto"/>
        <w:ind w:firstLine="420"/>
        <w:rPr>
          <w:rFonts w:ascii="宋体" w:hAnsi="Calibri" w:cs="宋体"/>
          <w:bCs/>
          <w:szCs w:val="21"/>
          <w:lang w:eastAsia="zh-CN"/>
        </w:rPr>
      </w:pP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第六节</w:t>
      </w:r>
      <w:r>
        <w:rPr>
          <w:rFonts w:ascii="宋体" w:hAnsi="Calibri" w:cs="宋体" w:hint="eastAsia"/>
          <w:bCs/>
          <w:szCs w:val="21"/>
          <w:lang w:eastAsia="zh-CN"/>
        </w:rPr>
        <w:t xml:space="preserve"> </w:t>
      </w:r>
      <w:r>
        <w:rPr>
          <w:rFonts w:ascii="宋体" w:hAnsi="Calibri" w:cs="宋体" w:hint="eastAsia"/>
          <w:bCs/>
          <w:szCs w:val="21"/>
          <w:lang w:eastAsia="zh-CN"/>
        </w:rPr>
        <w:t>基金份额持有人名册的登记与保管</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份额持有人名册至少应包括基金份额持有人的名称、证件号码和持有的基金份额。基金份额持有人名册由登记机构根据基金管理人的指令编制和保管，基金管理人和基金托管人应分别保管基金份额持有人名册，保存期不少于</w:t>
      </w:r>
      <w:r>
        <w:rPr>
          <w:rFonts w:ascii="宋体" w:hAnsi="Calibri" w:cs="宋体"/>
          <w:bCs/>
          <w:szCs w:val="21"/>
          <w:highlight w:val="white"/>
          <w:lang w:eastAsia="zh-CN"/>
        </w:rPr>
        <w:t>20</w:t>
      </w:r>
      <w:r>
        <w:rPr>
          <w:rFonts w:ascii="宋体" w:hAnsi="Calibri" w:cs="宋体"/>
          <w:bCs/>
          <w:szCs w:val="21"/>
          <w:highlight w:val="white"/>
          <w:lang w:eastAsia="zh-CN"/>
        </w:rPr>
        <w:t>年。如不能妥善保管，则按相关法律法规承担责任。</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在基金托管人要求或编制中期报告和年度报告前，基金管理人应将有关资料送交基金托管人，不得无故拒绝或延误提供，并保证其的真实性、准确性和完整性。基金管理人和基金托管人不得将所保管的基金份额持有人名册用于基金托管业务以外的其他用途，并应遵守保密义务。</w:t>
      </w:r>
    </w:p>
    <w:p w:rsidR="004A090B">
      <w:pPr>
        <w:spacing w:line="360" w:lineRule="auto"/>
        <w:ind w:firstLine="420"/>
        <w:rPr>
          <w:rStyle w:val="CommentReference"/>
          <w:rFonts w:ascii="宋体" w:hAnsi="Calibri" w:cs="宋体"/>
          <w:lang w:eastAsia="zh-CN"/>
        </w:rPr>
      </w:pPr>
    </w:p>
    <w:p w:rsidR="004A090B">
      <w:pPr>
        <w:spacing w:line="360" w:lineRule="auto"/>
        <w:ind w:firstLine="420"/>
        <w:rPr>
          <w:rFonts w:ascii="宋体" w:hAnsi="Calibri" w:cs="宋体"/>
          <w:bCs/>
          <w:szCs w:val="21"/>
          <w:lang w:eastAsia="zh-CN"/>
        </w:rPr>
      </w:pPr>
      <w:r>
        <w:rPr>
          <w:rStyle w:val="CommentReference"/>
          <w:rFonts w:ascii="宋体" w:hAnsi="Calibri" w:cs="宋体"/>
          <w:lang w:eastAsia="zh-CN"/>
        </w:rPr>
        <w:t>第七节</w:t>
      </w:r>
      <w:r>
        <w:rPr>
          <w:rFonts w:ascii="宋体" w:hAnsi="Calibri" w:cs="宋体" w:hint="eastAsia"/>
          <w:bCs/>
          <w:szCs w:val="21"/>
          <w:lang w:eastAsia="zh-CN"/>
        </w:rPr>
        <w:t xml:space="preserve"> </w:t>
      </w:r>
      <w:r>
        <w:rPr>
          <w:rFonts w:ascii="宋体" w:hAnsi="Calibri" w:cs="宋体" w:hint="eastAsia"/>
          <w:bCs/>
          <w:szCs w:val="21"/>
          <w:lang w:eastAsia="zh-CN"/>
        </w:rPr>
        <w:t>争议</w:t>
      </w:r>
      <w:r>
        <w:rPr>
          <w:rFonts w:ascii="宋体" w:hAnsi="Calibri" w:cs="宋体" w:hint="eastAsia"/>
          <w:bCs/>
          <w:szCs w:val="21"/>
          <w:lang w:eastAsia="zh-CN"/>
        </w:rPr>
        <w:t>解决方式</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各方当事人同意，因本协议而产生的或与本协议有关的一切争议，如经友好协商未能解决的，任何一方均有权将争议提交深圳国际仲裁院，按照深圳国际仲裁院届时有效的仲裁规则进行仲裁。仲裁地点为深圳市。仲裁裁决是终局的，对各方当事人均有约束力。除非仲裁裁决另有决定，仲裁费用由败诉方承担。</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争议处理期间，双方当事人应恪守基金管理人和基金托管人职责，各自继续忠实、勤勉、尽责地履行基金合同和本托管协议规定的义务，维护基金份额持有人的合法权益。</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本协议受中华人民共和国法律（为本协议之目的，不包括香港特别行政区、澳门特别行</w:t>
      </w:r>
      <w:r>
        <w:rPr>
          <w:rFonts w:ascii="宋体" w:hAnsi="Calibri" w:cs="宋体"/>
          <w:bCs/>
          <w:szCs w:val="21"/>
          <w:highlight w:val="white"/>
          <w:lang w:eastAsia="zh-CN"/>
        </w:rPr>
        <w:t>政区法律和台湾地区的有关规定）管辖。</w:t>
      </w:r>
    </w:p>
    <w:p w:rsidR="004A090B">
      <w:pPr>
        <w:spacing w:line="360" w:lineRule="auto"/>
        <w:ind w:firstLine="420"/>
        <w:rPr>
          <w:rFonts w:ascii="宋体" w:hAnsi="Calibri" w:cs="宋体"/>
          <w:bCs/>
          <w:szCs w:val="21"/>
          <w:lang w:eastAsia="zh-CN"/>
        </w:rPr>
      </w:pPr>
    </w:p>
    <w:p w:rsidR="004A090B">
      <w:pPr>
        <w:spacing w:line="360" w:lineRule="auto"/>
        <w:ind w:firstLine="420"/>
        <w:rPr>
          <w:rFonts w:ascii="宋体" w:hAnsi="Calibri" w:cs="宋体"/>
          <w:bCs/>
          <w:szCs w:val="21"/>
          <w:lang w:eastAsia="zh-CN"/>
        </w:rPr>
      </w:pPr>
      <w:r>
        <w:rPr>
          <w:rFonts w:ascii="宋体" w:hAnsi="Calibri" w:cs="宋体" w:hint="eastAsia"/>
          <w:bCs/>
          <w:szCs w:val="21"/>
          <w:lang w:eastAsia="zh-CN"/>
        </w:rPr>
        <w:t>第八节</w:t>
      </w:r>
      <w:r>
        <w:rPr>
          <w:rFonts w:ascii="宋体" w:hAnsi="Calibri" w:cs="宋体" w:hint="eastAsia"/>
          <w:bCs/>
          <w:szCs w:val="21"/>
          <w:lang w:eastAsia="zh-CN"/>
        </w:rPr>
        <w:t xml:space="preserve"> </w:t>
      </w:r>
      <w:r>
        <w:rPr>
          <w:rFonts w:ascii="宋体" w:hAnsi="Calibri" w:cs="宋体" w:hint="eastAsia"/>
          <w:bCs/>
          <w:szCs w:val="21"/>
          <w:lang w:eastAsia="zh-CN"/>
        </w:rPr>
        <w:t>托管协议的修改与终止</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（一）托管协议的变更程序</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本协议双方当事人经协商一致，可以对协议进行修改。修改后的新协议，其内容不得与基金合同的规定有任何冲突。</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（二）基金托管协议终止的情形</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1.</w:t>
      </w:r>
      <w:r>
        <w:rPr>
          <w:rFonts w:ascii="宋体" w:hAnsi="Calibri" w:cs="宋体"/>
          <w:bCs/>
          <w:szCs w:val="21"/>
          <w:highlight w:val="white"/>
          <w:lang w:eastAsia="zh-CN"/>
        </w:rPr>
        <w:t>《基金合同》终止；</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2.</w:t>
      </w:r>
      <w:r>
        <w:rPr>
          <w:rFonts w:ascii="宋体" w:hAnsi="Calibri" w:cs="宋体"/>
          <w:bCs/>
          <w:szCs w:val="21"/>
          <w:highlight w:val="white"/>
          <w:lang w:eastAsia="zh-CN"/>
        </w:rPr>
        <w:t>基金托管人因解散、破产、撤销等事由，不能继续担任基金托管人的职务，而在</w:t>
      </w:r>
      <w:r>
        <w:rPr>
          <w:rFonts w:ascii="宋体" w:hAnsi="Calibri" w:cs="宋体"/>
          <w:bCs/>
          <w:szCs w:val="21"/>
          <w:highlight w:val="white"/>
          <w:lang w:eastAsia="zh-CN"/>
        </w:rPr>
        <w:t>6</w:t>
      </w:r>
      <w:r>
        <w:rPr>
          <w:rFonts w:ascii="宋体" w:hAnsi="Calibri" w:cs="宋体"/>
          <w:bCs/>
          <w:szCs w:val="21"/>
          <w:highlight w:val="white"/>
          <w:lang w:eastAsia="zh-CN"/>
        </w:rPr>
        <w:t>个月内无其他适当的托管机构承接其原有权利义务；</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3.</w:t>
      </w:r>
      <w:r>
        <w:rPr>
          <w:rFonts w:ascii="宋体" w:hAnsi="Calibri" w:cs="宋体"/>
          <w:bCs/>
          <w:szCs w:val="21"/>
          <w:highlight w:val="white"/>
          <w:lang w:eastAsia="zh-CN"/>
        </w:rPr>
        <w:t>基金管理人因解散、破产、撤销等事由，不能继续担任基金管理人的职务，而在</w:t>
      </w:r>
      <w:r>
        <w:rPr>
          <w:rFonts w:ascii="宋体" w:hAnsi="Calibri" w:cs="宋体"/>
          <w:bCs/>
          <w:szCs w:val="21"/>
          <w:highlight w:val="white"/>
          <w:lang w:eastAsia="zh-CN"/>
        </w:rPr>
        <w:t>6</w:t>
      </w:r>
      <w:r>
        <w:rPr>
          <w:rFonts w:ascii="宋体" w:hAnsi="Calibri" w:cs="宋体"/>
          <w:bCs/>
          <w:szCs w:val="21"/>
          <w:highlight w:val="white"/>
          <w:lang w:eastAsia="zh-CN"/>
        </w:rPr>
        <w:t>个月内无其他适当的基金管理公司承接其原有权利义务；</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4.</w:t>
      </w:r>
      <w:r>
        <w:rPr>
          <w:rFonts w:ascii="宋体" w:hAnsi="Calibri" w:cs="宋体"/>
          <w:bCs/>
          <w:szCs w:val="21"/>
          <w:highlight w:val="white"/>
          <w:lang w:eastAsia="zh-CN"/>
        </w:rPr>
        <w:t>发生法律法规或《基金合同》规定的其他终止事项。</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（三）基金财产的清算</w:t>
      </w:r>
    </w:p>
    <w:p w:rsidR="004A090B">
      <w:pPr>
        <w:spacing w:line="360" w:lineRule="auto"/>
        <w:ind w:firstLine="420"/>
        <w:rPr>
          <w:rFonts w:ascii="宋体" w:hAnsi="Calibri" w:cs="宋体"/>
          <w:bCs/>
          <w:szCs w:val="21"/>
          <w:lang w:eastAsia="zh-CN"/>
        </w:rPr>
      </w:pPr>
      <w:r>
        <w:rPr>
          <w:rFonts w:ascii="宋体" w:hAnsi="Calibri" w:cs="宋体"/>
          <w:bCs/>
          <w:szCs w:val="21"/>
          <w:highlight w:val="white"/>
          <w:lang w:eastAsia="zh-CN"/>
        </w:rPr>
        <w:t>基金管理人与基金托管人按照《基金合同》的约定处理基金财产的清算。</w:t>
      </w:r>
    </w:p>
    <w:p w:rsidR="004A090B">
      <w:pPr>
        <w:pStyle w:val="Heading1"/>
        <w:pageBreakBefore/>
        <w:spacing w:before="317" w:after="317" w:line="360" w:lineRule="auto"/>
        <w:ind w:firstLine="600"/>
        <w:rPr>
          <w:rFonts w:ascii="宋体" w:eastAsia="宋体" w:hAnsi="Calibri" w:cs="宋体"/>
          <w:bCs/>
          <w:sz w:val="30"/>
          <w:szCs w:val="30"/>
          <w:lang w:eastAsia="zh-CN"/>
        </w:rPr>
      </w:pPr>
      <w:bookmarkStart w:id="1863" w:name="_Toc129511546"/>
      <w:r>
        <w:rPr>
          <w:rFonts w:ascii="宋体" w:eastAsia="宋体" w:hAnsi="Calibri" w:cs="宋体" w:hint="eastAsia"/>
          <w:sz w:val="30"/>
          <w:szCs w:val="30"/>
          <w:lang w:eastAsia="zh-CN"/>
        </w:rPr>
        <w:t>第二</w:t>
      </w:r>
      <w:bookmarkStart w:id="1864" w:name="_Toc332373591"/>
      <w:r>
        <w:rPr>
          <w:rFonts w:ascii="宋体" w:eastAsia="宋体" w:hAnsi="Calibri" w:cs="宋体" w:hint="eastAsia"/>
          <w:sz w:val="30"/>
          <w:szCs w:val="30"/>
          <w:lang w:eastAsia="zh-CN"/>
        </w:rPr>
        <w:t>十</w:t>
      </w:r>
      <w:r>
        <w:rPr>
          <w:rFonts w:ascii="宋体" w:eastAsia="宋体" w:hAnsi="Calibri" w:cs="宋体"/>
          <w:sz w:val="30"/>
          <w:szCs w:val="30"/>
          <w:lang w:eastAsia="zh-CN"/>
        </w:rPr>
        <w:t>四部分</w:t>
      </w:r>
      <w:r>
        <w:rPr>
          <w:rFonts w:ascii="宋体" w:eastAsia="宋体" w:hAnsi="Calibri" w:cs="宋体"/>
          <w:sz w:val="30"/>
          <w:szCs w:val="30"/>
          <w:lang w:eastAsia="zh-CN"/>
        </w:rPr>
        <w:t xml:space="preserve"> </w:t>
      </w:r>
      <w:r>
        <w:rPr>
          <w:rFonts w:ascii="宋体" w:eastAsia="宋体" w:hAnsi="Calibri" w:cs="宋体"/>
          <w:sz w:val="30"/>
          <w:szCs w:val="30"/>
          <w:lang w:eastAsia="zh-CN"/>
        </w:rPr>
        <w:t>对基金份额持有人的服务</w:t>
      </w:r>
      <w:bookmarkEnd w:id="1863"/>
      <w:bookmarkEnd w:id="1864"/>
    </w:p>
    <w:p w:rsidR="004A090B">
      <w:pPr>
        <w:pStyle w:val="BodyTextFirstIndent"/>
        <w:spacing w:after="0" w:line="360" w:lineRule="auto"/>
        <w:rPr>
          <w:rFonts w:ascii="宋体" w:hAnsi="Calibri" w:cs="宋体"/>
          <w:lang w:eastAsia="zh-CN"/>
        </w:rPr>
      </w:pPr>
      <w:r>
        <w:rPr>
          <w:rFonts w:ascii="宋体" w:hAnsi="Calibri" w:cs="宋体" w:hint="eastAsia"/>
          <w:lang w:eastAsia="zh-CN"/>
        </w:rPr>
        <w:t>基金管理人承诺为基金份额持有人提供一系列的服务。以下是主要的服务内容，基金管理人根据基金份额持有人的需要和市场的变化，有权增加、修改这些服务项目：</w:t>
      </w:r>
    </w:p>
    <w:p w:rsidR="004A090B">
      <w:pPr>
        <w:pStyle w:val="BodyTextFirstIndent"/>
        <w:spacing w:after="0" w:line="360" w:lineRule="auto"/>
        <w:rPr>
          <w:rFonts w:ascii="宋体" w:hAnsi="Calibri" w:cs="宋体"/>
          <w:lang w:eastAsia="zh-CN"/>
        </w:rPr>
      </w:pPr>
      <w:r>
        <w:rPr>
          <w:rFonts w:ascii="宋体" w:hAnsi="Calibri" w:cs="宋体" w:hint="eastAsia"/>
          <w:lang w:eastAsia="zh-CN"/>
        </w:rPr>
        <w:t>一、基金份额持有人投资交易确认服务</w:t>
      </w:r>
    </w:p>
    <w:p w:rsidR="004A090B">
      <w:pPr>
        <w:pStyle w:val="BodyTextFirstIndent"/>
        <w:spacing w:after="0" w:line="360" w:lineRule="auto"/>
        <w:rPr>
          <w:rFonts w:ascii="宋体" w:hAnsi="Calibri" w:cs="宋体"/>
          <w:lang w:eastAsia="zh-CN"/>
        </w:rPr>
      </w:pPr>
      <w:r>
        <w:rPr>
          <w:rFonts w:ascii="宋体" w:hAnsi="Calibri" w:cs="宋体" w:hint="eastAsia"/>
          <w:lang w:eastAsia="zh-CN"/>
        </w:rPr>
        <w:t>登记机构保留基金份额持有人名册上列明的所有基金份额持有人的基金交易记录。本公司根据在直销网点进行交易的投资人的要求提供成交确认单。非直销销售机构基金份</w:t>
      </w:r>
      <w:r>
        <w:rPr>
          <w:rFonts w:ascii="宋体" w:hAnsi="Calibri" w:cs="宋体" w:hint="eastAsia"/>
          <w:lang w:eastAsia="zh-CN"/>
        </w:rPr>
        <w:t>额持有人投资交易确认服务请参照各销售机构实际业务流程及规定。</w:t>
      </w:r>
    </w:p>
    <w:p w:rsidR="004A090B">
      <w:pPr>
        <w:pStyle w:val="BodyTextFirstIndent"/>
        <w:spacing w:after="0" w:line="360" w:lineRule="auto"/>
        <w:rPr>
          <w:rFonts w:ascii="宋体" w:hAnsi="宋体" w:cs="宋体"/>
          <w:lang w:eastAsia="zh-CN"/>
        </w:rPr>
      </w:pPr>
      <w:r>
        <w:rPr>
          <w:rFonts w:ascii="宋体" w:hAnsi="宋体" w:cs="宋体" w:hint="eastAsia"/>
          <w:lang w:eastAsia="zh-CN"/>
        </w:rPr>
        <w:t>二、基金份额持有人交易记录查询服务</w:t>
      </w:r>
    </w:p>
    <w:p w:rsidR="004A090B">
      <w:pPr>
        <w:pStyle w:val="BodyTextFirstIndent"/>
        <w:spacing w:after="0" w:line="360" w:lineRule="auto"/>
        <w:rPr>
          <w:rFonts w:ascii="宋体" w:hAnsi="宋体" w:cs="宋体"/>
          <w:lang w:eastAsia="zh-CN"/>
        </w:rPr>
      </w:pPr>
      <w:r>
        <w:rPr>
          <w:rFonts w:ascii="宋体" w:hAnsi="宋体" w:cs="宋体" w:hint="eastAsia"/>
          <w:lang w:eastAsia="zh-CN"/>
        </w:rPr>
        <w:t>本基金份额持有人可通过基金管理人的客户服务中心、微信小程序“易方达易服务”查询历史交易记录。</w:t>
      </w:r>
    </w:p>
    <w:p w:rsidR="004A090B">
      <w:pPr>
        <w:pStyle w:val="BodyTextFirstIndent"/>
        <w:spacing w:after="0" w:line="360" w:lineRule="auto"/>
        <w:rPr>
          <w:rFonts w:ascii="宋体" w:hAnsi="宋体" w:cs="宋体"/>
          <w:lang w:eastAsia="zh-CN"/>
        </w:rPr>
      </w:pPr>
      <w:r>
        <w:rPr>
          <w:rFonts w:ascii="宋体" w:hAnsi="宋体" w:cs="宋体" w:hint="eastAsia"/>
          <w:lang w:eastAsia="zh-CN"/>
        </w:rPr>
        <w:t>三、基金份额持有人的对账单服务</w:t>
      </w:r>
    </w:p>
    <w:p w:rsidR="004A090B">
      <w:pPr>
        <w:pStyle w:val="BodyTextFirstIndent"/>
        <w:spacing w:after="0" w:line="360" w:lineRule="auto"/>
        <w:rPr>
          <w:rFonts w:ascii="宋体" w:hAnsi="宋体" w:cs="宋体"/>
        </w:rPr>
      </w:pPr>
      <w:r>
        <w:rPr>
          <w:rFonts w:ascii="宋体" w:hAnsi="宋体" w:cs="宋体" w:hint="eastAsia"/>
        </w:rPr>
        <w:t>1</w:t>
      </w:r>
      <w:r>
        <w:rPr>
          <w:rFonts w:ascii="宋体" w:hAnsi="宋体" w:cs="宋体" w:hint="eastAsia"/>
        </w:rPr>
        <w:t>、基金份额持有人可登录本公司网站</w:t>
      </w:r>
      <w:r>
        <w:rPr>
          <w:rFonts w:ascii="宋体" w:hAnsi="宋体" w:cs="宋体" w:hint="eastAsia"/>
          <w:szCs w:val="21"/>
        </w:rPr>
        <w:t>（</w:t>
      </w:r>
      <w:r>
        <w:rPr>
          <w:rFonts w:ascii="宋体" w:hAnsi="宋体" w:cs="宋体" w:hint="eastAsia"/>
          <w:szCs w:val="21"/>
        </w:rPr>
        <w:t>www.efunds.com.cn</w:t>
      </w:r>
      <w:r>
        <w:rPr>
          <w:rFonts w:ascii="宋体" w:hAnsi="宋体" w:cs="宋体" w:hint="eastAsia"/>
          <w:szCs w:val="21"/>
        </w:rPr>
        <w:t>）、微信小程序</w:t>
      </w:r>
      <w:r>
        <w:rPr>
          <w:rFonts w:ascii="宋体" w:hAnsi="宋体" w:cs="宋体" w:hint="eastAsia"/>
        </w:rPr>
        <w:t>“易方达易服务”查阅对账单。</w:t>
      </w:r>
    </w:p>
    <w:p w:rsidR="004A090B">
      <w:pPr>
        <w:pStyle w:val="BodyTextFirstIndent"/>
        <w:spacing w:after="0" w:line="360" w:lineRule="auto"/>
        <w:rPr>
          <w:rFonts w:ascii="宋体" w:hAnsi="Calibri" w:cs="宋体"/>
          <w:lang w:eastAsia="zh-CN"/>
        </w:rPr>
      </w:pPr>
      <w:r>
        <w:rPr>
          <w:rFonts w:ascii="宋体" w:hAnsi="宋体" w:cs="宋体"/>
          <w:lang w:eastAsia="zh-CN"/>
        </w:rPr>
        <w:t>2</w:t>
      </w:r>
      <w:r>
        <w:rPr>
          <w:rFonts w:ascii="宋体" w:hAnsi="宋体" w:cs="宋体"/>
          <w:lang w:eastAsia="zh-CN"/>
        </w:rPr>
        <w:t>、</w:t>
      </w:r>
      <w:r>
        <w:rPr>
          <w:rFonts w:ascii="宋体" w:hAnsi="宋体" w:cs="宋体" w:hint="eastAsia"/>
          <w:lang w:eastAsia="zh-CN"/>
        </w:rPr>
        <w:t>本公司每年度以短信、</w:t>
      </w:r>
      <w:r>
        <w:rPr>
          <w:rFonts w:ascii="宋体" w:hAnsi="宋体" w:cs="宋体" w:hint="eastAsia"/>
          <w:lang w:eastAsia="zh-CN"/>
        </w:rPr>
        <w:t>APP</w:t>
      </w:r>
      <w:r>
        <w:rPr>
          <w:rFonts w:ascii="宋体" w:hAnsi="宋体" w:cs="宋体" w:hint="eastAsia"/>
          <w:lang w:eastAsia="zh-CN"/>
        </w:rPr>
        <w:t>、公众号、小程序或其他形式等任意一种形式向通过易方达直销系统持有本公司基金份额的持有人提供基金保有情况信息，基金份额持有人也可以向本公司定制短信等形式的月度对账单。</w:t>
      </w:r>
    </w:p>
    <w:p w:rsidR="004A090B">
      <w:pPr>
        <w:pStyle w:val="BodyTextFirstIndent"/>
        <w:spacing w:after="0" w:line="360" w:lineRule="auto"/>
        <w:rPr>
          <w:rFonts w:ascii="宋体" w:hAnsi="Calibri" w:cs="宋体"/>
          <w:lang w:eastAsia="zh-CN"/>
        </w:rPr>
      </w:pPr>
      <w:r>
        <w:rPr>
          <w:rFonts w:ascii="宋体" w:hAnsi="Calibri" w:cs="宋体" w:hint="eastAsia"/>
          <w:lang w:eastAsia="zh-CN"/>
        </w:rPr>
        <w:t>具体查阅和定制账单的方法可参见本公司网站或拨打客服热线咨询。</w:t>
      </w:r>
    </w:p>
    <w:p w:rsidR="004A090B">
      <w:pPr>
        <w:pStyle w:val="BodyTextFirstIndent"/>
        <w:spacing w:after="0" w:line="360" w:lineRule="auto"/>
        <w:rPr>
          <w:rFonts w:ascii="宋体" w:hAnsi="Calibri" w:cs="宋体"/>
          <w:lang w:eastAsia="zh-CN"/>
        </w:rPr>
      </w:pPr>
      <w:r>
        <w:rPr>
          <w:rFonts w:ascii="宋体" w:hAnsi="Calibri" w:cs="宋体" w:hint="eastAsia"/>
          <w:lang w:eastAsia="zh-CN"/>
        </w:rPr>
        <w:t>四、资讯服务</w:t>
      </w:r>
    </w:p>
    <w:p w:rsidR="004A090B">
      <w:pPr>
        <w:spacing w:line="360" w:lineRule="auto"/>
        <w:ind w:firstLine="424"/>
        <w:rPr>
          <w:rFonts w:ascii="宋体" w:hAnsi="Calibri" w:cs="宋体"/>
          <w:lang w:eastAsia="zh-CN"/>
        </w:rPr>
      </w:pPr>
      <w:r>
        <w:rPr>
          <w:rFonts w:ascii="宋体" w:hAnsi="Calibri" w:cs="宋体"/>
          <w:lang w:eastAsia="zh-CN"/>
        </w:rPr>
        <w:t>1</w:t>
      </w:r>
      <w:r>
        <w:rPr>
          <w:rFonts w:ascii="宋体" w:hAnsi="Calibri" w:cs="宋体"/>
          <w:lang w:eastAsia="zh-CN"/>
        </w:rPr>
        <w:t>、客户服务电话</w:t>
      </w:r>
    </w:p>
    <w:p w:rsidR="004A090B">
      <w:pPr>
        <w:spacing w:line="360" w:lineRule="auto"/>
        <w:ind w:firstLine="424"/>
        <w:rPr>
          <w:rFonts w:ascii="宋体" w:hAnsi="Calibri" w:cs="宋体"/>
          <w:lang w:eastAsia="zh-CN"/>
        </w:rPr>
      </w:pPr>
      <w:r>
        <w:rPr>
          <w:rFonts w:ascii="宋体" w:hAnsi="Calibri" w:cs="宋体" w:hint="eastAsia"/>
          <w:lang w:eastAsia="zh-CN"/>
        </w:rPr>
        <w:t>投资者如果想了解基金产品、服务等信息，或反馈投资过程中需要投诉与建议的情况，可拨打如下电话：</w:t>
      </w:r>
      <w:r>
        <w:rPr>
          <w:rFonts w:ascii="宋体" w:hAnsi="Calibri" w:cs="宋体"/>
          <w:lang w:eastAsia="zh-CN"/>
        </w:rPr>
        <w:t>4008818088</w:t>
      </w:r>
      <w:r>
        <w:rPr>
          <w:rFonts w:ascii="宋体" w:hAnsi="Calibri" w:cs="宋体"/>
          <w:lang w:eastAsia="zh-CN"/>
        </w:rPr>
        <w:t>。</w:t>
      </w:r>
      <w:r>
        <w:rPr>
          <w:rFonts w:ascii="宋体" w:hAnsi="Calibri" w:cs="宋体" w:hint="eastAsia"/>
          <w:lang w:eastAsia="zh-CN"/>
        </w:rPr>
        <w:t>投资者如果认为自己不能准确理解本基金《招募说明书》《基金合同》的具体内容，也可拨打上述电话详询。</w:t>
      </w:r>
    </w:p>
    <w:p w:rsidR="004A090B">
      <w:pPr>
        <w:spacing w:line="360" w:lineRule="auto"/>
        <w:ind w:firstLine="424"/>
        <w:rPr>
          <w:rFonts w:ascii="宋体" w:hAnsi="Calibri" w:cs="宋体"/>
        </w:rPr>
      </w:pPr>
      <w:r>
        <w:rPr>
          <w:rFonts w:ascii="宋体" w:hAnsi="Calibri" w:cs="宋体"/>
        </w:rPr>
        <w:t>2</w:t>
      </w:r>
      <w:r>
        <w:rPr>
          <w:rFonts w:ascii="宋体" w:hAnsi="Calibri" w:cs="宋体"/>
        </w:rPr>
        <w:t>、互联网站及电子信箱</w:t>
      </w:r>
    </w:p>
    <w:p w:rsidR="004A090B">
      <w:pPr>
        <w:spacing w:line="360" w:lineRule="auto"/>
        <w:ind w:firstLine="424"/>
        <w:rPr>
          <w:rFonts w:ascii="宋体" w:hAnsi="Calibri" w:cs="宋体"/>
        </w:rPr>
      </w:pPr>
      <w:r>
        <w:rPr>
          <w:rFonts w:ascii="宋体" w:hAnsi="Calibri" w:cs="宋体" w:hint="eastAsia"/>
        </w:rPr>
        <w:t>网址：</w:t>
      </w:r>
      <w:r>
        <w:rPr>
          <w:rFonts w:ascii="宋体" w:hAnsi="Calibri" w:cs="宋体"/>
        </w:rPr>
        <w:t>www.efunds.com.cn</w:t>
      </w:r>
    </w:p>
    <w:p w:rsidR="004A090B">
      <w:pPr>
        <w:spacing w:line="360" w:lineRule="auto"/>
        <w:ind w:firstLine="424"/>
        <w:rPr>
          <w:rFonts w:ascii="宋体" w:hAnsi="Calibri" w:cs="宋体"/>
        </w:rPr>
      </w:pPr>
      <w:r>
        <w:rPr>
          <w:rFonts w:ascii="宋体" w:hAnsi="Calibri" w:cs="宋体" w:hint="eastAsia"/>
        </w:rPr>
        <w:t>电子信箱：</w:t>
      </w:r>
      <w:r>
        <w:rPr>
          <w:rFonts w:ascii="宋体" w:hAnsi="Calibri" w:cs="宋体"/>
        </w:rPr>
        <w:t xml:space="preserve">service@efunds.com.cn </w:t>
      </w:r>
    </w:p>
    <w:p w:rsidR="004A090B">
      <w:pPr>
        <w:pStyle w:val="Heading1"/>
        <w:pageBreakBefore/>
        <w:spacing w:before="317" w:after="317" w:line="360" w:lineRule="auto"/>
        <w:ind w:firstLine="2550"/>
        <w:jc w:val="both"/>
        <w:rPr>
          <w:rFonts w:ascii="宋体" w:eastAsia="宋体" w:hAnsi="Calibri" w:cs="宋体"/>
          <w:sz w:val="30"/>
          <w:szCs w:val="30"/>
          <w:lang w:eastAsia="zh-CN"/>
        </w:rPr>
      </w:pPr>
      <w:bookmarkStart w:id="1865" w:name="_Toc332373592"/>
      <w:bookmarkStart w:id="1866" w:name="_Toc129511547"/>
      <w:r>
        <w:rPr>
          <w:rFonts w:ascii="宋体" w:eastAsia="宋体" w:hAnsi="Calibri" w:cs="宋体" w:hint="eastAsia"/>
          <w:sz w:val="30"/>
          <w:szCs w:val="30"/>
          <w:lang w:eastAsia="zh-CN"/>
        </w:rPr>
        <w:t>第二十</w:t>
      </w:r>
      <w:r>
        <w:rPr>
          <w:rFonts w:ascii="宋体" w:eastAsia="宋体" w:hAnsi="Calibri" w:cs="宋体"/>
          <w:sz w:val="30"/>
          <w:szCs w:val="30"/>
          <w:lang w:eastAsia="zh-CN"/>
        </w:rPr>
        <w:t>五</w:t>
      </w:r>
      <w:r>
        <w:rPr>
          <w:rFonts w:ascii="宋体" w:eastAsia="宋体" w:hAnsi="Calibri" w:cs="宋体" w:hint="eastAsia"/>
          <w:sz w:val="30"/>
          <w:szCs w:val="30"/>
          <w:lang w:eastAsia="zh-CN"/>
        </w:rPr>
        <w:t>部分</w:t>
      </w:r>
      <w:r>
        <w:rPr>
          <w:rFonts w:ascii="宋体" w:eastAsia="宋体" w:hAnsi="Calibri" w:cs="宋体"/>
          <w:sz w:val="30"/>
          <w:szCs w:val="30"/>
          <w:lang w:eastAsia="zh-CN"/>
        </w:rPr>
        <w:t xml:space="preserve"> </w:t>
      </w:r>
      <w:r>
        <w:rPr>
          <w:rFonts w:ascii="宋体" w:eastAsia="宋体" w:hAnsi="Calibri" w:cs="宋体" w:hint="eastAsia"/>
          <w:sz w:val="30"/>
          <w:szCs w:val="30"/>
          <w:lang w:eastAsia="zh-CN"/>
        </w:rPr>
        <w:t>其他应披露事项</w:t>
      </w:r>
      <w:bookmarkEnd w:id="1865"/>
      <w:bookmarkEnd w:id="1866"/>
    </w:p>
    <w:p w:rsidR="004A090B">
      <w:pPr>
        <w:spacing w:line="400" w:lineRule="exact"/>
        <w:ind w:firstLine="420"/>
        <w:rPr>
          <w:rFonts w:ascii="宋体" w:hAnsi="Calibri" w:cs="宋体"/>
          <w:lang w:eastAsia="zh-CN"/>
        </w:rPr>
      </w:pPr>
      <w:r>
        <w:rPr>
          <w:rFonts w:ascii="宋体" w:hAnsi="Calibri" w:cs="宋体" w:hint="eastAsia"/>
          <w:lang w:eastAsia="zh-CN"/>
        </w:rPr>
        <w:t>无</w:t>
      </w:r>
    </w:p>
    <w:p w:rsidR="004A090B">
      <w:pPr>
        <w:pStyle w:val="NormalIndent"/>
        <w:rPr>
          <w:rFonts w:ascii="宋体" w:hAnsi="Calibri" w:cs="宋体"/>
          <w:lang w:eastAsia="zh-CN"/>
        </w:rPr>
      </w:pPr>
    </w:p>
    <w:p w:rsidR="004A090B">
      <w:pPr>
        <w:pStyle w:val="NormalIndent"/>
        <w:rPr>
          <w:rFonts w:ascii="宋体" w:hAnsi="Calibri" w:cs="宋体"/>
          <w:lang w:eastAsia="zh-CN"/>
        </w:rPr>
      </w:pPr>
    </w:p>
    <w:p w:rsidR="004A090B">
      <w:pPr>
        <w:pStyle w:val="NormalIndent"/>
        <w:rPr>
          <w:rFonts w:ascii="宋体" w:hAnsi="Calibri" w:cs="宋体"/>
          <w:lang w:eastAsia="zh-CN"/>
        </w:rPr>
      </w:pPr>
    </w:p>
    <w:p w:rsidR="004A090B">
      <w:pPr>
        <w:pStyle w:val="NormalIndent"/>
        <w:rPr>
          <w:rFonts w:ascii="宋体" w:hAnsi="Calibri" w:cs="宋体"/>
          <w:lang w:eastAsia="zh-CN"/>
        </w:rPr>
      </w:pPr>
    </w:p>
    <w:p w:rsidR="004A090B">
      <w:pPr>
        <w:pStyle w:val="NormalIndent"/>
        <w:rPr>
          <w:rFonts w:ascii="宋体" w:hAnsi="Calibri" w:cs="宋体"/>
          <w:lang w:eastAsia="zh-CN"/>
        </w:rPr>
      </w:pPr>
    </w:p>
    <w:p w:rsidR="004A090B">
      <w:pPr>
        <w:pStyle w:val="NormalIndent"/>
        <w:rPr>
          <w:rFonts w:ascii="宋体" w:hAnsi="Calibri" w:cs="宋体"/>
          <w:lang w:eastAsia="zh-CN"/>
        </w:rPr>
      </w:pPr>
    </w:p>
    <w:p w:rsidR="004A090B">
      <w:pPr>
        <w:pStyle w:val="NormalIndent"/>
        <w:rPr>
          <w:rFonts w:ascii="宋体" w:hAnsi="Calibri" w:cs="宋体"/>
          <w:lang w:eastAsia="zh-CN"/>
        </w:rPr>
      </w:pPr>
    </w:p>
    <w:p w:rsidR="004A090B">
      <w:pPr>
        <w:pStyle w:val="NormalIndent"/>
        <w:rPr>
          <w:rFonts w:ascii="宋体" w:hAnsi="Calibri" w:cs="宋体"/>
          <w:lang w:eastAsia="zh-CN"/>
        </w:rPr>
      </w:pPr>
    </w:p>
    <w:p w:rsidR="004A090B">
      <w:pPr>
        <w:pStyle w:val="NormalIndent"/>
        <w:rPr>
          <w:rFonts w:ascii="宋体" w:hAnsi="Calibri" w:cs="宋体"/>
          <w:lang w:eastAsia="zh-CN"/>
        </w:rPr>
      </w:pPr>
    </w:p>
    <w:p w:rsidR="004A090B">
      <w:pPr>
        <w:widowControl/>
        <w:jc w:val="left"/>
        <w:rPr>
          <w:rFonts w:ascii="宋体" w:hAnsi="Calibri" w:cs="宋体"/>
          <w:sz w:val="30"/>
          <w:szCs w:val="32"/>
          <w:lang w:eastAsia="zh-CN"/>
        </w:rPr>
      </w:pPr>
      <w:r>
        <w:rPr>
          <w:rFonts w:ascii="宋体" w:hAnsi="Calibri" w:cs="宋体"/>
          <w:sz w:val="30"/>
          <w:lang w:eastAsia="zh-CN"/>
        </w:rPr>
        <w:br w:type="page"/>
      </w:r>
    </w:p>
    <w:p w:rsidR="004A090B">
      <w:pPr>
        <w:pStyle w:val="Heading1"/>
        <w:spacing w:before="317" w:after="317" w:line="360" w:lineRule="auto"/>
        <w:ind w:firstLine="600"/>
        <w:rPr>
          <w:rFonts w:ascii="宋体" w:eastAsia="宋体" w:hAnsi="Calibri" w:cs="宋体"/>
          <w:bCs/>
          <w:sz w:val="30"/>
          <w:szCs w:val="30"/>
          <w:lang w:eastAsia="zh-CN"/>
        </w:rPr>
      </w:pPr>
      <w:bookmarkStart w:id="1867" w:name="_Toc129511548"/>
      <w:r>
        <w:rPr>
          <w:rFonts w:ascii="宋体" w:eastAsia="宋体" w:hAnsi="Calibri" w:cs="宋体" w:hint="eastAsia"/>
          <w:sz w:val="30"/>
          <w:szCs w:val="30"/>
          <w:lang w:eastAsia="zh-CN"/>
        </w:rPr>
        <w:t>第二</w:t>
      </w:r>
      <w:bookmarkStart w:id="1868" w:name="_Toc332373593"/>
      <w:r>
        <w:rPr>
          <w:rFonts w:ascii="宋体" w:eastAsia="宋体" w:hAnsi="Calibri" w:cs="宋体" w:hint="eastAsia"/>
          <w:sz w:val="30"/>
          <w:szCs w:val="30"/>
          <w:lang w:eastAsia="zh-CN"/>
        </w:rPr>
        <w:t>十</w:t>
      </w:r>
      <w:r>
        <w:rPr>
          <w:rFonts w:ascii="宋体" w:eastAsia="宋体" w:hAnsi="Calibri" w:cs="宋体"/>
          <w:sz w:val="30"/>
          <w:szCs w:val="30"/>
          <w:lang w:eastAsia="zh-CN"/>
        </w:rPr>
        <w:t>六</w:t>
      </w:r>
      <w:r>
        <w:rPr>
          <w:rFonts w:ascii="宋体" w:eastAsia="宋体" w:hAnsi="Calibri" w:cs="宋体" w:hint="eastAsia"/>
          <w:sz w:val="30"/>
          <w:szCs w:val="30"/>
          <w:lang w:eastAsia="zh-CN"/>
        </w:rPr>
        <w:t>部分</w:t>
      </w:r>
      <w:r>
        <w:rPr>
          <w:rFonts w:ascii="宋体" w:eastAsia="宋体" w:hAnsi="Calibri" w:cs="宋体"/>
          <w:sz w:val="30"/>
          <w:szCs w:val="30"/>
          <w:lang w:eastAsia="zh-CN"/>
        </w:rPr>
        <w:t xml:space="preserve"> </w:t>
      </w:r>
      <w:r>
        <w:rPr>
          <w:rFonts w:ascii="宋体" w:eastAsia="宋体" w:hAnsi="Calibri" w:cs="宋体" w:hint="eastAsia"/>
          <w:sz w:val="30"/>
          <w:szCs w:val="30"/>
          <w:lang w:eastAsia="zh-CN"/>
        </w:rPr>
        <w:t>招募说明书的存放及查阅方式</w:t>
      </w:r>
      <w:bookmarkEnd w:id="1867"/>
      <w:bookmarkEnd w:id="1868"/>
    </w:p>
    <w:p w:rsidR="004A090B">
      <w:pPr>
        <w:spacing w:line="360" w:lineRule="auto"/>
        <w:ind w:firstLine="420"/>
        <w:rPr>
          <w:rFonts w:ascii="宋体" w:hAnsi="Calibri" w:cs="宋体"/>
          <w:lang w:eastAsia="zh-CN"/>
        </w:rPr>
      </w:pPr>
      <w:r>
        <w:rPr>
          <w:rFonts w:ascii="宋体" w:hAnsi="Calibri" w:cs="宋体" w:hint="eastAsia"/>
          <w:lang w:eastAsia="zh-CN"/>
        </w:rPr>
        <w:t>本招募说明书存放在基金管理人、基金托管人及其他基金销售机构处，投资者可在营业时间免费查阅，也可按工本费购买复印件。</w:t>
      </w:r>
    </w:p>
    <w:p w:rsidR="004A090B">
      <w:pPr>
        <w:spacing w:line="360" w:lineRule="auto"/>
        <w:ind w:firstLine="420"/>
        <w:rPr>
          <w:rFonts w:ascii="宋体" w:hAnsi="Calibri" w:cs="宋体"/>
          <w:lang w:eastAsia="zh-CN"/>
        </w:rPr>
      </w:pPr>
      <w:r>
        <w:rPr>
          <w:rFonts w:ascii="宋体" w:hAnsi="Calibri" w:cs="宋体" w:hint="eastAsia"/>
          <w:lang w:eastAsia="zh-CN"/>
        </w:rPr>
        <w:t>基金管理人和基金托管人保证文本的内容与公告的内容完全一致。</w:t>
      </w:r>
    </w:p>
    <w:p w:rsidR="004A090B">
      <w:pPr>
        <w:pStyle w:val="Heading1"/>
        <w:spacing w:before="317" w:after="317" w:line="360" w:lineRule="auto"/>
        <w:ind w:firstLine="600"/>
        <w:rPr>
          <w:rFonts w:ascii="宋体" w:eastAsia="宋体" w:hAnsi="Calibri" w:cs="宋体"/>
          <w:bCs/>
          <w:sz w:val="30"/>
          <w:szCs w:val="30"/>
          <w:lang w:eastAsia="zh-CN"/>
        </w:rPr>
      </w:pPr>
      <w:r>
        <w:rPr>
          <w:rFonts w:ascii="宋体" w:eastAsia="宋体" w:hAnsi="Calibri" w:cs="宋体"/>
          <w:sz w:val="30"/>
          <w:lang w:eastAsia="zh-CN"/>
        </w:rPr>
        <w:br w:type="column"/>
      </w:r>
      <w:bookmarkStart w:id="1869" w:name="_Toc129511549"/>
      <w:r>
        <w:rPr>
          <w:rFonts w:ascii="宋体" w:eastAsia="宋体" w:hAnsi="Calibri" w:cs="宋体"/>
          <w:sz w:val="30"/>
          <w:szCs w:val="30"/>
          <w:lang w:eastAsia="zh-CN"/>
        </w:rPr>
        <w:t>第</w:t>
      </w:r>
      <w:r>
        <w:rPr>
          <w:rFonts w:ascii="宋体" w:eastAsia="宋体" w:hAnsi="Calibri" w:cs="宋体" w:hint="eastAsia"/>
          <w:sz w:val="30"/>
          <w:szCs w:val="30"/>
          <w:lang w:eastAsia="zh-CN"/>
        </w:rPr>
        <w:t>二</w:t>
      </w:r>
      <w:bookmarkStart w:id="1870" w:name="_Toc332373594"/>
      <w:r>
        <w:rPr>
          <w:rFonts w:ascii="宋体" w:eastAsia="宋体" w:hAnsi="Calibri" w:cs="宋体" w:hint="eastAsia"/>
          <w:sz w:val="30"/>
          <w:szCs w:val="30"/>
          <w:lang w:eastAsia="zh-CN"/>
        </w:rPr>
        <w:t>十七部分</w:t>
      </w:r>
      <w:r>
        <w:rPr>
          <w:rFonts w:ascii="宋体" w:eastAsia="宋体" w:hAnsi="Calibri" w:cs="宋体"/>
          <w:sz w:val="30"/>
          <w:szCs w:val="30"/>
          <w:lang w:eastAsia="zh-CN"/>
        </w:rPr>
        <w:t xml:space="preserve"> </w:t>
      </w:r>
      <w:r>
        <w:rPr>
          <w:rFonts w:ascii="宋体" w:eastAsia="宋体" w:hAnsi="Calibri" w:cs="宋体" w:hint="eastAsia"/>
          <w:sz w:val="30"/>
          <w:szCs w:val="30"/>
          <w:lang w:eastAsia="zh-CN"/>
        </w:rPr>
        <w:t>备查文件</w:t>
      </w:r>
      <w:bookmarkEnd w:id="1869"/>
      <w:bookmarkEnd w:id="1870"/>
    </w:p>
    <w:p w:rsidR="004A090B">
      <w:pPr>
        <w:spacing w:line="360" w:lineRule="auto"/>
        <w:ind w:firstLine="420"/>
        <w:rPr>
          <w:rFonts w:ascii="宋体" w:hAnsi="Calibri" w:cs="宋体"/>
          <w:lang w:eastAsia="zh-CN"/>
        </w:rPr>
      </w:pPr>
      <w:r>
        <w:rPr>
          <w:rFonts w:ascii="宋体" w:hAnsi="Calibri" w:cs="宋体" w:hint="eastAsia"/>
          <w:lang w:eastAsia="zh-CN"/>
        </w:rPr>
        <w:t>1.</w:t>
      </w:r>
      <w:r>
        <w:rPr>
          <w:rFonts w:ascii="宋体" w:hAnsi="Calibri" w:cs="宋体" w:hint="eastAsia"/>
          <w:lang w:eastAsia="zh-CN"/>
        </w:rPr>
        <w:t>中国证监会准予易方达中证科创创业人工智能交易型开放式指数证券投资基金发起式联接基金注册的文件；</w:t>
      </w:r>
    </w:p>
    <w:p w:rsidR="004A090B">
      <w:pPr>
        <w:spacing w:line="360" w:lineRule="auto"/>
        <w:ind w:firstLine="420"/>
        <w:rPr>
          <w:rFonts w:ascii="宋体" w:hAnsi="Calibri" w:cs="宋体"/>
          <w:lang w:eastAsia="zh-CN"/>
        </w:rPr>
      </w:pPr>
      <w:r>
        <w:rPr>
          <w:rFonts w:ascii="宋体" w:hAnsi="Calibri" w:cs="宋体" w:hint="eastAsia"/>
          <w:lang w:eastAsia="zh-CN"/>
        </w:rPr>
        <w:t>2.</w:t>
      </w:r>
      <w:r>
        <w:rPr>
          <w:rFonts w:ascii="宋体" w:hAnsi="Calibri" w:cs="宋体" w:hint="eastAsia"/>
          <w:lang w:eastAsia="zh-CN"/>
        </w:rPr>
        <w:t>《易方达中证科创创业人工智能交易型开放式指数证券投资基金发起式联接基金基金合同》；</w:t>
      </w:r>
    </w:p>
    <w:p w:rsidR="004A090B">
      <w:pPr>
        <w:spacing w:line="360" w:lineRule="auto"/>
        <w:ind w:firstLine="420"/>
        <w:rPr>
          <w:rFonts w:ascii="宋体" w:hAnsi="Calibri" w:cs="宋体"/>
          <w:lang w:eastAsia="zh-CN"/>
        </w:rPr>
      </w:pPr>
      <w:r>
        <w:rPr>
          <w:rFonts w:ascii="宋体" w:hAnsi="Calibri" w:cs="宋体" w:hint="eastAsia"/>
          <w:lang w:eastAsia="zh-CN"/>
        </w:rPr>
        <w:t>3.</w:t>
      </w:r>
      <w:r>
        <w:rPr>
          <w:rFonts w:ascii="宋体" w:hAnsi="Calibri" w:cs="宋体" w:hint="eastAsia"/>
          <w:lang w:eastAsia="zh-CN"/>
        </w:rPr>
        <w:t>《易方达中证科创创业人工智能交易型开放式指数证券投资基金发起式联接基金托管协议》；</w:t>
      </w:r>
    </w:p>
    <w:p w:rsidR="004A090B">
      <w:pPr>
        <w:spacing w:line="360" w:lineRule="auto"/>
        <w:ind w:firstLine="420"/>
        <w:rPr>
          <w:rFonts w:ascii="宋体" w:hAnsi="Calibri" w:cs="宋体"/>
          <w:lang w:eastAsia="zh-CN"/>
        </w:rPr>
      </w:pPr>
      <w:r>
        <w:rPr>
          <w:rFonts w:ascii="宋体" w:hAnsi="Calibri" w:cs="宋体" w:hint="eastAsia"/>
          <w:lang w:eastAsia="zh-CN"/>
        </w:rPr>
        <w:t>4.</w:t>
      </w:r>
      <w:r>
        <w:rPr>
          <w:rFonts w:ascii="宋体" w:hAnsi="Calibri" w:cs="宋体" w:hint="eastAsia"/>
          <w:lang w:eastAsia="zh-CN"/>
        </w:rPr>
        <w:t>《易方达基金管理有限公司开放式基金业务规则》；</w:t>
      </w:r>
    </w:p>
    <w:p w:rsidR="004A090B">
      <w:pPr>
        <w:spacing w:line="360" w:lineRule="auto"/>
        <w:ind w:firstLine="420"/>
        <w:rPr>
          <w:rFonts w:ascii="宋体" w:hAnsi="Calibri" w:cs="宋体"/>
          <w:lang w:eastAsia="zh-CN"/>
        </w:rPr>
      </w:pPr>
      <w:r>
        <w:rPr>
          <w:rFonts w:ascii="宋体" w:hAnsi="Calibri" w:cs="宋体" w:hint="eastAsia"/>
          <w:lang w:eastAsia="zh-CN"/>
        </w:rPr>
        <w:t>5.</w:t>
      </w:r>
      <w:r>
        <w:rPr>
          <w:rFonts w:ascii="宋体" w:hAnsi="Calibri" w:cs="宋体" w:hint="eastAsia"/>
          <w:lang w:eastAsia="zh-CN"/>
        </w:rPr>
        <w:t>法律意见书；</w:t>
      </w:r>
    </w:p>
    <w:p w:rsidR="004A090B">
      <w:pPr>
        <w:spacing w:line="360" w:lineRule="auto"/>
        <w:ind w:firstLine="420"/>
        <w:rPr>
          <w:rFonts w:ascii="宋体" w:hAnsi="Calibri" w:cs="宋体"/>
          <w:lang w:eastAsia="zh-CN"/>
        </w:rPr>
      </w:pPr>
      <w:r>
        <w:rPr>
          <w:rFonts w:ascii="宋体" w:hAnsi="Calibri" w:cs="宋体" w:hint="eastAsia"/>
          <w:lang w:eastAsia="zh-CN"/>
        </w:rPr>
        <w:t>6.</w:t>
      </w:r>
      <w:r>
        <w:rPr>
          <w:rFonts w:ascii="宋体" w:hAnsi="Calibri" w:cs="宋体" w:hint="eastAsia"/>
          <w:lang w:eastAsia="zh-CN"/>
        </w:rPr>
        <w:t>基金管理人业务资格批件、营业执照；</w:t>
      </w:r>
    </w:p>
    <w:p w:rsidR="004A090B">
      <w:pPr>
        <w:spacing w:line="360" w:lineRule="auto"/>
        <w:ind w:firstLine="420"/>
        <w:rPr>
          <w:rFonts w:ascii="宋体" w:hAnsi="Calibri" w:cs="宋体"/>
          <w:lang w:eastAsia="zh-CN"/>
        </w:rPr>
      </w:pPr>
      <w:r>
        <w:rPr>
          <w:rFonts w:ascii="宋体" w:hAnsi="Calibri" w:cs="宋体" w:hint="eastAsia"/>
          <w:lang w:eastAsia="zh-CN"/>
        </w:rPr>
        <w:t>7.</w:t>
      </w:r>
      <w:r>
        <w:rPr>
          <w:rFonts w:ascii="宋体" w:hAnsi="Calibri" w:cs="宋体" w:hint="eastAsia"/>
          <w:lang w:eastAsia="zh-CN"/>
        </w:rPr>
        <w:t>基金托管人业务资格批件、营业执照。</w:t>
      </w:r>
    </w:p>
    <w:p w:rsidR="004A090B">
      <w:pPr>
        <w:spacing w:line="360" w:lineRule="auto"/>
        <w:ind w:firstLine="420"/>
        <w:rPr>
          <w:rFonts w:ascii="宋体" w:hAnsi="Calibri" w:cs="宋体"/>
          <w:lang w:eastAsia="zh-CN"/>
        </w:rPr>
      </w:pPr>
      <w:r>
        <w:rPr>
          <w:rFonts w:ascii="宋体" w:hAnsi="Calibri" w:cs="宋体" w:hint="eastAsia"/>
          <w:lang w:eastAsia="zh-CN"/>
        </w:rPr>
        <w:t>存放地点：基金管理人、基金托管人处</w:t>
      </w:r>
    </w:p>
    <w:p w:rsidR="004A090B">
      <w:pPr>
        <w:pStyle w:val="PlainText"/>
        <w:spacing w:line="360" w:lineRule="auto"/>
        <w:ind w:firstLine="420"/>
        <w:rPr>
          <w:rFonts w:hAnsi="Calibri" w:cs="宋体"/>
          <w:sz w:val="21"/>
          <w:lang w:eastAsia="zh-CN"/>
        </w:rPr>
      </w:pPr>
      <w:r>
        <w:rPr>
          <w:rFonts w:hAnsi="Calibri" w:cs="宋体" w:hint="eastAsia"/>
          <w:sz w:val="21"/>
          <w:lang w:eastAsia="zh-CN"/>
        </w:rPr>
        <w:t>查阅方式：投资者可在营业时间免费查阅，也可按工本费</w:t>
      </w:r>
      <w:r>
        <w:rPr>
          <w:rFonts w:hAnsi="Calibri" w:cs="宋体" w:hint="eastAsia"/>
          <w:sz w:val="21"/>
          <w:lang w:eastAsia="zh-CN"/>
        </w:rPr>
        <w:t>购买复印件。</w:t>
      </w:r>
    </w:p>
    <w:p w:rsidR="004A090B">
      <w:pPr>
        <w:pStyle w:val="PlainText"/>
        <w:spacing w:line="360" w:lineRule="auto"/>
        <w:ind w:firstLine="420"/>
        <w:rPr>
          <w:rFonts w:hAnsi="Calibri" w:cs="宋体"/>
          <w:sz w:val="21"/>
          <w:lang w:eastAsia="zh-CN"/>
        </w:rPr>
      </w:pPr>
    </w:p>
    <w:p w:rsidR="004A090B">
      <w:pPr>
        <w:pStyle w:val="PlainText"/>
        <w:spacing w:line="360" w:lineRule="auto"/>
        <w:ind w:firstLine="420"/>
        <w:rPr>
          <w:rFonts w:hAnsi="Calibri" w:cs="宋体"/>
          <w:sz w:val="21"/>
          <w:lang w:eastAsia="zh-CN"/>
        </w:rPr>
      </w:pPr>
    </w:p>
    <w:p w:rsidR="004A090B">
      <w:pPr>
        <w:snapToGrid w:val="0"/>
        <w:spacing w:line="360" w:lineRule="auto"/>
        <w:ind w:firstLine="420"/>
        <w:jc w:val="right"/>
        <w:rPr>
          <w:rFonts w:ascii="宋体" w:hAnsi="Calibri" w:cs="宋体"/>
          <w:szCs w:val="21"/>
          <w:lang w:eastAsia="zh-CN"/>
        </w:rPr>
      </w:pPr>
      <w:r>
        <w:rPr>
          <w:rFonts w:ascii="宋体" w:hAnsi="Calibri" w:cs="宋体" w:hint="eastAsia"/>
          <w:szCs w:val="21"/>
          <w:lang w:eastAsia="zh-CN"/>
        </w:rPr>
        <w:t>易方达基金管理有限公司</w:t>
      </w:r>
    </w:p>
    <w:p w:rsidR="004A090B">
      <w:pPr>
        <w:jc w:val="right"/>
        <w:rPr>
          <w:rFonts w:ascii="宋体" w:hAnsi="Calibri"/>
          <w:szCs w:val="21"/>
        </w:rPr>
      </w:pPr>
      <w:r w:rsidR="00FB6A88">
        <w:rPr>
          <w:rFonts w:ascii="宋体" w:hAnsi="Calibri"/>
          <w:color w:val="000000"/>
          <w:szCs w:val="21"/>
        </w:rPr>
        <w:t>202</w:t>
      </w:r>
      <w:r w:rsidR="00FB6A88">
        <w:rPr>
          <w:rFonts w:ascii="宋体" w:hAnsi="Calibri" w:cs="Calibri"/>
          <w:color w:val="000000"/>
          <w:szCs w:val="21"/>
        </w:rPr>
        <w:t>6</w:t>
      </w:r>
      <w:r>
        <w:rPr>
          <w:rFonts w:ascii="宋体" w:hAnsi="Calibri" w:cs="宋体"/>
          <w:color w:val="000000"/>
          <w:szCs w:val="21"/>
        </w:rPr>
        <w:t>年</w:t>
      </w:r>
      <w:r w:rsidR="00FB6A88">
        <w:rPr>
          <w:rFonts w:ascii="宋体" w:hAnsi="Calibri" w:cs="Calibri"/>
          <w:color w:val="000000"/>
          <w:szCs w:val="21"/>
        </w:rPr>
        <w:t>9</w:t>
      </w:r>
      <w:r>
        <w:rPr>
          <w:rFonts w:ascii="宋体" w:hAnsi="Calibri" w:cs="宋体"/>
          <w:color w:val="000000"/>
          <w:szCs w:val="21"/>
        </w:rPr>
        <w:t>月</w:t>
      </w:r>
      <w:r w:rsidR="00FB6A88">
        <w:rPr>
          <w:rFonts w:ascii="宋体" w:hAnsi="Calibri" w:cs="Calibri"/>
          <w:color w:val="000000"/>
          <w:szCs w:val="21"/>
        </w:rPr>
        <w:t>15</w:t>
      </w:r>
      <w:r>
        <w:rPr>
          <w:rFonts w:ascii="宋体" w:hAnsi="Calibri" w:cs="宋体"/>
          <w:color w:val="000000"/>
          <w:szCs w:val="21"/>
        </w:rPr>
        <w:t>日</w:t>
      </w:r>
    </w:p>
    <w:p w:rsidR="004A090B">
      <w:pPr>
        <w:spacing w:line="360" w:lineRule="auto"/>
        <w:ind w:right="420" w:firstLine="420"/>
        <w:jc w:val="right"/>
        <w:rPr>
          <w:rFonts w:ascii="宋体" w:hAnsi="Calibri" w:cs="宋体"/>
        </w:rPr>
      </w:pPr>
    </w:p>
    <w:p w:rsidR="004A090B">
      <w:pPr>
        <w:snapToGrid w:val="0"/>
        <w:spacing w:line="360" w:lineRule="auto"/>
        <w:ind w:right="210" w:firstLine="420"/>
        <w:jc w:val="right"/>
        <w:rPr>
          <w:rFonts w:ascii="宋体" w:hAnsi="Calibri" w:cs="宋体"/>
          <w:szCs w:val="21"/>
        </w:rPr>
      </w:pPr>
    </w:p>
    <w:p w:rsidR="004A090B">
      <w:pPr>
        <w:pStyle w:val="PlainText"/>
        <w:spacing w:line="400" w:lineRule="exact"/>
        <w:ind w:firstLine="480"/>
        <w:rPr>
          <w:rFonts w:hAnsi="Calibri" w:cs="宋体"/>
          <w:bCs/>
          <w:sz w:val="20"/>
          <w:szCs w:val="20"/>
        </w:rPr>
      </w:pPr>
    </w:p>
    <w:p w:rsidR="004A090B">
      <w:pPr>
        <w:pStyle w:val="PlainText"/>
        <w:spacing w:line="400" w:lineRule="exact"/>
        <w:ind w:firstLine="420"/>
        <w:jc w:val="right"/>
        <w:rPr>
          <w:rFonts w:hAnsi="Calibri" w:cs="宋体"/>
          <w:sz w:val="21"/>
        </w:rPr>
      </w:pPr>
    </w:p>
    <w:p w:rsidR="004A090B">
      <w:pPr>
        <w:rPr>
          <w:rFonts w:ascii="宋体" w:hAnsi="Calibri" w:cs="宋体"/>
        </w:rPr>
      </w:pPr>
      <w:bookmarkStart w:id="1871" w:name="_Toc38441246"/>
      <w:bookmarkStart w:id="1872" w:name="_Toc38441578"/>
      <w:bookmarkStart w:id="1873" w:name="_Toc38441906"/>
      <w:bookmarkStart w:id="1874" w:name="_Toc38442238"/>
      <w:bookmarkStart w:id="1875" w:name="_Toc38442570"/>
      <w:bookmarkStart w:id="1876" w:name="_Toc38442901"/>
      <w:bookmarkStart w:id="1877" w:name="_Toc38443232"/>
      <w:bookmarkStart w:id="1878" w:name="_Toc38443563"/>
      <w:bookmarkStart w:id="1879" w:name="_Toc38443893"/>
      <w:bookmarkStart w:id="1880" w:name="_Toc38438361"/>
      <w:bookmarkStart w:id="1881" w:name="_Toc38438698"/>
      <w:bookmarkStart w:id="1882" w:name="_Toc38439035"/>
      <w:bookmarkStart w:id="1883" w:name="_Toc38439372"/>
      <w:bookmarkStart w:id="1884" w:name="_Toc38439709"/>
      <w:bookmarkStart w:id="1885" w:name="_Toc38440046"/>
      <w:bookmarkStart w:id="1886" w:name="_Toc38440383"/>
      <w:bookmarkStart w:id="1887" w:name="_Toc38440915"/>
      <w:bookmarkStart w:id="1888" w:name="_Toc38441247"/>
      <w:bookmarkStart w:id="1889" w:name="_Toc38441579"/>
      <w:bookmarkStart w:id="1890" w:name="_Toc38441907"/>
      <w:bookmarkStart w:id="1891" w:name="_Toc38442239"/>
      <w:bookmarkStart w:id="1892" w:name="_Toc38442571"/>
      <w:bookmarkStart w:id="1893" w:name="_Toc38442902"/>
      <w:bookmarkStart w:id="1894" w:name="_Toc38443233"/>
      <w:bookmarkStart w:id="1895" w:name="_Toc38443564"/>
      <w:bookmarkStart w:id="1896" w:name="_Toc38443894"/>
      <w:bookmarkStart w:id="1897" w:name="_Toc38438362"/>
      <w:bookmarkStart w:id="1898" w:name="_Toc38438699"/>
      <w:bookmarkStart w:id="1899" w:name="_Toc38439036"/>
      <w:bookmarkStart w:id="1900" w:name="_Toc38439373"/>
      <w:bookmarkStart w:id="1901" w:name="_Toc38439710"/>
      <w:bookmarkStart w:id="1902" w:name="_Toc38440047"/>
      <w:bookmarkStart w:id="1903" w:name="_Toc38440384"/>
      <w:bookmarkStart w:id="1904" w:name="_Toc38440916"/>
      <w:bookmarkStart w:id="1905" w:name="_Toc38441248"/>
      <w:bookmarkStart w:id="1906" w:name="_Toc38441580"/>
      <w:bookmarkStart w:id="1907" w:name="_Toc38441908"/>
      <w:bookmarkStart w:id="1908" w:name="_Toc38442240"/>
      <w:bookmarkStart w:id="1909" w:name="_Toc38442572"/>
      <w:bookmarkStart w:id="1910" w:name="_Toc38442903"/>
      <w:bookmarkStart w:id="1911" w:name="_Toc38443234"/>
      <w:bookmarkStart w:id="1912" w:name="_Toc38443565"/>
      <w:bookmarkStart w:id="1913" w:name="_Toc38443895"/>
      <w:bookmarkStart w:id="1914" w:name="_Toc38438363"/>
      <w:bookmarkStart w:id="1915" w:name="_Toc38438700"/>
      <w:bookmarkStart w:id="1916" w:name="_Toc38439037"/>
      <w:bookmarkStart w:id="1917" w:name="_Toc38439374"/>
      <w:bookmarkStart w:id="1918" w:name="_Toc38439711"/>
      <w:bookmarkStart w:id="1919" w:name="_Toc38440048"/>
      <w:bookmarkStart w:id="1920" w:name="_Toc38440385"/>
      <w:bookmarkStart w:id="1921" w:name="_Toc38440917"/>
      <w:bookmarkStart w:id="1922" w:name="_Toc38441249"/>
      <w:bookmarkStart w:id="1923" w:name="_Toc38441581"/>
      <w:bookmarkStart w:id="1924" w:name="_Toc38441909"/>
      <w:bookmarkStart w:id="1925" w:name="_Toc38442241"/>
      <w:bookmarkStart w:id="1926" w:name="_Toc38442573"/>
      <w:bookmarkStart w:id="1927" w:name="_Toc38442904"/>
      <w:bookmarkStart w:id="1928" w:name="_Toc38443235"/>
      <w:bookmarkStart w:id="1929" w:name="_Toc38443566"/>
      <w:bookmarkStart w:id="1930" w:name="_Toc38443896"/>
      <w:bookmarkStart w:id="1931" w:name="_Toc38438364"/>
      <w:bookmarkStart w:id="1932" w:name="_Toc38438701"/>
      <w:bookmarkStart w:id="1933" w:name="_Toc38439038"/>
      <w:bookmarkStart w:id="1934" w:name="_Toc38439375"/>
      <w:bookmarkStart w:id="1935" w:name="_Toc38439712"/>
      <w:bookmarkStart w:id="1936" w:name="_Toc38440049"/>
      <w:bookmarkStart w:id="1937" w:name="_Toc38440386"/>
      <w:bookmarkStart w:id="1938" w:name="_Toc38440918"/>
      <w:bookmarkStart w:id="1939" w:name="_Toc38441250"/>
      <w:bookmarkStart w:id="1940" w:name="_Toc38441582"/>
      <w:bookmarkStart w:id="1941" w:name="_Toc38441910"/>
      <w:bookmarkStart w:id="1942" w:name="_Toc38442242"/>
      <w:bookmarkStart w:id="1943" w:name="_Toc38442574"/>
      <w:bookmarkStart w:id="1944" w:name="_Toc38442905"/>
      <w:bookmarkStart w:id="1945" w:name="_Toc38443236"/>
      <w:bookmarkStart w:id="1946" w:name="_Toc38443567"/>
      <w:bookmarkStart w:id="1947" w:name="_Toc38443897"/>
      <w:bookmarkStart w:id="1948" w:name="_Toc38438365"/>
      <w:bookmarkStart w:id="1949" w:name="_Toc38438702"/>
      <w:bookmarkStart w:id="1950" w:name="_Toc38439039"/>
      <w:bookmarkStart w:id="1951" w:name="_Toc38439376"/>
      <w:bookmarkStart w:id="1952" w:name="_Toc38439713"/>
      <w:bookmarkStart w:id="1953" w:name="_Toc38440050"/>
      <w:bookmarkStart w:id="1954" w:name="_Toc38440387"/>
      <w:bookmarkStart w:id="1955" w:name="_Toc38440919"/>
      <w:bookmarkStart w:id="1956" w:name="_Toc38441251"/>
      <w:bookmarkStart w:id="1957" w:name="_Toc38441583"/>
      <w:bookmarkStart w:id="1958" w:name="_Toc38441911"/>
      <w:bookmarkStart w:id="1959" w:name="_Toc38442243"/>
      <w:bookmarkStart w:id="1960" w:name="_Toc38442575"/>
      <w:bookmarkStart w:id="1961" w:name="_Toc38442906"/>
      <w:bookmarkStart w:id="1962" w:name="_Toc38443237"/>
      <w:bookmarkStart w:id="1963" w:name="_Toc38443568"/>
      <w:bookmarkStart w:id="1964" w:name="_Toc38443898"/>
      <w:bookmarkStart w:id="1965" w:name="_Toc38438366"/>
      <w:bookmarkStart w:id="1966" w:name="_Toc38438703"/>
      <w:bookmarkStart w:id="1967" w:name="_Toc38439040"/>
      <w:bookmarkStart w:id="1968" w:name="_Toc38439377"/>
      <w:bookmarkStart w:id="1969" w:name="_Toc38439714"/>
      <w:bookmarkStart w:id="1970" w:name="_Toc38440051"/>
      <w:bookmarkStart w:id="1971" w:name="_Toc38440388"/>
      <w:bookmarkStart w:id="1972" w:name="_Toc38440920"/>
      <w:bookmarkStart w:id="1973" w:name="_Toc38441252"/>
      <w:bookmarkStart w:id="1974" w:name="_Toc38441584"/>
      <w:bookmarkStart w:id="1975" w:name="_Toc38441912"/>
      <w:bookmarkStart w:id="1976" w:name="_Toc38442244"/>
      <w:bookmarkStart w:id="1977" w:name="_Toc38442576"/>
      <w:bookmarkStart w:id="1978" w:name="_Toc38442907"/>
      <w:bookmarkStart w:id="1979" w:name="_Toc38443238"/>
      <w:bookmarkStart w:id="1980" w:name="_Toc38443569"/>
      <w:bookmarkStart w:id="1981" w:name="_Toc38443899"/>
      <w:bookmarkStart w:id="1982" w:name="_Toc38438367"/>
      <w:bookmarkStart w:id="1983" w:name="_Toc38438704"/>
      <w:bookmarkStart w:id="1984" w:name="_Toc38439041"/>
      <w:bookmarkStart w:id="1985" w:name="_Toc38439378"/>
      <w:bookmarkStart w:id="1986" w:name="_Toc38439715"/>
      <w:bookmarkStart w:id="1987" w:name="_Toc38440052"/>
      <w:bookmarkStart w:id="1988" w:name="_Toc38440389"/>
      <w:bookmarkStart w:id="1989" w:name="_Toc38440921"/>
      <w:bookmarkStart w:id="1990" w:name="_Toc38441253"/>
      <w:bookmarkStart w:id="1991" w:name="_Toc38441585"/>
      <w:bookmarkStart w:id="1992" w:name="_Toc38441913"/>
      <w:bookmarkStart w:id="1993" w:name="_Toc38442245"/>
      <w:bookmarkStart w:id="1994" w:name="_Toc38442577"/>
      <w:bookmarkStart w:id="1995" w:name="_Toc38442908"/>
      <w:bookmarkStart w:id="1996" w:name="_Toc38443239"/>
      <w:bookmarkStart w:id="1997" w:name="_Toc38443570"/>
      <w:bookmarkStart w:id="1998" w:name="_Toc38443900"/>
      <w:bookmarkStart w:id="1999" w:name="_Toc38438350"/>
      <w:bookmarkStart w:id="2000" w:name="_Toc38438687"/>
      <w:bookmarkStart w:id="2001" w:name="_Toc38439024"/>
      <w:bookmarkStart w:id="2002" w:name="_Toc38439361"/>
      <w:bookmarkStart w:id="2003" w:name="_Toc38439698"/>
      <w:bookmarkStart w:id="2004" w:name="_Toc38440035"/>
      <w:bookmarkStart w:id="2005" w:name="_Toc38440372"/>
      <w:bookmarkStart w:id="2006" w:name="_Toc38440904"/>
      <w:bookmarkStart w:id="2007" w:name="_Toc38441236"/>
      <w:bookmarkStart w:id="2008" w:name="_Toc38441568"/>
      <w:bookmarkStart w:id="2009" w:name="_Toc38441896"/>
      <w:bookmarkStart w:id="2010" w:name="_Toc38442228"/>
      <w:bookmarkStart w:id="2011" w:name="_Toc38442560"/>
      <w:bookmarkStart w:id="2012" w:name="_Toc38442891"/>
      <w:bookmarkStart w:id="2013" w:name="_Toc38443222"/>
      <w:bookmarkStart w:id="2014" w:name="_Toc38443553"/>
      <w:bookmarkStart w:id="2015" w:name="_Toc38443883"/>
      <w:bookmarkStart w:id="2016" w:name="_Toc38438351"/>
      <w:bookmarkStart w:id="2017" w:name="_Toc38438688"/>
      <w:bookmarkStart w:id="2018" w:name="_Toc38439025"/>
      <w:bookmarkStart w:id="2019" w:name="_Toc38439362"/>
      <w:bookmarkStart w:id="2020" w:name="_Toc38439699"/>
      <w:bookmarkStart w:id="2021" w:name="_Toc38440036"/>
      <w:bookmarkStart w:id="2022" w:name="_Toc38440373"/>
      <w:bookmarkStart w:id="2023" w:name="_Toc38440905"/>
      <w:bookmarkStart w:id="2024" w:name="_Toc38441237"/>
      <w:bookmarkStart w:id="2025" w:name="_Toc38441569"/>
      <w:bookmarkStart w:id="2026" w:name="_Toc38441897"/>
      <w:bookmarkStart w:id="2027" w:name="_Toc38442229"/>
      <w:bookmarkStart w:id="2028" w:name="_Toc38442561"/>
      <w:bookmarkStart w:id="2029" w:name="_Toc38442892"/>
      <w:bookmarkStart w:id="2030" w:name="_Toc38443223"/>
      <w:bookmarkStart w:id="2031" w:name="_Toc38443554"/>
      <w:bookmarkStart w:id="2032" w:name="_Toc38443884"/>
      <w:bookmarkStart w:id="2033" w:name="_Toc38438352"/>
      <w:bookmarkStart w:id="2034" w:name="_Toc38438689"/>
      <w:bookmarkStart w:id="2035" w:name="_Toc38439026"/>
      <w:bookmarkStart w:id="2036" w:name="_Toc38439363"/>
      <w:bookmarkStart w:id="2037" w:name="_Toc38439700"/>
      <w:bookmarkStart w:id="2038" w:name="_Toc38440037"/>
      <w:bookmarkStart w:id="2039" w:name="_Toc38440374"/>
      <w:bookmarkStart w:id="2040" w:name="_Toc38440906"/>
      <w:bookmarkStart w:id="2041" w:name="_Toc38441238"/>
      <w:bookmarkStart w:id="2042" w:name="_Toc38441570"/>
      <w:bookmarkStart w:id="2043" w:name="_Toc38441898"/>
      <w:bookmarkStart w:id="2044" w:name="_Toc38442230"/>
      <w:bookmarkStart w:id="2045" w:name="_Toc38442562"/>
      <w:bookmarkStart w:id="2046" w:name="_Toc38442893"/>
      <w:bookmarkStart w:id="2047" w:name="_Toc38443224"/>
      <w:bookmarkStart w:id="2048" w:name="_Toc38443555"/>
      <w:bookmarkStart w:id="2049" w:name="_Toc38443885"/>
      <w:bookmarkStart w:id="2050" w:name="_Toc38438353"/>
      <w:bookmarkStart w:id="2051" w:name="_Toc38438690"/>
      <w:bookmarkStart w:id="2052" w:name="_Toc38439027"/>
      <w:bookmarkStart w:id="2053" w:name="_Toc38439364"/>
      <w:bookmarkStart w:id="2054" w:name="_Toc38439701"/>
      <w:bookmarkStart w:id="2055" w:name="_Toc38440038"/>
      <w:bookmarkStart w:id="2056" w:name="_Toc38440375"/>
      <w:bookmarkStart w:id="2057" w:name="_Toc38440907"/>
      <w:bookmarkStart w:id="2058" w:name="_Toc38441239"/>
      <w:bookmarkStart w:id="2059" w:name="_Toc38441571"/>
      <w:bookmarkStart w:id="2060" w:name="_Toc38441899"/>
      <w:bookmarkStart w:id="2061" w:name="_Toc38442231"/>
      <w:bookmarkStart w:id="2062" w:name="_Toc38442563"/>
      <w:bookmarkStart w:id="2063" w:name="_Toc38442894"/>
      <w:bookmarkStart w:id="2064" w:name="_Toc38443225"/>
      <w:bookmarkStart w:id="2065" w:name="_Toc38443556"/>
      <w:bookmarkStart w:id="2066" w:name="_Toc38443886"/>
      <w:bookmarkStart w:id="2067" w:name="_Toc38438354"/>
      <w:bookmarkStart w:id="2068" w:name="_Toc38438691"/>
      <w:bookmarkStart w:id="2069" w:name="_Toc38439028"/>
      <w:bookmarkStart w:id="2070" w:name="_Toc38439365"/>
      <w:bookmarkStart w:id="2071" w:name="_Toc38439702"/>
      <w:bookmarkStart w:id="2072" w:name="_Toc38440039"/>
      <w:bookmarkStart w:id="2073" w:name="_Toc38440376"/>
      <w:bookmarkStart w:id="2074" w:name="_Toc38440908"/>
      <w:bookmarkStart w:id="2075" w:name="_Toc38441240"/>
      <w:bookmarkStart w:id="2076" w:name="_Toc38441572"/>
      <w:bookmarkStart w:id="2077" w:name="_Toc38441900"/>
      <w:bookmarkStart w:id="2078" w:name="_Toc38442232"/>
      <w:bookmarkStart w:id="2079" w:name="_Toc38442564"/>
      <w:bookmarkStart w:id="2080" w:name="_Toc38442895"/>
      <w:bookmarkStart w:id="2081" w:name="_Toc38443226"/>
      <w:bookmarkStart w:id="2082" w:name="_Toc38443557"/>
      <w:bookmarkStart w:id="2083" w:name="_Toc38443887"/>
      <w:bookmarkStart w:id="2084" w:name="_Toc38438355"/>
      <w:bookmarkStart w:id="2085" w:name="_Toc38438692"/>
      <w:bookmarkStart w:id="2086" w:name="_Toc38439029"/>
      <w:bookmarkStart w:id="2087" w:name="_Toc38439366"/>
      <w:bookmarkStart w:id="2088" w:name="_Toc38439703"/>
      <w:bookmarkStart w:id="2089" w:name="_Toc38440040"/>
      <w:bookmarkStart w:id="2090" w:name="_Toc38440377"/>
      <w:bookmarkStart w:id="2091" w:name="_Toc38440909"/>
      <w:bookmarkStart w:id="2092" w:name="_Toc38441241"/>
      <w:bookmarkStart w:id="2093" w:name="_Toc38441573"/>
      <w:bookmarkStart w:id="2094" w:name="_Toc38441901"/>
      <w:bookmarkStart w:id="2095" w:name="_Toc38442233"/>
      <w:bookmarkStart w:id="2096" w:name="_Toc38442565"/>
      <w:bookmarkStart w:id="2097" w:name="_Toc38442896"/>
      <w:bookmarkStart w:id="2098" w:name="_Toc38443227"/>
      <w:bookmarkStart w:id="2099" w:name="_Toc38443558"/>
      <w:bookmarkStart w:id="2100" w:name="_Toc38443888"/>
      <w:bookmarkStart w:id="2101" w:name="_Toc38438356"/>
      <w:bookmarkStart w:id="2102" w:name="_Toc38438693"/>
      <w:bookmarkStart w:id="2103" w:name="_Toc38439030"/>
      <w:bookmarkStart w:id="2104" w:name="_Toc38439367"/>
      <w:bookmarkStart w:id="2105" w:name="_Toc38439704"/>
      <w:bookmarkStart w:id="2106" w:name="_Toc38440041"/>
      <w:bookmarkStart w:id="2107" w:name="_Toc38440378"/>
      <w:bookmarkStart w:id="2108" w:name="_Toc38440910"/>
      <w:bookmarkStart w:id="2109" w:name="_Toc38441242"/>
      <w:bookmarkStart w:id="2110" w:name="_Toc38441574"/>
      <w:bookmarkStart w:id="2111" w:name="_Toc38441902"/>
      <w:bookmarkStart w:id="2112" w:name="_Toc38442234"/>
      <w:bookmarkStart w:id="2113" w:name="_Toc38442566"/>
      <w:bookmarkStart w:id="2114" w:name="_Toc38442897"/>
      <w:bookmarkStart w:id="2115" w:name="_Toc38443228"/>
      <w:bookmarkStart w:id="2116" w:name="_Toc38443559"/>
      <w:bookmarkStart w:id="2117" w:name="_Toc38443889"/>
      <w:bookmarkStart w:id="2118" w:name="_Toc38438357"/>
      <w:bookmarkStart w:id="2119" w:name="_Toc38438694"/>
      <w:bookmarkStart w:id="2120" w:name="_Toc38439031"/>
      <w:bookmarkStart w:id="2121" w:name="_Toc38439368"/>
      <w:bookmarkStart w:id="2122" w:name="_Toc38439705"/>
      <w:bookmarkStart w:id="2123" w:name="_Toc38440042"/>
      <w:bookmarkStart w:id="2124" w:name="_Toc38440379"/>
      <w:bookmarkStart w:id="2125" w:name="_Toc38440911"/>
      <w:bookmarkStart w:id="2126" w:name="_Toc38441243"/>
      <w:bookmarkStart w:id="2127" w:name="_Toc38441575"/>
      <w:bookmarkStart w:id="2128" w:name="_Toc38441903"/>
      <w:bookmarkStart w:id="2129" w:name="_Toc38442235"/>
      <w:bookmarkStart w:id="2130" w:name="_Toc38442567"/>
      <w:bookmarkStart w:id="2131" w:name="_Toc38442898"/>
      <w:bookmarkStart w:id="2132" w:name="_Toc38443229"/>
      <w:bookmarkStart w:id="2133" w:name="_Toc38443560"/>
      <w:bookmarkStart w:id="2134" w:name="_Toc38443890"/>
      <w:bookmarkStart w:id="2135" w:name="_Toc38438358"/>
      <w:bookmarkStart w:id="2136" w:name="_Toc38438695"/>
      <w:bookmarkStart w:id="2137" w:name="_Toc38439032"/>
      <w:bookmarkStart w:id="2138" w:name="_Toc38439369"/>
      <w:bookmarkStart w:id="2139" w:name="_Toc38439706"/>
      <w:bookmarkStart w:id="2140" w:name="_Toc38440043"/>
      <w:bookmarkStart w:id="2141" w:name="_Toc38440380"/>
      <w:bookmarkStart w:id="2142" w:name="_Toc38440912"/>
      <w:bookmarkStart w:id="2143" w:name="_Toc38441244"/>
      <w:bookmarkStart w:id="2144" w:name="_Toc38441576"/>
      <w:bookmarkStart w:id="2145" w:name="_Toc38441904"/>
      <w:bookmarkStart w:id="2146" w:name="_Toc38442236"/>
      <w:bookmarkStart w:id="2147" w:name="_Toc38442568"/>
      <w:bookmarkStart w:id="2148" w:name="_Toc38442899"/>
      <w:bookmarkStart w:id="2149" w:name="_Toc38443230"/>
      <w:bookmarkStart w:id="2150" w:name="_Toc38443561"/>
      <w:bookmarkStart w:id="2151" w:name="_Toc38443891"/>
      <w:bookmarkStart w:id="2152" w:name="_Toc38438359"/>
      <w:bookmarkStart w:id="2153" w:name="_Toc38438696"/>
      <w:bookmarkStart w:id="2154" w:name="_Toc38439033"/>
      <w:bookmarkStart w:id="2155" w:name="_Toc38439370"/>
      <w:bookmarkStart w:id="2156" w:name="_Toc38439707"/>
      <w:bookmarkStart w:id="2157" w:name="_Toc38440044"/>
      <w:bookmarkStart w:id="2158" w:name="_Toc38440381"/>
      <w:bookmarkStart w:id="2159" w:name="_Toc38440913"/>
      <w:bookmarkStart w:id="2160" w:name="_Toc38441245"/>
      <w:bookmarkStart w:id="2161" w:name="_Toc38441577"/>
      <w:bookmarkStart w:id="2162" w:name="_Toc38441905"/>
      <w:bookmarkStart w:id="2163" w:name="_Toc38442237"/>
      <w:bookmarkStart w:id="2164" w:name="_Toc38442569"/>
      <w:bookmarkStart w:id="2165" w:name="_Toc38442900"/>
      <w:bookmarkStart w:id="2166" w:name="_Toc38443231"/>
      <w:bookmarkStart w:id="2167" w:name="_Toc38443562"/>
      <w:bookmarkStart w:id="2168" w:name="_Toc38443892"/>
      <w:bookmarkStart w:id="2169" w:name="_Toc38438360"/>
      <w:bookmarkStart w:id="2170" w:name="_Toc38438697"/>
      <w:bookmarkStart w:id="2171" w:name="_Toc38439034"/>
      <w:bookmarkStart w:id="2172" w:name="_Toc38439371"/>
      <w:bookmarkStart w:id="2173" w:name="_Toc38439708"/>
      <w:bookmarkStart w:id="2174" w:name="_Toc38440045"/>
      <w:bookmarkStart w:id="2175" w:name="_Toc38440382"/>
      <w:bookmarkStart w:id="2176" w:name="_Toc38440914"/>
      <w:bookmarkStart w:id="2177" w:name="_Toc38438368"/>
      <w:bookmarkStart w:id="2178" w:name="_Toc38438705"/>
      <w:bookmarkStart w:id="2179" w:name="_Toc38439042"/>
      <w:bookmarkStart w:id="2180" w:name="_Toc38439379"/>
      <w:bookmarkStart w:id="2181" w:name="_Toc38439716"/>
      <w:bookmarkStart w:id="2182" w:name="_Toc38440053"/>
      <w:bookmarkStart w:id="2183" w:name="_Toc38440390"/>
      <w:bookmarkStart w:id="2184" w:name="_Toc38440922"/>
      <w:bookmarkStart w:id="2185" w:name="_Toc38441254"/>
      <w:bookmarkStart w:id="2186" w:name="_Toc38441586"/>
      <w:bookmarkStart w:id="2187" w:name="_Toc38441914"/>
      <w:bookmarkStart w:id="2188" w:name="_Toc38442246"/>
      <w:bookmarkStart w:id="2189" w:name="_Toc38442578"/>
      <w:bookmarkStart w:id="2190" w:name="_Toc38442909"/>
      <w:bookmarkStart w:id="2191" w:name="_Toc38443240"/>
      <w:bookmarkStart w:id="2192" w:name="_Toc38443571"/>
      <w:bookmarkStart w:id="2193" w:name="_Toc38443901"/>
      <w:bookmarkStart w:id="2194" w:name="_Toc38438369"/>
      <w:bookmarkStart w:id="2195" w:name="_Toc38438706"/>
      <w:bookmarkStart w:id="2196" w:name="_Toc38439043"/>
      <w:bookmarkStart w:id="2197" w:name="_Toc38439380"/>
      <w:bookmarkStart w:id="2198" w:name="_Toc38439717"/>
      <w:bookmarkStart w:id="2199" w:name="_Toc38440054"/>
      <w:bookmarkStart w:id="2200" w:name="_Toc38440391"/>
      <w:bookmarkStart w:id="2201" w:name="_Toc38440923"/>
      <w:bookmarkStart w:id="2202" w:name="_Toc38441255"/>
      <w:bookmarkStart w:id="2203" w:name="_Toc38441587"/>
      <w:bookmarkStart w:id="2204" w:name="_Toc38441915"/>
      <w:bookmarkStart w:id="2205" w:name="_Toc38442247"/>
      <w:bookmarkStart w:id="2206" w:name="_Toc38442579"/>
      <w:bookmarkStart w:id="2207" w:name="_Toc38442910"/>
      <w:bookmarkStart w:id="2208" w:name="_Toc38443241"/>
      <w:bookmarkStart w:id="2209" w:name="_Toc38443572"/>
      <w:bookmarkStart w:id="2210" w:name="_Toc38443902"/>
      <w:bookmarkStart w:id="2211" w:name="_Toc38438371"/>
      <w:bookmarkStart w:id="2212" w:name="_Toc38438708"/>
      <w:bookmarkStart w:id="2213" w:name="_Toc38439045"/>
      <w:bookmarkStart w:id="2214" w:name="_Toc38439382"/>
      <w:bookmarkStart w:id="2215" w:name="_Toc38439719"/>
      <w:bookmarkStart w:id="2216" w:name="_Toc38440056"/>
      <w:bookmarkStart w:id="2217" w:name="_Toc38440393"/>
      <w:bookmarkStart w:id="2218" w:name="_Toc38440925"/>
      <w:bookmarkStart w:id="2219" w:name="_Toc38441257"/>
      <w:bookmarkStart w:id="2220" w:name="_Toc38441589"/>
      <w:bookmarkStart w:id="2221" w:name="_Toc38441917"/>
      <w:bookmarkStart w:id="2222" w:name="_Toc38442249"/>
      <w:bookmarkStart w:id="2223" w:name="_Toc38442581"/>
      <w:bookmarkStart w:id="2224" w:name="_Toc38442912"/>
      <w:bookmarkStart w:id="2225" w:name="_Toc38443243"/>
      <w:bookmarkStart w:id="2226" w:name="_Toc38443574"/>
      <w:bookmarkStart w:id="2227" w:name="_Toc38443904"/>
      <w:bookmarkStart w:id="2228" w:name="_Toc38438372"/>
      <w:bookmarkStart w:id="2229" w:name="_Toc38438709"/>
      <w:bookmarkStart w:id="2230" w:name="_Toc38439046"/>
      <w:bookmarkStart w:id="2231" w:name="_Toc38439383"/>
      <w:bookmarkStart w:id="2232" w:name="_Toc38439720"/>
      <w:bookmarkStart w:id="2233" w:name="_Toc38440057"/>
      <w:bookmarkStart w:id="2234" w:name="_Toc38440394"/>
      <w:bookmarkStart w:id="2235" w:name="_Toc38440926"/>
      <w:bookmarkStart w:id="2236" w:name="_Toc38441258"/>
      <w:bookmarkStart w:id="2237" w:name="_Toc38441590"/>
      <w:bookmarkStart w:id="2238" w:name="_Toc38441918"/>
      <w:bookmarkStart w:id="2239" w:name="_Toc38442250"/>
      <w:bookmarkStart w:id="2240" w:name="_Toc38442582"/>
      <w:bookmarkStart w:id="2241" w:name="_Toc38442913"/>
      <w:bookmarkStart w:id="2242" w:name="_Toc38443244"/>
      <w:bookmarkStart w:id="2243" w:name="_Toc38443575"/>
      <w:bookmarkStart w:id="2244" w:name="_Toc38443905"/>
      <w:bookmarkStart w:id="2245" w:name="_Toc38438373"/>
      <w:bookmarkStart w:id="2246" w:name="_Toc38438710"/>
      <w:bookmarkStart w:id="2247" w:name="_Toc38439047"/>
      <w:bookmarkStart w:id="2248" w:name="_Toc38439384"/>
      <w:bookmarkStart w:id="2249" w:name="_Toc38439721"/>
      <w:bookmarkStart w:id="2250" w:name="_Toc38440058"/>
      <w:bookmarkStart w:id="2251" w:name="_Toc38440395"/>
      <w:bookmarkStart w:id="2252" w:name="_Toc38440927"/>
      <w:bookmarkStart w:id="2253" w:name="_Toc38441259"/>
      <w:bookmarkStart w:id="2254" w:name="_Toc38441591"/>
      <w:bookmarkStart w:id="2255" w:name="_Toc38441919"/>
      <w:bookmarkStart w:id="2256" w:name="_Toc38442251"/>
      <w:bookmarkStart w:id="2257" w:name="_Toc38442583"/>
      <w:bookmarkStart w:id="2258" w:name="_Toc38442914"/>
      <w:bookmarkStart w:id="2259" w:name="_Toc38443245"/>
      <w:bookmarkStart w:id="2260" w:name="_Toc38443576"/>
      <w:bookmarkStart w:id="2261" w:name="_Toc38443906"/>
      <w:bookmarkStart w:id="2262" w:name="_Toc38438374"/>
      <w:bookmarkStart w:id="2263" w:name="_Toc38438711"/>
      <w:bookmarkStart w:id="2264" w:name="_Toc38439048"/>
      <w:bookmarkStart w:id="2265" w:name="_Toc38439385"/>
      <w:bookmarkStart w:id="2266" w:name="_Toc38439722"/>
      <w:bookmarkStart w:id="2267" w:name="_Toc38440059"/>
      <w:bookmarkStart w:id="2268" w:name="_Toc38440396"/>
      <w:bookmarkStart w:id="2269" w:name="_Toc38440928"/>
      <w:bookmarkStart w:id="2270" w:name="_Toc38441260"/>
      <w:bookmarkStart w:id="2271" w:name="_Toc38441592"/>
      <w:bookmarkStart w:id="2272" w:name="_Toc38441920"/>
      <w:bookmarkStart w:id="2273" w:name="_Toc38442252"/>
      <w:bookmarkStart w:id="2274" w:name="_Toc38442584"/>
      <w:bookmarkStart w:id="2275" w:name="_Toc38442915"/>
      <w:bookmarkStart w:id="2276" w:name="_Toc38443246"/>
      <w:bookmarkStart w:id="2277" w:name="_Toc38443577"/>
      <w:bookmarkStart w:id="2278" w:name="_Toc38443907"/>
      <w:bookmarkStart w:id="2279" w:name="_Toc38438375"/>
      <w:bookmarkStart w:id="2280" w:name="_Toc38438712"/>
      <w:bookmarkStart w:id="2281" w:name="_Toc38439049"/>
      <w:bookmarkStart w:id="2282" w:name="_Toc38439386"/>
      <w:bookmarkStart w:id="2283" w:name="_Toc38439723"/>
      <w:bookmarkStart w:id="2284" w:name="_Toc38440060"/>
      <w:bookmarkStart w:id="2285" w:name="_Toc38440397"/>
      <w:bookmarkStart w:id="2286" w:name="_Toc38440929"/>
      <w:bookmarkStart w:id="2287" w:name="_Toc38441261"/>
      <w:bookmarkStart w:id="2288" w:name="_Toc38441593"/>
      <w:bookmarkStart w:id="2289" w:name="_Toc38441921"/>
      <w:bookmarkStart w:id="2290" w:name="_Toc38442253"/>
      <w:bookmarkStart w:id="2291" w:name="_Toc38442585"/>
      <w:bookmarkStart w:id="2292" w:name="_Toc38442916"/>
      <w:bookmarkStart w:id="2293" w:name="_Toc38443247"/>
      <w:bookmarkStart w:id="2294" w:name="_Toc38443578"/>
      <w:bookmarkStart w:id="2295" w:name="_Toc38443908"/>
      <w:bookmarkStart w:id="2296" w:name="_Toc38438376"/>
      <w:bookmarkStart w:id="2297" w:name="_Toc38438713"/>
      <w:bookmarkStart w:id="2298" w:name="_Toc38439050"/>
      <w:bookmarkStart w:id="2299" w:name="_Toc38439387"/>
      <w:bookmarkStart w:id="2300" w:name="_Toc38439724"/>
      <w:bookmarkStart w:id="2301" w:name="_Toc38440061"/>
      <w:bookmarkStart w:id="2302" w:name="_Toc38440398"/>
      <w:bookmarkStart w:id="2303" w:name="_Toc38440930"/>
      <w:bookmarkStart w:id="2304" w:name="_Toc38441262"/>
      <w:bookmarkStart w:id="2305" w:name="_Toc38441594"/>
      <w:bookmarkStart w:id="2306" w:name="_Toc38441922"/>
      <w:bookmarkStart w:id="2307" w:name="_Toc38442254"/>
      <w:bookmarkStart w:id="2308" w:name="_Toc38442586"/>
      <w:bookmarkStart w:id="2309" w:name="_Toc38442917"/>
      <w:bookmarkStart w:id="2310" w:name="_Toc38443248"/>
      <w:bookmarkStart w:id="2311" w:name="_Toc38443579"/>
      <w:bookmarkStart w:id="2312" w:name="_Toc38443909"/>
      <w:bookmarkStart w:id="2313" w:name="_Toc38438377"/>
      <w:bookmarkStart w:id="2314" w:name="_Toc38438714"/>
      <w:bookmarkStart w:id="2315" w:name="_Toc38439051"/>
      <w:bookmarkStart w:id="2316" w:name="_Toc38439388"/>
      <w:bookmarkStart w:id="2317" w:name="_Toc38439725"/>
      <w:bookmarkStart w:id="2318" w:name="_Toc38440062"/>
      <w:bookmarkStart w:id="2319" w:name="_Toc38440399"/>
      <w:bookmarkStart w:id="2320" w:name="_Toc38440931"/>
      <w:bookmarkStart w:id="2321" w:name="_Toc38441263"/>
      <w:bookmarkStart w:id="2322" w:name="_Toc38441595"/>
      <w:bookmarkStart w:id="2323" w:name="_Toc38441923"/>
      <w:bookmarkStart w:id="2324" w:name="_Toc38442255"/>
      <w:bookmarkStart w:id="2325" w:name="_Toc38442587"/>
      <w:bookmarkStart w:id="2326" w:name="_Toc38442918"/>
      <w:bookmarkStart w:id="2327" w:name="_Toc38443249"/>
      <w:bookmarkStart w:id="2328" w:name="_Toc38443580"/>
      <w:bookmarkStart w:id="2329" w:name="_Toc38443910"/>
      <w:bookmarkStart w:id="2330" w:name="_Toc38438378"/>
      <w:bookmarkStart w:id="2331" w:name="_Toc38438715"/>
      <w:bookmarkStart w:id="2332" w:name="_Toc38439052"/>
      <w:bookmarkStart w:id="2333" w:name="_Toc38439389"/>
      <w:bookmarkStart w:id="2334" w:name="_Toc38439726"/>
      <w:bookmarkStart w:id="2335" w:name="_Toc38440063"/>
      <w:bookmarkStart w:id="2336" w:name="_Toc38440400"/>
      <w:bookmarkStart w:id="2337" w:name="_Toc38440932"/>
      <w:bookmarkStart w:id="2338" w:name="_Toc38441264"/>
      <w:bookmarkStart w:id="2339" w:name="_Toc38441596"/>
      <w:bookmarkStart w:id="2340" w:name="_Toc38441924"/>
      <w:bookmarkStart w:id="2341" w:name="_Toc38442256"/>
      <w:bookmarkStart w:id="2342" w:name="_Toc38442588"/>
      <w:bookmarkStart w:id="2343" w:name="_Toc38442919"/>
      <w:bookmarkStart w:id="2344" w:name="_Toc38443250"/>
      <w:bookmarkStart w:id="2345" w:name="_Toc38443581"/>
      <w:bookmarkStart w:id="2346" w:name="_Toc38443911"/>
      <w:bookmarkStart w:id="2347" w:name="_Toc38438379"/>
      <w:bookmarkStart w:id="2348" w:name="_Toc38438716"/>
      <w:bookmarkStart w:id="2349" w:name="_Toc38439053"/>
      <w:bookmarkStart w:id="2350" w:name="_Toc38439390"/>
      <w:bookmarkStart w:id="2351" w:name="_Toc38439727"/>
      <w:bookmarkStart w:id="2352" w:name="_Toc38440064"/>
      <w:bookmarkStart w:id="2353" w:name="_Toc38440401"/>
      <w:bookmarkStart w:id="2354" w:name="_Toc38440933"/>
      <w:bookmarkStart w:id="2355" w:name="_Toc38441265"/>
      <w:bookmarkStart w:id="2356" w:name="_Toc38441597"/>
      <w:bookmarkStart w:id="2357" w:name="_Toc38441925"/>
      <w:bookmarkStart w:id="2358" w:name="_Toc38442257"/>
      <w:bookmarkStart w:id="2359" w:name="_Toc38442589"/>
      <w:bookmarkStart w:id="2360" w:name="_Toc38442920"/>
      <w:bookmarkStart w:id="2361" w:name="_Toc38443251"/>
      <w:bookmarkStart w:id="2362" w:name="_Toc38443582"/>
      <w:bookmarkStart w:id="2363" w:name="_Toc38443912"/>
      <w:bookmarkStart w:id="2364" w:name="_Toc38438380"/>
      <w:bookmarkStart w:id="2365" w:name="_Toc38438717"/>
      <w:bookmarkStart w:id="2366" w:name="_Toc38439054"/>
      <w:bookmarkStart w:id="2367" w:name="_Toc38439391"/>
      <w:bookmarkStart w:id="2368" w:name="_Toc38439728"/>
      <w:bookmarkStart w:id="2369" w:name="_Toc38440065"/>
      <w:bookmarkStart w:id="2370" w:name="_Toc38440402"/>
      <w:bookmarkStart w:id="2371" w:name="_Toc38440934"/>
      <w:bookmarkStart w:id="2372" w:name="_Toc38441266"/>
      <w:bookmarkStart w:id="2373" w:name="_Toc38441598"/>
      <w:bookmarkStart w:id="2374" w:name="_Toc38441926"/>
      <w:bookmarkStart w:id="2375" w:name="_Toc38442258"/>
      <w:bookmarkStart w:id="2376" w:name="_Toc38442590"/>
      <w:bookmarkStart w:id="2377" w:name="_Toc38442921"/>
      <w:bookmarkStart w:id="2378" w:name="_Toc38443252"/>
      <w:bookmarkStart w:id="2379" w:name="_Toc38443583"/>
      <w:bookmarkStart w:id="2380" w:name="_Toc38443913"/>
      <w:bookmarkStart w:id="2381" w:name="_Toc38438381"/>
      <w:bookmarkStart w:id="2382" w:name="_Toc38438718"/>
      <w:bookmarkStart w:id="2383" w:name="_Toc38439055"/>
      <w:bookmarkStart w:id="2384" w:name="_Toc38439392"/>
      <w:bookmarkStart w:id="2385" w:name="_Toc38439729"/>
      <w:bookmarkStart w:id="2386" w:name="_Toc38440066"/>
      <w:bookmarkStart w:id="2387" w:name="_Toc38440403"/>
      <w:bookmarkStart w:id="2388" w:name="_Toc38440935"/>
      <w:bookmarkStart w:id="2389" w:name="_Toc38441267"/>
      <w:bookmarkStart w:id="2390" w:name="_Toc38441599"/>
      <w:bookmarkStart w:id="2391" w:name="_Toc38441927"/>
      <w:bookmarkStart w:id="2392" w:name="_Toc38442259"/>
      <w:bookmarkStart w:id="2393" w:name="_Toc38442591"/>
      <w:bookmarkStart w:id="2394" w:name="_Toc38442922"/>
      <w:bookmarkStart w:id="2395" w:name="_Toc38443253"/>
      <w:bookmarkStart w:id="2396" w:name="_Toc38443584"/>
      <w:bookmarkStart w:id="2397" w:name="_Toc38443914"/>
      <w:bookmarkStart w:id="2398" w:name="_Toc38438382"/>
      <w:bookmarkStart w:id="2399" w:name="_Toc38438719"/>
      <w:bookmarkStart w:id="2400" w:name="_Toc38439056"/>
      <w:bookmarkStart w:id="2401" w:name="_Toc38439393"/>
      <w:bookmarkStart w:id="2402" w:name="_Toc38439730"/>
      <w:bookmarkStart w:id="2403" w:name="_Toc38440067"/>
      <w:bookmarkStart w:id="2404" w:name="_Toc38440404"/>
      <w:bookmarkStart w:id="2405" w:name="_Toc38440936"/>
      <w:bookmarkStart w:id="2406" w:name="_Toc38441268"/>
      <w:bookmarkStart w:id="2407" w:name="_Toc38441600"/>
      <w:bookmarkStart w:id="2408" w:name="_Toc38441928"/>
      <w:bookmarkStart w:id="2409" w:name="_Toc38442260"/>
      <w:bookmarkStart w:id="2410" w:name="_Toc38442592"/>
      <w:bookmarkStart w:id="2411" w:name="_Toc38442923"/>
      <w:bookmarkStart w:id="2412" w:name="_Toc38443254"/>
      <w:bookmarkStart w:id="2413" w:name="_Toc38443585"/>
      <w:bookmarkStart w:id="2414" w:name="_Toc38443915"/>
      <w:bookmarkStart w:id="2415" w:name="_Toc38438383"/>
      <w:bookmarkStart w:id="2416" w:name="_Toc38438720"/>
      <w:bookmarkStart w:id="2417" w:name="_Toc38439057"/>
      <w:bookmarkStart w:id="2418" w:name="_Toc38439394"/>
      <w:bookmarkStart w:id="2419" w:name="_Toc38439731"/>
      <w:bookmarkStart w:id="2420" w:name="_Toc38440068"/>
      <w:bookmarkStart w:id="2421" w:name="_Toc38440405"/>
      <w:bookmarkStart w:id="2422" w:name="_Toc38440937"/>
      <w:bookmarkStart w:id="2423" w:name="_Toc38441269"/>
      <w:bookmarkStart w:id="2424" w:name="_Toc38441601"/>
      <w:bookmarkStart w:id="2425" w:name="_Toc38441929"/>
      <w:bookmarkStart w:id="2426" w:name="_Toc38442261"/>
      <w:bookmarkStart w:id="2427" w:name="_Toc38442593"/>
      <w:bookmarkStart w:id="2428" w:name="_Toc38442924"/>
      <w:bookmarkStart w:id="2429" w:name="_Toc38443255"/>
      <w:bookmarkStart w:id="2430" w:name="_Toc38443586"/>
      <w:bookmarkStart w:id="2431" w:name="_Toc38443916"/>
      <w:bookmarkStart w:id="2432" w:name="_Toc38438384"/>
      <w:bookmarkStart w:id="2433" w:name="_Toc38438721"/>
      <w:bookmarkStart w:id="2434" w:name="_Toc38439058"/>
      <w:bookmarkStart w:id="2435" w:name="_Toc38439395"/>
      <w:bookmarkStart w:id="2436" w:name="_Toc38439732"/>
      <w:bookmarkStart w:id="2437" w:name="_Toc38440069"/>
      <w:bookmarkStart w:id="2438" w:name="_Toc38440406"/>
      <w:bookmarkStart w:id="2439" w:name="_Toc38440938"/>
      <w:bookmarkStart w:id="2440" w:name="_Toc38441270"/>
      <w:bookmarkStart w:id="2441" w:name="_Toc38441602"/>
      <w:bookmarkStart w:id="2442" w:name="_Toc38441930"/>
      <w:bookmarkStart w:id="2443" w:name="_Toc38442262"/>
      <w:bookmarkStart w:id="2444" w:name="_Toc38442594"/>
      <w:bookmarkStart w:id="2445" w:name="_Toc38442925"/>
      <w:bookmarkStart w:id="2446" w:name="_Toc38443256"/>
      <w:bookmarkStart w:id="2447" w:name="_Toc38443587"/>
      <w:bookmarkStart w:id="2448" w:name="_Toc38443917"/>
      <w:bookmarkStart w:id="2449" w:name="_Toc38438385"/>
      <w:bookmarkStart w:id="2450" w:name="_Toc38438722"/>
      <w:bookmarkStart w:id="2451" w:name="_Toc38439059"/>
      <w:bookmarkStart w:id="2452" w:name="_Toc38439396"/>
      <w:bookmarkStart w:id="2453" w:name="_Toc38439733"/>
      <w:bookmarkStart w:id="2454" w:name="_Toc38440070"/>
      <w:bookmarkStart w:id="2455" w:name="_Toc38440407"/>
      <w:bookmarkStart w:id="2456" w:name="_Toc38440939"/>
      <w:bookmarkStart w:id="2457" w:name="_Toc38441271"/>
      <w:bookmarkStart w:id="2458" w:name="_Toc38441603"/>
      <w:bookmarkStart w:id="2459" w:name="_Toc38441931"/>
      <w:bookmarkStart w:id="2460" w:name="_Toc38442263"/>
      <w:bookmarkStart w:id="2461" w:name="_Toc38442595"/>
      <w:bookmarkStart w:id="2462" w:name="_Toc38442926"/>
      <w:bookmarkStart w:id="2463" w:name="_Toc38443257"/>
      <w:bookmarkStart w:id="2464" w:name="_Toc38443588"/>
      <w:bookmarkStart w:id="2465" w:name="_Toc38443918"/>
      <w:bookmarkStart w:id="2466" w:name="_Toc38438386"/>
      <w:bookmarkStart w:id="2467" w:name="_Toc38438723"/>
      <w:bookmarkStart w:id="2468" w:name="_Toc38439060"/>
      <w:bookmarkStart w:id="2469" w:name="_Toc38439397"/>
      <w:bookmarkStart w:id="2470" w:name="_Toc38439734"/>
      <w:bookmarkStart w:id="2471" w:name="_Toc38440071"/>
      <w:bookmarkStart w:id="2472" w:name="_Toc38440408"/>
      <w:bookmarkStart w:id="2473" w:name="_Toc38440940"/>
      <w:bookmarkStart w:id="2474" w:name="_Toc38441272"/>
      <w:bookmarkStart w:id="2475" w:name="_Toc38441604"/>
      <w:bookmarkStart w:id="2476" w:name="_Toc38441932"/>
      <w:bookmarkStart w:id="2477" w:name="_Toc38442264"/>
      <w:bookmarkStart w:id="2478" w:name="_Toc38442596"/>
      <w:bookmarkStart w:id="2479" w:name="_Toc38442927"/>
      <w:bookmarkStart w:id="2480" w:name="_Toc38443258"/>
      <w:bookmarkStart w:id="2481" w:name="_Toc38443589"/>
      <w:bookmarkStart w:id="2482" w:name="_Toc38443919"/>
      <w:bookmarkStart w:id="2483" w:name="_Toc38438387"/>
      <w:bookmarkStart w:id="2484" w:name="_Toc38438724"/>
      <w:bookmarkStart w:id="2485" w:name="_Toc38439061"/>
      <w:bookmarkStart w:id="2486" w:name="_Toc38439398"/>
      <w:bookmarkStart w:id="2487" w:name="_Toc38439735"/>
      <w:bookmarkStart w:id="2488" w:name="_Toc38440072"/>
      <w:bookmarkStart w:id="2489" w:name="_Toc38440409"/>
      <w:bookmarkStart w:id="2490" w:name="_Toc38440941"/>
      <w:bookmarkStart w:id="2491" w:name="_Toc38441273"/>
      <w:bookmarkStart w:id="2492" w:name="_Toc38441605"/>
      <w:bookmarkStart w:id="2493" w:name="_Toc38441933"/>
      <w:bookmarkStart w:id="2494" w:name="_Toc38442265"/>
      <w:bookmarkStart w:id="2495" w:name="_Toc38442597"/>
      <w:bookmarkStart w:id="2496" w:name="_Toc38442928"/>
      <w:bookmarkStart w:id="2497" w:name="_Toc38443259"/>
      <w:bookmarkStart w:id="2498" w:name="_Toc38443590"/>
      <w:bookmarkStart w:id="2499" w:name="_Toc38443920"/>
      <w:bookmarkStart w:id="2500" w:name="_Toc38438388"/>
      <w:bookmarkStart w:id="2501" w:name="_Toc38438725"/>
      <w:bookmarkStart w:id="2502" w:name="_Toc38439062"/>
      <w:bookmarkStart w:id="2503" w:name="_Toc38439399"/>
      <w:bookmarkStart w:id="2504" w:name="_Toc38439736"/>
      <w:bookmarkStart w:id="2505" w:name="_Toc38440073"/>
      <w:bookmarkStart w:id="2506" w:name="_Toc38440410"/>
      <w:bookmarkStart w:id="2507" w:name="_Toc38440942"/>
      <w:bookmarkStart w:id="2508" w:name="_Toc38441274"/>
      <w:bookmarkStart w:id="2509" w:name="_Toc38441606"/>
      <w:bookmarkStart w:id="2510" w:name="_Toc38441934"/>
      <w:bookmarkStart w:id="2511" w:name="_Toc38442266"/>
      <w:bookmarkStart w:id="2512" w:name="_Toc38442598"/>
      <w:bookmarkStart w:id="2513" w:name="_Toc38442929"/>
      <w:bookmarkStart w:id="2514" w:name="_Toc38443260"/>
      <w:bookmarkStart w:id="2515" w:name="_Toc38443591"/>
      <w:bookmarkStart w:id="2516" w:name="_Toc38443921"/>
      <w:bookmarkStart w:id="2517" w:name="_Toc38438389"/>
      <w:bookmarkStart w:id="2518" w:name="_Toc38438726"/>
      <w:bookmarkStart w:id="2519" w:name="_Toc38439063"/>
      <w:bookmarkStart w:id="2520" w:name="_Toc38439400"/>
      <w:bookmarkStart w:id="2521" w:name="_Toc38439737"/>
      <w:bookmarkStart w:id="2522" w:name="_Toc38440074"/>
      <w:bookmarkStart w:id="2523" w:name="_Toc38440411"/>
      <w:bookmarkStart w:id="2524" w:name="_Toc38440943"/>
      <w:bookmarkStart w:id="2525" w:name="_Toc38441275"/>
      <w:bookmarkStart w:id="2526" w:name="_Toc38441607"/>
      <w:bookmarkStart w:id="2527" w:name="_Toc38441935"/>
      <w:bookmarkStart w:id="2528" w:name="_Toc38442267"/>
      <w:bookmarkStart w:id="2529" w:name="_Toc38442599"/>
      <w:bookmarkStart w:id="2530" w:name="_Toc38442930"/>
      <w:bookmarkStart w:id="2531" w:name="_Toc38443261"/>
      <w:bookmarkStart w:id="2532" w:name="_Toc38443592"/>
      <w:bookmarkStart w:id="2533" w:name="_Toc38443922"/>
      <w:bookmarkStart w:id="2534" w:name="_Toc38438390"/>
      <w:bookmarkStart w:id="2535" w:name="_Toc38438727"/>
      <w:bookmarkStart w:id="2536" w:name="_Toc38439064"/>
      <w:bookmarkStart w:id="2537" w:name="_Toc38439401"/>
      <w:bookmarkStart w:id="2538" w:name="_Toc38439738"/>
      <w:bookmarkStart w:id="2539" w:name="_Toc38440075"/>
      <w:bookmarkStart w:id="2540" w:name="_Toc38440412"/>
      <w:bookmarkStart w:id="2541" w:name="_Toc38440944"/>
      <w:bookmarkStart w:id="2542" w:name="_Toc38441276"/>
      <w:bookmarkStart w:id="2543" w:name="_Toc38441608"/>
      <w:bookmarkStart w:id="2544" w:name="_Toc38441936"/>
      <w:bookmarkStart w:id="2545" w:name="_Toc38442268"/>
      <w:bookmarkStart w:id="2546" w:name="_Toc38442600"/>
      <w:bookmarkStart w:id="2547" w:name="_Toc38442931"/>
      <w:bookmarkStart w:id="2548" w:name="_Toc38443262"/>
      <w:bookmarkStart w:id="2549" w:name="_Toc38443593"/>
      <w:bookmarkStart w:id="2550" w:name="_Toc38443923"/>
      <w:bookmarkStart w:id="2551" w:name="_Toc38438391"/>
      <w:bookmarkStart w:id="2552" w:name="_Toc38438728"/>
      <w:bookmarkStart w:id="2553" w:name="_Toc38439065"/>
      <w:bookmarkStart w:id="2554" w:name="_Toc38439402"/>
      <w:bookmarkStart w:id="2555" w:name="_Toc38439739"/>
      <w:bookmarkStart w:id="2556" w:name="_Toc38440076"/>
      <w:bookmarkStart w:id="2557" w:name="_Toc38440413"/>
      <w:bookmarkStart w:id="2558" w:name="_Toc38440945"/>
      <w:bookmarkStart w:id="2559" w:name="_Toc38441277"/>
      <w:bookmarkStart w:id="2560" w:name="_Toc38441609"/>
      <w:bookmarkStart w:id="2561" w:name="_Toc38441937"/>
      <w:bookmarkStart w:id="2562" w:name="_Toc38442269"/>
      <w:bookmarkStart w:id="2563" w:name="_Toc38442601"/>
      <w:bookmarkStart w:id="2564" w:name="_Toc38442932"/>
      <w:bookmarkStart w:id="2565" w:name="_Toc38443263"/>
      <w:bookmarkStart w:id="2566" w:name="_Toc38443594"/>
      <w:bookmarkStart w:id="2567" w:name="_Toc38443924"/>
      <w:bookmarkStart w:id="2568" w:name="_Toc38438392"/>
      <w:bookmarkStart w:id="2569" w:name="_Toc38438729"/>
      <w:bookmarkStart w:id="2570" w:name="_Toc38439066"/>
      <w:bookmarkStart w:id="2571" w:name="_Toc38439403"/>
      <w:bookmarkStart w:id="2572" w:name="_Toc38439740"/>
      <w:bookmarkStart w:id="2573" w:name="_Toc38440077"/>
      <w:bookmarkStart w:id="2574" w:name="_Toc38440414"/>
      <w:bookmarkStart w:id="2575" w:name="_Toc38440946"/>
      <w:bookmarkStart w:id="2576" w:name="_Toc38441278"/>
      <w:bookmarkStart w:id="2577" w:name="_Toc38441610"/>
      <w:bookmarkStart w:id="2578" w:name="_Toc38441938"/>
      <w:bookmarkStart w:id="2579" w:name="_Toc38442270"/>
      <w:bookmarkStart w:id="2580" w:name="_Toc38442602"/>
      <w:bookmarkStart w:id="2581" w:name="_Toc38442933"/>
      <w:bookmarkStart w:id="2582" w:name="_Toc38443264"/>
      <w:bookmarkStart w:id="2583" w:name="_Toc38443595"/>
      <w:bookmarkStart w:id="2584" w:name="_Toc38443925"/>
      <w:bookmarkStart w:id="2585" w:name="_Toc38438393"/>
      <w:bookmarkStart w:id="2586" w:name="_Toc38438730"/>
      <w:bookmarkStart w:id="2587" w:name="_Toc38439067"/>
      <w:bookmarkStart w:id="2588" w:name="_Toc38439404"/>
      <w:bookmarkStart w:id="2589" w:name="_Toc38439741"/>
      <w:bookmarkStart w:id="2590" w:name="_Toc38440078"/>
      <w:bookmarkStart w:id="2591" w:name="_Toc38440415"/>
      <w:bookmarkStart w:id="2592" w:name="_Toc38440947"/>
      <w:bookmarkStart w:id="2593" w:name="_Toc38441279"/>
      <w:bookmarkStart w:id="2594" w:name="_Toc38441611"/>
      <w:bookmarkStart w:id="2595" w:name="_Toc38441939"/>
      <w:bookmarkStart w:id="2596" w:name="_Toc38442271"/>
      <w:bookmarkStart w:id="2597" w:name="_Toc38442603"/>
      <w:bookmarkStart w:id="2598" w:name="_Toc38442934"/>
      <w:bookmarkStart w:id="2599" w:name="_Toc38443265"/>
      <w:bookmarkStart w:id="2600" w:name="_Toc38443596"/>
      <w:bookmarkStart w:id="2601" w:name="_Toc38443926"/>
      <w:bookmarkStart w:id="2602" w:name="_Toc38438394"/>
      <w:bookmarkStart w:id="2603" w:name="_Toc38438731"/>
      <w:bookmarkStart w:id="2604" w:name="_Toc38439068"/>
      <w:bookmarkStart w:id="2605" w:name="_Toc38439405"/>
      <w:bookmarkStart w:id="2606" w:name="_Toc38439742"/>
      <w:bookmarkStart w:id="2607" w:name="_Toc38440079"/>
      <w:bookmarkStart w:id="2608" w:name="_Toc38440416"/>
      <w:bookmarkStart w:id="2609" w:name="_Toc38440948"/>
      <w:bookmarkStart w:id="2610" w:name="_Toc38441280"/>
      <w:bookmarkStart w:id="2611" w:name="_Toc38441612"/>
      <w:bookmarkStart w:id="2612" w:name="_Toc38441940"/>
      <w:bookmarkStart w:id="2613" w:name="_Toc38442272"/>
      <w:bookmarkStart w:id="2614" w:name="_Toc38442604"/>
      <w:bookmarkStart w:id="2615" w:name="_Toc38442935"/>
      <w:bookmarkStart w:id="2616" w:name="_Toc38443266"/>
      <w:bookmarkStart w:id="2617" w:name="_Toc38443597"/>
      <w:bookmarkStart w:id="2618" w:name="_Toc38443927"/>
      <w:bookmarkStart w:id="2619" w:name="_Toc38438395"/>
      <w:bookmarkStart w:id="2620" w:name="_Toc38438732"/>
      <w:bookmarkStart w:id="2621" w:name="_Toc38439069"/>
      <w:bookmarkStart w:id="2622" w:name="_Toc38439406"/>
      <w:bookmarkStart w:id="2623" w:name="_Toc38439743"/>
      <w:bookmarkStart w:id="2624" w:name="_Toc38440080"/>
      <w:bookmarkStart w:id="2625" w:name="_Toc38440417"/>
      <w:bookmarkStart w:id="2626" w:name="_Toc38440949"/>
      <w:bookmarkStart w:id="2627" w:name="_Toc38441281"/>
      <w:bookmarkStart w:id="2628" w:name="_Toc38441613"/>
      <w:bookmarkStart w:id="2629" w:name="_Toc38441941"/>
      <w:bookmarkStart w:id="2630" w:name="_Toc38442273"/>
      <w:bookmarkStart w:id="2631" w:name="_Toc38442605"/>
      <w:bookmarkStart w:id="2632" w:name="_Toc38442936"/>
      <w:bookmarkStart w:id="2633" w:name="_Toc38443267"/>
      <w:bookmarkStart w:id="2634" w:name="_Toc38443598"/>
      <w:bookmarkStart w:id="2635" w:name="_Toc38443928"/>
      <w:bookmarkStart w:id="2636" w:name="_Toc38438396"/>
      <w:bookmarkStart w:id="2637" w:name="_Toc38438733"/>
      <w:bookmarkStart w:id="2638" w:name="_Toc38439070"/>
      <w:bookmarkStart w:id="2639" w:name="_Toc38439407"/>
      <w:bookmarkStart w:id="2640" w:name="_Toc38439744"/>
      <w:bookmarkStart w:id="2641" w:name="_Toc38440081"/>
      <w:bookmarkStart w:id="2642" w:name="_Toc38440418"/>
      <w:bookmarkStart w:id="2643" w:name="_Toc38440950"/>
      <w:bookmarkStart w:id="2644" w:name="_Toc38441282"/>
      <w:bookmarkStart w:id="2645" w:name="_Toc38441614"/>
      <w:bookmarkStart w:id="2646" w:name="_Toc38441942"/>
      <w:bookmarkStart w:id="2647" w:name="_Toc38442274"/>
      <w:bookmarkStart w:id="2648" w:name="_Toc38442606"/>
      <w:bookmarkStart w:id="2649" w:name="_Toc38442937"/>
      <w:bookmarkStart w:id="2650" w:name="_Toc38443268"/>
      <w:bookmarkStart w:id="2651" w:name="_Toc38443599"/>
      <w:bookmarkStart w:id="2652" w:name="_Toc38443929"/>
      <w:bookmarkStart w:id="2653" w:name="_Toc38438397"/>
      <w:bookmarkStart w:id="2654" w:name="_Toc38438734"/>
      <w:bookmarkStart w:id="2655" w:name="_Toc38439071"/>
      <w:bookmarkStart w:id="2656" w:name="_Toc38439408"/>
      <w:bookmarkStart w:id="2657" w:name="_Toc38439745"/>
      <w:bookmarkStart w:id="2658" w:name="_Toc38440082"/>
      <w:bookmarkStart w:id="2659" w:name="_Toc38440419"/>
      <w:bookmarkStart w:id="2660" w:name="_Toc38440951"/>
      <w:bookmarkStart w:id="2661" w:name="_Toc38441283"/>
      <w:bookmarkStart w:id="2662" w:name="_Toc38441615"/>
      <w:bookmarkStart w:id="2663" w:name="_Toc38441943"/>
      <w:bookmarkStart w:id="2664" w:name="_Toc38442275"/>
      <w:bookmarkStart w:id="2665" w:name="_Toc38442607"/>
      <w:bookmarkStart w:id="2666" w:name="_Toc38442938"/>
      <w:bookmarkStart w:id="2667" w:name="_Toc38443269"/>
      <w:bookmarkStart w:id="2668" w:name="_Toc38443600"/>
      <w:bookmarkStart w:id="2669" w:name="_Toc38443930"/>
      <w:bookmarkStart w:id="2670" w:name="_Toc38438398"/>
      <w:bookmarkStart w:id="2671" w:name="_Toc38438735"/>
      <w:bookmarkStart w:id="2672" w:name="_Toc38439072"/>
      <w:bookmarkStart w:id="2673" w:name="_Toc38439409"/>
      <w:bookmarkStart w:id="2674" w:name="_Toc38439746"/>
      <w:bookmarkStart w:id="2675" w:name="_Toc38440083"/>
      <w:bookmarkStart w:id="2676" w:name="_Toc38440420"/>
      <w:bookmarkStart w:id="2677" w:name="_Toc38440952"/>
      <w:bookmarkStart w:id="2678" w:name="_Toc38441284"/>
      <w:bookmarkStart w:id="2679" w:name="_Toc38441616"/>
      <w:bookmarkStart w:id="2680" w:name="_Toc38441944"/>
      <w:bookmarkStart w:id="2681" w:name="_Toc38442276"/>
      <w:bookmarkStart w:id="2682" w:name="_Toc38442608"/>
      <w:bookmarkStart w:id="2683" w:name="_Toc38442939"/>
      <w:bookmarkStart w:id="2684" w:name="_Toc38443270"/>
      <w:bookmarkStart w:id="2685" w:name="_Toc38443601"/>
      <w:bookmarkStart w:id="2686" w:name="_Toc38443931"/>
      <w:bookmarkStart w:id="2687" w:name="_Toc38438400"/>
      <w:bookmarkStart w:id="2688" w:name="_Toc38438737"/>
      <w:bookmarkStart w:id="2689" w:name="_Toc38439074"/>
      <w:bookmarkStart w:id="2690" w:name="_Toc38439411"/>
      <w:bookmarkStart w:id="2691" w:name="_Toc38439748"/>
      <w:bookmarkStart w:id="2692" w:name="_Toc38440085"/>
      <w:bookmarkStart w:id="2693" w:name="_Toc38440422"/>
      <w:bookmarkStart w:id="2694" w:name="_Toc38440954"/>
      <w:bookmarkStart w:id="2695" w:name="_Toc38441286"/>
      <w:bookmarkStart w:id="2696" w:name="_Toc38441618"/>
      <w:bookmarkStart w:id="2697" w:name="_Toc38441946"/>
      <w:bookmarkStart w:id="2698" w:name="_Toc38442278"/>
      <w:bookmarkStart w:id="2699" w:name="_Toc38442610"/>
      <w:bookmarkStart w:id="2700" w:name="_Toc38442941"/>
      <w:bookmarkStart w:id="2701" w:name="_Toc38443272"/>
      <w:bookmarkStart w:id="2702" w:name="_Toc38443603"/>
      <w:bookmarkStart w:id="2703" w:name="_Toc38443933"/>
      <w:bookmarkStart w:id="2704" w:name="_Toc38438401"/>
      <w:bookmarkStart w:id="2705" w:name="_Toc38438738"/>
      <w:bookmarkStart w:id="2706" w:name="_Toc38439075"/>
      <w:bookmarkStart w:id="2707" w:name="_Toc38439412"/>
      <w:bookmarkStart w:id="2708" w:name="_Toc38439749"/>
      <w:bookmarkStart w:id="2709" w:name="_Toc38440086"/>
      <w:bookmarkStart w:id="2710" w:name="_Toc38440423"/>
      <w:bookmarkStart w:id="2711" w:name="_Toc38440955"/>
      <w:bookmarkStart w:id="2712" w:name="_Toc38441287"/>
      <w:bookmarkStart w:id="2713" w:name="_Toc38441619"/>
      <w:bookmarkStart w:id="2714" w:name="_Toc38441947"/>
      <w:bookmarkStart w:id="2715" w:name="_Toc38442279"/>
      <w:bookmarkStart w:id="2716" w:name="_Toc38442611"/>
      <w:bookmarkStart w:id="2717" w:name="_Toc38442942"/>
      <w:bookmarkStart w:id="2718" w:name="_Toc38443273"/>
      <w:bookmarkStart w:id="2719" w:name="_Toc38443604"/>
      <w:bookmarkStart w:id="2720" w:name="_Toc38443934"/>
      <w:bookmarkStart w:id="2721" w:name="_Toc38438402"/>
      <w:bookmarkStart w:id="2722" w:name="_Toc38438739"/>
      <w:bookmarkStart w:id="2723" w:name="_Toc38439076"/>
      <w:bookmarkStart w:id="2724" w:name="_Toc38439413"/>
      <w:bookmarkStart w:id="2725" w:name="_Toc38439750"/>
      <w:bookmarkStart w:id="2726" w:name="_Toc38440087"/>
      <w:bookmarkStart w:id="2727" w:name="_Toc38440424"/>
      <w:bookmarkStart w:id="2728" w:name="_Toc38440956"/>
      <w:bookmarkStart w:id="2729" w:name="_Toc38441288"/>
      <w:bookmarkStart w:id="2730" w:name="_Toc38441620"/>
      <w:bookmarkStart w:id="2731" w:name="_Toc38441948"/>
      <w:bookmarkStart w:id="2732" w:name="_Toc38442280"/>
      <w:bookmarkStart w:id="2733" w:name="_Toc38442612"/>
      <w:bookmarkStart w:id="2734" w:name="_Toc38442943"/>
      <w:bookmarkStart w:id="2735" w:name="_Toc38443274"/>
      <w:bookmarkStart w:id="2736" w:name="_Toc38443605"/>
      <w:bookmarkStart w:id="2737" w:name="_Toc38443935"/>
      <w:bookmarkStart w:id="2738" w:name="_Toc38438404"/>
      <w:bookmarkStart w:id="2739" w:name="_Toc38438741"/>
      <w:bookmarkStart w:id="2740" w:name="_Toc38439078"/>
      <w:bookmarkStart w:id="2741" w:name="_Toc38439415"/>
      <w:bookmarkStart w:id="2742" w:name="_Toc38439752"/>
      <w:bookmarkStart w:id="2743" w:name="_Toc38440089"/>
      <w:bookmarkStart w:id="2744" w:name="_Toc38440426"/>
      <w:bookmarkStart w:id="2745" w:name="_Toc38440958"/>
      <w:bookmarkStart w:id="2746" w:name="_Toc38441290"/>
      <w:bookmarkStart w:id="2747" w:name="_Toc38441622"/>
      <w:bookmarkStart w:id="2748" w:name="_Toc38441950"/>
      <w:bookmarkStart w:id="2749" w:name="_Toc38442282"/>
      <w:bookmarkStart w:id="2750" w:name="_Toc38442614"/>
      <w:bookmarkStart w:id="2751" w:name="_Toc38442945"/>
      <w:bookmarkStart w:id="2752" w:name="_Toc38443276"/>
      <w:bookmarkStart w:id="2753" w:name="_Toc38443607"/>
      <w:bookmarkStart w:id="2754" w:name="_Toc38443937"/>
      <w:bookmarkStart w:id="2755" w:name="_Toc38438405"/>
      <w:bookmarkStart w:id="2756" w:name="_Toc38438742"/>
      <w:bookmarkStart w:id="2757" w:name="_Toc38439079"/>
      <w:bookmarkStart w:id="2758" w:name="_Toc38439416"/>
      <w:bookmarkStart w:id="2759" w:name="_Toc38439753"/>
      <w:bookmarkStart w:id="2760" w:name="_Toc38440090"/>
      <w:bookmarkStart w:id="2761" w:name="_Toc38440427"/>
      <w:bookmarkStart w:id="2762" w:name="_Toc38440959"/>
      <w:bookmarkStart w:id="2763" w:name="_Toc38441291"/>
      <w:bookmarkStart w:id="2764" w:name="_Toc38441623"/>
      <w:bookmarkStart w:id="2765" w:name="_Toc38441951"/>
      <w:bookmarkStart w:id="2766" w:name="_Toc38442283"/>
      <w:bookmarkStart w:id="2767" w:name="_Toc38442615"/>
      <w:bookmarkStart w:id="2768" w:name="_Toc38442946"/>
      <w:bookmarkStart w:id="2769" w:name="_Toc38443277"/>
      <w:bookmarkStart w:id="2770" w:name="_Toc38443608"/>
      <w:bookmarkStart w:id="2771" w:name="_Toc38443938"/>
      <w:bookmarkStart w:id="2772" w:name="_Toc38438406"/>
      <w:bookmarkStart w:id="2773" w:name="_Toc38438743"/>
      <w:bookmarkStart w:id="2774" w:name="_Toc38439080"/>
      <w:bookmarkStart w:id="2775" w:name="_Toc38439417"/>
      <w:bookmarkStart w:id="2776" w:name="_Toc38439754"/>
      <w:bookmarkStart w:id="2777" w:name="_Toc38440091"/>
      <w:bookmarkStart w:id="2778" w:name="_Toc38440428"/>
      <w:bookmarkStart w:id="2779" w:name="_Toc38440960"/>
      <w:bookmarkStart w:id="2780" w:name="_Toc38441292"/>
      <w:bookmarkStart w:id="2781" w:name="_Toc38441624"/>
      <w:bookmarkStart w:id="2782" w:name="_Toc38441952"/>
      <w:bookmarkStart w:id="2783" w:name="_Toc38442284"/>
      <w:bookmarkStart w:id="2784" w:name="_Toc38442616"/>
      <w:bookmarkStart w:id="2785" w:name="_Toc38442947"/>
      <w:bookmarkStart w:id="2786" w:name="_Toc38443278"/>
      <w:bookmarkStart w:id="2787" w:name="_Toc38443609"/>
      <w:bookmarkStart w:id="2788" w:name="_Toc38443939"/>
      <w:bookmarkStart w:id="2789" w:name="_Toc38438407"/>
      <w:bookmarkStart w:id="2790" w:name="_Toc38438744"/>
      <w:bookmarkStart w:id="2791" w:name="_Toc38439081"/>
      <w:bookmarkStart w:id="2792" w:name="_Toc38439418"/>
      <w:bookmarkStart w:id="2793" w:name="_Toc38439755"/>
      <w:bookmarkStart w:id="2794" w:name="_Toc38440092"/>
      <w:bookmarkStart w:id="2795" w:name="_Toc38440429"/>
      <w:bookmarkStart w:id="2796" w:name="_Toc38440961"/>
      <w:bookmarkStart w:id="2797" w:name="_Toc38441293"/>
      <w:bookmarkStart w:id="2798" w:name="_Toc38441625"/>
      <w:bookmarkStart w:id="2799" w:name="_Toc38441953"/>
      <w:bookmarkStart w:id="2800" w:name="_Toc38442285"/>
      <w:bookmarkStart w:id="2801" w:name="_Toc38442617"/>
      <w:bookmarkStart w:id="2802" w:name="_Toc38442948"/>
      <w:bookmarkStart w:id="2803" w:name="_Toc38443279"/>
      <w:bookmarkStart w:id="2804" w:name="_Toc38443610"/>
      <w:bookmarkStart w:id="2805" w:name="_Toc38443940"/>
      <w:bookmarkStart w:id="2806" w:name="_Toc38438408"/>
      <w:bookmarkStart w:id="2807" w:name="_Toc38438745"/>
      <w:bookmarkStart w:id="2808" w:name="_Toc38439082"/>
      <w:bookmarkStart w:id="2809" w:name="_Toc38439419"/>
      <w:bookmarkStart w:id="2810" w:name="_Toc38439756"/>
      <w:bookmarkStart w:id="2811" w:name="_Toc38440093"/>
      <w:bookmarkStart w:id="2812" w:name="_Toc38440430"/>
      <w:bookmarkStart w:id="2813" w:name="_Toc38440962"/>
      <w:bookmarkStart w:id="2814" w:name="_Toc38441294"/>
      <w:bookmarkStart w:id="2815" w:name="_Toc38441626"/>
      <w:bookmarkStart w:id="2816" w:name="_Toc38441954"/>
      <w:bookmarkStart w:id="2817" w:name="_Toc38442286"/>
      <w:bookmarkStart w:id="2818" w:name="_Toc38442618"/>
      <w:bookmarkStart w:id="2819" w:name="_Toc38442949"/>
      <w:bookmarkStart w:id="2820" w:name="_Toc38443280"/>
      <w:bookmarkStart w:id="2821" w:name="_Toc38443611"/>
      <w:bookmarkStart w:id="2822" w:name="_Toc38443941"/>
      <w:bookmarkStart w:id="2823" w:name="_Toc38438409"/>
      <w:bookmarkStart w:id="2824" w:name="_Toc38438746"/>
      <w:bookmarkStart w:id="2825" w:name="_Toc38439083"/>
      <w:bookmarkStart w:id="2826" w:name="_Toc38439420"/>
      <w:bookmarkStart w:id="2827" w:name="_Toc38439757"/>
      <w:bookmarkStart w:id="2828" w:name="_Toc38440094"/>
      <w:bookmarkStart w:id="2829" w:name="_Toc38440431"/>
      <w:bookmarkStart w:id="2830" w:name="_Toc38440963"/>
      <w:bookmarkStart w:id="2831" w:name="_Toc38441295"/>
      <w:bookmarkStart w:id="2832" w:name="_Toc38441627"/>
      <w:bookmarkStart w:id="2833" w:name="_Toc38441955"/>
      <w:bookmarkStart w:id="2834" w:name="_Toc38442287"/>
      <w:bookmarkStart w:id="2835" w:name="_Toc38442619"/>
      <w:bookmarkStart w:id="2836" w:name="_Toc38442950"/>
      <w:bookmarkStart w:id="2837" w:name="_Toc38443281"/>
      <w:bookmarkStart w:id="2838" w:name="_Toc38443612"/>
      <w:bookmarkStart w:id="2839" w:name="_Toc38443942"/>
      <w:bookmarkStart w:id="2840" w:name="_Toc38438410"/>
      <w:bookmarkStart w:id="2841" w:name="_Toc38438747"/>
      <w:bookmarkStart w:id="2842" w:name="_Toc38439084"/>
      <w:bookmarkStart w:id="2843" w:name="_Toc38439421"/>
      <w:bookmarkStart w:id="2844" w:name="_Toc38439758"/>
      <w:bookmarkStart w:id="2845" w:name="_Toc38440095"/>
      <w:bookmarkStart w:id="2846" w:name="_Toc38440432"/>
      <w:bookmarkStart w:id="2847" w:name="_Toc38440964"/>
      <w:bookmarkStart w:id="2848" w:name="_Toc38441296"/>
      <w:bookmarkStart w:id="2849" w:name="_Toc38441628"/>
      <w:bookmarkStart w:id="2850" w:name="_Toc38441956"/>
      <w:bookmarkStart w:id="2851" w:name="_Toc38442288"/>
      <w:bookmarkStart w:id="2852" w:name="_Toc38442620"/>
      <w:bookmarkStart w:id="2853" w:name="_Toc38442951"/>
      <w:bookmarkStart w:id="2854" w:name="_Toc38443282"/>
      <w:bookmarkStart w:id="2855" w:name="_Toc38443613"/>
      <w:bookmarkStart w:id="2856" w:name="_Toc38443943"/>
      <w:bookmarkStart w:id="2857" w:name="_Toc38438411"/>
      <w:bookmarkStart w:id="2858" w:name="_Toc38438748"/>
      <w:bookmarkStart w:id="2859" w:name="_Toc38439085"/>
      <w:bookmarkStart w:id="2860" w:name="_Toc38439422"/>
      <w:bookmarkStart w:id="2861" w:name="_Toc38439759"/>
      <w:bookmarkStart w:id="2862" w:name="_Toc38440096"/>
      <w:bookmarkStart w:id="2863" w:name="_Toc38440433"/>
      <w:bookmarkStart w:id="2864" w:name="_Toc38440965"/>
      <w:bookmarkStart w:id="2865" w:name="_Toc38441297"/>
      <w:bookmarkStart w:id="2866" w:name="_Toc38441629"/>
      <w:bookmarkStart w:id="2867" w:name="_Toc38441957"/>
      <w:bookmarkStart w:id="2868" w:name="_Toc38442289"/>
      <w:bookmarkStart w:id="2869" w:name="_Toc38442621"/>
      <w:bookmarkStart w:id="2870" w:name="_Toc38442952"/>
      <w:bookmarkStart w:id="2871" w:name="_Toc38443283"/>
      <w:bookmarkStart w:id="2872" w:name="_Toc38443614"/>
      <w:bookmarkStart w:id="2873" w:name="_Toc38443944"/>
      <w:bookmarkStart w:id="2874" w:name="_Toc38438412"/>
      <w:bookmarkStart w:id="2875" w:name="_Toc38438749"/>
      <w:bookmarkStart w:id="2876" w:name="_Toc38439086"/>
      <w:bookmarkStart w:id="2877" w:name="_Toc38439423"/>
      <w:bookmarkStart w:id="2878" w:name="_Toc38439760"/>
      <w:bookmarkStart w:id="2879" w:name="_Toc38440097"/>
      <w:bookmarkStart w:id="2880" w:name="_Toc38440434"/>
      <w:bookmarkStart w:id="2881" w:name="_Toc38440966"/>
      <w:bookmarkStart w:id="2882" w:name="_Toc38441298"/>
      <w:bookmarkStart w:id="2883" w:name="_Toc38441630"/>
      <w:bookmarkStart w:id="2884" w:name="_Toc38441958"/>
      <w:bookmarkStart w:id="2885" w:name="_Toc38442290"/>
      <w:bookmarkStart w:id="2886" w:name="_Toc38442622"/>
      <w:bookmarkStart w:id="2887" w:name="_Toc38442953"/>
      <w:bookmarkStart w:id="2888" w:name="_Toc38443284"/>
      <w:bookmarkStart w:id="2889" w:name="_Toc38443615"/>
      <w:bookmarkStart w:id="2890" w:name="_Toc38443945"/>
      <w:bookmarkStart w:id="2891" w:name="_Toc38438413"/>
      <w:bookmarkStart w:id="2892" w:name="_Toc38438750"/>
      <w:bookmarkStart w:id="2893" w:name="_Toc38439087"/>
      <w:bookmarkStart w:id="2894" w:name="_Toc38439424"/>
      <w:bookmarkStart w:id="2895" w:name="_Toc38439761"/>
      <w:bookmarkStart w:id="2896" w:name="_Toc38440098"/>
      <w:bookmarkStart w:id="2897" w:name="_Toc38440435"/>
      <w:bookmarkStart w:id="2898" w:name="_Toc38440967"/>
      <w:bookmarkStart w:id="2899" w:name="_Toc38441299"/>
      <w:bookmarkStart w:id="2900" w:name="_Toc38441631"/>
      <w:bookmarkStart w:id="2901" w:name="_Toc38441959"/>
      <w:bookmarkStart w:id="2902" w:name="_Toc38442291"/>
      <w:bookmarkStart w:id="2903" w:name="_Toc38442623"/>
      <w:bookmarkStart w:id="2904" w:name="_Toc38442954"/>
      <w:bookmarkStart w:id="2905" w:name="_Toc38443285"/>
      <w:bookmarkStart w:id="2906" w:name="_Toc38443616"/>
      <w:bookmarkStart w:id="2907" w:name="_Toc38443946"/>
      <w:bookmarkStart w:id="2908" w:name="_Toc38438414"/>
      <w:bookmarkStart w:id="2909" w:name="_Toc38438751"/>
      <w:bookmarkStart w:id="2910" w:name="_Toc38439088"/>
      <w:bookmarkStart w:id="2911" w:name="_Toc38439425"/>
      <w:bookmarkStart w:id="2912" w:name="_Toc38439762"/>
      <w:bookmarkStart w:id="2913" w:name="_Toc38440099"/>
      <w:bookmarkStart w:id="2914" w:name="_Toc38440436"/>
      <w:bookmarkStart w:id="2915" w:name="_Toc38440968"/>
      <w:bookmarkStart w:id="2916" w:name="_Toc38441300"/>
      <w:bookmarkStart w:id="2917" w:name="_Toc38441632"/>
      <w:bookmarkStart w:id="2918" w:name="_Toc38441960"/>
      <w:bookmarkStart w:id="2919" w:name="_Toc38442292"/>
      <w:bookmarkStart w:id="2920" w:name="_Toc38442624"/>
      <w:bookmarkStart w:id="2921" w:name="_Toc38442955"/>
      <w:bookmarkStart w:id="2922" w:name="_Toc38443286"/>
      <w:bookmarkStart w:id="2923" w:name="_Toc38443617"/>
      <w:bookmarkStart w:id="2924" w:name="_Toc38443947"/>
      <w:bookmarkStart w:id="2925" w:name="_Toc38438415"/>
      <w:bookmarkStart w:id="2926" w:name="_Toc38438752"/>
      <w:bookmarkStart w:id="2927" w:name="_Toc38439089"/>
      <w:bookmarkStart w:id="2928" w:name="_Toc38439426"/>
      <w:bookmarkStart w:id="2929" w:name="_Toc38439763"/>
      <w:bookmarkStart w:id="2930" w:name="_Toc38440100"/>
      <w:bookmarkStart w:id="2931" w:name="_Toc38440437"/>
      <w:bookmarkStart w:id="2932" w:name="_Toc38440969"/>
      <w:bookmarkStart w:id="2933" w:name="_Toc38441301"/>
      <w:bookmarkStart w:id="2934" w:name="_Toc38441633"/>
      <w:bookmarkStart w:id="2935" w:name="_Toc38441961"/>
      <w:bookmarkStart w:id="2936" w:name="_Toc38442293"/>
      <w:bookmarkStart w:id="2937" w:name="_Toc38442625"/>
      <w:bookmarkStart w:id="2938" w:name="_Toc38442956"/>
      <w:bookmarkStart w:id="2939" w:name="_Toc38443287"/>
      <w:bookmarkStart w:id="2940" w:name="_Toc38443618"/>
      <w:bookmarkStart w:id="2941" w:name="_Toc38443948"/>
      <w:bookmarkStart w:id="2942" w:name="_Toc38438416"/>
      <w:bookmarkStart w:id="2943" w:name="_Toc38438753"/>
      <w:bookmarkStart w:id="2944" w:name="_Toc38439090"/>
      <w:bookmarkStart w:id="2945" w:name="_Toc38439427"/>
      <w:bookmarkStart w:id="2946" w:name="_Toc38439764"/>
      <w:bookmarkStart w:id="2947" w:name="_Toc38440101"/>
      <w:bookmarkStart w:id="2948" w:name="_Toc38440438"/>
      <w:bookmarkStart w:id="2949" w:name="_Toc38440970"/>
      <w:bookmarkStart w:id="2950" w:name="_Toc38441302"/>
      <w:bookmarkStart w:id="2951" w:name="_Toc38441634"/>
      <w:bookmarkStart w:id="2952" w:name="_Toc38441962"/>
      <w:bookmarkStart w:id="2953" w:name="_Toc38442294"/>
      <w:bookmarkStart w:id="2954" w:name="_Toc38442626"/>
      <w:bookmarkStart w:id="2955" w:name="_Toc38442957"/>
      <w:bookmarkStart w:id="2956" w:name="_Toc38443288"/>
      <w:bookmarkStart w:id="2957" w:name="_Toc38443619"/>
      <w:bookmarkStart w:id="2958" w:name="_Toc38443949"/>
      <w:bookmarkStart w:id="2959" w:name="_Toc38438417"/>
      <w:bookmarkStart w:id="2960" w:name="_Toc38438754"/>
      <w:bookmarkStart w:id="2961" w:name="_Toc38439091"/>
      <w:bookmarkStart w:id="2962" w:name="_Toc38439428"/>
      <w:bookmarkStart w:id="2963" w:name="_Toc38439765"/>
      <w:bookmarkStart w:id="2964" w:name="_Toc38440102"/>
      <w:bookmarkStart w:id="2965" w:name="_Toc38440439"/>
      <w:bookmarkStart w:id="2966" w:name="_Toc38440971"/>
      <w:bookmarkStart w:id="2967" w:name="_Toc38441303"/>
      <w:bookmarkStart w:id="2968" w:name="_Toc38441635"/>
      <w:bookmarkStart w:id="2969" w:name="_Toc38441963"/>
      <w:bookmarkStart w:id="2970" w:name="_Toc38442295"/>
      <w:bookmarkStart w:id="2971" w:name="_Toc38442627"/>
      <w:bookmarkStart w:id="2972" w:name="_Toc38442958"/>
      <w:bookmarkStart w:id="2973" w:name="_Toc38443289"/>
      <w:bookmarkStart w:id="2974" w:name="_Toc38443620"/>
      <w:bookmarkStart w:id="2975" w:name="_Toc38443950"/>
      <w:bookmarkStart w:id="2976" w:name="_Toc38438418"/>
      <w:bookmarkStart w:id="2977" w:name="_Toc38438755"/>
      <w:bookmarkStart w:id="2978" w:name="_Toc38439092"/>
      <w:bookmarkStart w:id="2979" w:name="_Toc38439429"/>
      <w:bookmarkStart w:id="2980" w:name="_Toc38439766"/>
      <w:bookmarkStart w:id="2981" w:name="_Toc38440103"/>
      <w:bookmarkStart w:id="2982" w:name="_Toc38440440"/>
      <w:bookmarkStart w:id="2983" w:name="_Toc38440972"/>
      <w:bookmarkStart w:id="2984" w:name="_Toc38441304"/>
      <w:bookmarkStart w:id="2985" w:name="_Toc38441636"/>
      <w:bookmarkStart w:id="2986" w:name="_Toc38441964"/>
      <w:bookmarkStart w:id="2987" w:name="_Toc38442296"/>
      <w:bookmarkStart w:id="2988" w:name="_Toc38442628"/>
      <w:bookmarkStart w:id="2989" w:name="_Toc38442959"/>
      <w:bookmarkStart w:id="2990" w:name="_Toc38443290"/>
      <w:bookmarkStart w:id="2991" w:name="_Toc38443621"/>
      <w:bookmarkStart w:id="2992" w:name="_Toc38443951"/>
      <w:bookmarkStart w:id="2993" w:name="_Toc38438419"/>
      <w:bookmarkStart w:id="2994" w:name="_Toc38438756"/>
      <w:bookmarkStart w:id="2995" w:name="_Toc38439093"/>
      <w:bookmarkStart w:id="2996" w:name="_Toc38439430"/>
      <w:bookmarkStart w:id="2997" w:name="_Toc38439767"/>
      <w:bookmarkStart w:id="2998" w:name="_Toc38440104"/>
      <w:bookmarkStart w:id="2999" w:name="_Toc38440441"/>
      <w:bookmarkStart w:id="3000" w:name="_Toc38440973"/>
      <w:bookmarkStart w:id="3001" w:name="_Toc38441305"/>
      <w:bookmarkStart w:id="3002" w:name="_Toc38441637"/>
      <w:bookmarkStart w:id="3003" w:name="_Toc38441965"/>
      <w:bookmarkStart w:id="3004" w:name="_Toc38442297"/>
      <w:bookmarkStart w:id="3005" w:name="_Toc38442629"/>
      <w:bookmarkStart w:id="3006" w:name="_Toc38442960"/>
      <w:bookmarkStart w:id="3007" w:name="_Toc38443291"/>
      <w:bookmarkStart w:id="3008" w:name="_Toc38443622"/>
      <w:bookmarkStart w:id="3009" w:name="_Toc38443952"/>
      <w:bookmarkStart w:id="3010" w:name="_Toc38438420"/>
      <w:bookmarkStart w:id="3011" w:name="_Toc38438757"/>
      <w:bookmarkStart w:id="3012" w:name="_Toc38439094"/>
      <w:bookmarkStart w:id="3013" w:name="_Toc38439431"/>
      <w:bookmarkStart w:id="3014" w:name="_Toc38439768"/>
      <w:bookmarkStart w:id="3015" w:name="_Toc38440105"/>
      <w:bookmarkStart w:id="3016" w:name="_Toc38440442"/>
      <w:bookmarkStart w:id="3017" w:name="_Toc38440974"/>
      <w:bookmarkStart w:id="3018" w:name="_Toc38441306"/>
      <w:bookmarkStart w:id="3019" w:name="_Toc38441638"/>
      <w:bookmarkStart w:id="3020" w:name="_Toc38441966"/>
      <w:bookmarkStart w:id="3021" w:name="_Toc38442298"/>
      <w:bookmarkStart w:id="3022" w:name="_Toc38442630"/>
      <w:bookmarkStart w:id="3023" w:name="_Toc38442961"/>
      <w:bookmarkStart w:id="3024" w:name="_Toc38443292"/>
      <w:bookmarkStart w:id="3025" w:name="_Toc38443623"/>
      <w:bookmarkStart w:id="3026" w:name="_Toc38443953"/>
      <w:bookmarkStart w:id="3027" w:name="_Toc38438421"/>
      <w:bookmarkStart w:id="3028" w:name="_Toc38438758"/>
      <w:bookmarkStart w:id="3029" w:name="_Toc38439095"/>
      <w:bookmarkStart w:id="3030" w:name="_Toc38439432"/>
      <w:bookmarkStart w:id="3031" w:name="_Toc38439769"/>
      <w:bookmarkStart w:id="3032" w:name="_Toc38440106"/>
      <w:bookmarkStart w:id="3033" w:name="_Toc38440443"/>
      <w:bookmarkStart w:id="3034" w:name="_Toc38440975"/>
      <w:bookmarkStart w:id="3035" w:name="_Toc38441307"/>
      <w:bookmarkStart w:id="3036" w:name="_Toc38441639"/>
      <w:bookmarkStart w:id="3037" w:name="_Toc38441967"/>
      <w:bookmarkStart w:id="3038" w:name="_Toc38442299"/>
      <w:bookmarkStart w:id="3039" w:name="_Toc38442631"/>
      <w:bookmarkStart w:id="3040" w:name="_Toc38442962"/>
      <w:bookmarkStart w:id="3041" w:name="_Toc38443293"/>
      <w:bookmarkStart w:id="3042" w:name="_Toc38443624"/>
      <w:bookmarkStart w:id="3043" w:name="_Toc38443954"/>
      <w:bookmarkStart w:id="3044" w:name="_Toc38438422"/>
      <w:bookmarkStart w:id="3045" w:name="_Toc38438759"/>
      <w:bookmarkStart w:id="3046" w:name="_Toc38439096"/>
      <w:bookmarkStart w:id="3047" w:name="_Toc38439433"/>
      <w:bookmarkStart w:id="3048" w:name="_Toc38439770"/>
      <w:bookmarkStart w:id="3049" w:name="_Toc38440107"/>
      <w:bookmarkStart w:id="3050" w:name="_Toc38440444"/>
      <w:bookmarkStart w:id="3051" w:name="_Toc38440976"/>
      <w:bookmarkStart w:id="3052" w:name="_Toc38441308"/>
      <w:bookmarkStart w:id="3053" w:name="_Toc38441640"/>
      <w:bookmarkStart w:id="3054" w:name="_Toc38441968"/>
      <w:bookmarkStart w:id="3055" w:name="_Toc38442300"/>
      <w:bookmarkStart w:id="3056" w:name="_Toc38442632"/>
      <w:bookmarkStart w:id="3057" w:name="_Toc38442963"/>
      <w:bookmarkStart w:id="3058" w:name="_Toc38443294"/>
      <w:bookmarkStart w:id="3059" w:name="_Toc38443625"/>
      <w:bookmarkStart w:id="3060" w:name="_Toc38443955"/>
      <w:bookmarkStart w:id="3061" w:name="_Toc38438423"/>
      <w:bookmarkStart w:id="3062" w:name="_Toc38438760"/>
      <w:bookmarkStart w:id="3063" w:name="_Toc38439097"/>
      <w:bookmarkStart w:id="3064" w:name="_Toc38439434"/>
      <w:bookmarkStart w:id="3065" w:name="_Toc38439771"/>
      <w:bookmarkStart w:id="3066" w:name="_Toc38440108"/>
      <w:bookmarkStart w:id="3067" w:name="_Toc38440445"/>
      <w:bookmarkStart w:id="3068" w:name="_Toc38440977"/>
      <w:bookmarkStart w:id="3069" w:name="_Toc38441309"/>
      <w:bookmarkStart w:id="3070" w:name="_Toc38441641"/>
      <w:bookmarkStart w:id="3071" w:name="_Toc38441969"/>
      <w:bookmarkStart w:id="3072" w:name="_Toc38442301"/>
      <w:bookmarkStart w:id="3073" w:name="_Toc38442633"/>
      <w:bookmarkStart w:id="3074" w:name="_Toc38442964"/>
      <w:bookmarkStart w:id="3075" w:name="_Toc38443295"/>
      <w:bookmarkStart w:id="3076" w:name="_Toc38443626"/>
      <w:bookmarkStart w:id="3077" w:name="_Toc38443956"/>
      <w:bookmarkStart w:id="3078" w:name="_Toc38438424"/>
      <w:bookmarkStart w:id="3079" w:name="_Toc38438761"/>
      <w:bookmarkStart w:id="3080" w:name="_Toc38439098"/>
      <w:bookmarkStart w:id="3081" w:name="_Toc38439435"/>
      <w:bookmarkStart w:id="3082" w:name="_Toc38439772"/>
      <w:bookmarkStart w:id="3083" w:name="_Toc38440109"/>
      <w:bookmarkStart w:id="3084" w:name="_Toc38440446"/>
      <w:bookmarkStart w:id="3085" w:name="_Toc38440978"/>
      <w:bookmarkStart w:id="3086" w:name="_Toc38441310"/>
      <w:bookmarkStart w:id="3087" w:name="_Toc38441642"/>
      <w:bookmarkStart w:id="3088" w:name="_Toc38441970"/>
      <w:bookmarkStart w:id="3089" w:name="_Toc38442302"/>
      <w:bookmarkStart w:id="3090" w:name="_Toc38442634"/>
      <w:bookmarkStart w:id="3091" w:name="_Toc38442965"/>
      <w:bookmarkStart w:id="3092" w:name="_Toc38443296"/>
      <w:bookmarkStart w:id="3093" w:name="_Toc38443627"/>
      <w:bookmarkStart w:id="3094" w:name="_Toc38443957"/>
      <w:bookmarkStart w:id="3095" w:name="_Toc38438425"/>
      <w:bookmarkStart w:id="3096" w:name="_Toc38438762"/>
      <w:bookmarkStart w:id="3097" w:name="_Toc38439099"/>
      <w:bookmarkStart w:id="3098" w:name="_Toc38439436"/>
      <w:bookmarkStart w:id="3099" w:name="_Toc38439773"/>
      <w:bookmarkStart w:id="3100" w:name="_Toc38440110"/>
      <w:bookmarkStart w:id="3101" w:name="_Toc38440447"/>
      <w:bookmarkStart w:id="3102" w:name="_Toc38440979"/>
      <w:bookmarkStart w:id="3103" w:name="_Toc38441311"/>
      <w:bookmarkStart w:id="3104" w:name="_Toc38441643"/>
      <w:bookmarkStart w:id="3105" w:name="_Toc38441971"/>
      <w:bookmarkStart w:id="3106" w:name="_Toc38442303"/>
      <w:bookmarkStart w:id="3107" w:name="_Toc38442635"/>
      <w:bookmarkStart w:id="3108" w:name="_Toc38442966"/>
      <w:bookmarkStart w:id="3109" w:name="_Toc38443297"/>
      <w:bookmarkStart w:id="3110" w:name="_Toc38443628"/>
      <w:bookmarkStart w:id="3111" w:name="_Toc38443958"/>
      <w:bookmarkStart w:id="3112" w:name="_Toc38438426"/>
      <w:bookmarkStart w:id="3113" w:name="_Toc38438763"/>
      <w:bookmarkStart w:id="3114" w:name="_Toc38439100"/>
      <w:bookmarkStart w:id="3115" w:name="_Toc38439437"/>
      <w:bookmarkStart w:id="3116" w:name="_Toc38439774"/>
      <w:bookmarkStart w:id="3117" w:name="_Toc38440111"/>
      <w:bookmarkStart w:id="3118" w:name="_Toc38440448"/>
      <w:bookmarkStart w:id="3119" w:name="_Toc38440980"/>
      <w:bookmarkStart w:id="3120" w:name="_Toc38441312"/>
      <w:bookmarkStart w:id="3121" w:name="_Toc38441644"/>
      <w:bookmarkStart w:id="3122" w:name="_Toc38441972"/>
      <w:bookmarkStart w:id="3123" w:name="_Toc38442304"/>
      <w:bookmarkStart w:id="3124" w:name="_Toc38442636"/>
      <w:bookmarkStart w:id="3125" w:name="_Toc38442967"/>
      <w:bookmarkStart w:id="3126" w:name="_Toc38443298"/>
      <w:bookmarkStart w:id="3127" w:name="_Toc38443629"/>
      <w:bookmarkStart w:id="3128" w:name="_Toc38443959"/>
      <w:bookmarkStart w:id="3129" w:name="_Toc38438427"/>
      <w:bookmarkStart w:id="3130" w:name="_Toc38438764"/>
      <w:bookmarkStart w:id="3131" w:name="_Toc38439101"/>
      <w:bookmarkStart w:id="3132" w:name="_Toc38439438"/>
      <w:bookmarkStart w:id="3133" w:name="_Toc38439775"/>
      <w:bookmarkStart w:id="3134" w:name="_Toc38440112"/>
      <w:bookmarkStart w:id="3135" w:name="_Toc38440449"/>
      <w:bookmarkStart w:id="3136" w:name="_Toc38440981"/>
      <w:bookmarkStart w:id="3137" w:name="_Toc38441313"/>
      <w:bookmarkStart w:id="3138" w:name="_Toc38441645"/>
      <w:bookmarkStart w:id="3139" w:name="_Toc38441973"/>
      <w:bookmarkStart w:id="3140" w:name="_Toc38442305"/>
      <w:bookmarkStart w:id="3141" w:name="_Toc38442637"/>
      <w:bookmarkStart w:id="3142" w:name="_Toc38442968"/>
      <w:bookmarkStart w:id="3143" w:name="_Toc38443299"/>
      <w:bookmarkStart w:id="3144" w:name="_Toc38443630"/>
      <w:bookmarkStart w:id="3145" w:name="_Toc38443960"/>
      <w:bookmarkStart w:id="3146" w:name="_Toc38438428"/>
      <w:bookmarkStart w:id="3147" w:name="_Toc38438765"/>
      <w:bookmarkStart w:id="3148" w:name="_Toc38439102"/>
      <w:bookmarkStart w:id="3149" w:name="_Toc38439439"/>
      <w:bookmarkStart w:id="3150" w:name="_Toc38439776"/>
      <w:bookmarkStart w:id="3151" w:name="_Toc38440113"/>
      <w:bookmarkStart w:id="3152" w:name="_Toc38440450"/>
      <w:bookmarkStart w:id="3153" w:name="_Toc38440982"/>
      <w:bookmarkStart w:id="3154" w:name="_Toc38441314"/>
      <w:bookmarkStart w:id="3155" w:name="_Toc38441646"/>
      <w:bookmarkStart w:id="3156" w:name="_Toc38441974"/>
      <w:bookmarkStart w:id="3157" w:name="_Toc38442306"/>
      <w:bookmarkStart w:id="3158" w:name="_Toc38442638"/>
      <w:bookmarkStart w:id="3159" w:name="_Toc38442969"/>
      <w:bookmarkStart w:id="3160" w:name="_Toc38443300"/>
      <w:bookmarkStart w:id="3161" w:name="_Toc38443631"/>
      <w:bookmarkStart w:id="3162" w:name="_Toc38443961"/>
      <w:bookmarkStart w:id="3163" w:name="_Toc38438429"/>
      <w:bookmarkStart w:id="3164" w:name="_Toc38438766"/>
      <w:bookmarkStart w:id="3165" w:name="_Toc38439103"/>
      <w:bookmarkStart w:id="3166" w:name="_Toc38439440"/>
      <w:bookmarkStart w:id="3167" w:name="_Toc38439777"/>
      <w:bookmarkStart w:id="3168" w:name="_Toc38440114"/>
      <w:bookmarkStart w:id="3169" w:name="_Toc38440451"/>
      <w:bookmarkStart w:id="3170" w:name="_Toc38440983"/>
      <w:bookmarkStart w:id="3171" w:name="_Toc38441315"/>
      <w:bookmarkStart w:id="3172" w:name="_Toc38441647"/>
      <w:bookmarkStart w:id="3173" w:name="_Toc38441975"/>
      <w:bookmarkStart w:id="3174" w:name="_Toc38442307"/>
      <w:bookmarkStart w:id="3175" w:name="_Toc38442639"/>
      <w:bookmarkStart w:id="3176" w:name="_Toc38442970"/>
      <w:bookmarkStart w:id="3177" w:name="_Toc38443301"/>
      <w:bookmarkStart w:id="3178" w:name="_Toc38443632"/>
      <w:bookmarkStart w:id="3179" w:name="_Toc38443962"/>
      <w:bookmarkStart w:id="3180" w:name="_Toc38438430"/>
      <w:bookmarkStart w:id="3181" w:name="_Toc38438767"/>
      <w:bookmarkStart w:id="3182" w:name="_Toc38439104"/>
      <w:bookmarkStart w:id="3183" w:name="_Toc38439441"/>
      <w:bookmarkStart w:id="3184" w:name="_Toc38439778"/>
      <w:bookmarkStart w:id="3185" w:name="_Toc38440115"/>
      <w:bookmarkStart w:id="3186" w:name="_Toc38440452"/>
      <w:bookmarkStart w:id="3187" w:name="_Toc38440984"/>
      <w:bookmarkStart w:id="3188" w:name="_Toc38441316"/>
      <w:bookmarkStart w:id="3189" w:name="_Toc38441648"/>
      <w:bookmarkStart w:id="3190" w:name="_Toc38441976"/>
      <w:bookmarkStart w:id="3191" w:name="_Toc38442308"/>
      <w:bookmarkStart w:id="3192" w:name="_Toc38442640"/>
      <w:bookmarkStart w:id="3193" w:name="_Toc38442971"/>
      <w:bookmarkStart w:id="3194" w:name="_Toc38443302"/>
      <w:bookmarkStart w:id="3195" w:name="_Toc38443633"/>
      <w:bookmarkStart w:id="3196" w:name="_Toc38443963"/>
      <w:bookmarkStart w:id="3197" w:name="_Toc38438431"/>
      <w:bookmarkStart w:id="3198" w:name="_Toc38438768"/>
      <w:bookmarkStart w:id="3199" w:name="_Toc38439105"/>
      <w:bookmarkStart w:id="3200" w:name="_Toc38439442"/>
      <w:bookmarkStart w:id="3201" w:name="_Toc38439779"/>
      <w:bookmarkStart w:id="3202" w:name="_Toc38440116"/>
      <w:bookmarkStart w:id="3203" w:name="_Toc38440453"/>
      <w:bookmarkStart w:id="3204" w:name="_Toc38440985"/>
      <w:bookmarkStart w:id="3205" w:name="_Toc38441317"/>
      <w:bookmarkStart w:id="3206" w:name="_Toc38441649"/>
      <w:bookmarkStart w:id="3207" w:name="_Toc38441977"/>
      <w:bookmarkStart w:id="3208" w:name="_Toc38442309"/>
      <w:bookmarkStart w:id="3209" w:name="_Toc38442641"/>
      <w:bookmarkStart w:id="3210" w:name="_Toc38442972"/>
      <w:bookmarkStart w:id="3211" w:name="_Toc38443303"/>
      <w:bookmarkStart w:id="3212" w:name="_Toc38443634"/>
      <w:bookmarkStart w:id="3213" w:name="_Toc38443964"/>
      <w:bookmarkStart w:id="3214" w:name="_Toc38438432"/>
      <w:bookmarkStart w:id="3215" w:name="_Toc38438769"/>
      <w:bookmarkStart w:id="3216" w:name="_Toc38439106"/>
      <w:bookmarkStart w:id="3217" w:name="_Toc38439443"/>
      <w:bookmarkStart w:id="3218" w:name="_Toc38439780"/>
      <w:bookmarkStart w:id="3219" w:name="_Toc38440117"/>
      <w:bookmarkStart w:id="3220" w:name="_Toc38440454"/>
      <w:bookmarkStart w:id="3221" w:name="_Toc38440986"/>
      <w:bookmarkStart w:id="3222" w:name="_Toc38441318"/>
      <w:bookmarkStart w:id="3223" w:name="_Toc38441650"/>
      <w:bookmarkStart w:id="3224" w:name="_Toc38441978"/>
      <w:bookmarkStart w:id="3225" w:name="_Toc38442310"/>
      <w:bookmarkStart w:id="3226" w:name="_Toc38442642"/>
      <w:bookmarkStart w:id="3227" w:name="_Toc38442973"/>
      <w:bookmarkStart w:id="3228" w:name="_Toc38443304"/>
      <w:bookmarkStart w:id="3229" w:name="_Toc38443635"/>
      <w:bookmarkStart w:id="3230" w:name="_Toc38443965"/>
      <w:bookmarkStart w:id="3231" w:name="_Toc38438433"/>
      <w:bookmarkStart w:id="3232" w:name="_Toc38438770"/>
      <w:bookmarkStart w:id="3233" w:name="_Toc38439107"/>
      <w:bookmarkStart w:id="3234" w:name="_Toc38439444"/>
      <w:bookmarkStart w:id="3235" w:name="_Toc38439781"/>
      <w:bookmarkStart w:id="3236" w:name="_Toc38440118"/>
      <w:bookmarkStart w:id="3237" w:name="_Toc38440455"/>
      <w:bookmarkStart w:id="3238" w:name="_Toc38440987"/>
      <w:bookmarkStart w:id="3239" w:name="_Toc38441319"/>
      <w:bookmarkStart w:id="3240" w:name="_Toc38441651"/>
      <w:bookmarkStart w:id="3241" w:name="_Toc38441979"/>
      <w:bookmarkStart w:id="3242" w:name="_Toc38442311"/>
      <w:bookmarkStart w:id="3243" w:name="_Toc38442643"/>
      <w:bookmarkStart w:id="3244" w:name="_Toc38442974"/>
      <w:bookmarkStart w:id="3245" w:name="_Toc38443305"/>
      <w:bookmarkStart w:id="3246" w:name="_Toc38443636"/>
      <w:bookmarkStart w:id="3247" w:name="_Toc38443966"/>
      <w:bookmarkStart w:id="3248" w:name="_Toc38438434"/>
      <w:bookmarkStart w:id="3249" w:name="_Toc38438771"/>
      <w:bookmarkStart w:id="3250" w:name="_Toc38439108"/>
      <w:bookmarkStart w:id="3251" w:name="_Toc38439445"/>
      <w:bookmarkStart w:id="3252" w:name="_Toc38439782"/>
      <w:bookmarkStart w:id="3253" w:name="_Toc38440119"/>
      <w:bookmarkStart w:id="3254" w:name="_Toc38440456"/>
      <w:bookmarkStart w:id="3255" w:name="_Toc38440988"/>
      <w:bookmarkStart w:id="3256" w:name="_Toc38441320"/>
      <w:bookmarkStart w:id="3257" w:name="_Toc38441652"/>
      <w:bookmarkStart w:id="3258" w:name="_Toc38441980"/>
      <w:bookmarkStart w:id="3259" w:name="_Toc38442312"/>
      <w:bookmarkStart w:id="3260" w:name="_Toc38442644"/>
      <w:bookmarkStart w:id="3261" w:name="_Toc38442975"/>
      <w:bookmarkStart w:id="3262" w:name="_Toc38443306"/>
      <w:bookmarkStart w:id="3263" w:name="_Toc38443637"/>
      <w:bookmarkStart w:id="3264" w:name="_Toc38443967"/>
      <w:bookmarkStart w:id="3265" w:name="_Toc38438435"/>
      <w:bookmarkStart w:id="3266" w:name="_Toc38438772"/>
      <w:bookmarkStart w:id="3267" w:name="_Toc38439109"/>
      <w:bookmarkStart w:id="3268" w:name="_Toc38439446"/>
      <w:bookmarkStart w:id="3269" w:name="_Toc38439783"/>
      <w:bookmarkStart w:id="3270" w:name="_Toc38440120"/>
      <w:bookmarkStart w:id="3271" w:name="_Toc38440457"/>
      <w:bookmarkStart w:id="3272" w:name="_Toc38440989"/>
      <w:bookmarkStart w:id="3273" w:name="_Toc38441321"/>
      <w:bookmarkStart w:id="3274" w:name="_Toc38441653"/>
      <w:bookmarkStart w:id="3275" w:name="_Toc38441981"/>
      <w:bookmarkStart w:id="3276" w:name="_Toc38442313"/>
      <w:bookmarkStart w:id="3277" w:name="_Toc38442645"/>
      <w:bookmarkStart w:id="3278" w:name="_Toc38442976"/>
      <w:bookmarkStart w:id="3279" w:name="_Toc38443307"/>
      <w:bookmarkStart w:id="3280" w:name="_Toc38443638"/>
      <w:bookmarkStart w:id="3281" w:name="_Toc38443968"/>
      <w:bookmarkStart w:id="3282" w:name="_Toc38438436"/>
      <w:bookmarkStart w:id="3283" w:name="_Toc38438773"/>
      <w:bookmarkStart w:id="3284" w:name="_Toc38439110"/>
      <w:bookmarkStart w:id="3285" w:name="_Toc38439447"/>
      <w:bookmarkStart w:id="3286" w:name="_Toc38439784"/>
      <w:bookmarkStart w:id="3287" w:name="_Toc38440121"/>
      <w:bookmarkStart w:id="3288" w:name="_Toc38440458"/>
      <w:bookmarkStart w:id="3289" w:name="_Toc38440990"/>
      <w:bookmarkStart w:id="3290" w:name="_Toc38441322"/>
      <w:bookmarkStart w:id="3291" w:name="_Toc38441654"/>
      <w:bookmarkStart w:id="3292" w:name="_Toc38441982"/>
      <w:bookmarkStart w:id="3293" w:name="_Toc38442314"/>
      <w:bookmarkStart w:id="3294" w:name="_Toc38442646"/>
      <w:bookmarkStart w:id="3295" w:name="_Toc38442977"/>
      <w:bookmarkStart w:id="3296" w:name="_Toc38443308"/>
      <w:bookmarkStart w:id="3297" w:name="_Toc38443639"/>
      <w:bookmarkStart w:id="3298" w:name="_Toc38443969"/>
      <w:bookmarkStart w:id="3299" w:name="_Toc38438437"/>
      <w:bookmarkStart w:id="3300" w:name="_Toc38438774"/>
      <w:bookmarkStart w:id="3301" w:name="_Toc38439111"/>
      <w:bookmarkStart w:id="3302" w:name="_Toc38439448"/>
      <w:bookmarkStart w:id="3303" w:name="_Toc38439785"/>
      <w:bookmarkStart w:id="3304" w:name="_Toc38440122"/>
      <w:bookmarkStart w:id="3305" w:name="_Toc38440459"/>
      <w:bookmarkStart w:id="3306" w:name="_Toc38440991"/>
      <w:bookmarkStart w:id="3307" w:name="_Toc38441323"/>
      <w:bookmarkStart w:id="3308" w:name="_Toc38441655"/>
      <w:bookmarkStart w:id="3309" w:name="_Toc38441983"/>
      <w:bookmarkStart w:id="3310" w:name="_Toc38442315"/>
      <w:bookmarkStart w:id="3311" w:name="_Toc38442647"/>
      <w:bookmarkStart w:id="3312" w:name="_Toc38442978"/>
      <w:bookmarkStart w:id="3313" w:name="_Toc38443309"/>
      <w:bookmarkStart w:id="3314" w:name="_Toc38443640"/>
      <w:bookmarkStart w:id="3315" w:name="_Toc38443970"/>
      <w:bookmarkStart w:id="3316" w:name="_Toc38438438"/>
      <w:bookmarkStart w:id="3317" w:name="_Toc38438775"/>
      <w:bookmarkStart w:id="3318" w:name="_Toc38439112"/>
      <w:bookmarkStart w:id="3319" w:name="_Toc38439449"/>
      <w:bookmarkStart w:id="3320" w:name="_Toc38439786"/>
      <w:bookmarkStart w:id="3321" w:name="_Toc38440123"/>
      <w:bookmarkStart w:id="3322" w:name="_Toc38440460"/>
      <w:bookmarkStart w:id="3323" w:name="_Toc38440992"/>
      <w:bookmarkStart w:id="3324" w:name="_Toc38441324"/>
      <w:bookmarkStart w:id="3325" w:name="_Toc38441656"/>
      <w:bookmarkStart w:id="3326" w:name="_Toc38441984"/>
      <w:bookmarkStart w:id="3327" w:name="_Toc38442316"/>
      <w:bookmarkStart w:id="3328" w:name="_Toc38442648"/>
      <w:bookmarkStart w:id="3329" w:name="_Toc38442979"/>
      <w:bookmarkStart w:id="3330" w:name="_Toc38443310"/>
      <w:bookmarkStart w:id="3331" w:name="_Toc38443641"/>
      <w:bookmarkStart w:id="3332" w:name="_Toc38443971"/>
      <w:bookmarkStart w:id="3333" w:name="_Toc38438439"/>
      <w:bookmarkStart w:id="3334" w:name="_Toc38438776"/>
      <w:bookmarkStart w:id="3335" w:name="_Toc38439113"/>
      <w:bookmarkStart w:id="3336" w:name="_Toc38439450"/>
      <w:bookmarkStart w:id="3337" w:name="_Toc38439787"/>
      <w:bookmarkStart w:id="3338" w:name="_Toc38440124"/>
      <w:bookmarkStart w:id="3339" w:name="_Toc38440461"/>
      <w:bookmarkStart w:id="3340" w:name="_Toc38440993"/>
      <w:bookmarkStart w:id="3341" w:name="_Toc38441325"/>
      <w:bookmarkStart w:id="3342" w:name="_Toc38441657"/>
      <w:bookmarkStart w:id="3343" w:name="_Toc38441985"/>
      <w:bookmarkStart w:id="3344" w:name="_Toc38442317"/>
      <w:bookmarkStart w:id="3345" w:name="_Toc38442649"/>
      <w:bookmarkStart w:id="3346" w:name="_Toc38442980"/>
      <w:bookmarkStart w:id="3347" w:name="_Toc38443311"/>
      <w:bookmarkStart w:id="3348" w:name="_Toc38443642"/>
      <w:bookmarkStart w:id="3349" w:name="_Toc38443972"/>
      <w:bookmarkStart w:id="3350" w:name="_Toc38438440"/>
      <w:bookmarkStart w:id="3351" w:name="_Toc38438777"/>
      <w:bookmarkStart w:id="3352" w:name="_Toc38439114"/>
      <w:bookmarkStart w:id="3353" w:name="_Toc38439451"/>
      <w:bookmarkStart w:id="3354" w:name="_Toc38439788"/>
      <w:bookmarkStart w:id="3355" w:name="_Toc38440125"/>
      <w:bookmarkStart w:id="3356" w:name="_Toc38440462"/>
      <w:bookmarkStart w:id="3357" w:name="_Toc38440994"/>
      <w:bookmarkStart w:id="3358" w:name="_Toc38441326"/>
      <w:bookmarkStart w:id="3359" w:name="_Toc38441658"/>
      <w:bookmarkStart w:id="3360" w:name="_Toc38441986"/>
      <w:bookmarkStart w:id="3361" w:name="_Toc38442318"/>
      <w:bookmarkStart w:id="3362" w:name="_Toc38442650"/>
      <w:bookmarkStart w:id="3363" w:name="_Toc38442981"/>
      <w:bookmarkStart w:id="3364" w:name="_Toc38443312"/>
      <w:bookmarkStart w:id="3365" w:name="_Toc38443643"/>
      <w:bookmarkStart w:id="3366" w:name="_Toc38443973"/>
      <w:bookmarkStart w:id="3367" w:name="_Toc38438441"/>
      <w:bookmarkStart w:id="3368" w:name="_Toc38438778"/>
      <w:bookmarkStart w:id="3369" w:name="_Toc38439115"/>
      <w:bookmarkStart w:id="3370" w:name="_Toc38439452"/>
      <w:bookmarkStart w:id="3371" w:name="_Toc38439789"/>
      <w:bookmarkStart w:id="3372" w:name="_Toc38440126"/>
      <w:bookmarkStart w:id="3373" w:name="_Toc38440463"/>
      <w:bookmarkStart w:id="3374" w:name="_Toc38440995"/>
      <w:bookmarkStart w:id="3375" w:name="_Toc38441327"/>
      <w:bookmarkStart w:id="3376" w:name="_Toc38441659"/>
      <w:bookmarkStart w:id="3377" w:name="_Toc38441987"/>
      <w:bookmarkStart w:id="3378" w:name="_Toc38442319"/>
      <w:bookmarkStart w:id="3379" w:name="_Toc38442651"/>
      <w:bookmarkStart w:id="3380" w:name="_Toc38442982"/>
      <w:bookmarkStart w:id="3381" w:name="_Toc38443313"/>
      <w:bookmarkStart w:id="3382" w:name="_Toc38443644"/>
      <w:bookmarkStart w:id="3383" w:name="_Toc38443974"/>
      <w:bookmarkStart w:id="3384" w:name="_Toc38438442"/>
      <w:bookmarkStart w:id="3385" w:name="_Toc38438779"/>
      <w:bookmarkStart w:id="3386" w:name="_Toc38439116"/>
      <w:bookmarkStart w:id="3387" w:name="_Toc38439453"/>
      <w:bookmarkStart w:id="3388" w:name="_Toc38439790"/>
      <w:bookmarkStart w:id="3389" w:name="_Toc38440127"/>
      <w:bookmarkStart w:id="3390" w:name="_Toc38440464"/>
      <w:bookmarkStart w:id="3391" w:name="_Toc38440996"/>
      <w:bookmarkStart w:id="3392" w:name="_Toc38441328"/>
      <w:bookmarkStart w:id="3393" w:name="_Toc38441660"/>
      <w:bookmarkStart w:id="3394" w:name="_Toc38441988"/>
      <w:bookmarkStart w:id="3395" w:name="_Toc38442320"/>
      <w:bookmarkStart w:id="3396" w:name="_Toc38442652"/>
      <w:bookmarkStart w:id="3397" w:name="_Toc38442983"/>
      <w:bookmarkStart w:id="3398" w:name="_Toc38443314"/>
      <w:bookmarkStart w:id="3399" w:name="_Toc38443645"/>
      <w:bookmarkStart w:id="3400" w:name="_Toc38443975"/>
      <w:bookmarkStart w:id="3401" w:name="_Toc38438443"/>
      <w:bookmarkStart w:id="3402" w:name="_Toc38438780"/>
      <w:bookmarkStart w:id="3403" w:name="_Toc38439117"/>
      <w:bookmarkStart w:id="3404" w:name="_Toc38439454"/>
      <w:bookmarkStart w:id="3405" w:name="_Toc38439791"/>
      <w:bookmarkStart w:id="3406" w:name="_Toc38440128"/>
      <w:bookmarkStart w:id="3407" w:name="_Toc38440465"/>
      <w:bookmarkStart w:id="3408" w:name="_Toc38440997"/>
      <w:bookmarkStart w:id="3409" w:name="_Toc38441329"/>
      <w:bookmarkStart w:id="3410" w:name="_Toc38441661"/>
      <w:bookmarkStart w:id="3411" w:name="_Toc38441989"/>
      <w:bookmarkStart w:id="3412" w:name="_Toc38442321"/>
      <w:bookmarkStart w:id="3413" w:name="_Toc38442653"/>
      <w:bookmarkStart w:id="3414" w:name="_Toc38442984"/>
      <w:bookmarkStart w:id="3415" w:name="_Toc38443315"/>
      <w:bookmarkStart w:id="3416" w:name="_Toc38443646"/>
      <w:bookmarkStart w:id="3417" w:name="_Toc38443976"/>
      <w:bookmarkStart w:id="3418" w:name="_Toc38438444"/>
      <w:bookmarkStart w:id="3419" w:name="_Toc38438781"/>
      <w:bookmarkStart w:id="3420" w:name="_Toc38439118"/>
      <w:bookmarkStart w:id="3421" w:name="_Toc38439455"/>
      <w:bookmarkStart w:id="3422" w:name="_Toc38439792"/>
      <w:bookmarkStart w:id="3423" w:name="_Toc38440129"/>
      <w:bookmarkStart w:id="3424" w:name="_Toc38440466"/>
      <w:bookmarkStart w:id="3425" w:name="_Toc38440998"/>
      <w:bookmarkStart w:id="3426" w:name="_Toc38441330"/>
      <w:bookmarkStart w:id="3427" w:name="_Toc38441662"/>
      <w:bookmarkStart w:id="3428" w:name="_Toc38441990"/>
      <w:bookmarkStart w:id="3429" w:name="_Toc38442322"/>
      <w:bookmarkStart w:id="3430" w:name="_Toc38442654"/>
      <w:bookmarkStart w:id="3431" w:name="_Toc38442985"/>
      <w:bookmarkStart w:id="3432" w:name="_Toc38443316"/>
      <w:bookmarkStart w:id="3433" w:name="_Toc38443647"/>
      <w:bookmarkStart w:id="3434" w:name="_Toc38443977"/>
      <w:bookmarkStart w:id="3435" w:name="_Toc38438445"/>
      <w:bookmarkStart w:id="3436" w:name="_Toc38438782"/>
      <w:bookmarkStart w:id="3437" w:name="_Toc38439119"/>
      <w:bookmarkStart w:id="3438" w:name="_Toc38439456"/>
      <w:bookmarkStart w:id="3439" w:name="_Toc38439793"/>
      <w:bookmarkStart w:id="3440" w:name="_Toc38440130"/>
      <w:bookmarkStart w:id="3441" w:name="_Toc38440467"/>
      <w:bookmarkStart w:id="3442" w:name="_Toc38440999"/>
      <w:bookmarkStart w:id="3443" w:name="_Toc38441331"/>
      <w:bookmarkStart w:id="3444" w:name="_Toc38441663"/>
      <w:bookmarkStart w:id="3445" w:name="_Toc38441991"/>
      <w:bookmarkStart w:id="3446" w:name="_Toc38442323"/>
      <w:bookmarkStart w:id="3447" w:name="_Toc38442655"/>
      <w:bookmarkStart w:id="3448" w:name="_Toc38442986"/>
      <w:bookmarkStart w:id="3449" w:name="_Toc38443317"/>
      <w:bookmarkStart w:id="3450" w:name="_Toc38443648"/>
      <w:bookmarkStart w:id="3451" w:name="_Toc38443978"/>
      <w:bookmarkStart w:id="3452" w:name="_Toc38438446"/>
      <w:bookmarkStart w:id="3453" w:name="_Toc38438783"/>
      <w:bookmarkStart w:id="3454" w:name="_Toc38439120"/>
      <w:bookmarkStart w:id="3455" w:name="_Toc38439457"/>
      <w:bookmarkStart w:id="3456" w:name="_Toc38439794"/>
      <w:bookmarkStart w:id="3457" w:name="_Toc38440131"/>
      <w:bookmarkStart w:id="3458" w:name="_Toc38440468"/>
      <w:bookmarkStart w:id="3459" w:name="_Toc38441000"/>
      <w:bookmarkStart w:id="3460" w:name="_Toc38441332"/>
      <w:bookmarkStart w:id="3461" w:name="_Toc38441664"/>
      <w:bookmarkStart w:id="3462" w:name="_Toc38441992"/>
      <w:bookmarkStart w:id="3463" w:name="_Toc38442324"/>
      <w:bookmarkStart w:id="3464" w:name="_Toc38442656"/>
      <w:bookmarkStart w:id="3465" w:name="_Toc38442987"/>
      <w:bookmarkStart w:id="3466" w:name="_Toc38443318"/>
      <w:bookmarkStart w:id="3467" w:name="_Toc38443649"/>
      <w:bookmarkStart w:id="3468" w:name="_Toc38443979"/>
      <w:bookmarkStart w:id="3469" w:name="_Toc38438447"/>
      <w:bookmarkStart w:id="3470" w:name="_Toc38438784"/>
      <w:bookmarkStart w:id="3471" w:name="_Toc38439121"/>
      <w:bookmarkStart w:id="3472" w:name="_Toc38439458"/>
      <w:bookmarkStart w:id="3473" w:name="_Toc38439795"/>
      <w:bookmarkStart w:id="3474" w:name="_Toc38440132"/>
      <w:bookmarkStart w:id="3475" w:name="_Toc38440469"/>
      <w:bookmarkStart w:id="3476" w:name="_Toc38441001"/>
      <w:bookmarkStart w:id="3477" w:name="_Toc38441333"/>
      <w:bookmarkStart w:id="3478" w:name="_Toc38441665"/>
      <w:bookmarkStart w:id="3479" w:name="_Toc38441993"/>
      <w:bookmarkStart w:id="3480" w:name="_Toc38442325"/>
      <w:bookmarkStart w:id="3481" w:name="_Toc38442657"/>
      <w:bookmarkStart w:id="3482" w:name="_Toc38442988"/>
      <w:bookmarkStart w:id="3483" w:name="_Toc38443319"/>
      <w:bookmarkStart w:id="3484" w:name="_Toc38443650"/>
      <w:bookmarkStart w:id="3485" w:name="_Toc38443980"/>
      <w:bookmarkStart w:id="3486" w:name="_Toc38438448"/>
      <w:bookmarkStart w:id="3487" w:name="_Toc38438785"/>
      <w:bookmarkStart w:id="3488" w:name="_Toc38439122"/>
      <w:bookmarkStart w:id="3489" w:name="_Toc38439459"/>
      <w:bookmarkStart w:id="3490" w:name="_Toc38439796"/>
      <w:bookmarkStart w:id="3491" w:name="_Toc38440133"/>
      <w:bookmarkStart w:id="3492" w:name="_Toc38440470"/>
      <w:bookmarkStart w:id="3493" w:name="_Toc38441002"/>
      <w:bookmarkStart w:id="3494" w:name="_Toc38441334"/>
      <w:bookmarkStart w:id="3495" w:name="_Toc38441666"/>
      <w:bookmarkStart w:id="3496" w:name="_Toc38441994"/>
      <w:bookmarkStart w:id="3497" w:name="_Toc38442326"/>
      <w:bookmarkStart w:id="3498" w:name="_Toc38442658"/>
      <w:bookmarkStart w:id="3499" w:name="_Toc38442989"/>
      <w:bookmarkStart w:id="3500" w:name="_Toc38443320"/>
      <w:bookmarkStart w:id="3501" w:name="_Toc38443651"/>
      <w:bookmarkStart w:id="3502" w:name="_Toc38443981"/>
      <w:bookmarkStart w:id="3503" w:name="_Toc38438449"/>
      <w:bookmarkStart w:id="3504" w:name="_Toc38438786"/>
      <w:bookmarkStart w:id="3505" w:name="_Toc38439123"/>
      <w:bookmarkStart w:id="3506" w:name="_Toc38439460"/>
      <w:bookmarkStart w:id="3507" w:name="_Toc38439797"/>
      <w:bookmarkStart w:id="3508" w:name="_Toc38440134"/>
      <w:bookmarkStart w:id="3509" w:name="_Toc38440471"/>
      <w:bookmarkStart w:id="3510" w:name="_Toc38441003"/>
      <w:bookmarkStart w:id="3511" w:name="_Toc38441335"/>
      <w:bookmarkStart w:id="3512" w:name="_Toc38441667"/>
      <w:bookmarkStart w:id="3513" w:name="_Toc38441995"/>
      <w:bookmarkStart w:id="3514" w:name="_Toc38442327"/>
      <w:bookmarkStart w:id="3515" w:name="_Toc38442659"/>
      <w:bookmarkStart w:id="3516" w:name="_Toc38442990"/>
      <w:bookmarkStart w:id="3517" w:name="_Toc38443321"/>
      <w:bookmarkStart w:id="3518" w:name="_Toc38443652"/>
      <w:bookmarkStart w:id="3519" w:name="_Toc38443982"/>
      <w:bookmarkStart w:id="3520" w:name="_Toc38438450"/>
      <w:bookmarkStart w:id="3521" w:name="_Toc38438787"/>
      <w:bookmarkStart w:id="3522" w:name="_Toc38439124"/>
      <w:bookmarkStart w:id="3523" w:name="_Toc38439461"/>
      <w:bookmarkStart w:id="3524" w:name="_Toc38439798"/>
      <w:bookmarkStart w:id="3525" w:name="_Toc38440135"/>
      <w:bookmarkStart w:id="3526" w:name="_Toc38440472"/>
      <w:bookmarkStart w:id="3527" w:name="_Toc38441004"/>
      <w:bookmarkStart w:id="3528" w:name="_Toc38441336"/>
      <w:bookmarkStart w:id="3529" w:name="_Toc38441668"/>
      <w:bookmarkStart w:id="3530" w:name="_Toc38441996"/>
      <w:bookmarkStart w:id="3531" w:name="_Toc38442328"/>
      <w:bookmarkStart w:id="3532" w:name="_Toc38442660"/>
      <w:bookmarkStart w:id="3533" w:name="_Toc38442991"/>
      <w:bookmarkStart w:id="3534" w:name="_Toc38443322"/>
      <w:bookmarkStart w:id="3535" w:name="_Toc38443653"/>
      <w:bookmarkStart w:id="3536" w:name="_Toc38443983"/>
      <w:bookmarkStart w:id="3537" w:name="_Toc38438451"/>
      <w:bookmarkStart w:id="3538" w:name="_Toc38438788"/>
      <w:bookmarkStart w:id="3539" w:name="_Toc38439125"/>
      <w:bookmarkStart w:id="3540" w:name="_Toc38439462"/>
      <w:bookmarkStart w:id="3541" w:name="_Toc38439799"/>
      <w:bookmarkStart w:id="3542" w:name="_Toc38440136"/>
      <w:bookmarkStart w:id="3543" w:name="_Toc38440473"/>
      <w:bookmarkStart w:id="3544" w:name="_Toc38441005"/>
      <w:bookmarkStart w:id="3545" w:name="_Toc38441337"/>
      <w:bookmarkStart w:id="3546" w:name="_Toc38441669"/>
      <w:bookmarkStart w:id="3547" w:name="_Toc38441997"/>
      <w:bookmarkStart w:id="3548" w:name="_Toc38442329"/>
      <w:bookmarkStart w:id="3549" w:name="_Toc38442661"/>
      <w:bookmarkStart w:id="3550" w:name="_Toc38442992"/>
      <w:bookmarkStart w:id="3551" w:name="_Toc38443323"/>
      <w:bookmarkStart w:id="3552" w:name="_Toc38443654"/>
      <w:bookmarkStart w:id="3553" w:name="_Toc38443984"/>
      <w:bookmarkStart w:id="3554" w:name="_Toc38438452"/>
      <w:bookmarkStart w:id="3555" w:name="_Toc38438789"/>
      <w:bookmarkStart w:id="3556" w:name="_Toc38439126"/>
      <w:bookmarkStart w:id="3557" w:name="_Toc38439463"/>
      <w:bookmarkStart w:id="3558" w:name="_Toc38439800"/>
      <w:bookmarkStart w:id="3559" w:name="_Toc38440137"/>
      <w:bookmarkStart w:id="3560" w:name="_Toc38440474"/>
      <w:bookmarkStart w:id="3561" w:name="_Toc38441006"/>
      <w:bookmarkStart w:id="3562" w:name="_Toc38441338"/>
      <w:bookmarkStart w:id="3563" w:name="_Toc38441670"/>
      <w:bookmarkStart w:id="3564" w:name="_Toc38441998"/>
      <w:bookmarkStart w:id="3565" w:name="_Toc38442330"/>
      <w:bookmarkStart w:id="3566" w:name="_Toc38442662"/>
      <w:bookmarkStart w:id="3567" w:name="_Toc38442993"/>
      <w:bookmarkStart w:id="3568" w:name="_Toc38443324"/>
      <w:bookmarkStart w:id="3569" w:name="_Toc38443655"/>
      <w:bookmarkStart w:id="3570" w:name="_Toc38443985"/>
      <w:bookmarkStart w:id="3571" w:name="_Toc38438453"/>
      <w:bookmarkStart w:id="3572" w:name="_Toc38438790"/>
      <w:bookmarkStart w:id="3573" w:name="_Toc38439127"/>
      <w:bookmarkStart w:id="3574" w:name="_Toc38439464"/>
      <w:bookmarkStart w:id="3575" w:name="_Toc38439801"/>
      <w:bookmarkStart w:id="3576" w:name="_Toc38440138"/>
      <w:bookmarkStart w:id="3577" w:name="_Toc38440475"/>
      <w:bookmarkStart w:id="3578" w:name="_Toc38441007"/>
      <w:bookmarkStart w:id="3579" w:name="_Toc38441339"/>
      <w:bookmarkStart w:id="3580" w:name="_Toc38441671"/>
      <w:bookmarkStart w:id="3581" w:name="_Toc38441999"/>
      <w:bookmarkStart w:id="3582" w:name="_Toc38442331"/>
      <w:bookmarkStart w:id="3583" w:name="_Toc38442663"/>
      <w:bookmarkStart w:id="3584" w:name="_Toc38442994"/>
      <w:bookmarkStart w:id="3585" w:name="_Toc38443325"/>
      <w:bookmarkStart w:id="3586" w:name="_Toc38443656"/>
      <w:bookmarkStart w:id="3587" w:name="_Toc38443986"/>
      <w:bookmarkStart w:id="3588" w:name="_Toc38438454"/>
      <w:bookmarkStart w:id="3589" w:name="_Toc38438791"/>
      <w:bookmarkStart w:id="3590" w:name="_Toc38439128"/>
      <w:bookmarkStart w:id="3591" w:name="_Toc38439465"/>
      <w:bookmarkStart w:id="3592" w:name="_Toc38439802"/>
      <w:bookmarkStart w:id="3593" w:name="_Toc38440139"/>
      <w:bookmarkStart w:id="3594" w:name="_Toc38440476"/>
      <w:bookmarkStart w:id="3595" w:name="_Toc38441008"/>
      <w:bookmarkStart w:id="3596" w:name="_Toc38441340"/>
      <w:bookmarkStart w:id="3597" w:name="_Toc38441672"/>
      <w:bookmarkStart w:id="3598" w:name="_Toc38442000"/>
      <w:bookmarkStart w:id="3599" w:name="_Toc38442332"/>
      <w:bookmarkStart w:id="3600" w:name="_Toc38442664"/>
      <w:bookmarkStart w:id="3601" w:name="_Toc38442995"/>
      <w:bookmarkStart w:id="3602" w:name="_Toc38443326"/>
      <w:bookmarkStart w:id="3603" w:name="_Toc38443657"/>
      <w:bookmarkStart w:id="3604" w:name="_Toc38443987"/>
      <w:bookmarkStart w:id="3605" w:name="_Toc38438455"/>
      <w:bookmarkStart w:id="3606" w:name="_Toc38438792"/>
      <w:bookmarkStart w:id="3607" w:name="_Toc38439129"/>
      <w:bookmarkStart w:id="3608" w:name="_Toc38439466"/>
      <w:bookmarkStart w:id="3609" w:name="_Toc38439803"/>
      <w:bookmarkStart w:id="3610" w:name="_Toc38440140"/>
      <w:bookmarkStart w:id="3611" w:name="_Toc38440477"/>
      <w:bookmarkStart w:id="3612" w:name="_Toc38441009"/>
      <w:bookmarkStart w:id="3613" w:name="_Toc38441341"/>
      <w:bookmarkStart w:id="3614" w:name="_Toc38441673"/>
      <w:bookmarkStart w:id="3615" w:name="_Toc38442001"/>
      <w:bookmarkStart w:id="3616" w:name="_Toc38442333"/>
      <w:bookmarkStart w:id="3617" w:name="_Toc38442665"/>
      <w:bookmarkStart w:id="3618" w:name="_Toc38442996"/>
      <w:bookmarkStart w:id="3619" w:name="_Toc38443327"/>
      <w:bookmarkStart w:id="3620" w:name="_Toc38443658"/>
      <w:bookmarkStart w:id="3621" w:name="_Toc38443988"/>
      <w:bookmarkStart w:id="3622" w:name="_Toc38438456"/>
      <w:bookmarkStart w:id="3623" w:name="_Toc38438793"/>
      <w:bookmarkStart w:id="3624" w:name="_Toc38439130"/>
      <w:bookmarkStart w:id="3625" w:name="_Toc38439467"/>
      <w:bookmarkStart w:id="3626" w:name="_Toc38439804"/>
      <w:bookmarkStart w:id="3627" w:name="_Toc38440141"/>
      <w:bookmarkStart w:id="3628" w:name="_Toc38440478"/>
      <w:bookmarkStart w:id="3629" w:name="_Toc38441010"/>
      <w:bookmarkStart w:id="3630" w:name="_Toc38441342"/>
      <w:bookmarkStart w:id="3631" w:name="_Toc38441674"/>
      <w:bookmarkStart w:id="3632" w:name="_Toc38442002"/>
      <w:bookmarkStart w:id="3633" w:name="_Toc38442334"/>
      <w:bookmarkStart w:id="3634" w:name="_Toc38442666"/>
      <w:bookmarkStart w:id="3635" w:name="_Toc38442997"/>
      <w:bookmarkStart w:id="3636" w:name="_Toc38443328"/>
      <w:bookmarkStart w:id="3637" w:name="_Toc38443659"/>
      <w:bookmarkStart w:id="3638" w:name="_Toc38443989"/>
      <w:bookmarkStart w:id="3639" w:name="_Toc38438457"/>
      <w:bookmarkStart w:id="3640" w:name="_Toc38438794"/>
      <w:bookmarkStart w:id="3641" w:name="_Toc38439131"/>
      <w:bookmarkStart w:id="3642" w:name="_Toc38439468"/>
      <w:bookmarkStart w:id="3643" w:name="_Toc38439805"/>
      <w:bookmarkStart w:id="3644" w:name="_Toc38440142"/>
      <w:bookmarkStart w:id="3645" w:name="_Toc38440479"/>
      <w:bookmarkStart w:id="3646" w:name="_Toc38441011"/>
      <w:bookmarkStart w:id="3647" w:name="_Toc38441343"/>
      <w:bookmarkStart w:id="3648" w:name="_Toc38441675"/>
      <w:bookmarkStart w:id="3649" w:name="_Toc38442003"/>
      <w:bookmarkStart w:id="3650" w:name="_Toc38442335"/>
      <w:bookmarkStart w:id="3651" w:name="_Toc38442667"/>
      <w:bookmarkStart w:id="3652" w:name="_Toc38442998"/>
      <w:bookmarkStart w:id="3653" w:name="_Toc38443329"/>
      <w:bookmarkStart w:id="3654" w:name="_Toc38443660"/>
      <w:bookmarkStart w:id="3655" w:name="_Toc38443990"/>
      <w:bookmarkStart w:id="3656" w:name="_Toc38438458"/>
      <w:bookmarkStart w:id="3657" w:name="_Toc38438795"/>
      <w:bookmarkStart w:id="3658" w:name="_Toc38439132"/>
      <w:bookmarkStart w:id="3659" w:name="_Toc38439469"/>
      <w:bookmarkStart w:id="3660" w:name="_Toc38439806"/>
      <w:bookmarkStart w:id="3661" w:name="_Toc38440143"/>
      <w:bookmarkStart w:id="3662" w:name="_Toc38440480"/>
      <w:bookmarkStart w:id="3663" w:name="_Toc38441012"/>
      <w:bookmarkStart w:id="3664" w:name="_Toc38441344"/>
      <w:bookmarkStart w:id="3665" w:name="_Toc38441676"/>
      <w:bookmarkStart w:id="3666" w:name="_Toc38442004"/>
      <w:bookmarkStart w:id="3667" w:name="_Toc38442336"/>
      <w:bookmarkStart w:id="3668" w:name="_Toc38442668"/>
      <w:bookmarkStart w:id="3669" w:name="_Toc38442999"/>
      <w:bookmarkStart w:id="3670" w:name="_Toc38443330"/>
      <w:bookmarkStart w:id="3671" w:name="_Toc38443661"/>
      <w:bookmarkStart w:id="3672" w:name="_Toc38443991"/>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sectPr>
      <w:footerReference w:type="default" r:id="rId21"/>
      <w:pgSz w:w="11906" w:h="16838"/>
      <w:pgMar w:top="1440" w:right="1803" w:bottom="1440" w:left="1803" w:header="851" w:footer="992" w:gutter="0"/>
      <w:pgNumType w:start="1"/>
      <w:cols w:space="720"/>
      <w:docGrid w:type="lines" w:linePitch="3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0B">
    <w:pPr>
      <w:pStyle w:val="Footer"/>
      <w:snapToGrid/>
      <w:ind w:firstLine="360"/>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A090B">
    <w:pPr>
      <w:pStyle w:val="Footer"/>
      <w:snapToGrid/>
      <w:ind w:right="360" w:firstLine="360"/>
    </w:pPr>
  </w:p>
  <w:p w:rsidR="004A090B">
    <w:pPr>
      <w:ind w:firstLine="4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0B">
    <w:pPr>
      <w:ind w:firstLine="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0B">
    <w:pPr>
      <w:ind w:firstLine="48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0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0B">
    <w:pPr>
      <w:pStyle w:val="Footer"/>
      <w:snapToGrid/>
      <w:ind w:firstLine="36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0B">
    <w:pPr>
      <w:pStyle w:val="Footer"/>
      <w:snapToGrid/>
      <w:ind w:firstLine="360"/>
      <w:jc w:val="center"/>
    </w:pPr>
    <w:r>
      <w:fldChar w:fldCharType="begin"/>
    </w:r>
    <w:r>
      <w:instrText xml:space="preserve"> PAGE   \* MERGEFORMAT </w:instrText>
    </w:r>
    <w:r>
      <w:fldChar w:fldCharType="separate"/>
    </w:r>
    <w:r w:rsidRPr="000C1F9B">
      <w:rPr>
        <w:noProof/>
        <w:lang w:val="zh-CN"/>
      </w:rPr>
      <w:t>100</w:t>
    </w:r>
    <w:r>
      <w:rPr>
        <w:lang w:val="zh-CN"/>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0B">
    <w:pPr>
      <w:ind w:firstLine="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0B">
    <w:pPr>
      <w:ind w:firstLine="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0B">
    <w:pPr>
      <w:ind w:firstLine="48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0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0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C52B12"/>
    <w:multiLevelType w:val="multilevel"/>
    <w:tmpl w:val="09C52B12"/>
    <w:lvl w:ilvl="0">
      <w:start w:val="1"/>
      <w:numFmt w:val="chineseCounting"/>
      <w:lvlText w:val="（%1）"/>
      <w:lvlJc w:val="left"/>
      <w:pPr>
        <w:tabs>
          <w:tab w:val="left" w:pos="720"/>
        </w:tabs>
        <w:ind w:left="720" w:hanging="720"/>
      </w:pPr>
      <w:rPr>
        <w:rFonts w:hint="eastAsia"/>
      </w:rPr>
    </w:lvl>
    <w:lvl w:ilvl="1">
      <w:start w:val="1"/>
      <w:numFmt w:val="decimal"/>
      <w:pStyle w:val="BodyText"/>
      <w:lvlText w:val="%2、"/>
      <w:lvlJc w:val="left"/>
      <w:pPr>
        <w:tabs>
          <w:tab w:val="left" w:pos="780"/>
        </w:tabs>
        <w:ind w:left="780" w:hanging="36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34F7AB7C"/>
    <w:multiLevelType w:val="multilevel"/>
    <w:tmpl w:val="34F7AB7C"/>
    <w:lvl w:ilvl="0">
      <w:start w:val="1"/>
      <w:numFmt w:val="chineseCounting"/>
      <w:lvlText w:val="（%1）"/>
      <w:lvlJc w:val="left"/>
      <w:pPr>
        <w:tabs>
          <w:tab w:val="left" w:pos="990"/>
        </w:tabs>
        <w:ind w:left="990" w:hanging="840"/>
      </w:pPr>
      <w:rPr>
        <w:rFonts w:hint="eastAsia"/>
      </w:rPr>
    </w:lvl>
    <w:lvl w:ilvl="1">
      <w:start w:val="1"/>
      <w:numFmt w:val="decimal"/>
      <w:lvlText w:val="（%2）"/>
      <w:lvlJc w:val="left"/>
      <w:pPr>
        <w:tabs>
          <w:tab w:val="left" w:pos="1290"/>
        </w:tabs>
        <w:ind w:left="1290" w:hanging="720"/>
      </w:pPr>
      <w:rPr>
        <w:rFonts w:hint="eastAsia"/>
      </w:rPr>
    </w:lvl>
    <w:lvl w:ilvl="2">
      <w:start w:val="4"/>
      <w:numFmt w:val="chineseCounting"/>
      <w:pStyle w:val="Heading3"/>
      <w:lvlText w:val="%3、"/>
      <w:lvlJc w:val="left"/>
      <w:pPr>
        <w:tabs>
          <w:tab w:val="left" w:pos="1710"/>
        </w:tabs>
        <w:ind w:left="1710" w:hanging="720"/>
      </w:pPr>
      <w:rPr>
        <w:rFonts w:eastAsia="宋体" w:hint="eastAsia"/>
        <w:b/>
        <w:color w:val="auto"/>
      </w:rPr>
    </w:lvl>
    <w:lvl w:ilvl="3">
      <w:start w:val="1"/>
      <w:numFmt w:val="decimal"/>
      <w:lvlText w:val="%4."/>
      <w:lvlJc w:val="left"/>
      <w:pPr>
        <w:tabs>
          <w:tab w:val="left" w:pos="1830"/>
        </w:tabs>
        <w:ind w:left="1830" w:hanging="420"/>
      </w:pPr>
    </w:lvl>
    <w:lvl w:ilvl="4">
      <w:start w:val="1"/>
      <w:numFmt w:val="lowerLetter"/>
      <w:lvlText w:val="%5)"/>
      <w:lvlJc w:val="left"/>
      <w:pPr>
        <w:tabs>
          <w:tab w:val="left" w:pos="2250"/>
        </w:tabs>
        <w:ind w:left="2250" w:hanging="420"/>
      </w:pPr>
    </w:lvl>
    <w:lvl w:ilvl="5">
      <w:start w:val="1"/>
      <w:numFmt w:val="lowerRoman"/>
      <w:lvlText w:val="%6."/>
      <w:lvlJc w:val="right"/>
      <w:pPr>
        <w:tabs>
          <w:tab w:val="left" w:pos="2670"/>
        </w:tabs>
        <w:ind w:left="2670" w:hanging="420"/>
      </w:pPr>
    </w:lvl>
    <w:lvl w:ilvl="6">
      <w:start w:val="1"/>
      <w:numFmt w:val="decimal"/>
      <w:lvlText w:val="%7."/>
      <w:lvlJc w:val="left"/>
      <w:pPr>
        <w:tabs>
          <w:tab w:val="left" w:pos="3090"/>
        </w:tabs>
        <w:ind w:left="3090" w:hanging="420"/>
      </w:pPr>
    </w:lvl>
    <w:lvl w:ilvl="7">
      <w:start w:val="1"/>
      <w:numFmt w:val="lowerLetter"/>
      <w:lvlText w:val="%8)"/>
      <w:lvlJc w:val="left"/>
      <w:pPr>
        <w:tabs>
          <w:tab w:val="left" w:pos="3510"/>
        </w:tabs>
        <w:ind w:left="3510" w:hanging="420"/>
      </w:pPr>
    </w:lvl>
    <w:lvl w:ilvl="8">
      <w:start w:val="1"/>
      <w:numFmt w:val="lowerRoman"/>
      <w:lvlText w:val="%9."/>
      <w:lvlJc w:val="right"/>
      <w:pPr>
        <w:tabs>
          <w:tab w:val="left" w:pos="3930"/>
        </w:tabs>
        <w:ind w:left="3930" w:hanging="420"/>
      </w:pPr>
    </w:lvl>
  </w:abstractNum>
  <w:abstractNum w:abstractNumId="2">
    <w:nsid w:val="4C534719"/>
    <w:multiLevelType w:val="multilevel"/>
    <w:tmpl w:val="4C534719"/>
    <w:lvl w:ilvl="0">
      <w:start w:val="1"/>
      <w:numFmt w:val="chineseCounting"/>
      <w:pStyle w:val="2110"/>
      <w:lvlText w:val="%1、"/>
      <w:lvlJc w:val="left"/>
      <w:pPr>
        <w:tabs>
          <w:tab w:val="left" w:pos="3243"/>
        </w:tabs>
        <w:ind w:left="3243" w:hanging="7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nsid w:val="6D0B2D96"/>
    <w:multiLevelType w:val="multilevel"/>
    <w:tmpl w:val="6D0B2D96"/>
    <w:lvl w:ilvl="0">
      <w:start w:val="1"/>
      <w:numFmt w:val="chineseCountingThousand"/>
      <w:suff w:val="space"/>
      <w:lvlText w:val="%1、"/>
      <w:lvlJc w:val="left"/>
      <w:pPr>
        <w:ind w:left="0" w:firstLine="0"/>
      </w:pPr>
      <w:rPr>
        <w:rFonts w:hint="eastAsia"/>
      </w:rPr>
    </w:lvl>
    <w:lvl w:ilvl="1">
      <w:start w:val="1"/>
      <w:numFmt w:val="chineseCountingThousand"/>
      <w:pStyle w:val="2111111"/>
      <w:suff w:val="nothing"/>
      <w:lvlText w:val="%2、"/>
      <w:lvlJc w:val="left"/>
      <w:pPr>
        <w:ind w:left="0" w:firstLine="0"/>
      </w:pPr>
      <w:rPr>
        <w:rFonts w:hint="eastAsia"/>
      </w:rPr>
    </w:lvl>
    <w:lvl w:ilvl="2">
      <w:start w:val="1"/>
      <w:numFmt w:val="decimal"/>
      <w:suff w:val="space"/>
      <w:lvlText w:val="%3."/>
      <w:lvlJc w:val="left"/>
      <w:pPr>
        <w:ind w:left="0" w:firstLine="0"/>
      </w:pPr>
      <w:rPr>
        <w:rFonts w:hint="eastAsia"/>
      </w:rPr>
    </w:lvl>
    <w:lvl w:ilvl="3">
      <w:start w:val="1"/>
      <w:numFmt w:val="bullet"/>
      <w:pStyle w:val="Heading4"/>
      <w:suff w:val="nothing"/>
      <w:lvlText w:val="·"/>
      <w:lvlJc w:val="left"/>
      <w:pPr>
        <w:ind w:left="851" w:firstLine="0"/>
      </w:pPr>
      <w:rPr>
        <w:rFonts w:hint="eastAsia"/>
      </w:rPr>
    </w:lvl>
    <w:lvl w:ilvl="4">
      <w:start w:val="1"/>
      <w:numFmt w:val="bullet"/>
      <w:pStyle w:val="Heading5"/>
      <w:suff w:val="nothing"/>
      <w:lvlText w:val="o"/>
      <w:lvlJc w:val="left"/>
      <w:pPr>
        <w:ind w:left="851" w:firstLine="0"/>
      </w:pPr>
      <w:rPr>
        <w:rFonts w:hint="eastAsia"/>
      </w:rPr>
    </w:lvl>
    <w:lvl w:ilvl="5">
      <w:start w:val="1"/>
      <w:numFmt w:val="bullet"/>
      <w:pStyle w:val="Heading6"/>
      <w:suff w:val="nothing"/>
      <w:lvlText w:val="§"/>
      <w:lvlJc w:val="left"/>
      <w:pPr>
        <w:ind w:left="851" w:firstLine="0"/>
      </w:pPr>
      <w:rPr>
        <w:rFonts w:hint="eastAsia"/>
      </w:rPr>
    </w:lvl>
    <w:lvl w:ilvl="6">
      <w:start w:val="1"/>
      <w:numFmt w:val="bullet"/>
      <w:pStyle w:val="Heading7"/>
      <w:suff w:val="nothing"/>
      <w:lvlText w:val="·"/>
      <w:lvlJc w:val="left"/>
      <w:pPr>
        <w:ind w:left="851" w:firstLine="0"/>
      </w:pPr>
      <w:rPr>
        <w:rFonts w:hint="eastAsia"/>
      </w:rPr>
    </w:lvl>
    <w:lvl w:ilvl="7">
      <w:start w:val="1"/>
      <w:numFmt w:val="bullet"/>
      <w:pStyle w:val="Heading8"/>
      <w:suff w:val="nothing"/>
      <w:lvlText w:val="o"/>
      <w:lvlJc w:val="left"/>
      <w:pPr>
        <w:ind w:left="851" w:firstLine="0"/>
      </w:pPr>
      <w:rPr>
        <w:rFonts w:hint="eastAsia"/>
      </w:rPr>
    </w:lvl>
    <w:lvl w:ilvl="8">
      <w:start w:val="1"/>
      <w:numFmt w:val="bullet"/>
      <w:pStyle w:val="Heading9"/>
      <w:suff w:val="nothing"/>
      <w:lvlText w:val="§"/>
      <w:lvlJc w:val="left"/>
      <w:pPr>
        <w:ind w:left="851" w:firstLine="0"/>
      </w:pPr>
      <w:rPr>
        <w:rFonts w:hint="eastAsia"/>
      </w:rPr>
    </w:lvl>
  </w:abstractNum>
  <w:num w:numId="1">
    <w:abstractNumId w:val="1"/>
  </w:num>
  <w:num w:numId="2">
    <w:abstractNumId w:val="3"/>
  </w:num>
  <w:num w:numId="3">
    <w:abstractNumId w:val="0"/>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王子豪">
    <w15:presenceInfo w15:providerId="None" w15:userId="王子豪"/>
  </w15:person>
  <w15:person w15:author="梅源">
    <w15:presenceInfo w15:providerId="None" w15:userId="梅源"/>
  </w15:person>
  <w15:person w15:author="陈慈">
    <w15:presenceInfo w15:providerId="None" w15:userId="陈慈"/>
  </w15:person>
  <w15:person w15:author="冯聪">
    <w15:presenceInfo w15:providerId="None" w15:userId="冯聪"/>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00"/>
  <w:bordersDoNotSurroundHeader/>
  <w:bordersDoNotSurroundFooter/>
  <w:proofState w:spelling="clean" w:grammar="clean"/>
  <w:defaultTabStop w:val="4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453"/>
    <w:rsid w:val="000C1F9B"/>
    <w:rsid w:val="00227B96"/>
    <w:rsid w:val="002929D1"/>
    <w:rsid w:val="003608B8"/>
    <w:rsid w:val="00440F6E"/>
    <w:rsid w:val="004A090B"/>
    <w:rsid w:val="004B0C13"/>
    <w:rsid w:val="005379C6"/>
    <w:rsid w:val="005A1FC3"/>
    <w:rsid w:val="00753E4D"/>
    <w:rsid w:val="00780DC9"/>
    <w:rsid w:val="008A73F2"/>
    <w:rsid w:val="008E2A9E"/>
    <w:rsid w:val="00A27F2D"/>
    <w:rsid w:val="00A8778C"/>
    <w:rsid w:val="00B53413"/>
    <w:rsid w:val="00D9135C"/>
    <w:rsid w:val="00DC6F88"/>
    <w:rsid w:val="00DD0CD4"/>
    <w:rsid w:val="00E33C62"/>
    <w:rsid w:val="00EC5C80"/>
    <w:rsid w:val="00F81975"/>
    <w:rsid w:val="00FA5453"/>
    <w:rsid w:val="00FB6A88"/>
    <w:rsid w:val="7FB684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14:docId w14:val="35C1283F"/>
  <w15:docId w15:val="{3EE5A26A-EEED-475D-A236-1B4C540D9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qFormat="1"/>
    <w:lsdException w:name="FollowedHyperlink" w:semiHidden="1" w:uiPriority="0" w:unhideWhenUsed="1" w:qFormat="1"/>
    <w:lsdException w:name="Strong" w:uiPriority="0"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Arial" w:hAnsi="Arial" w:cs="Arial"/>
      <w:sz w:val="21"/>
      <w:szCs w:val="24"/>
      <w:lang w:eastAsia="en-US"/>
    </w:rPr>
  </w:style>
  <w:style w:type="paragraph" w:styleId="Heading1">
    <w:name w:val="heading 1"/>
    <w:basedOn w:val="Normal"/>
    <w:next w:val="Normal"/>
    <w:link w:val="1"/>
    <w:qFormat/>
    <w:pPr>
      <w:keepNext/>
      <w:ind w:firstLine="200"/>
      <w:jc w:val="center"/>
      <w:outlineLvl w:val="0"/>
    </w:pPr>
    <w:rPr>
      <w:rFonts w:ascii="黑体" w:eastAsia="黑体"/>
      <w:sz w:val="32"/>
      <w:szCs w:val="32"/>
    </w:rPr>
  </w:style>
  <w:style w:type="paragraph" w:styleId="Heading2">
    <w:name w:val="heading 2"/>
    <w:basedOn w:val="Normal"/>
    <w:next w:val="Normal"/>
    <w:link w:val="2"/>
    <w:qFormat/>
    <w:pPr>
      <w:keepNext/>
      <w:keepLines/>
      <w:ind w:firstLine="200"/>
      <w:outlineLvl w:val="1"/>
    </w:pPr>
    <w:rPr>
      <w:b/>
      <w:sz w:val="28"/>
      <w:szCs w:val="28"/>
    </w:rPr>
  </w:style>
  <w:style w:type="paragraph" w:styleId="Heading3">
    <w:name w:val="heading 3"/>
    <w:basedOn w:val="Normal"/>
    <w:next w:val="Normal"/>
    <w:link w:val="3"/>
    <w:qFormat/>
    <w:pPr>
      <w:numPr>
        <w:ilvl w:val="2"/>
        <w:numId w:val="1"/>
      </w:numPr>
      <w:spacing w:before="260" w:after="260" w:line="416" w:lineRule="auto"/>
      <w:outlineLvl w:val="2"/>
    </w:pPr>
    <w:rPr>
      <w:rFonts w:ascii="仿宋_GB2312" w:eastAsia="仿宋_GB2312"/>
      <w:sz w:val="24"/>
      <w:szCs w:val="20"/>
    </w:rPr>
  </w:style>
  <w:style w:type="paragraph" w:styleId="Heading4">
    <w:name w:val="heading 4"/>
    <w:basedOn w:val="Normal"/>
    <w:next w:val="Normal"/>
    <w:link w:val="4"/>
    <w:qFormat/>
    <w:pPr>
      <w:keepNext/>
      <w:keepLines/>
      <w:numPr>
        <w:ilvl w:val="3"/>
        <w:numId w:val="2"/>
      </w:numPr>
      <w:spacing w:before="280" w:after="290" w:line="376" w:lineRule="auto"/>
      <w:outlineLvl w:val="3"/>
    </w:pPr>
    <w:rPr>
      <w:rFonts w:eastAsia="黑体"/>
      <w:b/>
      <w:bCs/>
      <w:sz w:val="28"/>
      <w:szCs w:val="28"/>
    </w:rPr>
  </w:style>
  <w:style w:type="paragraph" w:styleId="Heading5">
    <w:name w:val="heading 5"/>
    <w:basedOn w:val="Normal"/>
    <w:next w:val="Normal"/>
    <w:link w:val="5"/>
    <w:qFormat/>
    <w:pPr>
      <w:keepNext/>
      <w:keepLines/>
      <w:numPr>
        <w:ilvl w:val="4"/>
        <w:numId w:val="2"/>
      </w:numPr>
      <w:spacing w:before="280" w:after="290" w:line="376" w:lineRule="auto"/>
      <w:ind w:firstLine="200"/>
      <w:outlineLvl w:val="4"/>
    </w:pPr>
    <w:rPr>
      <w:b/>
      <w:bCs/>
      <w:sz w:val="28"/>
      <w:szCs w:val="28"/>
    </w:rPr>
  </w:style>
  <w:style w:type="paragraph" w:styleId="Heading6">
    <w:name w:val="heading 6"/>
    <w:basedOn w:val="Normal"/>
    <w:next w:val="Normal"/>
    <w:link w:val="6"/>
    <w:qFormat/>
    <w:pPr>
      <w:keepNext/>
      <w:keepLines/>
      <w:numPr>
        <w:ilvl w:val="5"/>
        <w:numId w:val="2"/>
      </w:numPr>
      <w:spacing w:before="240" w:after="64" w:line="320" w:lineRule="auto"/>
      <w:ind w:firstLine="200"/>
      <w:outlineLvl w:val="5"/>
    </w:pPr>
    <w:rPr>
      <w:rFonts w:eastAsia="黑体"/>
      <w:b/>
      <w:bCs/>
      <w:sz w:val="24"/>
    </w:rPr>
  </w:style>
  <w:style w:type="paragraph" w:styleId="Heading7">
    <w:name w:val="heading 7"/>
    <w:basedOn w:val="Normal"/>
    <w:next w:val="Normal"/>
    <w:link w:val="7"/>
    <w:qFormat/>
    <w:pPr>
      <w:keepNext/>
      <w:keepLines/>
      <w:numPr>
        <w:ilvl w:val="6"/>
        <w:numId w:val="2"/>
      </w:numPr>
      <w:spacing w:before="240" w:after="64" w:line="320" w:lineRule="auto"/>
      <w:ind w:firstLine="200"/>
      <w:outlineLvl w:val="6"/>
    </w:pPr>
    <w:rPr>
      <w:b/>
      <w:bCs/>
      <w:sz w:val="24"/>
    </w:rPr>
  </w:style>
  <w:style w:type="paragraph" w:styleId="Heading8">
    <w:name w:val="heading 8"/>
    <w:basedOn w:val="Normal"/>
    <w:next w:val="Normal"/>
    <w:link w:val="8"/>
    <w:qFormat/>
    <w:pPr>
      <w:keepNext/>
      <w:keepLines/>
      <w:numPr>
        <w:ilvl w:val="7"/>
        <w:numId w:val="2"/>
      </w:numPr>
      <w:spacing w:before="240" w:after="64" w:line="320" w:lineRule="auto"/>
      <w:ind w:firstLine="200"/>
      <w:outlineLvl w:val="7"/>
    </w:pPr>
    <w:rPr>
      <w:rFonts w:eastAsia="黑体"/>
      <w:sz w:val="24"/>
    </w:rPr>
  </w:style>
  <w:style w:type="paragraph" w:styleId="Heading9">
    <w:name w:val="heading 9"/>
    <w:basedOn w:val="Normal"/>
    <w:next w:val="Normal"/>
    <w:link w:val="9"/>
    <w:qFormat/>
    <w:pPr>
      <w:keepNext/>
      <w:keepLines/>
      <w:numPr>
        <w:ilvl w:val="8"/>
        <w:numId w:val="2"/>
      </w:numPr>
      <w:spacing w:before="240" w:after="64" w:line="320" w:lineRule="auto"/>
      <w:ind w:firstLine="200"/>
      <w:outlineLvl w:val="8"/>
    </w:pPr>
    <w:rPr>
      <w:rFonts w:eastAsia="黑体"/>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7">
    <w:name w:val="toc 7"/>
    <w:basedOn w:val="Normal"/>
    <w:next w:val="Normal"/>
    <w:uiPriority w:val="39"/>
    <w:unhideWhenUsed/>
    <w:qFormat/>
    <w:pPr>
      <w:spacing w:after="57"/>
      <w:ind w:left="1701"/>
    </w:pPr>
  </w:style>
  <w:style w:type="paragraph" w:styleId="NormalIndent">
    <w:name w:val="Normal Indent"/>
    <w:basedOn w:val="Normal"/>
    <w:qFormat/>
    <w:pPr>
      <w:ind w:firstLine="420"/>
    </w:pPr>
    <w:rPr>
      <w:sz w:val="20"/>
      <w:szCs w:val="20"/>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paragraph" w:styleId="DocumentMap">
    <w:name w:val="Document Map"/>
    <w:basedOn w:val="Normal"/>
    <w:link w:val="a7"/>
    <w:qFormat/>
    <w:rPr>
      <w:rFonts w:ascii="宋体"/>
      <w:sz w:val="18"/>
      <w:szCs w:val="18"/>
    </w:rPr>
  </w:style>
  <w:style w:type="paragraph" w:styleId="CommentText">
    <w:name w:val="annotation text"/>
    <w:basedOn w:val="Normal"/>
    <w:link w:val="a6"/>
    <w:qFormat/>
    <w:pPr>
      <w:jc w:val="left"/>
    </w:pPr>
  </w:style>
  <w:style w:type="paragraph" w:styleId="BodyText">
    <w:name w:val="Body Text"/>
    <w:basedOn w:val="Normal"/>
    <w:qFormat/>
    <w:pPr>
      <w:numPr>
        <w:ilvl w:val="1"/>
        <w:numId w:val="3"/>
      </w:numPr>
      <w:tabs>
        <w:tab w:val="left" w:pos="0"/>
      </w:tabs>
      <w:ind w:left="0" w:firstLine="540"/>
      <w:jc w:val="left"/>
    </w:pPr>
    <w:rPr>
      <w:rFonts w:ascii="宋体"/>
      <w:sz w:val="24"/>
    </w:rPr>
  </w:style>
  <w:style w:type="paragraph" w:styleId="BodyTextIndent">
    <w:name w:val="Body Text Indent"/>
    <w:basedOn w:val="Normal"/>
    <w:link w:val="a12"/>
    <w:semiHidden/>
    <w:unhideWhenUsed/>
    <w:qFormat/>
    <w:pPr>
      <w:spacing w:after="120"/>
      <w:ind w:left="420"/>
    </w:pPr>
  </w:style>
  <w:style w:type="paragraph" w:styleId="TOC5">
    <w:name w:val="toc 5"/>
    <w:basedOn w:val="Normal"/>
    <w:next w:val="Normal"/>
    <w:uiPriority w:val="39"/>
    <w:unhideWhenUsed/>
    <w:qFormat/>
    <w:pPr>
      <w:spacing w:after="57"/>
      <w:ind w:left="1134"/>
    </w:pPr>
  </w:style>
  <w:style w:type="paragraph" w:styleId="TOC3">
    <w:name w:val="toc 3"/>
    <w:basedOn w:val="Normal"/>
    <w:next w:val="Normal"/>
    <w:uiPriority w:val="39"/>
    <w:qFormat/>
    <w:pPr>
      <w:ind w:left="840"/>
    </w:pPr>
  </w:style>
  <w:style w:type="paragraph" w:styleId="PlainText">
    <w:name w:val="Plain Text"/>
    <w:basedOn w:val="Normal"/>
    <w:link w:val="a10"/>
    <w:qFormat/>
    <w:pPr>
      <w:ind w:firstLine="200"/>
    </w:pPr>
    <w:rPr>
      <w:rFonts w:ascii="宋体" w:hAnsi="Courier New"/>
      <w:sz w:val="24"/>
      <w:szCs w:val="21"/>
    </w:rPr>
  </w:style>
  <w:style w:type="paragraph" w:styleId="TOC8">
    <w:name w:val="toc 8"/>
    <w:basedOn w:val="Normal"/>
    <w:next w:val="Normal"/>
    <w:uiPriority w:val="39"/>
    <w:unhideWhenUsed/>
    <w:qFormat/>
    <w:pPr>
      <w:spacing w:after="57"/>
      <w:ind w:left="1984"/>
    </w:pPr>
  </w:style>
  <w:style w:type="paragraph" w:styleId="BodyTextIndent2">
    <w:name w:val="Body Text Indent 2"/>
    <w:basedOn w:val="Normal"/>
    <w:link w:val="22"/>
    <w:semiHidden/>
    <w:unhideWhenUsed/>
    <w:qFormat/>
    <w:pPr>
      <w:spacing w:after="120" w:line="480" w:lineRule="auto"/>
      <w:ind w:left="420"/>
    </w:pPr>
  </w:style>
  <w:style w:type="paragraph" w:styleId="EndnoteText">
    <w:name w:val="endnote text"/>
    <w:basedOn w:val="Normal"/>
    <w:link w:val="a"/>
    <w:uiPriority w:val="99"/>
    <w:semiHidden/>
    <w:unhideWhenUsed/>
    <w:qFormat/>
    <w:rPr>
      <w:sz w:val="20"/>
    </w:rPr>
  </w:style>
  <w:style w:type="paragraph" w:styleId="BalloonText">
    <w:name w:val="Balloon Text"/>
    <w:basedOn w:val="Normal"/>
    <w:semiHidden/>
    <w:qFormat/>
    <w:pPr>
      <w:ind w:firstLine="200"/>
    </w:pPr>
    <w:rPr>
      <w:sz w:val="18"/>
      <w:szCs w:val="18"/>
    </w:rPr>
  </w:style>
  <w:style w:type="paragraph" w:styleId="Footer">
    <w:name w:val="footer"/>
    <w:basedOn w:val="Normal"/>
    <w:link w:val="a9"/>
    <w:uiPriority w:val="99"/>
    <w:qFormat/>
    <w:pPr>
      <w:tabs>
        <w:tab w:val="center" w:pos="4153"/>
        <w:tab w:val="right" w:pos="8306"/>
      </w:tabs>
      <w:snapToGrid w:val="0"/>
      <w:ind w:firstLine="200"/>
      <w:jc w:val="left"/>
    </w:pPr>
    <w:rPr>
      <w:rFonts w:eastAsia="仿宋_GB2312"/>
      <w:sz w:val="18"/>
      <w:szCs w:val="20"/>
    </w:rPr>
  </w:style>
  <w:style w:type="paragraph" w:styleId="Header">
    <w:name w:val="header"/>
    <w:basedOn w:val="Normal"/>
    <w:link w:val="a8"/>
    <w:uiPriority w:val="99"/>
    <w:qFormat/>
    <w:pPr>
      <w:pBdr>
        <w:bottom w:val="single" w:sz="6" w:space="1" w:color="auto"/>
      </w:pBdr>
      <w:tabs>
        <w:tab w:val="center" w:pos="4153"/>
        <w:tab w:val="right" w:pos="8306"/>
      </w:tabs>
      <w:snapToGrid w:val="0"/>
      <w:ind w:firstLine="200"/>
      <w:jc w:val="center"/>
    </w:pPr>
    <w:rPr>
      <w:rFonts w:eastAsia="仿宋_GB2312"/>
      <w:sz w:val="18"/>
      <w:szCs w:val="20"/>
    </w:rPr>
  </w:style>
  <w:style w:type="paragraph" w:styleId="TOC1">
    <w:name w:val="toc 1"/>
    <w:basedOn w:val="Normal"/>
    <w:next w:val="Normal"/>
    <w:uiPriority w:val="39"/>
    <w:qFormat/>
    <w:pPr>
      <w:tabs>
        <w:tab w:val="right" w:leader="dot" w:pos="8296"/>
      </w:tabs>
      <w:spacing w:line="360" w:lineRule="exact"/>
      <w:jc w:val="left"/>
    </w:pPr>
    <w:rPr>
      <w:rFonts w:ascii="宋体" w:eastAsia="黑体" w:hAnsi="宋体"/>
      <w:caps/>
      <w:color w:val="000000"/>
      <w:sz w:val="24"/>
      <w:szCs w:val="28"/>
    </w:rPr>
  </w:style>
  <w:style w:type="paragraph" w:styleId="TOC4">
    <w:name w:val="toc 4"/>
    <w:basedOn w:val="Normal"/>
    <w:next w:val="Normal"/>
    <w:uiPriority w:val="39"/>
    <w:unhideWhenUsed/>
    <w:qFormat/>
    <w:pPr>
      <w:spacing w:after="57"/>
      <w:ind w:left="850"/>
    </w:pPr>
  </w:style>
  <w:style w:type="paragraph" w:styleId="Subtitle">
    <w:name w:val="Subtitle"/>
    <w:basedOn w:val="Normal"/>
    <w:next w:val="Normal"/>
    <w:link w:val="a1"/>
    <w:uiPriority w:val="11"/>
    <w:qFormat/>
    <w:pPr>
      <w:spacing w:before="200" w:after="200"/>
    </w:pPr>
    <w:rPr>
      <w:sz w:val="24"/>
    </w:rPr>
  </w:style>
  <w:style w:type="paragraph" w:styleId="FootnoteText">
    <w:name w:val="footnote text"/>
    <w:basedOn w:val="Normal"/>
    <w:link w:val="a4"/>
    <w:uiPriority w:val="99"/>
    <w:semiHidden/>
    <w:unhideWhenUsed/>
    <w:qFormat/>
    <w:pPr>
      <w:spacing w:after="40"/>
    </w:pPr>
    <w:rPr>
      <w:sz w:val="18"/>
    </w:rPr>
  </w:style>
  <w:style w:type="paragraph" w:styleId="TOC6">
    <w:name w:val="toc 6"/>
    <w:basedOn w:val="Normal"/>
    <w:next w:val="Normal"/>
    <w:uiPriority w:val="39"/>
    <w:unhideWhenUsed/>
    <w:qFormat/>
    <w:pPr>
      <w:spacing w:after="57"/>
      <w:ind w:left="1417"/>
    </w:pPr>
  </w:style>
  <w:style w:type="paragraph" w:styleId="BodyTextIndent3">
    <w:name w:val="Body Text Indent 3"/>
    <w:basedOn w:val="Normal"/>
    <w:link w:val="30"/>
    <w:semiHidden/>
    <w:unhideWhenUsed/>
    <w:qFormat/>
    <w:pPr>
      <w:spacing w:after="120"/>
      <w:ind w:left="420"/>
    </w:pPr>
    <w:rPr>
      <w:sz w:val="16"/>
      <w:szCs w:val="16"/>
    </w:rPr>
  </w:style>
  <w:style w:type="paragraph" w:styleId="TableofFigures">
    <w:name w:val="table of figures"/>
    <w:basedOn w:val="Normal"/>
    <w:next w:val="Normal"/>
    <w:uiPriority w:val="99"/>
    <w:unhideWhenUsed/>
    <w:qFormat/>
  </w:style>
  <w:style w:type="paragraph" w:styleId="TOC2">
    <w:name w:val="toc 2"/>
    <w:basedOn w:val="Normal"/>
    <w:next w:val="Normal"/>
    <w:uiPriority w:val="39"/>
    <w:qFormat/>
    <w:pPr>
      <w:ind w:left="320" w:firstLine="200"/>
      <w:jc w:val="left"/>
    </w:pPr>
    <w:rPr>
      <w:rFonts w:eastAsia="仿宋_GB2312"/>
      <w:smallCaps/>
      <w:sz w:val="20"/>
      <w:szCs w:val="20"/>
    </w:rPr>
  </w:style>
  <w:style w:type="paragraph" w:styleId="TOC9">
    <w:name w:val="toc 9"/>
    <w:basedOn w:val="Normal"/>
    <w:next w:val="Normal"/>
    <w:uiPriority w:val="39"/>
    <w:unhideWhenUsed/>
    <w:qFormat/>
    <w:pPr>
      <w:spacing w:after="57"/>
      <w:ind w:left="2268"/>
    </w:pPr>
  </w:style>
  <w:style w:type="paragraph" w:styleId="HTMLPreformatted">
    <w:name w:val="HTML Preformatted"/>
    <w:basedOn w:val="Normal"/>
    <w:link w:val="HTML"/>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paragraph" w:styleId="NormalWeb">
    <w:name w:val="Normal (Web)"/>
    <w:basedOn w:val="Normal"/>
    <w:uiPriority w:val="99"/>
    <w:qFormat/>
    <w:pPr>
      <w:spacing w:beforeAutospacing="1" w:afterAutospacing="1"/>
      <w:jc w:val="left"/>
    </w:pPr>
    <w:rPr>
      <w:rFonts w:ascii="Calibri" w:hAnsi="Calibri"/>
      <w:sz w:val="24"/>
    </w:rPr>
  </w:style>
  <w:style w:type="paragraph" w:styleId="Title">
    <w:name w:val="Title"/>
    <w:basedOn w:val="Normal"/>
    <w:next w:val="Normal"/>
    <w:link w:val="a0"/>
    <w:uiPriority w:val="10"/>
    <w:qFormat/>
    <w:pPr>
      <w:spacing w:before="300" w:after="200"/>
      <w:contextualSpacing/>
    </w:pPr>
    <w:rPr>
      <w:sz w:val="48"/>
      <w:szCs w:val="48"/>
    </w:rPr>
  </w:style>
  <w:style w:type="paragraph" w:styleId="CommentSubject">
    <w:name w:val="annotation subject"/>
    <w:basedOn w:val="CommentText"/>
    <w:next w:val="CommentText"/>
    <w:semiHidden/>
    <w:qFormat/>
    <w:rPr>
      <w:b/>
      <w:bCs/>
    </w:rPr>
  </w:style>
  <w:style w:type="paragraph" w:styleId="BodyTextFirstIndent">
    <w:name w:val="Body Text First Indent"/>
    <w:basedOn w:val="BodyText"/>
    <w:link w:val="a11"/>
    <w:qFormat/>
    <w:pPr>
      <w:numPr>
        <w:ilvl w:val="0"/>
        <w:numId w:val="0"/>
      </w:numPr>
      <w:tabs>
        <w:tab w:val="clear" w:pos="780"/>
      </w:tabs>
      <w:spacing w:after="120"/>
      <w:ind w:firstLine="420"/>
      <w:jc w:val="both"/>
    </w:pPr>
    <w:rPr>
      <w:rFonts w:ascii="Times New Roman"/>
      <w:sz w:val="21"/>
    </w:rPr>
  </w:style>
  <w:style w:type="character" w:styleId="Strong">
    <w:name w:val="Strong"/>
    <w:basedOn w:val="DefaultParagraphFont"/>
    <w:qFormat/>
    <w:rPr>
      <w:b/>
      <w:bCs/>
    </w:rPr>
  </w:style>
  <w:style w:type="character" w:styleId="EndnoteReference">
    <w:name w:val="endnote reference"/>
    <w:basedOn w:val="DefaultParagraphFont"/>
    <w:uiPriority w:val="99"/>
    <w:semiHidden/>
    <w:unhideWhenUsed/>
    <w:qFormat/>
    <w:rPr>
      <w:vertAlign w:val="superscript"/>
    </w:rPr>
  </w:style>
  <w:style w:type="character" w:styleId="PageNumber">
    <w:name w:val="page number"/>
    <w:basedOn w:val="DefaultParagraphFont"/>
    <w:qFormat/>
  </w:style>
  <w:style w:type="character" w:styleId="FollowedHyperlink">
    <w:name w:val="FollowedHyperlink"/>
    <w:basedOn w:val="DefaultParagraphFont"/>
    <w:semiHidden/>
    <w:unhideWhenUsed/>
    <w:qFormat/>
    <w:rPr>
      <w:color w:val="800080" w:themeColor="followedHyperlink"/>
      <w:u w:val="single"/>
    </w:rPr>
  </w:style>
  <w:style w:type="character" w:styleId="Hyperlink">
    <w:name w:val="Hyperlink"/>
    <w:basedOn w:val="DefaultParagraphFont"/>
    <w:uiPriority w:val="99"/>
    <w:qFormat/>
    <w:rPr>
      <w:color w:val="0000FF"/>
      <w:u w:val="single"/>
    </w:rPr>
  </w:style>
  <w:style w:type="character" w:styleId="CommentReference">
    <w:name w:val="annotation reference"/>
    <w:basedOn w:val="DefaultParagraphFont"/>
    <w:qFormat/>
    <w:rPr>
      <w:sz w:val="21"/>
      <w:szCs w:val="21"/>
    </w:rPr>
  </w:style>
  <w:style w:type="character" w:styleId="FootnoteReference">
    <w:name w:val="footnote reference"/>
    <w:basedOn w:val="DefaultParagraphFont"/>
    <w:qFormat/>
    <w:rPr>
      <w:vertAlign w:val="superscript"/>
    </w:rPr>
  </w:style>
  <w:style w:type="table" w:customStyle="1" w:styleId="11">
    <w:name w:val="无格式表格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
    <w:name w:val="无格式表格 21"/>
    <w:basedOn w:val="TableNormal"/>
    <w:uiPriority w:val="59"/>
    <w:tblPr>
      <w:tblBorders>
        <w:top w:val="single" w:sz="4" w:space="0" w:color="000000" w:themeColor="text1"/>
        <w:bottom w:val="single" w:sz="4" w:space="0" w:color="000000" w:themeColor="text1"/>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
    <w:name w:val="无格式表格 31"/>
    <w:basedOn w:val="TableNormal"/>
    <w:uiPriority w:val="99"/>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
    <w:name w:val="无格式表格 41"/>
    <w:basedOn w:val="TableNormal"/>
    <w:uiPriority w:val="99"/>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
    <w:name w:val="无格式表格 51"/>
    <w:basedOn w:val="TableNormal"/>
    <w:uiPriority w:val="99"/>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网格表 1 浅色1"/>
    <w:basedOn w:val="TableNormal"/>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网格表 21"/>
    <w:basedOn w:val="TableNormal"/>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网格表 31"/>
    <w:basedOn w:val="TableNormal"/>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网格表 41"/>
    <w:basedOn w:val="TableNormal"/>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网格表 5 深色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
    <w:name w:val="网格表 6 彩色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Tint="80"/>
      </w:rPr>
      <w:tblPr/>
      <w:tcPr>
        <w:tcBorders>
          <w:bottom w:val="single" w:sz="12" w:space="0" w:color="7F7F7F" w:themeColor="text1" w:themeTint="80"/>
        </w:tcBorders>
      </w:tcPr>
    </w:tblStylePr>
    <w:tblStylePr w:type="lastRow">
      <w:pPr>
        <w:snapToGrid/>
      </w:pPr>
      <w:rPr>
        <w:b/>
        <w:color w:val="7F7F7F" w:themeColor="text1" w:themeTint="80"/>
      </w:rPr>
    </w:tblStylePr>
    <w:tblStylePr w:type="firstCol">
      <w:pPr>
        <w:snapToGrid/>
      </w:pPr>
      <w:rPr>
        <w:b/>
        <w:color w:val="7F7F7F" w:themeColor="text1" w:themeTint="80"/>
      </w:rPr>
    </w:tblStylePr>
    <w:tblStylePr w:type="lastCol">
      <w:pPr>
        <w:snapToGrid/>
      </w:pPr>
      <w:rPr>
        <w:b/>
        <w:color w:val="7F7F7F" w:themeColor="text1"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Tint="80"/>
        <w:sz w:val="22"/>
      </w:rPr>
      <w:tblPr/>
      <w:tcPr>
        <w:shd w:val="clear" w:color="CBCBCB" w:fill="CBCBCB" w:themeFill="text1" w:themeFillTint="34"/>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
    <w:name w:val="网格表 7 彩色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Tint="80"/>
        <w:sz w:val="22"/>
      </w:rPr>
      <w:tblPr/>
      <w:tcPr>
        <w:shd w:val="clear" w:color="F2F2F2" w:fill="F2F2F2" w:themeFill="text1" w:themeFillTint="0D"/>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清单表 1 浅色1"/>
    <w:basedOn w:val="TableNormal"/>
    <w:uiPriority w:val="99"/>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清单表 21"/>
    <w:basedOn w:val="TableNormal"/>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清单表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清单表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清单表 5 深色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清单表 6 彩色1"/>
    <w:basedOn w:val="TableNormal"/>
    <w:uiPriority w:val="99"/>
    <w:qFormat/>
    <w:tblPr>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清单表 7 彩色1"/>
    <w:basedOn w:val="TableNormal"/>
    <w:uiPriority w:val="99"/>
    <w:tblPr>
      <w:tblBorders>
        <w:right w:val="single" w:sz="4" w:space="0" w:color="7F7F7F" w:themeColor="text1" w:themeTint="80"/>
      </w:tblBorders>
    </w:tblPr>
    <w:tblStylePr w:type="firstRow">
      <w:pPr>
        <w:snapToGrid/>
      </w:pPr>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Tint="80"/>
        <w:sz w:val="22"/>
      </w:rPr>
      <w:tblPr/>
      <w:tcPr>
        <w:shd w:val="clear" w:color="BFBFBF" w:fill="BFBFBF" w:themeFill="text1" w:themeFillTint="4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EndnoteTextChar">
    <w:name w:val="Endnote Text Char"/>
    <w:uiPriority w:val="99"/>
    <w:rPr>
      <w:sz w:val="20"/>
    </w:rPr>
  </w:style>
  <w:style w:type="paragraph" w:customStyle="1" w:styleId="TOC10">
    <w:name w:val="TOC 标题1"/>
    <w:uiPriority w:val="39"/>
    <w:unhideWhenUsed/>
    <w:qFormat/>
    <w:rPr>
      <w:rFonts w:ascii="Arial" w:hAnsi="Arial" w:cs="Arial"/>
      <w:sz w:val="22"/>
      <w:szCs w:val="22"/>
      <w:lang w:eastAsia="en-US"/>
    </w:rPr>
  </w:style>
  <w:style w:type="character" w:customStyle="1" w:styleId="CaptionChar">
    <w:name w:val="Caption Char"/>
    <w:uiPriority w:val="99"/>
    <w:qFormat/>
  </w:style>
  <w:style w:type="character" w:customStyle="1" w:styleId="a">
    <w:name w:val="尾注文本 字符"/>
    <w:link w:val="EndnoteText"/>
    <w:uiPriority w:val="99"/>
    <w:qFormat/>
    <w:rPr>
      <w:sz w:val="20"/>
    </w:rPr>
  </w:style>
  <w:style w:type="character" w:customStyle="1" w:styleId="Heading1Char">
    <w:name w:val="Heading 1 Char"/>
    <w:basedOn w:val="DefaultParagraphFont"/>
    <w:uiPriority w:val="9"/>
    <w:qFormat/>
    <w:rPr>
      <w:rFonts w:ascii="Arial" w:hAnsi="Arial" w:cs="Arial"/>
      <w:sz w:val="40"/>
      <w:szCs w:val="40"/>
    </w:rPr>
  </w:style>
  <w:style w:type="character" w:customStyle="1" w:styleId="Heading2Char">
    <w:name w:val="Heading 2 Char"/>
    <w:basedOn w:val="DefaultParagraphFont"/>
    <w:uiPriority w:val="9"/>
    <w:qFormat/>
    <w:rPr>
      <w:rFonts w:ascii="Arial" w:hAnsi="Arial" w:cs="Arial"/>
      <w:sz w:val="34"/>
    </w:rPr>
  </w:style>
  <w:style w:type="character" w:customStyle="1" w:styleId="Heading3Char">
    <w:name w:val="Heading 3 Char"/>
    <w:basedOn w:val="DefaultParagraphFont"/>
    <w:uiPriority w:val="9"/>
    <w:qFormat/>
    <w:rPr>
      <w:rFonts w:ascii="Arial" w:hAnsi="Arial" w:cs="Arial"/>
      <w:sz w:val="30"/>
      <w:szCs w:val="30"/>
    </w:rPr>
  </w:style>
  <w:style w:type="character" w:customStyle="1" w:styleId="Heading4Char">
    <w:name w:val="Heading 4 Char"/>
    <w:basedOn w:val="DefaultParagraphFont"/>
    <w:uiPriority w:val="9"/>
    <w:qFormat/>
    <w:rPr>
      <w:rFonts w:ascii="Arial" w:hAnsi="Arial" w:cs="Arial"/>
      <w:b/>
      <w:bCs/>
      <w:sz w:val="26"/>
      <w:szCs w:val="26"/>
    </w:rPr>
  </w:style>
  <w:style w:type="character" w:customStyle="1" w:styleId="Heading5Char">
    <w:name w:val="Heading 5 Char"/>
    <w:basedOn w:val="DefaultParagraphFont"/>
    <w:uiPriority w:val="9"/>
    <w:qFormat/>
    <w:rPr>
      <w:rFonts w:ascii="Arial" w:hAnsi="Arial" w:cs="Arial"/>
      <w:b/>
      <w:bCs/>
      <w:sz w:val="24"/>
      <w:szCs w:val="24"/>
    </w:rPr>
  </w:style>
  <w:style w:type="character" w:customStyle="1" w:styleId="Heading6Char">
    <w:name w:val="Heading 6 Char"/>
    <w:basedOn w:val="DefaultParagraphFont"/>
    <w:uiPriority w:val="9"/>
    <w:qFormat/>
    <w:rPr>
      <w:rFonts w:ascii="Arial" w:hAnsi="Arial" w:cs="Arial"/>
      <w:b/>
      <w:bCs/>
      <w:sz w:val="22"/>
      <w:szCs w:val="22"/>
    </w:rPr>
  </w:style>
  <w:style w:type="character" w:customStyle="1" w:styleId="Heading7Char">
    <w:name w:val="Heading 7 Char"/>
    <w:basedOn w:val="DefaultParagraphFont"/>
    <w:uiPriority w:val="9"/>
    <w:qFormat/>
    <w:rPr>
      <w:rFonts w:ascii="Arial" w:hAnsi="Arial" w:cs="Arial"/>
      <w:b/>
      <w:bCs/>
      <w:i/>
      <w:iCs/>
      <w:sz w:val="22"/>
      <w:szCs w:val="22"/>
    </w:rPr>
  </w:style>
  <w:style w:type="character" w:customStyle="1" w:styleId="Heading8Char">
    <w:name w:val="Heading 8 Char"/>
    <w:basedOn w:val="DefaultParagraphFont"/>
    <w:uiPriority w:val="9"/>
    <w:qFormat/>
    <w:rPr>
      <w:rFonts w:ascii="Arial" w:hAnsi="Arial" w:cs="Arial"/>
      <w:i/>
      <w:iCs/>
      <w:sz w:val="22"/>
      <w:szCs w:val="22"/>
    </w:rPr>
  </w:style>
  <w:style w:type="character" w:customStyle="1" w:styleId="Heading9Char">
    <w:name w:val="Heading 9 Char"/>
    <w:basedOn w:val="DefaultParagraphFont"/>
    <w:uiPriority w:val="9"/>
    <w:qFormat/>
    <w:rPr>
      <w:rFonts w:ascii="Arial" w:hAnsi="Arial" w:cs="Arial"/>
      <w:i/>
      <w:iCs/>
      <w:sz w:val="21"/>
      <w:szCs w:val="21"/>
    </w:rPr>
  </w:style>
  <w:style w:type="character" w:customStyle="1" w:styleId="TitleChar">
    <w:name w:val="Title Char"/>
    <w:basedOn w:val="DefaultParagraphFont"/>
    <w:uiPriority w:val="10"/>
    <w:qFormat/>
    <w:rPr>
      <w:sz w:val="48"/>
      <w:szCs w:val="48"/>
    </w:rPr>
  </w:style>
  <w:style w:type="character" w:customStyle="1" w:styleId="SubtitleChar">
    <w:name w:val="Subtitle Char"/>
    <w:basedOn w:val="DefaultParagraphFont"/>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FootnoteTextChar">
    <w:name w:val="Footnote Text Char"/>
    <w:uiPriority w:val="99"/>
    <w:qFormat/>
    <w:rPr>
      <w:sz w:val="18"/>
    </w:rPr>
  </w:style>
  <w:style w:type="character" w:customStyle="1" w:styleId="1">
    <w:name w:val="标题 1 字符"/>
    <w:basedOn w:val="DefaultParagraphFont"/>
    <w:link w:val="Heading1"/>
    <w:uiPriority w:val="9"/>
    <w:qFormat/>
    <w:rPr>
      <w:rFonts w:ascii="Arial" w:hAnsi="Arial" w:cs="Arial"/>
      <w:sz w:val="40"/>
      <w:szCs w:val="40"/>
    </w:rPr>
  </w:style>
  <w:style w:type="character" w:customStyle="1" w:styleId="2">
    <w:name w:val="标题 2 字符"/>
    <w:basedOn w:val="DefaultParagraphFont"/>
    <w:link w:val="Heading2"/>
    <w:uiPriority w:val="9"/>
    <w:qFormat/>
    <w:rPr>
      <w:rFonts w:ascii="Arial" w:hAnsi="Arial" w:cs="Arial"/>
      <w:sz w:val="34"/>
    </w:rPr>
  </w:style>
  <w:style w:type="character" w:customStyle="1" w:styleId="3">
    <w:name w:val="标题 3 字符"/>
    <w:basedOn w:val="DefaultParagraphFont"/>
    <w:link w:val="Heading3"/>
    <w:uiPriority w:val="9"/>
    <w:qFormat/>
    <w:rPr>
      <w:rFonts w:ascii="Arial" w:hAnsi="Arial" w:cs="Arial"/>
      <w:sz w:val="30"/>
      <w:szCs w:val="30"/>
    </w:rPr>
  </w:style>
  <w:style w:type="character" w:customStyle="1" w:styleId="4">
    <w:name w:val="标题 4 字符"/>
    <w:basedOn w:val="DefaultParagraphFont"/>
    <w:link w:val="Heading4"/>
    <w:uiPriority w:val="9"/>
    <w:qFormat/>
    <w:rPr>
      <w:rFonts w:ascii="Arial" w:hAnsi="Arial" w:cs="Arial"/>
      <w:b/>
      <w:bCs/>
      <w:sz w:val="26"/>
      <w:szCs w:val="26"/>
    </w:rPr>
  </w:style>
  <w:style w:type="character" w:customStyle="1" w:styleId="5">
    <w:name w:val="标题 5 字符"/>
    <w:basedOn w:val="DefaultParagraphFont"/>
    <w:link w:val="Heading5"/>
    <w:uiPriority w:val="9"/>
    <w:qFormat/>
    <w:rPr>
      <w:rFonts w:ascii="Arial" w:hAnsi="Arial" w:cs="Arial"/>
      <w:b/>
      <w:bCs/>
      <w:sz w:val="24"/>
      <w:szCs w:val="24"/>
    </w:rPr>
  </w:style>
  <w:style w:type="character" w:customStyle="1" w:styleId="6">
    <w:name w:val="标题 6 字符"/>
    <w:basedOn w:val="DefaultParagraphFont"/>
    <w:link w:val="Heading6"/>
    <w:uiPriority w:val="9"/>
    <w:qFormat/>
    <w:rPr>
      <w:rFonts w:ascii="Arial" w:hAnsi="Arial" w:cs="Arial"/>
      <w:b/>
      <w:bCs/>
      <w:sz w:val="22"/>
      <w:szCs w:val="22"/>
    </w:rPr>
  </w:style>
  <w:style w:type="character" w:customStyle="1" w:styleId="7">
    <w:name w:val="标题 7 字符"/>
    <w:basedOn w:val="DefaultParagraphFont"/>
    <w:link w:val="Heading7"/>
    <w:uiPriority w:val="9"/>
    <w:qFormat/>
    <w:rPr>
      <w:rFonts w:ascii="Arial" w:hAnsi="Arial" w:cs="Arial"/>
      <w:b/>
      <w:bCs/>
      <w:i/>
      <w:iCs/>
      <w:sz w:val="22"/>
      <w:szCs w:val="22"/>
    </w:rPr>
  </w:style>
  <w:style w:type="character" w:customStyle="1" w:styleId="8">
    <w:name w:val="标题 8 字符"/>
    <w:basedOn w:val="DefaultParagraphFont"/>
    <w:link w:val="Heading8"/>
    <w:uiPriority w:val="9"/>
    <w:qFormat/>
    <w:rPr>
      <w:rFonts w:ascii="Arial" w:hAnsi="Arial" w:cs="Arial"/>
      <w:i/>
      <w:iCs/>
      <w:sz w:val="22"/>
      <w:szCs w:val="22"/>
    </w:rPr>
  </w:style>
  <w:style w:type="character" w:customStyle="1" w:styleId="9">
    <w:name w:val="标题 9 字符"/>
    <w:basedOn w:val="DefaultParagraphFont"/>
    <w:link w:val="Heading9"/>
    <w:uiPriority w:val="9"/>
    <w:qFormat/>
    <w:rPr>
      <w:rFonts w:ascii="Arial" w:hAnsi="Arial" w:cs="Arial"/>
      <w:i/>
      <w:iCs/>
      <w:sz w:val="21"/>
      <w:szCs w:val="21"/>
    </w:rPr>
  </w:style>
  <w:style w:type="paragraph" w:styleId="NoSpacing">
    <w:name w:val="No Spacing"/>
    <w:uiPriority w:val="1"/>
    <w:qFormat/>
    <w:rPr>
      <w:rFonts w:ascii="Arial" w:hAnsi="Arial" w:cs="Arial"/>
      <w:sz w:val="22"/>
      <w:szCs w:val="22"/>
      <w:lang w:eastAsia="en-US"/>
    </w:rPr>
  </w:style>
  <w:style w:type="character" w:customStyle="1" w:styleId="a0">
    <w:name w:val="标题 字符"/>
    <w:basedOn w:val="DefaultParagraphFont"/>
    <w:link w:val="Title"/>
    <w:uiPriority w:val="10"/>
    <w:qFormat/>
    <w:rPr>
      <w:sz w:val="48"/>
      <w:szCs w:val="48"/>
    </w:rPr>
  </w:style>
  <w:style w:type="character" w:customStyle="1" w:styleId="a1">
    <w:name w:val="副标题 字符"/>
    <w:basedOn w:val="DefaultParagraphFont"/>
    <w:link w:val="Subtitle"/>
    <w:uiPriority w:val="11"/>
    <w:qFormat/>
    <w:rPr>
      <w:sz w:val="24"/>
      <w:szCs w:val="24"/>
    </w:rPr>
  </w:style>
  <w:style w:type="paragraph" w:styleId="Quote">
    <w:name w:val="Quote"/>
    <w:basedOn w:val="Normal"/>
    <w:next w:val="Normal"/>
    <w:link w:val="a2"/>
    <w:uiPriority w:val="29"/>
    <w:qFormat/>
    <w:pPr>
      <w:ind w:left="720" w:right="720"/>
    </w:pPr>
    <w:rPr>
      <w:i/>
    </w:rPr>
  </w:style>
  <w:style w:type="character" w:customStyle="1" w:styleId="a2">
    <w:name w:val="引用 字符"/>
    <w:link w:val="Quote"/>
    <w:uiPriority w:val="29"/>
    <w:qFormat/>
    <w:rPr>
      <w:i/>
    </w:rPr>
  </w:style>
  <w:style w:type="paragraph" w:styleId="IntenseQuote">
    <w:name w:val="Intense Quote"/>
    <w:basedOn w:val="Normal"/>
    <w:next w:val="Normal"/>
    <w:link w:val="a3"/>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3">
    <w:name w:val="明显引用 字符"/>
    <w:link w:val="IntenseQuote"/>
    <w:uiPriority w:val="30"/>
    <w:qFormat/>
    <w:rPr>
      <w:i/>
    </w:rPr>
  </w:style>
  <w:style w:type="character" w:customStyle="1" w:styleId="HeaderChar">
    <w:name w:val="Header Char"/>
    <w:basedOn w:val="DefaultParagraphFont"/>
    <w:uiPriority w:val="99"/>
    <w:qFormat/>
  </w:style>
  <w:style w:type="character" w:customStyle="1" w:styleId="FooterChar">
    <w:name w:val="Footer Char"/>
    <w:basedOn w:val="DefaultParagraphFont"/>
    <w:uiPriority w:val="99"/>
    <w:qFormat/>
  </w:style>
  <w:style w:type="table" w:customStyle="1" w:styleId="TableGridLight">
    <w:name w:val="Table Grid Light"/>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0">
    <w:name w:val="无格式表格 11_0"/>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0">
    <w:name w:val="无格式表格 21_0"/>
    <w:basedOn w:val="TableNormal"/>
    <w:uiPriority w:val="59"/>
    <w:qFormat/>
    <w:tblPr>
      <w:tblBorders>
        <w:top w:val="single" w:sz="4" w:space="0" w:color="000000" w:themeColor="text1"/>
        <w:bottom w:val="single" w:sz="4" w:space="0" w:color="000000" w:themeColor="text1"/>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0">
    <w:name w:val="无格式表格 31_0"/>
    <w:basedOn w:val="TableNormal"/>
    <w:uiPriority w:val="99"/>
    <w:qFormat/>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0">
    <w:name w:val="无格式表格 41_0"/>
    <w:basedOn w:val="TableNormal"/>
    <w:uiPriority w:val="99"/>
    <w:qFormat/>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0">
    <w:name w:val="无格式表格 51_0"/>
    <w:basedOn w:val="TableNormal"/>
    <w:uiPriority w:val="99"/>
    <w:qFormat/>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1">
    <w:name w:val="网格表 1 浅色1_0"/>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b/>
        <w:color w:val="404040"/>
      </w:rPr>
      <w:tblPr/>
      <w:tcPr>
        <w:tcBorders>
          <w:bottom w:val="single" w:sz="12" w:space="0" w:color="97B4D8"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b/>
        <w:color w:val="404040"/>
      </w:rPr>
      <w:tblPr/>
      <w:tcPr>
        <w:tcBorders>
          <w:bottom w:val="single" w:sz="12" w:space="0" w:color="DA989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b/>
        <w:color w:val="404040"/>
      </w:rPr>
      <w:tblPr/>
      <w:tcPr>
        <w:tcBorders>
          <w:bottom w:val="single" w:sz="12" w:space="0" w:color="C4D79D"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b/>
        <w:color w:val="404040"/>
      </w:rPr>
      <w:tblPr/>
      <w:tcPr>
        <w:tcBorders>
          <w:bottom w:val="single" w:sz="12" w:space="0" w:color="B4A4C8"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b/>
        <w:color w:val="404040"/>
      </w:rPr>
      <w:tblPr/>
      <w:tcPr>
        <w:tcBorders>
          <w:bottom w:val="single" w:sz="12" w:space="0" w:color="95CED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b/>
        <w:color w:val="404040"/>
      </w:rPr>
      <w:tblPr/>
      <w:tcPr>
        <w:tcBorders>
          <w:bottom w:val="single" w:sz="12" w:space="0" w:color="FAC192"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1">
    <w:name w:val="网格表 21_0"/>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single" w:sz="12" w:space="0" w:color="5D8AC2" w:themeColor="accent1" w:themeTint="EA"/>
          <w:right w:val="nil"/>
        </w:tcBorders>
        <w:shd w:val="clear" w:color="FFFFFF" w:fill="FFFFFF"/>
      </w:tcPr>
    </w:tblStylePr>
    <w:tblStylePr w:type="lastRow">
      <w:pPr>
        <w:snapToGrid/>
      </w:pPr>
      <w:rPr>
        <w:b/>
        <w:color w:val="404040"/>
      </w:rPr>
      <w:tblPr/>
      <w:tcPr>
        <w:tcBorders>
          <w:top w:val="single" w:sz="4" w:space="0" w:color="5D8AC2"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5F1"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AE5F1"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single" w:sz="12" w:space="0" w:color="D99695" w:themeColor="accent2" w:themeTint="97"/>
          <w:right w:val="nil"/>
        </w:tcBorders>
        <w:shd w:val="clear" w:color="FFFFFF" w:fill="FFFFFF"/>
      </w:tcPr>
    </w:tblStylePr>
    <w:tblStylePr w:type="lastRow">
      <w:pPr>
        <w:snapToGrid/>
      </w:pPr>
      <w:rPr>
        <w:b/>
        <w:color w:val="404040"/>
      </w:rPr>
      <w:tblPr/>
      <w:tcPr>
        <w:tcBorders>
          <w:top w:val="single" w:sz="4" w:space="0" w:color="D99695"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single" w:sz="12" w:space="0" w:color="9ABB59" w:themeColor="accent3" w:themeTint="FE"/>
          <w:right w:val="nil"/>
        </w:tcBorders>
        <w:shd w:val="clear" w:color="FFFFFF" w:fill="FFFFFF"/>
      </w:tcPr>
    </w:tblStylePr>
    <w:tblStylePr w:type="lastRow">
      <w:pPr>
        <w:snapToGrid/>
      </w:pPr>
      <w:rPr>
        <w:b/>
        <w:color w:val="404040"/>
      </w:rPr>
      <w:tblPr/>
      <w:tcPr>
        <w:tcBorders>
          <w:top w:val="single" w:sz="4" w:space="0" w:color="9ABB59"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single" w:sz="12" w:space="0" w:color="B2A1C6" w:themeColor="accent4" w:themeTint="9A"/>
          <w:right w:val="nil"/>
        </w:tcBorders>
        <w:shd w:val="clear" w:color="FFFFFF" w:fill="FFFFFF"/>
      </w:tcPr>
    </w:tblStylePr>
    <w:tblStylePr w:type="lastRow">
      <w:pPr>
        <w:snapToGrid/>
      </w:pPr>
      <w:rPr>
        <w:b/>
        <w:color w:val="404040"/>
      </w:rPr>
      <w:tblPr/>
      <w:tcPr>
        <w:tcBorders>
          <w:top w:val="single" w:sz="4" w:space="0" w:color="B2A1C6"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single" w:sz="12" w:space="0" w:color="4BACC6" w:themeColor="accent5"/>
          <w:right w:val="nil"/>
        </w:tcBorders>
        <w:shd w:val="clear" w:color="FFFFFF" w:fill="FFFFFF"/>
      </w:tcPr>
    </w:tblStylePr>
    <w:tblStylePr w:type="lastRow">
      <w:pPr>
        <w:snapToGrid/>
      </w:pPr>
      <w:rPr>
        <w:b/>
        <w:color w:val="404040"/>
      </w:rPr>
      <w:tblPr/>
      <w:tcPr>
        <w:tcBorders>
          <w:top w:val="single" w:sz="4" w:space="0" w:color="4BACC6"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single" w:sz="12" w:space="0" w:color="F79646" w:themeColor="accent6"/>
          <w:right w:val="nil"/>
        </w:tcBorders>
        <w:shd w:val="clear" w:color="FFFFFF" w:fill="FFFFFF"/>
      </w:tcPr>
    </w:tblStylePr>
    <w:tblStylePr w:type="lastRow">
      <w:pPr>
        <w:snapToGrid/>
      </w:pPr>
      <w:rPr>
        <w:b/>
        <w:color w:val="404040"/>
      </w:rPr>
      <w:tblPr/>
      <w:tcPr>
        <w:tcBorders>
          <w:top w:val="single" w:sz="4" w:space="0" w:color="F79646"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1">
    <w:name w:val="网格表 31_0"/>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AE5F1"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AE5F1"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TableNormal"/>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1">
    <w:name w:val="网格表 41_0"/>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pPr>
        <w:snapToGrid/>
      </w:pPr>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fill="5D8AC2" w:themeFill="accent1" w:themeFillTint="EA"/>
      </w:tcPr>
    </w:tblStylePr>
    <w:tblStylePr w:type="lastRow">
      <w:pPr>
        <w:snapToGrid/>
      </w:pPr>
      <w:rPr>
        <w:b/>
        <w:color w:val="404040"/>
      </w:rPr>
      <w:tblPr/>
      <w:tcPr>
        <w:tcBorders>
          <w:top w:val="single" w:sz="4" w:space="0" w:color="5D8AC2"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CE6F2" w:fill="DCE6F2" w:themeFill="accent1" w:themeFillTint="32"/>
      </w:tcPr>
    </w:tblStylePr>
    <w:tblStylePr w:type="band2Vert">
      <w:pPr>
        <w:snapToGrid/>
      </w:pPr>
    </w:tblStylePr>
    <w:tblStylePr w:type="band1Horz">
      <w:pPr>
        <w:snapToGrid/>
      </w:pPr>
      <w:rPr>
        <w:rFonts w:ascii="Arial" w:hAnsi="Arial"/>
        <w:color w:val="404040"/>
        <w:sz w:val="22"/>
      </w:rPr>
      <w:tblPr/>
      <w:tcPr>
        <w:shd w:val="clear" w:color="DCE6F2"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pPr>
        <w:snapToGrid/>
      </w:pPr>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fill="D99695" w:themeFill="accent2" w:themeFillTint="97"/>
      </w:tcPr>
    </w:tblStylePr>
    <w:tblStylePr w:type="lastRow">
      <w:pPr>
        <w:snapToGrid/>
      </w:pPr>
      <w:rPr>
        <w:b/>
        <w:color w:val="404040"/>
      </w:rPr>
      <w:tblPr/>
      <w:tcPr>
        <w:tcBorders>
          <w:top w:val="single" w:sz="4" w:space="0" w:color="D9969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DCDC"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2DCDC"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TableNormal"/>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pPr>
        <w:snapToGrid/>
      </w:pPr>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fill="9ABB59" w:themeFill="accent3" w:themeFillTint="FE"/>
      </w:tcPr>
    </w:tblStylePr>
    <w:tblStylePr w:type="lastRow">
      <w:pPr>
        <w:snapToGrid/>
      </w:pPr>
      <w:rPr>
        <w:b/>
        <w:color w:val="404040"/>
      </w:rPr>
      <w:tblPr/>
      <w:tcPr>
        <w:tcBorders>
          <w:top w:val="single" w:sz="4" w:space="0" w:color="9ABB59"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AF1D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AF1D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TableNormal"/>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pPr>
        <w:snapToGrid/>
      </w:pPr>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fill="B2A1C6" w:themeFill="accent4" w:themeFillTint="9A"/>
      </w:tcPr>
    </w:tblStylePr>
    <w:tblStylePr w:type="lastRow">
      <w:pPr>
        <w:snapToGrid/>
      </w:pPr>
      <w:rPr>
        <w:b/>
        <w:color w:val="404040"/>
      </w:rPr>
      <w:tblPr/>
      <w:tcPr>
        <w:tcBorders>
          <w:top w:val="single" w:sz="4" w:space="0" w:color="B2A1C6"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DFEC"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E5DFEC"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TableNormal"/>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pPr>
        <w:snapToGrid/>
      </w:pPr>
      <w:rPr>
        <w:b/>
        <w:color w:val="404040"/>
      </w:rPr>
      <w:tblPr/>
      <w:tcPr>
        <w:tcBorders>
          <w:top w:val="single" w:sz="4" w:space="0" w:color="4BACC6"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E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AEE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pPr>
        <w:snapToGrid/>
      </w:pPr>
      <w:rPr>
        <w:b/>
        <w:color w:val="404040"/>
      </w:rPr>
      <w:tblPr/>
      <w:tcPr>
        <w:tcBorders>
          <w:top w:val="single" w:sz="4" w:space="0" w:color="F79646"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9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FDE9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1">
    <w:name w:val="网格表 5 深色1_0"/>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4F81BD" w:fill="4F81BD" w:themeFill="accent1"/>
      </w:tcPr>
    </w:tblStylePr>
    <w:tblStylePr w:type="lastRow">
      <w:pPr>
        <w:snapToGrid/>
      </w:pPr>
      <w:rPr>
        <w:rFonts w:ascii="Arial" w:hAnsi="Arial"/>
        <w:b/>
        <w:color w:val="FFFFFF"/>
        <w:sz w:val="22"/>
      </w:rPr>
      <w:tblPr/>
      <w:tcPr>
        <w:tcBorders>
          <w:top w:val="single" w:sz="4" w:space="0" w:color="FFFFFF" w:themeColor="light1"/>
        </w:tcBorders>
        <w:shd w:val="clear" w:color="4F81BD" w:fill="4F81BD" w:themeFill="accent1"/>
      </w:tcPr>
    </w:tblStylePr>
    <w:tblStylePr w:type="firstCol">
      <w:pPr>
        <w:snapToGrid/>
      </w:pPr>
      <w:rPr>
        <w:rFonts w:ascii="Arial" w:hAnsi="Arial"/>
        <w:b/>
        <w:color w:val="FFFFFF"/>
        <w:sz w:val="22"/>
      </w:rPr>
      <w:tblPr/>
      <w:tcPr>
        <w:shd w:val="clear" w:color="4F81BD" w:fill="4F81BD" w:themeFill="accent1"/>
      </w:tcPr>
    </w:tblStylePr>
    <w:tblStylePr w:type="lastCol">
      <w:pPr>
        <w:snapToGrid/>
      </w:pPr>
      <w:rPr>
        <w:rFonts w:ascii="Arial" w:hAnsi="Arial"/>
        <w:b/>
        <w:color w:val="FFFFFF"/>
        <w:sz w:val="22"/>
      </w:rPr>
      <w:tblPr/>
      <w:tcPr>
        <w:shd w:val="clear" w:color="4F81BD" w:fill="4F81BD" w:themeFill="accent1"/>
      </w:tcPr>
    </w:tblStylePr>
    <w:tblStylePr w:type="band1Vert">
      <w:pPr>
        <w:snapToGrid/>
      </w:pPr>
      <w:tblPr/>
      <w:tcPr>
        <w:shd w:val="clear" w:color="AEC4E0" w:fill="AEC4E0" w:themeFill="accent1" w:themeFillTint="75"/>
      </w:tcPr>
    </w:tblStylePr>
    <w:tblStylePr w:type="band2Vert">
      <w:pPr>
        <w:snapToGrid/>
      </w:pPr>
    </w:tblStylePr>
    <w:tblStylePr w:type="band1Horz">
      <w:pPr>
        <w:snapToGrid/>
      </w:pPr>
      <w:tblPr/>
      <w:tcPr>
        <w:shd w:val="clear" w:color="AEC4E0" w:fill="AEC4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C0504D" w:fill="C0504D" w:themeFill="accent2"/>
      </w:tcPr>
    </w:tblStylePr>
    <w:tblStylePr w:type="lastRow">
      <w:pPr>
        <w:snapToGrid/>
      </w:pPr>
      <w:rPr>
        <w:rFonts w:ascii="Arial" w:hAnsi="Arial"/>
        <w:b/>
        <w:color w:val="FFFFFF"/>
        <w:sz w:val="22"/>
      </w:rPr>
      <w:tblPr/>
      <w:tcPr>
        <w:tcBorders>
          <w:top w:val="single" w:sz="4" w:space="0" w:color="FFFFFF" w:themeColor="light1"/>
        </w:tcBorders>
        <w:shd w:val="clear" w:color="C0504D" w:fill="C0504D" w:themeFill="accent2"/>
      </w:tcPr>
    </w:tblStylePr>
    <w:tblStylePr w:type="firstCol">
      <w:pPr>
        <w:snapToGrid/>
      </w:pPr>
      <w:rPr>
        <w:rFonts w:ascii="Arial" w:hAnsi="Arial"/>
        <w:b/>
        <w:color w:val="FFFFFF"/>
        <w:sz w:val="22"/>
      </w:rPr>
      <w:tblPr/>
      <w:tcPr>
        <w:shd w:val="clear" w:color="C0504D" w:fill="C0504D" w:themeFill="accent2"/>
      </w:tcPr>
    </w:tblStylePr>
    <w:tblStylePr w:type="lastCol">
      <w:pPr>
        <w:snapToGrid/>
      </w:pPr>
      <w:rPr>
        <w:rFonts w:ascii="Arial" w:hAnsi="Arial"/>
        <w:b/>
        <w:color w:val="FFFFFF"/>
        <w:sz w:val="22"/>
      </w:rPr>
      <w:tblPr/>
      <w:tcPr>
        <w:shd w:val="clear" w:color="C0504D" w:fill="C0504D" w:themeFill="accent2"/>
      </w:tcPr>
    </w:tblStylePr>
    <w:tblStylePr w:type="band1Vert">
      <w:pPr>
        <w:snapToGrid/>
      </w:pPr>
      <w:tblPr/>
      <w:tcPr>
        <w:shd w:val="clear" w:color="E2AEAD" w:fill="E2AEAD" w:themeFill="accent2" w:themeFillTint="75"/>
      </w:tcPr>
    </w:tblStylePr>
    <w:tblStylePr w:type="band2Vert">
      <w:pPr>
        <w:snapToGrid/>
      </w:pPr>
    </w:tblStylePr>
    <w:tblStylePr w:type="band1Horz">
      <w:pPr>
        <w:snapToGrid/>
      </w:pPr>
      <w:tblPr/>
      <w:tcPr>
        <w:shd w:val="clear" w:color="E2AEAD"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9BBB59" w:fill="9BBB59" w:themeFill="accent3"/>
      </w:tcPr>
    </w:tblStylePr>
    <w:tblStylePr w:type="lastRow">
      <w:pPr>
        <w:snapToGrid/>
      </w:pPr>
      <w:rPr>
        <w:rFonts w:ascii="Arial" w:hAnsi="Arial"/>
        <w:b/>
        <w:color w:val="FFFFFF"/>
        <w:sz w:val="22"/>
      </w:rPr>
      <w:tblPr/>
      <w:tcPr>
        <w:tcBorders>
          <w:top w:val="single" w:sz="4" w:space="0" w:color="FFFFFF" w:themeColor="light1"/>
        </w:tcBorders>
        <w:shd w:val="clear" w:color="9BBB59" w:fill="9BBB59" w:themeFill="accent3"/>
      </w:tcPr>
    </w:tblStylePr>
    <w:tblStylePr w:type="firstCol">
      <w:pPr>
        <w:snapToGrid/>
      </w:pPr>
      <w:rPr>
        <w:rFonts w:ascii="Arial" w:hAnsi="Arial"/>
        <w:b/>
        <w:color w:val="FFFFFF"/>
        <w:sz w:val="22"/>
      </w:rPr>
      <w:tblPr/>
      <w:tcPr>
        <w:shd w:val="clear" w:color="9BBB59" w:fill="9BBB59" w:themeFill="accent3"/>
      </w:tcPr>
    </w:tblStylePr>
    <w:tblStylePr w:type="lastCol">
      <w:pPr>
        <w:snapToGrid/>
      </w:pPr>
      <w:rPr>
        <w:rFonts w:ascii="Arial" w:hAnsi="Arial"/>
        <w:b/>
        <w:color w:val="FFFFFF"/>
        <w:sz w:val="22"/>
      </w:rPr>
      <w:tblPr/>
      <w:tcPr>
        <w:shd w:val="clear" w:color="9BBB59" w:fill="9BBB59" w:themeFill="accent3"/>
      </w:tcPr>
    </w:tblStylePr>
    <w:tblStylePr w:type="band1Vert">
      <w:pPr>
        <w:snapToGrid/>
      </w:pPr>
      <w:tblPr/>
      <w:tcPr>
        <w:shd w:val="clear" w:color="D0DFB2" w:fill="D0DFB2" w:themeFill="accent3" w:themeFillTint="75"/>
      </w:tcPr>
    </w:tblStylePr>
    <w:tblStylePr w:type="band2Vert">
      <w:pPr>
        <w:snapToGrid/>
      </w:pPr>
    </w:tblStylePr>
    <w:tblStylePr w:type="band1Horz">
      <w:pPr>
        <w:snapToGrid/>
      </w:pPr>
      <w:tblPr/>
      <w:tcPr>
        <w:shd w:val="clear" w:color="D0DFB2" w:fill="D0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8064A2" w:fill="8064A2" w:themeFill="accent4"/>
      </w:tcPr>
    </w:tblStylePr>
    <w:tblStylePr w:type="lastRow">
      <w:pPr>
        <w:snapToGrid/>
      </w:pPr>
      <w:rPr>
        <w:rFonts w:ascii="Arial" w:hAnsi="Arial"/>
        <w:b/>
        <w:color w:val="FFFFFF"/>
        <w:sz w:val="22"/>
      </w:rPr>
      <w:tblPr/>
      <w:tcPr>
        <w:tcBorders>
          <w:top w:val="single" w:sz="4" w:space="0" w:color="FFFFFF" w:themeColor="light1"/>
        </w:tcBorders>
        <w:shd w:val="clear" w:color="8064A2" w:fill="8064A2" w:themeFill="accent4"/>
      </w:tcPr>
    </w:tblStylePr>
    <w:tblStylePr w:type="firstCol">
      <w:pPr>
        <w:snapToGrid/>
      </w:pPr>
      <w:rPr>
        <w:rFonts w:ascii="Arial" w:hAnsi="Arial"/>
        <w:b/>
        <w:color w:val="FFFFFF"/>
        <w:sz w:val="22"/>
      </w:rPr>
      <w:tblPr/>
      <w:tcPr>
        <w:shd w:val="clear" w:color="8064A2" w:fill="8064A2" w:themeFill="accent4"/>
      </w:tcPr>
    </w:tblStylePr>
    <w:tblStylePr w:type="lastCol">
      <w:pPr>
        <w:snapToGrid/>
      </w:pPr>
      <w:rPr>
        <w:rFonts w:ascii="Arial" w:hAnsi="Arial"/>
        <w:b/>
        <w:color w:val="FFFFFF"/>
        <w:sz w:val="22"/>
      </w:rPr>
      <w:tblPr/>
      <w:tcPr>
        <w:shd w:val="clear" w:color="8064A2" w:fill="8064A2" w:themeFill="accent4"/>
      </w:tcPr>
    </w:tblStylePr>
    <w:tblStylePr w:type="band1Vert">
      <w:pPr>
        <w:snapToGrid/>
      </w:pPr>
      <w:tblPr/>
      <w:tcPr>
        <w:shd w:val="clear" w:color="C4B7D4" w:fill="C4B7D4" w:themeFill="accent4" w:themeFillTint="75"/>
      </w:tcPr>
    </w:tblStylePr>
    <w:tblStylePr w:type="band2Vert">
      <w:pPr>
        <w:snapToGrid/>
      </w:pPr>
    </w:tblStylePr>
    <w:tblStylePr w:type="band1Horz">
      <w:pPr>
        <w:snapToGrid/>
      </w:pPr>
      <w:tblPr/>
      <w:tcPr>
        <w:shd w:val="clear" w:color="C4B7D4"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4BACC6" w:fill="4BACC6" w:themeFill="accent5"/>
      </w:tcPr>
    </w:tblStylePr>
    <w:tblStylePr w:type="lastRow">
      <w:pPr>
        <w:snapToGrid/>
      </w:pPr>
      <w:rPr>
        <w:rFonts w:ascii="Arial" w:hAnsi="Arial"/>
        <w:b/>
        <w:color w:val="FFFFFF"/>
        <w:sz w:val="22"/>
      </w:rPr>
      <w:tblPr/>
      <w:tcPr>
        <w:tcBorders>
          <w:top w:val="single" w:sz="4" w:space="0" w:color="FFFFFF" w:themeColor="light1"/>
        </w:tcBorders>
        <w:shd w:val="clear" w:color="4BACC6" w:fill="4BACC6" w:themeFill="accent5"/>
      </w:tcPr>
    </w:tblStylePr>
    <w:tblStylePr w:type="firstCol">
      <w:pPr>
        <w:snapToGrid/>
      </w:pPr>
      <w:rPr>
        <w:rFonts w:ascii="Arial" w:hAnsi="Arial"/>
        <w:b/>
        <w:color w:val="FFFFFF"/>
        <w:sz w:val="22"/>
      </w:rPr>
      <w:tblPr/>
      <w:tcPr>
        <w:shd w:val="clear" w:color="4BACC6" w:fill="4BACC6" w:themeFill="accent5"/>
      </w:tcPr>
    </w:tblStylePr>
    <w:tblStylePr w:type="lastCol">
      <w:pPr>
        <w:snapToGrid/>
      </w:pPr>
      <w:rPr>
        <w:rFonts w:ascii="Arial" w:hAnsi="Arial"/>
        <w:b/>
        <w:color w:val="FFFFFF"/>
        <w:sz w:val="22"/>
      </w:rPr>
      <w:tblPr/>
      <w:tcPr>
        <w:shd w:val="clear" w:color="4BACC6" w:fill="4BACC6" w:themeFill="accent5"/>
      </w:tcPr>
    </w:tblStylePr>
    <w:tblStylePr w:type="band1Vert">
      <w:pPr>
        <w:snapToGrid/>
      </w:pPr>
      <w:tblPr/>
      <w:tcPr>
        <w:shd w:val="clear" w:color="ACD8E4" w:fill="ACD8E4" w:themeFill="accent5" w:themeFillTint="75"/>
      </w:tcPr>
    </w:tblStylePr>
    <w:tblStylePr w:type="band2Vert">
      <w:pPr>
        <w:snapToGrid/>
      </w:pPr>
    </w:tblStylePr>
    <w:tblStylePr w:type="band1Horz">
      <w:pPr>
        <w:snapToGrid/>
      </w:pPr>
      <w:tblPr/>
      <w:tcPr>
        <w:shd w:val="clear" w:color="ACD8E4"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F79646" w:fill="F79646" w:themeFill="accent6"/>
      </w:tcPr>
    </w:tblStylePr>
    <w:tblStylePr w:type="lastRow">
      <w:pPr>
        <w:snapToGrid/>
      </w:pPr>
      <w:rPr>
        <w:rFonts w:ascii="Arial" w:hAnsi="Arial"/>
        <w:b/>
        <w:color w:val="FFFFFF"/>
        <w:sz w:val="22"/>
      </w:rPr>
      <w:tblPr/>
      <w:tcPr>
        <w:tcBorders>
          <w:top w:val="single" w:sz="4" w:space="0" w:color="FFFFFF" w:themeColor="light1"/>
        </w:tcBorders>
        <w:shd w:val="clear" w:color="F79646" w:fill="F79646" w:themeFill="accent6"/>
      </w:tcPr>
    </w:tblStylePr>
    <w:tblStylePr w:type="firstCol">
      <w:pPr>
        <w:snapToGrid/>
      </w:pPr>
      <w:rPr>
        <w:rFonts w:ascii="Arial" w:hAnsi="Arial"/>
        <w:b/>
        <w:color w:val="FFFFFF"/>
        <w:sz w:val="22"/>
      </w:rPr>
      <w:tblPr/>
      <w:tcPr>
        <w:shd w:val="clear" w:color="F79646" w:fill="F79646" w:themeFill="accent6"/>
      </w:tcPr>
    </w:tblStylePr>
    <w:tblStylePr w:type="lastCol">
      <w:pPr>
        <w:snapToGrid/>
      </w:pPr>
      <w:rPr>
        <w:rFonts w:ascii="Arial" w:hAnsi="Arial"/>
        <w:b/>
        <w:color w:val="FFFFFF"/>
        <w:sz w:val="22"/>
      </w:rPr>
      <w:tblPr/>
      <w:tcPr>
        <w:shd w:val="clear" w:color="F79646" w:fill="F79646" w:themeFill="accent6"/>
      </w:tcPr>
    </w:tblStylePr>
    <w:tblStylePr w:type="band1Vert">
      <w:pPr>
        <w:snapToGrid/>
      </w:pPr>
      <w:tblPr/>
      <w:tcPr>
        <w:shd w:val="clear" w:color="FBCEAA" w:fill="FBCEAA" w:themeFill="accent6" w:themeFillTint="75"/>
      </w:tcPr>
    </w:tblStylePr>
    <w:tblStylePr w:type="band2Vert">
      <w:pPr>
        <w:snapToGrid/>
      </w:pPr>
    </w:tblStylePr>
    <w:tblStylePr w:type="band1Horz">
      <w:pPr>
        <w:snapToGrid/>
      </w:pPr>
      <w:tblPr/>
      <w:tcPr>
        <w:shd w:val="clear" w:color="FBCEAA"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0">
    <w:name w:val="网格表 6 彩色1_0"/>
    <w:basedOn w:val="TableNormal"/>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Tint="80"/>
      </w:rPr>
      <w:tblPr/>
      <w:tcPr>
        <w:tcBorders>
          <w:bottom w:val="single" w:sz="12" w:space="0" w:color="7F7F7F" w:themeColor="text1" w:themeTint="80"/>
        </w:tcBorders>
      </w:tcPr>
    </w:tblStylePr>
    <w:tblStylePr w:type="lastRow">
      <w:pPr>
        <w:snapToGrid/>
      </w:pPr>
      <w:rPr>
        <w:b/>
        <w:color w:val="7F7F7F" w:themeColor="text1" w:themeTint="80"/>
      </w:rPr>
    </w:tblStylePr>
    <w:tblStylePr w:type="firstCol">
      <w:pPr>
        <w:snapToGrid/>
      </w:pPr>
      <w:rPr>
        <w:b/>
        <w:color w:val="7F7F7F" w:themeColor="text1" w:themeTint="80"/>
      </w:rPr>
    </w:tblStylePr>
    <w:tblStylePr w:type="lastCol">
      <w:pPr>
        <w:snapToGrid/>
      </w:pPr>
      <w:rPr>
        <w:b/>
        <w:color w:val="7F7F7F" w:themeColor="text1"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Tint="80"/>
        <w:sz w:val="22"/>
      </w:rPr>
      <w:tblPr/>
      <w:tcPr>
        <w:shd w:val="clear" w:color="CBCBCB" w:fill="CBCBCB" w:themeFill="text1" w:themeFillTint="34"/>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TableNormal"/>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b/>
        <w:color w:val="A6BFDD" w:themeColor="accent1" w:themeTint="80"/>
      </w:rPr>
      <w:tblPr/>
      <w:tcPr>
        <w:tcBorders>
          <w:bottom w:val="single" w:sz="12" w:space="0" w:color="A6BFDD" w:themeColor="accent1" w:themeTint="80"/>
        </w:tcBorders>
      </w:tcPr>
    </w:tblStylePr>
    <w:tblStylePr w:type="lastRow">
      <w:pPr>
        <w:snapToGrid/>
      </w:pPr>
      <w:rPr>
        <w:b/>
        <w:color w:val="A6BFDD" w:themeColor="accent1" w:themeTint="80"/>
      </w:rPr>
    </w:tblStylePr>
    <w:tblStylePr w:type="firstCol">
      <w:pPr>
        <w:snapToGrid/>
      </w:pPr>
      <w:rPr>
        <w:b/>
        <w:color w:val="A6BFDD" w:themeColor="accent1" w:themeTint="80"/>
      </w:rPr>
    </w:tblStylePr>
    <w:tblStylePr w:type="lastCol">
      <w:pPr>
        <w:snapToGrid/>
      </w:pPr>
      <w:rPr>
        <w:b/>
        <w:color w:val="A6BFDD" w:themeColor="accent1" w:themeTint="80"/>
      </w:rPr>
    </w:tblStylePr>
    <w:tblStylePr w:type="band1Vert">
      <w:pPr>
        <w:snapToGrid/>
      </w:pPr>
      <w:tblPr/>
      <w:tcPr>
        <w:shd w:val="clear" w:color="DAE5F1"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DAE5F1"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DA9796" w:themeColor="accent2" w:themeTint="96"/>
      </w:rPr>
      <w:tblPr/>
      <w:tcPr>
        <w:tcBorders>
          <w:bottom w:val="single" w:sz="12" w:space="0" w:color="D99695" w:themeColor="accent2" w:themeTint="97"/>
        </w:tcBorders>
      </w:tcPr>
    </w:tblStylePr>
    <w:tblStylePr w:type="lastRow">
      <w:pPr>
        <w:snapToGrid/>
      </w:pPr>
      <w:rPr>
        <w:b/>
        <w:color w:val="DA9796" w:themeColor="accent2" w:themeTint="96"/>
      </w:r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F2DCDC"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F2DCDC"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TableNormal"/>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9BBB59" w:themeColor="accent3"/>
      </w:rPr>
      <w:tblPr/>
      <w:tcPr>
        <w:tcBorders>
          <w:bottom w:val="single" w:sz="12" w:space="0" w:color="9ABB59" w:themeColor="accent3" w:themeTint="FE"/>
        </w:tcBorders>
      </w:tcPr>
    </w:tblStylePr>
    <w:tblStylePr w:type="lastRow">
      <w:pPr>
        <w:snapToGrid/>
      </w:pPr>
      <w:rPr>
        <w:b/>
        <w:color w:val="9BBB59" w:themeColor="accent3"/>
      </w:rPr>
    </w:tblStylePr>
    <w:tblStylePr w:type="firstCol">
      <w:pPr>
        <w:snapToGrid/>
      </w:pPr>
      <w:rPr>
        <w:b/>
        <w:color w:val="9BBB59" w:themeColor="accent3"/>
      </w:rPr>
    </w:tblStylePr>
    <w:tblStylePr w:type="lastCol">
      <w:pPr>
        <w:snapToGrid/>
      </w:pPr>
      <w:rPr>
        <w:b/>
        <w:color w:val="9BBB59" w:themeColor="accent3"/>
      </w:rPr>
    </w:tblStylePr>
    <w:tblStylePr w:type="band1Vert">
      <w:pPr>
        <w:snapToGrid/>
      </w:pPr>
      <w:tblPr/>
      <w:tcPr>
        <w:shd w:val="clear" w:color="EAF1DC"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EAF1DC"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B2A1C7" w:themeColor="accent4" w:themeTint="99"/>
      </w:rPr>
      <w:tblPr/>
      <w:tcPr>
        <w:tcBorders>
          <w:bottom w:val="single" w:sz="12" w:space="0" w:color="B2A1C6" w:themeColor="accent4" w:themeTint="9A"/>
        </w:tcBorders>
      </w:tcPr>
    </w:tblStylePr>
    <w:tblStylePr w:type="lastRow">
      <w:pPr>
        <w:snapToGrid/>
      </w:pPr>
      <w:rPr>
        <w:b/>
        <w:color w:val="B2A1C7" w:themeColor="accent4" w:themeTint="99"/>
      </w:r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E5DFEC"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E5DFEC"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pPr>
        <w:snapToGrid/>
      </w:pPr>
      <w:rPr>
        <w:b/>
        <w:color w:val="266678" w:themeColor="accent5" w:themeShade="94"/>
      </w:rPr>
      <w:tblPr/>
      <w:tcPr>
        <w:tcBorders>
          <w:bottom w:val="single" w:sz="12" w:space="0" w:color="4BACC6" w:themeColor="accent5"/>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DAEEF3"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DAEEF3"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TableNormal"/>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pPr>
        <w:snapToGrid/>
      </w:pPr>
      <w:rPr>
        <w:b/>
        <w:color w:val="266678" w:themeColor="accent5" w:themeShade="94"/>
      </w:rPr>
      <w:tblPr/>
      <w:tcPr>
        <w:tcBorders>
          <w:bottom w:val="single" w:sz="12" w:space="0" w:color="F79646" w:themeColor="accent6"/>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FDE9D8" w:fill="FDE9D8" w:themeFill="accent6"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FDE9D8" w:fill="FDE9D8" w:themeFill="accent6"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0">
    <w:name w:val="网格表 7 彩色1_0"/>
    <w:basedOn w:val="TableNormal"/>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Tint="80"/>
        <w:sz w:val="22"/>
      </w:rPr>
      <w:tblPr/>
      <w:tcPr>
        <w:shd w:val="clear" w:color="F2F2F2" w:fill="F2F2F2" w:themeFill="text1" w:themeFillTint="0D"/>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TableNormal"/>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fill="FFFFFF" w:themeFill="light1"/>
      </w:tcPr>
    </w:tblStylePr>
    <w:tblStylePr w:type="lastRow">
      <w:pPr>
        <w:snapToGrid/>
      </w:pPr>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fill="FFFFFF" w:themeFill="light1"/>
      </w:tcPr>
    </w:tblStylePr>
    <w:tblStylePr w:type="firstCol">
      <w:pPr>
        <w:snapToGrid/>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FFFFFF"/>
      </w:tcPr>
    </w:tblStylePr>
    <w:tblStylePr w:type="lastCol">
      <w:pPr>
        <w:snapToGrid/>
      </w:pPr>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FFFFFF"/>
      </w:tcPr>
    </w:tblStylePr>
    <w:tblStylePr w:type="band1Vert">
      <w:pPr>
        <w:snapToGrid/>
      </w:pPr>
      <w:tblPr/>
      <w:tcPr>
        <w:shd w:val="clear" w:color="DAE5F1"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DAE5F1"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TableNormal"/>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2DCDC"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F2DCDC"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rFonts w:ascii="Arial" w:hAnsi="Arial"/>
        <w:b/>
        <w:color w:val="9BBB59" w:themeColor="accent3"/>
        <w:sz w:val="22"/>
      </w:rPr>
      <w:tblPr/>
      <w:tcPr>
        <w:tcBorders>
          <w:top w:val="nil"/>
          <w:left w:val="nil"/>
          <w:bottom w:val="single" w:sz="4" w:space="0" w:color="9ABB59" w:themeColor="accent3" w:themeTint="FE"/>
          <w:right w:val="nil"/>
        </w:tcBorders>
        <w:shd w:val="clear" w:color="FFFFFF" w:fill="FFFFFF" w:themeFill="light1"/>
      </w:tcPr>
    </w:tblStylePr>
    <w:tblStylePr w:type="lastRow">
      <w:pPr>
        <w:snapToGrid/>
      </w:pPr>
      <w:rPr>
        <w:rFonts w:ascii="Arial" w:hAnsi="Arial"/>
        <w:b/>
        <w:color w:val="9BBB59" w:themeColor="accent3"/>
        <w:sz w:val="22"/>
      </w:rPr>
      <w:tblPr/>
      <w:tcPr>
        <w:tcBorders>
          <w:top w:val="single" w:sz="4" w:space="0" w:color="9ABB59" w:themeColor="accent3" w:themeTint="FE"/>
          <w:left w:val="nil"/>
          <w:bottom w:val="nil"/>
          <w:right w:val="nil"/>
        </w:tcBorders>
        <w:shd w:val="clear" w:color="FFFFFF" w:fill="FFFFFF" w:themeFill="light1"/>
      </w:tcPr>
    </w:tblStylePr>
    <w:tblStylePr w:type="firstCol">
      <w:pPr>
        <w:snapToGrid/>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FFFFFF"/>
      </w:tcPr>
    </w:tblStylePr>
    <w:tblStylePr w:type="lastCol">
      <w:pPr>
        <w:snapToGrid/>
      </w:pPr>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FFFFFF"/>
      </w:tcPr>
    </w:tblStylePr>
    <w:tblStylePr w:type="band1Vert">
      <w:pPr>
        <w:snapToGrid/>
      </w:pPr>
      <w:tblPr/>
      <w:tcPr>
        <w:shd w:val="clear" w:color="EAF1DC"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EAF1DC"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E5DFEC"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E5DFEC"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TableNormal"/>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fill="FFFFFF" w:themeFill="light1"/>
      </w:tcPr>
    </w:tblStylePr>
    <w:tblStylePr w:type="lastRow">
      <w:pPr>
        <w:snapToGrid/>
      </w:pPr>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fill="FFFFFF" w:themeFill="light1"/>
      </w:tcPr>
    </w:tblStylePr>
    <w:tblStylePr w:type="firstCol">
      <w:pPr>
        <w:snapToGrid/>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FFFFFF"/>
      </w:tcPr>
    </w:tblStylePr>
    <w:tblStylePr w:type="lastCol">
      <w:pPr>
        <w:snapToGrid/>
      </w:pPr>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FFFFFF"/>
      </w:tcPr>
    </w:tblStylePr>
    <w:tblStylePr w:type="band1Vert">
      <w:pPr>
        <w:snapToGrid/>
      </w:pPr>
      <w:tblPr/>
      <w:tcPr>
        <w:shd w:val="clear" w:color="DAEEF3"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DAEEF3"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fill="FFFFFF" w:themeFill="light1"/>
      </w:tcPr>
    </w:tblStylePr>
    <w:tblStylePr w:type="lastRow">
      <w:pPr>
        <w:snapToGrid/>
      </w:pPr>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fill="FFFFFF" w:themeFill="light1"/>
      </w:tcPr>
    </w:tblStylePr>
    <w:tblStylePr w:type="firstCol">
      <w:pPr>
        <w:snapToGrid/>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FFFFFF"/>
      </w:tcPr>
    </w:tblStylePr>
    <w:tblStylePr w:type="lastCol">
      <w:pPr>
        <w:snapToGrid/>
      </w:pPr>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FFFFFF"/>
      </w:tcPr>
    </w:tblStylePr>
    <w:tblStylePr w:type="band1Vert">
      <w:pPr>
        <w:snapToGrid/>
      </w:pPr>
      <w:tblPr/>
      <w:tcPr>
        <w:shd w:val="clear" w:color="FDE9D8" w:fill="FDE9D8" w:themeFill="accent6" w:themeFillTint="34"/>
      </w:tcPr>
    </w:tblStylePr>
    <w:tblStylePr w:type="band2Vert">
      <w:pPr>
        <w:snapToGrid/>
      </w:pPr>
    </w:tblStylePr>
    <w:tblStylePr w:type="band1Horz">
      <w:pPr>
        <w:snapToGrid/>
      </w:pPr>
      <w:rPr>
        <w:rFonts w:ascii="Arial" w:hAnsi="Arial"/>
        <w:color w:val="B05307" w:themeColor="accent6" w:themeShade="94"/>
        <w:sz w:val="22"/>
      </w:rPr>
      <w:tblPr/>
      <w:tcPr>
        <w:shd w:val="clear" w:color="FDE9D8" w:fill="FDE9D8" w:themeFill="accent6" w:themeFillTint="34"/>
      </w:tcPr>
    </w:tblStylePr>
    <w:tblStylePr w:type="band2Horz">
      <w:pPr>
        <w:snapToGrid/>
      </w:pPr>
      <w:rPr>
        <w:rFonts w:ascii="Arial" w:hAnsi="Arial"/>
        <w:color w:val="B05307" w:themeColor="accent6"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2">
    <w:name w:val="清单表 1 浅色1_0"/>
    <w:basedOn w:val="TableNormal"/>
    <w:uiPriority w:val="99"/>
    <w:qFormat/>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TableNormal"/>
    <w:uiPriority w:val="99"/>
    <w:qFormat/>
    <w:tblPr/>
    <w:tblStylePr w:type="firstRow">
      <w:pPr>
        <w:snapToGrid/>
      </w:pPr>
      <w:rPr>
        <w:b/>
        <w:color w:val="404040"/>
      </w:rPr>
      <w:tblPr/>
      <w:tcPr>
        <w:tcBorders>
          <w:top w:val="nil"/>
          <w:left w:val="nil"/>
          <w:bottom w:val="single" w:sz="4" w:space="0" w:color="4F81BD" w:themeColor="accent1"/>
          <w:right w:val="nil"/>
        </w:tcBorders>
      </w:tcPr>
    </w:tblStylePr>
    <w:tblStylePr w:type="lastRow">
      <w:pPr>
        <w:snapToGrid/>
      </w:pPr>
      <w:rPr>
        <w:b/>
        <w:color w:val="404040"/>
      </w:rPr>
      <w:tblPr/>
      <w:tcPr>
        <w:tcBorders>
          <w:top w:val="single" w:sz="4" w:space="0" w:color="4F81BD"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TableNormal"/>
    <w:uiPriority w:val="99"/>
    <w:qFormat/>
    <w:tblPr/>
    <w:tblStylePr w:type="firstRow">
      <w:pPr>
        <w:snapToGrid/>
      </w:pPr>
      <w:rPr>
        <w:b/>
        <w:color w:val="404040"/>
      </w:rPr>
      <w:tblPr/>
      <w:tcPr>
        <w:tcBorders>
          <w:top w:val="nil"/>
          <w:left w:val="nil"/>
          <w:bottom w:val="single" w:sz="4" w:space="0" w:color="C0504D" w:themeColor="accent2"/>
          <w:right w:val="nil"/>
        </w:tcBorders>
      </w:tcPr>
    </w:tblStylePr>
    <w:tblStylePr w:type="lastRow">
      <w:pPr>
        <w:snapToGrid/>
      </w:pPr>
      <w:rPr>
        <w:b/>
        <w:color w:val="404040"/>
      </w:rPr>
      <w:tblPr/>
      <w:tcPr>
        <w:tcBorders>
          <w:top w:val="single" w:sz="4" w:space="0" w:color="C0504D"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TableNormal"/>
    <w:uiPriority w:val="99"/>
    <w:qFormat/>
    <w:tblPr/>
    <w:tblStylePr w:type="firstRow">
      <w:pPr>
        <w:snapToGrid/>
      </w:pPr>
      <w:rPr>
        <w:b/>
        <w:color w:val="404040"/>
      </w:rPr>
      <w:tblPr/>
      <w:tcPr>
        <w:tcBorders>
          <w:top w:val="nil"/>
          <w:left w:val="nil"/>
          <w:bottom w:val="single" w:sz="4" w:space="0" w:color="9BBB59" w:themeColor="accent3"/>
          <w:right w:val="nil"/>
        </w:tcBorders>
      </w:tcPr>
    </w:tblStylePr>
    <w:tblStylePr w:type="lastRow">
      <w:pPr>
        <w:snapToGrid/>
      </w:pPr>
      <w:rPr>
        <w:b/>
        <w:color w:val="404040"/>
      </w:rPr>
      <w:tblPr/>
      <w:tcPr>
        <w:tcBorders>
          <w:top w:val="single" w:sz="4" w:space="0" w:color="9BBB59"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TableNormal"/>
    <w:uiPriority w:val="99"/>
    <w:qFormat/>
    <w:tblPr/>
    <w:tblStylePr w:type="firstRow">
      <w:pPr>
        <w:snapToGrid/>
      </w:pPr>
      <w:rPr>
        <w:b/>
        <w:color w:val="404040"/>
      </w:rPr>
      <w:tblPr/>
      <w:tcPr>
        <w:tcBorders>
          <w:top w:val="nil"/>
          <w:left w:val="nil"/>
          <w:bottom w:val="single" w:sz="4" w:space="0" w:color="8064A2" w:themeColor="accent4"/>
          <w:right w:val="nil"/>
        </w:tcBorders>
      </w:tcPr>
    </w:tblStylePr>
    <w:tblStylePr w:type="lastRow">
      <w:pPr>
        <w:snapToGrid/>
      </w:pPr>
      <w:rPr>
        <w:b/>
        <w:color w:val="404040"/>
      </w:rPr>
      <w:tblPr/>
      <w:tcPr>
        <w:tcBorders>
          <w:top w:val="single" w:sz="4" w:space="0" w:color="8064A2"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TableNormal"/>
    <w:uiPriority w:val="99"/>
    <w:qFormat/>
    <w:tblPr/>
    <w:tblStylePr w:type="firstRow">
      <w:pPr>
        <w:snapToGrid/>
      </w:pPr>
      <w:rPr>
        <w:b/>
        <w:color w:val="404040"/>
      </w:rPr>
      <w:tblPr/>
      <w:tcPr>
        <w:tcBorders>
          <w:top w:val="nil"/>
          <w:left w:val="nil"/>
          <w:bottom w:val="single" w:sz="4" w:space="0" w:color="4BACC6" w:themeColor="accent5"/>
          <w:right w:val="nil"/>
        </w:tcBorders>
      </w:tcPr>
    </w:tblStylePr>
    <w:tblStylePr w:type="lastRow">
      <w:pPr>
        <w:snapToGrid/>
      </w:pPr>
      <w:rPr>
        <w:b/>
        <w:color w:val="404040"/>
      </w:rPr>
      <w:tblPr/>
      <w:tcPr>
        <w:tcBorders>
          <w:top w:val="single" w:sz="4" w:space="0" w:color="4BACC6"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TableNormal"/>
    <w:uiPriority w:val="99"/>
    <w:qFormat/>
    <w:tblPr/>
    <w:tblStylePr w:type="firstRow">
      <w:pPr>
        <w:snapToGrid/>
      </w:pPr>
      <w:rPr>
        <w:b/>
        <w:color w:val="404040"/>
      </w:rPr>
      <w:tblPr/>
      <w:tcPr>
        <w:tcBorders>
          <w:top w:val="nil"/>
          <w:left w:val="nil"/>
          <w:bottom w:val="single" w:sz="4" w:space="0" w:color="F79646" w:themeColor="accent6"/>
          <w:right w:val="nil"/>
        </w:tcBorders>
      </w:tcPr>
    </w:tblStylePr>
    <w:tblStylePr w:type="lastRow">
      <w:pPr>
        <w:snapToGrid/>
      </w:pPr>
      <w:rPr>
        <w:b/>
        <w:color w:val="404040"/>
      </w:rPr>
      <w:tblPr/>
      <w:tcPr>
        <w:tcBorders>
          <w:top w:val="single" w:sz="4" w:space="0" w:color="F79646"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2">
    <w:name w:val="清单表 21_0"/>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TableNormal"/>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2DFEE"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FD2D2"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5EED5"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TableNormal"/>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FD8E7"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1EA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TableNormal"/>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DE4D0"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2">
    <w:name w:val="清单表 31_0"/>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TableNormal"/>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pPr>
        <w:snapToGrid/>
      </w:pPr>
      <w:rPr>
        <w:rFonts w:ascii="Arial" w:hAnsi="Arial"/>
        <w:b/>
        <w:color w:val="FFFFFF"/>
        <w:sz w:val="22"/>
      </w:rPr>
      <w:tblPr/>
      <w:tcPr>
        <w:shd w:val="clear" w:color="4F81BD"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F81BD" w:themeColor="accent1"/>
          <w:right w:val="single" w:sz="4" w:space="0" w:color="4F81BD"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4F81BD" w:themeColor="accent1"/>
          <w:bottom w:val="single" w:sz="4" w:space="0" w:color="4F81BD"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pPr>
        <w:snapToGrid/>
      </w:pPr>
      <w:rPr>
        <w:rFonts w:ascii="Arial" w:hAnsi="Arial"/>
        <w:b/>
        <w:color w:val="FFFFFF"/>
        <w:sz w:val="22"/>
      </w:rPr>
      <w:tblPr/>
      <w:tcPr>
        <w:shd w:val="clear" w:color="D99695" w:fill="D996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D99695" w:themeColor="accent2" w:themeTint="97"/>
          <w:bottom w:val="single" w:sz="4" w:space="0" w:color="D9969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TableNormal"/>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pPr>
        <w:snapToGrid/>
      </w:pPr>
      <w:rPr>
        <w:rFonts w:ascii="Arial" w:hAnsi="Arial"/>
        <w:b/>
        <w:color w:val="FFFFFF"/>
        <w:sz w:val="22"/>
      </w:rPr>
      <w:tblPr/>
      <w:tcPr>
        <w:shd w:val="clear" w:color="C3D69B" w:fill="C3D69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3D69B" w:themeColor="accent3" w:themeTint="98"/>
          <w:bottom w:val="single" w:sz="4" w:space="0" w:color="C3D69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pPr>
        <w:snapToGrid/>
      </w:pPr>
      <w:rPr>
        <w:rFonts w:ascii="Arial" w:hAnsi="Arial"/>
        <w:b/>
        <w:color w:val="FFFFFF"/>
        <w:sz w:val="22"/>
      </w:rPr>
      <w:tblPr/>
      <w:tcPr>
        <w:shd w:val="clear" w:color="B2A1C6"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B2A1C6" w:themeColor="accent4" w:themeTint="9A"/>
          <w:bottom w:val="single" w:sz="4" w:space="0" w:color="B2A1C6"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pPr>
        <w:snapToGrid/>
      </w:pPr>
      <w:rPr>
        <w:rFonts w:ascii="Arial" w:hAnsi="Arial"/>
        <w:b/>
        <w:color w:val="FFFFFF"/>
        <w:sz w:val="22"/>
      </w:rPr>
      <w:tblPr/>
      <w:tcPr>
        <w:shd w:val="clear" w:color="92CCDC"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92CCDC" w:themeColor="accent5" w:themeTint="9A"/>
          <w:bottom w:val="single" w:sz="4" w:space="0" w:color="92CCDC"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pPr>
        <w:snapToGrid/>
      </w:pPr>
      <w:rPr>
        <w:rFonts w:ascii="Arial" w:hAnsi="Arial"/>
        <w:b/>
        <w:color w:val="FFFFFF"/>
        <w:sz w:val="22"/>
      </w:rPr>
      <w:tblPr/>
      <w:tcPr>
        <w:shd w:val="clear" w:color="FAC090"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FAC090" w:themeColor="accent6" w:themeTint="98"/>
          <w:bottom w:val="single" w:sz="4" w:space="0" w:color="FAC090"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2">
    <w:name w:val="清单表 41_0"/>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TableNormal"/>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pPr>
        <w:snapToGrid/>
      </w:pPr>
      <w:rPr>
        <w:rFonts w:ascii="Arial" w:hAnsi="Arial"/>
        <w:b/>
        <w:color w:val="FFFFFF"/>
        <w:sz w:val="22"/>
      </w:rPr>
      <w:tblPr/>
      <w:tcPr>
        <w:shd w:val="clear" w:color="4F81BD"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2DFEE"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2DFEE"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pPr>
        <w:snapToGrid/>
      </w:pPr>
      <w:rPr>
        <w:rFonts w:ascii="Arial" w:hAnsi="Arial"/>
        <w:b/>
        <w:color w:val="FFFFFF"/>
        <w:sz w:val="22"/>
      </w:rPr>
      <w:tblPr/>
      <w:tcPr>
        <w:shd w:val="clear" w:color="C0504D"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FD2D2"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EFD2D2"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TableNormal"/>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pPr>
        <w:snapToGrid/>
      </w:pPr>
      <w:rPr>
        <w:rFonts w:ascii="Arial" w:hAnsi="Arial"/>
        <w:b/>
        <w:color w:val="FFFFFF"/>
        <w:sz w:val="22"/>
      </w:rPr>
      <w:tblPr/>
      <w:tcPr>
        <w:shd w:val="clear" w:color="9BBB59"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5EED5"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5EED5"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pPr>
        <w:snapToGrid/>
      </w:pPr>
      <w:rPr>
        <w:rFonts w:ascii="Arial" w:hAnsi="Arial"/>
        <w:b/>
        <w:color w:val="FFFFFF"/>
        <w:sz w:val="22"/>
      </w:rPr>
      <w:tblPr/>
      <w:tcPr>
        <w:shd w:val="clear" w:color="8064A2"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FD8E7"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DFD8E7"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TableNormal"/>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pPr>
        <w:snapToGrid/>
      </w:pPr>
      <w:rPr>
        <w:rFonts w:ascii="Arial" w:hAnsi="Arial"/>
        <w:b/>
        <w:color w:val="FFFFFF"/>
        <w:sz w:val="22"/>
      </w:rPr>
      <w:tblPr/>
      <w:tcPr>
        <w:shd w:val="clear" w:color="4BACC6"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1EA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D1EA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TableNormal"/>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pPr>
        <w:snapToGrid/>
      </w:pPr>
      <w:rPr>
        <w:rFonts w:ascii="Arial" w:hAnsi="Arial"/>
        <w:b/>
        <w:color w:val="FFFFFF"/>
        <w:sz w:val="22"/>
      </w:rPr>
      <w:tblPr/>
      <w:tcPr>
        <w:shd w:val="clear" w:color="F79646"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DE4D0"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FDE4D0"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2">
    <w:name w:val="清单表 5 深色1_0"/>
    <w:basedOn w:val="TableNormal"/>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TableNormal"/>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pPr>
        <w:snapToGrid/>
      </w:pPr>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4F81BD" w:themeColor="accent1"/>
        </w:tcBorders>
      </w:tcPr>
    </w:tblStylePr>
    <w:tblStylePr w:type="band1Vert">
      <w:pPr>
        <w:snapToGrid/>
      </w:pPr>
      <w:tblPr/>
      <w:tcPr>
        <w:tcBorders>
          <w:left w:val="single" w:sz="4" w:space="0" w:color="FFFFFF" w:themeColor="light1"/>
          <w:right w:val="single" w:sz="4" w:space="0" w:color="FFFFFF" w:themeColor="light1"/>
        </w:tcBorders>
        <w:shd w:val="clear" w:color="4F81BD" w:fill="4F81BD"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4F81BD" w:fill="4F81BD" w:themeFill="accent1"/>
      </w:tcPr>
    </w:tblStylePr>
    <w:tblStylePr w:type="band2Horz">
      <w:pPr>
        <w:snapToGrid/>
      </w:pPr>
      <w:tblPr/>
      <w:tcPr>
        <w:tcBorders>
          <w:top w:val="single" w:sz="4" w:space="0" w:color="FFFFFF" w:themeColor="light1"/>
          <w:bottom w:val="single" w:sz="4" w:space="0" w:color="FFFFFF" w:themeColor="light1"/>
        </w:tcBorders>
        <w:shd w:val="clear" w:color="4F81BD"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TableNormal"/>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pPr>
        <w:snapToGrid/>
      </w:pPr>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fill="D996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D9969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D99695" w:fill="D996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TableNormal"/>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pPr>
        <w:snapToGrid/>
      </w:pPr>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fill="C3D69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3D69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C3D69B" w:fill="C3D69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TableNormal"/>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pPr>
        <w:snapToGrid/>
      </w:pPr>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B2A1C6"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B2A1C6"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TableNormal"/>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pPr>
        <w:snapToGrid/>
      </w:pPr>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92CCDC"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92CCDC"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TableNormal"/>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pPr>
        <w:snapToGrid/>
      </w:pPr>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FAC090"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FAC090"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1">
    <w:name w:val="清单表 6 彩色1_0"/>
    <w:basedOn w:val="TableNormal"/>
    <w:uiPriority w:val="99"/>
    <w:qFormat/>
    <w:tblPr>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TableNormal"/>
    <w:uiPriority w:val="99"/>
    <w:qFormat/>
    <w:tblPr>
      <w:tblBorders>
        <w:top w:val="single" w:sz="4" w:space="0" w:color="4F81BD" w:themeColor="accent1"/>
        <w:bottom w:val="single" w:sz="4" w:space="0" w:color="4F81BD" w:themeColor="accent1"/>
      </w:tblBorders>
    </w:tblPr>
    <w:tblStylePr w:type="firstRow">
      <w:pPr>
        <w:snapToGrid/>
      </w:pPr>
      <w:rPr>
        <w:b/>
        <w:color w:val="2A4A70" w:themeColor="accent1" w:themeShade="94"/>
      </w:rPr>
      <w:tblPr/>
      <w:tcPr>
        <w:tcBorders>
          <w:bottom w:val="single" w:sz="4" w:space="0" w:color="4F81BD" w:themeColor="accent1"/>
        </w:tcBorders>
      </w:tcPr>
    </w:tblStylePr>
    <w:tblStylePr w:type="lastRow">
      <w:pPr>
        <w:snapToGrid/>
      </w:pPr>
      <w:rPr>
        <w:b/>
        <w:color w:val="2A4A70" w:themeColor="accent1" w:themeShade="94"/>
      </w:rPr>
      <w:tblPr/>
      <w:tcPr>
        <w:tcBorders>
          <w:top w:val="single" w:sz="4" w:space="0" w:color="4F81BD" w:themeColor="accent1"/>
        </w:tcBorders>
      </w:tcPr>
    </w:tblStylePr>
    <w:tblStylePr w:type="firstCol">
      <w:pPr>
        <w:snapToGrid/>
      </w:pPr>
      <w:rPr>
        <w:b/>
        <w:color w:val="2A4A70" w:themeColor="accent1" w:themeShade="94"/>
      </w:rPr>
    </w:tblStylePr>
    <w:tblStylePr w:type="lastCol">
      <w:pPr>
        <w:snapToGrid/>
      </w:pPr>
      <w:rPr>
        <w:b/>
        <w:color w:val="2A4A70" w:themeColor="accent1" w:themeShade="94"/>
      </w:r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D2DFEE"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TableNormal"/>
    <w:uiPriority w:val="99"/>
    <w:qFormat/>
    <w:tblPr>
      <w:tblBorders>
        <w:top w:val="single" w:sz="4" w:space="0" w:color="D99695" w:themeColor="accent2" w:themeTint="97"/>
        <w:bottom w:val="single" w:sz="4" w:space="0" w:color="D99695" w:themeColor="accent2" w:themeTint="97"/>
      </w:tblBorders>
    </w:tblPr>
    <w:tblStylePr w:type="firstRow">
      <w:pPr>
        <w:snapToGrid/>
      </w:pPr>
      <w:rPr>
        <w:b/>
        <w:color w:val="DA9796" w:themeColor="accent2" w:themeTint="96"/>
      </w:rPr>
      <w:tblPr/>
      <w:tcPr>
        <w:tcBorders>
          <w:bottom w:val="single" w:sz="4" w:space="0" w:color="D99695" w:themeColor="accent2" w:themeTint="97"/>
        </w:tcBorders>
      </w:tcPr>
    </w:tblStylePr>
    <w:tblStylePr w:type="lastRow">
      <w:pPr>
        <w:snapToGrid/>
      </w:pPr>
      <w:rPr>
        <w:b/>
        <w:color w:val="DA9796" w:themeColor="accent2" w:themeTint="96"/>
      </w:rPr>
      <w:tblPr/>
      <w:tcPr>
        <w:tcBorders>
          <w:top w:val="single" w:sz="4" w:space="0" w:color="D99695" w:themeColor="accent2" w:themeTint="97"/>
        </w:tcBorders>
      </w:tc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EFD2D2"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TableNormal"/>
    <w:uiPriority w:val="99"/>
    <w:qFormat/>
    <w:tblPr>
      <w:tblBorders>
        <w:top w:val="single" w:sz="4" w:space="0" w:color="C3D69B" w:themeColor="accent3" w:themeTint="98"/>
        <w:bottom w:val="single" w:sz="4" w:space="0" w:color="C3D69B" w:themeColor="accent3" w:themeTint="98"/>
      </w:tblBorders>
    </w:tblPr>
    <w:tblStylePr w:type="firstRow">
      <w:pPr>
        <w:snapToGrid/>
      </w:pPr>
      <w:rPr>
        <w:b/>
        <w:color w:val="C2D69B" w:themeColor="accent3" w:themeTint="99"/>
      </w:rPr>
      <w:tblPr/>
      <w:tcPr>
        <w:tcBorders>
          <w:bottom w:val="single" w:sz="4" w:space="0" w:color="C3D69B" w:themeColor="accent3" w:themeTint="98"/>
        </w:tcBorders>
      </w:tcPr>
    </w:tblStylePr>
    <w:tblStylePr w:type="lastRow">
      <w:pPr>
        <w:snapToGrid/>
      </w:pPr>
      <w:rPr>
        <w:b/>
        <w:color w:val="C2D69B" w:themeColor="accent3" w:themeTint="99"/>
      </w:rPr>
      <w:tblPr/>
      <w:tcPr>
        <w:tcBorders>
          <w:top w:val="single" w:sz="4" w:space="0" w:color="C3D69B" w:themeColor="accent3" w:themeTint="98"/>
        </w:tcBorders>
      </w:tcPr>
    </w:tblStylePr>
    <w:tblStylePr w:type="firstCol">
      <w:pPr>
        <w:snapToGrid/>
      </w:pPr>
      <w:rPr>
        <w:b/>
        <w:color w:val="C2D69B" w:themeColor="accent3" w:themeTint="99"/>
      </w:rPr>
    </w:tblStylePr>
    <w:tblStylePr w:type="lastCol">
      <w:pPr>
        <w:snapToGrid/>
      </w:pPr>
      <w:rPr>
        <w:b/>
        <w:color w:val="C2D69B" w:themeColor="accent3" w:themeTint="99"/>
      </w:r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E5EED5"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TableNormal"/>
    <w:uiPriority w:val="99"/>
    <w:qFormat/>
    <w:tblPr>
      <w:tblBorders>
        <w:top w:val="single" w:sz="4" w:space="0" w:color="B2A1C6" w:themeColor="accent4" w:themeTint="9A"/>
        <w:bottom w:val="single" w:sz="4" w:space="0" w:color="B2A1C6" w:themeColor="accent4" w:themeTint="9A"/>
      </w:tblBorders>
    </w:tblPr>
    <w:tblStylePr w:type="firstRow">
      <w:pPr>
        <w:snapToGrid/>
      </w:pPr>
      <w:rPr>
        <w:b/>
        <w:color w:val="B2A1C7" w:themeColor="accent4" w:themeTint="99"/>
      </w:rPr>
      <w:tblPr/>
      <w:tcPr>
        <w:tcBorders>
          <w:bottom w:val="single" w:sz="4" w:space="0" w:color="B2A1C6" w:themeColor="accent4" w:themeTint="9A"/>
        </w:tcBorders>
      </w:tcPr>
    </w:tblStylePr>
    <w:tblStylePr w:type="lastRow">
      <w:pPr>
        <w:snapToGrid/>
      </w:pPr>
      <w:rPr>
        <w:b/>
        <w:color w:val="B2A1C7" w:themeColor="accent4" w:themeTint="99"/>
      </w:rPr>
      <w:tblPr/>
      <w:tcPr>
        <w:tcBorders>
          <w:top w:val="single" w:sz="4" w:space="0" w:color="B2A1C6" w:themeColor="accent4" w:themeTint="9A"/>
        </w:tcBorders>
      </w:tc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DFD8E7"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TableNormal"/>
    <w:uiPriority w:val="99"/>
    <w:qFormat/>
    <w:tblPr>
      <w:tblBorders>
        <w:top w:val="single" w:sz="4" w:space="0" w:color="92CCDC" w:themeColor="accent5" w:themeTint="9A"/>
        <w:bottom w:val="single" w:sz="4" w:space="0" w:color="92CCDC" w:themeColor="accent5" w:themeTint="9A"/>
      </w:tblBorders>
    </w:tblPr>
    <w:tblStylePr w:type="firstRow">
      <w:pPr>
        <w:snapToGrid/>
      </w:pPr>
      <w:rPr>
        <w:b/>
        <w:color w:val="92CDDC" w:themeColor="accent5" w:themeTint="99"/>
      </w:rPr>
      <w:tblPr/>
      <w:tcPr>
        <w:tcBorders>
          <w:bottom w:val="single" w:sz="4" w:space="0" w:color="92CCDC" w:themeColor="accent5" w:themeTint="9A"/>
        </w:tcBorders>
      </w:tcPr>
    </w:tblStylePr>
    <w:tblStylePr w:type="lastRow">
      <w:pPr>
        <w:snapToGrid/>
      </w:pPr>
      <w:rPr>
        <w:b/>
        <w:color w:val="92CDDC" w:themeColor="accent5" w:themeTint="99"/>
      </w:rPr>
      <w:tblPr/>
      <w:tcPr>
        <w:tcBorders>
          <w:top w:val="single" w:sz="4" w:space="0" w:color="92CCDC" w:themeColor="accent5" w:themeTint="9A"/>
        </w:tcBorders>
      </w:tcPr>
    </w:tblStylePr>
    <w:tblStylePr w:type="firstCol">
      <w:pPr>
        <w:snapToGrid/>
      </w:pPr>
      <w:rPr>
        <w:b/>
        <w:color w:val="92CDDC" w:themeColor="accent5" w:themeTint="99"/>
      </w:rPr>
    </w:tblStylePr>
    <w:tblStylePr w:type="lastCol">
      <w:pPr>
        <w:snapToGrid/>
      </w:pPr>
      <w:rPr>
        <w:b/>
        <w:color w:val="92CDDC" w:themeColor="accent5" w:themeTint="99"/>
      </w:r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D1EAF0"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TableNormal"/>
    <w:uiPriority w:val="99"/>
    <w:qFormat/>
    <w:tblPr>
      <w:tblBorders>
        <w:top w:val="single" w:sz="4" w:space="0" w:color="FAC090" w:themeColor="accent6" w:themeTint="98"/>
        <w:bottom w:val="single" w:sz="4" w:space="0" w:color="FAC090" w:themeColor="accent6" w:themeTint="98"/>
      </w:tblBorders>
    </w:tblPr>
    <w:tblStylePr w:type="firstRow">
      <w:pPr>
        <w:snapToGrid/>
      </w:pPr>
      <w:rPr>
        <w:b/>
        <w:color w:val="FABF8F" w:themeColor="accent6" w:themeTint="99"/>
      </w:rPr>
      <w:tblPr/>
      <w:tcPr>
        <w:tcBorders>
          <w:bottom w:val="single" w:sz="4" w:space="0" w:color="FAC090" w:themeColor="accent6" w:themeTint="98"/>
        </w:tcBorders>
      </w:tcPr>
    </w:tblStylePr>
    <w:tblStylePr w:type="lastRow">
      <w:pPr>
        <w:snapToGrid/>
      </w:pPr>
      <w:rPr>
        <w:b/>
        <w:color w:val="FABF8F" w:themeColor="accent6" w:themeTint="99"/>
      </w:rPr>
      <w:tblPr/>
      <w:tcPr>
        <w:tcBorders>
          <w:top w:val="single" w:sz="4" w:space="0" w:color="FAC090" w:themeColor="accent6" w:themeTint="98"/>
        </w:tcBorders>
      </w:tcPr>
    </w:tblStylePr>
    <w:tblStylePr w:type="firstCol">
      <w:pPr>
        <w:snapToGrid/>
      </w:pPr>
      <w:rPr>
        <w:b/>
        <w:color w:val="FABF8F" w:themeColor="accent6" w:themeTint="99"/>
      </w:rPr>
    </w:tblStylePr>
    <w:tblStylePr w:type="lastCol">
      <w:pPr>
        <w:snapToGrid/>
      </w:pPr>
      <w:rPr>
        <w:b/>
        <w:color w:val="FABF8F" w:themeColor="accent6" w:themeTint="99"/>
      </w:r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FDE4D0"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1">
    <w:name w:val="清单表 7 彩色1_0"/>
    <w:basedOn w:val="TableNormal"/>
    <w:uiPriority w:val="99"/>
    <w:qFormat/>
    <w:tblPr>
      <w:tblBorders>
        <w:right w:val="single" w:sz="4" w:space="0" w:color="7F7F7F" w:themeColor="text1" w:themeTint="80"/>
      </w:tblBorders>
    </w:tblPr>
    <w:tblStylePr w:type="firstRow">
      <w:pPr>
        <w:snapToGrid/>
      </w:pPr>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Tint="80"/>
        <w:sz w:val="22"/>
      </w:rPr>
      <w:tblPr/>
      <w:tcPr>
        <w:shd w:val="clear" w:color="BFBFBF" w:fill="BFBFBF" w:themeFill="text1" w:themeFillTint="4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TableNormal"/>
    <w:uiPriority w:val="99"/>
    <w:qFormat/>
    <w:tblPr>
      <w:tblBorders>
        <w:right w:val="single" w:sz="4" w:space="0" w:color="4F81BD" w:themeColor="accent1"/>
      </w:tblBorders>
    </w:tblPr>
    <w:tblStylePr w:type="firstRow">
      <w:pPr>
        <w:snapToGrid/>
      </w:pPr>
      <w:rPr>
        <w:rFonts w:ascii="Arial" w:hAnsi="Arial"/>
        <w:i/>
        <w:color w:val="2A4A70" w:themeColor="accent1" w:themeShade="94"/>
        <w:sz w:val="22"/>
      </w:rPr>
      <w:tblPr/>
      <w:tcPr>
        <w:tcBorders>
          <w:top w:val="nil"/>
          <w:left w:val="nil"/>
          <w:bottom w:val="single" w:sz="4" w:space="0" w:color="4F81BD" w:themeColor="accent1"/>
          <w:right w:val="nil"/>
        </w:tcBorders>
        <w:shd w:val="clear" w:color="FFFFFF" w:fill="FFFFFF" w:themeFill="light1"/>
      </w:tcPr>
    </w:tblStylePr>
    <w:tblStylePr w:type="lastRow">
      <w:pPr>
        <w:snapToGrid/>
      </w:pPr>
      <w:rPr>
        <w:rFonts w:ascii="Arial" w:hAnsi="Arial"/>
        <w:i/>
        <w:color w:val="2A4A70" w:themeColor="accent1" w:themeShade="94"/>
        <w:sz w:val="22"/>
      </w:rPr>
      <w:tblPr/>
      <w:tcPr>
        <w:tcBorders>
          <w:top w:val="single" w:sz="4" w:space="0" w:color="4F81BD" w:themeColor="accent1"/>
          <w:left w:val="nil"/>
          <w:bottom w:val="nil"/>
          <w:right w:val="nil"/>
        </w:tcBorders>
        <w:shd w:val="clear" w:color="FFFFFF" w:fill="FFFFFF" w:themeFill="light1"/>
      </w:tcPr>
    </w:tblStylePr>
    <w:tblStylePr w:type="firstCol">
      <w:pPr>
        <w:snapToGrid/>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FFFFFF"/>
      </w:tcPr>
    </w:tblStylePr>
    <w:tblStylePr w:type="lastCol">
      <w:pPr>
        <w:snapToGrid/>
      </w:pPr>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FFFFFF"/>
      </w:tcPr>
    </w:tblStylePr>
    <w:tblStylePr w:type="band1Vert">
      <w:pPr>
        <w:snapToGrid/>
      </w:pPr>
      <w:tblPr/>
      <w:tcPr>
        <w:shd w:val="clear" w:color="D2DFEE"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D2DFEE"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TableNormal"/>
    <w:uiPriority w:val="99"/>
    <w:qFormat/>
    <w:tblPr>
      <w:tblBorders>
        <w:right w:val="single" w:sz="4" w:space="0" w:color="D99695" w:themeColor="accent2" w:themeTint="97"/>
      </w:tblBorders>
    </w:tblPr>
    <w:tblStylePr w:type="firstRow">
      <w:pPr>
        <w:snapToGrid/>
      </w:pPr>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EFD2D2"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EFD2D2"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TableNormal"/>
    <w:uiPriority w:val="99"/>
    <w:qFormat/>
    <w:tblPr>
      <w:tblBorders>
        <w:right w:val="single" w:sz="4" w:space="0" w:color="C3D69B" w:themeColor="accent3" w:themeTint="98"/>
      </w:tblBorders>
    </w:tblPr>
    <w:tblStylePr w:type="firstRow">
      <w:pPr>
        <w:snapToGrid/>
      </w:pPr>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fill="FFFFFF" w:themeFill="light1"/>
      </w:tcPr>
    </w:tblStylePr>
    <w:tblStylePr w:type="lastRow">
      <w:pPr>
        <w:snapToGrid/>
      </w:pPr>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fill="FFFFFF" w:themeFill="light1"/>
      </w:tcPr>
    </w:tblStylePr>
    <w:tblStylePr w:type="firstCol">
      <w:pPr>
        <w:snapToGrid/>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FFFFFF"/>
      </w:tcPr>
    </w:tblStylePr>
    <w:tblStylePr w:type="lastCol">
      <w:pPr>
        <w:snapToGrid/>
      </w:pPr>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FFFFFF"/>
      </w:tcPr>
    </w:tblStylePr>
    <w:tblStylePr w:type="band1Vert">
      <w:pPr>
        <w:snapToGrid/>
      </w:pPr>
      <w:tblPr/>
      <w:tcPr>
        <w:shd w:val="clear" w:color="E5EED5"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E5EED5"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TableNormal"/>
    <w:uiPriority w:val="99"/>
    <w:qFormat/>
    <w:tblPr>
      <w:tblBorders>
        <w:right w:val="single" w:sz="4" w:space="0" w:color="B2A1C6" w:themeColor="accent4" w:themeTint="9A"/>
      </w:tblBorders>
    </w:tblPr>
    <w:tblStylePr w:type="firstRow">
      <w:pPr>
        <w:snapToGrid/>
      </w:pPr>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DFD8E7"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DFD8E7"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TableNormal"/>
    <w:uiPriority w:val="99"/>
    <w:qFormat/>
    <w:tblPr>
      <w:tblBorders>
        <w:right w:val="single" w:sz="4" w:space="0" w:color="92CCDC" w:themeColor="accent5" w:themeTint="9A"/>
      </w:tblBorders>
    </w:tblPr>
    <w:tblStylePr w:type="firstRow">
      <w:pPr>
        <w:snapToGrid/>
      </w:pPr>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fill="FFFFFF" w:themeFill="light1"/>
      </w:tcPr>
    </w:tblStylePr>
    <w:tblStylePr w:type="lastRow">
      <w:pPr>
        <w:snapToGrid/>
      </w:pPr>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fill="FFFFFF" w:themeFill="light1"/>
      </w:tcPr>
    </w:tblStylePr>
    <w:tblStylePr w:type="firstCol">
      <w:pPr>
        <w:snapToGrid/>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FFFFFF"/>
      </w:tcPr>
    </w:tblStylePr>
    <w:tblStylePr w:type="lastCol">
      <w:pPr>
        <w:snapToGrid/>
      </w:pPr>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FFFFFF"/>
      </w:tcPr>
    </w:tblStylePr>
    <w:tblStylePr w:type="band1Vert">
      <w:pPr>
        <w:snapToGrid/>
      </w:pPr>
      <w:tblPr/>
      <w:tcPr>
        <w:shd w:val="clear" w:color="D1EAF0"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D1EAF0"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TableNormal"/>
    <w:uiPriority w:val="99"/>
    <w:qFormat/>
    <w:tblPr>
      <w:tblBorders>
        <w:right w:val="single" w:sz="4" w:space="0" w:color="FAC090" w:themeColor="accent6" w:themeTint="98"/>
      </w:tblBorders>
    </w:tblPr>
    <w:tblStylePr w:type="firstRow">
      <w:pPr>
        <w:snapToGrid/>
      </w:pPr>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fill="FFFFFF" w:themeFill="light1"/>
      </w:tcPr>
    </w:tblStylePr>
    <w:tblStylePr w:type="lastRow">
      <w:pPr>
        <w:snapToGrid/>
      </w:pPr>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fill="FFFFFF" w:themeFill="light1"/>
      </w:tcPr>
    </w:tblStylePr>
    <w:tblStylePr w:type="firstCol">
      <w:pPr>
        <w:snapToGrid/>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FFFFFF"/>
      </w:tcPr>
    </w:tblStylePr>
    <w:tblStylePr w:type="lastCol">
      <w:pPr>
        <w:snapToGrid/>
      </w:pPr>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FFFFFF"/>
      </w:tcPr>
    </w:tblStylePr>
    <w:tblStylePr w:type="band1Vert">
      <w:pPr>
        <w:snapToGrid/>
      </w:pPr>
      <w:tblPr/>
      <w:tcPr>
        <w:shd w:val="clear" w:color="FDE4D0"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FDE4D0"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TableNormal"/>
    <w:uiPriority w:val="99"/>
    <w:qFormat/>
    <w:rPr>
      <w:color w:val="404040"/>
    </w:rPr>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TableNormal"/>
    <w:uiPriority w:val="99"/>
    <w:qFormat/>
    <w:rPr>
      <w:color w:val="404040"/>
    </w:rPr>
    <w:tblPr/>
    <w:tblStylePr w:type="firstRow">
      <w:pPr>
        <w:snapToGrid/>
      </w:pPr>
      <w:rPr>
        <w:rFonts w:ascii="Arial" w:hAnsi="Arial"/>
        <w:color w:val="F2F2F2"/>
        <w:sz w:val="22"/>
      </w:rPr>
      <w:tblPr/>
      <w:tcPr>
        <w:shd w:val="clear" w:color="5D8AC2" w:fill="5D8AC2" w:themeFill="accent1" w:themeFillTint="EA"/>
      </w:tcPr>
    </w:tblStylePr>
    <w:tblStylePr w:type="lastRow">
      <w:pPr>
        <w:snapToGrid/>
      </w:pPr>
      <w:rPr>
        <w:rFonts w:ascii="Arial" w:hAnsi="Arial"/>
        <w:color w:val="F2F2F2"/>
        <w:sz w:val="22"/>
      </w:rPr>
      <w:tblPr/>
      <w:tcPr>
        <w:shd w:val="clear" w:color="5D8AC2" w:fill="5D8AC2" w:themeFill="accent1" w:themeFillTint="EA"/>
      </w:tcPr>
    </w:tblStylePr>
    <w:tblStylePr w:type="firstCol">
      <w:pPr>
        <w:snapToGrid/>
      </w:pPr>
      <w:rPr>
        <w:rFonts w:ascii="Arial" w:hAnsi="Arial"/>
        <w:color w:val="F2F2F2"/>
        <w:sz w:val="22"/>
      </w:rPr>
      <w:tblPr/>
      <w:tcPr>
        <w:shd w:val="clear" w:color="5D8AC2" w:fill="5D8AC2" w:themeFill="accent1" w:themeFillTint="EA"/>
      </w:tcPr>
    </w:tblStylePr>
    <w:tblStylePr w:type="lastCol">
      <w:pPr>
        <w:snapToGrid/>
      </w:pPr>
      <w:rPr>
        <w:rFonts w:ascii="Arial" w:hAnsi="Arial"/>
        <w:color w:val="F2F2F2"/>
        <w:sz w:val="22"/>
      </w:rPr>
      <w:tblPr/>
      <w:tcPr>
        <w:shd w:val="clear" w:color="5D8AC2"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7D7EA"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7D7EA"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TableNormal"/>
    <w:uiPriority w:val="99"/>
    <w:qFormat/>
    <w:rPr>
      <w:color w:val="404040"/>
    </w:rPr>
    <w:tblPr/>
    <w:tblStylePr w:type="firstRow">
      <w:pPr>
        <w:snapToGrid/>
      </w:pPr>
      <w:rPr>
        <w:rFonts w:ascii="Arial" w:hAnsi="Arial"/>
        <w:color w:val="F2F2F2"/>
        <w:sz w:val="22"/>
      </w:rPr>
      <w:tblPr/>
      <w:tcPr>
        <w:shd w:val="clear" w:color="D99695" w:fill="D99695" w:themeFill="accent2" w:themeFillTint="97"/>
      </w:tcPr>
    </w:tblStylePr>
    <w:tblStylePr w:type="lastRow">
      <w:pPr>
        <w:snapToGrid/>
      </w:pPr>
      <w:rPr>
        <w:rFonts w:ascii="Arial" w:hAnsi="Arial"/>
        <w:color w:val="F2F2F2"/>
        <w:sz w:val="22"/>
      </w:rPr>
      <w:tblPr/>
      <w:tcPr>
        <w:shd w:val="clear" w:color="D99695" w:fill="D99695" w:themeFill="accent2" w:themeFillTint="97"/>
      </w:tcPr>
    </w:tblStylePr>
    <w:tblStylePr w:type="firstCol">
      <w:pPr>
        <w:snapToGrid/>
      </w:pPr>
      <w:rPr>
        <w:rFonts w:ascii="Arial" w:hAnsi="Arial"/>
        <w:color w:val="F2F2F2"/>
        <w:sz w:val="22"/>
      </w:rPr>
      <w:tblPr/>
      <w:tcPr>
        <w:shd w:val="clear" w:color="D99695" w:fill="D99695" w:themeFill="accent2" w:themeFillTint="97"/>
      </w:tcPr>
    </w:tblStylePr>
    <w:tblStylePr w:type="lastCol">
      <w:pPr>
        <w:snapToGrid/>
      </w:pPr>
      <w:rPr>
        <w:rFonts w:ascii="Arial" w:hAnsi="Arial"/>
        <w:color w:val="F2F2F2"/>
        <w:sz w:val="22"/>
      </w:rPr>
      <w:tblPr/>
      <w:tcPr>
        <w:shd w:val="clear" w:color="D99695"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DCDC"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DCDC"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TableNormal"/>
    <w:uiPriority w:val="99"/>
    <w:qFormat/>
    <w:rPr>
      <w:color w:val="404040"/>
    </w:rPr>
    <w:tblPr/>
    <w:tblStylePr w:type="firstRow">
      <w:pPr>
        <w:snapToGrid/>
      </w:pPr>
      <w:rPr>
        <w:rFonts w:ascii="Arial" w:hAnsi="Arial"/>
        <w:color w:val="F2F2F2"/>
        <w:sz w:val="22"/>
      </w:rPr>
      <w:tblPr/>
      <w:tcPr>
        <w:shd w:val="clear" w:color="9ABB59" w:fill="9ABB59" w:themeFill="accent3" w:themeFillTint="FE"/>
      </w:tcPr>
    </w:tblStylePr>
    <w:tblStylePr w:type="lastRow">
      <w:pPr>
        <w:snapToGrid/>
      </w:pPr>
      <w:rPr>
        <w:rFonts w:ascii="Arial" w:hAnsi="Arial"/>
        <w:color w:val="F2F2F2"/>
        <w:sz w:val="22"/>
      </w:rPr>
      <w:tblPr/>
      <w:tcPr>
        <w:shd w:val="clear" w:color="9ABB59" w:fill="9ABB59" w:themeFill="accent3" w:themeFillTint="FE"/>
      </w:tcPr>
    </w:tblStylePr>
    <w:tblStylePr w:type="firstCol">
      <w:pPr>
        <w:snapToGrid/>
      </w:pPr>
      <w:rPr>
        <w:rFonts w:ascii="Arial" w:hAnsi="Arial"/>
        <w:color w:val="F2F2F2"/>
        <w:sz w:val="22"/>
      </w:rPr>
      <w:tblPr/>
      <w:tcPr>
        <w:shd w:val="clear" w:color="9ABB59" w:fill="9ABB59" w:themeFill="accent3" w:themeFillTint="FE"/>
      </w:tcPr>
    </w:tblStylePr>
    <w:tblStylePr w:type="lastCol">
      <w:pPr>
        <w:snapToGrid/>
      </w:pPr>
      <w:rPr>
        <w:rFonts w:ascii="Arial" w:hAnsi="Arial"/>
        <w:color w:val="F2F2F2"/>
        <w:sz w:val="22"/>
      </w:rPr>
      <w:tblPr/>
      <w:tcPr>
        <w:shd w:val="clear" w:color="9ABB59"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AF1D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AF1D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TableNormal"/>
    <w:uiPriority w:val="99"/>
    <w:qFormat/>
    <w:rPr>
      <w:color w:val="404040"/>
    </w:rPr>
    <w:tblPr/>
    <w:tblStylePr w:type="firstRow">
      <w:pPr>
        <w:snapToGrid/>
      </w:pPr>
      <w:rPr>
        <w:rFonts w:ascii="Arial" w:hAnsi="Arial"/>
        <w:color w:val="F2F2F2"/>
        <w:sz w:val="22"/>
      </w:rPr>
      <w:tblPr/>
      <w:tcPr>
        <w:shd w:val="clear" w:color="B2A1C6" w:fill="B2A1C6" w:themeFill="accent4" w:themeFillTint="9A"/>
      </w:tcPr>
    </w:tblStylePr>
    <w:tblStylePr w:type="lastRow">
      <w:pPr>
        <w:snapToGrid/>
      </w:pPr>
      <w:rPr>
        <w:rFonts w:ascii="Arial" w:hAnsi="Arial"/>
        <w:color w:val="F2F2F2"/>
        <w:sz w:val="22"/>
      </w:rPr>
      <w:tblPr/>
      <w:tcPr>
        <w:shd w:val="clear" w:color="B2A1C6" w:fill="B2A1C6" w:themeFill="accent4" w:themeFillTint="9A"/>
      </w:tcPr>
    </w:tblStylePr>
    <w:tblStylePr w:type="firstCol">
      <w:pPr>
        <w:snapToGrid/>
      </w:pPr>
      <w:rPr>
        <w:rFonts w:ascii="Arial" w:hAnsi="Arial"/>
        <w:color w:val="F2F2F2"/>
        <w:sz w:val="22"/>
      </w:rPr>
      <w:tblPr/>
      <w:tcPr>
        <w:shd w:val="clear" w:color="B2A1C6" w:fill="B2A1C6" w:themeFill="accent4" w:themeFillTint="9A"/>
      </w:tcPr>
    </w:tblStylePr>
    <w:tblStylePr w:type="lastCol">
      <w:pPr>
        <w:snapToGrid/>
      </w:pPr>
      <w:rPr>
        <w:rFonts w:ascii="Arial" w:hAnsi="Arial"/>
        <w:color w:val="F2F2F2"/>
        <w:sz w:val="22"/>
      </w:rPr>
      <w:tblPr/>
      <w:tcPr>
        <w:shd w:val="clear" w:color="B2A1C6"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5DFEC"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5DFEC"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TableNormal"/>
    <w:uiPriority w:val="99"/>
    <w:qFormat/>
    <w:rPr>
      <w:color w:val="404040"/>
    </w:rPr>
    <w:tblPr/>
    <w:tblStylePr w:type="firstRow">
      <w:pPr>
        <w:snapToGrid/>
      </w:pPr>
      <w:rPr>
        <w:rFonts w:ascii="Arial" w:hAnsi="Arial"/>
        <w:color w:val="F2F2F2"/>
        <w:sz w:val="22"/>
      </w:rPr>
      <w:tblPr/>
      <w:tcPr>
        <w:shd w:val="clear" w:color="4BACC6" w:fill="4BACC6" w:themeFill="accent5"/>
      </w:tcPr>
    </w:tblStylePr>
    <w:tblStylePr w:type="lastRow">
      <w:pPr>
        <w:snapToGrid/>
      </w:pPr>
      <w:rPr>
        <w:rFonts w:ascii="Arial" w:hAnsi="Arial"/>
        <w:color w:val="F2F2F2"/>
        <w:sz w:val="22"/>
      </w:rPr>
      <w:tblPr/>
      <w:tcPr>
        <w:shd w:val="clear" w:color="4BACC6" w:fill="4BACC6" w:themeFill="accent5"/>
      </w:tcPr>
    </w:tblStylePr>
    <w:tblStylePr w:type="firstCol">
      <w:pPr>
        <w:snapToGrid/>
      </w:pPr>
      <w:rPr>
        <w:rFonts w:ascii="Arial" w:hAnsi="Arial"/>
        <w:color w:val="F2F2F2"/>
        <w:sz w:val="22"/>
      </w:rPr>
      <w:tblPr/>
      <w:tcPr>
        <w:shd w:val="clear" w:color="4BACC6" w:fill="4BACC6" w:themeFill="accent5"/>
      </w:tcPr>
    </w:tblStylePr>
    <w:tblStylePr w:type="lastCol">
      <w:pPr>
        <w:snapToGrid/>
      </w:pPr>
      <w:rPr>
        <w:rFonts w:ascii="Arial" w:hAnsi="Arial"/>
        <w:color w:val="F2F2F2"/>
        <w:sz w:val="22"/>
      </w:rPr>
      <w:tblPr/>
      <w:tcPr>
        <w:shd w:val="clear" w:color="4BACC6"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AEE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AEE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TableNormal"/>
    <w:uiPriority w:val="99"/>
    <w:qFormat/>
    <w:rPr>
      <w:color w:val="404040"/>
    </w:rPr>
    <w:tblPr/>
    <w:tblStylePr w:type="firstRow">
      <w:pPr>
        <w:snapToGrid/>
      </w:pPr>
      <w:rPr>
        <w:rFonts w:ascii="Arial" w:hAnsi="Arial"/>
        <w:color w:val="F2F2F2"/>
        <w:sz w:val="22"/>
      </w:rPr>
      <w:tblPr/>
      <w:tcPr>
        <w:shd w:val="clear" w:color="F79646" w:fill="F79646" w:themeFill="accent6"/>
      </w:tcPr>
    </w:tblStylePr>
    <w:tblStylePr w:type="lastRow">
      <w:pPr>
        <w:snapToGrid/>
      </w:pPr>
      <w:rPr>
        <w:rFonts w:ascii="Arial" w:hAnsi="Arial"/>
        <w:color w:val="F2F2F2"/>
        <w:sz w:val="22"/>
      </w:rPr>
      <w:tblPr/>
      <w:tcPr>
        <w:shd w:val="clear" w:color="F79646" w:fill="F79646" w:themeFill="accent6"/>
      </w:tcPr>
    </w:tblStylePr>
    <w:tblStylePr w:type="firstCol">
      <w:pPr>
        <w:snapToGrid/>
      </w:pPr>
      <w:rPr>
        <w:rFonts w:ascii="Arial" w:hAnsi="Arial"/>
        <w:color w:val="F2F2F2"/>
        <w:sz w:val="22"/>
      </w:rPr>
      <w:tblPr/>
      <w:tcPr>
        <w:shd w:val="clear" w:color="F79646" w:fill="F79646" w:themeFill="accent6"/>
      </w:tcPr>
    </w:tblStylePr>
    <w:tblStylePr w:type="lastCol">
      <w:pPr>
        <w:snapToGrid/>
      </w:pPr>
      <w:rPr>
        <w:rFonts w:ascii="Arial" w:hAnsi="Arial"/>
        <w:color w:val="F2F2F2"/>
        <w:sz w:val="22"/>
      </w:rPr>
      <w:tblPr/>
      <w:tcPr>
        <w:shd w:val="clear" w:color="F79646"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DE9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DE9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pPr>
        <w:snapToGrid/>
      </w:pPr>
      <w:rPr>
        <w:rFonts w:ascii="Arial" w:hAnsi="Arial"/>
        <w:color w:val="F2F2F2"/>
        <w:sz w:val="22"/>
      </w:rPr>
      <w:tblPr/>
      <w:tcPr>
        <w:shd w:val="clear" w:color="5D8AC2" w:fill="5D8AC2" w:themeFill="accent1" w:themeFillTint="EA"/>
      </w:tcPr>
    </w:tblStylePr>
    <w:tblStylePr w:type="lastRow">
      <w:pPr>
        <w:snapToGrid/>
      </w:pPr>
      <w:rPr>
        <w:rFonts w:ascii="Arial" w:hAnsi="Arial"/>
        <w:color w:val="F2F2F2"/>
        <w:sz w:val="22"/>
      </w:rPr>
      <w:tblPr/>
      <w:tcPr>
        <w:shd w:val="clear" w:color="5D8AC2" w:fill="5D8AC2" w:themeFill="accent1" w:themeFillTint="EA"/>
      </w:tcPr>
    </w:tblStylePr>
    <w:tblStylePr w:type="firstCol">
      <w:pPr>
        <w:snapToGrid/>
      </w:pPr>
      <w:rPr>
        <w:rFonts w:ascii="Arial" w:hAnsi="Arial"/>
        <w:color w:val="F2F2F2"/>
        <w:sz w:val="22"/>
      </w:rPr>
      <w:tblPr/>
      <w:tcPr>
        <w:shd w:val="clear" w:color="5D8AC2" w:fill="5D8AC2" w:themeFill="accent1" w:themeFillTint="EA"/>
      </w:tcPr>
    </w:tblStylePr>
    <w:tblStylePr w:type="lastCol">
      <w:pPr>
        <w:snapToGrid/>
      </w:pPr>
      <w:rPr>
        <w:rFonts w:ascii="Arial" w:hAnsi="Arial"/>
        <w:color w:val="F2F2F2"/>
        <w:sz w:val="22"/>
      </w:rPr>
      <w:tblPr/>
      <w:tcPr>
        <w:shd w:val="clear" w:color="5D8AC2"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7D7EA"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7D7EA"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pPr>
        <w:snapToGrid/>
      </w:pPr>
      <w:rPr>
        <w:rFonts w:ascii="Arial" w:hAnsi="Arial"/>
        <w:color w:val="F2F2F2"/>
        <w:sz w:val="22"/>
      </w:rPr>
      <w:tblPr/>
      <w:tcPr>
        <w:shd w:val="clear" w:color="D99695" w:fill="D99695" w:themeFill="accent2" w:themeFillTint="97"/>
      </w:tcPr>
    </w:tblStylePr>
    <w:tblStylePr w:type="lastRow">
      <w:pPr>
        <w:snapToGrid/>
      </w:pPr>
      <w:rPr>
        <w:rFonts w:ascii="Arial" w:hAnsi="Arial"/>
        <w:color w:val="F2F2F2"/>
        <w:sz w:val="22"/>
      </w:rPr>
      <w:tblPr/>
      <w:tcPr>
        <w:shd w:val="clear" w:color="D99695" w:fill="D99695" w:themeFill="accent2" w:themeFillTint="97"/>
      </w:tcPr>
    </w:tblStylePr>
    <w:tblStylePr w:type="firstCol">
      <w:pPr>
        <w:snapToGrid/>
      </w:pPr>
      <w:rPr>
        <w:rFonts w:ascii="Arial" w:hAnsi="Arial"/>
        <w:color w:val="F2F2F2"/>
        <w:sz w:val="22"/>
      </w:rPr>
      <w:tblPr/>
      <w:tcPr>
        <w:shd w:val="clear" w:color="D99695" w:fill="D99695" w:themeFill="accent2" w:themeFillTint="97"/>
      </w:tcPr>
    </w:tblStylePr>
    <w:tblStylePr w:type="lastCol">
      <w:pPr>
        <w:snapToGrid/>
      </w:pPr>
      <w:rPr>
        <w:rFonts w:ascii="Arial" w:hAnsi="Arial"/>
        <w:color w:val="F2F2F2"/>
        <w:sz w:val="22"/>
      </w:rPr>
      <w:tblPr/>
      <w:tcPr>
        <w:shd w:val="clear" w:color="D99695"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DCDC"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DCDC"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TableNormal"/>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pPr>
        <w:snapToGrid/>
      </w:pPr>
      <w:rPr>
        <w:rFonts w:ascii="Arial" w:hAnsi="Arial"/>
        <w:color w:val="F2F2F2"/>
        <w:sz w:val="22"/>
      </w:rPr>
      <w:tblPr/>
      <w:tcPr>
        <w:shd w:val="clear" w:color="9ABB59" w:fill="9ABB59" w:themeFill="accent3" w:themeFillTint="FE"/>
      </w:tcPr>
    </w:tblStylePr>
    <w:tblStylePr w:type="lastRow">
      <w:pPr>
        <w:snapToGrid/>
      </w:pPr>
      <w:rPr>
        <w:rFonts w:ascii="Arial" w:hAnsi="Arial"/>
        <w:color w:val="F2F2F2"/>
        <w:sz w:val="22"/>
      </w:rPr>
      <w:tblPr/>
      <w:tcPr>
        <w:shd w:val="clear" w:color="9ABB59" w:fill="9ABB59" w:themeFill="accent3" w:themeFillTint="FE"/>
      </w:tcPr>
    </w:tblStylePr>
    <w:tblStylePr w:type="firstCol">
      <w:pPr>
        <w:snapToGrid/>
      </w:pPr>
      <w:rPr>
        <w:rFonts w:ascii="Arial" w:hAnsi="Arial"/>
        <w:color w:val="F2F2F2"/>
        <w:sz w:val="22"/>
      </w:rPr>
      <w:tblPr/>
      <w:tcPr>
        <w:shd w:val="clear" w:color="9ABB59" w:fill="9ABB59" w:themeFill="accent3" w:themeFillTint="FE"/>
      </w:tcPr>
    </w:tblStylePr>
    <w:tblStylePr w:type="lastCol">
      <w:pPr>
        <w:snapToGrid/>
      </w:pPr>
      <w:rPr>
        <w:rFonts w:ascii="Arial" w:hAnsi="Arial"/>
        <w:color w:val="F2F2F2"/>
        <w:sz w:val="22"/>
      </w:rPr>
      <w:tblPr/>
      <w:tcPr>
        <w:shd w:val="clear" w:color="9ABB59"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AF1D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AF1D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pPr>
        <w:snapToGrid/>
      </w:pPr>
      <w:rPr>
        <w:rFonts w:ascii="Arial" w:hAnsi="Arial"/>
        <w:color w:val="F2F2F2"/>
        <w:sz w:val="22"/>
      </w:rPr>
      <w:tblPr/>
      <w:tcPr>
        <w:shd w:val="clear" w:color="B2A1C6" w:fill="B2A1C6" w:themeFill="accent4" w:themeFillTint="9A"/>
      </w:tcPr>
    </w:tblStylePr>
    <w:tblStylePr w:type="lastRow">
      <w:pPr>
        <w:snapToGrid/>
      </w:pPr>
      <w:rPr>
        <w:rFonts w:ascii="Arial" w:hAnsi="Arial"/>
        <w:color w:val="F2F2F2"/>
        <w:sz w:val="22"/>
      </w:rPr>
      <w:tblPr/>
      <w:tcPr>
        <w:shd w:val="clear" w:color="B2A1C6" w:fill="B2A1C6" w:themeFill="accent4" w:themeFillTint="9A"/>
      </w:tcPr>
    </w:tblStylePr>
    <w:tblStylePr w:type="firstCol">
      <w:pPr>
        <w:snapToGrid/>
      </w:pPr>
      <w:rPr>
        <w:rFonts w:ascii="Arial" w:hAnsi="Arial"/>
        <w:color w:val="F2F2F2"/>
        <w:sz w:val="22"/>
      </w:rPr>
      <w:tblPr/>
      <w:tcPr>
        <w:shd w:val="clear" w:color="B2A1C6" w:fill="B2A1C6" w:themeFill="accent4" w:themeFillTint="9A"/>
      </w:tcPr>
    </w:tblStylePr>
    <w:tblStylePr w:type="lastCol">
      <w:pPr>
        <w:snapToGrid/>
      </w:pPr>
      <w:rPr>
        <w:rFonts w:ascii="Arial" w:hAnsi="Arial"/>
        <w:color w:val="F2F2F2"/>
        <w:sz w:val="22"/>
      </w:rPr>
      <w:tblPr/>
      <w:tcPr>
        <w:shd w:val="clear" w:color="B2A1C6"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5DFEC"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5DFEC"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TableNormal"/>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pPr>
        <w:snapToGrid/>
      </w:pPr>
      <w:rPr>
        <w:rFonts w:ascii="Arial" w:hAnsi="Arial"/>
        <w:color w:val="F2F2F2"/>
        <w:sz w:val="22"/>
      </w:rPr>
      <w:tblPr/>
      <w:tcPr>
        <w:shd w:val="clear" w:color="4BACC6" w:fill="4BACC6" w:themeFill="accent5"/>
      </w:tcPr>
    </w:tblStylePr>
    <w:tblStylePr w:type="lastRow">
      <w:pPr>
        <w:snapToGrid/>
      </w:pPr>
      <w:rPr>
        <w:rFonts w:ascii="Arial" w:hAnsi="Arial"/>
        <w:color w:val="F2F2F2"/>
        <w:sz w:val="22"/>
      </w:rPr>
      <w:tblPr/>
      <w:tcPr>
        <w:shd w:val="clear" w:color="4BACC6" w:fill="4BACC6" w:themeFill="accent5"/>
      </w:tcPr>
    </w:tblStylePr>
    <w:tblStylePr w:type="firstCol">
      <w:pPr>
        <w:snapToGrid/>
      </w:pPr>
      <w:rPr>
        <w:rFonts w:ascii="Arial" w:hAnsi="Arial"/>
        <w:color w:val="F2F2F2"/>
        <w:sz w:val="22"/>
      </w:rPr>
      <w:tblPr/>
      <w:tcPr>
        <w:shd w:val="clear" w:color="4BACC6" w:fill="4BACC6" w:themeFill="accent5"/>
      </w:tcPr>
    </w:tblStylePr>
    <w:tblStylePr w:type="lastCol">
      <w:pPr>
        <w:snapToGrid/>
      </w:pPr>
      <w:rPr>
        <w:rFonts w:ascii="Arial" w:hAnsi="Arial"/>
        <w:color w:val="F2F2F2"/>
        <w:sz w:val="22"/>
      </w:rPr>
      <w:tblPr/>
      <w:tcPr>
        <w:shd w:val="clear" w:color="4BACC6"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AEE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AEE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TableNormal"/>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pPr>
        <w:snapToGrid/>
      </w:pPr>
      <w:rPr>
        <w:rFonts w:ascii="Arial" w:hAnsi="Arial"/>
        <w:color w:val="F2F2F2"/>
        <w:sz w:val="22"/>
      </w:rPr>
      <w:tblPr/>
      <w:tcPr>
        <w:shd w:val="clear" w:color="F79646" w:fill="F79646" w:themeFill="accent6"/>
      </w:tcPr>
    </w:tblStylePr>
    <w:tblStylePr w:type="lastRow">
      <w:pPr>
        <w:snapToGrid/>
      </w:pPr>
      <w:rPr>
        <w:rFonts w:ascii="Arial" w:hAnsi="Arial"/>
        <w:color w:val="F2F2F2"/>
        <w:sz w:val="22"/>
      </w:rPr>
      <w:tblPr/>
      <w:tcPr>
        <w:shd w:val="clear" w:color="F79646" w:fill="F79646" w:themeFill="accent6"/>
      </w:tcPr>
    </w:tblStylePr>
    <w:tblStylePr w:type="firstCol">
      <w:pPr>
        <w:snapToGrid/>
      </w:pPr>
      <w:rPr>
        <w:rFonts w:ascii="Arial" w:hAnsi="Arial"/>
        <w:color w:val="F2F2F2"/>
        <w:sz w:val="22"/>
      </w:rPr>
      <w:tblPr/>
      <w:tcPr>
        <w:shd w:val="clear" w:color="F79646" w:fill="F79646" w:themeFill="accent6"/>
      </w:tcPr>
    </w:tblStylePr>
    <w:tblStylePr w:type="lastCol">
      <w:pPr>
        <w:snapToGrid/>
      </w:pPr>
      <w:rPr>
        <w:rFonts w:ascii="Arial" w:hAnsi="Arial"/>
        <w:color w:val="F2F2F2"/>
        <w:sz w:val="22"/>
      </w:rPr>
      <w:tblPr/>
      <w:tcPr>
        <w:shd w:val="clear" w:color="F79646"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DE9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DE9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TableNormal"/>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rFonts w:ascii="Arial" w:hAnsi="Arial"/>
        <w:color w:val="404040"/>
        <w:sz w:val="22"/>
      </w:rPr>
      <w:tblPr/>
      <w:tcPr>
        <w:tcBorders>
          <w:bottom w:val="single" w:sz="12" w:space="0" w:color="4F81BD" w:themeColor="accent1"/>
        </w:tcBorders>
      </w:tcPr>
    </w:tblStylePr>
    <w:tblStylePr w:type="lastRow">
      <w:pPr>
        <w:snapToGrid/>
      </w:pPr>
      <w:rPr>
        <w:rFonts w:ascii="Arial" w:hAnsi="Arial"/>
        <w:color w:val="404040"/>
        <w:sz w:val="22"/>
      </w:rPr>
      <w:tblPr/>
      <w:tcPr>
        <w:tcBorders>
          <w:top w:val="single" w:sz="12" w:space="0" w:color="4F81BD"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F81BD"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rFonts w:ascii="Arial" w:hAnsi="Arial"/>
        <w:color w:val="404040"/>
        <w:sz w:val="22"/>
      </w:rPr>
      <w:tblPr/>
      <w:tcPr>
        <w:tcBorders>
          <w:bottom w:val="single" w:sz="12" w:space="0" w:color="D99695" w:themeColor="accent2" w:themeTint="97"/>
        </w:tcBorders>
      </w:tcPr>
    </w:tblStylePr>
    <w:tblStylePr w:type="lastRow">
      <w:pPr>
        <w:snapToGrid/>
      </w:pPr>
      <w:rPr>
        <w:rFonts w:ascii="Arial" w:hAnsi="Arial"/>
        <w:color w:val="404040"/>
        <w:sz w:val="22"/>
      </w:rPr>
      <w:tblPr/>
      <w:tcPr>
        <w:tcBorders>
          <w:top w:val="single" w:sz="12" w:space="0" w:color="D9969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9969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rFonts w:ascii="Arial" w:hAnsi="Arial"/>
        <w:color w:val="404040"/>
        <w:sz w:val="22"/>
      </w:rPr>
      <w:tblPr/>
      <w:tcPr>
        <w:tcBorders>
          <w:bottom w:val="single" w:sz="12" w:space="0" w:color="C3D69B" w:themeColor="accent3" w:themeTint="98"/>
        </w:tcBorders>
      </w:tcPr>
    </w:tblStylePr>
    <w:tblStylePr w:type="lastRow">
      <w:pPr>
        <w:snapToGrid/>
      </w:pPr>
      <w:rPr>
        <w:rFonts w:ascii="Arial" w:hAnsi="Arial"/>
        <w:color w:val="404040"/>
        <w:sz w:val="22"/>
      </w:rPr>
      <w:tblPr/>
      <w:tcPr>
        <w:tcBorders>
          <w:top w:val="single" w:sz="12" w:space="0" w:color="C3D69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3D69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rFonts w:ascii="Arial" w:hAnsi="Arial"/>
        <w:color w:val="404040"/>
        <w:sz w:val="22"/>
      </w:rPr>
      <w:tblPr/>
      <w:tcPr>
        <w:tcBorders>
          <w:bottom w:val="single" w:sz="12" w:space="0" w:color="B2A1C6" w:themeColor="accent4" w:themeTint="9A"/>
        </w:tcBorders>
      </w:tcPr>
    </w:tblStylePr>
    <w:tblStylePr w:type="lastRow">
      <w:pPr>
        <w:snapToGrid/>
      </w:pPr>
      <w:rPr>
        <w:rFonts w:ascii="Arial" w:hAnsi="Arial"/>
        <w:color w:val="404040"/>
        <w:sz w:val="22"/>
      </w:rPr>
      <w:tblPr/>
      <w:tcPr>
        <w:tcBorders>
          <w:top w:val="single" w:sz="12" w:space="0" w:color="B2A1C6"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B2A1C6"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rFonts w:ascii="Arial" w:hAnsi="Arial"/>
        <w:color w:val="404040"/>
        <w:sz w:val="22"/>
      </w:rPr>
      <w:tblPr/>
      <w:tcPr>
        <w:tcBorders>
          <w:bottom w:val="single" w:sz="12" w:space="0" w:color="92CCDC" w:themeColor="accent5" w:themeTint="9A"/>
        </w:tcBorders>
      </w:tcPr>
    </w:tblStylePr>
    <w:tblStylePr w:type="lastRow">
      <w:pPr>
        <w:snapToGrid/>
      </w:pPr>
      <w:rPr>
        <w:rFonts w:ascii="Arial" w:hAnsi="Arial"/>
        <w:color w:val="404040"/>
        <w:sz w:val="22"/>
      </w:rPr>
      <w:tblPr/>
      <w:tcPr>
        <w:tcBorders>
          <w:top w:val="single" w:sz="12" w:space="0" w:color="92CCDC"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92CCDC"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rFonts w:ascii="Arial" w:hAnsi="Arial"/>
        <w:color w:val="404040"/>
        <w:sz w:val="22"/>
      </w:rPr>
      <w:tblPr/>
      <w:tcPr>
        <w:tcBorders>
          <w:bottom w:val="single" w:sz="12" w:space="0" w:color="FAC090" w:themeColor="accent6" w:themeTint="98"/>
        </w:tcBorders>
      </w:tcPr>
    </w:tblStylePr>
    <w:tblStylePr w:type="lastRow">
      <w:pPr>
        <w:snapToGrid/>
      </w:pPr>
      <w:rPr>
        <w:rFonts w:ascii="Arial" w:hAnsi="Arial"/>
        <w:color w:val="404040"/>
        <w:sz w:val="22"/>
      </w:rPr>
      <w:tblPr/>
      <w:tcPr>
        <w:tcBorders>
          <w:top w:val="single" w:sz="12" w:space="0" w:color="FAC090"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AC090"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a4">
    <w:name w:val="脚注文本 字符"/>
    <w:link w:val="FootnoteText"/>
    <w:uiPriority w:val="99"/>
    <w:qFormat/>
    <w:rPr>
      <w:sz w:val="18"/>
    </w:rPr>
  </w:style>
  <w:style w:type="paragraph" w:customStyle="1" w:styleId="TOC100">
    <w:name w:val="TOC 标题1_0"/>
    <w:uiPriority w:val="39"/>
    <w:unhideWhenUsed/>
    <w:qFormat/>
    <w:rPr>
      <w:rFonts w:ascii="Arial" w:hAnsi="Arial" w:cs="Arial"/>
      <w:sz w:val="22"/>
      <w:szCs w:val="22"/>
      <w:lang w:eastAsia="en-US"/>
    </w:rPr>
  </w:style>
  <w:style w:type="paragraph" w:customStyle="1" w:styleId="2110">
    <w:name w:val="样式 标题 2 + 段前: 1 行 段后: 1 行"/>
    <w:basedOn w:val="Heading2"/>
    <w:qFormat/>
    <w:pPr>
      <w:numPr>
        <w:numId w:val="4"/>
      </w:numPr>
      <w:tabs>
        <w:tab w:val="left" w:pos="360"/>
        <w:tab w:val="clear" w:pos="3243"/>
      </w:tabs>
      <w:spacing w:before="447" w:after="447"/>
      <w:ind w:left="0" w:firstLine="200"/>
    </w:pPr>
    <w:rPr>
      <w:b w:val="0"/>
      <w:sz w:val="20"/>
      <w:szCs w:val="20"/>
    </w:rPr>
  </w:style>
  <w:style w:type="paragraph" w:customStyle="1" w:styleId="2111111">
    <w:name w:val="样式 样式 样式 标题 2 + 段前: 1 行 段后: 1 行1 + 段前: 1 行 段后: 1 行 + 段前: 1 行 段后..."/>
    <w:basedOn w:val="Normal"/>
    <w:qFormat/>
    <w:pPr>
      <w:keepNext/>
      <w:keepLines/>
      <w:numPr>
        <w:ilvl w:val="1"/>
        <w:numId w:val="2"/>
      </w:numPr>
      <w:outlineLvl w:val="1"/>
    </w:pPr>
    <w:rPr>
      <w:b/>
      <w:bCs/>
      <w:sz w:val="28"/>
      <w:szCs w:val="20"/>
    </w:rPr>
  </w:style>
  <w:style w:type="paragraph" w:customStyle="1" w:styleId="10">
    <w:name w:val="样式 标题 1 + 黑体 非加粗"/>
    <w:basedOn w:val="Heading1"/>
    <w:qFormat/>
    <w:pPr>
      <w:pageBreakBefore/>
    </w:pPr>
    <w:rPr>
      <w:rFonts w:hAnsi="黑体"/>
      <w:b/>
    </w:rPr>
  </w:style>
  <w:style w:type="paragraph" w:customStyle="1" w:styleId="1110">
    <w:name w:val="样式 标题 1 + 段前: 1 行 段后: 1 行"/>
    <w:basedOn w:val="Heading1"/>
    <w:qFormat/>
    <w:pPr>
      <w:pageBreakBefore/>
    </w:pPr>
    <w:rPr>
      <w:sz w:val="20"/>
      <w:szCs w:val="20"/>
    </w:rPr>
  </w:style>
  <w:style w:type="paragraph" w:customStyle="1" w:styleId="20">
    <w:name w:val="样式 首行缩进:  2 字符"/>
    <w:basedOn w:val="Normal"/>
    <w:qFormat/>
    <w:pPr>
      <w:spacing w:before="100" w:beforeAutospacing="1" w:after="100" w:afterAutospacing="1" w:line="360" w:lineRule="auto"/>
      <w:ind w:firstLine="480"/>
    </w:pPr>
    <w:rPr>
      <w:sz w:val="20"/>
      <w:szCs w:val="20"/>
    </w:rPr>
  </w:style>
  <w:style w:type="character" w:customStyle="1" w:styleId="da">
    <w:name w:val="da"/>
    <w:basedOn w:val="DefaultParagraphFont"/>
    <w:qFormat/>
  </w:style>
  <w:style w:type="paragraph" w:customStyle="1" w:styleId="a5">
    <w:name w:val="特点"/>
    <w:basedOn w:val="Normal"/>
    <w:next w:val="NormalIndent"/>
    <w:qFormat/>
    <w:pPr>
      <w:ind w:firstLine="420"/>
    </w:pPr>
    <w:rPr>
      <w:sz w:val="20"/>
      <w:szCs w:val="20"/>
    </w:rPr>
  </w:style>
  <w:style w:type="character" w:customStyle="1" w:styleId="a6">
    <w:name w:val="批注文字 字符"/>
    <w:basedOn w:val="DefaultParagraphFont"/>
    <w:link w:val="CommentText"/>
    <w:qFormat/>
    <w:rPr>
      <w:rFonts w:eastAsia="宋体"/>
      <w:sz w:val="21"/>
      <w:szCs w:val="24"/>
      <w:lang w:val="en-US" w:eastAsia="zh-CN" w:bidi="ar-SA"/>
    </w:rPr>
  </w:style>
  <w:style w:type="character" w:customStyle="1" w:styleId="read">
    <w:name w:val="read"/>
    <w:basedOn w:val="DefaultParagraphFont"/>
    <w:qFormat/>
  </w:style>
  <w:style w:type="character" w:customStyle="1" w:styleId="unnamed11">
    <w:name w:val="unnamed11"/>
    <w:basedOn w:val="DefaultParagraphFont"/>
    <w:qFormat/>
    <w:rPr>
      <w:rFonts w:ascii="宋体" w:eastAsia="宋体" w:hAnsi="宋体" w:hint="eastAsia"/>
      <w:sz w:val="18"/>
      <w:szCs w:val="18"/>
    </w:rPr>
  </w:style>
  <w:style w:type="character" w:customStyle="1" w:styleId="CharChar1">
    <w:name w:val="Char Char1"/>
    <w:basedOn w:val="DefaultParagraphFont"/>
    <w:qFormat/>
    <w:rPr>
      <w:rFonts w:eastAsia="宋体"/>
      <w:sz w:val="21"/>
      <w:szCs w:val="24"/>
      <w:lang w:val="en-US" w:eastAsia="zh-CN" w:bidi="ar-SA"/>
    </w:rPr>
  </w:style>
  <w:style w:type="character" w:customStyle="1" w:styleId="a7">
    <w:name w:val="文档结构图 字符"/>
    <w:basedOn w:val="DefaultParagraphFont"/>
    <w:link w:val="DocumentMap"/>
    <w:qFormat/>
    <w:rPr>
      <w:rFonts w:ascii="宋体"/>
      <w:sz w:val="18"/>
      <w:szCs w:val="18"/>
    </w:rPr>
  </w:style>
  <w:style w:type="paragraph" w:customStyle="1" w:styleId="12">
    <w:name w:val="修订1"/>
    <w:hidden/>
    <w:uiPriority w:val="99"/>
    <w:semiHidden/>
    <w:qFormat/>
    <w:rPr>
      <w:rFonts w:ascii="Arial" w:hAnsi="Arial" w:cs="Arial"/>
      <w:sz w:val="21"/>
      <w:szCs w:val="24"/>
      <w:lang w:eastAsia="en-US"/>
    </w:rPr>
  </w:style>
  <w:style w:type="character" w:customStyle="1" w:styleId="a8">
    <w:name w:val="页眉 字符"/>
    <w:basedOn w:val="DefaultParagraphFont"/>
    <w:link w:val="Header"/>
    <w:uiPriority w:val="99"/>
    <w:qFormat/>
    <w:rPr>
      <w:rFonts w:eastAsia="仿宋_GB2312"/>
      <w:sz w:val="18"/>
    </w:rPr>
  </w:style>
  <w:style w:type="character" w:customStyle="1" w:styleId="a9">
    <w:name w:val="页脚 字符"/>
    <w:basedOn w:val="DefaultParagraphFont"/>
    <w:link w:val="Footer"/>
    <w:uiPriority w:val="99"/>
    <w:qFormat/>
    <w:rPr>
      <w:rFonts w:eastAsia="仿宋_GB2312"/>
      <w:sz w:val="18"/>
    </w:rPr>
  </w:style>
  <w:style w:type="character" w:customStyle="1" w:styleId="big1">
    <w:name w:val="big1"/>
    <w:basedOn w:val="DefaultParagraphFont"/>
    <w:qFormat/>
    <w:rPr>
      <w:spacing w:val="360"/>
      <w:sz w:val="22"/>
      <w:szCs w:val="22"/>
    </w:rPr>
  </w:style>
  <w:style w:type="character" w:customStyle="1" w:styleId="a10">
    <w:name w:val="纯文本 字符"/>
    <w:basedOn w:val="DefaultParagraphFont"/>
    <w:link w:val="PlainText"/>
    <w:qFormat/>
    <w:rPr>
      <w:rFonts w:ascii="宋体" w:hAnsi="Courier New"/>
      <w:sz w:val="24"/>
      <w:szCs w:val="21"/>
    </w:rPr>
  </w:style>
  <w:style w:type="character" w:customStyle="1" w:styleId="a11">
    <w:name w:val="正文首行缩进 字符"/>
    <w:basedOn w:val="DefaultParagraphFont"/>
    <w:link w:val="BodyTextFirstIndent"/>
    <w:qFormat/>
    <w:rPr>
      <w:sz w:val="21"/>
      <w:szCs w:val="24"/>
    </w:rPr>
  </w:style>
  <w:style w:type="paragraph" w:styleId="ListParagraph">
    <w:name w:val="List Paragraph"/>
    <w:basedOn w:val="Normal"/>
    <w:uiPriority w:val="34"/>
    <w:qFormat/>
    <w:pPr>
      <w:widowControl/>
      <w:ind w:left="480"/>
    </w:pPr>
    <w:rPr>
      <w:szCs w:val="21"/>
    </w:rPr>
  </w:style>
  <w:style w:type="character" w:customStyle="1" w:styleId="a12">
    <w:name w:val="正文文本缩进 字符"/>
    <w:basedOn w:val="DefaultParagraphFont"/>
    <w:link w:val="BodyTextIndent"/>
    <w:semiHidden/>
    <w:qFormat/>
    <w:rPr>
      <w:sz w:val="21"/>
      <w:szCs w:val="24"/>
    </w:rPr>
  </w:style>
  <w:style w:type="character" w:customStyle="1" w:styleId="30">
    <w:name w:val="正文文本缩进 3 字符"/>
    <w:basedOn w:val="DefaultParagraphFont"/>
    <w:link w:val="BodyTextIndent3"/>
    <w:semiHidden/>
    <w:qFormat/>
    <w:rPr>
      <w:sz w:val="16"/>
      <w:szCs w:val="16"/>
    </w:rPr>
  </w:style>
  <w:style w:type="character" w:customStyle="1" w:styleId="HTML">
    <w:name w:val="HTML 预设格式 字符"/>
    <w:basedOn w:val="DefaultParagraphFont"/>
    <w:link w:val="HTMLPreformatted"/>
    <w:uiPriority w:val="99"/>
    <w:qFormat/>
    <w:rPr>
      <w:rFonts w:ascii="宋体" w:hAnsi="宋体"/>
      <w:sz w:val="24"/>
      <w:szCs w:val="24"/>
    </w:rPr>
  </w:style>
  <w:style w:type="character" w:customStyle="1" w:styleId="22">
    <w:name w:val="正文文本缩进 2 字符"/>
    <w:basedOn w:val="DefaultParagraphFont"/>
    <w:link w:val="BodyTextIndent2"/>
    <w:semiHidden/>
    <w:qFormat/>
    <w:rPr>
      <w:sz w:val="21"/>
      <w:szCs w:val="24"/>
    </w:rPr>
  </w:style>
  <w:style w:type="paragraph" w:customStyle="1" w:styleId="Char">
    <w:name w:val="Char"/>
    <w:basedOn w:val="Normal"/>
    <w:qFormat/>
    <w:rPr>
      <w:sz w:val="20"/>
      <w:szCs w:val="20"/>
    </w:rPr>
  </w:style>
  <w:style w:type="paragraph" w:customStyle="1" w:styleId="Char1">
    <w:name w:val="Char1"/>
    <w:basedOn w:val="Normal"/>
    <w:qFormat/>
    <w:rPr>
      <w:sz w:val="20"/>
      <w:szCs w:val="20"/>
    </w:rPr>
  </w:style>
  <w:style w:type="paragraph" w:customStyle="1" w:styleId="CharCharChar1">
    <w:name w:val="Char Char Char1"/>
    <w:basedOn w:val="Normal"/>
    <w:qFormat/>
    <w:rPr>
      <w:sz w:val="20"/>
      <w:szCs w:val="20"/>
    </w:rPr>
  </w:style>
  <w:style w:type="paragraph" w:customStyle="1" w:styleId="Char2">
    <w:name w:val="Char2"/>
    <w:basedOn w:val="Normal"/>
    <w:qFormat/>
    <w:rPr>
      <w:sz w:val="20"/>
      <w:szCs w:val="20"/>
    </w:rPr>
  </w:style>
  <w:style w:type="paragraph" w:styleId="Revision">
    <w:name w:val="Revision"/>
    <w:hidden/>
    <w:uiPriority w:val="99"/>
    <w:semiHidden/>
    <w:rsid w:val="004B0C13"/>
    <w:rPr>
      <w:rFonts w:ascii="Arial" w:hAnsi="Arial" w:cs="Arial"/>
      <w:sz w:val="21"/>
      <w:szCs w:val="24"/>
      <w:lang w:eastAsia="en-US"/>
    </w:rPr>
  </w:style>
  <w:style w:type="table" w:styleId="TableGrid">
    <w:name w:val="Table Grid"/>
    <w:basedOn w:val="TableNormal"/>
    <w:uiPriority w:val="59"/>
    <w:pPr>
      <w:spacing w:line="360" w:lineRule="exact"/>
    </w:pPr>
    <w:rPr>
      <w:sz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yperlink" Target="http://www.efunds.com.cn" TargetMode="External" /><Relationship Id="rId16" Type="http://schemas.openxmlformats.org/officeDocument/2006/relationships/hyperlink" Target="http://www.csindex.com.cn" TargetMode="External" /><Relationship Id="rId17" Type="http://schemas.openxmlformats.org/officeDocument/2006/relationships/image" Target="media/image1.wmf" /><Relationship Id="rId18" Type="http://schemas.openxmlformats.org/officeDocument/2006/relationships/oleObject" Target="embeddings/oleObject1.bin" /><Relationship Id="rId19" Type="http://schemas.openxmlformats.org/officeDocument/2006/relationships/image" Target="media/image2.wmf" /><Relationship Id="rId2" Type="http://schemas.openxmlformats.org/officeDocument/2006/relationships/webSettings" Target="webSettings.xml" /><Relationship Id="rId20" Type="http://schemas.openxmlformats.org/officeDocument/2006/relationships/oleObject" Target="embeddings/oleObject2.bin" /><Relationship Id="rId21" Type="http://schemas.openxmlformats.org/officeDocument/2006/relationships/footer" Target="footer6.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25" Type="http://schemas.microsoft.com/office/2011/relationships/people" Target="people.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105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