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4.12.0 -->
  <w:body>
    <w:p w:rsidR="006C13DF" w14:paraId="753032CE" w14:textId="77777777">
      <w:pPr>
        <w:jc w:val="center"/>
        <w:rPr>
          <w:b/>
          <w:sz w:val="32"/>
        </w:rPr>
      </w:pPr>
    </w:p>
    <w:p w:rsidR="006C13DF" w14:paraId="551A109B" w14:textId="77777777">
      <w:pPr>
        <w:jc w:val="center"/>
        <w:rPr>
          <w:b/>
          <w:sz w:val="32"/>
        </w:rPr>
      </w:pPr>
    </w:p>
    <w:p w:rsidR="006C13DF" w14:paraId="63FBE93E" w14:textId="77777777">
      <w:pPr>
        <w:jc w:val="center"/>
        <w:rPr>
          <w:b/>
          <w:sz w:val="52"/>
          <w:szCs w:val="52"/>
        </w:rPr>
      </w:pPr>
    </w:p>
    <w:p w:rsidR="006C13DF" w14:paraId="522FCEAE" w14:textId="77777777">
      <w:pPr>
        <w:jc w:val="center"/>
        <w:rPr>
          <w:b/>
          <w:sz w:val="32"/>
        </w:rPr>
      </w:pPr>
    </w:p>
    <w:p w:rsidR="006C13DF" w14:paraId="0F18DD47" w14:textId="76008A16">
      <w:pPr>
        <w:jc w:val="center"/>
        <w:rPr>
          <w:rFonts w:ascii="黑体"/>
          <w:b/>
          <w:sz w:val="30"/>
        </w:rPr>
      </w:pPr>
      <w:r>
        <w:rPr>
          <w:rFonts w:ascii="宋体" w:hAnsi="宋体" w:cs="宋体" w:hint="eastAsia"/>
          <w:b/>
          <w:sz w:val="30"/>
          <w:szCs w:val="30"/>
        </w:rPr>
        <w:t>易方达如意盈越3个月持有期混合型基金中基金（FOF）</w:t>
      </w:r>
      <w:r>
        <w:rPr>
          <w:rFonts w:ascii="宋体" w:hAnsi="宋体" w:cs="宋体" w:hint="eastAsia"/>
          <w:b/>
          <w:sz w:val="30"/>
          <w:szCs w:val="30"/>
          <w:highlight w:val="white"/>
        </w:rPr>
        <w:t>托管协议</w:t>
      </w:r>
    </w:p>
    <w:p w:rsidR="006C13DF" w14:paraId="47EDAE21" w14:textId="77777777">
      <w:pPr>
        <w:jc w:val="center"/>
        <w:rPr>
          <w:rFonts w:ascii="黑体"/>
          <w:sz w:val="30"/>
        </w:rPr>
      </w:pPr>
    </w:p>
    <w:p w:rsidR="006C13DF" w14:paraId="043E10D1" w14:textId="77777777">
      <w:pPr>
        <w:jc w:val="center"/>
        <w:rPr>
          <w:b/>
          <w:sz w:val="32"/>
        </w:rPr>
      </w:pPr>
    </w:p>
    <w:p w:rsidR="006C13DF" w14:paraId="5C17D9D2" w14:textId="77777777">
      <w:pPr>
        <w:rPr>
          <w:rFonts w:ascii="宋体"/>
          <w:sz w:val="30"/>
        </w:rPr>
      </w:pPr>
    </w:p>
    <w:p w:rsidR="006C13DF" w14:paraId="1A0C3A76" w14:textId="77777777">
      <w:pPr>
        <w:rPr>
          <w:rFonts w:ascii="宋体"/>
          <w:sz w:val="30"/>
        </w:rPr>
      </w:pPr>
    </w:p>
    <w:p w:rsidR="006C13DF" w14:paraId="622B8D4B" w14:textId="77777777">
      <w:pPr>
        <w:rPr>
          <w:rFonts w:ascii="宋体"/>
          <w:sz w:val="30"/>
        </w:rPr>
      </w:pPr>
    </w:p>
    <w:p w:rsidR="006C13DF" w14:paraId="3BD85A93" w14:textId="77777777">
      <w:pPr>
        <w:rPr>
          <w:rFonts w:ascii="宋体"/>
          <w:sz w:val="30"/>
        </w:rPr>
      </w:pPr>
    </w:p>
    <w:p w:rsidR="006C13DF" w14:paraId="76179B8E" w14:textId="77777777">
      <w:pPr>
        <w:rPr>
          <w:rFonts w:ascii="宋体"/>
          <w:sz w:val="30"/>
        </w:rPr>
      </w:pPr>
    </w:p>
    <w:p w:rsidR="006C13DF" w14:paraId="02B794D8" w14:textId="77777777">
      <w:pPr>
        <w:rPr>
          <w:rFonts w:ascii="宋体"/>
          <w:sz w:val="30"/>
        </w:rPr>
      </w:pPr>
    </w:p>
    <w:p w:rsidR="006C13DF" w14:paraId="57D5D87E" w14:textId="77777777">
      <w:pPr>
        <w:spacing w:line="360" w:lineRule="auto"/>
        <w:ind w:right="26"/>
        <w:jc w:val="center"/>
        <w:outlineLvl w:val="0"/>
        <w:rPr>
          <w:rFonts w:ascii="黑体" w:eastAsia="黑体" w:hAnsi="宋体" w:hint="eastAsia"/>
          <w:b/>
          <w:sz w:val="28"/>
          <w:szCs w:val="28"/>
        </w:rPr>
      </w:pPr>
      <w:bookmarkStart w:id="0" w:name="_Toc96101866"/>
      <w:r>
        <w:rPr>
          <w:rFonts w:ascii="宋体" w:hAnsi="宋体" w:cs="宋体" w:hint="eastAsia"/>
          <w:b/>
          <w:sz w:val="28"/>
          <w:szCs w:val="28"/>
          <w:highlight w:val="white"/>
        </w:rPr>
        <w:t>基金管理人：易方达基金管理有限公司</w:t>
      </w:r>
      <w:bookmarkEnd w:id="0"/>
    </w:p>
    <w:p w:rsidR="006C13DF" w14:paraId="41DF3231" w14:textId="77777777">
      <w:pPr>
        <w:spacing w:line="360" w:lineRule="auto"/>
        <w:ind w:left="0" w:right="26"/>
        <w:jc w:val="center"/>
        <w:outlineLvl w:val="0"/>
        <w:rPr>
          <w:rFonts w:ascii="黑体" w:eastAsia="黑体" w:hAnsi="宋体" w:hint="eastAsia"/>
          <w:b/>
          <w:sz w:val="28"/>
          <w:szCs w:val="28"/>
        </w:rPr>
      </w:pPr>
      <w:bookmarkStart w:id="1" w:name="_Toc96101867"/>
      <w:r>
        <w:rPr>
          <w:rFonts w:ascii="宋体" w:hAnsi="宋体" w:cs="宋体" w:hint="eastAsia"/>
          <w:b/>
          <w:sz w:val="28"/>
          <w:szCs w:val="28"/>
          <w:highlight w:val="white"/>
        </w:rPr>
        <w:t>基金托管人：中国工商银行股份有限公司</w:t>
      </w:r>
      <w:bookmarkEnd w:id="1"/>
    </w:p>
    <w:p w:rsidR="006C13DF" w14:paraId="2A95592B" w14:textId="66ED25DE">
      <w:pPr>
        <w:jc w:val="center"/>
      </w:pPr>
      <w:r>
        <w:rPr>
          <w:rFonts w:ascii="宋体" w:hAnsi="宋体" w:cs="宋体"/>
          <w:color w:val="000000"/>
          <w:sz w:val="28"/>
          <w:highlight w:val="white"/>
        </w:rPr>
        <w:t>二〇二</w:t>
      </w:r>
      <w:r w:rsidR="002E365D">
        <w:rPr>
          <w:rFonts w:ascii="宋体" w:hAnsi="宋体" w:cs="宋体" w:hint="eastAsia"/>
          <w:color w:val="000000"/>
          <w:sz w:val="28"/>
          <w:highlight w:val="white"/>
        </w:rPr>
        <w:t>六</w:t>
      </w:r>
      <w:r>
        <w:rPr>
          <w:rFonts w:ascii="宋体" w:hAnsi="宋体" w:cs="宋体"/>
          <w:color w:val="000000"/>
          <w:sz w:val="28"/>
          <w:highlight w:val="white"/>
        </w:rPr>
        <w:t>年</w:t>
      </w:r>
      <w:r w:rsidR="002E365D">
        <w:rPr>
          <w:rFonts w:ascii="宋体" w:hAnsi="宋体" w:cs="宋体" w:hint="eastAsia"/>
          <w:color w:val="000000"/>
          <w:sz w:val="28"/>
          <w:highlight w:val="white"/>
        </w:rPr>
        <w:t>九</w:t>
      </w:r>
      <w:r>
        <w:rPr>
          <w:rFonts w:ascii="宋体" w:hAnsi="宋体" w:cs="宋体"/>
          <w:color w:val="000000"/>
          <w:sz w:val="28"/>
          <w:highlight w:val="white"/>
        </w:rPr>
        <w:t>月</w:t>
      </w:r>
    </w:p>
    <w:p w:rsidR="006C13DF" w14:paraId="3E8A9885" w14:textId="77777777">
      <w:pPr>
        <w:spacing w:line="500" w:lineRule="atLeast"/>
        <w:ind w:left="2519" w:hanging="2519"/>
        <w:jc w:val="center"/>
        <w:outlineLvl w:val="0"/>
        <w:rPr>
          <w:rFonts w:ascii="黑体" w:eastAsia="黑体" w:hAnsi="宋体" w:hint="eastAsia"/>
          <w:b/>
          <w:sz w:val="28"/>
          <w:szCs w:val="28"/>
        </w:rPr>
      </w:pPr>
    </w:p>
    <w:p w:rsidR="006C13DF" w14:paraId="6609EE3F" w14:textId="77777777">
      <w:pPr>
        <w:spacing w:line="360" w:lineRule="auto"/>
        <w:jc w:val="center"/>
        <w:outlineLvl w:val="0"/>
        <w:rPr>
          <w:rFonts w:ascii="Calibri" w:hAnsi="Calibri" w:cs="Calibri"/>
          <w:b/>
          <w:bCs/>
          <w:caps/>
          <w:noProof/>
          <w:sz w:val="24"/>
          <w:szCs w:val="22"/>
        </w:rPr>
      </w:pPr>
      <w:r>
        <w:rPr>
          <w:rFonts w:ascii="宋体" w:hAnsi="宋体" w:cs="宋体"/>
          <w:b/>
          <w:sz w:val="28"/>
          <w:szCs w:val="28"/>
          <w:highlight w:val="white"/>
        </w:rPr>
        <w:br w:type="page"/>
      </w:r>
      <w:r>
        <w:rPr>
          <w:rFonts w:ascii="宋体" w:hAnsi="宋体" w:cs="宋体" w:hint="eastAsia"/>
          <w:b/>
          <w:sz w:val="30"/>
          <w:szCs w:val="30"/>
          <w:highlight w:val="white"/>
        </w:rPr>
        <w:t>目  录</w:t>
      </w:r>
      <w:bookmarkStart w:id="2" w:name="_Toc96101869"/>
      <w:bookmarkStart w:id="3" w:name="_Toc96101149"/>
      <w:bookmarkEnd w:id="2"/>
      <w:bookmarkEnd w:id="3"/>
      <w:r>
        <w:fldChar w:fldCharType="begin"/>
      </w:r>
      <w:r>
        <w:rPr>
          <w:rFonts w:ascii="宋体" w:hAnsi="宋体" w:cs="宋体"/>
          <w:highlight w:val="white"/>
        </w:rPr>
        <w:instrText xml:space="preserve"> </w:instrText>
      </w:r>
      <w:r>
        <w:rPr>
          <w:rFonts w:ascii="宋体" w:hAnsi="宋体" w:cs="宋体" w:hint="eastAsia"/>
          <w:highlight w:val="white"/>
        </w:rPr>
        <w:instrText>TOC \o "1-1" \h \z \u</w:instrText>
      </w:r>
      <w:r>
        <w:rPr>
          <w:rFonts w:ascii="宋体" w:hAnsi="宋体" w:cs="宋体"/>
          <w:highlight w:val="white"/>
        </w:rPr>
        <w:instrText xml:space="preserve"> </w:instrText>
      </w:r>
      <w:r>
        <w:fldChar w:fldCharType="separate"/>
      </w:r>
    </w:p>
    <w:p w:rsidR="006C13DF" w14:paraId="2605CF1D" w14:textId="3AAE0E22">
      <w:pPr>
        <w:pStyle w:val="TOC1"/>
        <w:tabs>
          <w:tab w:val="right" w:pos="8296"/>
        </w:tabs>
        <w:spacing w:before="0" w:line="360" w:lineRule="auto"/>
        <w:rPr>
          <w:rFonts w:ascii="Calibri" w:hAnsi="Calibri" w:cs="Calibri"/>
          <w:b w:val="0"/>
          <w:bCs w:val="0"/>
          <w:caps w:val="0"/>
          <w:noProof/>
          <w:sz w:val="21"/>
          <w:szCs w:val="22"/>
        </w:rPr>
      </w:pPr>
      <w:hyperlink w:anchor="_Toc96101870" w:tooltip="Current Document" w:history="1">
        <w:r w:rsidR="006F7D17">
          <w:rPr>
            <w:rStyle w:val="Hyperlink"/>
            <w:rFonts w:ascii="宋体" w:hAnsi="宋体" w:hint="eastAsia"/>
            <w:b w:val="0"/>
            <w:noProof/>
            <w:highlight w:val="white"/>
          </w:rPr>
          <w:t>一、 基金托管协议当事人</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_Toc96101870 \h </w:instrText>
        </w:r>
        <w:r w:rsidR="006F7D17">
          <w:rPr>
            <w:b w:val="0"/>
            <w:noProof/>
          </w:rPr>
          <w:fldChar w:fldCharType="separate"/>
        </w:r>
        <w:r w:rsidR="00563E2D">
          <w:rPr>
            <w:rFonts w:ascii="宋体" w:hAnsi="宋体" w:cs="宋体" w:hint="eastAsia"/>
            <w:b w:val="0"/>
            <w:noProof/>
            <w:highlight w:val="white"/>
          </w:rPr>
          <w:t>1</w:t>
        </w:r>
        <w:r w:rsidR="006F7D17">
          <w:rPr>
            <w:b w:val="0"/>
            <w:noProof/>
          </w:rPr>
          <w:fldChar w:fldCharType="end"/>
        </w:r>
      </w:hyperlink>
    </w:p>
    <w:p w:rsidR="006C13DF" w14:paraId="47E75869" w14:textId="6B48E463">
      <w:pPr>
        <w:pStyle w:val="TOC1"/>
        <w:tabs>
          <w:tab w:val="right" w:pos="8296"/>
        </w:tabs>
        <w:spacing w:before="0" w:line="360" w:lineRule="auto"/>
        <w:rPr>
          <w:rFonts w:ascii="Calibri" w:hAnsi="Calibri" w:cs="Calibri"/>
          <w:b w:val="0"/>
          <w:bCs w:val="0"/>
          <w:caps w:val="0"/>
          <w:noProof/>
          <w:sz w:val="21"/>
          <w:szCs w:val="22"/>
        </w:rPr>
      </w:pPr>
      <w:hyperlink w:anchor="_Toc96101871" w:tooltip="Current Document" w:history="1">
        <w:r w:rsidR="006F7D17">
          <w:rPr>
            <w:rStyle w:val="Hyperlink"/>
            <w:rFonts w:ascii="宋体" w:hAnsi="宋体" w:hint="eastAsia"/>
            <w:b w:val="0"/>
            <w:noProof/>
            <w:highlight w:val="white"/>
          </w:rPr>
          <w:t>二、 基金托管协议的依据、目的和原则</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_Toc96101871 \h </w:instrText>
        </w:r>
        <w:r w:rsidR="006F7D17">
          <w:rPr>
            <w:b w:val="0"/>
            <w:noProof/>
          </w:rPr>
          <w:fldChar w:fldCharType="separate"/>
        </w:r>
        <w:r w:rsidR="00563E2D">
          <w:rPr>
            <w:rFonts w:ascii="宋体" w:hAnsi="宋体" w:cs="宋体" w:hint="eastAsia"/>
            <w:b w:val="0"/>
            <w:noProof/>
            <w:highlight w:val="white"/>
          </w:rPr>
          <w:t>2</w:t>
        </w:r>
        <w:r w:rsidR="006F7D17">
          <w:rPr>
            <w:b w:val="0"/>
            <w:noProof/>
          </w:rPr>
          <w:fldChar w:fldCharType="end"/>
        </w:r>
      </w:hyperlink>
    </w:p>
    <w:p w:rsidR="006C13DF" w14:paraId="11379BEC" w14:textId="5383B082">
      <w:pPr>
        <w:pStyle w:val="TOC1"/>
        <w:tabs>
          <w:tab w:val="right" w:pos="8296"/>
        </w:tabs>
        <w:spacing w:before="0" w:line="360" w:lineRule="auto"/>
        <w:rPr>
          <w:rFonts w:ascii="Calibri" w:hAnsi="Calibri" w:cs="Calibri"/>
          <w:b w:val="0"/>
          <w:bCs w:val="0"/>
          <w:caps w:val="0"/>
          <w:noProof/>
          <w:sz w:val="21"/>
          <w:szCs w:val="22"/>
        </w:rPr>
      </w:pPr>
      <w:hyperlink w:anchor="_Toc96101872" w:tooltip="Current Document" w:history="1">
        <w:r w:rsidR="006F7D17">
          <w:rPr>
            <w:rStyle w:val="Hyperlink"/>
            <w:rFonts w:ascii="宋体" w:hAnsi="宋体" w:hint="eastAsia"/>
            <w:b w:val="0"/>
            <w:noProof/>
            <w:highlight w:val="white"/>
          </w:rPr>
          <w:t>三、 基金托管人对基金管理人的业务监督和核查</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_Toc96101872 \h </w:instrText>
        </w:r>
        <w:r w:rsidR="006F7D17">
          <w:rPr>
            <w:b w:val="0"/>
            <w:noProof/>
          </w:rPr>
          <w:fldChar w:fldCharType="separate"/>
        </w:r>
        <w:r w:rsidR="00563E2D">
          <w:rPr>
            <w:rFonts w:ascii="宋体" w:hAnsi="宋体" w:cs="宋体" w:hint="eastAsia"/>
            <w:b w:val="0"/>
            <w:noProof/>
            <w:highlight w:val="white"/>
          </w:rPr>
          <w:t>3</w:t>
        </w:r>
        <w:r w:rsidR="006F7D17">
          <w:rPr>
            <w:b w:val="0"/>
            <w:noProof/>
          </w:rPr>
          <w:fldChar w:fldCharType="end"/>
        </w:r>
      </w:hyperlink>
    </w:p>
    <w:p w:rsidR="006C13DF" w14:paraId="1D65762B" w14:textId="6D19B8BA">
      <w:pPr>
        <w:pStyle w:val="TOC1"/>
        <w:tabs>
          <w:tab w:val="right" w:pos="8296"/>
        </w:tabs>
        <w:spacing w:before="0" w:line="360" w:lineRule="auto"/>
        <w:rPr>
          <w:rFonts w:ascii="Calibri" w:hAnsi="Calibri" w:cs="Calibri"/>
          <w:b w:val="0"/>
          <w:bCs w:val="0"/>
          <w:caps w:val="0"/>
          <w:noProof/>
          <w:sz w:val="21"/>
          <w:szCs w:val="22"/>
        </w:rPr>
      </w:pPr>
      <w:hyperlink w:anchor="_Toc96101873" w:tooltip="Current Document" w:history="1">
        <w:r w:rsidR="006F7D17">
          <w:rPr>
            <w:rStyle w:val="Hyperlink"/>
            <w:rFonts w:ascii="宋体" w:hAnsi="宋体" w:hint="eastAsia"/>
            <w:b w:val="0"/>
            <w:noProof/>
            <w:highlight w:val="white"/>
          </w:rPr>
          <w:t>四、 基金管理人对基金托管人的业务核查</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_Toc96101873 \h </w:instrText>
        </w:r>
        <w:r w:rsidR="006F7D17">
          <w:rPr>
            <w:b w:val="0"/>
            <w:noProof/>
          </w:rPr>
          <w:fldChar w:fldCharType="separate"/>
        </w:r>
        <w:r w:rsidR="00563E2D">
          <w:rPr>
            <w:rFonts w:ascii="宋体" w:hAnsi="宋体" w:cs="宋体" w:hint="eastAsia"/>
            <w:b w:val="0"/>
            <w:noProof/>
            <w:highlight w:val="white"/>
          </w:rPr>
          <w:t>10</w:t>
        </w:r>
        <w:r w:rsidR="006F7D17">
          <w:rPr>
            <w:b w:val="0"/>
            <w:noProof/>
          </w:rPr>
          <w:fldChar w:fldCharType="end"/>
        </w:r>
      </w:hyperlink>
    </w:p>
    <w:p w:rsidR="006C13DF" w14:paraId="58730365" w14:textId="5145E436">
      <w:pPr>
        <w:pStyle w:val="TOC1"/>
        <w:tabs>
          <w:tab w:val="right" w:pos="8296"/>
        </w:tabs>
        <w:spacing w:before="0" w:line="360" w:lineRule="auto"/>
        <w:rPr>
          <w:rFonts w:ascii="Calibri" w:hAnsi="Calibri" w:cs="Calibri"/>
          <w:b w:val="0"/>
          <w:bCs w:val="0"/>
          <w:caps w:val="0"/>
          <w:noProof/>
          <w:sz w:val="21"/>
          <w:szCs w:val="22"/>
        </w:rPr>
      </w:pPr>
      <w:hyperlink w:anchor="_Toc96101874" w:tooltip="Current Document" w:history="1">
        <w:r w:rsidR="006F7D17">
          <w:rPr>
            <w:rStyle w:val="Hyperlink"/>
            <w:rFonts w:ascii="宋体" w:hAnsi="宋体" w:hint="eastAsia"/>
            <w:b w:val="0"/>
            <w:noProof/>
            <w:highlight w:val="white"/>
          </w:rPr>
          <w:t>五、 基金财产保管</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_Toc96101874 \h </w:instrText>
        </w:r>
        <w:r w:rsidR="006F7D17">
          <w:rPr>
            <w:b w:val="0"/>
            <w:noProof/>
          </w:rPr>
          <w:fldChar w:fldCharType="separate"/>
        </w:r>
        <w:r w:rsidR="00563E2D">
          <w:rPr>
            <w:rFonts w:ascii="宋体" w:hAnsi="宋体" w:cs="宋体" w:hint="eastAsia"/>
            <w:b w:val="0"/>
            <w:noProof/>
            <w:highlight w:val="white"/>
          </w:rPr>
          <w:t>10</w:t>
        </w:r>
        <w:r w:rsidR="006F7D17">
          <w:rPr>
            <w:b w:val="0"/>
            <w:noProof/>
          </w:rPr>
          <w:fldChar w:fldCharType="end"/>
        </w:r>
      </w:hyperlink>
    </w:p>
    <w:p w:rsidR="006C13DF" w14:paraId="4F56273C" w14:textId="7FBA6787">
      <w:pPr>
        <w:pStyle w:val="TOC1"/>
        <w:tabs>
          <w:tab w:val="right" w:pos="8296"/>
        </w:tabs>
        <w:spacing w:before="0" w:line="360" w:lineRule="auto"/>
        <w:rPr>
          <w:rFonts w:ascii="Calibri" w:hAnsi="Calibri" w:cs="Calibri"/>
          <w:b w:val="0"/>
          <w:bCs w:val="0"/>
          <w:caps w:val="0"/>
          <w:noProof/>
          <w:sz w:val="21"/>
          <w:szCs w:val="22"/>
        </w:rPr>
      </w:pPr>
      <w:hyperlink w:anchor="_Toc96101875" w:tooltip="Current Document" w:history="1">
        <w:r w:rsidR="006F7D17">
          <w:rPr>
            <w:rStyle w:val="Hyperlink"/>
            <w:rFonts w:ascii="宋体" w:hAnsi="宋体" w:hint="eastAsia"/>
            <w:b w:val="0"/>
            <w:noProof/>
            <w:highlight w:val="white"/>
          </w:rPr>
          <w:t>六、 指令的发送、确认和执行</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_Toc96101875 \h </w:instrText>
        </w:r>
        <w:r w:rsidR="006F7D17">
          <w:rPr>
            <w:b w:val="0"/>
            <w:noProof/>
          </w:rPr>
          <w:fldChar w:fldCharType="separate"/>
        </w:r>
        <w:r w:rsidR="00563E2D">
          <w:rPr>
            <w:rFonts w:ascii="宋体" w:hAnsi="宋体" w:cs="宋体" w:hint="eastAsia"/>
            <w:b w:val="0"/>
            <w:noProof/>
            <w:highlight w:val="white"/>
          </w:rPr>
          <w:t>14</w:t>
        </w:r>
        <w:r w:rsidR="006F7D17">
          <w:rPr>
            <w:b w:val="0"/>
            <w:noProof/>
          </w:rPr>
          <w:fldChar w:fldCharType="end"/>
        </w:r>
      </w:hyperlink>
    </w:p>
    <w:p w:rsidR="006C13DF" w14:paraId="372C1811" w14:textId="45E2013E">
      <w:pPr>
        <w:pStyle w:val="TOC1"/>
        <w:tabs>
          <w:tab w:val="right" w:pos="8296"/>
        </w:tabs>
        <w:spacing w:before="0" w:line="360" w:lineRule="auto"/>
        <w:rPr>
          <w:rFonts w:ascii="Calibri" w:hAnsi="Calibri" w:cs="Calibri"/>
          <w:b w:val="0"/>
          <w:bCs w:val="0"/>
          <w:caps w:val="0"/>
          <w:noProof/>
          <w:sz w:val="21"/>
          <w:szCs w:val="22"/>
        </w:rPr>
      </w:pPr>
      <w:hyperlink w:anchor="_Toc96101876" w:tooltip="Current Document" w:history="1">
        <w:r w:rsidR="006F7D17">
          <w:rPr>
            <w:rStyle w:val="Hyperlink"/>
            <w:rFonts w:ascii="宋体" w:hAnsi="宋体" w:hint="eastAsia"/>
            <w:b w:val="0"/>
            <w:noProof/>
            <w:highlight w:val="white"/>
          </w:rPr>
          <w:t>七、 交易及清算交收安排</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_Toc96101876 \h </w:instrText>
        </w:r>
        <w:r w:rsidR="006F7D17">
          <w:rPr>
            <w:b w:val="0"/>
            <w:noProof/>
          </w:rPr>
          <w:fldChar w:fldCharType="separate"/>
        </w:r>
        <w:r w:rsidR="00563E2D">
          <w:rPr>
            <w:rFonts w:ascii="宋体" w:hAnsi="宋体" w:cs="宋体" w:hint="eastAsia"/>
            <w:b w:val="0"/>
            <w:noProof/>
            <w:highlight w:val="white"/>
          </w:rPr>
          <w:t>17</w:t>
        </w:r>
        <w:r w:rsidR="006F7D17">
          <w:rPr>
            <w:b w:val="0"/>
            <w:noProof/>
          </w:rPr>
          <w:fldChar w:fldCharType="end"/>
        </w:r>
      </w:hyperlink>
    </w:p>
    <w:p w:rsidR="006C13DF" w14:paraId="31A413E7" w14:textId="28921BCD">
      <w:pPr>
        <w:pStyle w:val="TOC1"/>
        <w:tabs>
          <w:tab w:val="right" w:pos="8296"/>
        </w:tabs>
        <w:spacing w:before="0" w:line="360" w:lineRule="auto"/>
        <w:rPr>
          <w:rFonts w:ascii="Calibri" w:hAnsi="Calibri" w:cs="Calibri"/>
          <w:b w:val="0"/>
          <w:bCs w:val="0"/>
          <w:caps w:val="0"/>
          <w:noProof/>
          <w:sz w:val="21"/>
          <w:szCs w:val="22"/>
        </w:rPr>
      </w:pPr>
      <w:hyperlink w:anchor="_Toc96101877" w:tooltip="Current Document" w:history="1">
        <w:r w:rsidR="006F7D17">
          <w:rPr>
            <w:rStyle w:val="Hyperlink"/>
            <w:rFonts w:ascii="宋体" w:hAnsi="宋体" w:hint="eastAsia"/>
            <w:b w:val="0"/>
            <w:noProof/>
            <w:highlight w:val="white"/>
          </w:rPr>
          <w:t>八、 基金资产净值计算和会计核算</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_Toc96101877 \h </w:instrText>
        </w:r>
        <w:r w:rsidR="006F7D17">
          <w:rPr>
            <w:b w:val="0"/>
            <w:noProof/>
          </w:rPr>
          <w:fldChar w:fldCharType="separate"/>
        </w:r>
        <w:r w:rsidR="00563E2D">
          <w:rPr>
            <w:rFonts w:ascii="宋体" w:hAnsi="宋体" w:cs="宋体" w:hint="eastAsia"/>
            <w:b w:val="0"/>
            <w:noProof/>
            <w:highlight w:val="white"/>
          </w:rPr>
          <w:t>21</w:t>
        </w:r>
        <w:r w:rsidR="006F7D17">
          <w:rPr>
            <w:b w:val="0"/>
            <w:noProof/>
          </w:rPr>
          <w:fldChar w:fldCharType="end"/>
        </w:r>
      </w:hyperlink>
    </w:p>
    <w:p w:rsidR="006C13DF" w14:paraId="7E9C4295" w14:textId="32357DA6">
      <w:pPr>
        <w:pStyle w:val="TOC1"/>
        <w:tabs>
          <w:tab w:val="right" w:pos="8296"/>
        </w:tabs>
        <w:spacing w:before="0" w:line="360" w:lineRule="auto"/>
        <w:rPr>
          <w:rFonts w:ascii="Calibri" w:hAnsi="Calibri" w:cs="Calibri"/>
          <w:b w:val="0"/>
          <w:bCs w:val="0"/>
          <w:caps w:val="0"/>
          <w:noProof/>
          <w:sz w:val="21"/>
          <w:szCs w:val="22"/>
        </w:rPr>
      </w:pPr>
      <w:hyperlink w:anchor="_Toc96101878" w:tooltip="Current Document" w:history="1">
        <w:r w:rsidR="006F7D17">
          <w:rPr>
            <w:rStyle w:val="Hyperlink"/>
            <w:rFonts w:ascii="宋体" w:hAnsi="宋体" w:hint="eastAsia"/>
            <w:b w:val="0"/>
            <w:noProof/>
            <w:highlight w:val="white"/>
          </w:rPr>
          <w:t>九、 基金收益分配</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_Toc96101878 \h </w:instrText>
        </w:r>
        <w:r w:rsidR="006F7D17">
          <w:rPr>
            <w:b w:val="0"/>
            <w:noProof/>
          </w:rPr>
          <w:fldChar w:fldCharType="separate"/>
        </w:r>
        <w:r w:rsidR="00563E2D">
          <w:rPr>
            <w:rFonts w:ascii="宋体" w:hAnsi="宋体" w:cs="宋体" w:hint="eastAsia"/>
            <w:b w:val="0"/>
            <w:noProof/>
            <w:highlight w:val="white"/>
          </w:rPr>
          <w:t>27</w:t>
        </w:r>
        <w:r w:rsidR="006F7D17">
          <w:rPr>
            <w:b w:val="0"/>
            <w:noProof/>
          </w:rPr>
          <w:fldChar w:fldCharType="end"/>
        </w:r>
      </w:hyperlink>
    </w:p>
    <w:p w:rsidR="006C13DF" w14:paraId="4BB33AC6" w14:textId="3B78E5E3">
      <w:pPr>
        <w:pStyle w:val="TOC1"/>
        <w:tabs>
          <w:tab w:val="right" w:pos="8296"/>
        </w:tabs>
        <w:spacing w:before="0" w:line="360" w:lineRule="auto"/>
        <w:rPr>
          <w:rFonts w:ascii="Calibri" w:hAnsi="Calibri" w:cs="Calibri"/>
          <w:b w:val="0"/>
          <w:bCs w:val="0"/>
          <w:caps w:val="0"/>
          <w:noProof/>
          <w:sz w:val="21"/>
          <w:szCs w:val="22"/>
        </w:rPr>
      </w:pPr>
      <w:hyperlink w:anchor="_Toc96101879" w:tooltip="Current Document" w:history="1">
        <w:r w:rsidR="006F7D17">
          <w:rPr>
            <w:rStyle w:val="Hyperlink"/>
            <w:rFonts w:ascii="宋体" w:hAnsi="宋体" w:hint="eastAsia"/>
            <w:b w:val="0"/>
            <w:noProof/>
            <w:highlight w:val="white"/>
          </w:rPr>
          <w:t>十、 信息披露</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_Toc96101879 \h </w:instrText>
        </w:r>
        <w:r w:rsidR="006F7D17">
          <w:rPr>
            <w:b w:val="0"/>
            <w:noProof/>
          </w:rPr>
          <w:fldChar w:fldCharType="separate"/>
        </w:r>
        <w:r w:rsidR="00563E2D">
          <w:rPr>
            <w:rFonts w:ascii="宋体" w:hAnsi="宋体" w:cs="宋体" w:hint="eastAsia"/>
            <w:b w:val="0"/>
            <w:noProof/>
            <w:highlight w:val="white"/>
          </w:rPr>
          <w:t>28</w:t>
        </w:r>
        <w:r w:rsidR="006F7D17">
          <w:rPr>
            <w:b w:val="0"/>
            <w:noProof/>
          </w:rPr>
          <w:fldChar w:fldCharType="end"/>
        </w:r>
      </w:hyperlink>
    </w:p>
    <w:p w:rsidR="006C13DF" w14:paraId="35E2A675" w14:textId="1D601810">
      <w:pPr>
        <w:pStyle w:val="TOC1"/>
        <w:tabs>
          <w:tab w:val="right" w:pos="8296"/>
        </w:tabs>
        <w:spacing w:before="0" w:line="360" w:lineRule="auto"/>
        <w:rPr>
          <w:rFonts w:ascii="Calibri" w:hAnsi="Calibri" w:cs="Calibri"/>
          <w:b w:val="0"/>
          <w:bCs w:val="0"/>
          <w:caps w:val="0"/>
          <w:noProof/>
          <w:sz w:val="21"/>
          <w:szCs w:val="22"/>
        </w:rPr>
      </w:pPr>
      <w:hyperlink w:anchor="_Toc96101880" w:tooltip="Current Document" w:history="1">
        <w:r w:rsidR="006F7D17">
          <w:rPr>
            <w:rStyle w:val="Hyperlink"/>
            <w:rFonts w:ascii="宋体" w:hAnsi="宋体" w:hint="eastAsia"/>
            <w:b w:val="0"/>
            <w:noProof/>
            <w:highlight w:val="white"/>
          </w:rPr>
          <w:t>十一、 基金费用</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_Toc96101880 \h </w:instrText>
        </w:r>
        <w:r w:rsidR="006F7D17">
          <w:rPr>
            <w:b w:val="0"/>
            <w:noProof/>
          </w:rPr>
          <w:fldChar w:fldCharType="separate"/>
        </w:r>
        <w:r w:rsidR="00563E2D">
          <w:rPr>
            <w:rFonts w:ascii="宋体" w:hAnsi="宋体" w:cs="宋体" w:hint="eastAsia"/>
            <w:b w:val="0"/>
            <w:noProof/>
            <w:highlight w:val="white"/>
          </w:rPr>
          <w:t>30</w:t>
        </w:r>
        <w:r w:rsidR="006F7D17">
          <w:rPr>
            <w:b w:val="0"/>
            <w:noProof/>
          </w:rPr>
          <w:fldChar w:fldCharType="end"/>
        </w:r>
      </w:hyperlink>
    </w:p>
    <w:p w:rsidR="006C13DF" w14:paraId="531898E4" w14:textId="2E317B27">
      <w:pPr>
        <w:pStyle w:val="TOC1"/>
        <w:tabs>
          <w:tab w:val="right" w:pos="8296"/>
        </w:tabs>
        <w:spacing w:before="0" w:line="360" w:lineRule="auto"/>
        <w:rPr>
          <w:rFonts w:ascii="Calibri" w:hAnsi="Calibri" w:cs="Calibri"/>
          <w:b w:val="0"/>
          <w:bCs w:val="0"/>
          <w:caps w:val="0"/>
          <w:noProof/>
          <w:sz w:val="21"/>
          <w:szCs w:val="22"/>
        </w:rPr>
      </w:pPr>
      <w:hyperlink w:anchor="_Toc96101881" w:tooltip="Current Document" w:history="1">
        <w:r w:rsidR="006F7D17">
          <w:rPr>
            <w:rStyle w:val="Hyperlink"/>
            <w:rFonts w:ascii="宋体" w:hAnsi="宋体" w:hint="eastAsia"/>
            <w:b w:val="0"/>
            <w:noProof/>
            <w:highlight w:val="white"/>
          </w:rPr>
          <w:t>十二、 基金份额持有人名册的保管</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_Toc96101881 \h </w:instrText>
        </w:r>
        <w:r w:rsidR="006F7D17">
          <w:rPr>
            <w:b w:val="0"/>
            <w:noProof/>
          </w:rPr>
          <w:fldChar w:fldCharType="separate"/>
        </w:r>
        <w:r w:rsidR="00563E2D">
          <w:rPr>
            <w:rFonts w:ascii="宋体" w:hAnsi="宋体" w:cs="宋体" w:hint="eastAsia"/>
            <w:b w:val="0"/>
            <w:noProof/>
            <w:highlight w:val="white"/>
          </w:rPr>
          <w:t>31</w:t>
        </w:r>
        <w:r w:rsidR="006F7D17">
          <w:rPr>
            <w:b w:val="0"/>
            <w:noProof/>
          </w:rPr>
          <w:fldChar w:fldCharType="end"/>
        </w:r>
      </w:hyperlink>
    </w:p>
    <w:p w:rsidR="006C13DF" w14:paraId="71AE3A1E" w14:textId="27953718">
      <w:pPr>
        <w:pStyle w:val="TOC1"/>
        <w:tabs>
          <w:tab w:val="right" w:pos="8296"/>
        </w:tabs>
        <w:spacing w:before="0" w:line="360" w:lineRule="auto"/>
        <w:rPr>
          <w:rFonts w:ascii="Calibri" w:hAnsi="Calibri" w:cs="Calibri"/>
          <w:b w:val="0"/>
          <w:bCs w:val="0"/>
          <w:caps w:val="0"/>
          <w:noProof/>
          <w:sz w:val="21"/>
          <w:szCs w:val="22"/>
        </w:rPr>
      </w:pPr>
      <w:hyperlink w:anchor="_Toc96101882" w:tooltip="Current Document" w:history="1">
        <w:r w:rsidR="006F7D17">
          <w:rPr>
            <w:rStyle w:val="Hyperlink"/>
            <w:rFonts w:ascii="宋体" w:hAnsi="宋体" w:hint="eastAsia"/>
            <w:b w:val="0"/>
            <w:noProof/>
            <w:highlight w:val="white"/>
          </w:rPr>
          <w:t>十三、 基金有关文件和档案的保存</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_Toc96101882 \h </w:instrText>
        </w:r>
        <w:r w:rsidR="006F7D17">
          <w:rPr>
            <w:b w:val="0"/>
            <w:noProof/>
          </w:rPr>
          <w:fldChar w:fldCharType="separate"/>
        </w:r>
        <w:r w:rsidR="00563E2D">
          <w:rPr>
            <w:rFonts w:ascii="宋体" w:hAnsi="宋体" w:cs="宋体" w:hint="eastAsia"/>
            <w:b w:val="0"/>
            <w:noProof/>
            <w:highlight w:val="white"/>
          </w:rPr>
          <w:t>32</w:t>
        </w:r>
        <w:r w:rsidR="006F7D17">
          <w:rPr>
            <w:b w:val="0"/>
            <w:noProof/>
          </w:rPr>
          <w:fldChar w:fldCharType="end"/>
        </w:r>
      </w:hyperlink>
    </w:p>
    <w:p w:rsidR="006C13DF" w14:paraId="43F88231" w14:textId="4896A442">
      <w:pPr>
        <w:pStyle w:val="TOC1"/>
        <w:tabs>
          <w:tab w:val="right" w:pos="8296"/>
        </w:tabs>
        <w:spacing w:before="0" w:line="360" w:lineRule="auto"/>
        <w:rPr>
          <w:rFonts w:ascii="Calibri" w:hAnsi="Calibri" w:cs="Calibri"/>
          <w:b w:val="0"/>
          <w:bCs w:val="0"/>
          <w:caps w:val="0"/>
          <w:noProof/>
          <w:sz w:val="21"/>
          <w:szCs w:val="22"/>
        </w:rPr>
      </w:pPr>
      <w:hyperlink w:anchor="_Toc96101883" w:tooltip="Current Document" w:history="1">
        <w:r w:rsidR="006F7D17">
          <w:rPr>
            <w:rStyle w:val="Hyperlink"/>
            <w:rFonts w:ascii="宋体" w:hAnsi="宋体" w:hint="eastAsia"/>
            <w:b w:val="0"/>
            <w:noProof/>
            <w:highlight w:val="white"/>
          </w:rPr>
          <w:t>十四、 基金管理人和基金托管人的更换</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_Toc96101883 \h </w:instrText>
        </w:r>
        <w:r w:rsidR="006F7D17">
          <w:rPr>
            <w:b w:val="0"/>
            <w:noProof/>
          </w:rPr>
          <w:fldChar w:fldCharType="separate"/>
        </w:r>
        <w:r w:rsidR="00563E2D">
          <w:rPr>
            <w:rFonts w:ascii="宋体" w:hAnsi="宋体" w:cs="宋体" w:hint="eastAsia"/>
            <w:b w:val="0"/>
            <w:noProof/>
            <w:highlight w:val="white"/>
          </w:rPr>
          <w:t>33</w:t>
        </w:r>
        <w:r w:rsidR="006F7D17">
          <w:rPr>
            <w:b w:val="0"/>
            <w:noProof/>
          </w:rPr>
          <w:fldChar w:fldCharType="end"/>
        </w:r>
      </w:hyperlink>
    </w:p>
    <w:p w:rsidR="006C13DF" w14:paraId="2FA75DDB" w14:textId="074858AB">
      <w:pPr>
        <w:pStyle w:val="TOC1"/>
        <w:tabs>
          <w:tab w:val="right" w:pos="8296"/>
        </w:tabs>
        <w:spacing w:before="0" w:line="360" w:lineRule="auto"/>
        <w:rPr>
          <w:rFonts w:ascii="Calibri" w:hAnsi="Calibri" w:cs="Calibri"/>
          <w:b w:val="0"/>
          <w:bCs w:val="0"/>
          <w:caps w:val="0"/>
          <w:noProof/>
          <w:sz w:val="21"/>
          <w:szCs w:val="22"/>
        </w:rPr>
      </w:pPr>
      <w:hyperlink w:anchor="_Toc96101884" w:tooltip="Current Document" w:history="1">
        <w:r w:rsidR="006F7D17">
          <w:rPr>
            <w:rStyle w:val="Hyperlink"/>
            <w:rFonts w:ascii="宋体" w:hAnsi="宋体" w:hint="eastAsia"/>
            <w:b w:val="0"/>
            <w:noProof/>
            <w:highlight w:val="white"/>
          </w:rPr>
          <w:t>十五、 禁止行为</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_Toc96101884 \h </w:instrText>
        </w:r>
        <w:r w:rsidR="006F7D17">
          <w:rPr>
            <w:b w:val="0"/>
            <w:noProof/>
          </w:rPr>
          <w:fldChar w:fldCharType="separate"/>
        </w:r>
        <w:r w:rsidR="00563E2D">
          <w:rPr>
            <w:rFonts w:ascii="宋体" w:hAnsi="宋体" w:cs="宋体" w:hint="eastAsia"/>
            <w:b w:val="0"/>
            <w:noProof/>
            <w:highlight w:val="white"/>
          </w:rPr>
          <w:t>35</w:t>
        </w:r>
        <w:r w:rsidR="006F7D17">
          <w:rPr>
            <w:b w:val="0"/>
            <w:noProof/>
          </w:rPr>
          <w:fldChar w:fldCharType="end"/>
        </w:r>
      </w:hyperlink>
    </w:p>
    <w:p w:rsidR="006C13DF" w14:paraId="42C85C0C" w14:textId="34719A04">
      <w:pPr>
        <w:pStyle w:val="TOC1"/>
        <w:tabs>
          <w:tab w:val="right" w:pos="8296"/>
        </w:tabs>
        <w:spacing w:before="0" w:line="360" w:lineRule="auto"/>
        <w:rPr>
          <w:rFonts w:ascii="Calibri" w:hAnsi="Calibri" w:cs="Calibri"/>
          <w:b w:val="0"/>
          <w:bCs w:val="0"/>
          <w:caps w:val="0"/>
          <w:noProof/>
          <w:sz w:val="21"/>
          <w:szCs w:val="22"/>
        </w:rPr>
      </w:pPr>
      <w:hyperlink w:anchor="_Toc96101885" w:tooltip="Current Document" w:history="1">
        <w:r w:rsidR="006F7D17">
          <w:rPr>
            <w:rStyle w:val="Hyperlink"/>
            <w:rFonts w:ascii="宋体" w:hAnsi="宋体" w:hint="eastAsia"/>
            <w:b w:val="0"/>
            <w:noProof/>
            <w:highlight w:val="white"/>
          </w:rPr>
          <w:t>十六、 托管协议的变更、终止与基金财产的清算</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_Toc96101885 \h </w:instrText>
        </w:r>
        <w:r w:rsidR="006F7D17">
          <w:rPr>
            <w:b w:val="0"/>
            <w:noProof/>
          </w:rPr>
          <w:fldChar w:fldCharType="separate"/>
        </w:r>
        <w:r w:rsidR="00563E2D">
          <w:rPr>
            <w:rFonts w:ascii="宋体" w:hAnsi="宋体" w:cs="宋体" w:hint="eastAsia"/>
            <w:b w:val="0"/>
            <w:noProof/>
            <w:highlight w:val="white"/>
          </w:rPr>
          <w:t>36</w:t>
        </w:r>
        <w:r w:rsidR="006F7D17">
          <w:rPr>
            <w:b w:val="0"/>
            <w:noProof/>
          </w:rPr>
          <w:fldChar w:fldCharType="end"/>
        </w:r>
      </w:hyperlink>
    </w:p>
    <w:p w:rsidR="006C13DF" w14:paraId="1B8008C3" w14:textId="2BA746B6">
      <w:pPr>
        <w:pStyle w:val="TOC1"/>
        <w:tabs>
          <w:tab w:val="right" w:pos="8296"/>
        </w:tabs>
        <w:spacing w:before="0" w:line="360" w:lineRule="auto"/>
        <w:rPr>
          <w:rFonts w:ascii="Calibri" w:hAnsi="Calibri" w:cs="Calibri"/>
          <w:b w:val="0"/>
          <w:bCs w:val="0"/>
          <w:caps w:val="0"/>
          <w:noProof/>
          <w:sz w:val="21"/>
          <w:szCs w:val="22"/>
        </w:rPr>
      </w:pPr>
      <w:hyperlink w:anchor="_Toc96101886" w:tooltip="Current Document" w:history="1">
        <w:r w:rsidR="006F7D17">
          <w:rPr>
            <w:rStyle w:val="Hyperlink"/>
            <w:rFonts w:ascii="宋体" w:hAnsi="宋体" w:hint="eastAsia"/>
            <w:b w:val="0"/>
            <w:noProof/>
            <w:highlight w:val="white"/>
          </w:rPr>
          <w:t>十七、 违约责任</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_Toc96101886 \h </w:instrText>
        </w:r>
        <w:r w:rsidR="006F7D17">
          <w:rPr>
            <w:b w:val="0"/>
            <w:noProof/>
          </w:rPr>
          <w:fldChar w:fldCharType="separate"/>
        </w:r>
        <w:r w:rsidR="00563E2D">
          <w:rPr>
            <w:rFonts w:ascii="宋体" w:hAnsi="宋体" w:cs="宋体" w:hint="eastAsia"/>
            <w:b w:val="0"/>
            <w:noProof/>
            <w:highlight w:val="white"/>
          </w:rPr>
          <w:t>38</w:t>
        </w:r>
        <w:r w:rsidR="006F7D17">
          <w:rPr>
            <w:b w:val="0"/>
            <w:noProof/>
          </w:rPr>
          <w:fldChar w:fldCharType="end"/>
        </w:r>
      </w:hyperlink>
    </w:p>
    <w:p w:rsidR="006C13DF" w14:paraId="19DCD07F" w14:textId="34C9398D">
      <w:pPr>
        <w:pStyle w:val="TOC1"/>
        <w:tabs>
          <w:tab w:val="right" w:pos="8296"/>
        </w:tabs>
        <w:spacing w:before="0" w:line="360" w:lineRule="auto"/>
        <w:rPr>
          <w:rFonts w:ascii="Calibri" w:hAnsi="Calibri" w:cs="Calibri"/>
          <w:b w:val="0"/>
          <w:bCs w:val="0"/>
          <w:caps w:val="0"/>
          <w:noProof/>
          <w:sz w:val="21"/>
          <w:szCs w:val="22"/>
        </w:rPr>
      </w:pPr>
      <w:hyperlink w:anchor="_Toc96101887" w:tooltip="Current Document" w:history="1">
        <w:r w:rsidR="006F7D17">
          <w:rPr>
            <w:rStyle w:val="Hyperlink"/>
            <w:rFonts w:ascii="宋体" w:hAnsi="宋体" w:hint="eastAsia"/>
            <w:b w:val="0"/>
            <w:noProof/>
            <w:highlight w:val="white"/>
          </w:rPr>
          <w:t>十八、 争议解决方式</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_Toc96101887 \h </w:instrText>
        </w:r>
        <w:r w:rsidR="006F7D17">
          <w:rPr>
            <w:b w:val="0"/>
            <w:noProof/>
          </w:rPr>
          <w:fldChar w:fldCharType="separate"/>
        </w:r>
        <w:r w:rsidR="00563E2D">
          <w:rPr>
            <w:rFonts w:ascii="宋体" w:hAnsi="宋体" w:cs="宋体" w:hint="eastAsia"/>
            <w:b w:val="0"/>
            <w:noProof/>
            <w:highlight w:val="white"/>
          </w:rPr>
          <w:t>40</w:t>
        </w:r>
        <w:r w:rsidR="006F7D17">
          <w:rPr>
            <w:b w:val="0"/>
            <w:noProof/>
          </w:rPr>
          <w:fldChar w:fldCharType="end"/>
        </w:r>
      </w:hyperlink>
    </w:p>
    <w:p w:rsidR="006C13DF" w14:paraId="47375FB1" w14:textId="50AE5D02">
      <w:pPr>
        <w:pStyle w:val="TOC1"/>
        <w:tabs>
          <w:tab w:val="right" w:pos="8296"/>
        </w:tabs>
        <w:spacing w:before="0" w:line="360" w:lineRule="auto"/>
        <w:rPr>
          <w:rFonts w:ascii="Calibri" w:hAnsi="Calibri" w:cs="Calibri"/>
          <w:b w:val="0"/>
          <w:bCs w:val="0"/>
          <w:caps w:val="0"/>
          <w:noProof/>
          <w:sz w:val="21"/>
          <w:szCs w:val="22"/>
        </w:rPr>
      </w:pPr>
      <w:hyperlink w:anchor="_Toc96101888" w:tooltip="Current Document" w:history="1">
        <w:r w:rsidR="006F7D17">
          <w:rPr>
            <w:rStyle w:val="Hyperlink"/>
            <w:rFonts w:ascii="宋体" w:hAnsi="宋体" w:hint="eastAsia"/>
            <w:b w:val="0"/>
            <w:noProof/>
            <w:highlight w:val="white"/>
          </w:rPr>
          <w:t>十九、 基金托管协议的效力</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_Toc96101888 \h </w:instrText>
        </w:r>
        <w:r w:rsidR="006F7D17">
          <w:rPr>
            <w:b w:val="0"/>
            <w:noProof/>
          </w:rPr>
          <w:fldChar w:fldCharType="separate"/>
        </w:r>
        <w:r w:rsidR="00563E2D">
          <w:rPr>
            <w:rFonts w:ascii="宋体" w:hAnsi="宋体" w:cs="宋体" w:hint="eastAsia"/>
            <w:b w:val="0"/>
            <w:noProof/>
            <w:highlight w:val="white"/>
          </w:rPr>
          <w:t>40</w:t>
        </w:r>
        <w:r w:rsidR="006F7D17">
          <w:rPr>
            <w:b w:val="0"/>
            <w:noProof/>
          </w:rPr>
          <w:fldChar w:fldCharType="end"/>
        </w:r>
      </w:hyperlink>
    </w:p>
    <w:p w:rsidR="006C13DF" w14:paraId="325EF50C" w14:textId="48968D6B">
      <w:pPr>
        <w:pStyle w:val="TOC1"/>
        <w:tabs>
          <w:tab w:val="right" w:pos="8296"/>
        </w:tabs>
        <w:spacing w:before="0" w:line="360" w:lineRule="auto"/>
        <w:rPr>
          <w:rFonts w:ascii="Calibri" w:hAnsi="Calibri" w:cs="Calibri"/>
          <w:b w:val="0"/>
          <w:bCs w:val="0"/>
          <w:caps w:val="0"/>
          <w:noProof/>
          <w:sz w:val="21"/>
          <w:szCs w:val="22"/>
        </w:rPr>
      </w:pPr>
      <w:hyperlink w:anchor="_Toc96101889" w:tooltip="Current Document" w:history="1">
        <w:r w:rsidR="006F7D17">
          <w:rPr>
            <w:rStyle w:val="Hyperlink"/>
            <w:rFonts w:ascii="宋体" w:hAnsi="宋体" w:hint="eastAsia"/>
            <w:b w:val="0"/>
            <w:noProof/>
            <w:highlight w:val="white"/>
          </w:rPr>
          <w:t>二十、 基金托管协议的签订</w:t>
        </w:r>
        <w:r w:rsidR="006F7D17">
          <w:rPr>
            <w:rFonts w:ascii="宋体" w:hAnsi="宋体" w:cs="宋体"/>
            <w:b w:val="0"/>
            <w:noProof/>
            <w:highlight w:val="white"/>
          </w:rPr>
          <w:tab/>
        </w:r>
        <w:r w:rsidR="006F7D17">
          <w:rPr>
            <w:b w:val="0"/>
            <w:noProof/>
          </w:rPr>
          <w:fldChar w:fldCharType="begin"/>
        </w:r>
        <w:r w:rsidR="006F7D17">
          <w:rPr>
            <w:rFonts w:ascii="宋体" w:hAnsi="宋体" w:cs="宋体"/>
            <w:b w:val="0"/>
            <w:noProof/>
            <w:highlight w:val="white"/>
          </w:rPr>
          <w:instrText xml:space="preserve"> PAGEREF _Toc96101889 \h </w:instrText>
        </w:r>
        <w:r w:rsidR="006F7D17">
          <w:rPr>
            <w:b w:val="0"/>
            <w:noProof/>
          </w:rPr>
          <w:fldChar w:fldCharType="separate"/>
        </w:r>
        <w:r w:rsidR="00563E2D">
          <w:rPr>
            <w:rFonts w:ascii="宋体" w:hAnsi="宋体" w:cs="宋体" w:hint="eastAsia"/>
            <w:b w:val="0"/>
            <w:noProof/>
            <w:highlight w:val="white"/>
          </w:rPr>
          <w:t>41</w:t>
        </w:r>
        <w:r w:rsidR="006F7D17">
          <w:rPr>
            <w:b w:val="0"/>
            <w:noProof/>
          </w:rPr>
          <w:fldChar w:fldCharType="end"/>
        </w:r>
      </w:hyperlink>
    </w:p>
    <w:p w:rsidR="006C13DF" w14:paraId="7FEBAED6" w14:textId="77777777">
      <w:pPr>
        <w:spacing w:line="360" w:lineRule="auto"/>
      </w:pPr>
      <w:r>
        <w:fldChar w:fldCharType="end"/>
      </w:r>
    </w:p>
    <w:p w:rsidR="006C13DF" w14:paraId="0F9F5403" w14:textId="77777777"/>
    <w:p w:rsidR="006C13DF" w14:paraId="6E66ABC3" w14:textId="77777777">
      <w:pPr>
        <w:sectPr>
          <w:headerReference w:type="default" r:id="rId5"/>
          <w:footerReference w:type="even" r:id="rId6"/>
          <w:footerReference w:type="default" r:id="rId7"/>
          <w:pgSz w:w="11906" w:h="16838"/>
          <w:pgMar w:top="1440" w:right="1800" w:bottom="1440" w:left="1800" w:header="851" w:footer="992" w:gutter="0"/>
          <w:pgNumType w:start="0"/>
          <w:cols w:space="720"/>
          <w:titlePg/>
          <w:docGrid w:type="lines" w:linePitch="312"/>
        </w:sectPr>
      </w:pPr>
    </w:p>
    <w:p w:rsidR="006C13DF" w14:paraId="73D84C47"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4" w:name="_Toc96101870"/>
      <w:r>
        <w:rPr>
          <w:rFonts w:ascii="宋体" w:hAnsi="宋体" w:cs="Arial" w:hint="eastAsia"/>
          <w:sz w:val="30"/>
          <w:highlight w:val="white"/>
        </w:rPr>
        <w:t>基金托管协议当事人</w:t>
      </w:r>
      <w:bookmarkEnd w:id="4"/>
    </w:p>
    <w:p w:rsidR="006C13DF" w14:paraId="4BF3241F" w14:textId="77777777">
      <w:pPr>
        <w:pStyle w:val="21"/>
        <w:keepNext w:val="0"/>
        <w:keepLines w:val="0"/>
        <w:spacing w:before="0" w:after="0" w:line="360" w:lineRule="auto"/>
        <w:ind w:firstLine="470"/>
        <w:rPr>
          <w:rFonts w:ascii="宋体" w:eastAsia="宋体" w:hAnsi="宋体" w:cs="Arial" w:hint="eastAsia"/>
          <w:b w:val="0"/>
          <w:sz w:val="24"/>
          <w:szCs w:val="24"/>
        </w:rPr>
      </w:pPr>
      <w:r>
        <w:rPr>
          <w:rFonts w:ascii="宋体" w:eastAsia="宋体" w:hAnsi="宋体" w:cs="Arial" w:hint="eastAsia"/>
          <w:b w:val="0"/>
          <w:sz w:val="24"/>
          <w:szCs w:val="24"/>
          <w:highlight w:val="white"/>
        </w:rPr>
        <w:t>（一）基金管理人</w:t>
      </w:r>
    </w:p>
    <w:p w:rsidR="006C13DF" w14:paraId="49BD9B7E" w14:textId="77777777">
      <w:pPr>
        <w:spacing w:after="120" w:line="360" w:lineRule="auto"/>
        <w:ind w:firstLine="480"/>
        <w:rPr>
          <w:rFonts w:ascii="宋体" w:hAnsi="宋体" w:hint="eastAsia"/>
          <w:sz w:val="24"/>
        </w:rPr>
      </w:pPr>
      <w:r>
        <w:rPr>
          <w:rFonts w:ascii="宋体" w:hAnsi="宋体" w:hint="eastAsia"/>
          <w:sz w:val="24"/>
          <w:highlight w:val="white"/>
        </w:rPr>
        <w:t>名称：易方达基金管理有限公司</w:t>
      </w:r>
    </w:p>
    <w:p w:rsidR="006C13DF" w14:paraId="0A030FA3" w14:textId="77777777">
      <w:pPr>
        <w:spacing w:after="120" w:line="360" w:lineRule="auto"/>
        <w:ind w:firstLine="480"/>
        <w:rPr>
          <w:rFonts w:ascii="宋体" w:hAnsi="宋体" w:hint="eastAsia"/>
          <w:sz w:val="24"/>
        </w:rPr>
      </w:pPr>
      <w:r>
        <w:rPr>
          <w:rFonts w:ascii="宋体" w:hAnsi="宋体" w:hint="eastAsia"/>
          <w:sz w:val="24"/>
          <w:highlight w:val="white"/>
        </w:rPr>
        <w:t>住所：广东省珠海市横琴新区荣粤道188号6层</w:t>
      </w:r>
    </w:p>
    <w:p w:rsidR="006C13DF" w14:paraId="327B920B" w14:textId="77777777">
      <w:pPr>
        <w:spacing w:after="120" w:line="360" w:lineRule="auto"/>
        <w:ind w:firstLine="480"/>
        <w:rPr>
          <w:rFonts w:ascii="宋体" w:hAnsi="宋体" w:hint="eastAsia"/>
          <w:sz w:val="24"/>
        </w:rPr>
      </w:pPr>
      <w:r>
        <w:rPr>
          <w:rFonts w:ascii="宋体" w:hAnsi="宋体" w:hint="eastAsia"/>
          <w:sz w:val="24"/>
          <w:highlight w:val="white"/>
        </w:rPr>
        <w:t xml:space="preserve">法定代表人：吴欣荣 </w:t>
      </w:r>
    </w:p>
    <w:p w:rsidR="006C13DF" w14:paraId="499E81D1" w14:textId="77777777">
      <w:pPr>
        <w:spacing w:after="120" w:line="360" w:lineRule="auto"/>
        <w:ind w:firstLine="480"/>
        <w:rPr>
          <w:rFonts w:ascii="宋体" w:hAnsi="宋体" w:hint="eastAsia"/>
          <w:sz w:val="24"/>
        </w:rPr>
      </w:pPr>
      <w:r>
        <w:rPr>
          <w:rFonts w:ascii="宋体" w:hAnsi="宋体" w:hint="eastAsia"/>
          <w:sz w:val="24"/>
          <w:highlight w:val="white"/>
        </w:rPr>
        <w:t>设立日期：2001年4月17日</w:t>
      </w:r>
    </w:p>
    <w:p w:rsidR="006C13DF" w14:paraId="60E71640" w14:textId="77777777">
      <w:pPr>
        <w:spacing w:after="120" w:line="360" w:lineRule="auto"/>
        <w:ind w:firstLine="480"/>
        <w:rPr>
          <w:rFonts w:ascii="宋体" w:hAnsi="宋体" w:hint="eastAsia"/>
          <w:sz w:val="24"/>
        </w:rPr>
      </w:pPr>
      <w:r>
        <w:rPr>
          <w:rFonts w:ascii="宋体" w:hAnsi="宋体" w:hint="eastAsia"/>
          <w:sz w:val="24"/>
          <w:highlight w:val="white"/>
        </w:rPr>
        <w:t>批准设立机关及批准设立文号：中国证券监督管理委员会，证监基金字[2001]4号</w:t>
      </w:r>
    </w:p>
    <w:p w:rsidR="006C13DF" w14:paraId="1C4D8199" w14:textId="77777777">
      <w:pPr>
        <w:spacing w:after="120" w:line="360" w:lineRule="auto"/>
        <w:ind w:firstLine="480"/>
        <w:rPr>
          <w:rFonts w:ascii="宋体" w:hAnsi="宋体" w:hint="eastAsia"/>
          <w:sz w:val="24"/>
        </w:rPr>
      </w:pPr>
      <w:r>
        <w:rPr>
          <w:rFonts w:ascii="宋体" w:hAnsi="宋体" w:hint="eastAsia"/>
          <w:sz w:val="24"/>
          <w:highlight w:val="white"/>
        </w:rPr>
        <w:t>组织形式：有限责任公司</w:t>
      </w:r>
    </w:p>
    <w:p w:rsidR="006C13DF" w14:paraId="64719715" w14:textId="77777777">
      <w:pPr>
        <w:spacing w:after="120" w:line="360" w:lineRule="auto"/>
        <w:ind w:firstLine="480"/>
        <w:rPr>
          <w:rFonts w:ascii="宋体" w:hAnsi="宋体" w:hint="eastAsia"/>
          <w:sz w:val="24"/>
        </w:rPr>
      </w:pPr>
      <w:r>
        <w:rPr>
          <w:rFonts w:ascii="宋体" w:hAnsi="宋体" w:hint="eastAsia"/>
          <w:sz w:val="24"/>
          <w:highlight w:val="white"/>
        </w:rPr>
        <w:t>注册资本：13,244.2万元人民币</w:t>
      </w:r>
    </w:p>
    <w:p w:rsidR="006C13DF" w14:paraId="74BDEBEC" w14:textId="77777777">
      <w:pPr>
        <w:spacing w:after="120" w:line="360" w:lineRule="auto"/>
        <w:ind w:firstLine="480"/>
        <w:rPr>
          <w:rFonts w:ascii="宋体" w:hAnsi="宋体" w:hint="eastAsia"/>
          <w:sz w:val="24"/>
        </w:rPr>
      </w:pPr>
      <w:r>
        <w:rPr>
          <w:rFonts w:ascii="宋体" w:hAnsi="宋体" w:hint="eastAsia"/>
          <w:sz w:val="24"/>
          <w:highlight w:val="white"/>
        </w:rPr>
        <w:t>存续期限：持续经营</w:t>
      </w:r>
    </w:p>
    <w:p w:rsidR="006C13DF" w14:paraId="3510C122" w14:textId="77777777">
      <w:pPr>
        <w:spacing w:after="120" w:line="360" w:lineRule="auto"/>
        <w:ind w:firstLine="480"/>
        <w:rPr>
          <w:rFonts w:ascii="宋体" w:hAnsi="宋体" w:hint="eastAsia"/>
          <w:sz w:val="24"/>
        </w:rPr>
      </w:pPr>
      <w:r>
        <w:rPr>
          <w:rFonts w:ascii="宋体" w:hAnsi="宋体" w:hint="eastAsia"/>
          <w:sz w:val="24"/>
          <w:highlight w:val="white"/>
        </w:rPr>
        <w:t>联系电话：4008818088</w:t>
      </w:r>
    </w:p>
    <w:p w:rsidR="006C13DF" w14:paraId="5ECE0DB1" w14:textId="77777777">
      <w:pPr>
        <w:spacing w:line="360" w:lineRule="auto"/>
        <w:ind w:firstLine="480"/>
        <w:rPr>
          <w:rFonts w:ascii="宋体" w:hAnsi="宋体" w:hint="eastAsia"/>
          <w:sz w:val="24"/>
        </w:rPr>
      </w:pPr>
    </w:p>
    <w:p w:rsidR="006C13DF" w14:paraId="21F01F10" w14:textId="77777777">
      <w:pPr>
        <w:pStyle w:val="21"/>
        <w:keepNext w:val="0"/>
        <w:keepLines w:val="0"/>
        <w:spacing w:before="0" w:after="0" w:line="360" w:lineRule="auto"/>
        <w:ind w:firstLine="470"/>
        <w:rPr>
          <w:rFonts w:ascii="宋体" w:eastAsia="宋体" w:hAnsi="宋体" w:cs="Arial" w:hint="eastAsia"/>
          <w:b w:val="0"/>
          <w:sz w:val="24"/>
          <w:szCs w:val="24"/>
        </w:rPr>
      </w:pPr>
      <w:r>
        <w:rPr>
          <w:rFonts w:ascii="宋体" w:eastAsia="宋体" w:hAnsi="宋体" w:cs="Arial" w:hint="eastAsia"/>
          <w:b w:val="0"/>
          <w:sz w:val="24"/>
          <w:szCs w:val="24"/>
          <w:highlight w:val="white"/>
        </w:rPr>
        <w:t>（二）基金托管人</w:t>
      </w:r>
    </w:p>
    <w:p w:rsidR="006C13DF" w14:paraId="13E46189" w14:textId="77777777">
      <w:pPr>
        <w:spacing w:line="360" w:lineRule="auto"/>
        <w:ind w:firstLine="480"/>
        <w:rPr>
          <w:rFonts w:ascii="宋体" w:hAnsi="宋体" w:hint="eastAsia"/>
          <w:sz w:val="24"/>
        </w:rPr>
      </w:pPr>
      <w:r>
        <w:rPr>
          <w:rFonts w:ascii="宋体" w:hAnsi="宋体" w:hint="eastAsia"/>
          <w:sz w:val="24"/>
          <w:highlight w:val="white"/>
        </w:rPr>
        <w:t>名称：中国工商银行股份有限公司</w:t>
      </w:r>
    </w:p>
    <w:p w:rsidR="006C13DF" w14:paraId="3B7E8B81" w14:textId="77777777">
      <w:pPr>
        <w:spacing w:line="360" w:lineRule="auto"/>
        <w:ind w:firstLine="480"/>
        <w:rPr>
          <w:rFonts w:ascii="宋体" w:hAnsi="宋体" w:hint="eastAsia"/>
          <w:sz w:val="24"/>
        </w:rPr>
      </w:pPr>
      <w:r>
        <w:rPr>
          <w:rFonts w:ascii="宋体" w:hAnsi="宋体" w:hint="eastAsia"/>
          <w:sz w:val="24"/>
          <w:highlight w:val="white"/>
        </w:rPr>
        <w:t>住所：北京市西城区复兴门内大街</w:t>
      </w:r>
      <w:r>
        <w:rPr>
          <w:rFonts w:ascii="宋体" w:hAnsi="宋体"/>
          <w:sz w:val="24"/>
          <w:highlight w:val="white"/>
        </w:rPr>
        <w:t>55</w:t>
      </w:r>
      <w:r>
        <w:rPr>
          <w:rFonts w:ascii="宋体" w:hAnsi="宋体" w:hint="eastAsia"/>
          <w:sz w:val="24"/>
          <w:highlight w:val="white"/>
        </w:rPr>
        <w:t>号（100032）</w:t>
      </w:r>
    </w:p>
    <w:p w:rsidR="006C13DF" w14:paraId="00BA9953" w14:textId="77777777">
      <w:pPr>
        <w:spacing w:line="360" w:lineRule="auto"/>
        <w:ind w:firstLine="480"/>
        <w:rPr>
          <w:rFonts w:ascii="宋体" w:hAnsi="宋体" w:hint="eastAsia"/>
          <w:sz w:val="24"/>
        </w:rPr>
      </w:pPr>
      <w:r>
        <w:rPr>
          <w:rFonts w:ascii="宋体" w:hAnsi="宋体" w:hint="eastAsia"/>
          <w:sz w:val="24"/>
          <w:highlight w:val="white"/>
        </w:rPr>
        <w:t>法定代表人</w:t>
      </w:r>
      <w:r>
        <w:rPr>
          <w:rFonts w:ascii="宋体" w:hAnsi="宋体"/>
          <w:sz w:val="24"/>
          <w:highlight w:val="white"/>
        </w:rPr>
        <w:t>：廖林</w:t>
      </w:r>
    </w:p>
    <w:p w:rsidR="006C13DF" w14:paraId="1198C73E" w14:textId="77777777">
      <w:pPr>
        <w:spacing w:line="360" w:lineRule="auto"/>
        <w:ind w:firstLine="480"/>
        <w:rPr>
          <w:rFonts w:ascii="宋体" w:hAnsi="宋体" w:hint="eastAsia"/>
          <w:sz w:val="24"/>
        </w:rPr>
      </w:pPr>
      <w:r>
        <w:rPr>
          <w:rFonts w:ascii="宋体" w:hAnsi="宋体" w:hint="eastAsia"/>
          <w:sz w:val="24"/>
          <w:highlight w:val="white"/>
        </w:rPr>
        <w:t>电话：（</w:t>
      </w:r>
      <w:r>
        <w:rPr>
          <w:rFonts w:ascii="宋体" w:hAnsi="宋体"/>
          <w:sz w:val="24"/>
          <w:highlight w:val="white"/>
        </w:rPr>
        <w:t>010</w:t>
      </w:r>
      <w:r>
        <w:rPr>
          <w:rFonts w:ascii="宋体" w:hAnsi="宋体" w:hint="eastAsia"/>
          <w:sz w:val="24"/>
          <w:highlight w:val="white"/>
        </w:rPr>
        <w:t>）</w:t>
      </w:r>
      <w:r>
        <w:rPr>
          <w:rFonts w:ascii="宋体" w:hAnsi="宋体"/>
          <w:sz w:val="24"/>
          <w:highlight w:val="white"/>
        </w:rPr>
        <w:t>6610</w:t>
      </w:r>
      <w:r>
        <w:rPr>
          <w:rFonts w:ascii="宋体" w:hAnsi="宋体" w:hint="eastAsia"/>
          <w:sz w:val="24"/>
          <w:highlight w:val="white"/>
        </w:rPr>
        <w:t>5799</w:t>
      </w:r>
    </w:p>
    <w:p w:rsidR="006C13DF" w14:paraId="2D2050F2" w14:textId="77777777">
      <w:pPr>
        <w:spacing w:line="360" w:lineRule="auto"/>
        <w:ind w:firstLine="480"/>
        <w:rPr>
          <w:rFonts w:ascii="宋体" w:hAnsi="宋体" w:hint="eastAsia"/>
          <w:sz w:val="24"/>
        </w:rPr>
      </w:pPr>
      <w:r>
        <w:rPr>
          <w:rFonts w:ascii="宋体" w:hAnsi="宋体" w:hint="eastAsia"/>
          <w:sz w:val="24"/>
          <w:highlight w:val="white"/>
        </w:rPr>
        <w:t>传真：（</w:t>
      </w:r>
      <w:r>
        <w:rPr>
          <w:rFonts w:ascii="宋体" w:hAnsi="宋体"/>
          <w:sz w:val="24"/>
          <w:highlight w:val="white"/>
        </w:rPr>
        <w:t>010</w:t>
      </w:r>
      <w:r>
        <w:rPr>
          <w:rFonts w:ascii="宋体" w:hAnsi="宋体" w:hint="eastAsia"/>
          <w:sz w:val="24"/>
          <w:highlight w:val="white"/>
        </w:rPr>
        <w:t>）</w:t>
      </w:r>
      <w:r>
        <w:rPr>
          <w:rFonts w:ascii="宋体" w:hAnsi="宋体"/>
          <w:sz w:val="24"/>
          <w:highlight w:val="white"/>
        </w:rPr>
        <w:t>6610</w:t>
      </w:r>
      <w:r>
        <w:rPr>
          <w:rFonts w:ascii="宋体" w:hAnsi="宋体" w:hint="eastAsia"/>
          <w:sz w:val="24"/>
          <w:highlight w:val="white"/>
        </w:rPr>
        <w:t>5798</w:t>
      </w:r>
    </w:p>
    <w:p w:rsidR="006C13DF" w14:paraId="4BCE1477" w14:textId="77777777">
      <w:pPr>
        <w:spacing w:line="360" w:lineRule="auto"/>
        <w:ind w:firstLine="480"/>
        <w:rPr>
          <w:rFonts w:ascii="宋体" w:hAnsi="宋体" w:hint="eastAsia"/>
          <w:sz w:val="24"/>
        </w:rPr>
      </w:pPr>
      <w:r>
        <w:rPr>
          <w:rFonts w:ascii="宋体" w:hAnsi="宋体" w:hint="eastAsia"/>
          <w:sz w:val="24"/>
          <w:highlight w:val="white"/>
        </w:rPr>
        <w:t>联系人：郭明</w:t>
      </w:r>
    </w:p>
    <w:p w:rsidR="006C13DF" w14:paraId="3BF3F26F" w14:textId="77777777">
      <w:pPr>
        <w:spacing w:line="360" w:lineRule="auto"/>
        <w:ind w:firstLine="480"/>
        <w:rPr>
          <w:rFonts w:ascii="宋体" w:hAnsi="宋体" w:hint="eastAsia"/>
          <w:sz w:val="24"/>
        </w:rPr>
      </w:pPr>
      <w:r>
        <w:rPr>
          <w:rFonts w:ascii="宋体" w:hAnsi="宋体" w:hint="eastAsia"/>
          <w:sz w:val="24"/>
          <w:highlight w:val="white"/>
        </w:rPr>
        <w:t>成立时间：</w:t>
      </w:r>
      <w:r>
        <w:rPr>
          <w:rFonts w:ascii="宋体" w:hAnsi="宋体"/>
          <w:sz w:val="24"/>
          <w:highlight w:val="white"/>
        </w:rPr>
        <w:t>1984</w:t>
      </w:r>
      <w:r>
        <w:rPr>
          <w:rFonts w:ascii="宋体" w:hAnsi="宋体" w:hint="eastAsia"/>
          <w:sz w:val="24"/>
          <w:highlight w:val="white"/>
        </w:rPr>
        <w:t>年</w:t>
      </w:r>
      <w:r>
        <w:rPr>
          <w:rFonts w:ascii="宋体" w:hAnsi="宋体"/>
          <w:sz w:val="24"/>
          <w:highlight w:val="white"/>
        </w:rPr>
        <w:t>1</w:t>
      </w:r>
      <w:r>
        <w:rPr>
          <w:rFonts w:ascii="宋体" w:hAnsi="宋体" w:hint="eastAsia"/>
          <w:sz w:val="24"/>
          <w:highlight w:val="white"/>
        </w:rPr>
        <w:t>月</w:t>
      </w:r>
      <w:r>
        <w:rPr>
          <w:rFonts w:ascii="宋体" w:hAnsi="宋体"/>
          <w:sz w:val="24"/>
          <w:highlight w:val="white"/>
        </w:rPr>
        <w:t>1</w:t>
      </w:r>
      <w:r>
        <w:rPr>
          <w:rFonts w:ascii="宋体" w:hAnsi="宋体" w:hint="eastAsia"/>
          <w:sz w:val="24"/>
          <w:highlight w:val="white"/>
        </w:rPr>
        <w:t>日</w:t>
      </w:r>
    </w:p>
    <w:p w:rsidR="006C13DF" w14:paraId="18A85C5A" w14:textId="77777777">
      <w:pPr>
        <w:spacing w:line="360" w:lineRule="auto"/>
        <w:ind w:firstLine="480"/>
        <w:rPr>
          <w:rFonts w:ascii="宋体" w:hAnsi="宋体" w:hint="eastAsia"/>
          <w:sz w:val="24"/>
        </w:rPr>
      </w:pPr>
      <w:r>
        <w:rPr>
          <w:rFonts w:ascii="宋体" w:hAnsi="宋体" w:hint="eastAsia"/>
          <w:sz w:val="24"/>
          <w:highlight w:val="white"/>
        </w:rPr>
        <w:t>组织形式：股份有限公司</w:t>
      </w:r>
    </w:p>
    <w:p w:rsidR="006C13DF" w14:paraId="0DEB9BE0" w14:textId="77777777">
      <w:pPr>
        <w:spacing w:line="360" w:lineRule="auto"/>
        <w:ind w:firstLine="480"/>
        <w:rPr>
          <w:rFonts w:ascii="宋体" w:hAnsi="宋体" w:hint="eastAsia"/>
          <w:sz w:val="24"/>
        </w:rPr>
      </w:pPr>
      <w:r>
        <w:rPr>
          <w:rFonts w:ascii="宋体" w:hAnsi="宋体" w:hint="eastAsia"/>
          <w:sz w:val="24"/>
          <w:highlight w:val="white"/>
        </w:rPr>
        <w:t>注册资本：</w:t>
      </w:r>
      <w:r>
        <w:rPr>
          <w:rFonts w:ascii="宋体" w:hAnsi="宋体"/>
          <w:sz w:val="24"/>
          <w:highlight w:val="white"/>
        </w:rPr>
        <w:t>人民币35,640,625.7089</w:t>
      </w:r>
      <w:r>
        <w:rPr>
          <w:rFonts w:ascii="宋体" w:hAnsi="宋体" w:hint="eastAsia"/>
          <w:sz w:val="24"/>
          <w:highlight w:val="white"/>
        </w:rPr>
        <w:t>万元</w:t>
      </w:r>
    </w:p>
    <w:p w:rsidR="006C13DF" w14:paraId="22C7962D" w14:textId="77777777">
      <w:pPr>
        <w:spacing w:line="360" w:lineRule="auto"/>
        <w:ind w:firstLine="480"/>
        <w:rPr>
          <w:rFonts w:ascii="宋体" w:hAnsi="宋体" w:hint="eastAsia"/>
          <w:sz w:val="24"/>
        </w:rPr>
      </w:pPr>
      <w:r>
        <w:rPr>
          <w:rFonts w:ascii="宋体" w:hAnsi="宋体" w:hint="eastAsia"/>
          <w:sz w:val="24"/>
          <w:highlight w:val="white"/>
        </w:rPr>
        <w:t>批准设立机关和设立文号：国务院《关于中国人民银行专门行使中央银行职能的决定》（国发[1983]146号）</w:t>
      </w:r>
    </w:p>
    <w:p w:rsidR="006C13DF" w14:paraId="5DD8FFDB" w14:textId="77777777">
      <w:pPr>
        <w:spacing w:line="360" w:lineRule="auto"/>
        <w:ind w:firstLine="480"/>
        <w:rPr>
          <w:rFonts w:ascii="宋体" w:hAnsi="宋体" w:hint="eastAsia"/>
          <w:sz w:val="24"/>
        </w:rPr>
      </w:pPr>
      <w:r>
        <w:rPr>
          <w:rFonts w:ascii="宋体" w:hAnsi="宋体" w:hint="eastAsia"/>
          <w:sz w:val="24"/>
          <w:highlight w:val="white"/>
        </w:rPr>
        <w:t>存续期间：持续经营</w:t>
      </w:r>
    </w:p>
    <w:p w:rsidR="006C13DF" w14:paraId="68DC67A5" w14:textId="77777777">
      <w:pPr>
        <w:spacing w:line="360" w:lineRule="auto"/>
        <w:ind w:firstLine="480"/>
        <w:rPr>
          <w:rFonts w:ascii="宋体" w:hAnsi="宋体" w:hint="eastAsia"/>
          <w:sz w:val="24"/>
        </w:rPr>
      </w:pPr>
      <w:r>
        <w:rPr>
          <w:rFonts w:ascii="宋体" w:hAnsi="宋体" w:hint="eastAsia"/>
          <w:sz w:val="24"/>
          <w:highlight w:val="white"/>
        </w:rPr>
        <w:t>基金托管资格批文及文号：中国证监会和中国人民银行证监基字【1998】3号</w:t>
      </w:r>
    </w:p>
    <w:p w:rsidR="006C13DF" w14:paraId="6A812524" w14:textId="77777777">
      <w:pPr>
        <w:spacing w:line="360" w:lineRule="auto"/>
        <w:ind w:firstLine="480"/>
        <w:rPr>
          <w:rFonts w:ascii="宋体" w:hAnsi="宋体" w:hint="eastAsia"/>
          <w:sz w:val="24"/>
        </w:rPr>
      </w:pPr>
      <w:r>
        <w:rPr>
          <w:rFonts w:ascii="宋体" w:hAnsi="宋体"/>
          <w:sz w:val="24"/>
          <w:highlight w:val="white"/>
        </w:rPr>
        <w:t>经营范围：</w:t>
      </w:r>
      <w:r>
        <w:rPr>
          <w:rFonts w:ascii="宋体" w:hAnsi="宋体" w:cs="宋体"/>
          <w:color w:val="000000"/>
          <w:sz w:val="24"/>
          <w:highlight w:val="white"/>
        </w:rPr>
        <w:t>办理人民币存款、贷款；同业拆借业务；国内外结算；办理票据承兑、贴现、转贴现；各类汇兑业务；代理资金清算；提供信用证服务及担保；代理销售业务；代理发行、代理承销、代理兑付政府债券；代收代付业务；代理证券资金清算业务（银证转账）；保险兼业代理业务；代理政策性银行、外国政府和国际金融机构贷款业务；保管箱服务；发行金融债券；买卖政府债券、金融债券；证券投资基金、企业年金托管业务；企业年金受托管理服务、年金账户管理服务；开放式基金的注册登记、认购、申购和赎回业务；资信调查、咨询、见证业务；贷款承诺；企业、个人财务顾问服务；组织或参加银团贷款；外汇存款；外汇贷款；外币兑换；出口托收及进口代收；外汇票据承兑和贴现；外汇借款；外汇担保；发行、代理发行、买卖或代理买卖股票以外的外币有价证券；自营、代客外汇买卖；外汇金融衍生业务；银行卡业务；电话银行、网上银行、手机银行业务；办理结汇、售汇业务；经国务院银行业监督管理机构批准的其他业务</w:t>
      </w:r>
      <w:r>
        <w:rPr>
          <w:rFonts w:ascii="宋体" w:hAnsi="宋体"/>
          <w:sz w:val="24"/>
          <w:highlight w:val="white"/>
        </w:rPr>
        <w:t>。</w:t>
      </w:r>
    </w:p>
    <w:p w:rsidR="006C13DF" w14:paraId="777ACE1C"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5" w:name="_Toc96101871"/>
      <w:r>
        <w:rPr>
          <w:rFonts w:ascii="宋体" w:hAnsi="宋体" w:cs="Arial" w:hint="eastAsia"/>
          <w:sz w:val="30"/>
          <w:highlight w:val="white"/>
        </w:rPr>
        <w:t>基金托管协议的依据、目的和原则</w:t>
      </w:r>
      <w:bookmarkEnd w:id="5"/>
    </w:p>
    <w:p w:rsidR="006C13DF" w14:paraId="3D4207ED" w14:textId="77777777">
      <w:pPr>
        <w:spacing w:line="360" w:lineRule="auto"/>
        <w:ind w:firstLine="480"/>
        <w:rPr>
          <w:rFonts w:ascii="宋体" w:hAnsi="宋体" w:hint="eastAsia"/>
          <w:sz w:val="24"/>
        </w:rPr>
      </w:pPr>
      <w:r>
        <w:rPr>
          <w:rFonts w:ascii="宋体" w:hAnsi="宋体" w:hint="eastAsia"/>
          <w:sz w:val="24"/>
          <w:highlight w:val="white"/>
        </w:rPr>
        <w:t>订立本协议的依据是《中华人民共和国证券投资基金法》（以下简称《基金法》）、《</w:t>
      </w:r>
      <w:r>
        <w:rPr>
          <w:rFonts w:ascii="宋体" w:hAnsi="宋体" w:hint="eastAsia"/>
          <w:sz w:val="24"/>
          <w:szCs w:val="21"/>
          <w:highlight w:val="white"/>
        </w:rPr>
        <w:t>公开募集</w:t>
      </w:r>
      <w:r>
        <w:rPr>
          <w:rFonts w:ascii="宋体" w:hAnsi="宋体" w:hint="eastAsia"/>
          <w:sz w:val="24"/>
          <w:highlight w:val="white"/>
        </w:rPr>
        <w:t>证券投资基金运作管理办法》（以下简称《运作办法》）、《公开募集证券投资基金销售机构监督管理办法》（以下简称《销售办法》）、《公开</w:t>
      </w:r>
      <w:r>
        <w:rPr>
          <w:rFonts w:ascii="宋体" w:hAnsi="宋体"/>
          <w:sz w:val="24"/>
          <w:highlight w:val="white"/>
        </w:rPr>
        <w:t>募集</w:t>
      </w:r>
      <w:r>
        <w:rPr>
          <w:rFonts w:ascii="宋体" w:hAnsi="宋体" w:hint="eastAsia"/>
          <w:sz w:val="24"/>
          <w:highlight w:val="white"/>
        </w:rPr>
        <w:t>证券投资基金信息披露管理办法》（以下简称《信息披露办法》）、《证券投资基金信息披露内容与格式准则第7号〈托管协议的内容与格式〉》、《公开募集开放式证券投资基金流动性风险管理规定》、《</w:t>
      </w:r>
      <w:r>
        <w:rPr>
          <w:rFonts w:ascii="宋体" w:hAnsi="宋体" w:hint="eastAsia"/>
          <w:sz w:val="24"/>
        </w:rPr>
        <w:t>易方达如意盈越3个月持有期混合型基金中基金（FOF）</w:t>
      </w:r>
      <w:r>
        <w:rPr>
          <w:rFonts w:ascii="宋体" w:hAnsi="宋体" w:hint="eastAsia"/>
          <w:sz w:val="24"/>
          <w:highlight w:val="white"/>
        </w:rPr>
        <w:t>基金合同》（以下简称《基金合同》）及其他有关规定。</w:t>
      </w:r>
    </w:p>
    <w:p w:rsidR="006C13DF" w14:paraId="2936DD66" w14:textId="77777777">
      <w:pPr>
        <w:spacing w:line="360" w:lineRule="auto"/>
        <w:ind w:firstLine="480"/>
        <w:rPr>
          <w:rFonts w:ascii="宋体" w:hAnsi="宋体" w:hint="eastAsia"/>
          <w:sz w:val="24"/>
        </w:rPr>
      </w:pPr>
      <w:r>
        <w:rPr>
          <w:rFonts w:ascii="宋体" w:hAnsi="宋体" w:hint="eastAsia"/>
          <w:sz w:val="24"/>
          <w:highlight w:val="white"/>
        </w:rPr>
        <w:t>订立本协议的目的是明确基金托管人与基金管理人之间在基金财产的保管、投资运作、净值计算、收益分配、信息披露及相互监督等有关事宜中的权利、义务及职责，确保基金财产的安全，保护基金份额持有人的合法权益。</w:t>
      </w:r>
    </w:p>
    <w:p w:rsidR="006C13DF" w14:paraId="38D864C7" w14:textId="77777777">
      <w:pPr>
        <w:spacing w:line="360" w:lineRule="auto"/>
        <w:ind w:firstLine="480"/>
        <w:rPr>
          <w:rFonts w:ascii="宋体" w:hAnsi="宋体" w:hint="eastAsia"/>
          <w:sz w:val="24"/>
        </w:rPr>
      </w:pPr>
      <w:r>
        <w:rPr>
          <w:rFonts w:ascii="宋体" w:hAnsi="宋体" w:hint="eastAsia"/>
          <w:sz w:val="24"/>
          <w:highlight w:val="white"/>
        </w:rPr>
        <w:t>基金管理人和基金托管人本着平等自愿、诚实信用、充分保护基金份额持有人合法权益的原则，经协商一致，签订本协议。</w:t>
      </w:r>
    </w:p>
    <w:p w:rsidR="006C13DF" w14:paraId="609EEE26" w14:textId="77777777">
      <w:pPr>
        <w:spacing w:after="120" w:line="360" w:lineRule="auto"/>
        <w:ind w:firstLine="480"/>
        <w:rPr>
          <w:rFonts w:ascii="宋体" w:hAnsi="宋体" w:hint="eastAsia"/>
          <w:sz w:val="24"/>
        </w:rPr>
      </w:pPr>
      <w:r>
        <w:rPr>
          <w:rFonts w:ascii="宋体" w:hAnsi="宋体" w:hint="eastAsia"/>
          <w:sz w:val="24"/>
          <w:highlight w:val="white"/>
        </w:rPr>
        <w:t>除非本协议另有约定，本协议所使用的词语或简称与其在《基金合同》的释义部分具有相同含义。</w:t>
      </w:r>
    </w:p>
    <w:p w:rsidR="006C13DF" w14:paraId="4C230910"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6" w:name="_Toc96101872"/>
      <w:r>
        <w:rPr>
          <w:rFonts w:ascii="宋体" w:hAnsi="宋体" w:cs="Arial" w:hint="eastAsia"/>
          <w:sz w:val="30"/>
          <w:highlight w:val="white"/>
        </w:rPr>
        <w:t>基金托管人对基金管理人的业务监督和核查</w:t>
      </w:r>
      <w:bookmarkEnd w:id="6"/>
    </w:p>
    <w:p w:rsidR="006C13DF" w14:paraId="771F7BCF" w14:textId="77777777">
      <w:pPr>
        <w:pStyle w:val="21"/>
        <w:keepNext w:val="0"/>
        <w:keepLines w:val="0"/>
        <w:spacing w:before="156" w:after="156" w:line="360" w:lineRule="auto"/>
        <w:ind w:firstLine="360"/>
        <w:rPr>
          <w:rFonts w:ascii="宋体" w:eastAsia="宋体" w:hAnsi="宋体" w:hint="eastAsia"/>
          <w:b w:val="0"/>
          <w:sz w:val="24"/>
          <w:szCs w:val="24"/>
        </w:rPr>
      </w:pPr>
      <w:r>
        <w:rPr>
          <w:rFonts w:ascii="宋体" w:eastAsia="宋体" w:hAnsi="宋体" w:hint="eastAsia"/>
          <w:b w:val="0"/>
          <w:sz w:val="24"/>
          <w:szCs w:val="24"/>
          <w:highlight w:val="white"/>
        </w:rPr>
        <w:t>（一）基金托管人对基金管理人的投资行为行使监督权</w:t>
      </w:r>
    </w:p>
    <w:p w:rsidR="006C13DF" w14:paraId="0DDD9B9B" w14:textId="77777777">
      <w:pPr>
        <w:widowControl/>
        <w:spacing w:line="360" w:lineRule="auto"/>
        <w:ind w:firstLine="480"/>
        <w:jc w:val="left"/>
        <w:rPr>
          <w:rFonts w:ascii="宋体" w:hAnsi="宋体" w:hint="eastAsia"/>
          <w:sz w:val="24"/>
        </w:rPr>
      </w:pPr>
      <w:r>
        <w:rPr>
          <w:rFonts w:ascii="宋体" w:hAnsi="宋体" w:hint="eastAsia"/>
          <w:sz w:val="24"/>
          <w:highlight w:val="white"/>
        </w:rPr>
        <w:t>1、基金托管人根据有关法律法规的规定和《基金合同》的约定，对下述基金投资范围、投资对象进行监督。</w:t>
      </w:r>
    </w:p>
    <w:p w:rsidR="006C13DF" w14:paraId="09A72FE6" w14:textId="77777777">
      <w:pPr>
        <w:pStyle w:val="NormalWeb"/>
        <w:spacing w:line="360" w:lineRule="auto"/>
        <w:ind w:firstLine="480"/>
        <w:rPr>
          <w:rFonts w:ascii="宋体" w:hAnsi="宋体" w:cs="Calibri" w:hint="eastAsia"/>
          <w:color w:val="000000"/>
        </w:rPr>
      </w:pPr>
      <w:r>
        <w:rPr>
          <w:rFonts w:ascii="宋体" w:hAnsi="宋体" w:cs="Calibri"/>
          <w:color w:val="000000"/>
        </w:rPr>
        <w:t>本基金的投资范围包括经中国证监会依法核准或注册的基金（含QDII基金及香港互认基金、公开募集不动产投资信托基金（以下简称“公募REITs”）、商品基金（包括商品期货基金和黄金ETF等））、国内依法发行上市的股票（包括创业板、科创板及其他依法发行上市的股票、存托凭证）、内地与香港股票市场交易互联互通机制允许买卖的香港证券市场股票和交易型开放式基金（以下分别简称“港股通股票”、“港股通ETF”）、国内依法发行上市的债券（包括国债、央行票据、地方政府债、金融债、企业债、公司债、次级债、中期票据、短期融资券、超短期融资券、政府支持机构债券、可转换债券、可交换债券等）、资产支持证券、债券回购、银行存款、同业存单、货币市场工具及法律法规或中国证监会允许基金投资的其他金融工具。</w:t>
      </w:r>
    </w:p>
    <w:p w:rsidR="006C13DF" w14:paraId="6DE552EF" w14:textId="77777777">
      <w:pPr>
        <w:pStyle w:val="NormalWeb"/>
        <w:spacing w:line="360" w:lineRule="auto"/>
        <w:ind w:firstLine="480"/>
        <w:rPr>
          <w:rFonts w:ascii="宋体" w:hAnsi="宋体" w:cs="Calibri" w:hint="eastAsia"/>
          <w:color w:val="000000"/>
        </w:rPr>
      </w:pPr>
      <w:r>
        <w:rPr>
          <w:rFonts w:ascii="宋体" w:hAnsi="宋体" w:cs="Calibri"/>
          <w:color w:val="000000"/>
        </w:rPr>
        <w:t>如法律法规或监管机构以后允许基金投资其他品种，基金管理人在履行适当程序后，本基金可以将其纳入投资范围。</w:t>
      </w:r>
    </w:p>
    <w:p w:rsidR="006C13DF" w14:paraId="11AB8680" w14:textId="77777777">
      <w:pPr>
        <w:spacing w:after="120" w:line="360" w:lineRule="auto"/>
        <w:ind w:firstLine="480"/>
        <w:rPr>
          <w:rFonts w:ascii="宋体" w:hAnsi="宋体" w:hint="eastAsia"/>
          <w:sz w:val="24"/>
        </w:rPr>
      </w:pPr>
      <w:r>
        <w:rPr>
          <w:rFonts w:ascii="宋体" w:hAnsi="宋体" w:hint="eastAsia"/>
          <w:sz w:val="24"/>
          <w:highlight w:val="white"/>
        </w:rPr>
        <w:t>2、基金托管人根据有关法律法规的规定及《基金合同》的约定对下述基金投融资比例进行监督：</w:t>
      </w:r>
    </w:p>
    <w:p w:rsidR="006C13DF" w14:paraId="7C5390B9" w14:textId="77777777">
      <w:pPr>
        <w:spacing w:line="360" w:lineRule="auto"/>
        <w:ind w:firstLine="480"/>
        <w:rPr>
          <w:rFonts w:ascii="宋体" w:hAnsi="宋体" w:hint="eastAsia"/>
          <w:sz w:val="24"/>
        </w:rPr>
      </w:pPr>
      <w:r>
        <w:rPr>
          <w:rFonts w:ascii="宋体" w:hAnsi="宋体" w:hint="eastAsia"/>
          <w:sz w:val="24"/>
          <w:highlight w:val="white"/>
        </w:rPr>
        <w:t>（1）按法律法规的规定及《基金合同》的约定，本基金的投资资产配置比例为：</w:t>
      </w:r>
    </w:p>
    <w:p w:rsidR="006C13DF" w14:paraId="2CE3FA33" w14:textId="61091303">
      <w:pPr>
        <w:pStyle w:val="NormalWeb"/>
        <w:spacing w:line="360" w:lineRule="auto"/>
        <w:ind w:firstLine="480"/>
        <w:rPr>
          <w:rFonts w:ascii="宋体" w:hAnsi="宋体" w:cs="Calibri" w:hint="eastAsia"/>
          <w:color w:val="000000"/>
        </w:rPr>
      </w:pPr>
      <w:r>
        <w:rPr>
          <w:rFonts w:ascii="宋体" w:hAnsi="宋体" w:cs="Calibri"/>
          <w:color w:val="000000"/>
        </w:rPr>
        <w:t>本基金投资于经中国证监会依法核准或注册基金的资产不低于基金资产的80%，权益类资产占基金资产的比例为5%—30%</w:t>
      </w:r>
      <w:r w:rsidRPr="00616846" w:rsidR="00616846">
        <w:rPr>
          <w:rFonts w:ascii="宋体" w:hAnsi="宋体" w:cs="Calibri" w:hint="eastAsia"/>
          <w:color w:val="000000"/>
        </w:rPr>
        <w:t>（其中，本基金投资于境内股票、股票型基金、权益类混合型基金的资产合计不低于基金资产的5%）</w:t>
      </w:r>
      <w:r>
        <w:rPr>
          <w:rFonts w:ascii="宋体" w:hAnsi="宋体" w:cs="Calibri"/>
          <w:color w:val="000000"/>
        </w:rPr>
        <w:t>，投资于港股通股票的资产不超过股票资产的50%，投资于QDII基金、香港互认基金的资产合计不超过基金资产的20%，投资于商品基金（含商品期货基金和黄金ETF等）的资产合计不超过基金资产的10%；保持不低于基金资产净值5％的现金或者到期日在一年以内的政府债券，其中现金不包括结算备付金、存出保证金和应收申购款等。</w:t>
      </w:r>
    </w:p>
    <w:p w:rsidR="006C13DF" w14:paraId="41024D12" w14:textId="77777777">
      <w:pPr>
        <w:pStyle w:val="NormalWeb"/>
        <w:spacing w:line="360" w:lineRule="auto"/>
        <w:ind w:firstLine="480"/>
        <w:rPr>
          <w:rFonts w:ascii="宋体" w:hAnsi="宋体" w:cs="Calibri" w:hint="eastAsia"/>
          <w:color w:val="000000"/>
        </w:rPr>
      </w:pPr>
      <w:r>
        <w:rPr>
          <w:rFonts w:ascii="宋体" w:hAnsi="宋体" w:cs="Calibri"/>
          <w:color w:val="000000"/>
        </w:rPr>
        <w:t>权益类资产包括股票、股票型基金以及权益类混合型基金。权益类混合型基金指至少满足以下一条标准的混合型基金：（1）基金合同约定投资股票资产占基金资产的比例不低于60%；（2）基金最近4期季度报告中披露的股票资产占基金资产的比例均不低于60%。</w:t>
      </w:r>
    </w:p>
    <w:p w:rsidR="006C13DF" w14:paraId="10537D84" w14:textId="77777777">
      <w:pPr>
        <w:spacing w:line="360" w:lineRule="auto"/>
        <w:ind w:firstLine="480"/>
        <w:rPr>
          <w:rFonts w:ascii="宋体" w:hAnsi="宋体" w:hint="eastAsia"/>
          <w:sz w:val="24"/>
        </w:rPr>
      </w:pPr>
      <w:r>
        <w:rPr>
          <w:rFonts w:ascii="宋体" w:hAnsi="宋体" w:hint="eastAsia"/>
          <w:sz w:val="24"/>
          <w:highlight w:val="white"/>
        </w:rPr>
        <w:t xml:space="preserve">（2）根据法律法规的规定及《基金合同》的约定，本基金投资组合遵循以下投资限制： </w:t>
      </w:r>
    </w:p>
    <w:p w:rsidR="006C13DF" w14:paraId="6E02D97D" w14:textId="452CF4B4">
      <w:pPr>
        <w:spacing w:line="360" w:lineRule="auto"/>
        <w:ind w:firstLine="480"/>
        <w:rPr>
          <w:rFonts w:ascii="宋体" w:hAnsi="宋体" w:hint="eastAsia"/>
          <w:bCs/>
          <w:sz w:val="24"/>
        </w:rPr>
      </w:pPr>
      <w:r>
        <w:rPr>
          <w:rFonts w:ascii="宋体" w:hAnsi="宋体" w:hint="eastAsia"/>
          <w:sz w:val="24"/>
          <w:highlight w:val="white"/>
        </w:rPr>
        <w:t>1）本基金投资于经中国证监会依法核准或注册基金的资产不低于基金资产的80%，权益类资产占基金资产的比例为5%—30%</w:t>
      </w:r>
      <w:r w:rsidRPr="00616846" w:rsidR="00616846">
        <w:rPr>
          <w:rFonts w:ascii="宋体" w:hAnsi="宋体" w:hint="eastAsia"/>
          <w:sz w:val="24"/>
        </w:rPr>
        <w:t>（其中，本基金投资于境内股票、股票型基金、权益类混合型基金的资产合计不低于基金资产的5%）</w:t>
      </w:r>
      <w:r>
        <w:rPr>
          <w:rFonts w:ascii="宋体" w:hAnsi="宋体" w:hint="eastAsia"/>
          <w:sz w:val="24"/>
          <w:highlight w:val="white"/>
        </w:rPr>
        <w:t>，投资于港股通股票的资产不超过股票资产的50%，投资于QDII基金、香港互认基金的资产合计不超过基金资产的20%，投资于商品基金（含商品期货基金和黄金ETF等）的资产合计不超过基金资产的10%；</w:t>
      </w:r>
    </w:p>
    <w:p w:rsidR="006C13DF" w14:paraId="7E5E7483" w14:textId="77777777">
      <w:pPr>
        <w:spacing w:line="360" w:lineRule="auto"/>
        <w:ind w:firstLine="480"/>
      </w:pPr>
      <w:r>
        <w:rPr>
          <w:rFonts w:ascii="宋体" w:hAnsi="宋体" w:hint="eastAsia"/>
          <w:sz w:val="24"/>
          <w:highlight w:val="white"/>
        </w:rPr>
        <w:t>2）本基金持有单只基金的市值，不高于本基金资产净值的20%，且不得持有其他基金中基金；</w:t>
      </w:r>
    </w:p>
    <w:p w:rsidR="006C13DF" w14:paraId="08A8B935" w14:textId="77777777">
      <w:pPr>
        <w:spacing w:line="360" w:lineRule="auto"/>
        <w:ind w:firstLine="480"/>
      </w:pPr>
      <w:r>
        <w:rPr>
          <w:rFonts w:ascii="宋体" w:hAnsi="宋体" w:hint="eastAsia"/>
          <w:sz w:val="24"/>
          <w:highlight w:val="white"/>
        </w:rPr>
        <w:t>3）本基金管理人管理的全部基金中基金（ETF联接基金除外）持有单只基金不得超过被投资基金净资产的20%，被投资基金净资产规模以最近定期报告披露的规模为准；</w:t>
      </w:r>
    </w:p>
    <w:p w:rsidR="006C13DF" w14:paraId="4BD5E438" w14:textId="77777777">
      <w:pPr>
        <w:spacing w:line="360" w:lineRule="auto"/>
        <w:ind w:firstLine="480"/>
      </w:pPr>
      <w:r>
        <w:rPr>
          <w:rFonts w:ascii="宋体" w:hAnsi="宋体" w:hint="eastAsia"/>
          <w:sz w:val="24"/>
          <w:highlight w:val="white"/>
        </w:rPr>
        <w:t>4）本基金投资于封闭运作基金、定期开放基金等流通受限基金的资产合计不得超过基金资产净值的10%；</w:t>
      </w:r>
    </w:p>
    <w:p w:rsidR="006C13DF" w14:paraId="67A11A7F" w14:textId="77777777">
      <w:pPr>
        <w:spacing w:line="360" w:lineRule="auto"/>
        <w:ind w:firstLine="480"/>
      </w:pPr>
      <w:r>
        <w:rPr>
          <w:rFonts w:ascii="宋体" w:hAnsi="宋体" w:hint="eastAsia"/>
          <w:sz w:val="24"/>
          <w:highlight w:val="white"/>
        </w:rPr>
        <w:t>5）本基金所投资基金的运作期限不得少于1年、最近定期报告披露的基金净资产应当不低于1亿元；</w:t>
      </w:r>
    </w:p>
    <w:p w:rsidR="006C13DF" w14:paraId="2A827864" w14:textId="77777777">
      <w:pPr>
        <w:spacing w:line="360" w:lineRule="auto"/>
        <w:ind w:firstLine="480"/>
      </w:pPr>
      <w:r>
        <w:rPr>
          <w:rFonts w:ascii="宋体" w:hAnsi="宋体" w:hint="eastAsia"/>
          <w:sz w:val="24"/>
          <w:highlight w:val="white"/>
        </w:rPr>
        <w:t>6）本基金可投资于QDII基金及香港互认基金，不得持有具有复杂、衍生品性质的基金份额，包括分级基金和中国证监会认定的其他基金份额；</w:t>
      </w:r>
    </w:p>
    <w:p w:rsidR="006C13DF" w14:paraId="6A5170A3" w14:textId="77777777">
      <w:pPr>
        <w:spacing w:line="360" w:lineRule="auto"/>
        <w:ind w:firstLine="480"/>
      </w:pPr>
      <w:r>
        <w:rPr>
          <w:rFonts w:ascii="宋体" w:hAnsi="宋体" w:hint="eastAsia"/>
          <w:sz w:val="24"/>
          <w:highlight w:val="white"/>
        </w:rPr>
        <w:t>7）保持不低于基金资产净值5％的现金或者到期日在一年以内的政府债券，其中现金不包括结算备付金、存出保证金和应收申购款等；</w:t>
      </w:r>
    </w:p>
    <w:p w:rsidR="006C13DF" w14:paraId="515B1506" w14:textId="77777777">
      <w:pPr>
        <w:spacing w:line="360" w:lineRule="auto"/>
        <w:ind w:firstLine="480"/>
      </w:pPr>
      <w:r>
        <w:rPr>
          <w:rFonts w:ascii="宋体" w:hAnsi="宋体" w:hint="eastAsia"/>
          <w:sz w:val="24"/>
          <w:highlight w:val="white"/>
        </w:rPr>
        <w:t>8）本基金持有一家公司发行的证券（同一家公司在内地和香港同时上市的A+H股合计计算），其市值不超过基金资产净值的10％；</w:t>
      </w:r>
    </w:p>
    <w:p w:rsidR="006C13DF" w14:paraId="2E427207" w14:textId="77777777">
      <w:pPr>
        <w:spacing w:line="360" w:lineRule="auto"/>
        <w:ind w:firstLine="480"/>
      </w:pPr>
      <w:r>
        <w:rPr>
          <w:rFonts w:ascii="宋体" w:hAnsi="宋体" w:hint="eastAsia"/>
          <w:sz w:val="24"/>
          <w:highlight w:val="white"/>
        </w:rPr>
        <w:t>9）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rsidR="006C13DF" w14:paraId="461D5122" w14:textId="77777777">
      <w:pPr>
        <w:spacing w:line="360" w:lineRule="auto"/>
        <w:ind w:firstLine="480"/>
      </w:pPr>
      <w:r>
        <w:rPr>
          <w:rFonts w:ascii="宋体" w:hAnsi="宋体" w:hint="eastAsia"/>
          <w:sz w:val="24"/>
          <w:highlight w:val="white"/>
        </w:rPr>
        <w:t>10）本基金投资于同一原始权益人的各类资产支持证券的比例，不得超过基金资产净值的10％；</w:t>
      </w:r>
    </w:p>
    <w:p w:rsidR="006C13DF" w14:paraId="6DBE4FFA" w14:textId="77777777">
      <w:pPr>
        <w:spacing w:line="360" w:lineRule="auto"/>
        <w:ind w:firstLine="480"/>
      </w:pPr>
      <w:r>
        <w:rPr>
          <w:rFonts w:ascii="宋体" w:hAnsi="宋体" w:hint="eastAsia"/>
          <w:sz w:val="24"/>
          <w:highlight w:val="white"/>
        </w:rPr>
        <w:t>11）本基金持有的全部资产支持证券，其市值不得超过基金资产净值的20％；</w:t>
      </w:r>
    </w:p>
    <w:p w:rsidR="006C13DF" w14:paraId="390F26BA" w14:textId="77777777">
      <w:pPr>
        <w:spacing w:line="360" w:lineRule="auto"/>
        <w:ind w:firstLine="480"/>
      </w:pPr>
      <w:r>
        <w:rPr>
          <w:rFonts w:ascii="宋体" w:hAnsi="宋体" w:hint="eastAsia"/>
          <w:sz w:val="24"/>
          <w:highlight w:val="white"/>
        </w:rPr>
        <w:t>12）本基金持有的同一(指同一信用级别)资产支持证券的比例，不得超过该资产支持证券规模的10％；</w:t>
      </w:r>
    </w:p>
    <w:p w:rsidR="006C13DF" w14:paraId="154D7F9F" w14:textId="77777777">
      <w:pPr>
        <w:spacing w:line="360" w:lineRule="auto"/>
        <w:ind w:firstLine="480"/>
      </w:pPr>
      <w:r>
        <w:rPr>
          <w:rFonts w:ascii="宋体" w:hAnsi="宋体" w:hint="eastAsia"/>
          <w:sz w:val="24"/>
          <w:highlight w:val="white"/>
        </w:rPr>
        <w:t>13）本基金管理人管理的全部基金投资于同一原始权益人的各类资产支持证券，不得超过其各类资产支持证券合计规模的10％；</w:t>
      </w:r>
    </w:p>
    <w:p w:rsidR="006C13DF" w14:paraId="5925A644" w14:textId="77777777">
      <w:pPr>
        <w:spacing w:line="360" w:lineRule="auto"/>
        <w:ind w:firstLine="480"/>
      </w:pPr>
      <w:r>
        <w:rPr>
          <w:rFonts w:ascii="宋体" w:hAnsi="宋体" w:hint="eastAsia"/>
          <w:sz w:val="24"/>
          <w:highlight w:val="white"/>
        </w:rPr>
        <w:t>14）本基金应投资于信用级别评级为BBB以上(含BBB)的资产支持证券。基金持有资产支持证券期间，如果其信用等级下降、不再符合投资标准，应在评级报告发布之日起3个月内予以全部卖出；</w:t>
      </w:r>
    </w:p>
    <w:p w:rsidR="006C13DF" w14:paraId="14685EB0" w14:textId="77777777">
      <w:pPr>
        <w:spacing w:line="360" w:lineRule="auto"/>
        <w:ind w:firstLine="480"/>
      </w:pPr>
      <w:r>
        <w:rPr>
          <w:rFonts w:ascii="宋体" w:hAnsi="宋体" w:hint="eastAsia"/>
          <w:sz w:val="24"/>
          <w:highlight w:val="white"/>
        </w:rPr>
        <w:t>15）基金财产参与股票发行申购，本基金所申报的金额不超过本基金的总资产，本基金所申报的股票数量不超过拟发行股票公司本次发行股票的总量；</w:t>
      </w:r>
    </w:p>
    <w:p w:rsidR="006C13DF" w14:paraId="03055391" w14:textId="77777777">
      <w:pPr>
        <w:spacing w:line="360" w:lineRule="auto"/>
        <w:ind w:firstLine="480"/>
      </w:pPr>
      <w:r>
        <w:rPr>
          <w:rFonts w:ascii="宋体" w:hAnsi="宋体" w:hint="eastAsia"/>
          <w:sz w:val="24"/>
          <w:highlight w:val="white"/>
        </w:rPr>
        <w:t>16）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rsidR="006C13DF" w14:paraId="7E639C0B" w14:textId="77777777">
      <w:pPr>
        <w:spacing w:line="360" w:lineRule="auto"/>
        <w:ind w:firstLine="480"/>
      </w:pPr>
      <w:r>
        <w:rPr>
          <w:rFonts w:ascii="宋体" w:hAnsi="宋体" w:hint="eastAsia"/>
          <w:sz w:val="24"/>
          <w:highlight w:val="white"/>
        </w:rPr>
        <w:t>17）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rsidR="006C13DF" w14:paraId="4E663EF2" w14:textId="77777777">
      <w:pPr>
        <w:spacing w:line="360" w:lineRule="auto"/>
        <w:ind w:firstLine="480"/>
      </w:pPr>
      <w:r>
        <w:rPr>
          <w:rFonts w:ascii="宋体" w:hAnsi="宋体" w:hint="eastAsia"/>
          <w:sz w:val="24"/>
          <w:highlight w:val="white"/>
        </w:rPr>
        <w:t>18）本基金与私募类证券资管产品及中国证监会认定的其他主体为交易对手开展逆回购交易的，可接受质押品的资质要求应当与基金合同约定的投资范围保持一致；</w:t>
      </w:r>
    </w:p>
    <w:p w:rsidR="006C13DF" w14:paraId="43899884" w14:textId="77777777">
      <w:pPr>
        <w:spacing w:line="360" w:lineRule="auto"/>
        <w:ind w:firstLine="480"/>
      </w:pPr>
      <w:r>
        <w:rPr>
          <w:rFonts w:ascii="宋体" w:hAnsi="宋体" w:hint="eastAsia"/>
          <w:sz w:val="24"/>
          <w:highlight w:val="white"/>
        </w:rPr>
        <w:t>19）本基金资产总值不超过基金资产净值的140%；</w:t>
      </w:r>
    </w:p>
    <w:p w:rsidR="006C13DF" w14:paraId="10ACC830" w14:textId="77777777">
      <w:pPr>
        <w:spacing w:line="360" w:lineRule="auto"/>
        <w:ind w:firstLine="480"/>
      </w:pPr>
      <w:r>
        <w:rPr>
          <w:rFonts w:ascii="宋体" w:hAnsi="宋体" w:hint="eastAsia"/>
          <w:sz w:val="24"/>
          <w:highlight w:val="white"/>
        </w:rPr>
        <w:t>20）本基金投资于货币市场基金的资产不得超过基金资产的15%；</w:t>
      </w:r>
    </w:p>
    <w:p w:rsidR="006C13DF" w14:paraId="4F8890CF" w14:textId="77777777">
      <w:pPr>
        <w:spacing w:line="360" w:lineRule="auto"/>
        <w:ind w:firstLine="480"/>
      </w:pPr>
      <w:r>
        <w:rPr>
          <w:rFonts w:ascii="宋体" w:hAnsi="宋体" w:hint="eastAsia"/>
          <w:sz w:val="24"/>
          <w:highlight w:val="white"/>
        </w:rPr>
        <w:t>21）基金管理人运用基金中基金财产投资于股票、债券等金融工具的，投资品种和比例应当符合基金中基金的投资目标和投资策略；</w:t>
      </w:r>
    </w:p>
    <w:p w:rsidR="006C13DF" w14:paraId="452837F4" w14:textId="77777777">
      <w:pPr>
        <w:spacing w:line="360" w:lineRule="auto"/>
        <w:ind w:firstLine="480"/>
      </w:pPr>
      <w:r>
        <w:rPr>
          <w:rFonts w:ascii="宋体" w:hAnsi="宋体" w:hint="eastAsia"/>
          <w:sz w:val="24"/>
          <w:highlight w:val="white"/>
        </w:rPr>
        <w:t>22）本基金投资存托凭证的比例限制依照境内上市交易的股票执行，与境内上市交易的股票合并计算；</w:t>
      </w:r>
    </w:p>
    <w:p w:rsidR="006C13DF" w14:paraId="32F774EA" w14:textId="77777777">
      <w:pPr>
        <w:spacing w:line="360" w:lineRule="auto"/>
        <w:ind w:firstLine="480"/>
      </w:pPr>
      <w:r>
        <w:rPr>
          <w:rFonts w:ascii="宋体" w:hAnsi="宋体" w:hint="eastAsia"/>
          <w:sz w:val="24"/>
          <w:highlight w:val="white"/>
        </w:rPr>
        <w:t>23）法律法规及中国证监会规定的和《基金合同》约定的其他投资限制。</w:t>
      </w:r>
    </w:p>
    <w:p w:rsidR="006C13DF" w14:paraId="5A4D16B7" w14:textId="77777777">
      <w:pPr>
        <w:spacing w:line="360" w:lineRule="auto"/>
        <w:ind w:firstLine="480"/>
      </w:pPr>
      <w:r>
        <w:rPr>
          <w:rFonts w:ascii="宋体" w:hAnsi="宋体" w:hint="eastAsia"/>
          <w:sz w:val="24"/>
          <w:highlight w:val="white"/>
        </w:rPr>
        <w:t>因证券市场波动、证券发行人合并、基金规模变动等基金管理人之外的因素致使基金投资比例不符合上述1）、4）、5）、8）-13）、16）、19）-23）项规定投资比例的，基金管理人应当在被投资证券或基金可交易或可赎回之日起10个交易日内进行调整，致使基金投资比例不符合上述2）、3）项规定投资比例的，基金管理人应当在被投资基金可交易或可赎回之日起20个交易日内进行调整，但中国证监会规定的特殊情形除外。法律法规或监管部门另有规定的，届时按最新规定执行。</w:t>
      </w:r>
    </w:p>
    <w:p w:rsidR="006C13DF" w14:paraId="5A6D3EEC" w14:textId="77777777">
      <w:pPr>
        <w:spacing w:line="360" w:lineRule="auto"/>
        <w:ind w:firstLine="480"/>
      </w:pPr>
      <w:r>
        <w:rPr>
          <w:rFonts w:ascii="宋体" w:hAnsi="宋体" w:hint="eastAsia"/>
          <w:sz w:val="24"/>
          <w:highlight w:val="white"/>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rsidR="006C13DF" w14:paraId="2C13D8C6" w14:textId="77777777">
      <w:pPr>
        <w:spacing w:line="360" w:lineRule="auto"/>
        <w:ind w:firstLine="480"/>
      </w:pPr>
      <w:r>
        <w:rPr>
          <w:rFonts w:ascii="宋体" w:hAnsi="宋体" w:cs="宋体"/>
          <w:color w:val="000000"/>
          <w:sz w:val="24"/>
          <w:highlight w:val="white"/>
        </w:rPr>
        <w:t>因法律法规、监管要求导致本基金投资事项调整的，基金管理人应提前通知基金托管人，并与基金托管人协商一致更新投资监督范围。基金管理人知晓基金托管人投资监督职责的履行受外部数据来源或系统开发等因素影响，基金管理人应为托管人系统调整预留所需的合理必要时间。</w:t>
      </w:r>
    </w:p>
    <w:p w:rsidR="006C13DF" w14:paraId="106FF322" w14:textId="77777777">
      <w:pPr>
        <w:spacing w:after="120" w:line="360" w:lineRule="auto"/>
        <w:ind w:firstLine="480"/>
        <w:rPr>
          <w:rFonts w:ascii="宋体" w:hAnsi="宋体" w:hint="eastAsia"/>
          <w:sz w:val="24"/>
        </w:rPr>
      </w:pPr>
      <w:r>
        <w:rPr>
          <w:rFonts w:ascii="宋体" w:hAnsi="宋体" w:hint="eastAsia"/>
          <w:sz w:val="24"/>
          <w:highlight w:val="white"/>
        </w:rPr>
        <w:t xml:space="preserve">3、基金托管人根据有关法律法规的规定及《基金合同》的约定对下述基金投资禁止行为进行监督： </w:t>
      </w:r>
    </w:p>
    <w:p w:rsidR="006C13DF" w14:paraId="31CF129B" w14:textId="77777777">
      <w:pPr>
        <w:spacing w:line="360" w:lineRule="auto"/>
        <w:ind w:left="1" w:firstLine="540"/>
        <w:rPr>
          <w:rFonts w:ascii="宋体" w:hAnsi="宋体" w:hint="eastAsia"/>
          <w:sz w:val="24"/>
        </w:rPr>
      </w:pPr>
      <w:r>
        <w:rPr>
          <w:rFonts w:ascii="宋体" w:hAnsi="宋体" w:hint="eastAsia"/>
          <w:sz w:val="24"/>
          <w:highlight w:val="white"/>
        </w:rPr>
        <w:t>根据法律法规的规定及《基金合同》的约定，本基金禁止从事下列行为：</w:t>
      </w:r>
    </w:p>
    <w:p w:rsidR="006C13DF" w14:paraId="70098113" w14:textId="77777777">
      <w:pPr>
        <w:spacing w:line="360" w:lineRule="auto"/>
        <w:ind w:left="1" w:firstLine="540"/>
        <w:rPr>
          <w:rFonts w:ascii="宋体" w:hAnsi="宋体" w:hint="eastAsia"/>
          <w:sz w:val="24"/>
        </w:rPr>
      </w:pPr>
      <w:r>
        <w:rPr>
          <w:rFonts w:ascii="宋体" w:hAnsi="宋体" w:hint="eastAsia"/>
          <w:sz w:val="24"/>
          <w:highlight w:val="white"/>
        </w:rPr>
        <w:t>（1）承销证券；</w:t>
      </w:r>
    </w:p>
    <w:p w:rsidR="006C13DF" w14:paraId="37A99BA8" w14:textId="77777777">
      <w:pPr>
        <w:spacing w:line="360" w:lineRule="auto"/>
        <w:ind w:left="1" w:firstLine="540"/>
        <w:rPr>
          <w:rFonts w:ascii="宋体" w:hAnsi="宋体" w:hint="eastAsia"/>
          <w:sz w:val="24"/>
        </w:rPr>
      </w:pPr>
      <w:r>
        <w:rPr>
          <w:rFonts w:ascii="宋体" w:hAnsi="宋体" w:hint="eastAsia"/>
          <w:sz w:val="24"/>
          <w:highlight w:val="white"/>
        </w:rPr>
        <w:t>（2）违反规定向他人贷款或者提供担保；</w:t>
      </w:r>
    </w:p>
    <w:p w:rsidR="006C13DF" w14:paraId="00C54949" w14:textId="77777777">
      <w:pPr>
        <w:spacing w:line="360" w:lineRule="auto"/>
        <w:ind w:left="1" w:firstLine="540"/>
        <w:rPr>
          <w:rFonts w:ascii="宋体" w:hAnsi="宋体" w:hint="eastAsia"/>
          <w:sz w:val="24"/>
        </w:rPr>
      </w:pPr>
      <w:r>
        <w:rPr>
          <w:rFonts w:ascii="宋体" w:hAnsi="宋体" w:hint="eastAsia"/>
          <w:sz w:val="24"/>
          <w:highlight w:val="white"/>
        </w:rPr>
        <w:t>（3）从事承担无限责任的投资；</w:t>
      </w:r>
    </w:p>
    <w:p w:rsidR="006C13DF" w14:paraId="2B993369" w14:textId="77777777">
      <w:pPr>
        <w:spacing w:line="360" w:lineRule="auto"/>
        <w:ind w:left="1" w:firstLine="540"/>
        <w:rPr>
          <w:rFonts w:ascii="宋体" w:hAnsi="宋体" w:hint="eastAsia"/>
          <w:sz w:val="24"/>
        </w:rPr>
      </w:pPr>
      <w:r>
        <w:rPr>
          <w:rFonts w:ascii="宋体" w:hAnsi="宋体" w:hint="eastAsia"/>
          <w:sz w:val="24"/>
          <w:highlight w:val="white"/>
        </w:rPr>
        <w:t>（4）向其基金管理人、基金托管人出资；</w:t>
      </w:r>
    </w:p>
    <w:p w:rsidR="006C13DF" w14:paraId="2F561E56" w14:textId="77777777">
      <w:pPr>
        <w:spacing w:line="360" w:lineRule="auto"/>
        <w:ind w:firstLine="480"/>
        <w:rPr>
          <w:rFonts w:ascii="宋体" w:hAnsi="宋体" w:hint="eastAsia"/>
          <w:bCs/>
          <w:sz w:val="24"/>
        </w:rPr>
      </w:pPr>
      <w:r>
        <w:rPr>
          <w:rFonts w:ascii="宋体" w:hAnsi="宋体" w:hint="eastAsia"/>
          <w:bCs/>
          <w:sz w:val="24"/>
          <w:highlight w:val="white"/>
        </w:rPr>
        <w:t>法律法规或监管部门取消上述组合限制、禁止行为规定，本基金可不受相关限制。法律法规或监管部门对上述组合限制、禁止行为规定进行变更的，本基金可以变更后的规定为准。经与基金托管人协商一致，基金管理人可依据法律法规或监管部门规定直接对基金合同进行变更，该变更无须召开基金份额持有人大会审议。</w:t>
      </w:r>
    </w:p>
    <w:p w:rsidR="006C13DF" w14:paraId="15D68A65" w14:textId="77777777">
      <w:pPr>
        <w:spacing w:line="360" w:lineRule="auto"/>
        <w:ind w:firstLine="480"/>
        <w:rPr>
          <w:rFonts w:ascii="宋体" w:hAnsi="宋体" w:hint="eastAsia"/>
          <w:sz w:val="24"/>
        </w:rPr>
      </w:pPr>
      <w:r>
        <w:rPr>
          <w:rFonts w:ascii="宋体" w:hAnsi="宋体" w:hint="eastAsia"/>
          <w:sz w:val="24"/>
          <w:highlight w:val="white"/>
        </w:rPr>
        <w:t>4、基金托管人依据以下约定对基金管理人参与银行间债券市场投资进行监督。</w:t>
      </w:r>
    </w:p>
    <w:p w:rsidR="006C13DF" w14:paraId="628808E9" w14:textId="77777777">
      <w:pPr>
        <w:spacing w:line="360" w:lineRule="auto"/>
        <w:ind w:firstLine="480"/>
        <w:rPr>
          <w:rFonts w:ascii="宋体" w:hAnsi="宋体" w:hint="eastAsia"/>
          <w:sz w:val="24"/>
        </w:rPr>
      </w:pPr>
      <w:r>
        <w:rPr>
          <w:rFonts w:ascii="宋体" w:hAnsi="宋体" w:hint="eastAsia"/>
          <w:sz w:val="24"/>
          <w:highlight w:val="white"/>
        </w:rPr>
        <w:t>基金管理人参与银行间市场交易，应按照审慎的风险控制原则评估交易对手资信风险，并自主选择交易对手。基金托管人发现基金管理人与银行间市场的丙类会员进行债券交易的，可以通过邮件、电话等双方认可的方式提醒基金管理人，基金管理人应及时向基金托管人提供解释说明。基金管理人应确保解释说明内容真实、准确、完整。基金托管人不对基金管理人提供的解释说明进行实质审查。经提醒后基金管理人仍执行交易并造成基金资产损失的，基金托管人不承担责任。</w:t>
      </w:r>
    </w:p>
    <w:p w:rsidR="006C13DF" w14:paraId="17CACE64" w14:textId="77777777">
      <w:pPr>
        <w:spacing w:line="360" w:lineRule="auto"/>
        <w:ind w:firstLine="516"/>
        <w:rPr>
          <w:rFonts w:ascii="宋体" w:hAnsi="宋体" w:hint="eastAsia"/>
          <w:sz w:val="24"/>
        </w:rPr>
      </w:pPr>
      <w:r>
        <w:rPr>
          <w:rFonts w:ascii="宋体" w:hAnsi="宋体" w:hint="eastAsia"/>
          <w:sz w:val="24"/>
          <w:highlight w:val="white"/>
        </w:rPr>
        <w:t>基金管理人在银行间市场进行现券买卖和回购交易时，以DVP(券款对付)的交易结算方式进行交易。</w:t>
      </w:r>
    </w:p>
    <w:p w:rsidR="006C13DF" w14:paraId="5A5C9829" w14:textId="77777777">
      <w:pPr>
        <w:spacing w:line="360" w:lineRule="auto"/>
        <w:ind w:left="239" w:firstLine="240"/>
        <w:rPr>
          <w:rFonts w:ascii="宋体" w:hAnsi="宋体" w:hint="eastAsia"/>
          <w:sz w:val="24"/>
        </w:rPr>
      </w:pPr>
      <w:r>
        <w:rPr>
          <w:rFonts w:ascii="宋体" w:hAnsi="宋体" w:hint="eastAsia"/>
          <w:sz w:val="24"/>
          <w:highlight w:val="white"/>
        </w:rPr>
        <w:t>5、关于银行存款投资</w:t>
      </w:r>
    </w:p>
    <w:p w:rsidR="006C13DF" w14:paraId="2D4641D3" w14:textId="77777777">
      <w:pPr>
        <w:spacing w:line="360" w:lineRule="auto"/>
        <w:ind w:firstLine="516"/>
        <w:rPr>
          <w:rFonts w:ascii="宋体" w:hAnsi="宋体" w:hint="eastAsia"/>
          <w:sz w:val="24"/>
        </w:rPr>
      </w:pPr>
      <w:r>
        <w:rPr>
          <w:rFonts w:ascii="宋体" w:hAnsi="宋体" w:hint="eastAsia"/>
          <w:sz w:val="24"/>
          <w:highlight w:val="white"/>
        </w:rPr>
        <w:t>本基金投资银行存款的信用风险主要包括存款银行的信用等级、存款银行的支付能力等涉及到存款银行选择方面的风险。基金管理人应基于审慎原则评估存款银行信用风险并自主选择存款银行</w:t>
      </w:r>
      <w:r>
        <w:rPr>
          <w:rFonts w:ascii="宋体" w:hAnsi="宋体" w:cs="宋体"/>
          <w:color w:val="000000"/>
          <w:sz w:val="24"/>
          <w:highlight w:val="white"/>
        </w:rPr>
        <w:t>，基金托管人对此不予监督</w:t>
      </w:r>
      <w:r>
        <w:rPr>
          <w:rFonts w:ascii="宋体" w:hAnsi="宋体" w:hint="eastAsia"/>
          <w:sz w:val="24"/>
          <w:highlight w:val="white"/>
        </w:rPr>
        <w:t>。因基金管理人违反上述原则给基金造成的损失，基金托管人不承担任何责任。</w:t>
      </w:r>
    </w:p>
    <w:p w:rsidR="006C13DF" w14:paraId="7B5808D3" w14:textId="77777777">
      <w:pPr>
        <w:spacing w:line="439" w:lineRule="exact"/>
        <w:ind w:firstLine="516"/>
      </w:pPr>
      <w:r>
        <w:rPr>
          <w:rFonts w:ascii="宋体" w:hAnsi="宋体" w:cs="宋体"/>
          <w:color w:val="000000"/>
          <w:sz w:val="24"/>
          <w:highlight w:val="white"/>
        </w:rPr>
        <w:t>6、基金托管人对基金投资流通受限证券的监督</w:t>
      </w:r>
    </w:p>
    <w:p w:rsidR="006C13DF" w14:paraId="7B578A4C" w14:textId="77777777">
      <w:pPr>
        <w:spacing w:line="360" w:lineRule="auto"/>
        <w:ind w:firstLine="480"/>
      </w:pPr>
      <w:r>
        <w:rPr>
          <w:rFonts w:ascii="宋体" w:hAnsi="宋体" w:cs="宋体"/>
          <w:color w:val="000000"/>
          <w:sz w:val="24"/>
          <w:highlight w:val="white"/>
        </w:rPr>
        <w:t>（1）基金投资流通受限证券，应遵守《关于基金投资非公开发行股票等流通受限证券有关问题的通知》等有关法律法规规定。</w:t>
      </w:r>
    </w:p>
    <w:p w:rsidR="006C13DF" w14:paraId="68618B5B" w14:textId="77777777">
      <w:pPr>
        <w:spacing w:line="360" w:lineRule="auto"/>
        <w:ind w:firstLine="480"/>
      </w:pPr>
      <w:r>
        <w:rPr>
          <w:rFonts w:ascii="宋体" w:hAnsi="宋体" w:cs="宋体"/>
          <w:color w:val="000000"/>
          <w:sz w:val="24"/>
          <w:highlight w:val="white"/>
        </w:rPr>
        <w:t>（2）流通受限证券，包括由《上市公司证券发行注册管理办法》规范的非公开发行股票、公开发行股票网下配售部分等在发行时明确一定期限锁定期的可交易证券，不包括由于发布重大消息或其他原因而临时停牌的证券、已发行未上市证券、回购交易中的质押券等流通受限证券。</w:t>
      </w:r>
    </w:p>
    <w:p w:rsidR="006C13DF" w14:paraId="012C04BE" w14:textId="77777777">
      <w:pPr>
        <w:spacing w:line="360" w:lineRule="auto"/>
        <w:ind w:firstLine="480"/>
      </w:pPr>
      <w:r>
        <w:rPr>
          <w:rFonts w:ascii="宋体" w:hAnsi="宋体" w:cs="宋体"/>
          <w:color w:val="000000"/>
          <w:sz w:val="24"/>
          <w:highlight w:val="white"/>
        </w:rPr>
        <w:t>（3）基金管理人应在基金首次投资流通受限证券前，向基金托管人提供经基金管理人董事会批准的有关基金投资流通受限证券的投资决策流程、风险控制制度。基金投资非公开发行股票，基金管理人还应提供基金管理人董事会批准的流动性风险处置预案。上述资料应包括但不限于基金投资流通受限证券的投资额度和投资比例控制情况。</w:t>
      </w:r>
    </w:p>
    <w:p w:rsidR="006C13DF" w14:paraId="10BEA8F8" w14:textId="77777777">
      <w:pPr>
        <w:spacing w:line="360" w:lineRule="auto"/>
        <w:ind w:firstLine="480"/>
      </w:pPr>
      <w:r>
        <w:rPr>
          <w:rFonts w:ascii="宋体" w:hAnsi="宋体" w:cs="宋体"/>
          <w:color w:val="000000"/>
          <w:sz w:val="24"/>
          <w:highlight w:val="white"/>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rsidR="006C13DF" w14:paraId="7D64F18E" w14:textId="77777777">
      <w:pPr>
        <w:spacing w:after="120" w:line="360" w:lineRule="auto"/>
        <w:ind w:firstLine="480"/>
      </w:pPr>
      <w:r>
        <w:rPr>
          <w:rFonts w:ascii="宋体" w:hAnsi="宋体" w:cs="宋体"/>
          <w:color w:val="000000"/>
          <w:sz w:val="24"/>
          <w:highlight w:val="white"/>
        </w:rPr>
        <w:t>（4）基金投资流通受限证券前，基金管理人应向基金托管人提供符合法律法规要求的有关书面信息，包括但不限于拟发行证券主体的中国证监会批准文件、发行证券数量、发行价格、锁定期，基金拟认购的数量、价格、总成本、总成本占基金资产净值的比例、已持有流通受限证券市值占资产净值的比例、资金划付时间等。基金管理人应保证上述信息的真实、完整，并应至少于拟执行投资指令前两个工作日将上述信息书面发至</w:t>
      </w:r>
      <w:r>
        <w:rPr>
          <w:rFonts w:ascii="宋体" w:hAnsi="宋体"/>
          <w:color w:val="000000"/>
          <w:sz w:val="24"/>
          <w:szCs w:val="21"/>
          <w:highlight w:val="white"/>
        </w:rPr>
        <w:t>基金托管人</w:t>
      </w:r>
      <w:r>
        <w:rPr>
          <w:rFonts w:ascii="宋体" w:hAnsi="宋体" w:cs="宋体"/>
          <w:color w:val="000000"/>
          <w:sz w:val="24"/>
          <w:highlight w:val="white"/>
        </w:rPr>
        <w:t>，保证基金托管人有足够的时间进行审核。</w:t>
      </w:r>
    </w:p>
    <w:p w:rsidR="006C13DF" w14:paraId="2493DA86" w14:textId="77777777">
      <w:pPr>
        <w:spacing w:after="120" w:line="360" w:lineRule="auto"/>
        <w:ind w:firstLine="480"/>
      </w:pPr>
      <w:r>
        <w:rPr>
          <w:rFonts w:ascii="宋体" w:hAnsi="宋体" w:cs="宋体"/>
          <w:color w:val="000000"/>
          <w:sz w:val="24"/>
          <w:highlight w:val="white"/>
        </w:rPr>
        <w:t>（5）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备查资料的权利。否则，基金托管人有权拒绝执行有关指令。因拒绝执行该指令造成基金财产损失的，基金托管人不承担任何责任，并有权报告中国证监会。</w:t>
      </w:r>
    </w:p>
    <w:p w:rsidR="006C13DF" w14:paraId="57330133" w14:textId="77777777">
      <w:pPr>
        <w:spacing w:after="120" w:line="360" w:lineRule="auto"/>
        <w:ind w:firstLine="480"/>
      </w:pPr>
      <w:r>
        <w:rPr>
          <w:rFonts w:ascii="宋体" w:hAnsi="宋体" w:cs="宋体"/>
          <w:color w:val="000000"/>
          <w:sz w:val="24"/>
          <w:highlight w:val="white"/>
        </w:rPr>
        <w:t>如基金管理人和基金托管人无法达成一致，应及时上报中国证监会请求解决。如果基金托管人切实履行监督职责，则不承担任何责任。如果基金托管人没有切实履行监督职责，导致基金出现风险，基金托管人应承担连带责任。</w:t>
      </w:r>
    </w:p>
    <w:p w:rsidR="006C13DF" w14:paraId="5AC1D60C" w14:textId="77777777">
      <w:pPr>
        <w:pStyle w:val="21"/>
        <w:keepNext w:val="0"/>
        <w:keepLines w:val="0"/>
        <w:spacing w:before="0" w:after="0" w:line="360" w:lineRule="auto"/>
        <w:ind w:firstLine="360"/>
        <w:rPr>
          <w:rFonts w:ascii="宋体" w:eastAsia="宋体" w:hAnsi="宋体" w:hint="eastAsia"/>
          <w:b w:val="0"/>
          <w:sz w:val="24"/>
          <w:szCs w:val="24"/>
        </w:rPr>
      </w:pPr>
      <w:r>
        <w:rPr>
          <w:rFonts w:ascii="宋体" w:eastAsia="宋体" w:hAnsi="宋体" w:hint="eastAsia"/>
          <w:b w:val="0"/>
          <w:sz w:val="24"/>
          <w:szCs w:val="24"/>
          <w:highlight w:val="white"/>
        </w:rPr>
        <w:t>（二）基金托管人应根据有关法律法规的规定及《基金合同》</w:t>
      </w:r>
      <w:r>
        <w:rPr>
          <w:rFonts w:ascii="宋体" w:eastAsia="宋体" w:hAnsi="宋体" w:hint="eastAsia"/>
          <w:b w:val="0"/>
          <w:bCs w:val="0"/>
          <w:sz w:val="24"/>
          <w:szCs w:val="24"/>
          <w:highlight w:val="white"/>
        </w:rPr>
        <w:t>的约定，对基金资产净值计算、基金份额净值计算、应收资金到账、基金费用开支及收入确定、基金收益分配、相关信息披露、基金宣传推介材料中登载基金业绩表现</w:t>
      </w:r>
      <w:r>
        <w:rPr>
          <w:rFonts w:ascii="宋体" w:eastAsia="宋体" w:hAnsi="宋体" w:hint="eastAsia"/>
          <w:b w:val="0"/>
          <w:sz w:val="24"/>
          <w:szCs w:val="24"/>
          <w:highlight w:val="white"/>
        </w:rPr>
        <w:t>数据等进行监督和核查。</w:t>
      </w:r>
    </w:p>
    <w:p w:rsidR="006C13DF" w14:paraId="593D6000" w14:textId="77777777">
      <w:pPr>
        <w:pStyle w:val="21"/>
        <w:keepNext w:val="0"/>
        <w:keepLines w:val="0"/>
        <w:spacing w:before="0" w:after="0" w:line="360" w:lineRule="auto"/>
        <w:ind w:firstLine="360"/>
        <w:rPr>
          <w:rFonts w:ascii="宋体" w:eastAsia="宋体" w:hAnsi="宋体" w:hint="eastAsia"/>
          <w:b w:val="0"/>
          <w:sz w:val="24"/>
          <w:szCs w:val="24"/>
        </w:rPr>
      </w:pPr>
      <w:r>
        <w:rPr>
          <w:rFonts w:ascii="宋体" w:eastAsia="宋体" w:hAnsi="宋体" w:hint="eastAsia"/>
          <w:b w:val="0"/>
          <w:sz w:val="24"/>
          <w:szCs w:val="24"/>
          <w:highlight w:val="white"/>
        </w:rPr>
        <w:t>（三）基金托管人发现基金管理人的投资运作及其他运作违反《基金法》、《基金合同》、本协议有关规定时，应及时以书面形式通知基金管理人限期纠正，基金管理人收到通知后应在下一个工作日及时核对，并以书面形式向基金托管人发出回函，进行解释或举证。</w:t>
      </w:r>
    </w:p>
    <w:p w:rsidR="006C13DF" w14:paraId="2298D172" w14:textId="77777777">
      <w:pPr>
        <w:spacing w:line="360" w:lineRule="auto"/>
        <w:ind w:firstLine="480"/>
        <w:rPr>
          <w:rFonts w:ascii="宋体" w:hAnsi="宋体" w:hint="eastAsia"/>
          <w:sz w:val="24"/>
        </w:rPr>
      </w:pPr>
      <w:r>
        <w:rPr>
          <w:rFonts w:ascii="宋体" w:hAnsi="宋体" w:hint="eastAsia"/>
          <w:sz w:val="24"/>
          <w:highlight w:val="white"/>
        </w:rPr>
        <w:t>在限期内，基金托管人有权随时对通知事项进行复查，督促基金管理人改正。基金管理人对基金托管人通知的违规事项未能在限期内纠正的，基金托管人应报告中国证监会。基金托管人有义务要求基金管理人赔偿因其违反《基金合同》、本协议而致使投资者遭受的损失。</w:t>
      </w:r>
    </w:p>
    <w:p w:rsidR="006C13DF" w14:paraId="5BA7B60A" w14:textId="77777777">
      <w:pPr>
        <w:pStyle w:val="PlainText"/>
        <w:spacing w:line="360" w:lineRule="auto"/>
        <w:ind w:firstLine="480"/>
        <w:rPr>
          <w:rFonts w:hAnsi="宋体" w:hint="eastAsia"/>
          <w:sz w:val="24"/>
          <w:szCs w:val="24"/>
        </w:rPr>
      </w:pPr>
      <w:r>
        <w:rPr>
          <w:rFonts w:hAnsi="宋体" w:hint="eastAsia"/>
          <w:sz w:val="24"/>
          <w:szCs w:val="24"/>
          <w:highlight w:val="white"/>
        </w:rPr>
        <w:t>对于依据交易程序尚未成交的且基金托管人在交易前能够监控的投资指令，基金托管人发现该投资指令违反相关法律法规规定或者违反《基金合同》约定的，应当拒绝执行，立即通知基金管理人，并向中国证监会报告。</w:t>
      </w:r>
    </w:p>
    <w:p w:rsidR="006C13DF" w14:paraId="4BFF7D3E" w14:textId="77777777">
      <w:pPr>
        <w:pStyle w:val="PlainText"/>
        <w:spacing w:line="360" w:lineRule="auto"/>
        <w:ind w:firstLine="480"/>
        <w:rPr>
          <w:rFonts w:hAnsi="宋体" w:hint="eastAsia"/>
          <w:sz w:val="24"/>
          <w:szCs w:val="24"/>
        </w:rPr>
      </w:pPr>
      <w:r>
        <w:rPr>
          <w:rFonts w:hAnsi="宋体" w:hint="eastAsia"/>
          <w:sz w:val="24"/>
          <w:szCs w:val="24"/>
          <w:highlight w:val="white"/>
        </w:rPr>
        <w:t>对于必须于估值完成后方可获知的监控指标或依据交易程序已经成交的投资指令，基金托管人发现该投资指令违反法律法规或者违反《基金合同》约定的，应当立即通知基金管理人，并报告中国证监会。</w:t>
      </w:r>
    </w:p>
    <w:p w:rsidR="006C13DF" w14:paraId="237484AC" w14:textId="77777777">
      <w:pPr>
        <w:spacing w:line="360" w:lineRule="auto"/>
        <w:ind w:firstLine="480"/>
        <w:rPr>
          <w:rFonts w:ascii="宋体" w:hAnsi="宋体" w:hint="eastAsia"/>
          <w:sz w:val="24"/>
        </w:rPr>
      </w:pPr>
      <w:r>
        <w:rPr>
          <w:rFonts w:ascii="宋体" w:hAnsi="宋体" w:hint="eastAsia"/>
          <w:sz w:val="24"/>
          <w:highlight w:val="white"/>
        </w:rPr>
        <w:t>基金管理人应积极配合和协助基金托管人的监督和核查，必须在规定时间内答复基金托管人并改正，就基金托管人的疑义进行解释或举证，对基金托管人按照法规要求需向中国证监会报送基金监督报告的，基金管理人应积极配合提供相关数据资料和制度等。</w:t>
      </w:r>
    </w:p>
    <w:p w:rsidR="006C13DF" w14:paraId="48128975" w14:textId="77777777">
      <w:pPr>
        <w:spacing w:line="360" w:lineRule="auto"/>
        <w:ind w:firstLine="480"/>
        <w:rPr>
          <w:rFonts w:ascii="宋体" w:hAnsi="宋体" w:hint="eastAsia"/>
          <w:sz w:val="24"/>
        </w:rPr>
      </w:pPr>
      <w:r>
        <w:rPr>
          <w:rFonts w:ascii="宋体" w:hAnsi="宋体" w:hint="eastAsia"/>
          <w:sz w:val="24"/>
          <w:highlight w:val="white"/>
        </w:rPr>
        <w:t>基金托管人发现基金管理人有重大违规行为，应立即报告中国证监会，同时通知基金管理人限期纠正。</w:t>
      </w:r>
    </w:p>
    <w:p w:rsidR="006C13DF" w14:paraId="0A303894" w14:textId="77777777">
      <w:pPr>
        <w:spacing w:line="360" w:lineRule="auto"/>
        <w:ind w:firstLine="480"/>
        <w:rPr>
          <w:rFonts w:ascii="宋体" w:hAnsi="宋体" w:hint="eastAsia"/>
          <w:sz w:val="24"/>
          <w:szCs w:val="21"/>
        </w:rPr>
      </w:pPr>
      <w:r>
        <w:rPr>
          <w:rFonts w:ascii="宋体" w:hAnsi="宋体" w:hint="eastAsia"/>
          <w:sz w:val="24"/>
          <w:highlight w:val="white"/>
        </w:rPr>
        <w:t>基金管理人无正当理由，拒绝、阻挠基金托管人根据本协议</w:t>
      </w:r>
      <w:r>
        <w:rPr>
          <w:rFonts w:ascii="宋体" w:hAnsi="宋体"/>
          <w:sz w:val="24"/>
          <w:highlight w:val="white"/>
        </w:rPr>
        <w:t>约</w:t>
      </w:r>
      <w:r>
        <w:rPr>
          <w:rFonts w:ascii="宋体" w:hAnsi="宋体" w:hint="eastAsia"/>
          <w:sz w:val="24"/>
          <w:highlight w:val="white"/>
        </w:rPr>
        <w:t>定行使监督权，或采取拖延、欺诈等手段妨碍基金托管人进行有效监督，情节严重或经基金托管人提出警告仍不改正的，基金托管人应报告中国证监会。</w:t>
      </w:r>
    </w:p>
    <w:p w:rsidR="006C13DF" w14:paraId="76F74EE5" w14:textId="22D484BA">
      <w:pPr>
        <w:spacing w:line="360" w:lineRule="auto"/>
        <w:ind w:firstLine="480"/>
        <w:rPr>
          <w:rFonts w:ascii="宋体" w:hAnsi="宋体" w:hint="eastAsia"/>
          <w:sz w:val="24"/>
          <w:szCs w:val="21"/>
        </w:rPr>
      </w:pPr>
      <w:r>
        <w:rPr>
          <w:rFonts w:ascii="宋体" w:hAnsi="宋体" w:hint="eastAsia"/>
          <w:sz w:val="24"/>
          <w:highlight w:val="white"/>
        </w:rPr>
        <w:t>（四）基金管理人按照《中华人民共和国反洗钱法》等有关反洗</w:t>
      </w:r>
      <w:r>
        <w:rPr>
          <w:rFonts w:ascii="宋体" w:hAnsi="宋体" w:hint="eastAsia"/>
          <w:sz w:val="24"/>
          <w:highlight w:val="white"/>
        </w:rPr>
        <w:t>钱法律</w:t>
      </w:r>
      <w:r>
        <w:rPr>
          <w:rFonts w:ascii="宋体" w:hAnsi="宋体" w:hint="eastAsia"/>
          <w:sz w:val="24"/>
          <w:highlight w:val="white"/>
        </w:rPr>
        <w:t>法规和监管要求履行反洗钱义务，包括但不限于建立合理有效的反洗</w:t>
      </w:r>
      <w:r>
        <w:rPr>
          <w:rFonts w:ascii="宋体" w:hAnsi="宋体" w:hint="eastAsia"/>
          <w:sz w:val="24"/>
          <w:highlight w:val="white"/>
        </w:rPr>
        <w:t>钱控制</w:t>
      </w:r>
      <w:r>
        <w:rPr>
          <w:rFonts w:ascii="宋体" w:hAnsi="宋体" w:hint="eastAsia"/>
          <w:sz w:val="24"/>
          <w:highlight w:val="white"/>
        </w:rPr>
        <w:t>措施，建立健全客户尽职调查等内部控制机制管控，</w:t>
      </w:r>
      <w:r>
        <w:rPr>
          <w:rFonts w:ascii="宋体" w:hAnsi="宋体" w:hint="eastAsia"/>
          <w:sz w:val="24"/>
          <w:highlight w:val="white"/>
        </w:rPr>
        <w:t>尽合理</w:t>
      </w:r>
      <w:r>
        <w:rPr>
          <w:rFonts w:ascii="宋体" w:hAnsi="宋体" w:hint="eastAsia"/>
          <w:sz w:val="24"/>
          <w:highlight w:val="white"/>
        </w:rPr>
        <w:t>努力确保所管理的资金来源合法，资金管理及投资使用不涉及恐怖融资或其他违法犯罪活动，不涉及被联合国及其他国家（地区）、中国有权机关等主体发布制裁且得到我国承认的被制裁实体、个人或行为</w:t>
      </w:r>
      <w:r w:rsidR="00443995">
        <w:rPr>
          <w:rFonts w:ascii="宋体" w:hAnsi="宋体" w:hint="eastAsia"/>
          <w:sz w:val="24"/>
          <w:highlight w:val="white"/>
        </w:rPr>
        <w:t>，</w:t>
      </w:r>
      <w:r>
        <w:rPr>
          <w:rFonts w:ascii="宋体" w:hAnsi="宋体" w:hint="eastAsia"/>
          <w:sz w:val="24"/>
          <w:highlight w:val="white"/>
        </w:rPr>
        <w:t>并向基金托管人提供法律法规规定的受益所有人信息资料，配合基金托管人完成反洗钱等监管规定的合</w:t>
      </w:r>
      <w:r>
        <w:rPr>
          <w:rFonts w:ascii="宋体" w:hAnsi="宋体" w:hint="eastAsia"/>
          <w:sz w:val="24"/>
          <w:highlight w:val="white"/>
        </w:rPr>
        <w:t>规</w:t>
      </w:r>
      <w:r>
        <w:rPr>
          <w:rFonts w:ascii="宋体" w:hAnsi="宋体" w:hint="eastAsia"/>
          <w:sz w:val="24"/>
          <w:highlight w:val="white"/>
        </w:rPr>
        <w:t>工作（受益所有人信息资料指拥有25%以上计划份额的自然人身份信息、管理资产管理产品的自然人身份信息）。</w:t>
      </w:r>
    </w:p>
    <w:p w:rsidR="006C13DF" w14:paraId="089A8BD3"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7" w:name="_Toc96101873"/>
      <w:r>
        <w:rPr>
          <w:rFonts w:ascii="宋体" w:hAnsi="宋体" w:cs="Arial" w:hint="eastAsia"/>
          <w:sz w:val="30"/>
          <w:highlight w:val="white"/>
        </w:rPr>
        <w:t>基金管理人对基金托管人的业务核查</w:t>
      </w:r>
      <w:bookmarkEnd w:id="7"/>
    </w:p>
    <w:p w:rsidR="006C13DF" w14:paraId="2BF2CF08" w14:textId="77777777">
      <w:pPr>
        <w:spacing w:line="360" w:lineRule="auto"/>
        <w:ind w:firstLine="482"/>
        <w:rPr>
          <w:rFonts w:ascii="宋体" w:hAnsi="宋体" w:hint="eastAsia"/>
          <w:sz w:val="24"/>
        </w:rPr>
      </w:pPr>
      <w:r>
        <w:rPr>
          <w:rFonts w:ascii="宋体" w:hAnsi="宋体" w:hint="eastAsia"/>
          <w:sz w:val="24"/>
          <w:highlight w:val="white"/>
        </w:rPr>
        <w:t>基金管理人对基金托管人履行托管职责情况进行核查，核查事项包括但不限于基金托管人安全保管基金财产、开设基金财产的资金账户</w:t>
      </w:r>
      <w:r>
        <w:rPr>
          <w:rFonts w:ascii="宋体" w:hAnsi="宋体"/>
          <w:sz w:val="24"/>
          <w:highlight w:val="white"/>
        </w:rPr>
        <w:t>和</w:t>
      </w:r>
      <w:r>
        <w:rPr>
          <w:rFonts w:ascii="宋体" w:hAnsi="宋体" w:hint="eastAsia"/>
          <w:sz w:val="24"/>
          <w:highlight w:val="white"/>
        </w:rPr>
        <w:t>证券账户等投资所需账户、复核基金管理人计算的基金资产净值和基金份额净值、根据基金管理人指令办理清算交收、相关信息披露和监督基金投资运作等行为。</w:t>
      </w:r>
    </w:p>
    <w:p w:rsidR="006C13DF" w14:paraId="1CFD3449" w14:textId="77777777">
      <w:pPr>
        <w:spacing w:line="360" w:lineRule="auto"/>
        <w:ind w:firstLine="482"/>
        <w:rPr>
          <w:rFonts w:ascii="宋体" w:hAnsi="宋体" w:hint="eastAsia"/>
          <w:sz w:val="24"/>
        </w:rPr>
      </w:pPr>
      <w:r>
        <w:rPr>
          <w:rFonts w:ascii="宋体" w:hAnsi="宋体"/>
          <w:sz w:val="24"/>
          <w:highlight w:val="white"/>
        </w:rPr>
        <w:t>基金管理人发现基金托管人擅自挪用基金财产、未对基金财产实行分账管理、无故未执行或无故延迟执行基金管理人资金划拨指令、泄露基金投资信息等违反《基金法》、《基金合同》、本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的，基金管理人应报告中国证监会。基金管理人有义务要求基金托管人赔偿基金因此所遭受的损失。</w:t>
      </w:r>
    </w:p>
    <w:p w:rsidR="006C13DF" w14:paraId="38CB87D9" w14:textId="77777777">
      <w:pPr>
        <w:spacing w:line="360" w:lineRule="auto"/>
        <w:ind w:firstLine="482"/>
        <w:rPr>
          <w:rFonts w:ascii="宋体" w:hAnsi="宋体" w:hint="eastAsia"/>
          <w:sz w:val="24"/>
        </w:rPr>
      </w:pPr>
      <w:r>
        <w:rPr>
          <w:rFonts w:ascii="宋体" w:hAnsi="宋体" w:hint="eastAsia"/>
          <w:sz w:val="24"/>
          <w:highlight w:val="white"/>
        </w:rPr>
        <w:t>基金管理人发现基金托管人有重大违规行为，应立即报告中国证监会和银行业监督管理机构，同时通知基金托管人限期纠正。</w:t>
      </w:r>
    </w:p>
    <w:p w:rsidR="006C13DF" w14:paraId="73275390" w14:textId="77777777">
      <w:pPr>
        <w:spacing w:line="360" w:lineRule="auto"/>
        <w:ind w:firstLine="482"/>
        <w:rPr>
          <w:rFonts w:ascii="宋体" w:hAnsi="宋体" w:hint="eastAsia"/>
          <w:sz w:val="24"/>
        </w:rPr>
      </w:pPr>
      <w:r>
        <w:rPr>
          <w:rFonts w:ascii="宋体" w:hAnsi="宋体" w:hint="eastAsia"/>
          <w:sz w:val="24"/>
          <w:highlight w:val="white"/>
        </w:rPr>
        <w:t>基金托管人应积极配合基金管理人的核查行为，包括但不限于：提交相关资料以供基金管理人核查托管财产的完整性和真实性，在规定时间内答复基金管理人并改正。</w:t>
      </w:r>
    </w:p>
    <w:p w:rsidR="006C13DF" w14:paraId="46BDC34F" w14:textId="77777777">
      <w:pPr>
        <w:spacing w:line="360" w:lineRule="auto"/>
        <w:ind w:firstLine="482"/>
        <w:rPr>
          <w:szCs w:val="21"/>
        </w:rPr>
      </w:pPr>
      <w:r>
        <w:rPr>
          <w:rFonts w:ascii="宋体" w:hAnsi="宋体"/>
          <w:sz w:val="24"/>
          <w:highlight w:val="white"/>
        </w:rPr>
        <w:t>基金托管人无正当理由，拒绝、阻挠基金管理人根据本协议约</w:t>
      </w:r>
      <w:r>
        <w:rPr>
          <w:rFonts w:ascii="宋体" w:hAnsi="宋体" w:hint="eastAsia"/>
          <w:sz w:val="24"/>
          <w:highlight w:val="white"/>
        </w:rPr>
        <w:t>定行使监督权，或采取拖延、欺诈等手段妨碍基金管理人进行有效监督，情节严重或经基金管理人提出警告仍不改正的，基金管理人应报告中国证监会。</w:t>
      </w:r>
    </w:p>
    <w:p w:rsidR="006C13DF" w14:paraId="78FA7B3F"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8" w:name="_Toc96101874"/>
      <w:r>
        <w:rPr>
          <w:rFonts w:ascii="宋体" w:hAnsi="宋体" w:cs="Arial" w:hint="eastAsia"/>
          <w:sz w:val="30"/>
          <w:highlight w:val="white"/>
        </w:rPr>
        <w:t>基金财产保管</w:t>
      </w:r>
      <w:bookmarkEnd w:id="8"/>
    </w:p>
    <w:p w:rsidR="006C13DF" w14:paraId="3C572004" w14:textId="77777777">
      <w:pPr>
        <w:pStyle w:val="21"/>
        <w:keepNext w:val="0"/>
        <w:keepLines w:val="0"/>
        <w:spacing w:before="0" w:after="0" w:line="360" w:lineRule="auto"/>
        <w:ind w:firstLine="360"/>
        <w:rPr>
          <w:rFonts w:ascii="宋体" w:eastAsia="宋体" w:hAnsi="宋体" w:hint="eastAsia"/>
          <w:b w:val="0"/>
          <w:bCs w:val="0"/>
          <w:sz w:val="24"/>
          <w:szCs w:val="24"/>
        </w:rPr>
      </w:pPr>
      <w:r>
        <w:rPr>
          <w:rFonts w:ascii="宋体" w:eastAsia="宋体" w:hAnsi="宋体" w:hint="eastAsia"/>
          <w:b w:val="0"/>
          <w:bCs w:val="0"/>
          <w:sz w:val="24"/>
          <w:szCs w:val="24"/>
          <w:highlight w:val="white"/>
        </w:rPr>
        <w:t>（一）基金财产保管的原则</w:t>
      </w:r>
    </w:p>
    <w:p w:rsidR="006C13DF" w14:paraId="7574044E" w14:textId="77777777">
      <w:pPr>
        <w:spacing w:line="360" w:lineRule="auto"/>
        <w:ind w:firstLine="480"/>
        <w:rPr>
          <w:rFonts w:ascii="宋体" w:hAnsi="宋体" w:hint="eastAsia"/>
          <w:sz w:val="24"/>
        </w:rPr>
      </w:pPr>
      <w:r>
        <w:rPr>
          <w:rFonts w:ascii="宋体" w:hAnsi="宋体" w:hint="eastAsia"/>
          <w:sz w:val="24"/>
          <w:highlight w:val="white"/>
        </w:rPr>
        <w:t>1、基金财产应独立于基金管理人、基金托管人的固有财产。</w:t>
      </w:r>
    </w:p>
    <w:p w:rsidR="006C13DF" w14:paraId="7ED60FC8" w14:textId="77777777">
      <w:pPr>
        <w:spacing w:line="360" w:lineRule="auto"/>
        <w:ind w:firstLine="480"/>
        <w:rPr>
          <w:rFonts w:ascii="宋体" w:hAnsi="宋体" w:hint="eastAsia"/>
          <w:sz w:val="24"/>
        </w:rPr>
      </w:pPr>
      <w:r>
        <w:rPr>
          <w:rFonts w:ascii="宋体" w:hAnsi="宋体" w:hint="eastAsia"/>
          <w:sz w:val="24"/>
          <w:highlight w:val="white"/>
        </w:rPr>
        <w:t>2、基金托管人应安全保管基金财产。未经基金管理人的</w:t>
      </w:r>
      <w:r>
        <w:rPr>
          <w:rFonts w:ascii="宋体" w:hAnsi="宋体"/>
          <w:sz w:val="24"/>
          <w:highlight w:val="white"/>
        </w:rPr>
        <w:t>有效</w:t>
      </w:r>
      <w:r>
        <w:rPr>
          <w:rFonts w:ascii="宋体" w:hAnsi="宋体" w:hint="eastAsia"/>
          <w:sz w:val="24"/>
          <w:highlight w:val="white"/>
        </w:rPr>
        <w:t>指令，不得自行运用、处分、分配基金的任何财产。</w:t>
      </w:r>
    </w:p>
    <w:p w:rsidR="006C13DF" w14:paraId="752857C6" w14:textId="77777777">
      <w:pPr>
        <w:spacing w:line="360" w:lineRule="auto"/>
        <w:ind w:firstLine="480"/>
        <w:rPr>
          <w:rFonts w:ascii="宋体" w:hAnsi="宋体" w:hint="eastAsia"/>
          <w:sz w:val="24"/>
        </w:rPr>
      </w:pPr>
      <w:r>
        <w:rPr>
          <w:rFonts w:ascii="宋体" w:hAnsi="宋体" w:hint="eastAsia"/>
          <w:sz w:val="24"/>
          <w:highlight w:val="white"/>
        </w:rPr>
        <w:t>3、基金托管人按照规定开设基金财产的资金账户</w:t>
      </w:r>
      <w:r>
        <w:rPr>
          <w:rFonts w:ascii="宋体" w:hAnsi="宋体"/>
          <w:sz w:val="24"/>
          <w:highlight w:val="white"/>
        </w:rPr>
        <w:t>和</w:t>
      </w:r>
      <w:r>
        <w:rPr>
          <w:rFonts w:ascii="宋体" w:hAnsi="宋体" w:hint="eastAsia"/>
          <w:sz w:val="24"/>
          <w:highlight w:val="white"/>
        </w:rPr>
        <w:t>证券账户等投资所需账户。</w:t>
      </w:r>
    </w:p>
    <w:p w:rsidR="006C13DF" w14:paraId="27BC4B54" w14:textId="77777777">
      <w:pPr>
        <w:spacing w:line="360" w:lineRule="auto"/>
        <w:ind w:firstLine="480"/>
        <w:rPr>
          <w:rFonts w:ascii="宋体" w:hAnsi="宋体" w:hint="eastAsia"/>
          <w:sz w:val="24"/>
        </w:rPr>
      </w:pPr>
      <w:r>
        <w:rPr>
          <w:rFonts w:ascii="宋体" w:hAnsi="宋体" w:hint="eastAsia"/>
          <w:sz w:val="24"/>
          <w:highlight w:val="white"/>
        </w:rPr>
        <w:t>4、基金托管人对所托管的不同基金财产分别设置账户，与基金托管人的其他业务和其他基金的托管业务实行严格的分账管理，确保基金财产的完整与独立。</w:t>
      </w:r>
    </w:p>
    <w:p w:rsidR="006C13DF" w14:paraId="7DA2ADDA" w14:textId="77777777">
      <w:pPr>
        <w:spacing w:line="360" w:lineRule="auto"/>
        <w:ind w:firstLine="480"/>
        <w:rPr>
          <w:rFonts w:ascii="宋体" w:hAnsi="宋体" w:hint="eastAsia"/>
          <w:sz w:val="24"/>
        </w:rPr>
      </w:pPr>
      <w:r>
        <w:rPr>
          <w:rFonts w:ascii="宋体" w:hAnsi="宋体" w:hint="eastAsia"/>
          <w:sz w:val="24"/>
          <w:highlight w:val="white"/>
        </w:rPr>
        <w:t>5、对于因基金认（申）购、基金投资过程中产生的应收财产，如基金托管人无法从公开信息或基金管理人提供的书面资料中获取到账日期信息的，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此不承担责任。</w:t>
      </w:r>
    </w:p>
    <w:p w:rsidR="006C13DF" w14:paraId="64F48A51"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6、基金托管人不对已划出托管账户以及处于基金托管人实际控制之外的资产承担保管责任。</w:t>
      </w:r>
    </w:p>
    <w:p w:rsidR="006C13DF" w14:paraId="146B24AA" w14:textId="77777777">
      <w:pPr>
        <w:pStyle w:val="21"/>
        <w:keepNext w:val="0"/>
        <w:keepLines w:val="0"/>
        <w:spacing w:before="0" w:after="0" w:line="360" w:lineRule="auto"/>
        <w:ind w:firstLine="480"/>
        <w:rPr>
          <w:rFonts w:ascii="宋体" w:eastAsia="宋体" w:hAnsi="宋体" w:hint="eastAsia"/>
          <w:b w:val="0"/>
          <w:sz w:val="24"/>
          <w:szCs w:val="24"/>
        </w:rPr>
      </w:pPr>
      <w:r>
        <w:rPr>
          <w:rFonts w:ascii="宋体" w:eastAsia="宋体" w:hAnsi="宋体" w:hint="eastAsia"/>
          <w:b w:val="0"/>
          <w:bCs w:val="0"/>
          <w:sz w:val="24"/>
          <w:szCs w:val="24"/>
          <w:highlight w:val="white"/>
        </w:rPr>
        <w:t>（二）募集资金的验证</w:t>
      </w:r>
    </w:p>
    <w:p w:rsidR="006C13DF" w14:paraId="6D6A3C10" w14:textId="77777777">
      <w:pPr>
        <w:spacing w:line="360" w:lineRule="auto"/>
        <w:ind w:firstLine="480"/>
        <w:rPr>
          <w:rFonts w:ascii="宋体" w:hAnsi="宋体" w:hint="eastAsia"/>
          <w:sz w:val="24"/>
        </w:rPr>
      </w:pPr>
      <w:r>
        <w:rPr>
          <w:rFonts w:ascii="宋体" w:hAnsi="宋体" w:hint="eastAsia"/>
          <w:sz w:val="24"/>
          <w:highlight w:val="white"/>
        </w:rPr>
        <w:t>募集期内认购资金划入认购专户。基金管理人按照法律法规的反洗钱要求，对投资人及其资金来源履行必要的反洗钱合规审查工作。基金募集期满，募集的基金份额总额、基金募集金额、基金份额持有人人数符合《基金法》、《运作办法》等有关规定后，由基金管理人聘请符合《证券法》规定的会计师事务所进行验资，出具验资报告，出具的验资报告应由参加验资的</w:t>
      </w:r>
      <w:r>
        <w:rPr>
          <w:rFonts w:ascii="宋体" w:hAnsi="宋体"/>
          <w:sz w:val="24"/>
          <w:highlight w:val="white"/>
        </w:rPr>
        <w:t>2</w:t>
      </w:r>
      <w:r>
        <w:rPr>
          <w:rFonts w:ascii="宋体" w:hAnsi="宋体" w:hint="eastAsia"/>
          <w:sz w:val="24"/>
          <w:highlight w:val="white"/>
        </w:rPr>
        <w:t>名以上（含</w:t>
      </w:r>
      <w:r>
        <w:rPr>
          <w:rFonts w:ascii="宋体" w:hAnsi="宋体"/>
          <w:sz w:val="24"/>
          <w:highlight w:val="white"/>
        </w:rPr>
        <w:t>2</w:t>
      </w:r>
      <w:r>
        <w:rPr>
          <w:rFonts w:ascii="宋体" w:hAnsi="宋体" w:hint="eastAsia"/>
          <w:sz w:val="24"/>
          <w:highlight w:val="white"/>
        </w:rPr>
        <w:t>名）中国注册会计师签字有效。属于本基金财产的全部资金应划入基金托管人为基金开立的</w:t>
      </w:r>
      <w:r>
        <w:rPr>
          <w:rFonts w:ascii="宋体" w:hAnsi="宋体" w:cs="宋体"/>
          <w:color w:val="000000"/>
          <w:sz w:val="24"/>
          <w:highlight w:val="white"/>
        </w:rPr>
        <w:t>托管资金账户</w:t>
      </w:r>
      <w:r>
        <w:rPr>
          <w:rFonts w:ascii="宋体" w:hAnsi="宋体" w:hint="eastAsia"/>
          <w:sz w:val="24"/>
          <w:highlight w:val="white"/>
        </w:rPr>
        <w:t>中，基金托管人在收到资金当日出具确认文件。</w:t>
      </w:r>
    </w:p>
    <w:p w:rsidR="006C13DF" w14:paraId="1F8F1565" w14:textId="77777777">
      <w:pPr>
        <w:pStyle w:val="BodyTextIndent"/>
        <w:spacing w:after="0" w:line="360" w:lineRule="auto"/>
        <w:ind w:left="13" w:firstLine="480"/>
        <w:rPr>
          <w:rFonts w:ascii="宋体" w:hAnsi="宋体" w:cs="Arial" w:hint="eastAsia"/>
          <w:sz w:val="24"/>
          <w:szCs w:val="24"/>
        </w:rPr>
      </w:pPr>
      <w:r>
        <w:rPr>
          <w:rFonts w:ascii="宋体" w:hAnsi="宋体" w:cs="Arial" w:hint="eastAsia"/>
          <w:sz w:val="24"/>
          <w:szCs w:val="24"/>
          <w:highlight w:val="white"/>
        </w:rPr>
        <w:t>若基金募集期限届满，未能达到《基金合同》生效的条件，由基金管理人按规定办理退款事宜。</w:t>
      </w:r>
    </w:p>
    <w:p w:rsidR="006C13DF" w14:paraId="4F34869A"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（三）基金的银行账户的开立和管理</w:t>
      </w:r>
    </w:p>
    <w:p w:rsidR="006C13DF" w14:paraId="2D1CA3A7" w14:textId="77777777">
      <w:pPr>
        <w:spacing w:line="360" w:lineRule="auto"/>
        <w:ind w:firstLine="480"/>
        <w:rPr>
          <w:rFonts w:ascii="宋体" w:hAnsi="宋体" w:hint="eastAsia"/>
          <w:sz w:val="24"/>
        </w:rPr>
      </w:pPr>
      <w:r>
        <w:rPr>
          <w:rFonts w:ascii="宋体" w:hAnsi="宋体" w:hint="eastAsia"/>
          <w:sz w:val="24"/>
          <w:highlight w:val="white"/>
        </w:rPr>
        <w:t>基金托管人以基金托管人与基金联名等监管部门要求的名义，在其营业机构开设</w:t>
      </w:r>
      <w:r>
        <w:rPr>
          <w:rFonts w:ascii="宋体" w:hAnsi="宋体" w:cs="宋体"/>
          <w:color w:val="000000"/>
          <w:sz w:val="24"/>
          <w:highlight w:val="white"/>
        </w:rPr>
        <w:t>托管资金账户</w:t>
      </w:r>
      <w:r>
        <w:rPr>
          <w:rFonts w:ascii="宋体" w:hAnsi="宋体" w:hint="eastAsia"/>
          <w:sz w:val="24"/>
          <w:highlight w:val="white"/>
        </w:rPr>
        <w:t>，保管基金的现金资产。该账户的开设和管理由基金托管人承担。本基金的一切货币收支活动，均需通过基金托管人的</w:t>
      </w:r>
      <w:r>
        <w:rPr>
          <w:rFonts w:ascii="宋体" w:hAnsi="宋体" w:cs="宋体"/>
          <w:color w:val="000000"/>
          <w:sz w:val="24"/>
          <w:highlight w:val="white"/>
        </w:rPr>
        <w:t>托管资金账户</w:t>
      </w:r>
      <w:r>
        <w:rPr>
          <w:rFonts w:ascii="宋体" w:hAnsi="宋体" w:hint="eastAsia"/>
          <w:sz w:val="24"/>
          <w:highlight w:val="white"/>
        </w:rPr>
        <w:t>进行。</w:t>
      </w:r>
    </w:p>
    <w:p w:rsidR="006C13DF" w14:paraId="3EBF121D" w14:textId="77777777">
      <w:pPr>
        <w:spacing w:line="360" w:lineRule="auto"/>
        <w:ind w:firstLine="480"/>
        <w:rPr>
          <w:rFonts w:ascii="宋体" w:hAnsi="宋体" w:hint="eastAsia"/>
          <w:sz w:val="24"/>
        </w:rPr>
      </w:pPr>
      <w:r>
        <w:rPr>
          <w:rFonts w:ascii="宋体" w:hAnsi="宋体" w:cs="宋体"/>
          <w:color w:val="000000"/>
          <w:sz w:val="24"/>
          <w:highlight w:val="white"/>
        </w:rPr>
        <w:t>托管资金账户</w:t>
      </w:r>
      <w:r>
        <w:rPr>
          <w:rFonts w:ascii="宋体" w:hAnsi="宋体" w:hint="eastAsia"/>
          <w:sz w:val="24"/>
          <w:highlight w:val="white"/>
        </w:rPr>
        <w:t>的开立和使用，限于满足开展本基金业务的需要。基金托管人和基金管理人不得假借本基金的名义开立其他任何银行账户；亦不得使用基金的任何银行账户进行本基金业务以外的活动。</w:t>
      </w:r>
    </w:p>
    <w:p w:rsidR="006C13DF" w14:paraId="4326B136"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托管资金账户的管理应符合人民币银行结算账户管理、利率管理等相关监管法规要求。</w:t>
      </w:r>
    </w:p>
    <w:p w:rsidR="006C13DF" w14:paraId="3E6933D1"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（四）基金证券账户与证券交易资金账户的开设和管理</w:t>
      </w:r>
    </w:p>
    <w:p w:rsidR="006C13DF" w14:paraId="64F5B28A" w14:textId="3E276154">
      <w:pPr>
        <w:spacing w:line="360" w:lineRule="auto"/>
        <w:ind w:firstLine="480"/>
        <w:rPr>
          <w:rFonts w:ascii="宋体" w:hAnsi="宋体" w:hint="eastAsia"/>
          <w:sz w:val="24"/>
        </w:rPr>
      </w:pPr>
      <w:r>
        <w:rPr>
          <w:rFonts w:ascii="宋体" w:hAnsi="宋体" w:hint="eastAsia"/>
          <w:sz w:val="24"/>
          <w:highlight w:val="white"/>
        </w:rPr>
        <w:t>基金托管人以基金托管人和本基金联名的方式在中国证券登记结算有限</w:t>
      </w:r>
      <w:r w:rsidR="00443995">
        <w:rPr>
          <w:rFonts w:ascii="宋体" w:hAnsi="宋体" w:hint="eastAsia"/>
          <w:sz w:val="24"/>
          <w:highlight w:val="white"/>
        </w:rPr>
        <w:t>责任</w:t>
      </w:r>
      <w:r>
        <w:rPr>
          <w:rFonts w:ascii="宋体" w:hAnsi="宋体" w:hint="eastAsia"/>
          <w:sz w:val="24"/>
          <w:highlight w:val="white"/>
        </w:rPr>
        <w:t>公司开设证券账户。</w:t>
      </w:r>
    </w:p>
    <w:p w:rsidR="006C13DF" w14:paraId="40CF3B43" w14:textId="77777777">
      <w:pPr>
        <w:spacing w:line="360" w:lineRule="auto"/>
        <w:ind w:firstLine="480"/>
        <w:rPr>
          <w:rFonts w:ascii="宋体" w:hAnsi="宋体" w:hint="eastAsia"/>
          <w:sz w:val="24"/>
        </w:rPr>
      </w:pPr>
      <w:r>
        <w:rPr>
          <w:rFonts w:ascii="宋体" w:hAnsi="宋体" w:hint="eastAsia"/>
          <w:sz w:val="24"/>
          <w:highlight w:val="white"/>
        </w:rPr>
        <w:t>基金托管人</w:t>
      </w:r>
      <w:r>
        <w:rPr>
          <w:rFonts w:ascii="宋体" w:hAnsi="宋体"/>
          <w:sz w:val="24"/>
          <w:highlight w:val="white"/>
        </w:rPr>
        <w:t>以</w:t>
      </w:r>
      <w:r>
        <w:rPr>
          <w:rFonts w:ascii="宋体" w:hAnsi="宋体" w:hint="eastAsia"/>
          <w:sz w:val="24"/>
          <w:highlight w:val="white"/>
        </w:rPr>
        <w:t>基金托管人的名义在中国证券登记结算有限责任公司开立基金证券交易资金账户，用于证券清算。</w:t>
      </w:r>
    </w:p>
    <w:p w:rsidR="006C13DF" w14:paraId="69215F17" w14:textId="77777777">
      <w:pPr>
        <w:spacing w:line="360" w:lineRule="auto"/>
        <w:ind w:firstLine="480"/>
        <w:rPr>
          <w:rFonts w:ascii="宋体" w:hAnsi="宋体" w:hint="eastAsia"/>
          <w:sz w:val="24"/>
        </w:rPr>
      </w:pPr>
      <w:r>
        <w:rPr>
          <w:rFonts w:ascii="宋体" w:hAnsi="宋体" w:hint="eastAsia"/>
          <w:sz w:val="24"/>
          <w:highlight w:val="white"/>
        </w:rPr>
        <w:t>基金证券账户的开立和使用，限于满足开展本基金业务的需要。基金托管人和基金管理人不得出借和未经对方同意擅自转让基金的任何证券账户；亦不得使用基金的任何账户进行本基金业务以外的活动。</w:t>
      </w:r>
    </w:p>
    <w:p w:rsidR="006C13DF" w14:paraId="4049E8D2"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（五）债券托管账户的开立和管理</w:t>
      </w:r>
    </w:p>
    <w:p w:rsidR="006C13DF" w14:paraId="6E75969B" w14:textId="77777777">
      <w:pPr>
        <w:spacing w:line="360" w:lineRule="auto"/>
        <w:ind w:firstLine="480"/>
        <w:rPr>
          <w:rFonts w:ascii="宋体" w:hAnsi="宋体" w:hint="eastAsia"/>
          <w:sz w:val="24"/>
        </w:rPr>
      </w:pPr>
      <w:r>
        <w:rPr>
          <w:rFonts w:ascii="宋体" w:hAnsi="宋体" w:hint="eastAsia"/>
          <w:sz w:val="24"/>
          <w:highlight w:val="white"/>
        </w:rPr>
        <w:t>1、《基金合同》生效后，基金管理人负责以基金的名义申请并取得进入全国银行间同业拆借市场的交易资格，并代表基金进行交易；基金托管人负责以基金的名义在中央国债登记结算有限责任公司和银行间市场清算所股份有限公司开设银行间债券市场债券托管账户和资金结算专户，并由基金托管人负责基金的债券的后台匹配及资金的清算。</w:t>
      </w:r>
    </w:p>
    <w:p w:rsidR="006C13DF" w14:paraId="301F9BBD" w14:textId="77777777">
      <w:pPr>
        <w:spacing w:line="360" w:lineRule="auto"/>
        <w:ind w:firstLine="480"/>
        <w:rPr>
          <w:rFonts w:ascii="宋体" w:hAnsi="宋体" w:hint="eastAsia"/>
          <w:b/>
          <w:bCs/>
          <w:sz w:val="24"/>
        </w:rPr>
      </w:pPr>
      <w:r>
        <w:rPr>
          <w:rFonts w:ascii="宋体" w:hAnsi="宋体" w:hint="eastAsia"/>
          <w:sz w:val="24"/>
          <w:highlight w:val="white"/>
        </w:rPr>
        <w:t>2、基金管理人负责为基金对外签订全国银行间债券市场回购主协议。</w:t>
      </w:r>
    </w:p>
    <w:p w:rsidR="006C13DF" w14:paraId="47A67CFF"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（六）存款投资账户的开立和管理</w:t>
      </w:r>
    </w:p>
    <w:p w:rsidR="006C13DF" w14:paraId="59162C96"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财产开展定期存款等银行存款投资前，基金管理人应为基金开立存款投资账户，该账户仅限向托管账户划拨存款本金及利息资金。开户时基金管理人须向存款银行预留基金托管人印鉴，如基金托管人需变更预留印鉴，基金管理人应通知并配合存款银行办理变更手续。</w:t>
      </w:r>
    </w:p>
    <w:p w:rsidR="006C13DF" w14:paraId="42B94A30"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管理人应按照双方约定，事先向基金托管人提供办理开户、存入、支取、变更等存款业务所需的经办人员身份证明信息等材料。如需在存款银行开通网上银行、电话银行、手机银行等功能，需经基金管理人、基金托管人双方确认同意。</w:t>
      </w:r>
    </w:p>
    <w:p w:rsidR="006C13DF" w14:paraId="595FE927"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如需停止使用银行存款账户，基金管理人应联系基金托管人及时办理销户手续。</w:t>
      </w:r>
    </w:p>
    <w:p w:rsidR="006C13DF" w14:paraId="4F807594" w14:textId="77777777">
      <w:pPr>
        <w:spacing w:line="360" w:lineRule="auto"/>
        <w:ind w:firstLine="480"/>
        <w:rPr>
          <w:rFonts w:ascii="宋体" w:hAnsi="宋体" w:hint="eastAsia"/>
          <w:sz w:val="24"/>
        </w:rPr>
      </w:pPr>
      <w:r>
        <w:rPr>
          <w:rFonts w:ascii="宋体" w:hAnsi="宋体" w:cs="宋体" w:hint="eastAsia"/>
          <w:sz w:val="24"/>
          <w:highlight w:val="white"/>
        </w:rPr>
        <w:t>（</w:t>
      </w:r>
      <w:r>
        <w:rPr>
          <w:rFonts w:ascii="宋体" w:hAnsi="宋体" w:cs="宋体"/>
          <w:sz w:val="24"/>
          <w:highlight w:val="white"/>
        </w:rPr>
        <w:t>七</w:t>
      </w:r>
      <w:r>
        <w:rPr>
          <w:rFonts w:ascii="宋体" w:hAnsi="宋体" w:hint="eastAsia"/>
          <w:sz w:val="24"/>
          <w:highlight w:val="white"/>
        </w:rPr>
        <w:t>）其他账户的开设和管理</w:t>
      </w:r>
    </w:p>
    <w:p w:rsidR="006C13DF" w14:paraId="0E2B84A3" w14:textId="77777777">
      <w:pPr>
        <w:spacing w:line="360" w:lineRule="auto"/>
        <w:ind w:firstLine="480"/>
        <w:rPr>
          <w:rFonts w:ascii="宋体" w:hAnsi="宋体" w:hint="eastAsia"/>
          <w:sz w:val="24"/>
        </w:rPr>
      </w:pPr>
      <w:r>
        <w:rPr>
          <w:rFonts w:ascii="宋体" w:hAnsi="宋体" w:hint="eastAsia"/>
          <w:sz w:val="24"/>
          <w:highlight w:val="white"/>
        </w:rPr>
        <w:t>在本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rsidR="006C13DF" w14:paraId="368C1AD6"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hint="eastAsia"/>
          <w:b w:val="0"/>
          <w:bCs w:val="0"/>
          <w:sz w:val="24"/>
          <w:szCs w:val="24"/>
          <w:highlight w:val="white"/>
        </w:rPr>
        <w:t>（</w:t>
      </w:r>
      <w:r>
        <w:rPr>
          <w:rFonts w:ascii="宋体" w:eastAsia="宋体" w:hAnsi="宋体"/>
          <w:b w:val="0"/>
          <w:bCs w:val="0"/>
          <w:sz w:val="24"/>
          <w:szCs w:val="24"/>
          <w:highlight w:val="white"/>
        </w:rPr>
        <w:t>八</w:t>
      </w:r>
      <w:r>
        <w:rPr>
          <w:rFonts w:ascii="宋体" w:eastAsia="宋体" w:hAnsi="宋体" w:hint="eastAsia"/>
          <w:b w:val="0"/>
          <w:bCs w:val="0"/>
          <w:sz w:val="24"/>
          <w:szCs w:val="24"/>
          <w:highlight w:val="white"/>
        </w:rPr>
        <w:t>）</w:t>
      </w:r>
      <w:r>
        <w:rPr>
          <w:rFonts w:ascii="宋体" w:eastAsia="宋体" w:hAnsi="宋体" w:cs="宋体" w:hint="eastAsia"/>
          <w:b w:val="0"/>
          <w:sz w:val="24"/>
          <w:szCs w:val="24"/>
          <w:highlight w:val="white"/>
        </w:rPr>
        <w:t>存款证实书等有价凭证的保管</w:t>
      </w:r>
    </w:p>
    <w:p w:rsidR="006C13DF" w14:paraId="37EE515E"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管理人应将基金财产投资的有关存款证实书交由基金托管人保管。属于基金托管人实际有效控制下的存款证实书在基金托管人保管期间的毁损、灭失，由此产生的责任应由基金托管人承担。基金托管人对基金托管人以外机构实际有效控制或保管的存款证实书不承担保管责任。</w:t>
      </w:r>
    </w:p>
    <w:p w:rsidR="006C13DF" w14:paraId="4CB463E1"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基金投资银行存款的，由存款银行向基金管理人开具存款证实书，基金管理人与基金托管人应遵守以下特别约定：</w:t>
      </w:r>
    </w:p>
    <w:p w:rsidR="006C13DF" w14:paraId="3F689BAF"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1、基金管理人应根据基金托管人的要求，提供办理存款证实书出入库手续所需的经办人员身份信息等相关材料。如基金托管人对相关材料有异议，基金托管人有权拒绝办理并不承担相应责任，基金管理人应采取措施核实并更正信息。</w:t>
      </w:r>
    </w:p>
    <w:p w:rsidR="006C13DF" w14:paraId="2B296676"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2、基金管理人应通知存款银行及时与基金托管人办理存款证实书入库保管手续。如存款证实书要素与存款协议不符，在基金管理人与存款银行核实更正前，基金托管人有权拒绝办理入库手续。因发生自然灾害等不可抗力情况导致入库延误的，基金管理人应及时向基金托管人书面说明，并采取措施积极推动存款证实书入库，在完成入库前，由存款证实书持有方履行保管责任。</w:t>
      </w:r>
    </w:p>
    <w:p w:rsidR="006C13DF" w14:paraId="6E4C8732"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3、存款到期前，基金管理人或存款银行应及时与基金托管人办理存款证实书出库手续。如需提前支取，基金管理人应出具提前支取说明函。如需部分提前支取，应办理存款证实书置换，置换后新存款证实书除金额、编号、</w:t>
      </w:r>
      <w:r>
        <w:rPr>
          <w:rFonts w:ascii="宋体" w:hAnsi="宋体" w:cs="宋体" w:hint="eastAsia"/>
          <w:color w:val="000000"/>
          <w:sz w:val="24"/>
          <w:highlight w:val="white"/>
          <w:lang w:bidi="ar"/>
        </w:rPr>
        <w:t>存款证实书</w:t>
      </w:r>
      <w:r>
        <w:rPr>
          <w:rFonts w:ascii="宋体" w:hAnsi="宋体" w:cs="宋体" w:hint="eastAsia"/>
          <w:sz w:val="24"/>
          <w:highlight w:val="white"/>
          <w:lang w:bidi="ar"/>
        </w:rPr>
        <w:t>开具日期外，其他核心要素与原存款证实书一致。</w:t>
      </w:r>
    </w:p>
    <w:p w:rsidR="006C13DF" w14:paraId="08EB6A33"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4、存款到期后，如因自然灾害等不可抗力导致无法正常办理存款证实书出库手续的，基金管理人应与存款银行就上述不可抗力作出相应应急安排，并明确存款银行应将支取后的存款本息全部划转回基金</w:t>
      </w:r>
      <w:r>
        <w:rPr>
          <w:rFonts w:ascii="宋体" w:hAnsi="宋体" w:cs="宋体"/>
          <w:color w:val="000000"/>
          <w:sz w:val="24"/>
          <w:highlight w:val="white"/>
        </w:rPr>
        <w:t>托管资金账户</w:t>
      </w:r>
      <w:r>
        <w:rPr>
          <w:rFonts w:ascii="宋体" w:hAnsi="宋体" w:cs="宋体" w:hint="eastAsia"/>
          <w:sz w:val="24"/>
          <w:highlight w:val="white"/>
          <w:lang w:bidi="ar"/>
        </w:rPr>
        <w:t>。</w:t>
      </w:r>
    </w:p>
    <w:p w:rsidR="006C13DF" w14:paraId="4A55E2B2"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5、如存款证实书因非基金托管人原因出现毁损、灭失，或晚于存款到期日到达存款行等情形，导致存款无法被按时支取的，基金管理人应及时采取补救措施，基金托管人不承担相关责任，但应给予必要配合。存款证实书仅作为存款证实，不得设立担保或用于任何可能导致存款资金损失的其他用途。</w:t>
      </w:r>
    </w:p>
    <w:p w:rsidR="006C13DF" w14:paraId="5BE69B08"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w:t>
      </w:r>
      <w:r>
        <w:rPr>
          <w:rFonts w:ascii="宋体" w:eastAsia="宋体" w:hAnsi="宋体"/>
          <w:b w:val="0"/>
          <w:bCs w:val="0"/>
          <w:sz w:val="24"/>
          <w:szCs w:val="24"/>
          <w:highlight w:val="white"/>
        </w:rPr>
        <w:t>九</w:t>
      </w:r>
      <w:r>
        <w:rPr>
          <w:rFonts w:ascii="宋体" w:eastAsia="宋体" w:hAnsi="宋体" w:hint="eastAsia"/>
          <w:b w:val="0"/>
          <w:bCs w:val="0"/>
          <w:sz w:val="24"/>
          <w:szCs w:val="24"/>
          <w:highlight w:val="white"/>
        </w:rPr>
        <w:t>）与基金财产有关的重大合同的保管</w:t>
      </w:r>
    </w:p>
    <w:p w:rsidR="006C13DF" w14:paraId="38D66FFA" w14:textId="77777777">
      <w:pPr>
        <w:spacing w:line="360" w:lineRule="auto"/>
        <w:ind w:firstLine="480"/>
        <w:rPr>
          <w:rFonts w:ascii="宋体" w:hAnsi="宋体" w:hint="eastAsia"/>
          <w:sz w:val="24"/>
          <w:szCs w:val="21"/>
        </w:rPr>
      </w:pPr>
      <w:r>
        <w:rPr>
          <w:rFonts w:ascii="宋体" w:hAnsi="宋体" w:hint="eastAsia"/>
          <w:sz w:val="24"/>
          <w:highlight w:val="white"/>
        </w:rPr>
        <w:t>由基金管理人代表基金签署的与基金有关的重大合同的原件分别应由基金托管人、基金管理人保管。除本协议另有</w:t>
      </w:r>
      <w:r>
        <w:rPr>
          <w:rFonts w:ascii="宋体" w:hAnsi="宋体"/>
          <w:sz w:val="24"/>
          <w:highlight w:val="white"/>
        </w:rPr>
        <w:t>约</w:t>
      </w:r>
      <w:r>
        <w:rPr>
          <w:rFonts w:ascii="宋体" w:hAnsi="宋体" w:hint="eastAsia"/>
          <w:sz w:val="24"/>
          <w:highlight w:val="white"/>
        </w:rPr>
        <w:t>定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保管期限不少于法律法规规定的最低年限。</w:t>
      </w:r>
    </w:p>
    <w:p w:rsidR="006C13DF" w14:paraId="15929D25"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9" w:name="_Toc96101875"/>
      <w:r>
        <w:rPr>
          <w:rFonts w:ascii="宋体" w:hAnsi="宋体" w:cs="Arial" w:hint="eastAsia"/>
          <w:sz w:val="30"/>
          <w:highlight w:val="white"/>
        </w:rPr>
        <w:t>指令的发送、确认和执行</w:t>
      </w:r>
      <w:bookmarkEnd w:id="9"/>
    </w:p>
    <w:p w:rsidR="006C13DF" w14:paraId="34A34752" w14:textId="77777777">
      <w:pPr>
        <w:pStyle w:val="21"/>
        <w:keepNext w:val="0"/>
        <w:keepLines w:val="0"/>
        <w:spacing w:before="0" w:after="0" w:line="360" w:lineRule="auto"/>
        <w:ind w:firstLine="480"/>
        <w:rPr>
          <w:rFonts w:ascii="宋体" w:eastAsia="宋体" w:hAnsi="宋体" w:cs="宋体" w:hint="eastAsia"/>
          <w:b w:val="0"/>
          <w:sz w:val="24"/>
          <w:szCs w:val="24"/>
        </w:rPr>
      </w:pPr>
      <w:bookmarkStart w:id="10" w:name="_Toc48703899"/>
      <w:r>
        <w:rPr>
          <w:rFonts w:ascii="宋体" w:eastAsia="宋体" w:hAnsi="宋体" w:cs="宋体" w:hint="eastAsia"/>
          <w:b w:val="0"/>
          <w:sz w:val="24"/>
          <w:szCs w:val="24"/>
          <w:highlight w:val="white"/>
        </w:rPr>
        <w:t>（一）指令的形式和授权</w:t>
      </w:r>
    </w:p>
    <w:p w:rsidR="006C13DF" w14:paraId="76F3D513"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指令是基金管理人在运用基金资产时，向基金托管人发出的投资资金划拨及其他款项支付的指示或要求。基金管理人向基金托管人发送的指令形式包括电子指令、授权指令和书面指令。</w:t>
      </w:r>
    </w:p>
    <w:p w:rsidR="006C13DF" w14:paraId="03423444"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1、电子指令</w:t>
      </w:r>
    </w:p>
    <w:p w:rsidR="006C13DF" w14:paraId="1DDBB9A5"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电子指令是指基金管理人通过电子报文系统、网上托管服务平台（下称“网银”）等电子系统发送的指令。</w:t>
      </w:r>
    </w:p>
    <w:p w:rsidR="006C13DF" w14:paraId="116DB77A"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基金管理人通过网银向基金托管人发送电子指令的，基金管理人应先与基金托管人签署网上托管服务平台客户服务协议。</w:t>
      </w:r>
    </w:p>
    <w:p w:rsidR="006C13DF" w14:paraId="39248735"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2、授权指令</w:t>
      </w:r>
    </w:p>
    <w:p w:rsidR="006C13DF" w14:paraId="4963C575"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授权指令是指基金托管人根据基金管理人的授权，基于双方协商一致所设定的业务规则、登记结算机构数据或监管部门认可的公告等公开信息形成的指令。具体适用条件、发送、确认和执行等相关要求均由双方根据业务需要另行协商确定。</w:t>
      </w:r>
    </w:p>
    <w:p w:rsidR="006C13DF" w14:paraId="139B051B"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基金管理人拟采用授权指令的，应提前向基金托管人提供对应类别授权指令的书面授权，</w:t>
      </w:r>
      <w:r>
        <w:rPr>
          <w:rFonts w:ascii="宋体" w:eastAsia="宋体" w:hAnsi="宋体" w:cs="宋体" w:hint="eastAsia"/>
          <w:b w:val="0"/>
          <w:sz w:val="24"/>
          <w:szCs w:val="24"/>
          <w:highlight w:val="white"/>
          <w:lang w:val="zh-CN"/>
        </w:rPr>
        <w:t>载明指令内容和执行程序</w:t>
      </w:r>
      <w:r>
        <w:rPr>
          <w:rFonts w:ascii="宋体" w:eastAsia="宋体" w:hAnsi="宋体" w:cs="宋体" w:hint="eastAsia"/>
          <w:b w:val="0"/>
          <w:sz w:val="24"/>
          <w:szCs w:val="24"/>
          <w:highlight w:val="white"/>
        </w:rPr>
        <w:t>。</w:t>
      </w:r>
    </w:p>
    <w:p w:rsidR="006C13DF" w14:paraId="3D1F89FE"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3、书面指令</w:t>
      </w:r>
    </w:p>
    <w:p w:rsidR="006C13DF" w14:paraId="7DFD9D0D"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书面指令是指基金管理人出具的纸质指令。基金管理人应通过传真或者邮件等双方约定的方式发送书面指令的扫描件，并确保与指令原件内容一致。因管理人原因导致指令原件与扫描件不一致的，由基金管理人承担全部责任（指令原件由基金管理人保管）。书面指令应作为应急方式，在电子指令、授权指令无法正常送达或形成时，基金管理人应向基金托管人发送书面指令。</w:t>
      </w:r>
    </w:p>
    <w:p w:rsidR="006C13DF" w14:paraId="057EFC61"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基金管理人应事先向基金托管人提供书面指令的授权通知，列明预留印鉴样本、有权向基金托管人发送指令的被授权人名单及权限（包括但不限于审批金额、审批事项种类），并载明生效时间。基金托管人应在收到授权通知后向基金管理人邮件确认。授权于授权通知载明的生效时间生效。若授权通知载明的生效时间早于基金托管人向基金管理人邮件确认的时间，则授权于基金托管人确认时生效（双方另有约定的，从其约定）。</w:t>
      </w:r>
    </w:p>
    <w:p w:rsidR="006C13DF" w14:paraId="73A4C411"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基金管理人变更授权通知，参照上述流程办理。</w:t>
      </w:r>
    </w:p>
    <w:p w:rsidR="006C13DF" w14:paraId="1302AE2C"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基金管理人和基金托管人对授权通知负有保密义务，其内容不得向授权人及相关操作人员以外的任何人泄露，但法律法规规定或有权机关另有要求的除外。</w:t>
      </w:r>
    </w:p>
    <w:p w:rsidR="006C13DF" w14:paraId="68E09A56"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（二）电子、书面指令的内容</w:t>
      </w:r>
    </w:p>
    <w:p w:rsidR="006C13DF" w14:paraId="0B8DB29B"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基金管理人发送给基金托管人的电子、书面指令须明确包含以下要素：用款事由、支付时间、金额、账户信息、资金用途等（以双方事先商定的为准）。基金管理人应同时向基金托管人提供投资标的相关信息、证明用款事项的相关证明材料（包括但不限于投资合同、发票等，以下简称“证明材料”），并确保其投资交易与结算行为真实，且符合监管要求及本协议约定。基金管理人未能随指令提供证明材料，或基金托管人认为证明材料不足，进入异议处理程序。</w:t>
      </w:r>
    </w:p>
    <w:p w:rsidR="006C13DF" w14:paraId="5609A439"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（三）电子指令与书面指令的发送、确认和执行</w:t>
      </w:r>
    </w:p>
    <w:p w:rsidR="006C13DF" w14:paraId="4AEDF639"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1、指令的发送</w:t>
      </w:r>
    </w:p>
    <w:p w:rsidR="006C13DF" w14:paraId="260BC88B" w14:textId="77777777">
      <w:pPr>
        <w:spacing w:after="120"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管理人应按照《基金法》等法律法规的规定和《基金合同》约定，在其合法的经营权限和交易权限内发送指令。对于指令发送人员无权或超越权限发送的指令，基金托管人有权拒绝执行，并及时通知基金管理人改正。对于被授权人发出的指令，基金管理人不得否认其效力。</w:t>
      </w:r>
    </w:p>
    <w:p w:rsidR="006C13DF" w14:paraId="2D193C30"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2、指令的审核确认</w:t>
      </w:r>
    </w:p>
    <w:p w:rsidR="006C13DF" w14:paraId="3C26C00D" w14:textId="77777777">
      <w:pPr>
        <w:spacing w:after="120"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基金管理人在向托管人发送电子指令、书面指令后，须通过双方认可的方式向基金托管人进行确认。因基金管理人未能及时与基金托管人进行指令确认，致使指令无法及时处理完成的，基金托管人不承担责任。</w:t>
      </w:r>
    </w:p>
    <w:p w:rsidR="006C13DF" w14:paraId="35A2788F" w14:textId="77777777">
      <w:pPr>
        <w:spacing w:after="120"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电子指令自成功进入基金托管人系统并经双方确认时视为送达。一旦成功进入基金托管人系统，均视为由基金管理人被授权人发送的指令，基金托管人对电子指令仅开展要素审核。</w:t>
      </w:r>
    </w:p>
    <w:p w:rsidR="006C13DF" w14:paraId="34F7C484" w14:textId="77777777">
      <w:pPr>
        <w:spacing w:after="120"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对书面指令，基金托管人应先根据授权通知，核验指令签发人信息及印鉴有效性，授权核验不通过，基金托管人有权拒绝执行；核验通过后，再进行要素审核。</w:t>
      </w:r>
    </w:p>
    <w:p w:rsidR="006C13DF" w14:paraId="203AC922"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托管人对电子指令、书面指令的要素审核，仅指对指令要素的完整性以及与“证明材料”的表面一致性进行验证。要素审核无误，方可确认指令有效；要素审核不通过，或基金托管人在履行监督职责时发现指令违反《基金法》等法规规定或《基金合同》、本协议约定的，进入异议处理程序。</w:t>
      </w:r>
    </w:p>
    <w:p w:rsidR="006C13DF" w14:paraId="0A42D447"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3、指令的执行</w:t>
      </w:r>
    </w:p>
    <w:p w:rsidR="006C13DF" w14:paraId="40D660BD"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基金托管人审核确认指令有效后，应依照本协议约定及时执行。</w:t>
      </w:r>
    </w:p>
    <w:p w:rsidR="006C13DF" w14:paraId="7B4A0E4B"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管理人在发送指令时，应为基金托管人留出执行指令所必需的时间。发送指令日完成划款的指令，基金管理人应给基金托管人预留出距划款截止时点至少2小时的指令执行时间。因基金管理人原因造成的指令传输不及时、未能留出足够划款所需时间，致使指令无法及时处理所造成的损失由基金管理人承担。</w:t>
      </w:r>
    </w:p>
    <w:p w:rsidR="006C13DF" w14:paraId="63135911"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管理人应确保基金托管人在执行基金管理人发送的划款指令时，托管资金专户内有足够的资金。否则，基金托管人有权拒绝基金管理人发送的划款指令，但应立即通知基金管理人，因不执行该指令而造成损失的，基金托管人不承担责任。</w:t>
      </w:r>
    </w:p>
    <w:p w:rsidR="006C13DF" w14:paraId="784CCAE6" w14:textId="77777777">
      <w:pPr>
        <w:spacing w:line="360" w:lineRule="auto"/>
        <w:ind w:firstLine="480"/>
        <w:rPr>
          <w:rFonts w:ascii="宋体" w:hAnsi="宋体" w:cs="宋体" w:hint="eastAsia"/>
          <w:sz w:val="24"/>
          <w:shd w:val="clear" w:color="FFFFFF" w:fill="FFFFFF"/>
          <w:lang w:bidi="ar"/>
        </w:rPr>
      </w:pPr>
      <w:r>
        <w:rPr>
          <w:rFonts w:ascii="宋体" w:hAnsi="宋体" w:cs="宋体" w:hint="eastAsia"/>
          <w:sz w:val="24"/>
          <w:highlight w:val="white"/>
          <w:lang w:bidi="ar"/>
        </w:rPr>
        <w:t>基金管理人确认，基金托管人在指令执行完毕后无需通过电话形式向基金管理人答复确认。</w:t>
      </w:r>
    </w:p>
    <w:p w:rsidR="006C13DF" w14:paraId="3510BEB5" w14:textId="77777777">
      <w:pPr>
        <w:spacing w:line="360" w:lineRule="auto"/>
        <w:ind w:firstLine="480"/>
        <w:rPr>
          <w:rFonts w:ascii="宋体" w:hAnsi="宋体" w:cs="宋体" w:hint="eastAsia"/>
          <w:sz w:val="24"/>
        </w:rPr>
      </w:pPr>
      <w:r>
        <w:rPr>
          <w:rFonts w:ascii="宋体" w:hAnsi="宋体" w:cs="宋体" w:hint="eastAsia"/>
          <w:sz w:val="24"/>
          <w:highlight w:val="white"/>
          <w:lang w:bidi="ar"/>
        </w:rPr>
        <w:t>4、指令的撤销与变更</w:t>
      </w:r>
    </w:p>
    <w:p w:rsidR="006C13DF" w14:paraId="5E7107FC" w14:textId="77777777">
      <w:pPr>
        <w:spacing w:line="360" w:lineRule="auto"/>
        <w:ind w:firstLine="480"/>
      </w:pPr>
      <w:r>
        <w:rPr>
          <w:rFonts w:ascii="宋体" w:hAnsi="宋体" w:cs="宋体" w:hint="eastAsia"/>
          <w:color w:val="000000"/>
          <w:sz w:val="24"/>
          <w:highlight w:val="white"/>
        </w:rPr>
        <w:t>对于基金托管人尚未执行的电子指令与书面指令，基金管理人可以撤销，但应提前与基金托管人沟通。双方协商一致后基金管理人通过传真或者邮件等双方约定的方式发送撤销指令的书面通知（下称“指令撤销通知”）。指令撤销通知须及时发出，载明指令撤销内容，并加盖授权通知中的预留印鉴。基金管理人未在双方协商的时限内发送指令撤销通知的，由此造成的直接后果及责任由基金管理人承担。</w:t>
      </w:r>
    </w:p>
    <w:p w:rsidR="006C13DF" w14:paraId="314C2D68" w14:textId="77777777">
      <w:pPr>
        <w:spacing w:line="360" w:lineRule="auto"/>
        <w:ind w:firstLine="480"/>
      </w:pPr>
      <w:r>
        <w:rPr>
          <w:rFonts w:ascii="宋体" w:hAnsi="宋体" w:cs="宋体"/>
          <w:color w:val="000000"/>
          <w:sz w:val="24"/>
          <w:highlight w:val="white"/>
        </w:rPr>
        <w:t>基金管理人应在发送指令撤销通知后电话联系基金托管人进行确认，该指令撤销通知经基金托管人确认后方可生效。如指令撤销通知载明的撤销内容与协商结果不一致，或印鉴不符合前述约定的，托管人不予确认，由此导致的相关后果及责任，基金托管人不予承担。</w:t>
      </w:r>
    </w:p>
    <w:p w:rsidR="006C13DF" w14:paraId="5276C6F9" w14:textId="77777777">
      <w:pPr>
        <w:spacing w:line="360" w:lineRule="auto"/>
        <w:ind w:firstLine="480"/>
      </w:pPr>
      <w:r>
        <w:rPr>
          <w:rFonts w:ascii="宋体" w:hAnsi="宋体" w:cs="宋体"/>
          <w:color w:val="000000"/>
          <w:sz w:val="24"/>
          <w:highlight w:val="white"/>
        </w:rPr>
        <w:t>指令变更参照上述流程办理。</w:t>
      </w:r>
    </w:p>
    <w:p w:rsidR="006C13DF" w14:paraId="31BC1048"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（四）电子指令与书面指令的异议处理程序</w:t>
      </w:r>
    </w:p>
    <w:p w:rsidR="006C13DF" w14:paraId="16C95B1F"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基金托管人对书面指令与电子指令存在疑义的，应及时向基金管理人提出。基金管理人须在双方协商的有效时间内答复，如未在有效时间内答复，基金托管人有权拒绝执行该指令，所造成的损失不由基金托管人承担。对于因异议处理导致的指令执行延误，基金托管人亦不承担责任。</w:t>
      </w:r>
    </w:p>
    <w:p w:rsidR="006C13DF" w14:paraId="45B97A3F" w14:textId="77777777">
      <w:pPr>
        <w:pStyle w:val="21"/>
        <w:keepNext w:val="0"/>
        <w:keepLines w:val="0"/>
        <w:spacing w:before="0" w:after="0" w:line="360" w:lineRule="auto"/>
        <w:ind w:firstLine="480"/>
        <w:rPr>
          <w:rFonts w:ascii="宋体" w:eastAsia="宋体" w:hAnsi="宋体" w:cs="宋体" w:hint="eastAsia"/>
          <w:b w:val="0"/>
          <w:sz w:val="24"/>
          <w:szCs w:val="24"/>
        </w:rPr>
      </w:pPr>
      <w:r>
        <w:rPr>
          <w:rFonts w:ascii="宋体" w:eastAsia="宋体" w:hAnsi="宋体" w:cs="宋体" w:hint="eastAsia"/>
          <w:b w:val="0"/>
          <w:sz w:val="24"/>
          <w:szCs w:val="24"/>
          <w:highlight w:val="white"/>
        </w:rPr>
        <w:t>（五）基金托管人未按照基金管理人指令执行的责任</w:t>
      </w:r>
    </w:p>
    <w:p w:rsidR="006C13DF" w14:paraId="77938F63" w14:textId="77777777">
      <w:pPr>
        <w:widowControl/>
        <w:spacing w:line="360" w:lineRule="auto"/>
        <w:ind w:firstLine="480"/>
        <w:rPr>
          <w:rFonts w:ascii="宋体" w:hAnsi="宋体" w:cs="宋体" w:hint="eastAsia"/>
          <w:strike/>
          <w:sz w:val="24"/>
          <w:shd w:val="clear" w:color="FFFFFF" w:fill="FFFFFF"/>
        </w:rPr>
      </w:pPr>
      <w:r>
        <w:rPr>
          <w:rFonts w:ascii="宋体" w:hAnsi="宋体" w:cs="宋体" w:hint="eastAsia"/>
          <w:sz w:val="24"/>
          <w:highlight w:val="white"/>
          <w:lang w:bidi="ar"/>
        </w:rPr>
        <w:t>基金托管人由于自身原因未按照或者未及时按照基金管理人发送的有效指令执行，给基金份额持有人造成损失的，应负赔偿责任。</w:t>
      </w:r>
      <w:bookmarkEnd w:id="10"/>
    </w:p>
    <w:p w:rsidR="006C13DF" w14:paraId="72F0B442"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1" w:name="_Toc96101876"/>
      <w:r>
        <w:rPr>
          <w:rFonts w:ascii="宋体" w:hAnsi="宋体" w:cs="Arial" w:hint="eastAsia"/>
          <w:sz w:val="30"/>
          <w:highlight w:val="white"/>
        </w:rPr>
        <w:t>交易及清算交收安排</w:t>
      </w:r>
      <w:bookmarkEnd w:id="11"/>
    </w:p>
    <w:p w:rsidR="006C13DF" w14:paraId="17404C61" w14:textId="77777777">
      <w:pPr>
        <w:pStyle w:val="21"/>
        <w:keepNext w:val="0"/>
        <w:keepLines w:val="0"/>
        <w:spacing w:before="0" w:after="0" w:line="360" w:lineRule="auto"/>
        <w:ind w:firstLine="482"/>
        <w:rPr>
          <w:rFonts w:ascii="宋体" w:eastAsia="宋体" w:hAnsi="宋体" w:hint="eastAsia"/>
          <w:b w:val="0"/>
          <w:bCs w:val="0"/>
          <w:sz w:val="24"/>
          <w:szCs w:val="24"/>
        </w:rPr>
      </w:pPr>
      <w:r>
        <w:rPr>
          <w:rFonts w:ascii="宋体" w:eastAsia="宋体" w:hAnsi="宋体" w:hint="eastAsia"/>
          <w:b w:val="0"/>
          <w:bCs w:val="0"/>
          <w:sz w:val="24"/>
          <w:szCs w:val="24"/>
          <w:highlight w:val="white"/>
        </w:rPr>
        <w:t>（一）选择代理证券买卖的证券经营机构的标准和程序</w:t>
      </w:r>
    </w:p>
    <w:p w:rsidR="006C13DF" w14:paraId="18BED738" w14:textId="77777777">
      <w:pPr>
        <w:spacing w:line="360" w:lineRule="auto"/>
        <w:ind w:firstLine="482"/>
        <w:rPr>
          <w:rFonts w:ascii="宋体" w:hAnsi="宋体" w:hint="eastAsia"/>
          <w:sz w:val="24"/>
        </w:rPr>
      </w:pPr>
      <w:r>
        <w:rPr>
          <w:rFonts w:ascii="宋体" w:hAnsi="宋体" w:hint="eastAsia"/>
          <w:sz w:val="24"/>
          <w:highlight w:val="white"/>
        </w:rPr>
        <w:t>基金管理人应设计选择代理证券买卖的证券经营机构的标准和程序。</w:t>
      </w:r>
    </w:p>
    <w:p w:rsidR="006C13DF" w14:paraId="6C5338BD" w14:textId="77777777">
      <w:pPr>
        <w:spacing w:line="360" w:lineRule="auto"/>
        <w:ind w:firstLine="482"/>
        <w:rPr>
          <w:rFonts w:ascii="宋体" w:hAnsi="宋体" w:hint="eastAsia"/>
          <w:sz w:val="24"/>
        </w:rPr>
      </w:pPr>
      <w:r>
        <w:rPr>
          <w:rFonts w:ascii="宋体" w:hAnsi="宋体" w:hint="eastAsia"/>
          <w:sz w:val="24"/>
          <w:highlight w:val="white"/>
        </w:rPr>
        <w:t>基金管理人负责对有关证券经营机构进行考察后确定代理本基金证券买卖证券经营机构，并承担相应责任。基金管理人和被选择的证券经营机构签订</w:t>
      </w:r>
      <w:r>
        <w:rPr>
          <w:rFonts w:ascii="宋体" w:hAnsi="宋体" w:cs="宋体" w:hint="eastAsia"/>
          <w:sz w:val="24"/>
          <w:highlight w:val="white"/>
          <w:lang w:bidi="ar"/>
        </w:rPr>
        <w:t>交易单元</w:t>
      </w:r>
      <w:r>
        <w:rPr>
          <w:rFonts w:ascii="宋体" w:hAnsi="宋体" w:hint="eastAsia"/>
          <w:sz w:val="24"/>
          <w:highlight w:val="white"/>
        </w:rPr>
        <w:t>使用协议，由基金管理人通知基金托管人，并在法定信息披露公告中披露有关内容。</w:t>
      </w:r>
    </w:p>
    <w:p w:rsidR="006C13DF" w14:paraId="4FB489BE" w14:textId="77777777">
      <w:pPr>
        <w:spacing w:line="360" w:lineRule="auto"/>
        <w:ind w:firstLine="482"/>
        <w:rPr>
          <w:rFonts w:ascii="宋体" w:hAnsi="宋体" w:hint="eastAsia"/>
          <w:sz w:val="24"/>
        </w:rPr>
      </w:pPr>
      <w:r>
        <w:rPr>
          <w:rFonts w:ascii="宋体" w:hAnsi="宋体" w:hint="eastAsia"/>
          <w:sz w:val="24"/>
          <w:highlight w:val="white"/>
        </w:rPr>
        <w:t>基金管理人应及时将基金</w:t>
      </w:r>
      <w:r>
        <w:rPr>
          <w:rFonts w:ascii="宋体" w:hAnsi="宋体" w:cs="宋体" w:hint="eastAsia"/>
          <w:sz w:val="24"/>
          <w:highlight w:val="white"/>
          <w:lang w:bidi="ar"/>
        </w:rPr>
        <w:t>交易单元</w:t>
      </w:r>
      <w:r>
        <w:rPr>
          <w:rFonts w:ascii="宋体" w:hAnsi="宋体" w:hint="eastAsia"/>
          <w:sz w:val="24"/>
          <w:highlight w:val="white"/>
        </w:rPr>
        <w:t>号、佣金费率等基本信息以及变更情况及时以书面形式通知基金托管人。</w:t>
      </w:r>
    </w:p>
    <w:p w:rsidR="006C13DF" w14:paraId="5C152B31" w14:textId="77777777">
      <w:pPr>
        <w:pStyle w:val="21"/>
        <w:keepNext w:val="0"/>
        <w:keepLines w:val="0"/>
        <w:spacing w:before="0" w:after="0" w:line="360" w:lineRule="auto"/>
        <w:ind w:firstLine="482"/>
        <w:rPr>
          <w:rFonts w:ascii="宋体" w:eastAsia="宋体" w:hAnsi="宋体" w:hint="eastAsia"/>
          <w:b w:val="0"/>
          <w:bCs w:val="0"/>
          <w:sz w:val="24"/>
          <w:szCs w:val="24"/>
        </w:rPr>
      </w:pPr>
      <w:r>
        <w:rPr>
          <w:rFonts w:ascii="宋体" w:eastAsia="宋体" w:hAnsi="宋体" w:hint="eastAsia"/>
          <w:b w:val="0"/>
          <w:bCs w:val="0"/>
          <w:sz w:val="24"/>
          <w:szCs w:val="24"/>
          <w:highlight w:val="white"/>
        </w:rPr>
        <w:t>（二）基金投资证券后的清算交收安排</w:t>
      </w:r>
    </w:p>
    <w:p w:rsidR="006C13DF" w14:paraId="3326E998" w14:textId="77777777">
      <w:pPr>
        <w:spacing w:line="360" w:lineRule="auto"/>
        <w:ind w:firstLine="482"/>
        <w:rPr>
          <w:rFonts w:ascii="宋体" w:hAnsi="宋体" w:hint="eastAsia"/>
          <w:sz w:val="24"/>
        </w:rPr>
      </w:pPr>
      <w:r>
        <w:rPr>
          <w:rFonts w:ascii="宋体" w:hAnsi="宋体" w:hint="eastAsia"/>
          <w:sz w:val="24"/>
          <w:highlight w:val="white"/>
        </w:rPr>
        <w:t>1、基金管理人和基金托管人在基金清算和交收中的责任</w:t>
      </w:r>
    </w:p>
    <w:p w:rsidR="006C13DF" w14:paraId="76DC2A2E" w14:textId="77777777">
      <w:pPr>
        <w:spacing w:line="360" w:lineRule="auto"/>
        <w:ind w:firstLine="482"/>
        <w:rPr>
          <w:rFonts w:ascii="宋体" w:hAnsi="宋体" w:hint="eastAsia"/>
          <w:sz w:val="24"/>
        </w:rPr>
      </w:pPr>
      <w:r>
        <w:rPr>
          <w:rFonts w:ascii="宋体" w:hAnsi="宋体" w:hint="eastAsia"/>
          <w:sz w:val="24"/>
          <w:highlight w:val="white"/>
        </w:rPr>
        <w:t>基金管理人与基金托管人应根据有关法律法规及相关业务规则，签订《托管银行证券资金结算协议》，用以具体明确基金管理人与基金托管人在证券交易资金结算业务中的责任。</w:t>
      </w:r>
    </w:p>
    <w:p w:rsidR="006C13DF" w14:paraId="774B2F3A" w14:textId="77777777">
      <w:pPr>
        <w:spacing w:line="360" w:lineRule="auto"/>
        <w:ind w:firstLine="482"/>
        <w:rPr>
          <w:rFonts w:ascii="宋体" w:hAnsi="宋体" w:hint="eastAsia"/>
          <w:sz w:val="24"/>
        </w:rPr>
      </w:pPr>
      <w:r>
        <w:rPr>
          <w:rFonts w:ascii="宋体" w:hAnsi="宋体" w:hint="eastAsia"/>
          <w:sz w:val="24"/>
          <w:highlight w:val="white"/>
        </w:rPr>
        <w:t>本基金投资于证券发生的所有场内、场外交易的资金清算交割，全部由基金托管人负责办理。</w:t>
      </w:r>
    </w:p>
    <w:p w:rsidR="006C13DF" w14:paraId="1A5FC27A" w14:textId="77777777">
      <w:pPr>
        <w:spacing w:line="360" w:lineRule="auto"/>
        <w:ind w:firstLine="482"/>
        <w:rPr>
          <w:rFonts w:ascii="宋体" w:hAnsi="宋体" w:hint="eastAsia"/>
          <w:sz w:val="24"/>
        </w:rPr>
      </w:pPr>
      <w:r>
        <w:rPr>
          <w:rFonts w:ascii="宋体" w:hAnsi="宋体" w:hint="eastAsia"/>
          <w:sz w:val="24"/>
          <w:highlight w:val="white"/>
        </w:rPr>
        <w:t>本基金证券投资的清算交割，由基金托管人通过中国证券登记结算有限责任公司、其他相关登记结算机构及清算代理银行办理。</w:t>
      </w:r>
    </w:p>
    <w:p w:rsidR="006C13DF" w14:paraId="66B48647" w14:textId="77777777">
      <w:pPr>
        <w:spacing w:line="360" w:lineRule="auto"/>
        <w:ind w:firstLine="482"/>
        <w:rPr>
          <w:rFonts w:ascii="宋体" w:hAnsi="宋体" w:hint="eastAsia"/>
          <w:sz w:val="24"/>
        </w:rPr>
      </w:pPr>
      <w:r>
        <w:rPr>
          <w:rFonts w:ascii="宋体" w:hAnsi="宋体" w:hint="eastAsia"/>
          <w:sz w:val="24"/>
          <w:highlight w:val="white"/>
        </w:rPr>
        <w:t>如果因基金托管人原因在清算和交收中造成基金财产的损失，应由基金托管人负责赔偿基金的损失；如果因为基金管理人违反法律法规的规定进行证券投资或违反双方签订的《托管银行证券资金结算协议》而造成基金投资清算困难和风险的，托管人发现后应立即通知基金管理人，由基金管理人负责解决，由此给基金、基金托管人造成的损失由基金管理人承担。</w:t>
      </w:r>
    </w:p>
    <w:p w:rsidR="006C13DF" w14:paraId="36904855" w14:textId="77777777">
      <w:pPr>
        <w:spacing w:line="360" w:lineRule="auto"/>
        <w:ind w:firstLine="482"/>
        <w:rPr>
          <w:rFonts w:ascii="宋体" w:hAnsi="宋体" w:hint="eastAsia"/>
          <w:sz w:val="24"/>
        </w:rPr>
      </w:pPr>
      <w:r>
        <w:rPr>
          <w:rFonts w:ascii="宋体" w:hAnsi="宋体" w:hint="eastAsia"/>
          <w:sz w:val="24"/>
          <w:highlight w:val="white"/>
        </w:rPr>
        <w:t>2、基金出现超买或超卖的责任认定及处理程序</w:t>
      </w:r>
    </w:p>
    <w:p w:rsidR="006C13DF" w14:paraId="5833A5FE" w14:textId="77777777">
      <w:pPr>
        <w:spacing w:line="360" w:lineRule="auto"/>
        <w:ind w:firstLine="480"/>
        <w:rPr>
          <w:rFonts w:ascii="宋体" w:hAnsi="宋体" w:cs="宋体" w:hint="eastAsia"/>
          <w:sz w:val="24"/>
          <w:shd w:val="clear" w:color="FFFFFF" w:fill="FFFFFF"/>
        </w:rPr>
      </w:pPr>
      <w:r>
        <w:rPr>
          <w:rFonts w:ascii="宋体" w:hAnsi="宋体" w:hint="eastAsia"/>
          <w:sz w:val="24"/>
          <w:highlight w:val="white"/>
        </w:rPr>
        <w:t>基金托管人在履行监督职能时，如果发现基金投资证券过程中出现超买或超卖现象，应立即提醒基金管理人，由基金管理人负责解决，由此给基金</w:t>
      </w:r>
      <w:r>
        <w:rPr>
          <w:rFonts w:ascii="宋体" w:hAnsi="宋体"/>
          <w:sz w:val="24"/>
          <w:highlight w:val="white"/>
        </w:rPr>
        <w:t>、基金托管人造成的损失由基金管理人承担。</w:t>
      </w:r>
      <w:r>
        <w:rPr>
          <w:rFonts w:ascii="宋体" w:hAnsi="宋体" w:hint="eastAsia"/>
          <w:sz w:val="24"/>
          <w:highlight w:val="white"/>
        </w:rPr>
        <w:t>基金托管人采用固定比例最低备付金计收方式的，如果非因基金托管人原因发生超买行为，基金管理人必须于T+1日上午10时之前划拨资金；基金托管人采用差异化比例最低备付金计收方式的，如果因非基金托管人原因发生超买行为，基金管理人必须于T+1日上午8:30之前划拨资金，</w:t>
      </w:r>
      <w:r>
        <w:rPr>
          <w:rFonts w:ascii="宋体" w:hAnsi="宋体" w:cs="宋体"/>
          <w:color w:val="000000"/>
          <w:sz w:val="24"/>
          <w:highlight w:val="white"/>
        </w:rPr>
        <w:t>用以完成清算交收</w:t>
      </w:r>
      <w:r>
        <w:rPr>
          <w:rFonts w:ascii="宋体" w:hAnsi="宋体"/>
          <w:sz w:val="24"/>
          <w:highlight w:val="white"/>
        </w:rPr>
        <w:t>。</w:t>
      </w:r>
    </w:p>
    <w:p w:rsidR="006C13DF" w14:paraId="5073D531" w14:textId="77777777">
      <w:pPr>
        <w:spacing w:line="360" w:lineRule="auto"/>
        <w:ind w:firstLine="482"/>
        <w:rPr>
          <w:rFonts w:ascii="宋体" w:hAnsi="宋体" w:hint="eastAsia"/>
          <w:sz w:val="24"/>
        </w:rPr>
      </w:pPr>
      <w:r>
        <w:rPr>
          <w:rFonts w:ascii="宋体" w:hAnsi="宋体" w:hint="eastAsia"/>
          <w:sz w:val="24"/>
          <w:highlight w:val="white"/>
        </w:rPr>
        <w:t>3、基金无法按时支付证券清算款的责任认定及处理程序</w:t>
      </w:r>
    </w:p>
    <w:p w:rsidR="006C13DF" w14:paraId="06C6A36D" w14:textId="77777777">
      <w:pPr>
        <w:spacing w:line="360" w:lineRule="auto"/>
        <w:ind w:firstLine="482"/>
        <w:rPr>
          <w:rFonts w:ascii="宋体" w:hAnsi="宋体" w:hint="eastAsia"/>
          <w:sz w:val="24"/>
        </w:rPr>
      </w:pPr>
      <w:r>
        <w:rPr>
          <w:rFonts w:ascii="宋体" w:hAnsi="宋体" w:hint="eastAsia"/>
          <w:sz w:val="24"/>
          <w:highlight w:val="white"/>
        </w:rPr>
        <w:t>基金管理人应确保基金托管人在执行基金管理人发送的指令时，有足够的头寸进行交收。基金的资金头寸不足时，基金托管人有权拒绝基金管理人发送的划款指令。基金管理人在发送划款指令时应充分考虑基金托管人的划款处理所需的合理时间。如由于基金管理人的原因导致无法按时支付证券清算款，由此给基金及基金托管人造成的损失由基金管理人承担。</w:t>
      </w:r>
    </w:p>
    <w:p w:rsidR="006C13DF" w14:paraId="0D785249" w14:textId="77777777">
      <w:pPr>
        <w:spacing w:line="360" w:lineRule="auto"/>
        <w:ind w:firstLine="482"/>
        <w:rPr>
          <w:rFonts w:ascii="宋体" w:hAnsi="宋体" w:hint="eastAsia"/>
          <w:sz w:val="24"/>
        </w:rPr>
      </w:pPr>
      <w:r>
        <w:rPr>
          <w:rFonts w:ascii="宋体" w:hAnsi="宋体" w:hint="eastAsia"/>
          <w:sz w:val="24"/>
          <w:highlight w:val="white"/>
        </w:rPr>
        <w:t>在基金资金头寸充足的情况下，基金托管人对基金管理人符合法律法规、《基金合同》、本协议的指令不得拖延或拒绝执行。如由于基金托管人的原因导致基金无法按时支付证券清算款，由此给基金造成的损失由基金托管人承担。</w:t>
      </w:r>
    </w:p>
    <w:p w:rsidR="006C13DF" w14:paraId="5BF96B26"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4、</w:t>
      </w:r>
      <w:r>
        <w:rPr>
          <w:rFonts w:ascii="宋体" w:hAnsi="宋体" w:cs="宋体" w:hint="eastAsia"/>
          <w:sz w:val="24"/>
          <w:szCs w:val="21"/>
          <w:highlight w:val="white"/>
          <w:lang w:bidi="ar"/>
        </w:rPr>
        <w:t>交易所质押式回购业务相关的补券和清算交收责任</w:t>
      </w:r>
    </w:p>
    <w:p w:rsidR="006C13DF" w14:paraId="0A90663A"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1）基金管理人应密切关注中国证券登记结算有限责任公司T日发布的T+2日适用的标准券折算率，并做好场内质押式回购业务补券工作。若基金托管人发现基金管理人未及时补足债券，基金托管人通知基金管理人补券，基金管理人须按基金托管人要求进行补券及回复相关信息。</w:t>
      </w:r>
    </w:p>
    <w:p w:rsidR="006C13DF" w14:paraId="60AE753E"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2）若基金管理人T+2日未按要求完成补券，造成欠库的，需按基金托管人通知要求完成补券，并根据中国证券登记结算有限责任公司结算账户管理及资金结算业务相关规定，计算并交付欠库扣款和欠库违约金，履行资金交收义务。</w:t>
      </w:r>
    </w:p>
    <w:p w:rsidR="006C13DF" w14:paraId="1FD4B1E1" w14:textId="77777777">
      <w:pPr>
        <w:spacing w:line="360" w:lineRule="auto"/>
        <w:ind w:firstLine="480"/>
      </w:pPr>
      <w:r>
        <w:rPr>
          <w:rFonts w:ascii="宋体" w:hAnsi="宋体" w:cs="宋体"/>
          <w:color w:val="000000"/>
          <w:sz w:val="24"/>
          <w:highlight w:val="white"/>
        </w:rPr>
        <w:t>5、关于基金参与港股通交易的特别约定</w:t>
      </w:r>
    </w:p>
    <w:p w:rsidR="006C13DF" w14:paraId="3DB8BCDC" w14:textId="77777777">
      <w:pPr>
        <w:spacing w:line="360" w:lineRule="auto"/>
        <w:ind w:firstLine="480"/>
      </w:pPr>
      <w:r>
        <w:rPr>
          <w:rFonts w:ascii="宋体" w:hAnsi="宋体"/>
          <w:color w:val="000000"/>
          <w:sz w:val="24"/>
          <w:highlight w:val="white"/>
        </w:rPr>
        <w:t>基金管理人应保证在T+1日9：30之前在托管的托管专户或结算备付金账户上有足够的头寸用于港股通T+1日公司行动、证券组合费和风控资金的交收，在T+1日14：00之前在托管的托管专户或结算备付金账户上有足够的头寸用于港股通T+2日交易资金的交收。如由于基金管理人的原因导致港股通交收失败，由此给基金托管人、基金托管人托管的其他资产组合造成的经济损失，由基金管理人承担。</w:t>
      </w:r>
    </w:p>
    <w:p w:rsidR="006C13DF" w14:paraId="73321FA2" w14:textId="77777777">
      <w:pPr>
        <w:spacing w:line="360" w:lineRule="auto"/>
        <w:ind w:firstLine="480"/>
        <w:rPr>
          <w:rFonts w:ascii="宋体" w:hAnsi="宋体" w:hint="eastAsia"/>
          <w:color w:val="000000"/>
          <w:sz w:val="24"/>
        </w:rPr>
      </w:pPr>
      <w:r>
        <w:rPr>
          <w:rFonts w:ascii="宋体" w:hAnsi="宋体"/>
          <w:color w:val="000000"/>
          <w:sz w:val="24"/>
          <w:highlight w:val="white"/>
        </w:rPr>
        <w:t>特别的，对于基金参与港股通新增交易日交易的，基金管理人应知晓港股通交易日历优化实施后的交收规则，理解相关结算风险。对于两地市场非对称假期前（内地节假日但香港非节假日）的共同交易日（即新增交易日）的交易，基金管理人应履行资金提前到账义务，在T日</w:t>
      </w:r>
      <w:r>
        <w:rPr>
          <w:rFonts w:ascii="宋体" w:hAnsi="宋体" w:cs="宋体"/>
          <w:color w:val="000000"/>
          <w:sz w:val="24"/>
          <w:highlight w:val="white"/>
        </w:rPr>
        <w:t>16:30</w:t>
      </w:r>
      <w:r>
        <w:rPr>
          <w:rFonts w:ascii="宋体" w:hAnsi="宋体"/>
          <w:color w:val="000000"/>
          <w:sz w:val="24"/>
          <w:highlight w:val="white"/>
        </w:rPr>
        <w:t>之前向基金托管人发送资金划转指令，确保托管专户有足够的头寸用于港股通T日交易资金的交收。</w:t>
      </w:r>
    </w:p>
    <w:p w:rsidR="006C13DF" w14:paraId="64F47047" w14:textId="77777777">
      <w:pPr>
        <w:pStyle w:val="21"/>
        <w:keepNext w:val="0"/>
        <w:keepLines w:val="0"/>
        <w:spacing w:before="0" w:after="0" w:line="360" w:lineRule="auto"/>
        <w:ind w:firstLine="482"/>
        <w:rPr>
          <w:rFonts w:ascii="宋体" w:eastAsia="宋体" w:hAnsi="宋体" w:hint="eastAsia"/>
          <w:b w:val="0"/>
          <w:bCs w:val="0"/>
          <w:sz w:val="24"/>
          <w:szCs w:val="24"/>
        </w:rPr>
      </w:pPr>
      <w:r>
        <w:rPr>
          <w:rFonts w:ascii="宋体" w:eastAsia="宋体" w:hAnsi="宋体" w:hint="eastAsia"/>
          <w:b w:val="0"/>
          <w:bCs w:val="0"/>
          <w:sz w:val="24"/>
          <w:szCs w:val="24"/>
          <w:highlight w:val="white"/>
        </w:rPr>
        <w:t>（三）资金、证券账目及交易记录的核对</w:t>
      </w:r>
    </w:p>
    <w:p w:rsidR="006C13DF" w14:paraId="10843953" w14:textId="77777777">
      <w:pPr>
        <w:spacing w:line="360" w:lineRule="auto"/>
        <w:ind w:firstLine="482"/>
        <w:jc w:val="left"/>
        <w:rPr>
          <w:rFonts w:ascii="宋体" w:hAnsi="宋体" w:hint="eastAsia"/>
          <w:sz w:val="24"/>
        </w:rPr>
      </w:pPr>
      <w:r>
        <w:rPr>
          <w:rFonts w:ascii="宋体" w:hAnsi="宋体" w:hint="eastAsia"/>
          <w:sz w:val="24"/>
          <w:highlight w:val="white"/>
        </w:rPr>
        <w:t>对基金的交易记录，由基金管理人按日进行核对。每日对外披露基金份额净值之前，必须保证当天所有实际交易记录与基金会计账簿上的交易记录完全一致。如果实际交易记录与会计账簿记录不一致，造成基金会计核算不完整或不真实，由此导致的损失由基金的会计责任方承担。</w:t>
      </w:r>
    </w:p>
    <w:p w:rsidR="006C13DF" w14:paraId="3B97DD59" w14:textId="77777777">
      <w:pPr>
        <w:spacing w:line="360" w:lineRule="auto"/>
        <w:ind w:firstLine="482"/>
        <w:rPr>
          <w:rFonts w:ascii="宋体" w:hAnsi="宋体" w:hint="eastAsia"/>
          <w:sz w:val="24"/>
        </w:rPr>
      </w:pPr>
      <w:r>
        <w:rPr>
          <w:rFonts w:ascii="宋体" w:hAnsi="宋体" w:hint="eastAsia"/>
          <w:sz w:val="24"/>
          <w:highlight w:val="white"/>
        </w:rPr>
        <w:t>对基金的资金账目，由相关各方每日对账一次，确保相关各方账账相符。</w:t>
      </w:r>
    </w:p>
    <w:p w:rsidR="006C13DF" w14:paraId="4C138203" w14:textId="77777777">
      <w:pPr>
        <w:spacing w:line="360" w:lineRule="auto"/>
        <w:ind w:firstLine="482"/>
        <w:rPr>
          <w:rFonts w:ascii="宋体" w:hAnsi="宋体" w:hint="eastAsia"/>
          <w:sz w:val="24"/>
        </w:rPr>
      </w:pPr>
      <w:r>
        <w:rPr>
          <w:rFonts w:ascii="宋体" w:hAnsi="宋体" w:hint="eastAsia"/>
          <w:sz w:val="24"/>
          <w:highlight w:val="white"/>
        </w:rPr>
        <w:t>对实物券账目，每月月末相关各方进行账实核对。</w:t>
      </w:r>
    </w:p>
    <w:p w:rsidR="006C13DF" w14:paraId="236F8F66" w14:textId="77777777">
      <w:pPr>
        <w:spacing w:line="360" w:lineRule="auto"/>
        <w:ind w:firstLine="482"/>
        <w:rPr>
          <w:rFonts w:ascii="宋体" w:hAnsi="宋体" w:hint="eastAsia"/>
          <w:sz w:val="24"/>
        </w:rPr>
      </w:pPr>
      <w:r>
        <w:rPr>
          <w:rFonts w:ascii="宋体" w:hAnsi="宋体" w:hint="eastAsia"/>
          <w:sz w:val="24"/>
          <w:highlight w:val="white"/>
        </w:rPr>
        <w:t>对交易记录，由相关各方每日对账一次。</w:t>
      </w:r>
    </w:p>
    <w:p w:rsidR="006C13DF" w14:paraId="09DCFB86" w14:textId="77777777">
      <w:pPr>
        <w:pStyle w:val="21"/>
        <w:keepNext w:val="0"/>
        <w:keepLines w:val="0"/>
        <w:spacing w:before="0" w:after="0" w:line="360" w:lineRule="auto"/>
        <w:ind w:firstLine="482"/>
        <w:rPr>
          <w:rFonts w:ascii="宋体" w:eastAsia="宋体" w:hAnsi="宋体" w:hint="eastAsia"/>
          <w:b w:val="0"/>
          <w:bCs w:val="0"/>
          <w:sz w:val="24"/>
          <w:szCs w:val="24"/>
        </w:rPr>
      </w:pPr>
      <w:r>
        <w:rPr>
          <w:rFonts w:ascii="宋体" w:eastAsia="宋体" w:hAnsi="宋体" w:hint="eastAsia"/>
          <w:b w:val="0"/>
          <w:bCs w:val="0"/>
          <w:sz w:val="24"/>
          <w:szCs w:val="24"/>
          <w:highlight w:val="white"/>
        </w:rPr>
        <w:t>（四）申购、赎回、</w:t>
      </w:r>
      <w:r>
        <w:rPr>
          <w:rFonts w:ascii="宋体" w:eastAsia="宋体" w:hAnsi="宋体" w:hint="eastAsia"/>
          <w:b w:val="0"/>
          <w:sz w:val="24"/>
          <w:szCs w:val="24"/>
          <w:highlight w:val="white"/>
        </w:rPr>
        <w:t>转换开放式基金</w:t>
      </w:r>
      <w:r>
        <w:rPr>
          <w:rFonts w:ascii="宋体" w:eastAsia="宋体" w:hAnsi="宋体" w:hint="eastAsia"/>
          <w:b w:val="0"/>
          <w:bCs w:val="0"/>
          <w:sz w:val="24"/>
          <w:szCs w:val="24"/>
          <w:highlight w:val="white"/>
        </w:rPr>
        <w:t>的资金清算、</w:t>
      </w:r>
      <w:r>
        <w:rPr>
          <w:rFonts w:ascii="宋体" w:eastAsia="宋体" w:hAnsi="宋体" w:hint="eastAsia"/>
          <w:b w:val="0"/>
          <w:sz w:val="24"/>
          <w:szCs w:val="24"/>
          <w:highlight w:val="white"/>
        </w:rPr>
        <w:t>数据传递及托管协议当事人的责任</w:t>
      </w:r>
    </w:p>
    <w:p w:rsidR="006C13DF" w14:paraId="7DA9F162" w14:textId="77777777">
      <w:pPr>
        <w:spacing w:line="360" w:lineRule="auto"/>
        <w:ind w:firstLine="482"/>
        <w:rPr>
          <w:rFonts w:ascii="宋体" w:hAnsi="宋体" w:hint="eastAsia"/>
          <w:sz w:val="24"/>
        </w:rPr>
      </w:pPr>
      <w:r>
        <w:rPr>
          <w:rFonts w:ascii="宋体" w:hAnsi="宋体" w:hint="eastAsia"/>
          <w:sz w:val="24"/>
          <w:highlight w:val="white"/>
        </w:rPr>
        <w:t>1、托管协议当事人在开放式基金的申购赎回、转换中的责任</w:t>
      </w:r>
    </w:p>
    <w:p w:rsidR="006C13DF" w14:paraId="7B9E3528" w14:textId="77777777">
      <w:pPr>
        <w:spacing w:line="360" w:lineRule="auto"/>
        <w:ind w:firstLine="482"/>
        <w:rPr>
          <w:rFonts w:ascii="宋体" w:hAnsi="宋体" w:hint="eastAsia"/>
          <w:sz w:val="24"/>
        </w:rPr>
      </w:pPr>
      <w:r>
        <w:rPr>
          <w:rFonts w:ascii="宋体" w:hAnsi="宋体" w:hint="eastAsia"/>
          <w:sz w:val="24"/>
          <w:highlight w:val="white"/>
        </w:rPr>
        <w:t>基金的投资者可通过基金管理人的直销中心和销售代理人的代销网点进行申购和赎回申请，由基金管理人办理基金份额的过户和登记，基金托管人负责接收并确认资金的到账情况，以及依照基金管理人的投资指令来划付赎回款项。</w:t>
      </w:r>
    </w:p>
    <w:p w:rsidR="006C13DF" w14:paraId="7F6A49C5" w14:textId="77777777">
      <w:pPr>
        <w:spacing w:line="360" w:lineRule="auto"/>
        <w:ind w:firstLine="482"/>
        <w:rPr>
          <w:rFonts w:ascii="宋体" w:hAnsi="宋体" w:hint="eastAsia"/>
          <w:sz w:val="24"/>
        </w:rPr>
      </w:pPr>
      <w:r>
        <w:rPr>
          <w:rFonts w:ascii="宋体" w:hAnsi="宋体" w:hint="eastAsia"/>
          <w:sz w:val="24"/>
          <w:highlight w:val="white"/>
        </w:rPr>
        <w:t>2、开放式基金的数据传递</w:t>
      </w:r>
    </w:p>
    <w:p w:rsidR="006C13DF" w14:paraId="2B9D0FB7" w14:textId="77777777">
      <w:pPr>
        <w:spacing w:line="360" w:lineRule="auto"/>
        <w:ind w:firstLine="482"/>
        <w:rPr>
          <w:rFonts w:ascii="宋体" w:hAnsi="宋体" w:hint="eastAsia"/>
          <w:sz w:val="24"/>
        </w:rPr>
      </w:pPr>
      <w:r>
        <w:rPr>
          <w:rFonts w:ascii="宋体" w:hAnsi="宋体" w:hint="eastAsia"/>
          <w:sz w:val="24"/>
          <w:highlight w:val="white"/>
        </w:rPr>
        <w:t>基金管理人应于每个开放日14：00之前将开放日经确认的基金申购金额和赎回份额以书面形式并加盖业务专用章通知基金托管人。基金管理人应对传递的申购、赎回数据的真实性、准确性和完整性负责。</w:t>
      </w:r>
    </w:p>
    <w:p w:rsidR="006C13DF" w14:paraId="4370B0C7" w14:textId="77777777">
      <w:pPr>
        <w:spacing w:line="360" w:lineRule="auto"/>
        <w:ind w:firstLine="482"/>
        <w:rPr>
          <w:rFonts w:ascii="宋体" w:hAnsi="宋体" w:hint="eastAsia"/>
          <w:sz w:val="24"/>
        </w:rPr>
      </w:pPr>
      <w:r>
        <w:rPr>
          <w:rFonts w:ascii="宋体" w:hAnsi="宋体" w:hint="eastAsia"/>
          <w:sz w:val="24"/>
          <w:highlight w:val="white"/>
        </w:rPr>
        <w:t>3、开放式基金的资金清算</w:t>
      </w:r>
    </w:p>
    <w:p w:rsidR="006C13DF" w14:paraId="553A9F34" w14:textId="77777777">
      <w:pPr>
        <w:spacing w:line="360" w:lineRule="auto"/>
        <w:ind w:right="28" w:firstLine="482"/>
        <w:rPr>
          <w:rFonts w:ascii="宋体" w:hAnsi="宋体" w:hint="eastAsia"/>
          <w:sz w:val="24"/>
        </w:rPr>
      </w:pPr>
      <w:r>
        <w:rPr>
          <w:rFonts w:ascii="宋体" w:hAnsi="宋体" w:hint="eastAsia"/>
          <w:sz w:val="24"/>
          <w:highlight w:val="white"/>
        </w:rPr>
        <w:t>基金申购、赎回等款项采用轧差交收的结算方式，净额在基金管理人总清算账户和托管资金账户之间交收。</w:t>
      </w:r>
    </w:p>
    <w:p w:rsidR="006C13DF" w14:paraId="44FA70B9" w14:textId="0B70E19C">
      <w:pPr>
        <w:spacing w:line="360" w:lineRule="auto"/>
        <w:ind w:right="28" w:firstLine="482"/>
        <w:rPr>
          <w:rFonts w:ascii="宋体" w:hAnsi="宋体" w:hint="eastAsia"/>
          <w:sz w:val="24"/>
        </w:rPr>
      </w:pPr>
      <w:r>
        <w:rPr>
          <w:rFonts w:ascii="宋体" w:hAnsi="宋体" w:hint="eastAsia"/>
          <w:sz w:val="24"/>
          <w:highlight w:val="white"/>
        </w:rPr>
        <w:t>如果当日基金为净应收款，基金托管人应及时查收资金是否到账，对于未准时到账的资金，应及时通知基金管理人划付。对于未准时划付的资金，基金托管人应及时通知基金管理人划付，由此产生的责任应由基金管理人承担。后果严重的</w:t>
      </w:r>
      <w:r w:rsidR="00443995">
        <w:rPr>
          <w:rFonts w:ascii="宋体" w:hAnsi="宋体" w:hint="eastAsia"/>
          <w:sz w:val="24"/>
          <w:highlight w:val="white"/>
        </w:rPr>
        <w:t>，</w:t>
      </w:r>
      <w:r>
        <w:rPr>
          <w:rFonts w:ascii="宋体" w:hAnsi="宋体" w:hint="eastAsia"/>
          <w:sz w:val="24"/>
          <w:highlight w:val="white"/>
        </w:rPr>
        <w:t>基金托管人应向中国证监会报告。</w:t>
      </w:r>
    </w:p>
    <w:p w:rsidR="006C13DF" w14:paraId="56C33316" w14:textId="01A6F325">
      <w:pPr>
        <w:spacing w:line="360" w:lineRule="auto"/>
        <w:ind w:right="28" w:firstLine="482"/>
        <w:rPr>
          <w:rFonts w:ascii="宋体" w:hAnsi="宋体" w:hint="eastAsia"/>
          <w:sz w:val="24"/>
        </w:rPr>
      </w:pPr>
      <w:r>
        <w:rPr>
          <w:rFonts w:ascii="宋体" w:hAnsi="宋体" w:hint="eastAsia"/>
          <w:sz w:val="24"/>
          <w:highlight w:val="white"/>
        </w:rPr>
        <w:t>如果当日基金为净应付款，基金托管人应根据基金管理人的指令及时进行划付。对于未准时划付的资金，基金管理人应及时通知基金托管人划付，由此产生的责任应由基金托管人承担。后果严重的</w:t>
      </w:r>
      <w:r w:rsidR="00443995">
        <w:rPr>
          <w:rFonts w:ascii="宋体" w:hAnsi="宋体" w:hint="eastAsia"/>
          <w:sz w:val="24"/>
          <w:highlight w:val="white"/>
        </w:rPr>
        <w:t>，</w:t>
      </w:r>
      <w:r>
        <w:rPr>
          <w:rFonts w:ascii="宋体" w:hAnsi="宋体" w:hint="eastAsia"/>
          <w:sz w:val="24"/>
          <w:highlight w:val="white"/>
        </w:rPr>
        <w:t>基金管理人应向中国证监会报告。</w:t>
      </w:r>
    </w:p>
    <w:p w:rsidR="006C13DF" w14:paraId="198BB095" w14:textId="77777777">
      <w:pPr>
        <w:spacing w:line="360" w:lineRule="auto"/>
        <w:ind w:right="28" w:firstLine="482"/>
        <w:rPr>
          <w:rFonts w:ascii="宋体" w:hAnsi="宋体" w:hint="eastAsia"/>
          <w:sz w:val="24"/>
        </w:rPr>
      </w:pPr>
      <w:r>
        <w:rPr>
          <w:rFonts w:ascii="宋体" w:hAnsi="宋体" w:hint="eastAsia"/>
          <w:sz w:val="24"/>
          <w:highlight w:val="white"/>
        </w:rPr>
        <w:t>在发生基金合同载明的暂停赎回或延缓支付赎回款项的情形时，款项的支付办法参照基金合同有关条款处理。</w:t>
      </w:r>
    </w:p>
    <w:p w:rsidR="006C13DF" w14:paraId="1F01F296" w14:textId="77777777">
      <w:pPr>
        <w:spacing w:line="360" w:lineRule="auto"/>
        <w:ind w:firstLine="480"/>
        <w:rPr>
          <w:sz w:val="24"/>
          <w:szCs w:val="21"/>
        </w:rPr>
      </w:pPr>
    </w:p>
    <w:p w:rsidR="006C13DF" w14:paraId="28C42FA6"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2" w:name="_Toc96101877"/>
      <w:r>
        <w:rPr>
          <w:rFonts w:ascii="宋体" w:hAnsi="宋体" w:cs="Arial" w:hint="eastAsia"/>
          <w:sz w:val="30"/>
          <w:highlight w:val="white"/>
        </w:rPr>
        <w:t>基金资产净值计算和会计核算</w:t>
      </w:r>
      <w:bookmarkEnd w:id="12"/>
    </w:p>
    <w:p w:rsidR="006C13DF" w14:paraId="0964ADE7" w14:textId="77777777">
      <w:pPr>
        <w:pStyle w:val="21"/>
        <w:keepNext w:val="0"/>
        <w:keepLines w:val="0"/>
        <w:spacing w:before="0" w:after="0" w:line="360" w:lineRule="auto"/>
        <w:ind w:firstLine="480"/>
        <w:rPr>
          <w:rFonts w:ascii="宋体" w:eastAsia="宋体" w:hAnsi="宋体" w:hint="eastAsia"/>
          <w:sz w:val="24"/>
          <w:szCs w:val="24"/>
        </w:rPr>
      </w:pPr>
      <w:r>
        <w:rPr>
          <w:rFonts w:ascii="宋体" w:eastAsia="宋体" w:hAnsi="宋体" w:hint="eastAsia"/>
          <w:b w:val="0"/>
          <w:bCs w:val="0"/>
          <w:sz w:val="24"/>
          <w:szCs w:val="24"/>
          <w:highlight w:val="white"/>
        </w:rPr>
        <w:t>（一）基金资产净值的计算、复核的时间和程序</w:t>
      </w:r>
    </w:p>
    <w:p w:rsidR="006C13DF" w14:paraId="76702C0A" w14:textId="77777777">
      <w:pPr>
        <w:spacing w:line="360" w:lineRule="auto"/>
        <w:ind w:right="28" w:firstLine="480"/>
        <w:rPr>
          <w:rFonts w:ascii="宋体" w:hAnsi="宋体" w:hint="eastAsia"/>
          <w:sz w:val="24"/>
        </w:rPr>
      </w:pPr>
      <w:r>
        <w:rPr>
          <w:rFonts w:ascii="宋体" w:hAnsi="宋体" w:hint="eastAsia"/>
          <w:sz w:val="24"/>
          <w:highlight w:val="white"/>
        </w:rPr>
        <w:t>基金资产净值是指基金资产总值减去负债后的价值。基金份额净值是指计算日基金资产净值除以该计算日基金份额总份额后的数值。基金份额净值的计算保留到小数点后4位，小数点后第5位四舍五入，由此产生的误差计入基金财产。</w:t>
      </w:r>
    </w:p>
    <w:p w:rsidR="006C13DF" w14:paraId="48567385" w14:textId="230BC209">
      <w:pPr>
        <w:spacing w:line="360" w:lineRule="auto"/>
        <w:ind w:right="28" w:firstLine="480"/>
        <w:rPr>
          <w:rFonts w:ascii="宋体" w:hAnsi="宋体" w:hint="eastAsia"/>
          <w:sz w:val="24"/>
        </w:rPr>
      </w:pPr>
      <w:r>
        <w:rPr>
          <w:rFonts w:ascii="宋体" w:hAnsi="宋体" w:hint="eastAsia"/>
          <w:sz w:val="24"/>
          <w:highlight w:val="white"/>
        </w:rPr>
        <w:t>基金管理人应每个估值日</w:t>
      </w:r>
      <w:r w:rsidRPr="00EB0FBD">
        <w:rPr>
          <w:rFonts w:ascii="宋体" w:hAnsi="宋体" w:hint="eastAsia"/>
          <w:sz w:val="24"/>
        </w:rPr>
        <w:t>后的两个工作日内</w:t>
      </w:r>
      <w:r>
        <w:rPr>
          <w:rFonts w:ascii="宋体" w:hAnsi="宋体" w:hint="eastAsia"/>
          <w:sz w:val="24"/>
          <w:highlight w:val="white"/>
        </w:rPr>
        <w:t>对基金资产估值，但基金管理人根据法律法规或基金合同的规定暂停估值时除外。估值原则应符合《基金合同》、《证券投资基金会计核算业务指引》及其他法律、法规的规定。用于基金信息披露的基金资产净值和基金份额净值由基金管理人负责计算，基金托管人复核。基金管理人应于每个估值日交易结束后</w:t>
      </w:r>
      <w:r w:rsidRPr="00EB0FBD">
        <w:rPr>
          <w:rFonts w:ascii="宋体" w:hAnsi="宋体" w:hint="eastAsia"/>
          <w:sz w:val="24"/>
        </w:rPr>
        <w:t>的两个工作日内</w:t>
      </w:r>
      <w:r>
        <w:rPr>
          <w:rFonts w:ascii="宋体" w:hAnsi="宋体" w:hint="eastAsia"/>
          <w:sz w:val="24"/>
          <w:highlight w:val="white"/>
        </w:rPr>
        <w:t>计算当日的基金资产净值</w:t>
      </w:r>
      <w:r>
        <w:rPr>
          <w:rFonts w:ascii="宋体" w:hAnsi="宋体"/>
          <w:sz w:val="24"/>
          <w:highlight w:val="white"/>
        </w:rPr>
        <w:t>与</w:t>
      </w:r>
      <w:r>
        <w:rPr>
          <w:rFonts w:ascii="宋体" w:hAnsi="宋体" w:hint="eastAsia"/>
          <w:sz w:val="24"/>
          <w:highlight w:val="white"/>
        </w:rPr>
        <w:t>基金份额净值，并以双方认可的方式发送给基金托管人。基金托管人对净值计算结果复核后以双方认可的方式发送给基金管理人，由基金管理人按</w:t>
      </w:r>
      <w:r>
        <w:rPr>
          <w:rFonts w:ascii="宋体" w:hAnsi="宋体"/>
          <w:sz w:val="24"/>
          <w:highlight w:val="white"/>
        </w:rPr>
        <w:t>规定</w:t>
      </w:r>
      <w:r>
        <w:rPr>
          <w:rFonts w:ascii="宋体" w:hAnsi="宋体" w:hint="eastAsia"/>
          <w:sz w:val="24"/>
          <w:highlight w:val="white"/>
        </w:rPr>
        <w:t>对基金净值予以公布。</w:t>
      </w:r>
    </w:p>
    <w:p w:rsidR="006C13DF" w14:paraId="379A80C5" w14:textId="77777777">
      <w:pPr>
        <w:spacing w:line="360" w:lineRule="auto"/>
        <w:ind w:right="28" w:firstLine="480"/>
        <w:rPr>
          <w:rFonts w:ascii="宋体" w:hAnsi="宋体" w:hint="eastAsia"/>
          <w:sz w:val="24"/>
        </w:rPr>
      </w:pPr>
      <w:r>
        <w:rPr>
          <w:rFonts w:ascii="宋体" w:hAnsi="宋体" w:hint="eastAsia"/>
          <w:sz w:val="24"/>
          <w:highlight w:val="white"/>
        </w:rPr>
        <w:t>本基金实施侧袋机制的，应根据本部分的约定对主袋账户资产进行估值并披露主袋账户的基金资产净值和份额净值，暂停披露侧袋账户份额净值。</w:t>
      </w:r>
    </w:p>
    <w:p w:rsidR="006C13DF" w14:paraId="3D4ADC09" w14:textId="77777777">
      <w:pPr>
        <w:spacing w:line="360" w:lineRule="auto"/>
        <w:ind w:right="28" w:firstLine="480"/>
        <w:rPr>
          <w:rFonts w:ascii="宋体" w:hAnsi="宋体" w:hint="eastAsia"/>
          <w:sz w:val="24"/>
        </w:rPr>
      </w:pPr>
      <w:r>
        <w:rPr>
          <w:rFonts w:ascii="宋体" w:hAnsi="宋体" w:hint="eastAsia"/>
          <w:sz w:val="24"/>
          <w:highlight w:val="white"/>
        </w:rPr>
        <w:t>根据《基金法》，基金管理人计算并公告基金资产净值，基金托管人复核、审查基金管理人计算的基金资产净值。因此，本基金的会计责任方是基金管理人，就与本基金有关的会计问题，如经相关各方在平等基础上充分讨论后，仍无法达成一致的意见，按照基金管理人对基金资产净值的计算结果对外予以公布</w:t>
      </w:r>
      <w:r>
        <w:rPr>
          <w:rFonts w:ascii="宋体" w:hAnsi="宋体" w:cs="宋体"/>
          <w:color w:val="000000"/>
          <w:sz w:val="24"/>
          <w:highlight w:val="white"/>
        </w:rPr>
        <w:t>，基金管理人应按照有关法律法规进行信息披露</w:t>
      </w:r>
      <w:r>
        <w:rPr>
          <w:rFonts w:ascii="宋体" w:hAnsi="宋体" w:hint="eastAsia"/>
          <w:sz w:val="24"/>
          <w:highlight w:val="white"/>
        </w:rPr>
        <w:t>。法律法规以及监管部门有强制规定的，从其规定。如有新增事项，按国家最新规定估值。</w:t>
      </w:r>
    </w:p>
    <w:p w:rsidR="006C13DF" w14:paraId="7BE81045"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（二）基金资产估值方法</w:t>
      </w:r>
    </w:p>
    <w:p w:rsidR="006C13DF" w14:paraId="10C52074" w14:textId="77777777">
      <w:pPr>
        <w:tabs>
          <w:tab w:val="left" w:pos="900"/>
        </w:tabs>
        <w:spacing w:line="360" w:lineRule="auto"/>
        <w:ind w:right="28" w:firstLine="480"/>
        <w:rPr>
          <w:rFonts w:ascii="宋体" w:hAnsi="宋体" w:hint="eastAsia"/>
          <w:sz w:val="24"/>
        </w:rPr>
      </w:pPr>
      <w:r>
        <w:rPr>
          <w:rFonts w:ascii="宋体" w:hAnsi="宋体"/>
          <w:sz w:val="24"/>
          <w:highlight w:val="white"/>
        </w:rPr>
        <w:t>1、估值对象</w:t>
      </w:r>
    </w:p>
    <w:p w:rsidR="006C13DF" w14:paraId="757ABF81" w14:textId="77777777">
      <w:pPr>
        <w:tabs>
          <w:tab w:val="left" w:pos="900"/>
        </w:tabs>
        <w:spacing w:line="360" w:lineRule="auto"/>
        <w:ind w:right="28" w:firstLine="480"/>
        <w:rPr>
          <w:rFonts w:ascii="宋体" w:hAnsi="宋体" w:hint="eastAsia"/>
          <w:sz w:val="24"/>
        </w:rPr>
      </w:pPr>
      <w:r>
        <w:rPr>
          <w:rFonts w:ascii="宋体" w:hAnsi="宋体" w:hint="eastAsia"/>
          <w:sz w:val="24"/>
          <w:highlight w:val="white"/>
        </w:rPr>
        <w:t>基金所拥有的证券投资基金、股票、债券和银行存款本息、应收款项、其它投资等资产及负债。</w:t>
      </w:r>
    </w:p>
    <w:p w:rsidR="006C13DF" w14:paraId="0111AF01" w14:textId="77777777">
      <w:pPr>
        <w:tabs>
          <w:tab w:val="left" w:pos="900"/>
        </w:tabs>
        <w:spacing w:line="360" w:lineRule="auto"/>
        <w:ind w:right="28" w:firstLine="480"/>
        <w:rPr>
          <w:rFonts w:ascii="宋体" w:hAnsi="宋体" w:hint="eastAsia"/>
          <w:sz w:val="24"/>
        </w:rPr>
      </w:pPr>
      <w:r>
        <w:rPr>
          <w:rFonts w:ascii="宋体" w:hAnsi="宋体"/>
          <w:sz w:val="24"/>
          <w:highlight w:val="white"/>
        </w:rPr>
        <w:t>2、估值方法</w:t>
      </w:r>
    </w:p>
    <w:p w:rsidR="006C13DF" w14:paraId="1E7365A6" w14:textId="77777777">
      <w:pPr>
        <w:widowControl/>
        <w:spacing w:line="360" w:lineRule="auto"/>
        <w:ind w:firstLine="480"/>
        <w:rPr>
          <w:rFonts w:ascii="宋体" w:hAnsi="宋体" w:hint="eastAsia"/>
          <w:color w:val="000000"/>
          <w:sz w:val="24"/>
        </w:rPr>
      </w:pPr>
      <w:r>
        <w:rPr>
          <w:highlight w:val="white"/>
        </w:rPr>
        <w:t>（</w:t>
      </w:r>
      <w:r>
        <w:rPr>
          <w:rFonts w:ascii="宋体" w:hAnsi="宋体" w:cs="宋体"/>
          <w:highlight w:val="white"/>
        </w:rPr>
        <w:t>1</w:t>
      </w:r>
      <w:r>
        <w:rPr>
          <w:highlight w:val="white"/>
        </w:rPr>
        <w:t>）</w:t>
      </w:r>
      <w:r>
        <w:rPr>
          <w:rFonts w:ascii="宋体" w:hAnsi="宋体" w:hint="eastAsia"/>
          <w:color w:val="000000"/>
          <w:sz w:val="24"/>
          <w:highlight w:val="white"/>
        </w:rPr>
        <w:t>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rsidR="006C13DF" w14:paraId="4C0F5231"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（2）处于未上市期间的有价证券应区分如下情况处理：</w:t>
      </w:r>
    </w:p>
    <w:p w:rsidR="006C13DF" w14:paraId="02D112AF"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1）送股、转增股、配股和公开增发的新股，按估值日在证券交易所挂牌的同一股票的估值方法估值；该日无交易的，以最近一日的市价（收盘价）估值；</w:t>
      </w:r>
    </w:p>
    <w:p w:rsidR="006C13DF" w14:paraId="29C67C85"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2）首次公开发行未上市的股票，采用估值技术确定公允价值；</w:t>
      </w:r>
    </w:p>
    <w:p w:rsidR="006C13DF" w14:paraId="3EA3D5F5"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6C13DF" w14:paraId="2E53E81B"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（3）对于已上市或已挂牌转让的不含权固定收益品种，选取估值日第三方估值基准服务机构提供的相应品种当日的估值全价进行估值。</w:t>
      </w:r>
    </w:p>
    <w:p w:rsidR="006C13DF" w14:paraId="63FC0DF3"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（4）对于已上市或已挂牌转让的含权固定收益品种，选取估值日第三方估值基准服务机构提供的相应品种当日的唯一估值全价或推荐估值全价进行估值。</w:t>
      </w:r>
    </w:p>
    <w:p w:rsidR="006C13DF" w14:paraId="57B021AE"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p>
    <w:p w:rsidR="006C13DF" w14:paraId="1B08FA76"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6C13DF" w14:paraId="427D4A13"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（6）对于未上市或未挂牌转让且不存在活跃市场的固定收益品种，采用在当前情况下适用并且有足够可利用数据和其他信息支持的估值技术确定其公允价值。</w:t>
      </w:r>
    </w:p>
    <w:p w:rsidR="006C13DF" w14:paraId="5B8F8022"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7）对于交易所上市的ETF基金、境内上市定期开放式基金、封闭式基金，按估值日的收盘价估值；若估值日无交易，且最近交易日后市场环境未发生重大变化，按最近交易日的收盘价估值；如最近交易日后市场环境发生了重大变化的，可使用最新的基金份额净值为基础或参考类似投资品种的现行市价及重大变化因素调整最近交易市价，确定公允价值。当基金管理人认为所投资基金按上述条款进行估值存在不公允时，应与托管人协商一致采用合理的估值技术或估值标准确定其公允价值；</w:t>
      </w:r>
    </w:p>
    <w:p w:rsidR="006C13DF" w14:paraId="2B339243"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8）对于交易所上市的境内上市开放式基金（LOF），按估值日的份额净值估值；境内上市交易型货币市场基金，如披露份额净值，则按估值日的份额净值估值；如披露万份（百份）收益，则按前一估值日后至估值日期间（含节假日）的万份（百份）收益计提估值日基金收益；以基金份额净值估值的，若与本基金估值频率一致但未公布估值日基金份额净值，按其最近公布的基金份额净值为基础估值。</w:t>
      </w:r>
    </w:p>
    <w:p w:rsidR="006C13DF" w14:paraId="747EDC1E"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9）非上市基金的估值：境内非货币市场基金，按估值日的份额净值估值；若与本基金估值频率一致但未公布估值日基金份额净值，按其最近公布的基金份额净值为基础估值。境内货币市场基金，按前一估值日后至估值日期间（含节假日）的万份收益计提估值日基金收益。</w:t>
      </w:r>
    </w:p>
    <w:p w:rsidR="006C13DF" w14:paraId="41CF6B8D"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（10）本基金投资存托凭证的估值核算，依照境内上市交易的股票执行。</w:t>
      </w:r>
    </w:p>
    <w:p w:rsidR="006C13DF" w14:paraId="4D5DD56A"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（11）汇率</w:t>
      </w:r>
    </w:p>
    <w:p w:rsidR="006C13DF" w14:paraId="23D13181"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如本基金投资股票市场交易互联互通机制允许买卖的境外证券市场上市的股票、ETF，涉及相关货币对人民币汇率的，汇率来源详见招募说明书。</w:t>
      </w:r>
    </w:p>
    <w:p w:rsidR="006C13DF" w14:paraId="2B64EE37"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（12）税收</w:t>
      </w:r>
    </w:p>
    <w:p w:rsidR="006C13DF" w14:paraId="5A139157"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对于按照中国法律法规和基金投资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rsidR="006C13DF" w14:paraId="3BBB9CE2"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（13）如有充分理由表明按上述方法进行估值不能客观反映其公允价值的，基金管理人可根据具体情况与基金托管人商定后，按最能反映公允价值的价格估值。</w:t>
      </w:r>
    </w:p>
    <w:p w:rsidR="006C13DF" w14:paraId="277E619F"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（14）当发生大额申购或赎回情形时，基金管理人可以采用摆动定价机制，以确保基金估值的公平性。</w:t>
      </w:r>
    </w:p>
    <w:p w:rsidR="006C13DF" w14:paraId="3673CA3C"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（15）相关法律法规以及监管部门有强制规定的，从其规定。如有新增事项，按国家最新规定估值。</w:t>
      </w:r>
    </w:p>
    <w:p w:rsidR="006C13DF" w14:paraId="13221F7D"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如基金管理人或基金托管人发现基金估值违反基金合同订明的估值方法、程序及相关法律法规的规定或者未能充分维护基金份额持有人利益时，应立即通知对方，共同查明原因，双方协商解决。</w:t>
      </w:r>
    </w:p>
    <w:p w:rsidR="006C13DF" w14:paraId="1F1EC106" w14:textId="77777777">
      <w:pPr>
        <w:widowControl/>
        <w:spacing w:line="360" w:lineRule="auto"/>
        <w:ind w:firstLine="480"/>
        <w:rPr>
          <w:rFonts w:ascii="宋体" w:hAnsi="宋体" w:hint="eastAsia"/>
          <w:color w:val="000000"/>
          <w:sz w:val="24"/>
        </w:rPr>
      </w:pPr>
      <w:r>
        <w:rPr>
          <w:rFonts w:ascii="宋体" w:hAnsi="宋体" w:hint="eastAsia"/>
          <w:color w:val="000000"/>
          <w:sz w:val="24"/>
          <w:highlight w:val="white"/>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rsidR="006C13DF" w14:paraId="79DFC902"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（三）估值差错处理</w:t>
      </w:r>
    </w:p>
    <w:p w:rsidR="006C13DF" w14:paraId="192F5D05" w14:textId="77777777">
      <w:pPr>
        <w:spacing w:line="360" w:lineRule="auto"/>
        <w:ind w:firstLine="480"/>
        <w:rPr>
          <w:rFonts w:ascii="宋体" w:hAnsi="宋体" w:hint="eastAsia"/>
          <w:sz w:val="24"/>
        </w:rPr>
      </w:pPr>
      <w:r>
        <w:rPr>
          <w:rFonts w:ascii="宋体" w:hAnsi="宋体" w:hint="eastAsia"/>
          <w:sz w:val="24"/>
          <w:highlight w:val="white"/>
        </w:rPr>
        <w:t>基金管理人和基金托管人将采取必要、适当、合理的措施确保基金资产估值的准确性、及时性。当基金份额净值小数点后4位以内（含第4位）发生估值错误时，视为基金份额净值错误。</w:t>
      </w:r>
    </w:p>
    <w:p w:rsidR="006C13DF" w14:paraId="49105611" w14:textId="77777777">
      <w:pPr>
        <w:spacing w:line="360" w:lineRule="auto"/>
        <w:ind w:firstLine="480"/>
        <w:rPr>
          <w:rFonts w:ascii="宋体" w:hAnsi="宋体" w:hint="eastAsia"/>
          <w:sz w:val="24"/>
        </w:rPr>
      </w:pPr>
      <w:r>
        <w:rPr>
          <w:rFonts w:ascii="宋体" w:hAnsi="宋体" w:hint="eastAsia"/>
          <w:sz w:val="24"/>
          <w:highlight w:val="white"/>
        </w:rPr>
        <w:t>基金合同的当事人应按照以下约定处理：</w:t>
      </w:r>
    </w:p>
    <w:p w:rsidR="006C13DF" w14:paraId="12C2AE6F" w14:textId="77777777">
      <w:pPr>
        <w:spacing w:line="360" w:lineRule="auto"/>
        <w:ind w:firstLine="480"/>
        <w:rPr>
          <w:rFonts w:ascii="宋体" w:hAnsi="宋体" w:hint="eastAsia"/>
          <w:sz w:val="24"/>
        </w:rPr>
      </w:pPr>
      <w:r>
        <w:rPr>
          <w:rFonts w:ascii="宋体" w:hAnsi="宋体" w:hint="eastAsia"/>
          <w:sz w:val="24"/>
          <w:highlight w:val="white"/>
        </w:rPr>
        <w:t>1、估值错误类型</w:t>
      </w:r>
    </w:p>
    <w:p w:rsidR="006C13DF" w14:paraId="51AA8D26" w14:textId="77777777">
      <w:pPr>
        <w:spacing w:line="360" w:lineRule="auto"/>
        <w:ind w:firstLine="480"/>
        <w:rPr>
          <w:rFonts w:ascii="宋体" w:hAnsi="宋体" w:hint="eastAsia"/>
          <w:sz w:val="24"/>
        </w:rPr>
      </w:pPr>
      <w:r>
        <w:rPr>
          <w:rFonts w:ascii="宋体" w:hAnsi="宋体" w:hint="eastAsia"/>
          <w:sz w:val="24"/>
          <w:highlight w:val="white"/>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rsidR="006C13DF" w14:paraId="16F5C6D2" w14:textId="77777777">
      <w:pPr>
        <w:spacing w:line="360" w:lineRule="auto"/>
        <w:ind w:firstLine="480"/>
        <w:rPr>
          <w:rFonts w:ascii="宋体" w:hAnsi="宋体" w:hint="eastAsia"/>
          <w:sz w:val="24"/>
        </w:rPr>
      </w:pPr>
      <w:r>
        <w:rPr>
          <w:rFonts w:ascii="宋体" w:hAnsi="宋体" w:hint="eastAsia"/>
          <w:sz w:val="24"/>
          <w:highlight w:val="white"/>
        </w:rPr>
        <w:t>上述估值错误的主要类型包括但不限于：资料申报差错、数据传输差错、数据计算差错、系统故障差错、下达指令差错等。</w:t>
      </w:r>
    </w:p>
    <w:p w:rsidR="006C13DF" w14:paraId="6DD91BDC" w14:textId="77777777">
      <w:pPr>
        <w:spacing w:line="360" w:lineRule="auto"/>
        <w:ind w:firstLine="480"/>
        <w:rPr>
          <w:rFonts w:ascii="宋体" w:hAnsi="宋体" w:hint="eastAsia"/>
          <w:sz w:val="24"/>
        </w:rPr>
      </w:pPr>
      <w:r>
        <w:rPr>
          <w:rFonts w:ascii="宋体" w:hAnsi="宋体" w:hint="eastAsia"/>
          <w:sz w:val="24"/>
          <w:highlight w:val="white"/>
        </w:rPr>
        <w:t>2、估值错误处理原则</w:t>
      </w:r>
    </w:p>
    <w:p w:rsidR="006C13DF" w14:paraId="3D0EC241" w14:textId="77777777">
      <w:pPr>
        <w:spacing w:line="360" w:lineRule="auto"/>
        <w:ind w:firstLine="480"/>
        <w:rPr>
          <w:rFonts w:ascii="宋体" w:hAnsi="宋体" w:hint="eastAsia"/>
          <w:sz w:val="24"/>
        </w:rPr>
      </w:pPr>
      <w:r>
        <w:rPr>
          <w:rFonts w:ascii="宋体" w:hAnsi="宋体" w:hint="eastAsia"/>
          <w:sz w:val="24"/>
          <w:highlight w:val="white"/>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6C13DF" w14:paraId="7A3F10DA" w14:textId="77777777">
      <w:pPr>
        <w:spacing w:line="360" w:lineRule="auto"/>
        <w:ind w:firstLine="480"/>
        <w:rPr>
          <w:rFonts w:ascii="宋体" w:hAnsi="宋体" w:hint="eastAsia"/>
          <w:sz w:val="24"/>
        </w:rPr>
      </w:pPr>
      <w:r>
        <w:rPr>
          <w:rFonts w:ascii="宋体" w:hAnsi="宋体" w:hint="eastAsia"/>
          <w:sz w:val="24"/>
          <w:highlight w:val="white"/>
        </w:rPr>
        <w:t>（2）估值错误的责任方对有关当事人的直接损失负责，不对间接损失负责，并且仅对估值错误的有关直接当事人负责，不对第三方负责。</w:t>
      </w:r>
    </w:p>
    <w:p w:rsidR="006C13DF" w14:paraId="607661D8" w14:textId="77777777">
      <w:pPr>
        <w:spacing w:line="360" w:lineRule="auto"/>
        <w:ind w:firstLine="480"/>
        <w:rPr>
          <w:rFonts w:ascii="宋体" w:hAnsi="宋体" w:hint="eastAsia"/>
          <w:sz w:val="24"/>
        </w:rPr>
      </w:pPr>
      <w:r>
        <w:rPr>
          <w:rFonts w:ascii="宋体" w:hAnsi="宋体" w:hint="eastAsia"/>
          <w:sz w:val="24"/>
          <w:highlight w:val="white"/>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6C13DF" w14:paraId="389495FA" w14:textId="77777777">
      <w:pPr>
        <w:spacing w:line="360" w:lineRule="auto"/>
        <w:ind w:firstLine="480"/>
        <w:rPr>
          <w:rFonts w:ascii="宋体" w:hAnsi="宋体" w:hint="eastAsia"/>
          <w:sz w:val="24"/>
        </w:rPr>
      </w:pPr>
      <w:r>
        <w:rPr>
          <w:rFonts w:ascii="宋体" w:hAnsi="宋体" w:hint="eastAsia"/>
          <w:sz w:val="24"/>
          <w:highlight w:val="white"/>
        </w:rPr>
        <w:t>（4）估值错误调整采用尽量恢复至假设未发生估值错误的正确情形的方式。</w:t>
      </w:r>
    </w:p>
    <w:p w:rsidR="006C13DF" w14:paraId="374A70FC" w14:textId="77777777">
      <w:pPr>
        <w:spacing w:line="360" w:lineRule="auto"/>
        <w:ind w:firstLine="480"/>
        <w:rPr>
          <w:rFonts w:ascii="宋体" w:hAnsi="宋体" w:hint="eastAsia"/>
          <w:sz w:val="24"/>
        </w:rPr>
      </w:pPr>
      <w:r>
        <w:rPr>
          <w:rFonts w:ascii="宋体" w:hAnsi="宋体" w:hint="eastAsia"/>
          <w:sz w:val="24"/>
          <w:highlight w:val="white"/>
        </w:rPr>
        <w:t>3、估值错误处理程序</w:t>
      </w:r>
    </w:p>
    <w:p w:rsidR="006C13DF" w14:paraId="3DDD533B" w14:textId="77777777">
      <w:pPr>
        <w:spacing w:line="360" w:lineRule="auto"/>
        <w:ind w:firstLine="480"/>
        <w:rPr>
          <w:rFonts w:ascii="宋体" w:hAnsi="宋体" w:hint="eastAsia"/>
          <w:sz w:val="24"/>
        </w:rPr>
      </w:pPr>
      <w:r>
        <w:rPr>
          <w:rFonts w:ascii="宋体" w:hAnsi="宋体" w:hint="eastAsia"/>
          <w:sz w:val="24"/>
          <w:highlight w:val="white"/>
        </w:rPr>
        <w:t>估值错误被发现后，有关的当事人应当及时进行处理，处理的程序如下：</w:t>
      </w:r>
    </w:p>
    <w:p w:rsidR="006C13DF" w14:paraId="6ECED68C" w14:textId="77777777">
      <w:pPr>
        <w:spacing w:line="360" w:lineRule="auto"/>
        <w:ind w:firstLine="480"/>
        <w:rPr>
          <w:rFonts w:ascii="宋体" w:hAnsi="宋体" w:hint="eastAsia"/>
          <w:sz w:val="24"/>
        </w:rPr>
      </w:pPr>
      <w:r>
        <w:rPr>
          <w:rFonts w:ascii="宋体" w:hAnsi="宋体" w:hint="eastAsia"/>
          <w:sz w:val="24"/>
          <w:highlight w:val="white"/>
        </w:rPr>
        <w:t>（1）查明估值错误发生的原因，列明所有的当事人，并根据估值错误发生的原因确定估值错误的责任方；</w:t>
      </w:r>
    </w:p>
    <w:p w:rsidR="006C13DF" w14:paraId="1009AA14" w14:textId="77777777">
      <w:pPr>
        <w:spacing w:line="360" w:lineRule="auto"/>
        <w:ind w:firstLine="480"/>
        <w:rPr>
          <w:rFonts w:ascii="宋体" w:hAnsi="宋体" w:hint="eastAsia"/>
          <w:sz w:val="24"/>
        </w:rPr>
      </w:pPr>
      <w:r>
        <w:rPr>
          <w:rFonts w:ascii="宋体" w:hAnsi="宋体" w:hint="eastAsia"/>
          <w:sz w:val="24"/>
          <w:highlight w:val="white"/>
        </w:rPr>
        <w:t>（2）根据估值错误处理原则或当事人协商的方法对因估值错误造成的损失进行评估；</w:t>
      </w:r>
    </w:p>
    <w:p w:rsidR="006C13DF" w14:paraId="5DCE866C" w14:textId="77777777">
      <w:pPr>
        <w:spacing w:line="360" w:lineRule="auto"/>
        <w:ind w:firstLine="480"/>
        <w:rPr>
          <w:rFonts w:ascii="宋体" w:hAnsi="宋体" w:hint="eastAsia"/>
          <w:sz w:val="24"/>
        </w:rPr>
      </w:pPr>
      <w:r>
        <w:rPr>
          <w:rFonts w:ascii="宋体" w:hAnsi="宋体" w:hint="eastAsia"/>
          <w:sz w:val="24"/>
          <w:highlight w:val="white"/>
        </w:rPr>
        <w:t>（3）根据估值错误处理原则或当事人协商的方法由估值错误的责任方进行更正和赔偿损失；</w:t>
      </w:r>
    </w:p>
    <w:p w:rsidR="006C13DF" w14:paraId="5707D02C" w14:textId="77777777">
      <w:pPr>
        <w:spacing w:line="360" w:lineRule="auto"/>
        <w:ind w:firstLine="480"/>
        <w:rPr>
          <w:rFonts w:ascii="宋体" w:hAnsi="宋体" w:hint="eastAsia"/>
          <w:sz w:val="24"/>
        </w:rPr>
      </w:pPr>
      <w:r>
        <w:rPr>
          <w:rFonts w:ascii="宋体" w:hAnsi="宋体" w:hint="eastAsia"/>
          <w:sz w:val="24"/>
          <w:highlight w:val="white"/>
        </w:rPr>
        <w:t>（4）根据估值错误处理的方法，需要修改基金登记机构交易数据的，由基金登记机构进行更正，并就估值错误的更正向有关当事人进行确认。</w:t>
      </w:r>
    </w:p>
    <w:p w:rsidR="006C13DF" w14:paraId="61CA1A40" w14:textId="77777777">
      <w:pPr>
        <w:spacing w:line="360" w:lineRule="auto"/>
        <w:ind w:firstLine="480"/>
        <w:rPr>
          <w:rFonts w:ascii="宋体" w:hAnsi="宋体" w:hint="eastAsia"/>
          <w:sz w:val="24"/>
        </w:rPr>
      </w:pPr>
      <w:r>
        <w:rPr>
          <w:rFonts w:ascii="宋体" w:hAnsi="宋体" w:hint="eastAsia"/>
          <w:sz w:val="24"/>
          <w:highlight w:val="white"/>
        </w:rPr>
        <w:t>4、基金份额净值估值错误处理的方法如下：</w:t>
      </w:r>
    </w:p>
    <w:p w:rsidR="006C13DF" w14:paraId="215DE32B" w14:textId="77777777">
      <w:pPr>
        <w:spacing w:line="360" w:lineRule="auto"/>
        <w:ind w:firstLine="480"/>
        <w:rPr>
          <w:rFonts w:ascii="宋体" w:hAnsi="宋体" w:hint="eastAsia"/>
          <w:sz w:val="24"/>
        </w:rPr>
      </w:pPr>
      <w:r>
        <w:rPr>
          <w:rFonts w:ascii="宋体" w:hAnsi="宋体" w:hint="eastAsia"/>
          <w:sz w:val="24"/>
          <w:highlight w:val="white"/>
        </w:rPr>
        <w:t>（1）基金份额净值计算出现错误时，基金管理人应当立即予以纠正，通报基金托管人，并采取合理的措施防止损失进一步扩大。</w:t>
      </w:r>
    </w:p>
    <w:p w:rsidR="006C13DF" w14:paraId="29E09AE6" w14:textId="77777777">
      <w:pPr>
        <w:spacing w:line="360" w:lineRule="auto"/>
        <w:ind w:firstLine="480"/>
        <w:rPr>
          <w:rFonts w:ascii="宋体" w:hAnsi="宋体" w:hint="eastAsia"/>
          <w:sz w:val="24"/>
        </w:rPr>
      </w:pPr>
      <w:r>
        <w:rPr>
          <w:rFonts w:ascii="宋体" w:hAnsi="宋体" w:hint="eastAsia"/>
          <w:sz w:val="24"/>
          <w:highlight w:val="white"/>
        </w:rPr>
        <w:t>（2）错误偏差达到基金份额净值的0.25%时，基金管理人应当通报基金托管人并报中国证监会备案；错误偏差达到基金份额净值的0.5%时，基金管理人应当公告，并报中国证监会备案。</w:t>
      </w:r>
    </w:p>
    <w:p w:rsidR="006C13DF" w14:paraId="28A33ED3" w14:textId="77777777">
      <w:pPr>
        <w:spacing w:line="360" w:lineRule="auto"/>
        <w:ind w:firstLine="480"/>
        <w:rPr>
          <w:rFonts w:ascii="宋体" w:hAnsi="宋体" w:hint="eastAsia"/>
          <w:sz w:val="24"/>
        </w:rPr>
      </w:pPr>
      <w:r>
        <w:rPr>
          <w:rFonts w:ascii="宋体" w:hAnsi="宋体" w:hint="eastAsia"/>
          <w:sz w:val="24"/>
          <w:highlight w:val="white"/>
        </w:rPr>
        <w:t>（3）前述内容如法律法规或监管机关另有规定的，从其规定处理。</w:t>
      </w:r>
    </w:p>
    <w:p w:rsidR="006C13DF" w14:paraId="19ADF341"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（四）基金账册的建立</w:t>
      </w:r>
    </w:p>
    <w:p w:rsidR="006C13DF" w14:paraId="4159CCD8" w14:textId="77777777">
      <w:pPr>
        <w:spacing w:line="360" w:lineRule="auto"/>
        <w:ind w:firstLine="480"/>
        <w:rPr>
          <w:rFonts w:ascii="宋体" w:hAnsi="宋体" w:hint="eastAsia"/>
          <w:sz w:val="24"/>
        </w:rPr>
      </w:pPr>
      <w:r>
        <w:rPr>
          <w:rFonts w:ascii="宋体" w:hAnsi="宋体" w:hint="eastAsia"/>
          <w:sz w:val="24"/>
          <w:highlight w:val="white"/>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rsidR="006C13DF" w14:paraId="2D145835" w14:textId="77777777">
      <w:pPr>
        <w:spacing w:line="360" w:lineRule="auto"/>
        <w:ind w:firstLine="480"/>
        <w:rPr>
          <w:rFonts w:ascii="宋体" w:hAnsi="宋体" w:hint="eastAsia"/>
          <w:sz w:val="24"/>
        </w:rPr>
      </w:pPr>
      <w:r>
        <w:rPr>
          <w:rFonts w:ascii="宋体" w:hAnsi="宋体" w:hint="eastAsia"/>
          <w:sz w:val="24"/>
          <w:highlight w:val="white"/>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rsidR="006C13DF" w14:paraId="0088A5A6"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（五）基金招募说明书、定期报告的编制和复核</w:t>
      </w:r>
    </w:p>
    <w:p w:rsidR="006C13DF" w14:paraId="15479438" w14:textId="77777777">
      <w:pPr>
        <w:spacing w:line="360" w:lineRule="auto"/>
        <w:ind w:firstLine="480"/>
        <w:rPr>
          <w:rFonts w:ascii="宋体" w:hAnsi="宋体" w:hint="eastAsia"/>
          <w:sz w:val="24"/>
        </w:rPr>
      </w:pPr>
      <w:r>
        <w:rPr>
          <w:rFonts w:ascii="宋体" w:hAnsi="宋体" w:hint="eastAsia"/>
          <w:sz w:val="24"/>
          <w:highlight w:val="white"/>
        </w:rPr>
        <w:t>基金财务报表由基金管理人和基金托管人每月分别独立编制。月度报表的编制，应于每月终了后</w:t>
      </w:r>
      <w:r>
        <w:rPr>
          <w:rFonts w:ascii="宋体" w:hAnsi="宋体"/>
          <w:sz w:val="24"/>
          <w:highlight w:val="white"/>
        </w:rPr>
        <w:t>5</w:t>
      </w:r>
      <w:r>
        <w:rPr>
          <w:rFonts w:ascii="宋体" w:hAnsi="宋体" w:hint="eastAsia"/>
          <w:sz w:val="24"/>
          <w:highlight w:val="white"/>
        </w:rPr>
        <w:t>个工作日内完成。</w:t>
      </w:r>
    </w:p>
    <w:p w:rsidR="006C13DF" w14:paraId="760DE3AF" w14:textId="77777777">
      <w:pPr>
        <w:spacing w:line="360" w:lineRule="auto"/>
        <w:ind w:firstLine="480"/>
        <w:rPr>
          <w:rFonts w:ascii="宋体" w:hAnsi="宋体" w:hint="eastAsia"/>
          <w:sz w:val="24"/>
        </w:rPr>
      </w:pPr>
      <w:r>
        <w:rPr>
          <w:rFonts w:ascii="宋体" w:hAnsi="宋体" w:hint="eastAsia"/>
          <w:sz w:val="24"/>
          <w:highlight w:val="white"/>
        </w:rPr>
        <w:t>在《基金合同》生效后，基金招募说明书、基金产品资料概要的信息发生重大变更的，基金管理人应当在三个工作日内，更新基金招募说明书、基金产品资料概要并登载在规定网站上；基金招募说明书、基金产品资料概要其他信息发生变更的，基金管理人至少每年更新一次。基金终止运作的，基金管理人不再更新基金招募说明书、基金产品资料概要。</w:t>
      </w:r>
    </w:p>
    <w:p w:rsidR="006C13DF" w14:paraId="0DE4B6E3" w14:textId="77777777">
      <w:pPr>
        <w:spacing w:line="360" w:lineRule="auto"/>
        <w:ind w:firstLine="480"/>
        <w:rPr>
          <w:rFonts w:ascii="宋体" w:hAnsi="宋体" w:cs="宋体" w:hint="eastAsia"/>
          <w:sz w:val="24"/>
          <w:shd w:val="clear" w:color="FFFFFF" w:fill="FFFFFF"/>
        </w:rPr>
      </w:pPr>
      <w:r>
        <w:rPr>
          <w:rFonts w:ascii="宋体" w:hAnsi="宋体" w:cs="宋体" w:hint="eastAsia"/>
          <w:sz w:val="24"/>
          <w:highlight w:val="white"/>
          <w:lang w:bidi="ar"/>
        </w:rPr>
        <w:t>基金管理人应当在每月结束后5个工作日内完成月度报表的编制；</w:t>
      </w:r>
      <w:r>
        <w:rPr>
          <w:rFonts w:ascii="宋体" w:hAnsi="宋体" w:hint="eastAsia"/>
          <w:sz w:val="24"/>
          <w:highlight w:val="white"/>
        </w:rPr>
        <w:t>在季度结束之日起15个工作日内完成基金季度报告的编制；在</w:t>
      </w:r>
      <w:r>
        <w:rPr>
          <w:rFonts w:ascii="宋体" w:hAnsi="宋体" w:hint="eastAsia"/>
          <w:bCs/>
          <w:sz w:val="24"/>
          <w:highlight w:val="white"/>
        </w:rPr>
        <w:t>上半年</w:t>
      </w:r>
      <w:r>
        <w:rPr>
          <w:rFonts w:ascii="宋体" w:hAnsi="宋体" w:hint="eastAsia"/>
          <w:sz w:val="24"/>
          <w:highlight w:val="white"/>
        </w:rPr>
        <w:t>结束之日起两个</w:t>
      </w:r>
      <w:r>
        <w:rPr>
          <w:rFonts w:ascii="宋体" w:hAnsi="宋体"/>
          <w:sz w:val="24"/>
          <w:highlight w:val="white"/>
        </w:rPr>
        <w:t>月</w:t>
      </w:r>
      <w:r>
        <w:rPr>
          <w:rFonts w:ascii="宋体" w:hAnsi="宋体" w:hint="eastAsia"/>
          <w:sz w:val="24"/>
          <w:highlight w:val="white"/>
        </w:rPr>
        <w:t>内完成基金中期报告的编制；在</w:t>
      </w:r>
      <w:r>
        <w:rPr>
          <w:rFonts w:ascii="宋体" w:hAnsi="宋体" w:hint="eastAsia"/>
          <w:bCs/>
          <w:sz w:val="24"/>
          <w:highlight w:val="white"/>
        </w:rPr>
        <w:t>每年结束</w:t>
      </w:r>
      <w:r>
        <w:rPr>
          <w:rFonts w:ascii="宋体" w:hAnsi="宋体" w:hint="eastAsia"/>
          <w:sz w:val="24"/>
          <w:highlight w:val="white"/>
        </w:rPr>
        <w:t>之日起三个</w:t>
      </w:r>
      <w:r>
        <w:rPr>
          <w:rFonts w:ascii="宋体" w:hAnsi="宋体"/>
          <w:sz w:val="24"/>
          <w:highlight w:val="white"/>
        </w:rPr>
        <w:t>月</w:t>
      </w:r>
      <w:r>
        <w:rPr>
          <w:rFonts w:ascii="宋体" w:hAnsi="宋体" w:hint="eastAsia"/>
          <w:sz w:val="24"/>
          <w:highlight w:val="white"/>
        </w:rPr>
        <w:t>内完成基金年度报告的编制。</w:t>
      </w:r>
      <w:r>
        <w:rPr>
          <w:rFonts w:ascii="宋体" w:hAnsi="宋体" w:cs="宋体" w:hint="eastAsia"/>
          <w:sz w:val="24"/>
          <w:highlight w:val="white"/>
          <w:lang w:bidi="ar"/>
        </w:rPr>
        <w:t>基金年度报告中的财务会计报告应当经过符合《证券法》规定的会计师事务所审计。《基金合同》生效不足两个月的，基金管理人可以不编制当期季度报告、中期报告或者年度报告。</w:t>
      </w:r>
    </w:p>
    <w:p w:rsidR="006C13DF" w14:paraId="1A48D98A" w14:textId="77777777">
      <w:pPr>
        <w:spacing w:line="360" w:lineRule="auto"/>
        <w:ind w:firstLine="480"/>
        <w:rPr>
          <w:rFonts w:ascii="宋体" w:hAnsi="宋体" w:hint="eastAsia"/>
          <w:sz w:val="24"/>
        </w:rPr>
      </w:pPr>
      <w:r>
        <w:rPr>
          <w:rFonts w:ascii="宋体" w:hAnsi="宋体" w:hint="eastAsia"/>
          <w:sz w:val="24"/>
          <w:highlight w:val="white"/>
        </w:rPr>
        <w:t>基金托管人在复核过程中，发现相关各方的报表存在不符时，基金管理人和基金托管人应共同查明原因，进行调整，调整以相关各方认可的账务处理方式为准。核对无误后，基金托管人在基金管理人提供的报告上加盖业务印鉴或者出具加盖托管业务部门公章的复核意见书，相关各方各自留存一份。如果基金管理人与基金托管人不能于应当发布公告之日之前就相关报表达成一致，基金管理人有权按照其编制的报表对外发布公告，基金托管人有权就相关情况报证监会备案。</w:t>
      </w:r>
    </w:p>
    <w:p w:rsidR="006C13DF" w14:paraId="77CE4A03" w14:textId="77777777">
      <w:pPr>
        <w:spacing w:line="360" w:lineRule="auto"/>
        <w:ind w:firstLine="480"/>
        <w:rPr>
          <w:rFonts w:ascii="宋体" w:hAnsi="宋体" w:hint="eastAsia"/>
          <w:sz w:val="24"/>
        </w:rPr>
      </w:pPr>
      <w:r>
        <w:rPr>
          <w:rFonts w:ascii="宋体" w:hAnsi="宋体" w:hint="eastAsia"/>
          <w:sz w:val="24"/>
          <w:highlight w:val="white"/>
        </w:rPr>
        <w:t>基金托管人在对财务会计报告、中期报告或年度报告复核完毕后，需盖章确认或出具相应的复核确认书，以备有权机构对相关文件审核时提示。</w:t>
      </w:r>
    </w:p>
    <w:p w:rsidR="006C13DF" w14:paraId="3FFA4ED9"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3" w:name="_Toc96101878"/>
      <w:r>
        <w:rPr>
          <w:rFonts w:ascii="宋体" w:hAnsi="宋体" w:cs="Arial" w:hint="eastAsia"/>
          <w:sz w:val="30"/>
          <w:highlight w:val="white"/>
        </w:rPr>
        <w:t>基金收益分配</w:t>
      </w:r>
      <w:bookmarkEnd w:id="13"/>
    </w:p>
    <w:p w:rsidR="006C13DF" w14:paraId="00AFBB1E" w14:textId="77777777">
      <w:pPr>
        <w:pStyle w:val="21"/>
        <w:keepNext w:val="0"/>
        <w:keepLines w:val="0"/>
        <w:spacing w:before="0" w:after="0" w:line="360" w:lineRule="auto"/>
        <w:ind w:firstLine="480"/>
        <w:rPr>
          <w:rFonts w:ascii="宋体" w:eastAsia="宋体" w:hAnsi="宋体" w:cs="Arial" w:hint="eastAsia"/>
          <w:sz w:val="24"/>
          <w:szCs w:val="24"/>
        </w:rPr>
      </w:pPr>
      <w:r>
        <w:rPr>
          <w:rFonts w:ascii="宋体" w:eastAsia="宋体" w:hAnsi="宋体" w:hint="eastAsia"/>
          <w:b w:val="0"/>
          <w:bCs w:val="0"/>
          <w:sz w:val="24"/>
          <w:szCs w:val="24"/>
          <w:highlight w:val="white"/>
        </w:rPr>
        <w:t>（一）基金收益分配的原则</w:t>
      </w:r>
    </w:p>
    <w:p w:rsidR="006C13DF" w14:paraId="70AA3108" w14:textId="77777777">
      <w:pPr>
        <w:spacing w:line="360" w:lineRule="auto"/>
        <w:ind w:firstLine="540"/>
        <w:rPr>
          <w:rFonts w:ascii="宋体" w:hAnsi="宋体" w:hint="eastAsia"/>
          <w:sz w:val="24"/>
        </w:rPr>
      </w:pPr>
      <w:r>
        <w:rPr>
          <w:rFonts w:ascii="宋体" w:hAnsi="宋体"/>
          <w:sz w:val="24"/>
          <w:highlight w:val="white"/>
        </w:rPr>
        <w:t>1、在符合有关基金分红条件的前提下，基金管理人可以根据实际情况进行收益分配，具体分配方案以公告为准，若《基金合同》生效不满3个月可不进行收益分配；</w:t>
      </w:r>
    </w:p>
    <w:p w:rsidR="006C13DF" w14:paraId="4C27F685" w14:textId="77777777">
      <w:pPr>
        <w:spacing w:line="360" w:lineRule="auto"/>
        <w:ind w:firstLine="540"/>
        <w:rPr>
          <w:rFonts w:ascii="宋体" w:hAnsi="宋体" w:hint="eastAsia"/>
          <w:sz w:val="24"/>
        </w:rPr>
      </w:pPr>
      <w:r>
        <w:rPr>
          <w:rFonts w:ascii="宋体" w:hAnsi="宋体"/>
          <w:sz w:val="24"/>
          <w:highlight w:val="white"/>
        </w:rPr>
        <w:t>2、本基金收益分配方式分两种：现金分红与红利再投资，投资者可选择现金红利或将现金红利自动转为对应类别的基金份额进行再投资；若投资者不选择，本基金默认的收益分配方式是现金分红；</w:t>
      </w:r>
    </w:p>
    <w:p w:rsidR="006C13DF" w14:paraId="34292003" w14:textId="77777777">
      <w:pPr>
        <w:spacing w:line="360" w:lineRule="auto"/>
        <w:ind w:firstLine="540"/>
        <w:rPr>
          <w:rFonts w:ascii="宋体" w:hAnsi="宋体" w:hint="eastAsia"/>
          <w:sz w:val="24"/>
        </w:rPr>
      </w:pPr>
      <w:r>
        <w:rPr>
          <w:rFonts w:ascii="宋体" w:hAnsi="宋体"/>
          <w:sz w:val="24"/>
          <w:highlight w:val="white"/>
        </w:rPr>
        <w:t>3、基金收益分配后基金份额净值不能低于面值；即基金收益分配基准日的基金份额净值减去每单位基金份额收益分配金额后不能低于面值；</w:t>
      </w:r>
    </w:p>
    <w:p w:rsidR="006C13DF" w14:paraId="28BDE8CF" w14:textId="77777777">
      <w:pPr>
        <w:spacing w:line="360" w:lineRule="auto"/>
        <w:ind w:firstLine="540"/>
        <w:rPr>
          <w:rFonts w:ascii="宋体" w:hAnsi="宋体" w:hint="eastAsia"/>
          <w:sz w:val="24"/>
        </w:rPr>
      </w:pPr>
      <w:r>
        <w:rPr>
          <w:rFonts w:ascii="宋体" w:hAnsi="宋体"/>
          <w:sz w:val="24"/>
          <w:highlight w:val="white"/>
        </w:rPr>
        <w:t>4、本基金各基金份额类别在费用收取上不同，其对应的可分配收益可能有所不同。同一类别的每一基金份额享有同等分配权；</w:t>
      </w:r>
    </w:p>
    <w:p w:rsidR="006C13DF" w14:paraId="18991F40" w14:textId="77777777">
      <w:pPr>
        <w:spacing w:line="360" w:lineRule="auto"/>
        <w:ind w:firstLine="540"/>
        <w:rPr>
          <w:rFonts w:ascii="宋体" w:hAnsi="宋体" w:hint="eastAsia"/>
          <w:sz w:val="24"/>
        </w:rPr>
      </w:pPr>
      <w:r>
        <w:rPr>
          <w:rFonts w:ascii="宋体" w:hAnsi="宋体"/>
          <w:sz w:val="24"/>
          <w:highlight w:val="white"/>
        </w:rPr>
        <w:t>5、对于收益分配方式为红利再投资的基金份额，每份基金份额（原份额）所获得的红利再投资份额的持有期限，按该原份额的持有期限计算；</w:t>
      </w:r>
    </w:p>
    <w:p w:rsidR="006C13DF" w14:paraId="455089C1" w14:textId="77777777">
      <w:pPr>
        <w:spacing w:line="360" w:lineRule="auto"/>
        <w:ind w:firstLine="540"/>
        <w:rPr>
          <w:rFonts w:ascii="宋体" w:hAnsi="宋体" w:hint="eastAsia"/>
          <w:sz w:val="24"/>
        </w:rPr>
      </w:pPr>
      <w:r>
        <w:rPr>
          <w:rFonts w:ascii="宋体" w:hAnsi="宋体"/>
          <w:sz w:val="24"/>
          <w:highlight w:val="white"/>
        </w:rPr>
        <w:t>6、在对基金份额持有人利益无实质不利影响的前提下，基金管理人可调整基金收益的分配原则和支付方式，不需召开基金份额持有人大会审议；</w:t>
      </w:r>
    </w:p>
    <w:p w:rsidR="006C13DF" w14:paraId="3DC19119" w14:textId="77777777">
      <w:pPr>
        <w:spacing w:line="360" w:lineRule="auto"/>
        <w:ind w:firstLine="540"/>
        <w:rPr>
          <w:rFonts w:ascii="宋体" w:hAnsi="宋体" w:hint="eastAsia"/>
          <w:sz w:val="24"/>
        </w:rPr>
      </w:pPr>
      <w:r>
        <w:rPr>
          <w:rFonts w:ascii="宋体" w:hAnsi="宋体"/>
          <w:sz w:val="24"/>
          <w:highlight w:val="white"/>
        </w:rPr>
        <w:t>7、法律法规或监管机关另有规定的，从其规定。</w:t>
      </w:r>
    </w:p>
    <w:p w:rsidR="006C13DF" w14:paraId="45E839B5"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（二）基金收益分配方案的制定和实施程序</w:t>
      </w:r>
    </w:p>
    <w:p w:rsidR="006C13DF" w14:paraId="78FAB57C" w14:textId="77777777">
      <w:pPr>
        <w:spacing w:line="360" w:lineRule="auto"/>
        <w:ind w:right="28" w:firstLine="480"/>
        <w:rPr>
          <w:rFonts w:ascii="宋体" w:hAnsi="宋体" w:hint="eastAsia"/>
          <w:sz w:val="24"/>
        </w:rPr>
      </w:pPr>
      <w:r>
        <w:rPr>
          <w:rFonts w:ascii="宋体" w:hAnsi="宋体" w:hint="eastAsia"/>
          <w:sz w:val="24"/>
          <w:highlight w:val="white"/>
        </w:rPr>
        <w:t>基金收益分配方案由基金管理人拟定，并由基金托管人复核。</w:t>
      </w:r>
    </w:p>
    <w:p w:rsidR="006C13DF" w14:paraId="451142FE" w14:textId="77777777">
      <w:pPr>
        <w:spacing w:line="360" w:lineRule="auto"/>
        <w:ind w:firstLine="480"/>
        <w:rPr>
          <w:rFonts w:ascii="宋体" w:hAnsi="宋体" w:hint="eastAsia"/>
          <w:sz w:val="24"/>
        </w:rPr>
      </w:pPr>
      <w:r>
        <w:rPr>
          <w:rFonts w:ascii="宋体" w:hAnsi="宋体" w:hint="eastAsia"/>
          <w:sz w:val="24"/>
          <w:highlight w:val="white"/>
        </w:rPr>
        <w:t>基金收益分配方案确定后，由基金管理人在2日内在规定媒介公告。</w:t>
      </w:r>
    </w:p>
    <w:p w:rsidR="006C13DF" w14:paraId="4243E84F" w14:textId="77777777">
      <w:pPr>
        <w:spacing w:line="360" w:lineRule="auto"/>
        <w:ind w:firstLine="480"/>
        <w:rPr>
          <w:rFonts w:ascii="宋体" w:hAnsi="宋体" w:hint="eastAsia"/>
          <w:sz w:val="24"/>
        </w:rPr>
      </w:pPr>
      <w:r>
        <w:rPr>
          <w:rFonts w:ascii="宋体" w:hAnsi="宋体" w:hint="eastAsia"/>
          <w:sz w:val="24"/>
          <w:highlight w:val="white"/>
        </w:rPr>
        <w:t>基金管理人向基金托管人下达收益分配的付款指令，基金托管人按指令将收益分配的全部资金划入基金管理人的指定账户。</w:t>
      </w:r>
    </w:p>
    <w:p w:rsidR="006C13DF" w14:paraId="4233F6F7" w14:textId="77777777">
      <w:pPr>
        <w:pStyle w:val="21"/>
        <w:keepNext w:val="0"/>
        <w:keepLines w:val="0"/>
        <w:spacing w:before="0" w:after="0" w:line="360" w:lineRule="auto"/>
        <w:ind w:firstLine="480"/>
        <w:rPr>
          <w:rFonts w:ascii="宋体" w:eastAsia="宋体" w:hAnsi="宋体" w:hint="eastAsia"/>
          <w:b w:val="0"/>
          <w:bCs w:val="0"/>
          <w:sz w:val="24"/>
          <w:szCs w:val="24"/>
        </w:rPr>
      </w:pPr>
      <w:r>
        <w:rPr>
          <w:rFonts w:ascii="宋体" w:eastAsia="宋体" w:hAnsi="宋体" w:hint="eastAsia"/>
          <w:b w:val="0"/>
          <w:bCs w:val="0"/>
          <w:sz w:val="24"/>
          <w:szCs w:val="24"/>
          <w:highlight w:val="white"/>
        </w:rPr>
        <w:t>（三）实施侧袋机制期间的收益分配</w:t>
      </w:r>
    </w:p>
    <w:p w:rsidR="006C13DF" w14:paraId="5E963A85" w14:textId="77777777">
      <w:pPr>
        <w:spacing w:line="360" w:lineRule="auto"/>
        <w:ind w:firstLine="480"/>
        <w:rPr>
          <w:rFonts w:ascii="宋体" w:hAnsi="宋体" w:hint="eastAsia"/>
          <w:sz w:val="24"/>
        </w:rPr>
      </w:pPr>
      <w:r>
        <w:rPr>
          <w:rFonts w:ascii="宋体" w:hAnsi="宋体" w:hint="eastAsia"/>
          <w:sz w:val="24"/>
          <w:highlight w:val="white"/>
        </w:rPr>
        <w:t>本基金实施侧袋机制的，侧袋账户不进行收益分配，详见招募说明书的规定。</w:t>
      </w:r>
    </w:p>
    <w:p w:rsidR="006C13DF" w14:paraId="444FE386"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4" w:name="_Toc96101879"/>
      <w:r>
        <w:rPr>
          <w:rFonts w:ascii="宋体" w:hAnsi="宋体" w:cs="Arial" w:hint="eastAsia"/>
          <w:sz w:val="30"/>
          <w:highlight w:val="white"/>
        </w:rPr>
        <w:t>信息披露</w:t>
      </w:r>
      <w:bookmarkEnd w:id="14"/>
    </w:p>
    <w:p w:rsidR="006C13DF" w14:paraId="47D8520A" w14:textId="77777777">
      <w:pPr>
        <w:pStyle w:val="21"/>
        <w:keepNext w:val="0"/>
        <w:keepLines w:val="0"/>
        <w:tabs>
          <w:tab w:val="left" w:pos="1080"/>
        </w:tabs>
        <w:spacing w:before="0" w:after="0" w:line="360" w:lineRule="auto"/>
        <w:ind w:firstLine="470"/>
        <w:rPr>
          <w:rFonts w:ascii="宋体" w:eastAsia="宋体" w:hAnsi="宋体" w:cs="Arial" w:hint="eastAsia"/>
          <w:b w:val="0"/>
          <w:sz w:val="24"/>
          <w:szCs w:val="24"/>
        </w:rPr>
      </w:pPr>
      <w:r>
        <w:rPr>
          <w:rFonts w:ascii="宋体" w:eastAsia="宋体" w:hAnsi="宋体" w:hint="eastAsia"/>
          <w:b w:val="0"/>
          <w:sz w:val="24"/>
          <w:szCs w:val="24"/>
          <w:highlight w:val="white"/>
        </w:rPr>
        <w:t>（一）</w:t>
      </w:r>
      <w:r>
        <w:rPr>
          <w:rFonts w:ascii="宋体" w:eastAsia="宋体" w:hAnsi="宋体" w:cs="Arial" w:hint="eastAsia"/>
          <w:b w:val="0"/>
          <w:sz w:val="24"/>
          <w:szCs w:val="24"/>
          <w:highlight w:val="white"/>
        </w:rPr>
        <w:t>保密义务</w:t>
      </w:r>
    </w:p>
    <w:p w:rsidR="006C13DF" w14:paraId="50D0129D" w14:textId="77777777">
      <w:pPr>
        <w:spacing w:line="360" w:lineRule="auto"/>
        <w:ind w:right="28" w:firstLine="480"/>
        <w:rPr>
          <w:rFonts w:ascii="宋体" w:hAnsi="宋体" w:hint="eastAsia"/>
          <w:sz w:val="24"/>
        </w:rPr>
      </w:pPr>
      <w:r>
        <w:rPr>
          <w:rFonts w:ascii="宋体" w:hAnsi="宋体" w:hint="eastAsia"/>
          <w:sz w:val="24"/>
          <w:highlight w:val="white"/>
        </w:rPr>
        <w:t>除按照《基金法》、《信息披露办法》、《基金合同》及中国证监会关于基金信息披露的有关规定进行披露以外，基金管理人和基金托管人对基金运作中产生的信息以及从对方获得的业务信息应恪守保密的义务。基金管理人与基金托管人对基金的任何信息，除法律法规规定之外，不得在其公开披露之前，先行对任何第三方披露。但是，如下情况不应视为基金管理人或基金托管人违反保密义务：</w:t>
      </w:r>
    </w:p>
    <w:p w:rsidR="006C13DF" w14:paraId="5966E7BA" w14:textId="77777777">
      <w:pPr>
        <w:spacing w:line="360" w:lineRule="auto"/>
        <w:ind w:firstLine="480"/>
        <w:rPr>
          <w:rFonts w:ascii="宋体" w:hAnsi="宋体" w:hint="eastAsia"/>
          <w:sz w:val="24"/>
        </w:rPr>
      </w:pPr>
      <w:r>
        <w:rPr>
          <w:rFonts w:ascii="宋体" w:hAnsi="宋体" w:hint="eastAsia"/>
          <w:sz w:val="24"/>
          <w:highlight w:val="white"/>
        </w:rPr>
        <w:t>1、非因基金管理人和基金托管人的原因导致保密信息被披露、泄露或公开；</w:t>
      </w:r>
    </w:p>
    <w:p w:rsidR="006C13DF" w14:paraId="5BD4AA7A" w14:textId="77777777">
      <w:pPr>
        <w:spacing w:line="360" w:lineRule="auto"/>
        <w:ind w:firstLine="480"/>
        <w:rPr>
          <w:rFonts w:ascii="宋体" w:hAnsi="宋体" w:hint="eastAsia"/>
          <w:sz w:val="24"/>
        </w:rPr>
      </w:pPr>
      <w:r>
        <w:rPr>
          <w:rFonts w:ascii="宋体" w:hAnsi="宋体" w:hint="eastAsia"/>
          <w:sz w:val="24"/>
          <w:highlight w:val="white"/>
        </w:rPr>
        <w:t>2、基金管理人和基金托管人为遵守和服从法院判决、仲裁裁决或中国证监会等监管机构的命令、决定所做出的信息披露或公开；</w:t>
      </w:r>
    </w:p>
    <w:p w:rsidR="006C13DF" w14:paraId="089CF758" w14:textId="77777777">
      <w:pPr>
        <w:spacing w:line="360" w:lineRule="auto"/>
        <w:ind w:right="28" w:firstLine="480"/>
        <w:rPr>
          <w:rFonts w:ascii="宋体" w:hAnsi="宋体" w:cs="宋体" w:hint="eastAsia"/>
          <w:sz w:val="24"/>
          <w:shd w:val="clear" w:color="FFFFFF" w:fill="FFFFFF"/>
        </w:rPr>
      </w:pPr>
      <w:r>
        <w:rPr>
          <w:rFonts w:ascii="宋体" w:hAnsi="宋体" w:cs="宋体" w:hint="eastAsia"/>
          <w:sz w:val="24"/>
          <w:highlight w:val="white"/>
          <w:lang w:bidi="ar"/>
        </w:rPr>
        <w:t>3、依法向监管机构、司法机关及审计、法律等外部专业顾问提供。</w:t>
      </w:r>
    </w:p>
    <w:p w:rsidR="006C13DF" w14:paraId="08C9A976" w14:textId="77777777">
      <w:pPr>
        <w:pStyle w:val="21"/>
        <w:keepNext w:val="0"/>
        <w:keepLines w:val="0"/>
        <w:tabs>
          <w:tab w:val="left" w:pos="1080"/>
        </w:tabs>
        <w:spacing w:before="0" w:after="0" w:line="360" w:lineRule="auto"/>
        <w:ind w:firstLine="480"/>
        <w:rPr>
          <w:rFonts w:ascii="宋体" w:eastAsia="宋体" w:hAnsi="宋体" w:hint="eastAsia"/>
          <w:b w:val="0"/>
          <w:sz w:val="24"/>
          <w:szCs w:val="24"/>
        </w:rPr>
      </w:pPr>
      <w:r>
        <w:rPr>
          <w:rFonts w:ascii="宋体" w:eastAsia="宋体" w:hAnsi="宋体" w:hint="eastAsia"/>
          <w:b w:val="0"/>
          <w:sz w:val="24"/>
          <w:szCs w:val="24"/>
          <w:highlight w:val="white"/>
        </w:rPr>
        <w:t>（二）基金管理人和基金托管人在信息披露中的职责和信息披露程序</w:t>
      </w:r>
    </w:p>
    <w:p w:rsidR="006C13DF" w14:paraId="3B76DA13" w14:textId="77777777">
      <w:pPr>
        <w:spacing w:line="360" w:lineRule="auto"/>
        <w:ind w:right="28" w:firstLine="480"/>
        <w:rPr>
          <w:rFonts w:ascii="宋体" w:hAnsi="宋体" w:hint="eastAsia"/>
          <w:sz w:val="24"/>
        </w:rPr>
      </w:pPr>
      <w:r>
        <w:rPr>
          <w:rFonts w:ascii="宋体" w:hAnsi="宋体" w:hint="eastAsia"/>
          <w:sz w:val="24"/>
          <w:highlight w:val="white"/>
        </w:rPr>
        <w:t>基金管理人和基金托管人应根据相关法律法规、《基金合同》的规定各自承担相应的信息披露职责。基金管理人和基金托管人负有积极配合、互相督促、彼此监督、保证其履行按照法定方式和时限披露的义务。</w:t>
      </w:r>
    </w:p>
    <w:p w:rsidR="006C13DF" w14:paraId="5998EC4F" w14:textId="77777777">
      <w:pPr>
        <w:spacing w:line="360" w:lineRule="auto"/>
        <w:ind w:right="28" w:firstLine="480"/>
        <w:rPr>
          <w:rFonts w:ascii="宋体" w:hAnsi="宋体" w:hint="eastAsia"/>
          <w:sz w:val="24"/>
        </w:rPr>
      </w:pPr>
      <w:r>
        <w:rPr>
          <w:rFonts w:ascii="宋体" w:hAnsi="宋体" w:hint="eastAsia"/>
          <w:sz w:val="24"/>
          <w:highlight w:val="white"/>
        </w:rPr>
        <w:t>根据《信息披露办法》的要求，本基金信息披露的文件包括基金招募说明书、《基金合同》、本协议、基金产品资料概要、基金份额发售公告、《基金合同》生效公告、定期报告、临时报告、</w:t>
      </w:r>
      <w:r>
        <w:rPr>
          <w:rFonts w:ascii="宋体" w:hAnsi="宋体" w:cs="宋体" w:hint="eastAsia"/>
          <w:sz w:val="24"/>
          <w:highlight w:val="white"/>
          <w:lang w:bidi="ar"/>
        </w:rPr>
        <w:t>澄清公告、基金份额持有人大会决议、</w:t>
      </w:r>
      <w:r>
        <w:rPr>
          <w:rFonts w:ascii="宋体" w:hAnsi="宋体" w:hint="eastAsia"/>
          <w:sz w:val="24"/>
          <w:highlight w:val="white"/>
        </w:rPr>
        <w:t>清算报告</w:t>
      </w:r>
      <w:r>
        <w:rPr>
          <w:rFonts w:ascii="宋体" w:hAnsi="宋体" w:cs="宋体" w:hint="eastAsia"/>
          <w:sz w:val="24"/>
          <w:highlight w:val="white"/>
          <w:lang w:bidi="ar"/>
        </w:rPr>
        <w:t>以及中国证监会规定的其他信息等必要的文件</w:t>
      </w:r>
      <w:r>
        <w:rPr>
          <w:rFonts w:ascii="宋体" w:hAnsi="宋体" w:hint="eastAsia"/>
          <w:sz w:val="24"/>
          <w:highlight w:val="white"/>
        </w:rPr>
        <w:t>，由基金管理人拟定并负责公布。</w:t>
      </w:r>
    </w:p>
    <w:p w:rsidR="006C13DF" w14:paraId="5AAE71A2" w14:textId="77777777">
      <w:pPr>
        <w:spacing w:line="360" w:lineRule="auto"/>
        <w:ind w:firstLine="480"/>
        <w:rPr>
          <w:rFonts w:ascii="宋体" w:hAnsi="宋体" w:hint="eastAsia"/>
          <w:sz w:val="24"/>
        </w:rPr>
      </w:pPr>
      <w:r>
        <w:rPr>
          <w:rFonts w:ascii="宋体" w:hAnsi="宋体" w:hint="eastAsia"/>
          <w:sz w:val="24"/>
          <w:highlight w:val="white"/>
        </w:rPr>
        <w:t>基金托管人应当按照相关法律、行政法规、中国证监会的规定和《基金合同》的约定，对基金管理人编制的基金资产净值、基金份额净值、基金份额申购赎回价格、基金定期报告、更新的招募说明书</w:t>
      </w:r>
      <w:r>
        <w:rPr>
          <w:rFonts w:ascii="宋体" w:hAnsi="宋体"/>
          <w:sz w:val="24"/>
          <w:highlight w:val="white"/>
        </w:rPr>
        <w:t>、</w:t>
      </w:r>
      <w:r>
        <w:rPr>
          <w:rFonts w:ascii="宋体" w:hAnsi="宋体" w:hint="eastAsia"/>
          <w:sz w:val="24"/>
          <w:highlight w:val="white"/>
        </w:rPr>
        <w:t>基金产品资料概要、基金清</w:t>
      </w:r>
      <w:r>
        <w:rPr>
          <w:rFonts w:ascii="宋体" w:hAnsi="宋体"/>
          <w:sz w:val="24"/>
          <w:highlight w:val="white"/>
        </w:rPr>
        <w:t>算</w:t>
      </w:r>
      <w:r>
        <w:rPr>
          <w:rFonts w:ascii="宋体" w:hAnsi="宋体" w:hint="eastAsia"/>
          <w:sz w:val="24"/>
          <w:highlight w:val="white"/>
        </w:rPr>
        <w:t>报告等公开披露的相关基金信息进行复核、审查，并向基金管理人进行</w:t>
      </w:r>
      <w:r>
        <w:rPr>
          <w:rFonts w:ascii="宋体" w:hAnsi="宋体"/>
          <w:sz w:val="24"/>
          <w:highlight w:val="white"/>
        </w:rPr>
        <w:t>书面或</w:t>
      </w:r>
      <w:r>
        <w:rPr>
          <w:rFonts w:ascii="宋体" w:hAnsi="宋体" w:hint="eastAsia"/>
          <w:sz w:val="24"/>
          <w:highlight w:val="white"/>
        </w:rPr>
        <w:t>电子确认。</w:t>
      </w:r>
    </w:p>
    <w:p w:rsidR="006C13DF" w14:paraId="714A3302" w14:textId="77777777">
      <w:pPr>
        <w:spacing w:line="360" w:lineRule="auto"/>
        <w:ind w:firstLine="480"/>
        <w:rPr>
          <w:rFonts w:ascii="宋体" w:hAnsi="宋体" w:hint="eastAsia"/>
          <w:sz w:val="24"/>
        </w:rPr>
      </w:pPr>
      <w:r>
        <w:rPr>
          <w:rFonts w:ascii="宋体" w:hAnsi="宋体" w:hint="eastAsia"/>
          <w:sz w:val="24"/>
          <w:highlight w:val="white"/>
        </w:rPr>
        <w:t>基金年度报告中的财务会计报告部分，经符合《证券法》规定的会计师事务所审计后，方可披露。</w:t>
      </w:r>
    </w:p>
    <w:p w:rsidR="006C13DF" w14:paraId="4693C7CA" w14:textId="77777777">
      <w:pPr>
        <w:spacing w:line="360" w:lineRule="auto"/>
        <w:ind w:firstLine="480"/>
        <w:rPr>
          <w:rFonts w:ascii="宋体" w:hAnsi="宋体" w:hint="eastAsia"/>
          <w:sz w:val="24"/>
        </w:rPr>
      </w:pPr>
      <w:r>
        <w:rPr>
          <w:rFonts w:ascii="宋体" w:hAnsi="宋体" w:hint="eastAsia"/>
          <w:sz w:val="24"/>
          <w:highlight w:val="white"/>
        </w:rPr>
        <w:t>基金管理人和基金托管人应当在中国证监会规定时间内，将应予披露的基金信息通过规定媒介披露。基金管理人信息披露时同步说明基金托管人所复核的数据和信息范围。</w:t>
      </w:r>
    </w:p>
    <w:p w:rsidR="006C13DF" w14:paraId="2E647829" w14:textId="77777777">
      <w:pPr>
        <w:spacing w:line="360" w:lineRule="auto"/>
        <w:ind w:firstLine="480"/>
        <w:rPr>
          <w:rFonts w:ascii="宋体" w:hAnsi="宋体" w:hint="eastAsia"/>
          <w:sz w:val="24"/>
        </w:rPr>
      </w:pPr>
      <w:r>
        <w:rPr>
          <w:rFonts w:ascii="宋体" w:hAnsi="宋体" w:cs="Arial" w:hint="eastAsia"/>
          <w:sz w:val="24"/>
          <w:szCs w:val="21"/>
          <w:highlight w:val="white"/>
          <w:lang w:bidi="ar"/>
        </w:rPr>
        <w:t>依法必须披露的信息发布后，基金管理人、基金托管人应当按照相关法律法规规定将信息置备于各自</w:t>
      </w:r>
      <w:r>
        <w:rPr>
          <w:rFonts w:ascii="宋体" w:hAnsi="宋体" w:cs="Arial" w:hint="eastAsia"/>
          <w:sz w:val="24"/>
          <w:highlight w:val="white"/>
        </w:rPr>
        <w:t>办公场所，</w:t>
      </w:r>
      <w:r>
        <w:rPr>
          <w:rFonts w:ascii="宋体" w:hAnsi="宋体" w:cs="Arial" w:hint="eastAsia"/>
          <w:sz w:val="24"/>
          <w:szCs w:val="21"/>
          <w:highlight w:val="white"/>
          <w:lang w:bidi="ar"/>
        </w:rPr>
        <w:t>供社会公众查阅、复制</w:t>
      </w:r>
      <w:r>
        <w:rPr>
          <w:rFonts w:ascii="宋体" w:hAnsi="宋体" w:cs="Arial" w:hint="eastAsia"/>
          <w:sz w:val="24"/>
          <w:highlight w:val="white"/>
        </w:rPr>
        <w:t>。</w:t>
      </w:r>
      <w:r>
        <w:rPr>
          <w:rFonts w:ascii="宋体" w:hAnsi="宋体" w:cs="Arial" w:hint="eastAsia"/>
          <w:sz w:val="24"/>
          <w:szCs w:val="21"/>
          <w:highlight w:val="white"/>
          <w:lang w:bidi="ar"/>
        </w:rPr>
        <w:t>投资者</w:t>
      </w:r>
      <w:r>
        <w:rPr>
          <w:rFonts w:ascii="宋体" w:hAnsi="宋体" w:cs="Arial" w:hint="eastAsia"/>
          <w:sz w:val="24"/>
          <w:highlight w:val="white"/>
        </w:rPr>
        <w:t>在支付工本费后可在合理时间获得上述文件的复制件或复印件。基金管理人和基金托管人应保证文本的内容与所公告的内容完全一致。</w:t>
      </w:r>
    </w:p>
    <w:p w:rsidR="006C13DF" w14:paraId="5F628653" w14:textId="77777777">
      <w:pPr>
        <w:spacing w:line="360" w:lineRule="auto"/>
        <w:ind w:firstLine="480"/>
        <w:rPr>
          <w:rFonts w:ascii="宋体" w:hAnsi="宋体" w:hint="eastAsia"/>
          <w:sz w:val="24"/>
        </w:rPr>
      </w:pPr>
      <w:r>
        <w:rPr>
          <w:rFonts w:ascii="宋体" w:hAnsi="宋体" w:hint="eastAsia"/>
          <w:sz w:val="24"/>
          <w:highlight w:val="white"/>
        </w:rPr>
        <w:t>（三）暂停或延迟信息披露的情形</w:t>
      </w:r>
    </w:p>
    <w:p w:rsidR="006C13DF" w14:paraId="61C7F84A" w14:textId="77777777">
      <w:pPr>
        <w:spacing w:line="360" w:lineRule="auto"/>
        <w:ind w:firstLine="480"/>
        <w:rPr>
          <w:rFonts w:ascii="宋体" w:hAnsi="宋体" w:hint="eastAsia"/>
          <w:sz w:val="24"/>
        </w:rPr>
      </w:pPr>
      <w:r>
        <w:rPr>
          <w:rFonts w:ascii="宋体" w:hAnsi="宋体" w:hint="eastAsia"/>
          <w:sz w:val="24"/>
          <w:highlight w:val="white"/>
        </w:rPr>
        <w:t>1、基金投资所涉及的证券交易市场遇法定节假日或因其他原因暂停营业时；</w:t>
      </w:r>
    </w:p>
    <w:p w:rsidR="006C13DF" w14:paraId="4F8D1C6D" w14:textId="77777777">
      <w:pPr>
        <w:spacing w:line="360" w:lineRule="auto"/>
        <w:ind w:firstLine="480"/>
        <w:rPr>
          <w:rFonts w:ascii="宋体" w:hAnsi="宋体" w:hint="eastAsia"/>
          <w:sz w:val="24"/>
        </w:rPr>
      </w:pPr>
      <w:r>
        <w:rPr>
          <w:rFonts w:ascii="宋体" w:hAnsi="宋体" w:hint="eastAsia"/>
          <w:sz w:val="24"/>
          <w:highlight w:val="white"/>
        </w:rPr>
        <w:t>2、因不可抗力致使基金管理人、基金托管人无法准确评估基金资产价值时；</w:t>
      </w:r>
    </w:p>
    <w:p w:rsidR="006C13DF" w14:paraId="738870DD" w14:textId="77777777">
      <w:pPr>
        <w:spacing w:line="360" w:lineRule="auto"/>
        <w:ind w:firstLine="480"/>
        <w:rPr>
          <w:rFonts w:ascii="宋体" w:hAnsi="宋体" w:hint="eastAsia"/>
          <w:sz w:val="24"/>
        </w:rPr>
      </w:pPr>
      <w:r>
        <w:rPr>
          <w:rFonts w:ascii="宋体" w:hAnsi="宋体" w:hint="eastAsia"/>
          <w:sz w:val="24"/>
          <w:highlight w:val="white"/>
        </w:rPr>
        <w:t>3、占相当比例的被投资基金暂停估值；</w:t>
      </w:r>
    </w:p>
    <w:p w:rsidR="006C13DF" w14:paraId="545EC45F" w14:textId="77777777">
      <w:pPr>
        <w:spacing w:line="360" w:lineRule="auto"/>
        <w:ind w:firstLine="480"/>
        <w:rPr>
          <w:rFonts w:ascii="宋体" w:hAnsi="宋体" w:hint="eastAsia"/>
          <w:sz w:val="24"/>
        </w:rPr>
      </w:pPr>
      <w:r>
        <w:rPr>
          <w:rFonts w:ascii="宋体" w:hAnsi="宋体" w:hint="eastAsia"/>
          <w:sz w:val="24"/>
          <w:highlight w:val="white"/>
        </w:rPr>
        <w:t>4、当特定资产占前一估值日基金资产净值50%以上的，经与基金托管人协商确认后，基金管理人应当暂停估值；</w:t>
      </w:r>
    </w:p>
    <w:p w:rsidR="006C13DF" w14:paraId="52A0548A" w14:textId="77777777">
      <w:pPr>
        <w:spacing w:line="360" w:lineRule="auto"/>
        <w:ind w:firstLine="480"/>
        <w:rPr>
          <w:rFonts w:ascii="宋体" w:hAnsi="宋体" w:hint="eastAsia"/>
          <w:sz w:val="24"/>
        </w:rPr>
      </w:pPr>
      <w:r>
        <w:rPr>
          <w:rFonts w:ascii="宋体" w:hAnsi="宋体" w:hint="eastAsia"/>
          <w:sz w:val="24"/>
          <w:highlight w:val="white"/>
        </w:rPr>
        <w:t>5、中国证监会和基金合同认定的其它情形。</w:t>
      </w:r>
    </w:p>
    <w:p w:rsidR="006C13DF" w14:paraId="6BD81EC7" w14:textId="77777777">
      <w:pPr>
        <w:spacing w:line="360" w:lineRule="auto"/>
        <w:ind w:firstLine="480"/>
        <w:rPr>
          <w:rFonts w:ascii="宋体" w:hAnsi="宋体" w:hint="eastAsia"/>
          <w:sz w:val="24"/>
        </w:rPr>
      </w:pPr>
      <w:r>
        <w:rPr>
          <w:rFonts w:ascii="宋体" w:hAnsi="宋体" w:hint="eastAsia"/>
          <w:sz w:val="24"/>
          <w:highlight w:val="white"/>
        </w:rPr>
        <w:t>（四）实施侧袋机制期间的信息披露</w:t>
      </w:r>
    </w:p>
    <w:p w:rsidR="006C13DF" w14:paraId="5D21A0AB" w14:textId="77777777">
      <w:pPr>
        <w:spacing w:line="360" w:lineRule="auto"/>
        <w:ind w:firstLine="480"/>
        <w:rPr>
          <w:rFonts w:ascii="宋体" w:hAnsi="宋体" w:hint="eastAsia"/>
          <w:sz w:val="24"/>
        </w:rPr>
      </w:pPr>
      <w:r>
        <w:rPr>
          <w:rFonts w:ascii="宋体" w:hAnsi="宋体" w:hint="eastAsia"/>
          <w:sz w:val="24"/>
          <w:highlight w:val="white"/>
        </w:rPr>
        <w:t>本基金实施侧袋机制的，相关信息披露义务人应当根据法律法规、基金合同和招募说明书的规定进行信息披露，详见招募说明书的规定。</w:t>
      </w:r>
    </w:p>
    <w:p w:rsidR="006C13DF" w14:paraId="6E1D9B02"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5" w:name="_Toc96101880"/>
      <w:r>
        <w:rPr>
          <w:rFonts w:ascii="宋体" w:hAnsi="宋体" w:cs="Arial" w:hint="eastAsia"/>
          <w:sz w:val="30"/>
          <w:highlight w:val="white"/>
        </w:rPr>
        <w:t>基金费用</w:t>
      </w:r>
      <w:bookmarkEnd w:id="15"/>
    </w:p>
    <w:p w:rsidR="006C13DF" w14:paraId="00D0823C" w14:textId="77777777">
      <w:pPr>
        <w:spacing w:line="360" w:lineRule="auto"/>
        <w:ind w:firstLine="480"/>
        <w:rPr>
          <w:rFonts w:ascii="宋体" w:hAnsi="宋体" w:hint="eastAsia"/>
          <w:sz w:val="24"/>
        </w:rPr>
      </w:pPr>
      <w:r>
        <w:rPr>
          <w:rFonts w:ascii="宋体" w:hAnsi="宋体" w:hint="eastAsia"/>
          <w:sz w:val="24"/>
          <w:highlight w:val="white"/>
        </w:rPr>
        <w:t>（一）基金管理费的计提比例和计提方法</w:t>
      </w:r>
    </w:p>
    <w:p w:rsidR="006C13DF" w14:paraId="5A20D77E" w14:textId="77777777">
      <w:pPr>
        <w:spacing w:line="360" w:lineRule="auto"/>
        <w:ind w:firstLine="480"/>
        <w:rPr>
          <w:rFonts w:ascii="宋体" w:hAnsi="宋体" w:hint="eastAsia"/>
          <w:sz w:val="24"/>
        </w:rPr>
      </w:pPr>
      <w:r>
        <w:rPr>
          <w:rFonts w:ascii="宋体" w:hAnsi="宋体" w:hint="eastAsia"/>
          <w:sz w:val="24"/>
          <w:highlight w:val="white"/>
        </w:rPr>
        <w:t>本基金投资于本基金管理人所管理的基金的部分不收取管理费。本基金管理费按前一日基金资产净值扣除前一日所持有本基金管理人管理的其他基金公允价值后的余额（若为负数，则取0）的0.60%年费率计提。管理费的计算方法如下：</w:t>
      </w:r>
    </w:p>
    <w:p w:rsidR="006C13DF" w14:paraId="38F7D03F" w14:textId="77777777">
      <w:pPr>
        <w:spacing w:line="360" w:lineRule="auto"/>
        <w:ind w:firstLine="480"/>
        <w:rPr>
          <w:rFonts w:ascii="宋体" w:hAnsi="宋体" w:hint="eastAsia"/>
          <w:sz w:val="24"/>
        </w:rPr>
      </w:pPr>
      <w:r>
        <w:rPr>
          <w:rFonts w:ascii="宋体" w:hAnsi="宋体" w:hint="eastAsia"/>
          <w:sz w:val="24"/>
          <w:highlight w:val="white"/>
        </w:rPr>
        <w:t>H＝E×0.60%÷当年天数</w:t>
      </w:r>
    </w:p>
    <w:p w:rsidR="006C13DF" w14:paraId="15FCCD2B" w14:textId="77777777">
      <w:pPr>
        <w:spacing w:line="360" w:lineRule="auto"/>
        <w:ind w:firstLine="480"/>
        <w:rPr>
          <w:rFonts w:ascii="宋体" w:hAnsi="宋体" w:hint="eastAsia"/>
          <w:sz w:val="24"/>
        </w:rPr>
      </w:pPr>
      <w:r>
        <w:rPr>
          <w:rFonts w:ascii="宋体" w:hAnsi="宋体" w:hint="eastAsia"/>
          <w:sz w:val="24"/>
          <w:highlight w:val="white"/>
        </w:rPr>
        <w:t>H为每日应计提的基金管理费</w:t>
      </w:r>
    </w:p>
    <w:p w:rsidR="006C13DF" w14:paraId="1E579AA7" w14:textId="77777777">
      <w:pPr>
        <w:spacing w:line="360" w:lineRule="auto"/>
        <w:ind w:firstLine="480"/>
        <w:rPr>
          <w:rFonts w:ascii="宋体" w:hAnsi="宋体" w:hint="eastAsia"/>
          <w:sz w:val="24"/>
        </w:rPr>
      </w:pPr>
      <w:r>
        <w:rPr>
          <w:rFonts w:ascii="宋体" w:hAnsi="宋体" w:hint="eastAsia"/>
          <w:sz w:val="24"/>
          <w:highlight w:val="white"/>
        </w:rPr>
        <w:t>E为前一日的基金资产净值扣除前一日所持有的基金管理人管理的其他基金公允价值后的余额，若为负数，则E取0</w:t>
      </w:r>
    </w:p>
    <w:p w:rsidR="006C13DF" w14:paraId="21D4BCB4" w14:textId="77777777">
      <w:pPr>
        <w:spacing w:line="360" w:lineRule="auto"/>
        <w:ind w:firstLine="480"/>
        <w:rPr>
          <w:rFonts w:ascii="宋体" w:hAnsi="宋体" w:hint="eastAsia"/>
          <w:sz w:val="24"/>
        </w:rPr>
      </w:pPr>
      <w:r>
        <w:rPr>
          <w:rFonts w:ascii="宋体" w:hAnsi="宋体" w:hint="eastAsia"/>
          <w:sz w:val="24"/>
          <w:highlight w:val="white"/>
        </w:rPr>
        <w:t>（二）基金托管费的计提比例和计提方法</w:t>
      </w:r>
    </w:p>
    <w:p w:rsidR="006C13DF" w14:paraId="79581C87" w14:textId="77777777">
      <w:pPr>
        <w:spacing w:line="360" w:lineRule="auto"/>
        <w:ind w:firstLine="480"/>
        <w:rPr>
          <w:rFonts w:ascii="宋体" w:hAnsi="宋体" w:hint="eastAsia"/>
          <w:sz w:val="24"/>
        </w:rPr>
      </w:pPr>
      <w:r>
        <w:rPr>
          <w:rFonts w:ascii="宋体" w:hAnsi="宋体" w:hint="eastAsia"/>
          <w:sz w:val="24"/>
          <w:highlight w:val="white"/>
        </w:rPr>
        <w:t>本基金投资于本基金托管人所托管的基金的部分不收取托管费。本基金托管费按前一日基金资产净值扣除前一日所持有本基金托管人托管的其他基金公允价值后的余额（若为负数，则取0）的0.15%年费率计提。托管费的计算方法如下：</w:t>
      </w:r>
    </w:p>
    <w:p w:rsidR="006C13DF" w14:paraId="444B70C3" w14:textId="77777777">
      <w:pPr>
        <w:spacing w:line="360" w:lineRule="auto"/>
        <w:ind w:firstLine="480"/>
        <w:rPr>
          <w:rFonts w:ascii="宋体" w:hAnsi="宋体" w:hint="eastAsia"/>
          <w:sz w:val="24"/>
        </w:rPr>
      </w:pPr>
      <w:r>
        <w:rPr>
          <w:rFonts w:ascii="宋体" w:hAnsi="宋体" w:hint="eastAsia"/>
          <w:sz w:val="24"/>
          <w:highlight w:val="white"/>
        </w:rPr>
        <w:t>H＝E×0.15%÷当年天数</w:t>
      </w:r>
    </w:p>
    <w:p w:rsidR="006C13DF" w14:paraId="1D31BD49" w14:textId="77777777">
      <w:pPr>
        <w:spacing w:line="360" w:lineRule="auto"/>
        <w:ind w:firstLine="480"/>
        <w:rPr>
          <w:rFonts w:ascii="宋体" w:hAnsi="宋体" w:hint="eastAsia"/>
          <w:sz w:val="24"/>
        </w:rPr>
      </w:pPr>
      <w:r>
        <w:rPr>
          <w:rFonts w:ascii="宋体" w:hAnsi="宋体" w:hint="eastAsia"/>
          <w:sz w:val="24"/>
          <w:highlight w:val="white"/>
        </w:rPr>
        <w:t>H为每日应计提的基金托管费</w:t>
      </w:r>
    </w:p>
    <w:p w:rsidR="006C13DF" w14:paraId="18376832" w14:textId="77777777">
      <w:pPr>
        <w:spacing w:line="360" w:lineRule="auto"/>
        <w:ind w:firstLine="480"/>
        <w:rPr>
          <w:rFonts w:ascii="宋体" w:hAnsi="宋体" w:hint="eastAsia"/>
          <w:sz w:val="24"/>
        </w:rPr>
      </w:pPr>
      <w:r>
        <w:rPr>
          <w:rFonts w:ascii="宋体" w:hAnsi="宋体" w:hint="eastAsia"/>
          <w:sz w:val="24"/>
          <w:highlight w:val="white"/>
        </w:rPr>
        <w:t>E为前一日的基金资产净值扣除前一日所持有的基金托管人托管的其他基金公允价值后的余额，若为负数，则E取0</w:t>
      </w:r>
    </w:p>
    <w:p w:rsidR="006C13DF" w14:paraId="20A5155E" w14:textId="77777777">
      <w:pPr>
        <w:spacing w:line="360" w:lineRule="auto"/>
        <w:ind w:firstLine="480"/>
        <w:rPr>
          <w:rFonts w:ascii="宋体" w:hAnsi="宋体" w:hint="eastAsia"/>
          <w:bCs/>
          <w:sz w:val="24"/>
        </w:rPr>
      </w:pPr>
      <w:r>
        <w:rPr>
          <w:rFonts w:ascii="宋体" w:hAnsi="宋体"/>
          <w:sz w:val="24"/>
          <w:highlight w:val="white"/>
        </w:rPr>
        <w:t xml:space="preserve"> </w:t>
      </w:r>
      <w:r>
        <w:rPr>
          <w:rFonts w:ascii="宋体" w:hAnsi="宋体" w:hint="eastAsia"/>
          <w:sz w:val="24"/>
          <w:highlight w:val="white"/>
        </w:rPr>
        <w:t>（三</w:t>
      </w:r>
      <w:r>
        <w:rPr>
          <w:rFonts w:ascii="宋体" w:hAnsi="宋体" w:hint="eastAsia"/>
          <w:bCs/>
          <w:sz w:val="24"/>
          <w:highlight w:val="white"/>
        </w:rPr>
        <w:t>）销售服务费</w:t>
      </w:r>
    </w:p>
    <w:p w:rsidR="006C13DF" w14:paraId="78316A65" w14:textId="1FDE6C49">
      <w:pPr>
        <w:spacing w:line="360" w:lineRule="auto"/>
        <w:ind w:firstLine="480"/>
        <w:rPr>
          <w:rFonts w:ascii="宋体" w:hAnsi="宋体" w:hint="eastAsia"/>
          <w:bCs/>
          <w:sz w:val="24"/>
        </w:rPr>
      </w:pPr>
      <w:r>
        <w:rPr>
          <w:rFonts w:ascii="宋体" w:hAnsi="宋体" w:hint="eastAsia"/>
          <w:bCs/>
          <w:sz w:val="24"/>
          <w:highlight w:val="white"/>
        </w:rPr>
        <w:t>本基金A类基金份额不收取销售服务费，C类基金份额的销售服务费年费率为0.</w:t>
      </w:r>
      <w:r w:rsidR="00616846">
        <w:rPr>
          <w:rFonts w:ascii="宋体" w:hAnsi="宋体" w:hint="eastAsia"/>
          <w:bCs/>
          <w:sz w:val="24"/>
          <w:highlight w:val="white"/>
        </w:rPr>
        <w:t>40</w:t>
      </w:r>
      <w:r>
        <w:rPr>
          <w:rFonts w:ascii="宋体" w:hAnsi="宋体" w:hint="eastAsia"/>
          <w:bCs/>
          <w:sz w:val="24"/>
          <w:highlight w:val="white"/>
        </w:rPr>
        <w:t>%，按前一日C类基金资产净值的0.</w:t>
      </w:r>
      <w:r w:rsidR="00616846">
        <w:rPr>
          <w:rFonts w:ascii="宋体" w:hAnsi="宋体" w:hint="eastAsia"/>
          <w:bCs/>
          <w:sz w:val="24"/>
          <w:highlight w:val="white"/>
        </w:rPr>
        <w:t>40</w:t>
      </w:r>
      <w:r>
        <w:rPr>
          <w:rFonts w:ascii="宋体" w:hAnsi="宋体" w:hint="eastAsia"/>
          <w:bCs/>
          <w:sz w:val="24"/>
          <w:highlight w:val="white"/>
        </w:rPr>
        <w:t>%年费率计提。</w:t>
      </w:r>
    </w:p>
    <w:p w:rsidR="006C13DF" w14:paraId="1ACBAE30" w14:textId="77777777">
      <w:pPr>
        <w:spacing w:line="360" w:lineRule="auto"/>
        <w:ind w:firstLine="480"/>
        <w:rPr>
          <w:rFonts w:ascii="宋体" w:hAnsi="宋体" w:hint="eastAsia"/>
          <w:bCs/>
          <w:sz w:val="24"/>
        </w:rPr>
      </w:pPr>
      <w:r>
        <w:rPr>
          <w:rFonts w:ascii="宋体" w:hAnsi="宋体" w:hint="eastAsia"/>
          <w:bCs/>
          <w:sz w:val="24"/>
          <w:highlight w:val="white"/>
        </w:rPr>
        <w:t>销售服务费的计算方法如下：</w:t>
      </w:r>
    </w:p>
    <w:p w:rsidR="006C13DF" w14:paraId="12E626E8" w14:textId="463778E3">
      <w:pPr>
        <w:spacing w:line="360" w:lineRule="auto"/>
        <w:ind w:firstLine="480"/>
        <w:rPr>
          <w:rFonts w:ascii="宋体" w:hAnsi="宋体" w:hint="eastAsia"/>
          <w:bCs/>
          <w:sz w:val="24"/>
        </w:rPr>
      </w:pPr>
      <w:r>
        <w:rPr>
          <w:rFonts w:ascii="宋体" w:hAnsi="宋体" w:hint="eastAsia"/>
          <w:bCs/>
          <w:sz w:val="24"/>
          <w:highlight w:val="white"/>
        </w:rPr>
        <w:t>H＝E×0.</w:t>
      </w:r>
      <w:r w:rsidR="00616846">
        <w:rPr>
          <w:rFonts w:ascii="宋体" w:hAnsi="宋体" w:hint="eastAsia"/>
          <w:bCs/>
          <w:sz w:val="24"/>
          <w:highlight w:val="white"/>
        </w:rPr>
        <w:t>40</w:t>
      </w:r>
      <w:r>
        <w:rPr>
          <w:rFonts w:ascii="宋体" w:hAnsi="宋体" w:hint="eastAsia"/>
          <w:bCs/>
          <w:sz w:val="24"/>
          <w:highlight w:val="white"/>
        </w:rPr>
        <w:t>%÷当年天数</w:t>
      </w:r>
    </w:p>
    <w:p w:rsidR="006C13DF" w14:paraId="226F3FFD" w14:textId="77777777">
      <w:pPr>
        <w:spacing w:line="360" w:lineRule="auto"/>
        <w:ind w:firstLine="480"/>
        <w:rPr>
          <w:rFonts w:ascii="宋体" w:hAnsi="宋体" w:hint="eastAsia"/>
          <w:bCs/>
          <w:sz w:val="24"/>
        </w:rPr>
      </w:pPr>
      <w:r>
        <w:rPr>
          <w:rFonts w:ascii="宋体" w:hAnsi="宋体" w:hint="eastAsia"/>
          <w:bCs/>
          <w:sz w:val="24"/>
          <w:highlight w:val="white"/>
        </w:rPr>
        <w:t>H为C类基金份额每日应计提的销售服务费</w:t>
      </w:r>
    </w:p>
    <w:p w:rsidR="006C13DF" w14:paraId="20F69F1C" w14:textId="77777777">
      <w:pPr>
        <w:spacing w:line="360" w:lineRule="auto"/>
        <w:ind w:firstLine="480"/>
        <w:rPr>
          <w:rFonts w:ascii="宋体" w:hAnsi="宋体" w:hint="eastAsia"/>
          <w:bCs/>
          <w:sz w:val="24"/>
        </w:rPr>
      </w:pPr>
      <w:r>
        <w:rPr>
          <w:rFonts w:ascii="宋体" w:hAnsi="宋体" w:hint="eastAsia"/>
          <w:bCs/>
          <w:sz w:val="24"/>
          <w:highlight w:val="white"/>
        </w:rPr>
        <w:t>E为C类基金份额前一日基金资产净值</w:t>
      </w:r>
    </w:p>
    <w:p w:rsidR="006C13DF" w14:paraId="3042B29D" w14:textId="77777777">
      <w:pPr>
        <w:spacing w:line="360" w:lineRule="auto"/>
        <w:ind w:firstLine="480"/>
        <w:rPr>
          <w:rFonts w:ascii="宋体" w:hAnsi="宋体" w:hint="eastAsia"/>
          <w:sz w:val="24"/>
        </w:rPr>
      </w:pPr>
      <w:r>
        <w:rPr>
          <w:rFonts w:ascii="宋体" w:hAnsi="宋体" w:hint="eastAsia"/>
          <w:sz w:val="24"/>
          <w:highlight w:val="white"/>
        </w:rPr>
        <w:t>（四）证券交易费用、基金信息披露费用、基金份额持有人大会费用、《基金合同》生效后与基金相关的会计师费、律师费、诉讼费、</w:t>
      </w:r>
      <w:r>
        <w:rPr>
          <w:rFonts w:ascii="宋体" w:hAnsi="宋体" w:hint="eastAsia"/>
          <w:bCs/>
          <w:sz w:val="24"/>
          <w:highlight w:val="white"/>
        </w:rPr>
        <w:t>仲裁</w:t>
      </w:r>
      <w:r>
        <w:rPr>
          <w:rFonts w:ascii="宋体" w:hAnsi="宋体" w:hint="eastAsia"/>
          <w:sz w:val="24"/>
          <w:highlight w:val="white"/>
        </w:rPr>
        <w:t>费、</w:t>
      </w:r>
      <w:r>
        <w:rPr>
          <w:rFonts w:ascii="宋体" w:hAnsi="宋体"/>
          <w:bCs/>
          <w:sz w:val="24"/>
          <w:highlight w:val="white"/>
        </w:rPr>
        <w:t>基金的银行汇划费用</w:t>
      </w:r>
      <w:r>
        <w:rPr>
          <w:rFonts w:ascii="宋体" w:hAnsi="宋体" w:hint="eastAsia"/>
          <w:bCs/>
          <w:sz w:val="24"/>
          <w:highlight w:val="white"/>
        </w:rPr>
        <w:t>、证券账户开户费用、银行账户维护费用、因投资内地与香港股票市场交易互联互通机制允许买卖的香港证券市场股票而产生的各项合理费用</w:t>
      </w:r>
      <w:r>
        <w:rPr>
          <w:rFonts w:ascii="宋体" w:hAnsi="宋体" w:hint="eastAsia"/>
          <w:sz w:val="24"/>
          <w:highlight w:val="white"/>
        </w:rPr>
        <w:t>等根据有关法规、《基金合同》及相应协议的规定，由基金托管人按基金管理人的划款指令并根据费用实际支出金额支付，列入当期基金费用。</w:t>
      </w:r>
    </w:p>
    <w:p w:rsidR="006C13DF" w14:paraId="09CB08C8" w14:textId="77777777">
      <w:pPr>
        <w:spacing w:line="360" w:lineRule="auto"/>
        <w:ind w:firstLine="480"/>
        <w:rPr>
          <w:rFonts w:ascii="宋体" w:hAnsi="宋体" w:hint="eastAsia"/>
          <w:sz w:val="24"/>
        </w:rPr>
      </w:pPr>
      <w:r>
        <w:rPr>
          <w:rFonts w:ascii="宋体" w:hAnsi="宋体" w:hint="eastAsia"/>
          <w:sz w:val="24"/>
          <w:highlight w:val="white"/>
        </w:rPr>
        <w:t>（五）不列入基金费用的项目</w:t>
      </w:r>
    </w:p>
    <w:p w:rsidR="006C13DF" w14:paraId="4D1C88AB" w14:textId="77777777">
      <w:pPr>
        <w:spacing w:line="360" w:lineRule="auto"/>
        <w:ind w:firstLine="480"/>
        <w:rPr>
          <w:rFonts w:ascii="宋体" w:hAnsi="宋体" w:hint="eastAsia"/>
          <w:sz w:val="24"/>
        </w:rPr>
      </w:pPr>
      <w:r>
        <w:rPr>
          <w:rFonts w:ascii="宋体" w:hAnsi="宋体" w:hint="eastAsia"/>
          <w:sz w:val="24"/>
          <w:highlight w:val="white"/>
        </w:rPr>
        <w:t>基金管理人与基金托管人因未履行或未完全履行义务导致的费用支出或基金财产的损失、《基金合同》生效前的相关费用（包括但不限于验资费、会计师和律师费、信息披露费用等费用）、处理与基金运作无关的事项发生的费用、其他根据相关法律法规，以及中国证监会的有关规定不得列入基金费用的项目不列入基金费用。</w:t>
      </w:r>
    </w:p>
    <w:p w:rsidR="006C13DF" w14:paraId="5AB3E1CF" w14:textId="77777777">
      <w:pPr>
        <w:spacing w:line="360" w:lineRule="auto"/>
        <w:ind w:firstLine="480"/>
        <w:rPr>
          <w:rFonts w:ascii="宋体" w:hAnsi="宋体" w:hint="eastAsia"/>
          <w:sz w:val="24"/>
        </w:rPr>
      </w:pPr>
      <w:r>
        <w:rPr>
          <w:rFonts w:ascii="宋体" w:hAnsi="宋体" w:hint="eastAsia"/>
          <w:sz w:val="24"/>
          <w:highlight w:val="white"/>
        </w:rPr>
        <w:t>（六）基金管理费、基金托管费、</w:t>
      </w:r>
      <w:r>
        <w:rPr>
          <w:rFonts w:ascii="宋体" w:hAnsi="宋体" w:hint="eastAsia"/>
          <w:bCs/>
          <w:sz w:val="24"/>
          <w:highlight w:val="white"/>
        </w:rPr>
        <w:t>销售服务费</w:t>
      </w:r>
      <w:r>
        <w:rPr>
          <w:rFonts w:ascii="宋体" w:hAnsi="宋体" w:hint="eastAsia"/>
          <w:sz w:val="24"/>
          <w:highlight w:val="white"/>
        </w:rPr>
        <w:t>的复核程序、支付方式和时间。</w:t>
      </w:r>
    </w:p>
    <w:p w:rsidR="006C13DF" w14:paraId="41EAAC4C" w14:textId="77777777">
      <w:pPr>
        <w:spacing w:line="360" w:lineRule="auto"/>
        <w:ind w:firstLine="480"/>
        <w:rPr>
          <w:rFonts w:ascii="宋体" w:hAnsi="宋体" w:hint="eastAsia"/>
          <w:sz w:val="24"/>
        </w:rPr>
      </w:pPr>
      <w:r>
        <w:rPr>
          <w:rFonts w:ascii="宋体" w:hAnsi="宋体" w:hint="eastAsia"/>
          <w:sz w:val="24"/>
          <w:highlight w:val="white"/>
        </w:rPr>
        <w:t>基金托管人对不符合《基金法》、《运作办法》等有关规定以及《基金合同》的其他费用有权拒绝执行。</w:t>
      </w:r>
    </w:p>
    <w:p w:rsidR="006C13DF" w14:paraId="62E0C13D" w14:textId="77777777">
      <w:pPr>
        <w:spacing w:line="360" w:lineRule="auto"/>
        <w:ind w:firstLine="480"/>
        <w:rPr>
          <w:rFonts w:ascii="宋体" w:hAnsi="宋体" w:hint="eastAsia"/>
          <w:sz w:val="24"/>
        </w:rPr>
      </w:pPr>
      <w:r>
        <w:rPr>
          <w:rFonts w:ascii="宋体" w:hAnsi="宋体" w:hint="eastAsia"/>
          <w:sz w:val="24"/>
          <w:highlight w:val="white"/>
        </w:rPr>
        <w:t>基金托管人对基金管理人计提的基金管理费、基金托管费、</w:t>
      </w:r>
      <w:r>
        <w:rPr>
          <w:rFonts w:ascii="宋体" w:hAnsi="宋体" w:hint="eastAsia"/>
          <w:bCs/>
          <w:sz w:val="24"/>
          <w:highlight w:val="white"/>
        </w:rPr>
        <w:t>销售服务费</w:t>
      </w:r>
      <w:r>
        <w:rPr>
          <w:rFonts w:ascii="宋体" w:hAnsi="宋体" w:hint="eastAsia"/>
          <w:sz w:val="24"/>
          <w:highlight w:val="white"/>
        </w:rPr>
        <w:t>等，根据本协议和《基金合同》的有关</w:t>
      </w:r>
      <w:r>
        <w:rPr>
          <w:rFonts w:ascii="宋体" w:hAnsi="宋体"/>
          <w:sz w:val="24"/>
          <w:highlight w:val="white"/>
        </w:rPr>
        <w:t>约</w:t>
      </w:r>
      <w:r>
        <w:rPr>
          <w:rFonts w:ascii="宋体" w:hAnsi="宋体" w:hint="eastAsia"/>
          <w:sz w:val="24"/>
          <w:highlight w:val="white"/>
        </w:rPr>
        <w:t>定进行复核。</w:t>
      </w:r>
    </w:p>
    <w:p w:rsidR="006C13DF" w14:paraId="636234FF" w14:textId="77777777">
      <w:pPr>
        <w:spacing w:line="360" w:lineRule="auto"/>
        <w:ind w:firstLine="480"/>
        <w:rPr>
          <w:rFonts w:ascii="宋体" w:hAnsi="宋体" w:cs="宋体" w:hint="eastAsia"/>
          <w:sz w:val="24"/>
          <w:shd w:val="clear" w:color="FFFFFF" w:fill="FFFFFF"/>
          <w:lang w:bidi="ar"/>
        </w:rPr>
      </w:pPr>
      <w:r>
        <w:rPr>
          <w:rFonts w:ascii="宋体" w:hAnsi="宋体" w:cs="宋体" w:hint="eastAsia"/>
          <w:sz w:val="24"/>
          <w:highlight w:val="white"/>
          <w:lang w:bidi="ar"/>
        </w:rPr>
        <w:t>基金管理费、基金托管费、销售服务费，根据《基金合同》约定的方式和时间支付。</w:t>
      </w:r>
    </w:p>
    <w:p w:rsidR="006C13DF" w14:paraId="499813CC" w14:textId="77777777">
      <w:pPr>
        <w:spacing w:line="360" w:lineRule="auto"/>
        <w:ind w:firstLine="480"/>
        <w:rPr>
          <w:rFonts w:ascii="宋体" w:hAnsi="宋体" w:hint="eastAsia"/>
          <w:sz w:val="24"/>
        </w:rPr>
      </w:pPr>
      <w:r>
        <w:rPr>
          <w:rFonts w:ascii="宋体" w:hAnsi="宋体" w:hint="eastAsia"/>
          <w:sz w:val="24"/>
          <w:highlight w:val="white"/>
        </w:rPr>
        <w:t>（七）实施侧袋机制期间的基金费用</w:t>
      </w:r>
    </w:p>
    <w:p w:rsidR="006C13DF" w14:paraId="6A3C47EF" w14:textId="77777777">
      <w:pPr>
        <w:spacing w:line="360" w:lineRule="auto"/>
        <w:ind w:firstLine="480"/>
        <w:rPr>
          <w:rFonts w:ascii="宋体" w:hAnsi="宋体" w:hint="eastAsia"/>
          <w:sz w:val="24"/>
        </w:rPr>
      </w:pPr>
      <w:r>
        <w:rPr>
          <w:rFonts w:ascii="宋体" w:hAnsi="宋体" w:hint="eastAsia"/>
          <w:sz w:val="24"/>
          <w:highlight w:val="white"/>
        </w:rPr>
        <w:t>本基金实施侧袋机制的，与侧袋账户有关的费用可以从侧袋账户中列支，但应待侧袋账户资产变现后方可列支，有关费用可酌情收取或减免，但不得收取管理费，详见招募说明书的规定。</w:t>
      </w:r>
    </w:p>
    <w:p w:rsidR="006C13DF" w14:paraId="25A078F6" w14:textId="77777777">
      <w:pPr>
        <w:spacing w:line="360" w:lineRule="auto"/>
        <w:ind w:firstLine="480"/>
        <w:rPr>
          <w:rFonts w:ascii="宋体" w:hAnsi="宋体" w:hint="eastAsia"/>
          <w:sz w:val="24"/>
        </w:rPr>
      </w:pPr>
      <w:r>
        <w:rPr>
          <w:rFonts w:ascii="宋体" w:hAnsi="宋体" w:hint="eastAsia"/>
          <w:sz w:val="24"/>
          <w:highlight w:val="white"/>
        </w:rPr>
        <w:t>（八）如果基金托管人发现基金管理人</w:t>
      </w:r>
      <w:r>
        <w:rPr>
          <w:rFonts w:ascii="宋体" w:hAnsi="宋体" w:cs="宋体" w:hint="eastAsia"/>
          <w:sz w:val="24"/>
          <w:highlight w:val="white"/>
          <w:lang w:bidi="ar"/>
        </w:rPr>
        <w:t>从基金财产中列支的费用，不符合</w:t>
      </w:r>
      <w:r>
        <w:rPr>
          <w:rFonts w:ascii="宋体" w:hAnsi="宋体" w:hint="eastAsia"/>
          <w:sz w:val="24"/>
          <w:highlight w:val="white"/>
        </w:rPr>
        <w:t>有关法律法规的有关规定和《基金合同》、本协议的约定，有权要求基金管理人做出书面解释，如果基金托管人认为基金管理人无正当或合理的理由，可以拒绝支付。</w:t>
      </w:r>
    </w:p>
    <w:p w:rsidR="006C13DF" w14:paraId="184D46BE"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6" w:name="_Toc96101881"/>
      <w:r>
        <w:rPr>
          <w:rFonts w:ascii="宋体" w:hAnsi="宋体" w:cs="Arial" w:hint="eastAsia"/>
          <w:sz w:val="30"/>
          <w:highlight w:val="white"/>
        </w:rPr>
        <w:t>基金份额持有人名册的保管</w:t>
      </w:r>
      <w:bookmarkEnd w:id="16"/>
    </w:p>
    <w:p w:rsidR="006C13DF" w14:paraId="679FA48A" w14:textId="77777777">
      <w:pPr>
        <w:spacing w:line="360" w:lineRule="auto"/>
        <w:ind w:firstLine="482"/>
        <w:rPr>
          <w:rFonts w:ascii="宋体" w:hAnsi="宋体" w:hint="eastAsia"/>
          <w:sz w:val="24"/>
        </w:rPr>
      </w:pPr>
      <w:r>
        <w:rPr>
          <w:rFonts w:ascii="宋体" w:hAnsi="宋体" w:hint="eastAsia"/>
          <w:sz w:val="24"/>
          <w:highlight w:val="white"/>
        </w:rPr>
        <w:t>基金管理人和基金托管人须分别妥善保管基金份额持有人名册，包括</w:t>
      </w:r>
      <w:r>
        <w:rPr>
          <w:rFonts w:ascii="宋体" w:hAnsi="宋体" w:cs="Arial" w:hint="eastAsia"/>
          <w:sz w:val="24"/>
          <w:highlight w:val="white"/>
        </w:rPr>
        <w:t>《基金合同》生效日、《基金合同》终止日、基金份额持有人大会权益登记日、每年6月30日、12月31日的基金份额持有人名册。</w:t>
      </w:r>
      <w:r>
        <w:rPr>
          <w:rFonts w:ascii="宋体" w:hAnsi="宋体" w:hint="eastAsia"/>
          <w:sz w:val="24"/>
          <w:highlight w:val="white"/>
        </w:rPr>
        <w:t>基金份额持有人名册的内容必须包括基金份额持有人的名称和持有的基金份额。</w:t>
      </w:r>
    </w:p>
    <w:p w:rsidR="006C13DF" w14:paraId="727820D7" w14:textId="77777777">
      <w:pPr>
        <w:spacing w:line="360" w:lineRule="auto"/>
        <w:ind w:firstLine="482"/>
        <w:rPr>
          <w:rFonts w:ascii="宋体" w:hAnsi="宋体" w:cs="Arial" w:hint="eastAsia"/>
          <w:sz w:val="24"/>
        </w:rPr>
      </w:pPr>
      <w:r>
        <w:rPr>
          <w:rFonts w:ascii="宋体" w:hAnsi="宋体" w:hint="eastAsia"/>
          <w:sz w:val="24"/>
          <w:highlight w:val="white"/>
        </w:rPr>
        <w:t>基金份额持有人名册由</w:t>
      </w:r>
      <w:r>
        <w:rPr>
          <w:rFonts w:ascii="宋体" w:hAnsi="宋体" w:cs="Arial" w:hint="eastAsia"/>
          <w:sz w:val="24"/>
          <w:highlight w:val="white"/>
        </w:rPr>
        <w:t>登记机构根据基金管理人的指令编制和保管</w:t>
      </w:r>
      <w:r>
        <w:rPr>
          <w:rFonts w:ascii="宋体" w:hAnsi="宋体" w:hint="eastAsia"/>
          <w:sz w:val="24"/>
          <w:highlight w:val="white"/>
        </w:rPr>
        <w:t>，基金管理人和基金托管人应按照目前相关规则分别保管基金份额持有人名册。保管方式可以采用电子或文档的形式。</w:t>
      </w:r>
      <w:r>
        <w:rPr>
          <w:rFonts w:ascii="宋体" w:hAnsi="宋体" w:cs="Arial" w:hint="eastAsia"/>
          <w:sz w:val="24"/>
          <w:highlight w:val="white"/>
        </w:rPr>
        <w:t>登记机构的保存期限不少于法律法规规定的最低年限</w:t>
      </w:r>
      <w:r>
        <w:rPr>
          <w:rFonts w:ascii="宋体" w:hAnsi="宋体" w:hint="eastAsia"/>
          <w:sz w:val="24"/>
          <w:highlight w:val="white"/>
        </w:rPr>
        <w:t>。</w:t>
      </w:r>
    </w:p>
    <w:p w:rsidR="006C13DF" w14:paraId="0590C8BA" w14:textId="77777777">
      <w:pPr>
        <w:spacing w:line="360" w:lineRule="auto"/>
        <w:ind w:firstLine="482"/>
        <w:rPr>
          <w:rFonts w:ascii="宋体" w:hAnsi="宋体" w:hint="eastAsia"/>
          <w:sz w:val="24"/>
        </w:rPr>
      </w:pPr>
      <w:r>
        <w:rPr>
          <w:rFonts w:ascii="宋体" w:hAnsi="宋体" w:cs="Arial" w:hint="eastAsia"/>
          <w:sz w:val="24"/>
          <w:highlight w:val="white"/>
        </w:rPr>
        <w:t>基金管理人应当及时向基金托管人提交下列日期的基金份额持有人名册：《基金合同》生效日、《基金合同》终止日、基金份额持有人大会权益登记日、每年6月30日、每年12月31日的基金份额持有人名册。基金份额持有人名册的内容必须包括基金份额持有人的名称和持有的基金份额。其中每年12月31日的基金份额持有人名册应于下月前十个工作日内提交；《基金合同》生效日、《基金合同》终止日等涉及到基金重要事项日期的基金份额持有人名册应于发生日后十个工作日内提交。</w:t>
      </w:r>
    </w:p>
    <w:p w:rsidR="006C13DF" w14:paraId="1E713B59" w14:textId="77777777">
      <w:pPr>
        <w:spacing w:line="360" w:lineRule="auto"/>
        <w:ind w:firstLine="482"/>
        <w:rPr>
          <w:rFonts w:ascii="宋体" w:hAnsi="宋体" w:cs="Arial" w:hint="eastAsia"/>
          <w:sz w:val="24"/>
        </w:rPr>
      </w:pPr>
      <w:r>
        <w:rPr>
          <w:rFonts w:ascii="宋体" w:hAnsi="宋体" w:cs="Arial" w:hint="eastAsia"/>
          <w:sz w:val="24"/>
          <w:highlight w:val="white"/>
        </w:rPr>
        <w:t>基金托管人以电子版形式妥善保管基金份额持有人名册，并定期刻成光盘备份，保存期限不少于法律法规规定的最低年限。基金托管人不得将所保管的基金份额持有人名册用于基金托管业务以外的其他用途，并应遵守保密义务。</w:t>
      </w:r>
    </w:p>
    <w:p w:rsidR="006C13DF" w14:paraId="78FE8C83" w14:textId="77777777">
      <w:pPr>
        <w:spacing w:line="360" w:lineRule="auto"/>
        <w:ind w:firstLine="482"/>
        <w:rPr>
          <w:rFonts w:ascii="宋体" w:hAnsi="宋体" w:cs="Arial" w:hint="eastAsia"/>
          <w:sz w:val="24"/>
        </w:rPr>
      </w:pPr>
      <w:r>
        <w:rPr>
          <w:rFonts w:ascii="宋体" w:hAnsi="宋体" w:cs="Arial" w:hint="eastAsia"/>
          <w:sz w:val="24"/>
          <w:highlight w:val="white"/>
        </w:rPr>
        <w:t>若基金管理人或基金托管人由于自身原因无法妥善保管基金份额持有人名册，应按有关法规规定各自</w:t>
      </w:r>
      <w:r>
        <w:rPr>
          <w:rFonts w:ascii="宋体" w:hAnsi="宋体" w:hint="eastAsia"/>
          <w:sz w:val="24"/>
          <w:highlight w:val="white"/>
        </w:rPr>
        <w:t>承担相应的责任。</w:t>
      </w:r>
    </w:p>
    <w:p w:rsidR="006C13DF" w14:paraId="58616CDB"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7" w:name="_Toc96101882"/>
      <w:r>
        <w:rPr>
          <w:rFonts w:ascii="宋体" w:hAnsi="宋体" w:cs="Arial" w:hint="eastAsia"/>
          <w:sz w:val="30"/>
          <w:highlight w:val="white"/>
        </w:rPr>
        <w:t>基金有关文件和档案的保存</w:t>
      </w:r>
      <w:bookmarkEnd w:id="17"/>
    </w:p>
    <w:p w:rsidR="006C13DF" w14:paraId="2C9A03B9" w14:textId="77777777">
      <w:pPr>
        <w:spacing w:line="360" w:lineRule="auto"/>
        <w:ind w:firstLine="482"/>
        <w:rPr>
          <w:rFonts w:ascii="宋体" w:hAnsi="宋体" w:hint="eastAsia"/>
          <w:sz w:val="24"/>
          <w:szCs w:val="21"/>
        </w:rPr>
      </w:pPr>
      <w:r>
        <w:rPr>
          <w:rFonts w:ascii="宋体" w:hAnsi="宋体" w:hint="eastAsia"/>
          <w:sz w:val="24"/>
          <w:szCs w:val="21"/>
          <w:highlight w:val="white"/>
        </w:rPr>
        <w:t>基金管理人、基金托管人按各自职责完整保存原始凭证、记账凭证、基金账册、交易记录和重要合同等，保存期限不少于法律法规规定的最低年限，对相关信息负有保密义务，但司法强制检查情形及法律法规规定的其它情形除外。其中，基金管理人应保存基金财产管理业务活动的记录、账册、报表和其他相关资料，基金托管人应保存基金托管业务活动的记录、账册、报表和其他相关资料。</w:t>
      </w:r>
    </w:p>
    <w:p w:rsidR="006C13DF" w14:paraId="2B8D94D8" w14:textId="77777777">
      <w:pPr>
        <w:spacing w:line="360" w:lineRule="auto"/>
        <w:ind w:firstLine="482"/>
        <w:rPr>
          <w:rFonts w:ascii="宋体" w:hAnsi="宋体" w:hint="eastAsia"/>
          <w:sz w:val="24"/>
          <w:szCs w:val="21"/>
        </w:rPr>
      </w:pPr>
      <w:r>
        <w:rPr>
          <w:rFonts w:ascii="宋体" w:hAnsi="宋体" w:hint="eastAsia"/>
          <w:sz w:val="24"/>
          <w:szCs w:val="21"/>
          <w:highlight w:val="white"/>
        </w:rPr>
        <w:t>基金管理人签署重大合同文本后，应及时将合同文本正本送达基金托管人处。基金管理人应及时将与本基金账务处理、资金划拨等有关的合同、协议传真给基金托管人。</w:t>
      </w:r>
    </w:p>
    <w:p w:rsidR="006C13DF" w14:paraId="7193E4A1" w14:textId="77777777">
      <w:pPr>
        <w:spacing w:line="360" w:lineRule="auto"/>
        <w:ind w:firstLine="482"/>
        <w:rPr>
          <w:rFonts w:ascii="宋体" w:hAnsi="宋体" w:hint="eastAsia"/>
          <w:sz w:val="24"/>
          <w:szCs w:val="21"/>
        </w:rPr>
      </w:pPr>
      <w:r>
        <w:rPr>
          <w:rFonts w:ascii="宋体" w:hAnsi="宋体" w:hint="eastAsia"/>
          <w:sz w:val="24"/>
          <w:szCs w:val="21"/>
          <w:highlight w:val="white"/>
        </w:rPr>
        <w:t>基金管理人或基金托管人变更后，未变更的一方有义务协助接任人接收基金的有关文件。</w:t>
      </w:r>
    </w:p>
    <w:p w:rsidR="006C13DF" w14:paraId="51B6DD3D"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8" w:name="_Toc96101883"/>
      <w:r>
        <w:rPr>
          <w:rFonts w:ascii="宋体" w:hAnsi="宋体" w:cs="Arial" w:hint="eastAsia"/>
          <w:sz w:val="30"/>
          <w:highlight w:val="white"/>
        </w:rPr>
        <w:t>基金管理人和基金托管人的更换</w:t>
      </w:r>
      <w:bookmarkEnd w:id="18"/>
    </w:p>
    <w:p w:rsidR="006C13DF" w14:paraId="6F524499" w14:textId="77777777">
      <w:pPr>
        <w:pStyle w:val="21"/>
        <w:keepNext w:val="0"/>
        <w:keepLines w:val="0"/>
        <w:spacing w:before="0" w:after="0" w:line="360" w:lineRule="auto"/>
        <w:ind w:firstLine="353"/>
        <w:rPr>
          <w:rFonts w:ascii="宋体" w:eastAsia="宋体" w:hAnsi="宋体" w:cs="Arial" w:hint="eastAsia"/>
          <w:b w:val="0"/>
          <w:bCs w:val="0"/>
          <w:sz w:val="24"/>
          <w:szCs w:val="24"/>
        </w:rPr>
      </w:pPr>
      <w:r>
        <w:rPr>
          <w:rFonts w:ascii="宋体" w:eastAsia="宋体" w:hAnsi="宋体" w:cs="Arial" w:hint="eastAsia"/>
          <w:b w:val="0"/>
          <w:bCs w:val="0"/>
          <w:sz w:val="24"/>
          <w:szCs w:val="24"/>
          <w:highlight w:val="white"/>
        </w:rPr>
        <w:t>（一）基金管理人的更换</w:t>
      </w:r>
    </w:p>
    <w:p w:rsidR="006C13DF" w14:paraId="421EA0CF" w14:textId="77777777">
      <w:pPr>
        <w:spacing w:line="360" w:lineRule="auto"/>
        <w:ind w:firstLine="480"/>
        <w:rPr>
          <w:rFonts w:ascii="宋体" w:hAnsi="宋体" w:hint="eastAsia"/>
          <w:sz w:val="24"/>
        </w:rPr>
      </w:pPr>
      <w:r>
        <w:rPr>
          <w:rFonts w:ascii="宋体" w:hAnsi="宋体" w:hint="eastAsia"/>
          <w:sz w:val="24"/>
          <w:highlight w:val="white"/>
        </w:rPr>
        <w:t>1、基金管理人的更换条件</w:t>
      </w:r>
    </w:p>
    <w:p w:rsidR="006C13DF" w14:paraId="2C0C0F86" w14:textId="77777777">
      <w:pPr>
        <w:spacing w:line="360" w:lineRule="auto"/>
        <w:ind w:firstLine="480"/>
        <w:rPr>
          <w:rFonts w:ascii="宋体" w:hAnsi="宋体" w:hint="eastAsia"/>
          <w:sz w:val="24"/>
        </w:rPr>
      </w:pPr>
      <w:r>
        <w:rPr>
          <w:rFonts w:ascii="宋体" w:hAnsi="宋体" w:hint="eastAsia"/>
          <w:sz w:val="24"/>
          <w:highlight w:val="white"/>
        </w:rPr>
        <w:t>有下列情形之一的，基金管理人职责终止：</w:t>
      </w:r>
    </w:p>
    <w:p w:rsidR="006C13DF" w14:paraId="65BC57DA" w14:textId="77777777">
      <w:pPr>
        <w:spacing w:line="360" w:lineRule="auto"/>
        <w:ind w:firstLine="480"/>
      </w:pPr>
      <w:r>
        <w:rPr>
          <w:rFonts w:ascii="宋体" w:hAnsi="宋体"/>
          <w:sz w:val="24"/>
          <w:highlight w:val="white"/>
        </w:rPr>
        <w:t>（1）被依法取消基金管理资格；</w:t>
      </w:r>
    </w:p>
    <w:p w:rsidR="006C13DF" w14:paraId="05832DAD" w14:textId="77777777">
      <w:pPr>
        <w:spacing w:line="360" w:lineRule="auto"/>
        <w:ind w:firstLine="480"/>
      </w:pPr>
      <w:r>
        <w:rPr>
          <w:rFonts w:ascii="宋体" w:hAnsi="宋体"/>
          <w:sz w:val="24"/>
          <w:highlight w:val="white"/>
        </w:rPr>
        <w:t>（2）被基金份额持有人大会解任；</w:t>
      </w:r>
    </w:p>
    <w:p w:rsidR="006C13DF" w14:paraId="147BF368" w14:textId="77777777">
      <w:pPr>
        <w:spacing w:line="360" w:lineRule="auto"/>
        <w:ind w:firstLine="480"/>
      </w:pPr>
      <w:r>
        <w:rPr>
          <w:rFonts w:ascii="宋体" w:hAnsi="宋体"/>
          <w:sz w:val="24"/>
          <w:highlight w:val="white"/>
        </w:rPr>
        <w:t>（3）依法解散、被依法撤销或被依法宣告破产；</w:t>
      </w:r>
    </w:p>
    <w:p w:rsidR="006C13DF" w14:paraId="7235A10A" w14:textId="77777777">
      <w:pPr>
        <w:spacing w:line="360" w:lineRule="auto"/>
        <w:ind w:firstLine="480"/>
      </w:pPr>
      <w:r>
        <w:rPr>
          <w:rFonts w:ascii="宋体" w:hAnsi="宋体"/>
          <w:sz w:val="24"/>
          <w:highlight w:val="white"/>
        </w:rPr>
        <w:t>（4）法律法规及中国证监会规定的和《基金合同》约定的其他情形。</w:t>
      </w:r>
    </w:p>
    <w:p w:rsidR="006C13DF" w14:paraId="0E6FE8AF" w14:textId="77777777">
      <w:pPr>
        <w:spacing w:line="360" w:lineRule="auto"/>
        <w:ind w:firstLine="480"/>
        <w:rPr>
          <w:rFonts w:ascii="宋体" w:hAnsi="宋体" w:hint="eastAsia"/>
          <w:sz w:val="24"/>
        </w:rPr>
      </w:pPr>
    </w:p>
    <w:p w:rsidR="006C13DF" w14:paraId="763E3259" w14:textId="77777777">
      <w:pPr>
        <w:spacing w:line="360" w:lineRule="auto"/>
        <w:ind w:firstLine="480"/>
        <w:rPr>
          <w:rFonts w:ascii="宋体" w:hAnsi="宋体" w:hint="eastAsia"/>
          <w:sz w:val="24"/>
        </w:rPr>
      </w:pPr>
      <w:r>
        <w:rPr>
          <w:rFonts w:ascii="宋体" w:hAnsi="宋体" w:hint="eastAsia"/>
          <w:sz w:val="24"/>
          <w:highlight w:val="white"/>
        </w:rPr>
        <w:t>2、更换基金管理人的程序</w:t>
      </w:r>
    </w:p>
    <w:p w:rsidR="006C13DF" w14:paraId="4B1E8A0D" w14:textId="77777777">
      <w:pPr>
        <w:spacing w:line="360" w:lineRule="auto"/>
        <w:ind w:firstLine="480"/>
      </w:pPr>
      <w:r>
        <w:rPr>
          <w:rFonts w:ascii="宋体" w:hAnsi="宋体"/>
          <w:sz w:val="24"/>
          <w:highlight w:val="white"/>
        </w:rPr>
        <w:t>（1）提名：新任基金管理人由基金托管人或由单独或合计持有10%以上（含10%）基金份额的基金份额持有人提名；</w:t>
      </w:r>
    </w:p>
    <w:p w:rsidR="006C13DF" w14:paraId="6DA2E92A" w14:textId="77777777">
      <w:pPr>
        <w:spacing w:line="360" w:lineRule="auto"/>
        <w:ind w:firstLine="480"/>
      </w:pPr>
      <w:r>
        <w:rPr>
          <w:rFonts w:ascii="宋体" w:hAnsi="宋体"/>
          <w:sz w:val="24"/>
          <w:highlight w:val="white"/>
        </w:rPr>
        <w:t>（2）决议：基金份额持有人大会在基金管理人职责终止后6个月内对被提名的基金管理人形成决议，该决议需经参加大会的基金份额持有人所持表决权的三分之二以上（含三分之二）表决通过，决议自表决通过之日起生效；</w:t>
      </w:r>
    </w:p>
    <w:p w:rsidR="006C13DF" w14:paraId="1DD7E54C" w14:textId="77777777">
      <w:pPr>
        <w:spacing w:line="360" w:lineRule="auto"/>
        <w:ind w:firstLine="480"/>
      </w:pPr>
      <w:r>
        <w:rPr>
          <w:rFonts w:ascii="宋体" w:hAnsi="宋体"/>
          <w:sz w:val="24"/>
          <w:highlight w:val="white"/>
        </w:rPr>
        <w:t>（3）临时基金管理人：新任基金管理人产生之前，由中国证监会指定临时基金管理人；</w:t>
      </w:r>
    </w:p>
    <w:p w:rsidR="006C13DF" w14:paraId="7E8463F4" w14:textId="77777777">
      <w:pPr>
        <w:spacing w:line="360" w:lineRule="auto"/>
        <w:ind w:firstLine="480"/>
      </w:pPr>
      <w:r>
        <w:rPr>
          <w:rFonts w:ascii="宋体" w:hAnsi="宋体"/>
          <w:sz w:val="24"/>
          <w:highlight w:val="white"/>
        </w:rPr>
        <w:t>（4）备案：基金份额持有人大会更换基金管理人的决议须报中国证监会备案；</w:t>
      </w:r>
    </w:p>
    <w:p w:rsidR="006C13DF" w14:paraId="37FB958E" w14:textId="77777777">
      <w:pPr>
        <w:spacing w:line="360" w:lineRule="auto"/>
        <w:ind w:firstLine="480"/>
      </w:pPr>
      <w:r>
        <w:rPr>
          <w:rFonts w:ascii="宋体" w:hAnsi="宋体"/>
          <w:sz w:val="24"/>
          <w:highlight w:val="white"/>
        </w:rPr>
        <w:t>（5）公告：基金管理人更换后，由基金托管人在更换基金管理人的基金份额持有人大会决议生效后2日内在规定媒介公告；</w:t>
      </w:r>
    </w:p>
    <w:p w:rsidR="006C13DF" w14:paraId="49A543A0" w14:textId="77777777">
      <w:pPr>
        <w:spacing w:line="360" w:lineRule="auto"/>
        <w:ind w:firstLine="480"/>
      </w:pPr>
      <w:r>
        <w:rPr>
          <w:rFonts w:ascii="宋体" w:hAnsi="宋体"/>
          <w:sz w:val="24"/>
          <w:highlight w:val="white"/>
        </w:rPr>
        <w:t>（6）交接：基金管理人职责终止的，基金管理人应妥善保管基金管理业务资料，及时向临时基金管理人或新任基金管理人办理基金管理业务的移交手续，临时基金管理人或新任基金管理人应及时接收。新任基金管理人应与基金托管人核对基金资产总值；</w:t>
      </w:r>
    </w:p>
    <w:p w:rsidR="006C13DF" w14:paraId="64201F33" w14:textId="77777777">
      <w:pPr>
        <w:spacing w:line="360" w:lineRule="auto"/>
        <w:ind w:firstLine="480"/>
      </w:pPr>
      <w:r>
        <w:rPr>
          <w:rFonts w:ascii="宋体" w:hAnsi="宋体"/>
          <w:sz w:val="24"/>
          <w:highlight w:val="white"/>
        </w:rPr>
        <w:t>（7）审计：基金管理人职责终止的，应当按照法律法规规定聘请会计师事务所对基金财产进行审计，并将审计结果予以公告，同时报中国证监会备案。审计费用从基金财产中列支；</w:t>
      </w:r>
    </w:p>
    <w:p w:rsidR="006C13DF" w14:paraId="3F59CBB5" w14:textId="77777777">
      <w:pPr>
        <w:spacing w:line="360" w:lineRule="auto"/>
        <w:ind w:firstLine="480"/>
      </w:pPr>
      <w:r>
        <w:rPr>
          <w:rFonts w:ascii="宋体" w:hAnsi="宋体"/>
          <w:sz w:val="24"/>
          <w:highlight w:val="white"/>
        </w:rPr>
        <w:t>（8）基金名称变更：基金管理人更换后，如果原任或新任基金管理人要求，应按其要求替换或删除基金名称中与原基金管理人有关的名称字样。</w:t>
      </w:r>
    </w:p>
    <w:p w:rsidR="006C13DF" w14:paraId="72E8B2F8" w14:textId="77777777">
      <w:pPr>
        <w:spacing w:line="360" w:lineRule="auto"/>
        <w:ind w:firstLine="480"/>
        <w:rPr>
          <w:rFonts w:ascii="宋体" w:hAnsi="宋体" w:hint="eastAsia"/>
          <w:sz w:val="24"/>
        </w:rPr>
      </w:pPr>
    </w:p>
    <w:p w:rsidR="006C13DF" w14:paraId="6426DA97" w14:textId="77777777">
      <w:pPr>
        <w:spacing w:line="360" w:lineRule="auto"/>
        <w:ind w:firstLine="480"/>
        <w:rPr>
          <w:rFonts w:ascii="宋体" w:hAnsi="宋体" w:hint="eastAsia"/>
          <w:sz w:val="24"/>
        </w:rPr>
      </w:pPr>
      <w:r>
        <w:rPr>
          <w:rFonts w:ascii="宋体" w:hAnsi="宋体" w:hint="eastAsia"/>
          <w:sz w:val="24"/>
          <w:highlight w:val="white"/>
        </w:rPr>
        <w:t>3、原任基金管理人职责终止后，新任基金管理人或临时基金管理人接</w:t>
      </w:r>
      <w:r>
        <w:rPr>
          <w:rFonts w:ascii="宋体" w:hAnsi="宋体"/>
          <w:sz w:val="24"/>
          <w:highlight w:val="white"/>
        </w:rPr>
        <w:t>收</w:t>
      </w:r>
      <w:r>
        <w:rPr>
          <w:rFonts w:ascii="宋体" w:hAnsi="宋体" w:hint="eastAsia"/>
          <w:sz w:val="24"/>
          <w:highlight w:val="white"/>
        </w:rPr>
        <w:t>基金管理业务前，原任基金管理人和基金托管人需采取审慎措施确保基金财产的安全，不对基金份额持有人的利益造成损失，并有义务协助新任基金管理人或临时基金管理人尽快恢复基金财产的投资运作。</w:t>
      </w:r>
    </w:p>
    <w:p w:rsidR="006C13DF" w14:paraId="419CAE7E" w14:textId="77777777">
      <w:pPr>
        <w:pStyle w:val="21"/>
        <w:keepNext w:val="0"/>
        <w:keepLines w:val="0"/>
        <w:spacing w:before="0" w:after="0" w:line="360" w:lineRule="auto"/>
        <w:ind w:firstLine="353"/>
        <w:rPr>
          <w:rFonts w:ascii="宋体" w:eastAsia="宋体" w:hAnsi="宋体" w:cs="Arial" w:hint="eastAsia"/>
          <w:b w:val="0"/>
          <w:bCs w:val="0"/>
          <w:sz w:val="24"/>
          <w:szCs w:val="24"/>
        </w:rPr>
      </w:pPr>
      <w:r>
        <w:rPr>
          <w:rFonts w:ascii="宋体" w:eastAsia="宋体" w:hAnsi="宋体" w:cs="Arial" w:hint="eastAsia"/>
          <w:b w:val="0"/>
          <w:bCs w:val="0"/>
          <w:sz w:val="24"/>
          <w:szCs w:val="24"/>
          <w:highlight w:val="white"/>
        </w:rPr>
        <w:t>（二）基金托管人的更换</w:t>
      </w:r>
    </w:p>
    <w:p w:rsidR="006C13DF" w14:paraId="32DEF73C" w14:textId="77777777">
      <w:pPr>
        <w:spacing w:line="360" w:lineRule="auto"/>
        <w:ind w:firstLine="480"/>
        <w:rPr>
          <w:rFonts w:ascii="宋体" w:hAnsi="宋体" w:hint="eastAsia"/>
          <w:sz w:val="24"/>
        </w:rPr>
      </w:pPr>
      <w:r>
        <w:rPr>
          <w:rFonts w:ascii="宋体" w:hAnsi="宋体" w:hint="eastAsia"/>
          <w:sz w:val="24"/>
          <w:highlight w:val="white"/>
        </w:rPr>
        <w:t>1、基金托管人的更换条件</w:t>
      </w:r>
    </w:p>
    <w:p w:rsidR="006C13DF" w14:paraId="2EBF7C02" w14:textId="77777777">
      <w:pPr>
        <w:spacing w:line="360" w:lineRule="auto"/>
        <w:ind w:firstLine="480"/>
        <w:rPr>
          <w:rFonts w:ascii="宋体" w:hAnsi="宋体" w:hint="eastAsia"/>
          <w:sz w:val="24"/>
        </w:rPr>
      </w:pPr>
      <w:r>
        <w:rPr>
          <w:rFonts w:ascii="宋体" w:hAnsi="宋体" w:hint="eastAsia"/>
          <w:sz w:val="24"/>
          <w:highlight w:val="white"/>
        </w:rPr>
        <w:t>有下列情形之一的，基金托管人职责终止：</w:t>
      </w:r>
    </w:p>
    <w:p w:rsidR="006C13DF" w14:paraId="03052FF2" w14:textId="77777777">
      <w:pPr>
        <w:spacing w:line="360" w:lineRule="auto"/>
        <w:ind w:firstLine="480"/>
      </w:pPr>
      <w:r>
        <w:rPr>
          <w:rFonts w:ascii="宋体" w:hAnsi="宋体"/>
          <w:sz w:val="24"/>
          <w:highlight w:val="white"/>
        </w:rPr>
        <w:t>（1）被依法取消基金托管资格；</w:t>
      </w:r>
    </w:p>
    <w:p w:rsidR="006C13DF" w14:paraId="790D1ADF" w14:textId="77777777">
      <w:pPr>
        <w:spacing w:line="360" w:lineRule="auto"/>
        <w:ind w:firstLine="480"/>
      </w:pPr>
      <w:r>
        <w:rPr>
          <w:rFonts w:ascii="宋体" w:hAnsi="宋体"/>
          <w:sz w:val="24"/>
          <w:highlight w:val="white"/>
        </w:rPr>
        <w:t>（2）被基金份额持有人大会解任；</w:t>
      </w:r>
    </w:p>
    <w:p w:rsidR="006C13DF" w14:paraId="06CCD38E" w14:textId="77777777">
      <w:pPr>
        <w:spacing w:line="360" w:lineRule="auto"/>
        <w:ind w:firstLine="480"/>
      </w:pPr>
      <w:r>
        <w:rPr>
          <w:rFonts w:ascii="宋体" w:hAnsi="宋体"/>
          <w:sz w:val="24"/>
          <w:highlight w:val="white"/>
        </w:rPr>
        <w:t>（3）依法解散、被依法撤销或被依法宣告破产；</w:t>
      </w:r>
    </w:p>
    <w:p w:rsidR="006C13DF" w14:paraId="7ADCA069" w14:textId="77777777">
      <w:pPr>
        <w:spacing w:line="360" w:lineRule="auto"/>
        <w:ind w:firstLine="480"/>
      </w:pPr>
      <w:r>
        <w:rPr>
          <w:rFonts w:ascii="宋体" w:hAnsi="宋体"/>
          <w:sz w:val="24"/>
          <w:highlight w:val="white"/>
        </w:rPr>
        <w:t>（4）法律法规及中国证监会规定的和《基金合同》约定的其他情形。</w:t>
      </w:r>
    </w:p>
    <w:p w:rsidR="006C13DF" w14:paraId="7D02D453" w14:textId="77777777">
      <w:pPr>
        <w:spacing w:line="360" w:lineRule="auto"/>
        <w:ind w:firstLine="480"/>
        <w:rPr>
          <w:rFonts w:ascii="宋体" w:hAnsi="宋体" w:hint="eastAsia"/>
          <w:sz w:val="24"/>
        </w:rPr>
      </w:pPr>
    </w:p>
    <w:p w:rsidR="006C13DF" w14:paraId="709881D7" w14:textId="77777777">
      <w:pPr>
        <w:spacing w:line="360" w:lineRule="auto"/>
        <w:ind w:firstLine="480"/>
        <w:rPr>
          <w:rFonts w:ascii="宋体" w:hAnsi="宋体" w:hint="eastAsia"/>
          <w:sz w:val="24"/>
        </w:rPr>
      </w:pPr>
      <w:r>
        <w:rPr>
          <w:rFonts w:ascii="宋体" w:hAnsi="宋体" w:hint="eastAsia"/>
          <w:sz w:val="24"/>
          <w:highlight w:val="white"/>
        </w:rPr>
        <w:t>2、更换基金托管人的程序</w:t>
      </w:r>
    </w:p>
    <w:p w:rsidR="006C13DF" w14:paraId="25BA0187" w14:textId="77777777">
      <w:pPr>
        <w:spacing w:line="360" w:lineRule="auto"/>
        <w:ind w:firstLine="480"/>
      </w:pPr>
      <w:r>
        <w:rPr>
          <w:rFonts w:ascii="宋体" w:hAnsi="宋体"/>
          <w:sz w:val="24"/>
          <w:highlight w:val="white"/>
        </w:rPr>
        <w:t>（1）提名：新任基金托管人由基金管理人或由单独或合计持有10%以上（含10%）基金份额的基金份额持有人提名；</w:t>
      </w:r>
    </w:p>
    <w:p w:rsidR="006C13DF" w14:paraId="6BD96B96" w14:textId="77777777">
      <w:pPr>
        <w:spacing w:line="360" w:lineRule="auto"/>
        <w:ind w:firstLine="480"/>
      </w:pPr>
      <w:r>
        <w:rPr>
          <w:rFonts w:ascii="宋体" w:hAnsi="宋体"/>
          <w:sz w:val="24"/>
          <w:highlight w:val="white"/>
        </w:rPr>
        <w:t>（2）决议：基金份额持有人大会在基金托管人职责终止后6个月内对被提名的基金托管人形成决议，该决议需经参加大会的基金份额持有人所持表决权的三分之二以上（含三分之二）表决通过，决议自表决通过之日起生效；</w:t>
      </w:r>
    </w:p>
    <w:p w:rsidR="006C13DF" w14:paraId="0F0147A4" w14:textId="77777777">
      <w:pPr>
        <w:spacing w:line="360" w:lineRule="auto"/>
        <w:ind w:firstLine="480"/>
      </w:pPr>
      <w:r>
        <w:rPr>
          <w:rFonts w:ascii="宋体" w:hAnsi="宋体"/>
          <w:sz w:val="24"/>
          <w:highlight w:val="white"/>
        </w:rPr>
        <w:t>（3）临时基金托管人：新任基金托管人产生之前，由中国证监会指定临时基金托管人；</w:t>
      </w:r>
    </w:p>
    <w:p w:rsidR="006C13DF" w14:paraId="3F2612A7" w14:textId="77777777">
      <w:pPr>
        <w:spacing w:line="360" w:lineRule="auto"/>
        <w:ind w:firstLine="480"/>
      </w:pPr>
      <w:r>
        <w:rPr>
          <w:rFonts w:ascii="宋体" w:hAnsi="宋体"/>
          <w:sz w:val="24"/>
          <w:highlight w:val="white"/>
        </w:rPr>
        <w:t>（4）备案：基金份额持有人大会更换基金托管人的决议须报中国证监会备案；</w:t>
      </w:r>
    </w:p>
    <w:p w:rsidR="006C13DF" w14:paraId="32A673B9" w14:textId="77777777">
      <w:pPr>
        <w:spacing w:line="360" w:lineRule="auto"/>
        <w:ind w:firstLine="480"/>
      </w:pPr>
      <w:r>
        <w:rPr>
          <w:rFonts w:ascii="宋体" w:hAnsi="宋体"/>
          <w:sz w:val="24"/>
          <w:highlight w:val="white"/>
        </w:rPr>
        <w:t>（5）公告：基金托管人更换后，由基金管理人在更换基金托管人的基金份额持有人大会决议生效后2日内在规定媒介公告；</w:t>
      </w:r>
    </w:p>
    <w:p w:rsidR="006C13DF" w14:paraId="36B25EFE" w14:textId="77777777">
      <w:pPr>
        <w:spacing w:line="360" w:lineRule="auto"/>
        <w:ind w:firstLine="480"/>
      </w:pPr>
      <w:r>
        <w:rPr>
          <w:rFonts w:ascii="宋体" w:hAnsi="宋体"/>
          <w:sz w:val="24"/>
          <w:highlight w:val="white"/>
        </w:rPr>
        <w:t>（6）交接：基金托管人职责终止的，应当妥善保管基金财产和基金托管业务资料，及时办理基金财产和基金托管业务的移交手续，新任基金托管人或者临时基金托管人应当及时接收。新任基金托管人与基金管理人核对基金资产总值；</w:t>
      </w:r>
    </w:p>
    <w:p w:rsidR="006C13DF" w14:paraId="73F3077E" w14:textId="77777777">
      <w:pPr>
        <w:spacing w:line="360" w:lineRule="auto"/>
        <w:ind w:firstLine="480"/>
      </w:pPr>
      <w:r>
        <w:rPr>
          <w:rFonts w:ascii="宋体" w:hAnsi="宋体"/>
          <w:sz w:val="24"/>
          <w:highlight w:val="white"/>
        </w:rPr>
        <w:t>（7）审计：基金托管人职责终止的，应当按照法律法规规定聘请会计师事务所对基金财产进行审计，并将审计结果予以公告，同时报中国证监会备案。审计费用从基金财产中列支。</w:t>
      </w:r>
    </w:p>
    <w:p w:rsidR="006C13DF" w14:paraId="4D736914" w14:textId="77777777">
      <w:pPr>
        <w:spacing w:line="360" w:lineRule="auto"/>
        <w:ind w:firstLine="540"/>
        <w:rPr>
          <w:rFonts w:ascii="宋体" w:hAnsi="宋体" w:hint="eastAsia"/>
          <w:sz w:val="24"/>
        </w:rPr>
      </w:pPr>
      <w:r>
        <w:rPr>
          <w:rFonts w:ascii="宋体" w:hAnsi="宋体" w:hint="eastAsia"/>
          <w:sz w:val="24"/>
          <w:highlight w:val="white"/>
        </w:rPr>
        <w:t>3、原基金托管人职责终止后，新任基金托管人或临时基金托管人接</w:t>
      </w:r>
      <w:r>
        <w:rPr>
          <w:rFonts w:ascii="宋体" w:hAnsi="宋体"/>
          <w:sz w:val="24"/>
          <w:highlight w:val="white"/>
        </w:rPr>
        <w:t>收</w:t>
      </w:r>
      <w:r>
        <w:rPr>
          <w:rFonts w:ascii="宋体" w:hAnsi="宋体" w:hint="eastAsia"/>
          <w:sz w:val="24"/>
          <w:highlight w:val="white"/>
        </w:rPr>
        <w:t>基金财产和基金托管业务前，原基金托管人和基金管理人需采取审慎措施确保基金财产的安全，不对基金份额持有人的利益造成损失，并有义务协助新任基金托管人或临时基金托管人尽快交接基金资产。</w:t>
      </w:r>
    </w:p>
    <w:p w:rsidR="006C13DF" w14:paraId="5F930B4A" w14:textId="77777777">
      <w:pPr>
        <w:spacing w:line="360" w:lineRule="auto"/>
        <w:ind w:firstLine="480"/>
        <w:rPr>
          <w:rFonts w:ascii="宋体" w:hAnsi="宋体" w:hint="eastAsia"/>
          <w:bCs/>
          <w:sz w:val="24"/>
        </w:rPr>
      </w:pPr>
      <w:r>
        <w:rPr>
          <w:rFonts w:ascii="宋体" w:hAnsi="宋体" w:hint="eastAsia"/>
          <w:bCs/>
          <w:sz w:val="24"/>
          <w:highlight w:val="white"/>
        </w:rPr>
        <w:t>（三）</w:t>
      </w:r>
      <w:r>
        <w:rPr>
          <w:rFonts w:ascii="宋体" w:hAnsi="宋体" w:hint="eastAsia"/>
          <w:bCs/>
          <w:sz w:val="24"/>
          <w:highlight w:val="white"/>
        </w:rPr>
        <w:tab/>
        <w:t>基金管理人和基金托管人的同时更换程序</w:t>
      </w:r>
    </w:p>
    <w:p w:rsidR="006C13DF" w14:paraId="27250CB9" w14:textId="77777777">
      <w:pPr>
        <w:spacing w:line="360" w:lineRule="auto"/>
        <w:ind w:firstLine="540"/>
        <w:rPr>
          <w:rFonts w:ascii="宋体" w:hAnsi="宋体" w:hint="eastAsia"/>
          <w:sz w:val="24"/>
        </w:rPr>
      </w:pPr>
      <w:r>
        <w:rPr>
          <w:rFonts w:ascii="宋体" w:hAnsi="宋体" w:hint="eastAsia"/>
          <w:sz w:val="24"/>
          <w:highlight w:val="white"/>
        </w:rPr>
        <w:t>1、提名：如果基金管理人和基金托管人同时更换，由单独或合计持有基金总份额10%以上（含10%）的基金份额持有人提名新的基金管理人和基金托管人；</w:t>
      </w:r>
    </w:p>
    <w:p w:rsidR="006C13DF" w14:paraId="5365CBD4" w14:textId="77777777">
      <w:pPr>
        <w:spacing w:line="360" w:lineRule="auto"/>
        <w:ind w:firstLine="540"/>
        <w:rPr>
          <w:rFonts w:ascii="宋体" w:hAnsi="宋体" w:hint="eastAsia"/>
          <w:sz w:val="24"/>
        </w:rPr>
      </w:pPr>
      <w:r>
        <w:rPr>
          <w:rFonts w:ascii="宋体" w:hAnsi="宋体" w:hint="eastAsia"/>
          <w:sz w:val="24"/>
          <w:highlight w:val="white"/>
        </w:rPr>
        <w:t>2、基金管理人和基金托管人的更换分别按上述程序进行；</w:t>
      </w:r>
    </w:p>
    <w:p w:rsidR="006C13DF" w14:paraId="03496DD2" w14:textId="77777777">
      <w:pPr>
        <w:spacing w:line="360" w:lineRule="auto"/>
        <w:ind w:firstLine="540"/>
        <w:rPr>
          <w:rFonts w:ascii="宋体" w:hAnsi="宋体" w:hint="eastAsia"/>
          <w:sz w:val="24"/>
        </w:rPr>
      </w:pPr>
      <w:r>
        <w:rPr>
          <w:rFonts w:ascii="宋体" w:hAnsi="宋体" w:hint="eastAsia"/>
          <w:sz w:val="24"/>
          <w:highlight w:val="white"/>
        </w:rPr>
        <w:t>3、公告：新任基金管理人和新任基金托管人应在更换基金管理人和基金托管人的基金份额持有人大会决议生效后2日内在规定媒介上联合公告。</w:t>
      </w:r>
    </w:p>
    <w:p w:rsidR="006C13DF" w14:paraId="3306B0AF"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19" w:name="_Toc96101884"/>
      <w:r>
        <w:rPr>
          <w:rFonts w:ascii="宋体" w:hAnsi="宋体" w:cs="Arial" w:hint="eastAsia"/>
          <w:sz w:val="30"/>
          <w:highlight w:val="white"/>
        </w:rPr>
        <w:t>禁止行为</w:t>
      </w:r>
      <w:bookmarkEnd w:id="19"/>
    </w:p>
    <w:p w:rsidR="006C13DF" w14:paraId="22B5078A" w14:textId="77777777">
      <w:pPr>
        <w:spacing w:line="360" w:lineRule="auto"/>
        <w:ind w:firstLine="539"/>
        <w:rPr>
          <w:rFonts w:ascii="宋体" w:hAnsi="宋体" w:hint="eastAsia"/>
          <w:sz w:val="24"/>
        </w:rPr>
      </w:pPr>
      <w:r>
        <w:rPr>
          <w:rFonts w:ascii="宋体" w:hAnsi="宋体" w:hint="eastAsia"/>
          <w:sz w:val="24"/>
          <w:highlight w:val="white"/>
        </w:rPr>
        <w:t>托管协议当事人禁止从事的行为，包括但不限于：</w:t>
      </w:r>
    </w:p>
    <w:p w:rsidR="006C13DF" w14:paraId="15EEFB13" w14:textId="77777777">
      <w:pPr>
        <w:spacing w:line="360" w:lineRule="auto"/>
        <w:ind w:firstLine="539"/>
        <w:rPr>
          <w:rFonts w:ascii="宋体" w:hAnsi="宋体" w:hint="eastAsia"/>
          <w:sz w:val="24"/>
        </w:rPr>
      </w:pPr>
      <w:r>
        <w:rPr>
          <w:rFonts w:ascii="宋体" w:hAnsi="宋体" w:hint="eastAsia"/>
          <w:sz w:val="24"/>
          <w:highlight w:val="white"/>
        </w:rPr>
        <w:t>（一）基金管理人、基金托管人将其固有财产或者他人财产混同于基金财产从事证券投资。</w:t>
      </w:r>
    </w:p>
    <w:p w:rsidR="006C13DF" w14:paraId="0C22B563" w14:textId="77777777">
      <w:pPr>
        <w:spacing w:line="360" w:lineRule="auto"/>
        <w:ind w:firstLine="539"/>
        <w:rPr>
          <w:rFonts w:ascii="宋体" w:hAnsi="宋体" w:hint="eastAsia"/>
          <w:sz w:val="24"/>
        </w:rPr>
      </w:pPr>
      <w:r>
        <w:rPr>
          <w:rFonts w:ascii="宋体" w:hAnsi="宋体" w:hint="eastAsia"/>
          <w:sz w:val="24"/>
          <w:highlight w:val="white"/>
        </w:rPr>
        <w:t>（二）基金管理人、基金托管人不公平地对待其管理或托管的不同基金财产。</w:t>
      </w:r>
    </w:p>
    <w:p w:rsidR="006C13DF" w14:paraId="2A955442" w14:textId="77777777">
      <w:pPr>
        <w:spacing w:line="360" w:lineRule="auto"/>
        <w:ind w:firstLine="539"/>
        <w:rPr>
          <w:rFonts w:ascii="宋体" w:hAnsi="宋体" w:hint="eastAsia"/>
          <w:sz w:val="24"/>
        </w:rPr>
      </w:pPr>
      <w:r>
        <w:rPr>
          <w:rFonts w:ascii="宋体" w:hAnsi="宋体" w:hint="eastAsia"/>
          <w:sz w:val="24"/>
          <w:highlight w:val="white"/>
        </w:rPr>
        <w:t>（三）基金管理人、基金托管人利用基金财产为基金份额持有人以外的第三人牟取利益。</w:t>
      </w:r>
    </w:p>
    <w:p w:rsidR="006C13DF" w14:paraId="3DCE31C8" w14:textId="77777777">
      <w:pPr>
        <w:spacing w:line="360" w:lineRule="auto"/>
        <w:ind w:firstLine="539"/>
        <w:rPr>
          <w:rFonts w:ascii="宋体" w:hAnsi="宋体" w:hint="eastAsia"/>
          <w:sz w:val="24"/>
        </w:rPr>
      </w:pPr>
      <w:r>
        <w:rPr>
          <w:rFonts w:ascii="宋体" w:hAnsi="宋体" w:hint="eastAsia"/>
          <w:sz w:val="24"/>
          <w:highlight w:val="white"/>
        </w:rPr>
        <w:t>（四）基金管理人、基金托管人向基金份额持有人违规承诺收益或者承担损失。</w:t>
      </w:r>
    </w:p>
    <w:p w:rsidR="006C13DF" w14:paraId="2A589C46" w14:textId="77777777">
      <w:pPr>
        <w:spacing w:line="360" w:lineRule="auto"/>
        <w:ind w:firstLine="539"/>
        <w:rPr>
          <w:rFonts w:ascii="宋体" w:hAnsi="宋体" w:hint="eastAsia"/>
          <w:sz w:val="24"/>
        </w:rPr>
      </w:pPr>
      <w:r>
        <w:rPr>
          <w:rFonts w:ascii="宋体" w:hAnsi="宋体" w:hint="eastAsia"/>
          <w:sz w:val="24"/>
          <w:highlight w:val="white"/>
        </w:rPr>
        <w:t>（五）基金管理人、基金托管人对他人泄</w:t>
      </w:r>
      <w:r>
        <w:rPr>
          <w:rFonts w:ascii="宋体" w:hAnsi="宋体"/>
          <w:sz w:val="24"/>
          <w:highlight w:val="white"/>
        </w:rPr>
        <w:t>露</w:t>
      </w:r>
      <w:r>
        <w:rPr>
          <w:rFonts w:ascii="宋体" w:hAnsi="宋体" w:hint="eastAsia"/>
          <w:sz w:val="24"/>
          <w:highlight w:val="white"/>
        </w:rPr>
        <w:t>基金经营过程中任何尚未按法律法规规定的方式公开披露的信息。</w:t>
      </w:r>
    </w:p>
    <w:p w:rsidR="006C13DF" w14:paraId="2470025F" w14:textId="77777777">
      <w:pPr>
        <w:spacing w:line="360" w:lineRule="auto"/>
        <w:ind w:firstLine="539"/>
        <w:rPr>
          <w:rFonts w:ascii="宋体" w:hAnsi="宋体" w:hint="eastAsia"/>
          <w:sz w:val="24"/>
        </w:rPr>
      </w:pPr>
      <w:r>
        <w:rPr>
          <w:rFonts w:ascii="宋体" w:hAnsi="宋体" w:hint="eastAsia"/>
          <w:sz w:val="24"/>
          <w:highlight w:val="white"/>
        </w:rPr>
        <w:t>（六）基金管理人在没有充足资金的情况下向基金托管人发出投资指令和赎回、分红资金的划拨指令，或违规向基金托管人发出指令。</w:t>
      </w:r>
    </w:p>
    <w:p w:rsidR="006C13DF" w14:paraId="7817C149" w14:textId="77777777">
      <w:pPr>
        <w:spacing w:line="360" w:lineRule="auto"/>
        <w:ind w:firstLine="539"/>
        <w:rPr>
          <w:rFonts w:ascii="宋体" w:hAnsi="宋体" w:hint="eastAsia"/>
          <w:sz w:val="24"/>
        </w:rPr>
      </w:pPr>
      <w:r>
        <w:rPr>
          <w:rFonts w:ascii="宋体" w:hAnsi="宋体" w:hint="eastAsia"/>
          <w:sz w:val="24"/>
          <w:highlight w:val="white"/>
        </w:rPr>
        <w:t>（七）基金托管人对基金管理人的正常有效指令拖延或拒绝执行。</w:t>
      </w:r>
    </w:p>
    <w:p w:rsidR="006C13DF" w14:paraId="425F185D" w14:textId="77777777">
      <w:pPr>
        <w:spacing w:line="360" w:lineRule="auto"/>
        <w:ind w:firstLine="539"/>
        <w:rPr>
          <w:rFonts w:ascii="宋体" w:hAnsi="宋体" w:hint="eastAsia"/>
          <w:sz w:val="24"/>
        </w:rPr>
      </w:pPr>
      <w:r>
        <w:rPr>
          <w:rFonts w:ascii="宋体" w:hAnsi="宋体" w:hint="eastAsia"/>
          <w:sz w:val="24"/>
          <w:highlight w:val="white"/>
        </w:rPr>
        <w:t xml:space="preserve">（八）基金管理人、基金托管人在行政上、财务上不独立，其高级管理人员相互兼职。 </w:t>
      </w:r>
    </w:p>
    <w:p w:rsidR="006C13DF" w14:paraId="55367197" w14:textId="77777777">
      <w:pPr>
        <w:spacing w:line="360" w:lineRule="auto"/>
        <w:ind w:firstLine="539"/>
        <w:rPr>
          <w:rFonts w:ascii="宋体" w:hAnsi="宋体" w:hint="eastAsia"/>
          <w:sz w:val="24"/>
        </w:rPr>
      </w:pPr>
      <w:r>
        <w:rPr>
          <w:rFonts w:ascii="宋体" w:hAnsi="宋体" w:hint="eastAsia"/>
          <w:sz w:val="24"/>
          <w:highlight w:val="white"/>
        </w:rPr>
        <w:t>（九）基金托管人私自动用或处分基金资产，根据基金管理人的合法指令、《基金合同》或本协议的</w:t>
      </w:r>
      <w:r>
        <w:rPr>
          <w:rFonts w:ascii="宋体" w:hAnsi="宋体"/>
          <w:sz w:val="24"/>
          <w:highlight w:val="white"/>
        </w:rPr>
        <w:t>约</w:t>
      </w:r>
      <w:r>
        <w:rPr>
          <w:rFonts w:ascii="宋体" w:hAnsi="宋体" w:hint="eastAsia"/>
          <w:sz w:val="24"/>
          <w:highlight w:val="white"/>
        </w:rPr>
        <w:t xml:space="preserve">定进行处分的除外。 </w:t>
      </w:r>
    </w:p>
    <w:p w:rsidR="006C13DF" w14:paraId="24B08479" w14:textId="77777777">
      <w:pPr>
        <w:spacing w:line="360" w:lineRule="auto"/>
        <w:ind w:firstLine="539"/>
        <w:rPr>
          <w:rFonts w:ascii="宋体" w:hAnsi="宋体" w:hint="eastAsia"/>
          <w:sz w:val="24"/>
        </w:rPr>
      </w:pPr>
      <w:r>
        <w:rPr>
          <w:rFonts w:ascii="宋体" w:hAnsi="宋体" w:hint="eastAsia"/>
          <w:sz w:val="24"/>
          <w:highlight w:val="white"/>
        </w:rPr>
        <w:t>（十）基金管理人、基金托管人不得利用基金财产用于下列投资或者活动：（1）承销证券；（2）违反规定向他人贷款或者提供担保；（3）从事承担无限责任的投资；（4）向其基金管理人、基金托管人出资；（5）从事内幕交易、操纵证券交易价格及其他不正当的证券交易活动；（6）法律、行政法规和中国证监会规定禁止的其他活动。</w:t>
      </w:r>
    </w:p>
    <w:p w:rsidR="006C13DF" w14:paraId="22D6EEE6" w14:textId="77777777">
      <w:pPr>
        <w:spacing w:line="360" w:lineRule="auto"/>
        <w:ind w:firstLine="539"/>
        <w:rPr>
          <w:rFonts w:ascii="宋体" w:hAnsi="宋体" w:hint="eastAsia"/>
          <w:sz w:val="24"/>
        </w:rPr>
      </w:pPr>
      <w:r>
        <w:rPr>
          <w:rFonts w:ascii="宋体" w:hAnsi="宋体" w:hint="eastAsia"/>
          <w:sz w:val="24"/>
          <w:highlight w:val="white"/>
        </w:rPr>
        <w:t>（十一）基金管理人不得借助基金托管人的品牌、声誉开展不当营销宣传。</w:t>
      </w:r>
    </w:p>
    <w:p w:rsidR="006C13DF" w14:paraId="2A97B856" w14:textId="77777777">
      <w:pPr>
        <w:spacing w:line="360" w:lineRule="auto"/>
        <w:ind w:firstLine="539"/>
      </w:pPr>
      <w:r>
        <w:rPr>
          <w:rFonts w:ascii="宋体" w:hAnsi="宋体" w:hint="eastAsia"/>
          <w:sz w:val="24"/>
          <w:highlight w:val="white"/>
        </w:rPr>
        <w:t>（十二）法律法规和《基金合同》禁止的其他行为，以及依照法律法规有关规定，由中国证监会规定禁止基金管理人、基金托管人从事的其他行为。</w:t>
      </w:r>
    </w:p>
    <w:p w:rsidR="006C13DF" w14:paraId="1987795C"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20" w:name="_Toc96101885"/>
      <w:r>
        <w:rPr>
          <w:rFonts w:ascii="宋体" w:hAnsi="宋体" w:cs="Arial" w:hint="eastAsia"/>
          <w:sz w:val="30"/>
          <w:highlight w:val="white"/>
        </w:rPr>
        <w:t>托管协议的变更、终止与基金财产的清算</w:t>
      </w:r>
      <w:bookmarkEnd w:id="20"/>
    </w:p>
    <w:p w:rsidR="006C13DF" w14:paraId="7D478826" w14:textId="77777777">
      <w:pPr>
        <w:spacing w:line="360" w:lineRule="auto"/>
        <w:ind w:firstLine="480"/>
        <w:rPr>
          <w:rFonts w:ascii="宋体" w:hAnsi="宋体" w:hint="eastAsia"/>
          <w:sz w:val="24"/>
        </w:rPr>
      </w:pPr>
      <w:r>
        <w:rPr>
          <w:rFonts w:ascii="宋体" w:hAnsi="宋体" w:hint="eastAsia"/>
          <w:sz w:val="24"/>
          <w:highlight w:val="white"/>
        </w:rPr>
        <w:t>（一）托管协议的变更与终止</w:t>
      </w:r>
    </w:p>
    <w:p w:rsidR="006C13DF" w14:paraId="3C3F0FD1" w14:textId="77777777">
      <w:pPr>
        <w:spacing w:line="360" w:lineRule="auto"/>
        <w:ind w:firstLine="480"/>
        <w:rPr>
          <w:rFonts w:ascii="宋体" w:hAnsi="宋体" w:hint="eastAsia"/>
          <w:sz w:val="24"/>
        </w:rPr>
      </w:pPr>
      <w:r>
        <w:rPr>
          <w:rFonts w:ascii="宋体" w:hAnsi="宋体" w:hint="eastAsia"/>
          <w:sz w:val="24"/>
          <w:highlight w:val="white"/>
        </w:rPr>
        <w:t>1、托管协议的变更程序</w:t>
      </w:r>
    </w:p>
    <w:p w:rsidR="006C13DF" w14:paraId="5A4EA20F" w14:textId="77777777">
      <w:pPr>
        <w:spacing w:line="360" w:lineRule="auto"/>
        <w:ind w:firstLine="504"/>
        <w:rPr>
          <w:rFonts w:ascii="宋体" w:hAnsi="宋体" w:hint="eastAsia"/>
          <w:spacing w:val="6"/>
          <w:sz w:val="24"/>
        </w:rPr>
      </w:pPr>
      <w:r>
        <w:rPr>
          <w:rFonts w:ascii="宋体" w:hAnsi="宋体" w:hint="eastAsia"/>
          <w:spacing w:val="6"/>
          <w:sz w:val="24"/>
          <w:highlight w:val="white"/>
        </w:rPr>
        <w:t>本协议双方当事人经协商一致，可以对协议的内容进行变更。变更后的托管协议，其内容不得与《基金合同》的</w:t>
      </w:r>
      <w:r>
        <w:rPr>
          <w:rFonts w:ascii="宋体" w:hAnsi="宋体"/>
          <w:spacing w:val="6"/>
          <w:sz w:val="24"/>
          <w:highlight w:val="white"/>
        </w:rPr>
        <w:t>约</w:t>
      </w:r>
      <w:r>
        <w:rPr>
          <w:rFonts w:ascii="宋体" w:hAnsi="宋体" w:hint="eastAsia"/>
          <w:spacing w:val="6"/>
          <w:sz w:val="24"/>
          <w:highlight w:val="white"/>
        </w:rPr>
        <w:t>定有任何冲突。</w:t>
      </w:r>
    </w:p>
    <w:p w:rsidR="006C13DF" w14:paraId="15AC1130" w14:textId="77777777">
      <w:pPr>
        <w:spacing w:line="360" w:lineRule="auto"/>
        <w:ind w:firstLine="480"/>
        <w:rPr>
          <w:rFonts w:ascii="宋体" w:hAnsi="宋体" w:hint="eastAsia"/>
          <w:sz w:val="24"/>
        </w:rPr>
      </w:pPr>
      <w:r>
        <w:rPr>
          <w:rFonts w:ascii="宋体" w:hAnsi="宋体" w:hint="eastAsia"/>
          <w:sz w:val="24"/>
          <w:highlight w:val="white"/>
        </w:rPr>
        <w:t>2、基金托管协议终止的情形</w:t>
      </w:r>
    </w:p>
    <w:p w:rsidR="006C13DF" w14:paraId="051C1BF5" w14:textId="77777777">
      <w:pPr>
        <w:spacing w:line="360" w:lineRule="auto"/>
        <w:ind w:firstLine="504"/>
        <w:jc w:val="left"/>
        <w:rPr>
          <w:rFonts w:ascii="宋体" w:hAnsi="宋体" w:hint="eastAsia"/>
          <w:spacing w:val="6"/>
          <w:sz w:val="24"/>
        </w:rPr>
      </w:pPr>
      <w:r>
        <w:rPr>
          <w:rFonts w:ascii="宋体" w:hAnsi="宋体" w:hint="eastAsia"/>
          <w:spacing w:val="6"/>
          <w:sz w:val="24"/>
          <w:highlight w:val="white"/>
        </w:rPr>
        <w:t>发生以下情况，本协议终止：</w:t>
      </w:r>
    </w:p>
    <w:p w:rsidR="006C13DF" w14:paraId="22693E5A" w14:textId="77777777">
      <w:pPr>
        <w:spacing w:line="360" w:lineRule="auto"/>
        <w:ind w:firstLine="504"/>
        <w:jc w:val="left"/>
        <w:rPr>
          <w:rFonts w:ascii="宋体" w:hAnsi="宋体" w:hint="eastAsia"/>
          <w:spacing w:val="6"/>
          <w:sz w:val="24"/>
        </w:rPr>
      </w:pPr>
      <w:r>
        <w:rPr>
          <w:rFonts w:ascii="宋体" w:hAnsi="宋体" w:hint="eastAsia"/>
          <w:spacing w:val="6"/>
          <w:sz w:val="24"/>
          <w:highlight w:val="white"/>
        </w:rPr>
        <w:t>（1）《基金合同》终止；</w:t>
      </w:r>
    </w:p>
    <w:p w:rsidR="006C13DF" w14:paraId="3A89CCF3" w14:textId="77777777">
      <w:pPr>
        <w:spacing w:line="360" w:lineRule="auto"/>
        <w:ind w:firstLine="504"/>
        <w:jc w:val="left"/>
        <w:rPr>
          <w:rFonts w:ascii="宋体" w:hAnsi="宋体" w:hint="eastAsia"/>
          <w:spacing w:val="6"/>
          <w:sz w:val="24"/>
        </w:rPr>
      </w:pPr>
      <w:r>
        <w:rPr>
          <w:rFonts w:ascii="宋体" w:hAnsi="宋体" w:hint="eastAsia"/>
          <w:spacing w:val="6"/>
          <w:sz w:val="24"/>
          <w:highlight w:val="white"/>
        </w:rPr>
        <w:t>（2）基金托管人解散、依法被撤销、破产或有其他基金托管人接管基金资产；</w:t>
      </w:r>
    </w:p>
    <w:p w:rsidR="006C13DF" w14:paraId="53886057" w14:textId="77777777">
      <w:pPr>
        <w:spacing w:line="360" w:lineRule="auto"/>
        <w:ind w:firstLine="504"/>
        <w:jc w:val="left"/>
        <w:rPr>
          <w:rFonts w:ascii="宋体" w:hAnsi="宋体" w:hint="eastAsia"/>
          <w:spacing w:val="6"/>
          <w:sz w:val="24"/>
        </w:rPr>
      </w:pPr>
      <w:r>
        <w:rPr>
          <w:rFonts w:ascii="宋体" w:hAnsi="宋体" w:hint="eastAsia"/>
          <w:spacing w:val="6"/>
          <w:sz w:val="24"/>
          <w:highlight w:val="white"/>
        </w:rPr>
        <w:t>（3）基金管理人解散、依法被撤销、破产或有其他基金管理人接管基金管理权；</w:t>
      </w:r>
    </w:p>
    <w:p w:rsidR="006C13DF" w14:paraId="31E4D02F" w14:textId="77777777">
      <w:pPr>
        <w:spacing w:line="360" w:lineRule="auto"/>
        <w:ind w:firstLine="504"/>
        <w:jc w:val="left"/>
        <w:rPr>
          <w:rFonts w:ascii="宋体" w:hAnsi="宋体" w:hint="eastAsia"/>
          <w:spacing w:val="6"/>
          <w:sz w:val="24"/>
        </w:rPr>
      </w:pPr>
      <w:r>
        <w:rPr>
          <w:rFonts w:ascii="宋体" w:hAnsi="宋体" w:hint="eastAsia"/>
          <w:spacing w:val="6"/>
          <w:sz w:val="24"/>
          <w:highlight w:val="white"/>
        </w:rPr>
        <w:t>（4）发生法律法规或《基金合同》规定的终止事项。</w:t>
      </w:r>
    </w:p>
    <w:p w:rsidR="006C13DF" w14:paraId="3213681A" w14:textId="77777777">
      <w:pPr>
        <w:spacing w:line="360" w:lineRule="auto"/>
        <w:ind w:firstLine="480"/>
        <w:rPr>
          <w:rFonts w:ascii="宋体" w:hAnsi="宋体" w:hint="eastAsia"/>
          <w:sz w:val="24"/>
        </w:rPr>
      </w:pPr>
      <w:r>
        <w:rPr>
          <w:rFonts w:ascii="宋体" w:hAnsi="宋体" w:hint="eastAsia"/>
          <w:sz w:val="24"/>
          <w:highlight w:val="white"/>
        </w:rPr>
        <w:t>（二）基金财产的清算</w:t>
      </w:r>
    </w:p>
    <w:p w:rsidR="006C13DF" w14:paraId="2D8D7CCC" w14:textId="77777777">
      <w:pPr>
        <w:spacing w:line="360" w:lineRule="auto"/>
        <w:ind w:firstLine="480"/>
        <w:rPr>
          <w:rFonts w:ascii="宋体" w:hAnsi="宋体" w:hint="eastAsia"/>
          <w:sz w:val="24"/>
        </w:rPr>
      </w:pPr>
      <w:r>
        <w:rPr>
          <w:rFonts w:ascii="宋体" w:hAnsi="宋体" w:hint="eastAsia"/>
          <w:sz w:val="24"/>
          <w:highlight w:val="white"/>
        </w:rPr>
        <w:t>1、基金财产清算小组：自出现《基金合同》终止事由之日起30个工作日内成立清算小组，基金管理人组织基金财产清算小组并在中国证监会的监督下进行基金清算。</w:t>
      </w:r>
    </w:p>
    <w:p w:rsidR="006C13DF" w14:paraId="27F95F4C" w14:textId="77777777">
      <w:pPr>
        <w:spacing w:line="360" w:lineRule="auto"/>
        <w:ind w:firstLine="480"/>
        <w:rPr>
          <w:rFonts w:ascii="宋体" w:hAnsi="宋体" w:hint="eastAsia"/>
          <w:sz w:val="24"/>
        </w:rPr>
      </w:pPr>
      <w:r>
        <w:rPr>
          <w:rFonts w:ascii="宋体" w:hAnsi="宋体" w:hint="eastAsia"/>
          <w:sz w:val="24"/>
          <w:highlight w:val="white"/>
        </w:rPr>
        <w:t>2、基金财产清算小组组成：基金财产清算小组成员由基金管理人、基金托管人、注册会计师、律师以及中国证监会指定的人员组成。基金财产清算小组可以聘用必要的工作人员。</w:t>
      </w:r>
    </w:p>
    <w:p w:rsidR="006C13DF" w14:paraId="24C9C180" w14:textId="77777777">
      <w:pPr>
        <w:spacing w:line="360" w:lineRule="auto"/>
        <w:ind w:firstLine="480"/>
        <w:rPr>
          <w:rFonts w:ascii="宋体" w:hAnsi="宋体" w:hint="eastAsia"/>
          <w:sz w:val="24"/>
        </w:rPr>
      </w:pPr>
      <w:r>
        <w:rPr>
          <w:rFonts w:ascii="宋体" w:hAnsi="宋体" w:hint="eastAsia"/>
          <w:sz w:val="24"/>
          <w:highlight w:val="white"/>
        </w:rPr>
        <w:t>3、基金财产清算小组职责：基金财产清算小组负责基金财产的保管、清理、估价、变现和分配。基金财产清算小组可以依法进行必要的民事活动。</w:t>
      </w:r>
    </w:p>
    <w:p w:rsidR="006C13DF" w14:paraId="6B110BA3" w14:textId="77777777">
      <w:pPr>
        <w:spacing w:line="360" w:lineRule="auto"/>
        <w:ind w:firstLine="480"/>
        <w:rPr>
          <w:rFonts w:ascii="宋体" w:hAnsi="宋体" w:hint="eastAsia"/>
          <w:sz w:val="24"/>
        </w:rPr>
      </w:pPr>
      <w:r>
        <w:rPr>
          <w:rFonts w:ascii="宋体" w:hAnsi="宋体" w:hint="eastAsia"/>
          <w:sz w:val="24"/>
          <w:highlight w:val="white"/>
        </w:rPr>
        <w:t>4、基金财产清算程序：</w:t>
      </w:r>
    </w:p>
    <w:p w:rsidR="006C13DF" w14:paraId="07F858A4" w14:textId="77777777">
      <w:pPr>
        <w:spacing w:line="360" w:lineRule="auto"/>
        <w:ind w:firstLine="480"/>
        <w:rPr>
          <w:rFonts w:ascii="宋体" w:hAnsi="宋体" w:hint="eastAsia"/>
          <w:sz w:val="24"/>
        </w:rPr>
      </w:pPr>
      <w:r>
        <w:rPr>
          <w:rFonts w:ascii="宋体" w:hAnsi="宋体" w:hint="eastAsia"/>
          <w:sz w:val="24"/>
          <w:highlight w:val="white"/>
        </w:rPr>
        <w:t>（1）《基金合同》终止情形出现时，由基金财产清算小组统一接管基金；</w:t>
      </w:r>
    </w:p>
    <w:p w:rsidR="006C13DF" w14:paraId="5D6D38C2" w14:textId="77777777">
      <w:pPr>
        <w:spacing w:line="360" w:lineRule="auto"/>
        <w:ind w:firstLine="480"/>
        <w:rPr>
          <w:rFonts w:ascii="宋体" w:hAnsi="宋体" w:hint="eastAsia"/>
          <w:sz w:val="24"/>
        </w:rPr>
      </w:pPr>
      <w:r>
        <w:rPr>
          <w:rFonts w:ascii="宋体" w:hAnsi="宋体" w:hint="eastAsia"/>
          <w:sz w:val="24"/>
          <w:highlight w:val="white"/>
        </w:rPr>
        <w:t>（2）对基金财产和债权债务进行清理和确认；</w:t>
      </w:r>
    </w:p>
    <w:p w:rsidR="006C13DF" w14:paraId="4227589F" w14:textId="77777777">
      <w:pPr>
        <w:spacing w:line="360" w:lineRule="auto"/>
        <w:ind w:firstLine="480"/>
        <w:rPr>
          <w:rFonts w:ascii="宋体" w:hAnsi="宋体" w:hint="eastAsia"/>
          <w:sz w:val="24"/>
        </w:rPr>
      </w:pPr>
      <w:r>
        <w:rPr>
          <w:rFonts w:ascii="宋体" w:hAnsi="宋体" w:hint="eastAsia"/>
          <w:sz w:val="24"/>
          <w:highlight w:val="white"/>
        </w:rPr>
        <w:t>（3）对基金财产进行估值和变现；</w:t>
      </w:r>
    </w:p>
    <w:p w:rsidR="006C13DF" w14:paraId="7A7FA60C" w14:textId="77777777">
      <w:pPr>
        <w:spacing w:line="360" w:lineRule="auto"/>
        <w:ind w:firstLine="480"/>
        <w:rPr>
          <w:rFonts w:ascii="宋体" w:hAnsi="宋体" w:hint="eastAsia"/>
          <w:sz w:val="24"/>
        </w:rPr>
      </w:pPr>
      <w:r>
        <w:rPr>
          <w:rFonts w:ascii="宋体" w:hAnsi="宋体" w:hint="eastAsia"/>
          <w:sz w:val="24"/>
          <w:highlight w:val="white"/>
        </w:rPr>
        <w:t>（4）制作清算报告；</w:t>
      </w:r>
    </w:p>
    <w:p w:rsidR="006C13DF" w14:paraId="0E1215D8" w14:textId="77777777">
      <w:pPr>
        <w:spacing w:line="360" w:lineRule="auto"/>
        <w:ind w:firstLine="480"/>
        <w:rPr>
          <w:rFonts w:ascii="宋体" w:hAnsi="宋体" w:hint="eastAsia"/>
          <w:sz w:val="24"/>
        </w:rPr>
      </w:pPr>
      <w:r>
        <w:rPr>
          <w:rFonts w:ascii="宋体" w:hAnsi="宋体" w:hint="eastAsia"/>
          <w:sz w:val="24"/>
          <w:highlight w:val="white"/>
        </w:rPr>
        <w:t>（5）聘请会计师事务所对清算报告进行外部审计，聘请律师事务所对清算报告出具法律意见书；</w:t>
      </w:r>
    </w:p>
    <w:p w:rsidR="006C13DF" w14:paraId="66DCC021" w14:textId="77777777">
      <w:pPr>
        <w:spacing w:line="360" w:lineRule="auto"/>
        <w:ind w:firstLine="480"/>
        <w:rPr>
          <w:rFonts w:ascii="宋体" w:hAnsi="宋体" w:hint="eastAsia"/>
          <w:sz w:val="24"/>
        </w:rPr>
      </w:pPr>
      <w:r>
        <w:rPr>
          <w:rFonts w:ascii="宋体" w:hAnsi="宋体" w:hint="eastAsia"/>
          <w:sz w:val="24"/>
          <w:highlight w:val="white"/>
        </w:rPr>
        <w:t>（6）将清算报告报中国证监会备案并公告；</w:t>
      </w:r>
    </w:p>
    <w:p w:rsidR="006C13DF" w14:paraId="3DC3A8D3" w14:textId="77777777">
      <w:pPr>
        <w:spacing w:line="360" w:lineRule="auto"/>
        <w:ind w:firstLine="480"/>
        <w:rPr>
          <w:rFonts w:ascii="宋体" w:hAnsi="宋体" w:hint="eastAsia"/>
          <w:sz w:val="24"/>
        </w:rPr>
      </w:pPr>
      <w:r>
        <w:rPr>
          <w:rFonts w:ascii="宋体" w:hAnsi="宋体" w:hint="eastAsia"/>
          <w:sz w:val="24"/>
          <w:highlight w:val="white"/>
        </w:rPr>
        <w:t>（7）对基金剩余财产进行分配。</w:t>
      </w:r>
    </w:p>
    <w:p w:rsidR="006C13DF" w14:paraId="163083A4" w14:textId="77777777">
      <w:pPr>
        <w:spacing w:line="360" w:lineRule="auto"/>
        <w:ind w:firstLine="480"/>
        <w:rPr>
          <w:rFonts w:ascii="宋体" w:hAnsi="宋体" w:hint="eastAsia"/>
          <w:sz w:val="24"/>
        </w:rPr>
      </w:pPr>
      <w:r>
        <w:rPr>
          <w:rFonts w:ascii="宋体" w:hAnsi="宋体" w:hint="eastAsia"/>
          <w:sz w:val="24"/>
          <w:highlight w:val="white"/>
        </w:rPr>
        <w:t>5、基金财产清算的期限为6个月，但因本基金所持证券的流动性受到限制而不能及时变现的，清算期限相应顺延。</w:t>
      </w:r>
    </w:p>
    <w:p w:rsidR="006C13DF" w14:paraId="5E36EE03" w14:textId="77777777">
      <w:pPr>
        <w:spacing w:line="360" w:lineRule="auto"/>
        <w:ind w:firstLine="480"/>
        <w:rPr>
          <w:rFonts w:ascii="宋体" w:hAnsi="宋体" w:hint="eastAsia"/>
          <w:sz w:val="24"/>
        </w:rPr>
      </w:pPr>
      <w:r>
        <w:rPr>
          <w:rFonts w:ascii="宋体" w:hAnsi="宋体" w:hint="eastAsia"/>
          <w:sz w:val="24"/>
          <w:highlight w:val="white"/>
        </w:rPr>
        <w:t>6、清算费用</w:t>
      </w:r>
    </w:p>
    <w:p w:rsidR="006C13DF" w14:paraId="7C55D535" w14:textId="77777777">
      <w:pPr>
        <w:spacing w:line="360" w:lineRule="auto"/>
        <w:ind w:firstLine="480"/>
        <w:rPr>
          <w:rFonts w:ascii="宋体" w:hAnsi="宋体" w:hint="eastAsia"/>
          <w:sz w:val="24"/>
        </w:rPr>
      </w:pPr>
      <w:r>
        <w:rPr>
          <w:rFonts w:ascii="宋体" w:hAnsi="宋体" w:hint="eastAsia"/>
          <w:sz w:val="24"/>
          <w:highlight w:val="white"/>
        </w:rPr>
        <w:t>清算费用是指基金财产清算小组在进行基金清算过程中发生的所有合理费用，清算费用由基金财产清算小组优先从基金财产中支付。</w:t>
      </w:r>
    </w:p>
    <w:p w:rsidR="006C13DF" w14:paraId="03E15695" w14:textId="77777777">
      <w:pPr>
        <w:spacing w:line="360" w:lineRule="auto"/>
        <w:ind w:firstLine="480"/>
        <w:rPr>
          <w:rFonts w:ascii="宋体" w:hAnsi="宋体" w:hint="eastAsia"/>
          <w:sz w:val="24"/>
        </w:rPr>
      </w:pPr>
      <w:r>
        <w:rPr>
          <w:rFonts w:ascii="宋体" w:hAnsi="宋体" w:hint="eastAsia"/>
          <w:sz w:val="24"/>
          <w:highlight w:val="white"/>
        </w:rPr>
        <w:t>7、基金财产清算剩余资产的分配</w:t>
      </w:r>
    </w:p>
    <w:p w:rsidR="006C13DF" w14:paraId="76C33D36" w14:textId="77777777">
      <w:pPr>
        <w:spacing w:line="360" w:lineRule="auto"/>
        <w:ind w:firstLine="480"/>
        <w:rPr>
          <w:rFonts w:ascii="宋体" w:hAnsi="宋体" w:hint="eastAsia"/>
          <w:sz w:val="24"/>
        </w:rPr>
      </w:pPr>
      <w:r>
        <w:rPr>
          <w:rFonts w:ascii="宋体" w:hAnsi="宋体" w:hint="eastAsia"/>
          <w:sz w:val="24"/>
          <w:highlight w:val="white"/>
        </w:rPr>
        <w:t>依据基金财产清算的分配方案，将基金财产清算后的全部剩余资产扣除基金财产清算费用、交纳所欠税款并清偿基金债务后，按基金份额持有人持有的基金份额比例进行分配。分配金额需加上返还基金份额持有人的销售服务费（如有）。</w:t>
      </w:r>
    </w:p>
    <w:p w:rsidR="006C13DF" w14:paraId="3B102B77" w14:textId="77777777">
      <w:pPr>
        <w:spacing w:line="360" w:lineRule="auto"/>
        <w:ind w:firstLine="480"/>
        <w:rPr>
          <w:rFonts w:ascii="宋体" w:hAnsi="宋体" w:hint="eastAsia"/>
          <w:sz w:val="24"/>
        </w:rPr>
      </w:pPr>
      <w:r>
        <w:rPr>
          <w:rFonts w:ascii="宋体" w:hAnsi="宋体" w:hint="eastAsia"/>
          <w:sz w:val="24"/>
          <w:highlight w:val="white"/>
        </w:rPr>
        <w:t>8、基金财产清算的公告</w:t>
      </w:r>
    </w:p>
    <w:p w:rsidR="006C13DF" w14:paraId="76604EF7" w14:textId="77777777">
      <w:pPr>
        <w:spacing w:line="360" w:lineRule="auto"/>
        <w:ind w:firstLine="480"/>
        <w:rPr>
          <w:rFonts w:ascii="宋体" w:hAnsi="宋体" w:hint="eastAsia"/>
          <w:sz w:val="24"/>
        </w:rPr>
      </w:pPr>
      <w:r>
        <w:rPr>
          <w:rFonts w:ascii="宋体" w:hAnsi="宋体" w:hint="eastAsia"/>
          <w:sz w:val="24"/>
          <w:highlight w:val="white"/>
        </w:rPr>
        <w:t>清算过程中的有关重大事项须及时公告；基金财产清算报告经符合《证券法》规定的会计师事务所审计并由律师事务所出具法律意见书后报中国证监会备案并公告。基金财产清算公告于基金财产清算报告报中国证监会备案后5个工作日内由基金财产清算小组进行公告。</w:t>
      </w:r>
    </w:p>
    <w:p w:rsidR="006C13DF" w14:paraId="67C258A8" w14:textId="77777777">
      <w:pPr>
        <w:spacing w:line="360" w:lineRule="auto"/>
        <w:ind w:firstLine="480"/>
        <w:rPr>
          <w:rFonts w:ascii="宋体" w:hAnsi="宋体" w:hint="eastAsia"/>
          <w:sz w:val="24"/>
        </w:rPr>
      </w:pPr>
      <w:r>
        <w:rPr>
          <w:rFonts w:ascii="宋体" w:hAnsi="宋体" w:hint="eastAsia"/>
          <w:sz w:val="24"/>
          <w:highlight w:val="white"/>
        </w:rPr>
        <w:t>9、基金财产清算账册及文件的保存</w:t>
      </w:r>
    </w:p>
    <w:p w:rsidR="006C13DF" w14:paraId="25D019D9" w14:textId="77777777">
      <w:pPr>
        <w:spacing w:line="360" w:lineRule="auto"/>
        <w:ind w:firstLine="480"/>
        <w:rPr>
          <w:rFonts w:ascii="宋体" w:hAnsi="宋体" w:hint="eastAsia"/>
          <w:sz w:val="24"/>
        </w:rPr>
      </w:pPr>
      <w:r>
        <w:rPr>
          <w:rFonts w:ascii="宋体" w:hAnsi="宋体" w:hint="eastAsia"/>
          <w:sz w:val="24"/>
          <w:highlight w:val="white"/>
        </w:rPr>
        <w:t>基金财产清算账册及有关文件由基金托管人保存20年以上。</w:t>
      </w:r>
    </w:p>
    <w:p w:rsidR="006C13DF" w14:paraId="3B7C5420" w14:textId="77777777">
      <w:pPr>
        <w:spacing w:line="360" w:lineRule="auto"/>
        <w:ind w:firstLine="480"/>
        <w:rPr>
          <w:rFonts w:ascii="宋体" w:hAnsi="宋体" w:hint="eastAsia"/>
          <w:sz w:val="24"/>
        </w:rPr>
      </w:pPr>
      <w:r>
        <w:rPr>
          <w:rFonts w:ascii="宋体" w:hAnsi="宋体"/>
          <w:sz w:val="24"/>
          <w:highlight w:val="white"/>
        </w:rPr>
        <w:t xml:space="preserve"> </w:t>
      </w:r>
    </w:p>
    <w:p w:rsidR="006C13DF" w14:paraId="2BB4359B"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21" w:name="_Toc96101886"/>
      <w:r>
        <w:rPr>
          <w:rFonts w:ascii="宋体" w:hAnsi="宋体" w:cs="Arial" w:hint="eastAsia"/>
          <w:sz w:val="30"/>
          <w:highlight w:val="white"/>
        </w:rPr>
        <w:t>违约责任</w:t>
      </w:r>
      <w:bookmarkEnd w:id="21"/>
    </w:p>
    <w:p w:rsidR="006C13DF" w14:paraId="3B7936F4" w14:textId="77777777">
      <w:pPr>
        <w:spacing w:line="360" w:lineRule="auto"/>
        <w:ind w:firstLine="482"/>
        <w:rPr>
          <w:rFonts w:ascii="宋体" w:hAnsi="宋体" w:hint="eastAsia"/>
          <w:sz w:val="24"/>
        </w:rPr>
      </w:pPr>
      <w:r>
        <w:rPr>
          <w:rFonts w:ascii="宋体" w:hAnsi="宋体" w:hint="eastAsia"/>
          <w:sz w:val="24"/>
          <w:highlight w:val="white"/>
        </w:rPr>
        <w:t>（一）如果基金管理人或基金托管人不履行本协议或者履行本协议不符合约定的，应当承担违约责任。但是发生下列情况，当事人免责：</w:t>
      </w:r>
    </w:p>
    <w:p w:rsidR="006C13DF" w14:paraId="343DF899" w14:textId="77777777">
      <w:pPr>
        <w:spacing w:line="360" w:lineRule="auto"/>
        <w:ind w:firstLine="482"/>
        <w:rPr>
          <w:rFonts w:ascii="宋体" w:hAnsi="宋体" w:hint="eastAsia"/>
          <w:sz w:val="24"/>
        </w:rPr>
      </w:pPr>
      <w:r>
        <w:rPr>
          <w:rFonts w:ascii="宋体" w:hAnsi="宋体" w:hint="eastAsia"/>
          <w:sz w:val="24"/>
          <w:highlight w:val="white"/>
        </w:rPr>
        <w:t>1、不可抗力；</w:t>
      </w:r>
    </w:p>
    <w:p w:rsidR="006C13DF" w14:paraId="4876C3C6" w14:textId="77777777">
      <w:pPr>
        <w:spacing w:line="360" w:lineRule="auto"/>
        <w:ind w:firstLine="482"/>
        <w:rPr>
          <w:rFonts w:ascii="宋体" w:hAnsi="宋体" w:hint="eastAsia"/>
          <w:sz w:val="24"/>
        </w:rPr>
      </w:pPr>
      <w:r>
        <w:rPr>
          <w:rFonts w:ascii="宋体" w:hAnsi="宋体" w:hint="eastAsia"/>
          <w:sz w:val="24"/>
          <w:highlight w:val="white"/>
        </w:rPr>
        <w:t>2、基金管理人和/或基金托管人按照当时有效的法律法规或中国证监会的规定作为或不作为而造成的损失等；</w:t>
      </w:r>
    </w:p>
    <w:p w:rsidR="006C13DF" w14:paraId="0F4153A1" w14:textId="77777777">
      <w:pPr>
        <w:spacing w:line="360" w:lineRule="auto"/>
        <w:ind w:firstLine="482"/>
        <w:rPr>
          <w:rFonts w:ascii="宋体" w:hAnsi="宋体" w:hint="eastAsia"/>
          <w:sz w:val="24"/>
        </w:rPr>
      </w:pPr>
      <w:r>
        <w:rPr>
          <w:rFonts w:ascii="宋体" w:hAnsi="宋体" w:hint="eastAsia"/>
          <w:sz w:val="24"/>
          <w:highlight w:val="white"/>
        </w:rPr>
        <w:t>3、基金管理人由于按照基金合同规定的投资原则投资或不投资造成的损失等。</w:t>
      </w:r>
    </w:p>
    <w:p w:rsidR="006C13DF" w14:paraId="58321304" w14:textId="77777777">
      <w:pPr>
        <w:spacing w:line="360" w:lineRule="auto"/>
        <w:ind w:firstLine="482"/>
        <w:rPr>
          <w:rFonts w:ascii="宋体" w:hAnsi="宋体" w:hint="eastAsia"/>
          <w:sz w:val="24"/>
        </w:rPr>
      </w:pPr>
      <w:r>
        <w:rPr>
          <w:rFonts w:ascii="宋体" w:hAnsi="宋体" w:hint="eastAsia"/>
          <w:sz w:val="24"/>
          <w:highlight w:val="white"/>
        </w:rPr>
        <w:t>（二）因</w:t>
      </w:r>
      <w:r>
        <w:rPr>
          <w:rFonts w:ascii="宋体" w:hAnsi="宋体" w:cs="宋体" w:hint="eastAsia"/>
          <w:sz w:val="24"/>
          <w:highlight w:val="white"/>
          <w:lang w:bidi="ar"/>
        </w:rPr>
        <w:t>本</w:t>
      </w:r>
      <w:r>
        <w:rPr>
          <w:rFonts w:ascii="宋体" w:hAnsi="宋体" w:hint="eastAsia"/>
          <w:sz w:val="24"/>
          <w:highlight w:val="white"/>
        </w:rPr>
        <w:t>协议当事人违约给基金财产或者基金份额持有人造成损</w:t>
      </w:r>
      <w:r>
        <w:rPr>
          <w:rFonts w:ascii="宋体" w:hAnsi="宋体" w:cs="宋体" w:hint="eastAsia"/>
          <w:sz w:val="24"/>
          <w:highlight w:val="white"/>
          <w:lang w:bidi="ar"/>
        </w:rPr>
        <w:t>失</w:t>
      </w:r>
      <w:r>
        <w:rPr>
          <w:rFonts w:ascii="宋体" w:hAnsi="宋体" w:hint="eastAsia"/>
          <w:sz w:val="24"/>
          <w:highlight w:val="white"/>
        </w:rPr>
        <w:t>的，应当分别对各自的行为依法承担赔偿责任，因共同行为给基金财产或者基金份额持有人造成损</w:t>
      </w:r>
      <w:r>
        <w:rPr>
          <w:rFonts w:ascii="宋体" w:hAnsi="宋体" w:cs="宋体" w:hint="eastAsia"/>
          <w:sz w:val="24"/>
          <w:highlight w:val="white"/>
          <w:lang w:bidi="ar"/>
        </w:rPr>
        <w:t>失</w:t>
      </w:r>
      <w:r>
        <w:rPr>
          <w:rFonts w:ascii="宋体" w:hAnsi="宋体" w:hint="eastAsia"/>
          <w:sz w:val="24"/>
          <w:highlight w:val="white"/>
        </w:rPr>
        <w:t>的，应当承担连带赔偿责任。</w:t>
      </w:r>
    </w:p>
    <w:p w:rsidR="006C13DF" w14:paraId="14105DE4" w14:textId="77777777">
      <w:pPr>
        <w:spacing w:line="360" w:lineRule="auto"/>
        <w:ind w:firstLine="482"/>
        <w:rPr>
          <w:rFonts w:ascii="宋体" w:hAnsi="宋体" w:hint="eastAsia"/>
          <w:sz w:val="24"/>
        </w:rPr>
      </w:pPr>
      <w:r>
        <w:rPr>
          <w:rFonts w:ascii="宋体" w:hAnsi="宋体" w:hint="eastAsia"/>
          <w:sz w:val="24"/>
          <w:highlight w:val="white"/>
        </w:rPr>
        <w:t>（三）当事人违反本协议约定，给另一方当事人造成损失的，应承担赔偿责任。</w:t>
      </w:r>
    </w:p>
    <w:p w:rsidR="006C13DF" w14:paraId="52EEBAB6" w14:textId="77777777">
      <w:pPr>
        <w:spacing w:line="360" w:lineRule="auto"/>
        <w:ind w:firstLine="482"/>
        <w:rPr>
          <w:rFonts w:ascii="宋体" w:hAnsi="宋体" w:hint="eastAsia"/>
          <w:sz w:val="24"/>
        </w:rPr>
      </w:pPr>
      <w:r>
        <w:rPr>
          <w:rFonts w:ascii="宋体" w:hAnsi="宋体" w:hint="eastAsia"/>
          <w:sz w:val="24"/>
          <w:highlight w:val="white"/>
        </w:rPr>
        <w:t>（四）当事人一方违约，非违约方当事人在职责范围内有义务及时采取必要的措施，防止损失的扩大。没有采取适当措施致使损失进一步扩大的，不得就扩大的损失要求赔偿。非违约方因防止损失扩大而支出的合理费用由违约方承担。</w:t>
      </w:r>
    </w:p>
    <w:p w:rsidR="006C13DF" w14:paraId="2B7DAB84" w14:textId="77777777">
      <w:pPr>
        <w:spacing w:line="360" w:lineRule="auto"/>
        <w:ind w:firstLine="482"/>
        <w:rPr>
          <w:rFonts w:ascii="宋体" w:hAnsi="宋体" w:hint="eastAsia"/>
          <w:sz w:val="24"/>
        </w:rPr>
      </w:pPr>
      <w:r>
        <w:rPr>
          <w:rFonts w:ascii="宋体" w:hAnsi="宋体" w:hint="eastAsia"/>
          <w:sz w:val="24"/>
          <w:highlight w:val="white"/>
        </w:rPr>
        <w:t>（五）违约行为虽已发生，但本协议能够继续履行的，在最大限度地保护基金份额持有人利益的前提下，基金管理人和基金托管人应当继续履行本协议。</w:t>
      </w:r>
    </w:p>
    <w:p w:rsidR="006C13DF" w14:paraId="0F29A0CD" w14:textId="77777777">
      <w:pPr>
        <w:spacing w:line="360" w:lineRule="auto"/>
        <w:ind w:firstLine="482"/>
        <w:rPr>
          <w:rFonts w:ascii="宋体" w:hAnsi="宋体" w:hint="eastAsia"/>
          <w:sz w:val="24"/>
        </w:rPr>
      </w:pPr>
      <w:r>
        <w:rPr>
          <w:rFonts w:ascii="宋体" w:hAnsi="宋体" w:hint="eastAsia"/>
          <w:sz w:val="24"/>
          <w:highlight w:val="white"/>
        </w:rPr>
        <w:t>（六）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p>
    <w:p w:rsidR="006C13DF" w14:paraId="4B0A94A4" w14:textId="77777777">
      <w:pPr>
        <w:spacing w:line="360" w:lineRule="auto"/>
        <w:ind w:firstLine="482"/>
      </w:pPr>
      <w:r>
        <w:rPr>
          <w:rFonts w:ascii="宋体" w:hAnsi="宋体" w:hint="eastAsia"/>
          <w:sz w:val="24"/>
          <w:highlight w:val="white"/>
        </w:rPr>
        <w:t>（七）基金托管人发现基金管理人借助基金托管人的品牌、声誉开展不当营销宣传的，有权督促其及时纠正。基金管理人未及时采取有效纠正措施的，基金托管人有权要求基金管理人承担因此给基金托管人造成的损失。</w:t>
      </w:r>
    </w:p>
    <w:p w:rsidR="006C13DF" w14:paraId="6FF52BF2" w14:textId="77777777">
      <w:pPr>
        <w:spacing w:line="360" w:lineRule="auto"/>
        <w:ind w:firstLine="482"/>
      </w:pPr>
      <w:r>
        <w:rPr>
          <w:rFonts w:ascii="宋体" w:hAnsi="宋体" w:hint="eastAsia"/>
          <w:sz w:val="24"/>
          <w:highlight w:val="white"/>
        </w:rPr>
        <w:t>（八）基金托管人的托管职责不包含以下内容，法律法规另有规定或基金合同及本协议另有约定的除外：</w:t>
      </w:r>
    </w:p>
    <w:p w:rsidR="006C13DF" w14:paraId="2BA3D0FC" w14:textId="77777777">
      <w:pPr>
        <w:spacing w:line="360" w:lineRule="auto"/>
        <w:ind w:firstLine="482"/>
      </w:pPr>
      <w:r>
        <w:rPr>
          <w:rFonts w:ascii="宋体" w:hAnsi="宋体" w:hint="eastAsia"/>
          <w:sz w:val="24"/>
          <w:highlight w:val="white"/>
        </w:rPr>
        <w:t>1、承担基金财产的信用风险、市场风险等；</w:t>
      </w:r>
    </w:p>
    <w:p w:rsidR="006C13DF" w14:paraId="469526F1" w14:textId="77777777">
      <w:pPr>
        <w:spacing w:line="360" w:lineRule="auto"/>
        <w:ind w:firstLine="482"/>
      </w:pPr>
      <w:r>
        <w:rPr>
          <w:rFonts w:ascii="宋体" w:hAnsi="宋体" w:hint="eastAsia"/>
          <w:sz w:val="24"/>
          <w:highlight w:val="white"/>
        </w:rPr>
        <w:t>2、为基金提供直接或间接、显性或隐性担保，包括承诺本金或保证收益；</w:t>
      </w:r>
    </w:p>
    <w:p w:rsidR="006C13DF" w14:paraId="6303CBC2" w14:textId="77777777">
      <w:pPr>
        <w:spacing w:line="360" w:lineRule="auto"/>
        <w:ind w:firstLine="482"/>
      </w:pPr>
      <w:r>
        <w:rPr>
          <w:rFonts w:ascii="宋体" w:hAnsi="宋体" w:hint="eastAsia"/>
          <w:sz w:val="24"/>
          <w:highlight w:val="white"/>
        </w:rPr>
        <w:t>3、为基金垫付资金、提供流动性支持或融资承诺等；</w:t>
      </w:r>
    </w:p>
    <w:p w:rsidR="006C13DF" w14:paraId="23ACB402" w14:textId="77777777">
      <w:pPr>
        <w:spacing w:line="360" w:lineRule="auto"/>
        <w:ind w:firstLine="482"/>
      </w:pPr>
      <w:r>
        <w:rPr>
          <w:rFonts w:ascii="宋体" w:hAnsi="宋体" w:hint="eastAsia"/>
          <w:sz w:val="24"/>
          <w:highlight w:val="white"/>
        </w:rPr>
        <w:t xml:space="preserve">4、参与投资者适当性管理； </w:t>
      </w:r>
    </w:p>
    <w:p w:rsidR="006C13DF" w14:paraId="33828519" w14:textId="77777777">
      <w:pPr>
        <w:spacing w:line="360" w:lineRule="auto"/>
        <w:ind w:firstLine="482"/>
      </w:pPr>
      <w:r>
        <w:rPr>
          <w:rFonts w:ascii="宋体" w:hAnsi="宋体" w:hint="eastAsia"/>
          <w:sz w:val="24"/>
          <w:highlight w:val="white"/>
        </w:rPr>
        <w:t>5、保证投资项目及交易信息真实性；</w:t>
      </w:r>
    </w:p>
    <w:p w:rsidR="006C13DF" w14:paraId="3138D7CA" w14:textId="77777777">
      <w:pPr>
        <w:spacing w:line="360" w:lineRule="auto"/>
        <w:ind w:firstLine="482"/>
      </w:pPr>
      <w:r>
        <w:rPr>
          <w:rFonts w:ascii="宋体" w:hAnsi="宋体" w:hint="eastAsia"/>
          <w:sz w:val="24"/>
          <w:highlight w:val="white"/>
        </w:rPr>
        <w:t>6、保证基金资金来源的合法合规性；</w:t>
      </w:r>
    </w:p>
    <w:p w:rsidR="006C13DF" w14:paraId="6CBB33B3" w14:textId="77777777">
      <w:pPr>
        <w:spacing w:line="360" w:lineRule="auto"/>
        <w:ind w:firstLine="482"/>
      </w:pPr>
      <w:r>
        <w:rPr>
          <w:rFonts w:ascii="宋体" w:hAnsi="宋体" w:hint="eastAsia"/>
          <w:sz w:val="24"/>
          <w:highlight w:val="white"/>
        </w:rPr>
        <w:t>7、对已划出托管资金账户以及处于基金托管人实际控制之外的基金财产承担保管责任；</w:t>
      </w:r>
    </w:p>
    <w:p w:rsidR="006C13DF" w14:paraId="64BB59A1" w14:textId="77777777">
      <w:pPr>
        <w:spacing w:line="360" w:lineRule="auto"/>
        <w:ind w:firstLine="482"/>
      </w:pPr>
      <w:r>
        <w:rPr>
          <w:rFonts w:ascii="宋体" w:hAnsi="宋体" w:hint="eastAsia"/>
          <w:sz w:val="24"/>
          <w:highlight w:val="white"/>
        </w:rPr>
        <w:t>8、参与基金管理人对基金的投资决策；</w:t>
      </w:r>
    </w:p>
    <w:p w:rsidR="006C13DF" w14:paraId="026A5C38" w14:textId="77777777">
      <w:pPr>
        <w:spacing w:line="360" w:lineRule="auto"/>
        <w:ind w:firstLine="482"/>
      </w:pPr>
      <w:r>
        <w:rPr>
          <w:rFonts w:ascii="宋体" w:hAnsi="宋体" w:hint="eastAsia"/>
          <w:sz w:val="24"/>
          <w:highlight w:val="white"/>
        </w:rPr>
        <w:t xml:space="preserve">9、违规代替基金管理人向其他机构或者个人进行基金信息披露或提供相关数据信息； </w:t>
      </w:r>
    </w:p>
    <w:p w:rsidR="006C13DF" w14:paraId="456084F2" w14:textId="77777777">
      <w:pPr>
        <w:spacing w:line="360" w:lineRule="auto"/>
        <w:ind w:firstLine="482"/>
      </w:pPr>
      <w:r>
        <w:rPr>
          <w:rFonts w:ascii="宋体" w:hAnsi="宋体" w:hint="eastAsia"/>
          <w:sz w:val="24"/>
          <w:highlight w:val="white"/>
        </w:rPr>
        <w:t>10、基金管理人未接受基金托管人的复核意见进行信息披露产生的相应责任；</w:t>
      </w:r>
    </w:p>
    <w:p w:rsidR="006C13DF" w14:paraId="22D8FF07" w14:textId="77777777">
      <w:pPr>
        <w:spacing w:line="360" w:lineRule="auto"/>
        <w:ind w:firstLine="482"/>
      </w:pPr>
      <w:r>
        <w:rPr>
          <w:rFonts w:ascii="宋体" w:hAnsi="宋体" w:hint="eastAsia"/>
          <w:sz w:val="24"/>
          <w:highlight w:val="white"/>
        </w:rPr>
        <w:t>11、负责未兑付产品的资金追偿、财产保全、诉讼仲裁、债务重组和破产程序等，法律另有规定的除外；</w:t>
      </w:r>
    </w:p>
    <w:p w:rsidR="006C13DF" w14:paraId="79BC621E" w14:textId="77777777">
      <w:pPr>
        <w:spacing w:line="360" w:lineRule="auto"/>
        <w:ind w:firstLine="482"/>
      </w:pPr>
      <w:r>
        <w:rPr>
          <w:rFonts w:ascii="宋体" w:hAnsi="宋体" w:hint="eastAsia"/>
          <w:sz w:val="24"/>
          <w:highlight w:val="white"/>
        </w:rPr>
        <w:t>12、因不可抗力，以及非基金托管人履职错误或过失造成的托管资产损失；</w:t>
      </w:r>
    </w:p>
    <w:p w:rsidR="006C13DF" w14:paraId="4B0D0A0A" w14:textId="77777777">
      <w:pPr>
        <w:spacing w:line="360" w:lineRule="auto"/>
        <w:ind w:firstLine="482"/>
      </w:pPr>
      <w:r>
        <w:rPr>
          <w:rFonts w:ascii="宋体" w:hAnsi="宋体" w:hint="eastAsia"/>
          <w:sz w:val="24"/>
          <w:highlight w:val="white"/>
        </w:rPr>
        <w:t>13、国务院金融监管部门规定的不属于基金托管人托管业务范围的其他职责。</w:t>
      </w:r>
    </w:p>
    <w:p w:rsidR="006C13DF" w14:paraId="4E470643" w14:textId="77777777">
      <w:pPr>
        <w:spacing w:line="360" w:lineRule="auto"/>
        <w:ind w:firstLine="482"/>
        <w:rPr>
          <w:sz w:val="24"/>
        </w:rPr>
      </w:pPr>
      <w:r>
        <w:rPr>
          <w:rFonts w:ascii="宋体" w:hAnsi="宋体" w:hint="eastAsia"/>
          <w:sz w:val="24"/>
          <w:highlight w:val="white"/>
        </w:rPr>
        <w:t>（九）本协议所指损失均为直接损失。</w:t>
      </w:r>
    </w:p>
    <w:p w:rsidR="006C13DF" w14:paraId="15C81002"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22" w:name="_Toc96101887"/>
      <w:r>
        <w:rPr>
          <w:rFonts w:ascii="宋体" w:hAnsi="宋体" w:cs="Arial" w:hint="eastAsia"/>
          <w:sz w:val="30"/>
          <w:highlight w:val="white"/>
        </w:rPr>
        <w:t>争议解决方式</w:t>
      </w:r>
      <w:bookmarkEnd w:id="22"/>
    </w:p>
    <w:p w:rsidR="006C13DF" w14:paraId="371AE422" w14:textId="77777777">
      <w:pPr>
        <w:spacing w:line="360" w:lineRule="auto"/>
        <w:ind w:firstLine="482"/>
        <w:rPr>
          <w:rFonts w:ascii="宋体" w:hAnsi="宋体" w:hint="eastAsia"/>
          <w:sz w:val="24"/>
        </w:rPr>
      </w:pPr>
      <w:r>
        <w:rPr>
          <w:rFonts w:ascii="宋体" w:hAnsi="宋体" w:hint="eastAsia"/>
          <w:sz w:val="24"/>
          <w:highlight w:val="white"/>
        </w:rPr>
        <w:t>双方当事人同意，因本协议而产生的或与本协议有关的一切争议，除经友好协商可以解决的，应提交中国国际经济贸易仲裁委员会根据该会当时有效的仲裁规则进行仲裁，仲裁的地点在北京，仲裁裁决是终局性的并对相关各方均有约束力。除非仲裁裁决另有决定，仲裁费用由败诉方承担。</w:t>
      </w:r>
    </w:p>
    <w:p w:rsidR="006C13DF" w14:paraId="1DAECA2A" w14:textId="77777777">
      <w:pPr>
        <w:spacing w:line="360" w:lineRule="auto"/>
        <w:ind w:firstLine="482"/>
        <w:rPr>
          <w:rFonts w:ascii="宋体" w:hAnsi="宋体" w:hint="eastAsia"/>
          <w:sz w:val="24"/>
        </w:rPr>
      </w:pPr>
      <w:r>
        <w:rPr>
          <w:rFonts w:ascii="宋体" w:hAnsi="宋体" w:hint="eastAsia"/>
          <w:sz w:val="24"/>
          <w:highlight w:val="white"/>
        </w:rPr>
        <w:t>争议处理期间，双方当事人应恪守基金管理人和基金托管人职责，继续忠实、勤勉、尽责地履行《基金合同》和</w:t>
      </w:r>
      <w:r>
        <w:rPr>
          <w:rFonts w:ascii="宋体" w:hAnsi="宋体" w:cs="宋体" w:hint="eastAsia"/>
          <w:sz w:val="24"/>
          <w:szCs w:val="21"/>
          <w:highlight w:val="white"/>
          <w:lang w:bidi="ar"/>
        </w:rPr>
        <w:t>本</w:t>
      </w:r>
      <w:r>
        <w:rPr>
          <w:rFonts w:ascii="宋体" w:hAnsi="宋体" w:hint="eastAsia"/>
          <w:sz w:val="24"/>
          <w:highlight w:val="white"/>
        </w:rPr>
        <w:t>协议约定的义务，维护基金份额持有人的合法权益。</w:t>
      </w:r>
    </w:p>
    <w:p w:rsidR="006C13DF" w14:paraId="558E709E" w14:textId="77777777">
      <w:pPr>
        <w:spacing w:line="360" w:lineRule="auto"/>
        <w:ind w:firstLine="482"/>
        <w:rPr>
          <w:rFonts w:ascii="宋体" w:hAnsi="宋体" w:hint="eastAsia"/>
          <w:sz w:val="24"/>
        </w:rPr>
      </w:pPr>
      <w:r>
        <w:rPr>
          <w:rFonts w:ascii="宋体" w:hAnsi="宋体" w:hint="eastAsia"/>
          <w:sz w:val="24"/>
          <w:highlight w:val="white"/>
        </w:rPr>
        <w:t>本协议受中国法律管辖。</w:t>
      </w:r>
    </w:p>
    <w:p w:rsidR="006C13DF" w14:paraId="5483428D"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23" w:name="_Toc96101888"/>
      <w:r>
        <w:rPr>
          <w:rFonts w:ascii="宋体" w:hAnsi="宋体" w:cs="Arial" w:hint="eastAsia"/>
          <w:sz w:val="30"/>
          <w:highlight w:val="white"/>
        </w:rPr>
        <w:t>基金托管协议的效力</w:t>
      </w:r>
      <w:bookmarkEnd w:id="23"/>
    </w:p>
    <w:p w:rsidR="006C13DF" w14:paraId="4A9CFD4E" w14:textId="77777777">
      <w:pPr>
        <w:spacing w:line="360" w:lineRule="auto"/>
        <w:ind w:firstLine="482"/>
        <w:rPr>
          <w:rFonts w:ascii="宋体" w:hAnsi="宋体" w:hint="eastAsia"/>
          <w:sz w:val="24"/>
        </w:rPr>
      </w:pPr>
      <w:r>
        <w:rPr>
          <w:rFonts w:ascii="宋体" w:hAnsi="宋体" w:hint="eastAsia"/>
          <w:sz w:val="24"/>
          <w:highlight w:val="white"/>
        </w:rPr>
        <w:t>（一）基金管理人在向中国证监会申请本基金募集注册时提交的本基金托管协议草案，该等草案系经托管协议当事人双方盖章以及双方法定代表人或授权代表签字或签章，协议当事人双方可能不时根据中国证监会的意见修改托管协议草案。托管协议以中国证监会注册的文本为正式文本。</w:t>
      </w:r>
    </w:p>
    <w:p w:rsidR="006C13DF" w14:paraId="03AE6A43" w14:textId="77777777">
      <w:pPr>
        <w:spacing w:line="360" w:lineRule="auto"/>
        <w:ind w:firstLine="482"/>
        <w:rPr>
          <w:rFonts w:ascii="宋体" w:hAnsi="宋体" w:hint="eastAsia"/>
          <w:sz w:val="24"/>
        </w:rPr>
      </w:pPr>
      <w:r>
        <w:rPr>
          <w:rFonts w:ascii="宋体" w:hAnsi="宋体" w:hint="eastAsia"/>
          <w:sz w:val="24"/>
          <w:highlight w:val="white"/>
        </w:rPr>
        <w:t>（二）基金托管协议自《基金合同》成立之日起成立，自《基金合同》生效之日起生效。基金托管协议的有效期自其生效之日起至该基金财产清算结果报中国证监会备案并公告之日止。</w:t>
      </w:r>
    </w:p>
    <w:p w:rsidR="006C13DF" w14:paraId="552F4669" w14:textId="77777777">
      <w:pPr>
        <w:spacing w:line="360" w:lineRule="auto"/>
        <w:ind w:firstLine="482"/>
        <w:rPr>
          <w:rFonts w:ascii="宋体" w:hAnsi="宋体" w:hint="eastAsia"/>
          <w:sz w:val="24"/>
        </w:rPr>
      </w:pPr>
      <w:r>
        <w:rPr>
          <w:rFonts w:ascii="宋体" w:hAnsi="宋体" w:hint="eastAsia"/>
          <w:sz w:val="24"/>
          <w:highlight w:val="white"/>
        </w:rPr>
        <w:t>（三）基金托管协议自生效之日对托管协议当事人具有同等的法律约束力。</w:t>
      </w:r>
    </w:p>
    <w:p w:rsidR="006C13DF" w14:paraId="11ACFB38" w14:textId="77777777">
      <w:pPr>
        <w:spacing w:line="360" w:lineRule="auto"/>
        <w:ind w:firstLine="482"/>
        <w:rPr>
          <w:rFonts w:ascii="宋体" w:hAnsi="宋体" w:hint="eastAsia"/>
          <w:sz w:val="24"/>
        </w:rPr>
      </w:pPr>
      <w:r>
        <w:rPr>
          <w:rFonts w:ascii="宋体" w:hAnsi="宋体" w:hint="eastAsia"/>
          <w:sz w:val="24"/>
          <w:highlight w:val="white"/>
        </w:rPr>
        <w:t>（四）基金托管协议正本一式3份，除上报有关监管机构1份外，基金管理人和基金托管人分别持有1份，每份具有同等的法律效力。</w:t>
      </w:r>
    </w:p>
    <w:p w:rsidR="006C13DF" w14:paraId="342E5B5A" w14:textId="77777777">
      <w:pPr>
        <w:pStyle w:val="11"/>
        <w:keepNext w:val="0"/>
        <w:keepLines w:val="0"/>
        <w:numPr>
          <w:ilvl w:val="0"/>
          <w:numId w:val="1"/>
        </w:numPr>
        <w:spacing w:before="360" w:after="360" w:line="360" w:lineRule="auto"/>
        <w:jc w:val="center"/>
        <w:rPr>
          <w:rFonts w:ascii="宋体" w:hAnsi="宋体" w:cs="Arial" w:hint="eastAsia"/>
          <w:sz w:val="30"/>
        </w:rPr>
      </w:pPr>
      <w:bookmarkStart w:id="24" w:name="_Toc96101889"/>
      <w:r>
        <w:rPr>
          <w:rFonts w:ascii="宋体" w:hAnsi="宋体" w:cs="Arial" w:hint="eastAsia"/>
          <w:sz w:val="30"/>
          <w:highlight w:val="white"/>
        </w:rPr>
        <w:t>基金托管协议的签订</w:t>
      </w:r>
      <w:bookmarkEnd w:id="24"/>
    </w:p>
    <w:p w:rsidR="006C13DF" w14:paraId="71735486" w14:textId="77777777">
      <w:pPr>
        <w:spacing w:after="120" w:line="360" w:lineRule="auto"/>
        <w:ind w:firstLine="480"/>
        <w:rPr>
          <w:rFonts w:ascii="宋体" w:hAnsi="宋体" w:hint="eastAsia"/>
          <w:sz w:val="24"/>
        </w:rPr>
        <w:sectPr>
          <w:headerReference w:type="default" r:id="rId8"/>
          <w:footerReference w:type="default" r:id="rId9"/>
          <w:pgSz w:w="11906" w:h="16838"/>
          <w:pgMar w:top="1440" w:right="1797" w:bottom="1440" w:left="1797" w:header="851" w:footer="992" w:gutter="0"/>
          <w:pgNumType w:start="1"/>
          <w:cols w:space="720"/>
          <w:docGrid w:type="lines" w:linePitch="312"/>
        </w:sectPr>
      </w:pPr>
      <w:r>
        <w:rPr>
          <w:rFonts w:ascii="宋体" w:hAnsi="宋体" w:hint="eastAsia"/>
          <w:sz w:val="24"/>
          <w:highlight w:val="white"/>
        </w:rPr>
        <w:t>本托管协议经基金管理人和基金托管人认可后，双方应在基金托管协议上盖章，并由各自的法定代表人或授权代表签字</w:t>
      </w:r>
      <w:r>
        <w:rPr>
          <w:rFonts w:hint="eastAsia"/>
          <w:sz w:val="24"/>
          <w:highlight w:val="white"/>
        </w:rPr>
        <w:t>或签章</w:t>
      </w:r>
      <w:r>
        <w:rPr>
          <w:rFonts w:ascii="宋体" w:hAnsi="宋体" w:hint="eastAsia"/>
          <w:sz w:val="24"/>
          <w:highlight w:val="white"/>
        </w:rPr>
        <w:t>，并注明基金托管协议的签订地点和签订日期。</w:t>
      </w:r>
    </w:p>
    <w:p w:rsidR="006C13DF" w14:paraId="707E87CC" w14:textId="77777777">
      <w:pPr>
        <w:widowControl/>
        <w:spacing w:line="360" w:lineRule="auto"/>
        <w:jc w:val="left"/>
        <w:rPr>
          <w:rFonts w:ascii="宋体" w:hAnsi="宋体" w:hint="eastAsia"/>
          <w:sz w:val="24"/>
          <w:szCs w:val="21"/>
        </w:rPr>
      </w:pPr>
      <w:r>
        <w:rPr>
          <w:rFonts w:ascii="宋体" w:hAnsi="宋体" w:hint="eastAsia"/>
          <w:sz w:val="24"/>
          <w:szCs w:val="21"/>
          <w:highlight w:val="white"/>
        </w:rPr>
        <w:t>本页无正文，为《</w:t>
      </w:r>
      <w:r>
        <w:rPr>
          <w:rFonts w:ascii="宋体" w:hAnsi="宋体" w:hint="eastAsia"/>
          <w:sz w:val="24"/>
          <w:szCs w:val="21"/>
        </w:rPr>
        <w:t>易方达如意盈越3个月持有期混合型基金中基金（FOF）</w:t>
      </w:r>
      <w:r>
        <w:rPr>
          <w:rFonts w:ascii="宋体" w:hAnsi="宋体" w:hint="eastAsia"/>
          <w:sz w:val="24"/>
          <w:szCs w:val="21"/>
          <w:highlight w:val="white"/>
        </w:rPr>
        <w:t>托管协议》的签字盖章页。</w:t>
      </w:r>
    </w:p>
    <w:p w:rsidR="006C13DF" w14:paraId="412C8556" w14:textId="77777777">
      <w:pPr>
        <w:spacing w:line="360" w:lineRule="auto"/>
        <w:ind w:right="26"/>
        <w:rPr>
          <w:rFonts w:ascii="宋体" w:hAnsi="宋体" w:hint="eastAsia"/>
          <w:b/>
          <w:bCs/>
          <w:sz w:val="24"/>
          <w:szCs w:val="21"/>
        </w:rPr>
      </w:pPr>
    </w:p>
    <w:p w:rsidR="006C13DF" w14:paraId="64040131" w14:textId="77777777">
      <w:pPr>
        <w:spacing w:line="360" w:lineRule="auto"/>
        <w:ind w:right="26"/>
        <w:rPr>
          <w:rFonts w:ascii="宋体" w:hAnsi="宋体" w:hint="eastAsia"/>
          <w:b/>
          <w:bCs/>
          <w:sz w:val="24"/>
          <w:szCs w:val="21"/>
        </w:rPr>
      </w:pPr>
      <w:r>
        <w:rPr>
          <w:rFonts w:ascii="宋体" w:hAnsi="宋体" w:hint="eastAsia"/>
          <w:b/>
          <w:bCs/>
          <w:sz w:val="24"/>
          <w:szCs w:val="21"/>
          <w:highlight w:val="white"/>
        </w:rPr>
        <w:t>《托管协议》当事人盖章及法定代表人或授权</w:t>
      </w:r>
      <w:r>
        <w:rPr>
          <w:rFonts w:ascii="宋体" w:hAnsi="宋体"/>
          <w:b/>
          <w:bCs/>
          <w:sz w:val="24"/>
          <w:szCs w:val="21"/>
          <w:highlight w:val="white"/>
        </w:rPr>
        <w:t>代表签字</w:t>
      </w:r>
      <w:r>
        <w:rPr>
          <w:rFonts w:ascii="宋体" w:hAnsi="宋体"/>
          <w:b/>
          <w:sz w:val="24"/>
          <w:highlight w:val="white"/>
        </w:rPr>
        <w:t>/签章</w:t>
      </w:r>
      <w:r>
        <w:rPr>
          <w:rFonts w:ascii="宋体" w:hAnsi="宋体"/>
          <w:b/>
          <w:bCs/>
          <w:sz w:val="24"/>
          <w:szCs w:val="21"/>
          <w:highlight w:val="white"/>
        </w:rPr>
        <w:t>、签订地、签订日</w:t>
      </w:r>
    </w:p>
    <w:p w:rsidR="006C13DF" w14:paraId="08AEA38C" w14:textId="77777777">
      <w:pPr>
        <w:spacing w:line="360" w:lineRule="auto"/>
        <w:ind w:right="26"/>
        <w:rPr>
          <w:rFonts w:ascii="宋体" w:hAnsi="宋体" w:hint="eastAsia"/>
          <w:sz w:val="24"/>
        </w:rPr>
      </w:pPr>
    </w:p>
    <w:p w:rsidR="006C13DF" w14:paraId="2EC4F72B" w14:textId="77777777">
      <w:pPr>
        <w:spacing w:line="360" w:lineRule="auto"/>
        <w:ind w:right="26"/>
        <w:rPr>
          <w:rFonts w:ascii="宋体" w:hAnsi="宋体" w:hint="eastAsia"/>
          <w:sz w:val="24"/>
        </w:rPr>
      </w:pPr>
    </w:p>
    <w:p w:rsidR="006C13DF" w14:paraId="554B0722" w14:textId="77777777">
      <w:pPr>
        <w:spacing w:line="360" w:lineRule="auto"/>
        <w:ind w:right="26"/>
        <w:rPr>
          <w:rFonts w:ascii="宋体" w:hAnsi="宋体" w:hint="eastAsia"/>
          <w:b/>
          <w:sz w:val="24"/>
          <w:szCs w:val="21"/>
        </w:rPr>
      </w:pPr>
      <w:r>
        <w:rPr>
          <w:rFonts w:ascii="宋体" w:hAnsi="宋体" w:hint="eastAsia"/>
          <w:b/>
          <w:sz w:val="24"/>
          <w:szCs w:val="21"/>
          <w:highlight w:val="white"/>
        </w:rPr>
        <w:t>基金管理人：易方达基金管理</w:t>
      </w:r>
      <w:r>
        <w:rPr>
          <w:rFonts w:ascii="宋体" w:hAnsi="宋体" w:hint="eastAsia"/>
          <w:b/>
          <w:bCs/>
          <w:sz w:val="24"/>
          <w:szCs w:val="21"/>
          <w:highlight w:val="white"/>
        </w:rPr>
        <w:t>有限公司</w:t>
      </w:r>
      <w:r>
        <w:rPr>
          <w:rFonts w:ascii="宋体" w:hAnsi="宋体" w:hint="eastAsia"/>
          <w:b/>
          <w:sz w:val="24"/>
          <w:szCs w:val="21"/>
          <w:highlight w:val="white"/>
        </w:rPr>
        <w:t>（章）</w:t>
      </w:r>
    </w:p>
    <w:p w:rsidR="006C13DF" w14:paraId="3A5D8D60" w14:textId="77777777">
      <w:pPr>
        <w:spacing w:line="360" w:lineRule="auto"/>
        <w:ind w:right="26"/>
        <w:rPr>
          <w:rFonts w:ascii="宋体" w:hAnsi="宋体" w:hint="eastAsia"/>
          <w:b/>
          <w:sz w:val="24"/>
          <w:szCs w:val="21"/>
        </w:rPr>
      </w:pPr>
    </w:p>
    <w:p w:rsidR="006C13DF" w14:paraId="3205768A" w14:textId="77777777">
      <w:pPr>
        <w:spacing w:line="360" w:lineRule="auto"/>
        <w:ind w:right="26"/>
        <w:rPr>
          <w:rFonts w:ascii="宋体" w:hAnsi="宋体" w:hint="eastAsia"/>
          <w:b/>
          <w:sz w:val="24"/>
          <w:szCs w:val="21"/>
        </w:rPr>
      </w:pPr>
    </w:p>
    <w:p w:rsidR="006C13DF" w14:paraId="16A15DBC" w14:textId="77777777">
      <w:pPr>
        <w:spacing w:line="360" w:lineRule="auto"/>
        <w:ind w:right="26"/>
        <w:rPr>
          <w:rFonts w:ascii="宋体" w:hAnsi="宋体" w:hint="eastAsia"/>
          <w:b/>
          <w:sz w:val="24"/>
          <w:szCs w:val="21"/>
        </w:rPr>
      </w:pPr>
      <w:r>
        <w:rPr>
          <w:rFonts w:ascii="宋体" w:hAnsi="宋体" w:hint="eastAsia"/>
          <w:b/>
          <w:sz w:val="24"/>
          <w:szCs w:val="21"/>
          <w:highlight w:val="white"/>
        </w:rPr>
        <w:t>法定代表人或授权代表（签字/</w:t>
      </w:r>
      <w:r>
        <w:rPr>
          <w:rFonts w:ascii="宋体" w:hAnsi="宋体"/>
          <w:b/>
          <w:sz w:val="24"/>
          <w:szCs w:val="21"/>
          <w:highlight w:val="white"/>
        </w:rPr>
        <w:t>签章</w:t>
      </w:r>
      <w:r>
        <w:rPr>
          <w:rFonts w:ascii="宋体" w:hAnsi="宋体" w:hint="eastAsia"/>
          <w:b/>
          <w:sz w:val="24"/>
          <w:szCs w:val="21"/>
          <w:highlight w:val="white"/>
        </w:rPr>
        <w:t xml:space="preserve">）：                  </w:t>
      </w:r>
    </w:p>
    <w:p w:rsidR="006C13DF" w14:paraId="4795A15B" w14:textId="77777777">
      <w:pPr>
        <w:spacing w:line="360" w:lineRule="auto"/>
        <w:ind w:right="26"/>
        <w:rPr>
          <w:rFonts w:ascii="宋体" w:hAnsi="宋体" w:hint="eastAsia"/>
          <w:b/>
          <w:sz w:val="24"/>
          <w:szCs w:val="21"/>
        </w:rPr>
      </w:pPr>
    </w:p>
    <w:p w:rsidR="006C13DF" w14:paraId="525BF267" w14:textId="77777777">
      <w:pPr>
        <w:spacing w:line="360" w:lineRule="auto"/>
        <w:ind w:right="26"/>
        <w:rPr>
          <w:rFonts w:ascii="宋体" w:hAnsi="宋体" w:hint="eastAsia"/>
          <w:b/>
          <w:sz w:val="24"/>
          <w:szCs w:val="21"/>
        </w:rPr>
      </w:pPr>
    </w:p>
    <w:p w:rsidR="006C13DF" w14:paraId="2C6F4B29" w14:textId="77777777">
      <w:pPr>
        <w:spacing w:line="360" w:lineRule="auto"/>
        <w:ind w:right="26"/>
        <w:rPr>
          <w:rFonts w:ascii="宋体" w:hAnsi="宋体" w:hint="eastAsia"/>
          <w:b/>
          <w:sz w:val="24"/>
          <w:szCs w:val="21"/>
        </w:rPr>
      </w:pPr>
    </w:p>
    <w:p w:rsidR="006C13DF" w14:paraId="44A33365" w14:textId="77777777">
      <w:pPr>
        <w:spacing w:line="360" w:lineRule="auto"/>
        <w:ind w:right="26"/>
        <w:rPr>
          <w:rFonts w:ascii="宋体" w:hAnsi="宋体" w:hint="eastAsia"/>
          <w:b/>
          <w:sz w:val="24"/>
          <w:szCs w:val="21"/>
        </w:rPr>
      </w:pPr>
    </w:p>
    <w:p w:rsidR="006C13DF" w14:paraId="43F778D1" w14:textId="77777777">
      <w:pPr>
        <w:spacing w:line="360" w:lineRule="auto"/>
        <w:ind w:right="26"/>
        <w:rPr>
          <w:rFonts w:ascii="宋体" w:hAnsi="宋体" w:hint="eastAsia"/>
          <w:b/>
          <w:sz w:val="24"/>
          <w:szCs w:val="21"/>
        </w:rPr>
      </w:pPr>
    </w:p>
    <w:p w:rsidR="006C13DF" w14:paraId="07E2BC93" w14:textId="77777777">
      <w:pPr>
        <w:spacing w:line="360" w:lineRule="auto"/>
        <w:ind w:right="26"/>
        <w:rPr>
          <w:rFonts w:ascii="宋体" w:hAnsi="宋体" w:hint="eastAsia"/>
          <w:b/>
          <w:sz w:val="24"/>
          <w:szCs w:val="21"/>
        </w:rPr>
      </w:pPr>
      <w:r>
        <w:rPr>
          <w:rFonts w:ascii="宋体" w:hAnsi="宋体" w:hint="eastAsia"/>
          <w:b/>
          <w:sz w:val="24"/>
          <w:szCs w:val="21"/>
          <w:highlight w:val="white"/>
        </w:rPr>
        <w:t>基金托管人：中国工商银行股份有限公司（章）</w:t>
      </w:r>
    </w:p>
    <w:p w:rsidR="006C13DF" w14:paraId="2069144B" w14:textId="77777777">
      <w:pPr>
        <w:spacing w:line="360" w:lineRule="auto"/>
        <w:ind w:right="26"/>
        <w:rPr>
          <w:rFonts w:ascii="宋体" w:hAnsi="宋体" w:hint="eastAsia"/>
          <w:b/>
          <w:sz w:val="24"/>
          <w:szCs w:val="21"/>
        </w:rPr>
      </w:pPr>
    </w:p>
    <w:p w:rsidR="006C13DF" w14:paraId="7A3C4042" w14:textId="77777777">
      <w:pPr>
        <w:spacing w:line="360" w:lineRule="auto"/>
        <w:ind w:right="26"/>
        <w:rPr>
          <w:rFonts w:ascii="宋体" w:hAnsi="宋体" w:hint="eastAsia"/>
          <w:b/>
          <w:sz w:val="24"/>
          <w:szCs w:val="21"/>
        </w:rPr>
      </w:pPr>
    </w:p>
    <w:p w:rsidR="006C13DF" w14:paraId="747A1AF6" w14:textId="77777777">
      <w:pPr>
        <w:spacing w:line="360" w:lineRule="auto"/>
        <w:ind w:right="26"/>
        <w:rPr>
          <w:rFonts w:ascii="宋体" w:hAnsi="宋体" w:hint="eastAsia"/>
          <w:b/>
          <w:sz w:val="24"/>
          <w:szCs w:val="21"/>
        </w:rPr>
      </w:pPr>
      <w:r>
        <w:rPr>
          <w:rFonts w:ascii="宋体" w:hAnsi="宋体" w:hint="eastAsia"/>
          <w:b/>
          <w:sz w:val="24"/>
          <w:szCs w:val="21"/>
          <w:highlight w:val="white"/>
        </w:rPr>
        <w:t>法定代表人或授权代表（签字</w:t>
      </w:r>
      <w:r>
        <w:rPr>
          <w:rFonts w:ascii="宋体" w:hAnsi="宋体"/>
          <w:b/>
          <w:sz w:val="24"/>
          <w:highlight w:val="white"/>
        </w:rPr>
        <w:t>/</w:t>
      </w:r>
      <w:r>
        <w:rPr>
          <w:rFonts w:ascii="宋体" w:hAnsi="宋体" w:hint="eastAsia"/>
          <w:b/>
          <w:sz w:val="24"/>
          <w:highlight w:val="white"/>
        </w:rPr>
        <w:t>签章</w:t>
      </w:r>
      <w:r>
        <w:rPr>
          <w:rFonts w:ascii="宋体" w:hAnsi="宋体" w:hint="eastAsia"/>
          <w:b/>
          <w:sz w:val="24"/>
          <w:szCs w:val="21"/>
          <w:highlight w:val="white"/>
        </w:rPr>
        <w:t xml:space="preserve">）：                   </w:t>
      </w:r>
    </w:p>
    <w:p w:rsidR="006C13DF" w14:paraId="0B693A4B" w14:textId="77777777">
      <w:pPr>
        <w:spacing w:line="360" w:lineRule="auto"/>
        <w:ind w:right="26"/>
        <w:rPr>
          <w:rFonts w:ascii="宋体" w:hAnsi="宋体" w:hint="eastAsia"/>
          <w:b/>
          <w:sz w:val="24"/>
          <w:szCs w:val="21"/>
        </w:rPr>
      </w:pPr>
    </w:p>
    <w:p w:rsidR="006C13DF" w14:paraId="5EEE0A83" w14:textId="77777777">
      <w:pPr>
        <w:spacing w:line="360" w:lineRule="auto"/>
        <w:ind w:right="26"/>
        <w:rPr>
          <w:rFonts w:ascii="宋体" w:hAnsi="宋体" w:hint="eastAsia"/>
          <w:b/>
          <w:sz w:val="24"/>
          <w:szCs w:val="21"/>
        </w:rPr>
      </w:pPr>
    </w:p>
    <w:p w:rsidR="006C13DF" w14:paraId="6D16376D" w14:textId="77777777">
      <w:pPr>
        <w:spacing w:line="360" w:lineRule="auto"/>
        <w:ind w:right="26"/>
        <w:rPr>
          <w:rFonts w:ascii="宋体" w:hAnsi="宋体" w:hint="eastAsia"/>
          <w:b/>
          <w:sz w:val="24"/>
          <w:szCs w:val="21"/>
        </w:rPr>
      </w:pPr>
    </w:p>
    <w:p w:rsidR="006C13DF" w14:paraId="085949C3" w14:textId="77777777">
      <w:pPr>
        <w:spacing w:line="360" w:lineRule="auto"/>
        <w:ind w:right="26"/>
        <w:rPr>
          <w:rFonts w:ascii="宋体" w:hAnsi="宋体" w:hint="eastAsia"/>
          <w:b/>
          <w:sz w:val="24"/>
          <w:szCs w:val="21"/>
        </w:rPr>
      </w:pPr>
    </w:p>
    <w:p w:rsidR="006C13DF" w14:paraId="646F6660" w14:textId="77777777">
      <w:pPr>
        <w:spacing w:line="360" w:lineRule="auto"/>
        <w:ind w:right="26"/>
        <w:rPr>
          <w:rFonts w:ascii="宋体" w:hAnsi="宋体" w:hint="eastAsia"/>
          <w:b/>
          <w:sz w:val="24"/>
          <w:szCs w:val="21"/>
        </w:rPr>
      </w:pPr>
    </w:p>
    <w:p w:rsidR="006C13DF" w14:paraId="20B754FB" w14:textId="77777777">
      <w:pPr>
        <w:spacing w:line="360" w:lineRule="auto"/>
        <w:ind w:right="26"/>
        <w:rPr>
          <w:rFonts w:ascii="宋体" w:hAnsi="宋体" w:hint="eastAsia"/>
          <w:b/>
          <w:sz w:val="24"/>
          <w:szCs w:val="21"/>
        </w:rPr>
      </w:pPr>
    </w:p>
    <w:p w:rsidR="006C13DF" w14:paraId="3443EE70" w14:textId="77777777">
      <w:pPr>
        <w:spacing w:line="360" w:lineRule="auto"/>
        <w:ind w:right="26"/>
        <w:rPr>
          <w:rFonts w:ascii="宋体" w:hAnsi="宋体" w:hint="eastAsia"/>
          <w:b/>
          <w:sz w:val="24"/>
          <w:szCs w:val="21"/>
        </w:rPr>
      </w:pPr>
      <w:r>
        <w:rPr>
          <w:rFonts w:ascii="宋体" w:hAnsi="宋体" w:hint="eastAsia"/>
          <w:b/>
          <w:sz w:val="24"/>
          <w:szCs w:val="21"/>
          <w:highlight w:val="white"/>
        </w:rPr>
        <w:t>签订地点：</w:t>
      </w:r>
    </w:p>
    <w:p w:rsidR="006C13DF" w14:paraId="2D1EFC94" w14:textId="77777777">
      <w:pPr>
        <w:spacing w:line="360" w:lineRule="auto"/>
        <w:rPr>
          <w:rFonts w:ascii="宋体" w:hAnsi="宋体" w:hint="eastAsia"/>
        </w:rPr>
      </w:pPr>
      <w:r>
        <w:rPr>
          <w:rFonts w:ascii="宋体" w:hAnsi="宋体" w:hint="eastAsia"/>
          <w:b/>
          <w:sz w:val="24"/>
          <w:szCs w:val="21"/>
          <w:highlight w:val="white"/>
        </w:rPr>
        <w:t>签 订 日：      年  月  日</w:t>
      </w:r>
    </w:p>
    <w:sectPr>
      <w:footerReference w:type="default" r:id="rId10"/>
      <w:pgSz w:w="11906" w:h="16838"/>
      <w:pgMar w:top="1440" w:right="1797" w:bottom="1440" w:left="1797" w:header="851" w:footer="992" w:gutter="0"/>
      <w:pgNumType w:start="1"/>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6C13DF" w14:paraId="352AC40F" w14:textId="77777777">
    <w:pPr>
      <w:pStyle w:val="1"/>
      <w:snapToGrid/>
      <w:rPr>
        <w:rStyle w:val="PageNumber"/>
      </w:rPr>
    </w:pPr>
    <w:r>
      <w:fldChar w:fldCharType="begin"/>
    </w:r>
    <w:r>
      <w:rPr>
        <w:rStyle w:val="PageNumber"/>
        <w:highlight w:val="white"/>
      </w:rPr>
      <w:instrText xml:space="preserve">PAGE  </w:instrText>
    </w:r>
    <w:r w:rsidR="00443995">
      <w:fldChar w:fldCharType="separate"/>
    </w:r>
    <w:r>
      <w:fldChar w:fldCharType="end"/>
    </w:r>
  </w:p>
  <w:p w:rsidR="006C13DF" w14:paraId="44B04F29" w14:textId="77777777">
    <w:pPr>
      <w:pStyle w:val="1"/>
      <w:snapToGri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6C13DF" w14:paraId="4E67353E" w14:textId="77777777">
    <w:pPr>
      <w:pStyle w:val="1"/>
      <w:snapToGrid/>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1124765675"/>
      <w:placeholder>
        <w:docPart w:val="aab68f81189e47ac9bc73c1be17d4e7b"/>
      </w:placeholder>
      <w:docPartObj>
        <w:docPartGallery w:val="AutoText"/>
      </w:docPartObj>
    </w:sdtPr>
    <w:sdtContent>
      <w:p w:rsidR="006C13DF" w14:paraId="444F7855" w14:textId="77777777">
        <w:pPr>
          <w:pStyle w:val="1"/>
          <w:snapToGrid/>
          <w:jc w:val="center"/>
        </w:pPr>
        <w:r>
          <w:rPr>
            <w:lang w:val="zh-CN"/>
          </w:rPr>
          <w:fldChar w:fldCharType="begin"/>
        </w:r>
        <w:r>
          <w:rPr>
            <w:highlight w:val="white"/>
            <w:lang w:val="zh-CN"/>
          </w:rPr>
          <w:instrText>PAGE   \* MERGEFORMAT</w:instrText>
        </w:r>
        <w:r>
          <w:rPr>
            <w:lang w:val="zh-CN"/>
          </w:rPr>
          <w:fldChar w:fldCharType="separate"/>
        </w:r>
        <w:r>
          <w:rPr>
            <w:noProof/>
            <w:highlight w:val="white"/>
            <w:lang w:val="zh-CN"/>
          </w:rPr>
          <w:t>40</w:t>
        </w:r>
        <w:r>
          <w:rPr>
            <w:lang w:val="zh-CN"/>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sdt>
    <w:sdtPr>
      <w:id w:val="-96641980"/>
      <w:placeholder>
        <w:docPart w:val="2a7e0c4ebcf343ef90c16f5630cbdb21"/>
      </w:placeholder>
      <w:docPartObj>
        <w:docPartGallery w:val="AutoText"/>
      </w:docPartObj>
    </w:sdtPr>
    <w:sdtContent>
      <w:p w:rsidR="006C13DF" w14:paraId="17EE40E9" w14:textId="77777777">
        <w:pPr>
          <w:pStyle w:val="1"/>
          <w:snapToGrid/>
          <w:jc w:val="center"/>
        </w:pP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6C13DF" w14:paraId="5464E059" w14:textId="77777777">
    <w:r>
      <w:rPr>
        <w:rFonts w:hint="eastAsia"/>
        <w:highlight w:val="whit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6C13DF" w14:paraId="0751365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566C2421"/>
    <w:multiLevelType w:val="hybridMultilevel"/>
    <w:tmpl w:val="00000000"/>
    <w:lvl w:ilvl="0">
      <w:start w:val="1"/>
      <w:numFmt w:val="chineseCountingThousand"/>
      <w:suff w:val="nothing"/>
      <w:lvlText w:val="%1、"/>
      <w:lvlJc w:val="center"/>
      <w:pPr>
        <w:snapToGrid/>
        <w:ind w:left="0" w:firstLine="288"/>
      </w:pPr>
      <w:rPr>
        <w:rFonts w:hint="eastAsia"/>
        <w:sz w:val="30"/>
        <w:szCs w:val="30"/>
      </w:rPr>
    </w:lvl>
    <w:lvl w:ilvl="1">
      <w:start w:val="1"/>
      <w:numFmt w:val="chineseCounting"/>
      <w:lvlText w:val="（%2）"/>
      <w:lvlJc w:val="left"/>
      <w:pPr>
        <w:tabs>
          <w:tab w:val="left" w:pos="720"/>
        </w:tabs>
        <w:snapToGrid/>
        <w:ind w:left="720" w:hanging="720"/>
      </w:pPr>
      <w:rPr>
        <w:rFonts w:hint="default"/>
      </w:rPr>
    </w:lvl>
    <w:lvl w:ilvl="2">
      <w:start w:val="1"/>
      <w:numFmt w:val="decimal"/>
      <w:lvlText w:val="%3."/>
      <w:lvlJc w:val="left"/>
      <w:pPr>
        <w:tabs>
          <w:tab w:val="left" w:pos="360"/>
        </w:tabs>
        <w:snapToGrid/>
        <w:ind w:left="0" w:firstLine="0"/>
      </w:pPr>
      <w:rPr>
        <w:rFonts w:hint="eastAsia"/>
      </w:rPr>
    </w:lvl>
    <w:lvl w:ilvl="3">
      <w:start w:val="1"/>
      <w:numFmt w:val="decimal"/>
      <w:lvlText w:val="（%4）"/>
      <w:lvlJc w:val="left"/>
      <w:pPr>
        <w:tabs>
          <w:tab w:val="left" w:pos="720"/>
        </w:tabs>
        <w:snapToGrid/>
        <w:ind w:left="0" w:firstLine="0"/>
      </w:pPr>
      <w:rPr>
        <w:rFonts w:ascii="Times New Roman" w:eastAsia="宋体" w:hAnsi="Times New Roman" w:hint="default"/>
        <w:sz w:val="21"/>
      </w:rPr>
    </w:lvl>
    <w:lvl w:ilvl="4">
      <w:start w:val="1"/>
      <w:numFmt w:val="bullet"/>
      <w:lvlText w:val="o"/>
      <w:lvlJc w:val="left"/>
      <w:pPr>
        <w:tabs>
          <w:tab w:val="left" w:pos="360"/>
        </w:tabs>
        <w:snapToGrid/>
        <w:ind w:left="0" w:firstLine="0"/>
      </w:pPr>
      <w:rPr>
        <w:rFonts w:hint="eastAsia"/>
        <w:sz w:val="24"/>
      </w:rPr>
    </w:lvl>
    <w:lvl w:ilvl="5">
      <w:start w:val="1"/>
      <w:numFmt w:val="upperLetter"/>
      <w:lvlText w:val="%6."/>
      <w:lvlJc w:val="left"/>
      <w:pPr>
        <w:tabs>
          <w:tab w:val="left" w:pos="927"/>
        </w:tabs>
        <w:snapToGrid/>
        <w:ind w:left="0" w:firstLine="567"/>
      </w:pPr>
      <w:rPr>
        <w:rFonts w:hint="eastAsia"/>
        <w:sz w:val="24"/>
      </w:rPr>
    </w:lvl>
    <w:lvl w:ilvl="6">
      <w:start w:val="1"/>
      <w:numFmt w:val="bullet"/>
      <w:lvlText w:val="·"/>
      <w:lvlJc w:val="left"/>
      <w:pPr>
        <w:tabs>
          <w:tab w:val="left" w:pos="3827"/>
        </w:tabs>
        <w:snapToGrid/>
        <w:ind w:left="3827" w:hanging="1276"/>
      </w:pPr>
      <w:rPr>
        <w:rFonts w:hint="eastAsia"/>
      </w:rPr>
    </w:lvl>
    <w:lvl w:ilvl="7">
      <w:start w:val="1"/>
      <w:numFmt w:val="bullet"/>
      <w:lvlText w:val="o"/>
      <w:lvlJc w:val="left"/>
      <w:pPr>
        <w:tabs>
          <w:tab w:val="left" w:pos="4394"/>
        </w:tabs>
        <w:snapToGrid/>
        <w:ind w:left="4394" w:hanging="1418"/>
      </w:pPr>
      <w:rPr>
        <w:rFonts w:hint="eastAsia"/>
      </w:rPr>
    </w:lvl>
    <w:lvl w:ilvl="8">
      <w:start w:val="1"/>
      <w:numFmt w:val="bullet"/>
      <w:lvlText w:val="§"/>
      <w:lvlJc w:val="left"/>
      <w:pPr>
        <w:tabs>
          <w:tab w:val="left" w:pos="5102"/>
        </w:tabs>
        <w:snapToGrid/>
        <w:ind w:left="5102" w:hanging="1700"/>
      </w:pPr>
      <w:rPr>
        <w:rFonts w:hint="eastAsia"/>
      </w:rPr>
    </w:lvl>
  </w:abstractNum>
  <w:num w:numId="1" w16cid:durableId="159844445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姚栋梁">
    <w15:presenceInfo w15:providerId="None" w15:userId="姚栋梁"/>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5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3DF"/>
    <w:rsid w:val="00061A7B"/>
    <w:rsid w:val="000D07F4"/>
    <w:rsid w:val="002E365D"/>
    <w:rsid w:val="00443995"/>
    <w:rsid w:val="00563E2D"/>
    <w:rsid w:val="005A33CF"/>
    <w:rsid w:val="005F77AF"/>
    <w:rsid w:val="00616846"/>
    <w:rsid w:val="00635A28"/>
    <w:rsid w:val="006C13DF"/>
    <w:rsid w:val="006F7D17"/>
    <w:rsid w:val="00713C85"/>
    <w:rsid w:val="007D1A08"/>
    <w:rsid w:val="008042C7"/>
    <w:rsid w:val="008045B3"/>
    <w:rsid w:val="00853282"/>
    <w:rsid w:val="009C39AF"/>
    <w:rsid w:val="00B059FA"/>
    <w:rsid w:val="00C34B9E"/>
    <w:rsid w:val="00CE6362"/>
    <w:rsid w:val="00D44A33"/>
    <w:rsid w:val="00DD70FA"/>
    <w:rsid w:val="00DE3428"/>
    <w:rsid w:val="00E3781E"/>
    <w:rsid w:val="00EB0FBD"/>
    <w:rsid w:val="00EF2A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C2614D2"/>
  <w15:docId w15:val="{381F9F01-2D79-4719-9B78-273D1D1BD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Calibri" w:eastAsia="宋体" w:hAnsi="Calibri Light" w:cs="Calibr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Bdr>
        <w:top w:val="nil"/>
        <w:left w:val="nil"/>
        <w:bottom w:val="nil"/>
        <w:right w:val="nil"/>
        <w:between w:val="nil"/>
      </w:pBdr>
      <w:shd w:val="clear" w:color="FFFFFF" w:fill="FFFFFF"/>
      <w:jc w:val="both"/>
    </w:pPr>
    <w:rPr>
      <w:rFonts w:ascii="Times New Roman" w:hAnsi="Times New Roman" w:cs="Times New Roman"/>
      <w:sz w:val="21"/>
      <w:szCs w:val="24"/>
    </w:rPr>
  </w:style>
  <w:style w:type="paragraph" w:styleId="Heading1">
    <w:name w:val="heading 1"/>
    <w:basedOn w:val="Normal"/>
    <w:next w:val="Normal"/>
    <w:link w:val="10"/>
    <w:uiPriority w:val="9"/>
    <w:qFormat/>
    <w:pPr>
      <w:keepNext/>
      <w:keepLines/>
      <w:spacing w:before="480" w:after="200"/>
      <w:outlineLvl w:val="0"/>
    </w:pPr>
    <w:rPr>
      <w:rFonts w:ascii="Arial" w:hAnsi="Arial" w:cs="Arial"/>
      <w:sz w:val="40"/>
      <w:szCs w:val="40"/>
    </w:rPr>
  </w:style>
  <w:style w:type="paragraph" w:styleId="Heading2">
    <w:name w:val="heading 2"/>
    <w:basedOn w:val="Normal"/>
    <w:next w:val="Normal"/>
    <w:link w:val="2"/>
    <w:uiPriority w:val="9"/>
    <w:unhideWhenUsed/>
    <w:qFormat/>
    <w:pPr>
      <w:keepNext/>
      <w:keepLines/>
      <w:spacing w:before="360" w:after="200"/>
      <w:outlineLvl w:val="1"/>
    </w:pPr>
    <w:rPr>
      <w:rFonts w:ascii="Arial" w:hAnsi="Arial" w:cs="Arial"/>
      <w:sz w:val="34"/>
    </w:rPr>
  </w:style>
  <w:style w:type="paragraph" w:styleId="Heading3">
    <w:name w:val="heading 3"/>
    <w:basedOn w:val="Normal"/>
    <w:next w:val="Normal"/>
    <w:link w:val="3"/>
    <w:uiPriority w:val="9"/>
    <w:unhideWhenUsed/>
    <w:qFormat/>
    <w:pPr>
      <w:keepNext/>
      <w:keepLines/>
      <w:spacing w:before="320" w:after="200"/>
      <w:outlineLvl w:val="2"/>
    </w:pPr>
    <w:rPr>
      <w:rFonts w:ascii="Arial" w:hAnsi="Arial" w:cs="Arial"/>
      <w:sz w:val="30"/>
      <w:szCs w:val="30"/>
    </w:rPr>
  </w:style>
  <w:style w:type="paragraph" w:styleId="Heading4">
    <w:name w:val="heading 4"/>
    <w:basedOn w:val="Normal"/>
    <w:next w:val="Normal"/>
    <w:link w:val="4"/>
    <w:uiPriority w:val="9"/>
    <w:unhideWhenUsed/>
    <w:qFormat/>
    <w:pPr>
      <w:keepNext/>
      <w:keepLines/>
      <w:spacing w:before="320" w:after="200"/>
      <w:outlineLvl w:val="3"/>
    </w:pPr>
    <w:rPr>
      <w:rFonts w:ascii="Arial" w:hAnsi="Arial" w:cs="Arial"/>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rFonts w:ascii="Arial" w:hAnsi="Arial" w:cs="Arial"/>
      <w:b/>
      <w:bCs/>
      <w:sz w:val="24"/>
    </w:rPr>
  </w:style>
  <w:style w:type="paragraph" w:styleId="Heading6">
    <w:name w:val="heading 6"/>
    <w:basedOn w:val="Normal"/>
    <w:next w:val="Normal"/>
    <w:link w:val="6"/>
    <w:uiPriority w:val="9"/>
    <w:unhideWhenUsed/>
    <w:qFormat/>
    <w:pPr>
      <w:keepNext/>
      <w:keepLines/>
      <w:spacing w:before="320" w:after="200"/>
      <w:outlineLvl w:val="5"/>
    </w:pPr>
    <w:rPr>
      <w:rFonts w:ascii="Arial" w:hAnsi="Arial" w:cs="Arial"/>
      <w:b/>
      <w:bCs/>
      <w:sz w:val="22"/>
      <w:szCs w:val="22"/>
    </w:rPr>
  </w:style>
  <w:style w:type="paragraph" w:styleId="Heading7">
    <w:name w:val="heading 7"/>
    <w:basedOn w:val="Normal"/>
    <w:next w:val="Normal"/>
    <w:link w:val="7"/>
    <w:uiPriority w:val="9"/>
    <w:unhideWhenUsed/>
    <w:qFormat/>
    <w:pPr>
      <w:keepNext/>
      <w:keepLines/>
      <w:spacing w:before="320" w:after="200"/>
      <w:outlineLvl w:val="6"/>
    </w:pPr>
    <w:rPr>
      <w:rFonts w:ascii="Arial" w:hAnsi="Arial" w:cs="Arial"/>
      <w:b/>
      <w:bCs/>
      <w:i/>
      <w:iCs/>
      <w:sz w:val="22"/>
      <w:szCs w:val="22"/>
    </w:rPr>
  </w:style>
  <w:style w:type="paragraph" w:styleId="Heading8">
    <w:name w:val="heading 8"/>
    <w:basedOn w:val="Normal"/>
    <w:next w:val="Normal"/>
    <w:link w:val="8"/>
    <w:uiPriority w:val="9"/>
    <w:unhideWhenUsed/>
    <w:qFormat/>
    <w:pPr>
      <w:keepNext/>
      <w:keepLines/>
      <w:spacing w:before="320" w:after="200"/>
      <w:outlineLvl w:val="7"/>
    </w:pPr>
    <w:rPr>
      <w:rFonts w:ascii="Arial" w:hAnsi="Arial" w:cs="Arial"/>
      <w:i/>
      <w:iCs/>
      <w:sz w:val="22"/>
      <w:szCs w:val="22"/>
    </w:rPr>
  </w:style>
  <w:style w:type="paragraph" w:styleId="Heading9">
    <w:name w:val="heading 9"/>
    <w:basedOn w:val="Normal"/>
    <w:next w:val="Normal"/>
    <w:link w:val="9"/>
    <w:uiPriority w:val="9"/>
    <w:unhideWhenUsed/>
    <w:qFormat/>
    <w:pPr>
      <w:keepNext/>
      <w:keepLines/>
      <w:spacing w:before="320" w:after="200"/>
      <w:outlineLvl w:val="8"/>
    </w:pPr>
    <w:rPr>
      <w:rFonts w:ascii="Arial" w:hAnsi="Arial" w:cs="Arial"/>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line="276" w:lineRule="auto"/>
    </w:pPr>
    <w:rPr>
      <w:b/>
      <w:bCs/>
      <w:color w:val="4F81BD" w:themeColor="accent1"/>
      <w:sz w:val="18"/>
      <w:szCs w:val="18"/>
    </w:rPr>
  </w:style>
  <w:style w:type="paragraph" w:customStyle="1" w:styleId="11">
    <w:name w:val="标题 11"/>
    <w:basedOn w:val="Normal"/>
    <w:next w:val="Normal"/>
    <w:link w:val="1Char"/>
    <w:qFormat/>
    <w:pPr>
      <w:keepNext/>
      <w:keepLines/>
      <w:spacing w:before="120" w:after="120" w:line="578" w:lineRule="auto"/>
      <w:outlineLvl w:val="0"/>
    </w:pPr>
    <w:rPr>
      <w:b/>
      <w:bCs/>
      <w:sz w:val="28"/>
      <w:szCs w:val="44"/>
    </w:rPr>
  </w:style>
  <w:style w:type="paragraph" w:customStyle="1" w:styleId="21">
    <w:name w:val="标题 21"/>
    <w:basedOn w:val="Normal"/>
    <w:next w:val="Normal"/>
    <w:link w:val="2Char"/>
    <w:qFormat/>
    <w:pPr>
      <w:keepNext/>
      <w:keepLines/>
      <w:spacing w:before="260" w:after="260" w:line="416" w:lineRule="auto"/>
      <w:outlineLvl w:val="1"/>
    </w:pPr>
    <w:rPr>
      <w:rFonts w:ascii="Arial" w:eastAsia="黑体" w:hAnsi="Arial"/>
      <w:b/>
      <w:bCs/>
      <w:sz w:val="32"/>
      <w:szCs w:val="32"/>
    </w:r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paragraph" w:styleId="TOCHeading">
    <w:name w:val="TOC Heading"/>
    <w:uiPriority w:val="39"/>
    <w:unhideWhenUsed/>
  </w:style>
  <w:style w:type="paragraph" w:styleId="EndnoteText">
    <w:name w:val="endnote text"/>
    <w:basedOn w:val="Normal"/>
    <w:link w:val="a"/>
    <w:uiPriority w:val="99"/>
    <w:semiHidden/>
    <w:unhideWhenUsed/>
    <w:rPr>
      <w:sz w:val="20"/>
    </w:rPr>
  </w:style>
  <w:style w:type="character" w:customStyle="1" w:styleId="a">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style>
  <w:style w:type="paragraph" w:styleId="TOC7">
    <w:name w:val="toc 7"/>
    <w:basedOn w:val="Normal"/>
    <w:next w:val="Normal"/>
    <w:uiPriority w:val="39"/>
    <w:unhideWhenUsed/>
    <w:pPr>
      <w:spacing w:after="57"/>
      <w:ind w:left="1701"/>
    </w:pPr>
  </w:style>
  <w:style w:type="paragraph" w:styleId="DocumentMap">
    <w:name w:val="Document Map"/>
    <w:basedOn w:val="Normal"/>
    <w:link w:val="a6"/>
    <w:qFormat/>
    <w:rPr>
      <w:rFonts w:ascii="宋体"/>
      <w:sz w:val="18"/>
      <w:szCs w:val="18"/>
    </w:rPr>
  </w:style>
  <w:style w:type="paragraph" w:styleId="CommentText">
    <w:name w:val="annotation text"/>
    <w:basedOn w:val="Normal"/>
    <w:link w:val="a5"/>
    <w:qFormat/>
    <w:pPr>
      <w:jc w:val="left"/>
    </w:pPr>
  </w:style>
  <w:style w:type="paragraph" w:styleId="BodyTextIndent">
    <w:name w:val="Body Text Indent"/>
    <w:basedOn w:val="Normal"/>
    <w:qFormat/>
    <w:pPr>
      <w:spacing w:after="120"/>
      <w:ind w:left="420"/>
    </w:pPr>
    <w:rPr>
      <w:sz w:val="20"/>
      <w:szCs w:val="20"/>
    </w:rPr>
  </w:style>
  <w:style w:type="paragraph" w:styleId="TOC5">
    <w:name w:val="toc 5"/>
    <w:basedOn w:val="Normal"/>
    <w:next w:val="Normal"/>
    <w:uiPriority w:val="39"/>
    <w:unhideWhenUsed/>
    <w:pPr>
      <w:spacing w:after="57"/>
      <w:ind w:left="1134"/>
    </w:pPr>
  </w:style>
  <w:style w:type="paragraph" w:styleId="TOC3">
    <w:name w:val="toc 3"/>
    <w:basedOn w:val="Normal"/>
    <w:next w:val="Normal"/>
    <w:uiPriority w:val="39"/>
    <w:unhideWhenUsed/>
    <w:qFormat/>
    <w:pPr>
      <w:spacing w:after="57"/>
      <w:ind w:left="567"/>
    </w:pPr>
  </w:style>
  <w:style w:type="paragraph" w:styleId="PlainText">
    <w:name w:val="Plain Text"/>
    <w:basedOn w:val="Normal"/>
    <w:qFormat/>
    <w:pPr>
      <w:spacing w:line="360" w:lineRule="atLeast"/>
    </w:pPr>
    <w:rPr>
      <w:rFonts w:ascii="宋体" w:hAnsi="Courier New"/>
      <w:sz w:val="20"/>
      <w:szCs w:val="20"/>
    </w:rPr>
  </w:style>
  <w:style w:type="paragraph" w:styleId="TOC8">
    <w:name w:val="toc 8"/>
    <w:basedOn w:val="Normal"/>
    <w:next w:val="Normal"/>
    <w:uiPriority w:val="39"/>
    <w:unhideWhenUsed/>
    <w:pPr>
      <w:spacing w:after="57"/>
      <w:ind w:left="1984"/>
    </w:pPr>
  </w:style>
  <w:style w:type="paragraph" w:styleId="BodyTextIndent2">
    <w:name w:val="Body Text Indent 2"/>
    <w:basedOn w:val="Normal"/>
    <w:qFormat/>
    <w:pPr>
      <w:spacing w:after="120" w:line="360" w:lineRule="auto"/>
      <w:ind w:firstLine="480"/>
    </w:pPr>
    <w:rPr>
      <w:rFonts w:ascii="宋体" w:hAnsi="宋体"/>
      <w:color w:val="FF0000"/>
      <w:sz w:val="24"/>
    </w:rPr>
  </w:style>
  <w:style w:type="paragraph" w:styleId="BalloonText">
    <w:name w:val="Balloon Text"/>
    <w:basedOn w:val="Normal"/>
    <w:semiHidden/>
    <w:qFormat/>
    <w:rPr>
      <w:sz w:val="18"/>
      <w:szCs w:val="18"/>
    </w:rPr>
  </w:style>
  <w:style w:type="paragraph" w:customStyle="1" w:styleId="1">
    <w:name w:val="页脚1"/>
    <w:basedOn w:val="Normal"/>
    <w:link w:val="Char"/>
    <w:qFormat/>
    <w:pPr>
      <w:tabs>
        <w:tab w:val="center" w:pos="4153"/>
        <w:tab w:val="right" w:pos="8306"/>
      </w:tabs>
      <w:snapToGrid w:val="0"/>
      <w:jc w:val="left"/>
    </w:pPr>
    <w:rPr>
      <w:sz w:val="18"/>
      <w:szCs w:val="18"/>
    </w:rPr>
  </w:style>
  <w:style w:type="paragraph" w:styleId="TOC1">
    <w:name w:val="toc 1"/>
    <w:basedOn w:val="Normal"/>
    <w:next w:val="Normal"/>
    <w:uiPriority w:val="39"/>
    <w:qFormat/>
    <w:pPr>
      <w:spacing w:before="360"/>
      <w:jc w:val="left"/>
    </w:pPr>
    <w:rPr>
      <w:rFonts w:ascii="Arial" w:hAnsi="Arial" w:cs="Arial"/>
      <w:b/>
      <w:bCs/>
      <w:caps/>
      <w:sz w:val="24"/>
    </w:rPr>
  </w:style>
  <w:style w:type="paragraph" w:styleId="TOC4">
    <w:name w:val="toc 4"/>
    <w:basedOn w:val="Normal"/>
    <w:next w:val="Normal"/>
    <w:uiPriority w:val="39"/>
    <w:unhideWhenUsed/>
    <w:qFormat/>
    <w:pPr>
      <w:spacing w:after="57"/>
      <w:ind w:left="850"/>
    </w:pPr>
  </w:style>
  <w:style w:type="paragraph" w:styleId="Subtitle">
    <w:name w:val="Subtitle"/>
    <w:basedOn w:val="Normal"/>
    <w:next w:val="Normal"/>
    <w:link w:val="a1"/>
    <w:uiPriority w:val="11"/>
    <w:qFormat/>
    <w:pPr>
      <w:spacing w:before="200" w:after="200"/>
    </w:pPr>
    <w:rPr>
      <w:sz w:val="24"/>
    </w:rPr>
  </w:style>
  <w:style w:type="paragraph" w:styleId="FootnoteText">
    <w:name w:val="footnote text"/>
    <w:basedOn w:val="Normal"/>
    <w:link w:val="a4"/>
    <w:uiPriority w:val="99"/>
    <w:semiHidden/>
    <w:unhideWhenUsed/>
    <w:qFormat/>
    <w:pPr>
      <w:spacing w:after="40"/>
    </w:pPr>
    <w:rPr>
      <w:sz w:val="18"/>
    </w:rPr>
  </w:style>
  <w:style w:type="paragraph" w:styleId="TOC6">
    <w:name w:val="toc 6"/>
    <w:basedOn w:val="Normal"/>
    <w:next w:val="Normal"/>
    <w:uiPriority w:val="39"/>
    <w:unhideWhenUsed/>
    <w:pPr>
      <w:spacing w:after="57"/>
      <w:ind w:left="1417"/>
    </w:pPr>
  </w:style>
  <w:style w:type="paragraph" w:styleId="TOC2">
    <w:name w:val="toc 2"/>
    <w:basedOn w:val="Normal"/>
    <w:next w:val="Normal"/>
    <w:uiPriority w:val="39"/>
    <w:unhideWhenUsed/>
    <w:qFormat/>
    <w:pPr>
      <w:spacing w:after="57"/>
      <w:ind w:left="283"/>
    </w:pPr>
  </w:style>
  <w:style w:type="paragraph" w:styleId="TOC9">
    <w:name w:val="toc 9"/>
    <w:basedOn w:val="Normal"/>
    <w:next w:val="Normal"/>
    <w:uiPriority w:val="39"/>
    <w:unhideWhenUsed/>
    <w:qFormat/>
    <w:pPr>
      <w:spacing w:after="57"/>
      <w:ind w:left="2268"/>
    </w:pPr>
  </w:style>
  <w:style w:type="paragraph" w:styleId="NormalWeb">
    <w:name w:val="Normal (Web)"/>
    <w:basedOn w:val="Normal"/>
    <w:uiPriority w:val="99"/>
    <w:qFormat/>
    <w:rPr>
      <w:sz w:val="24"/>
    </w:rPr>
  </w:style>
  <w:style w:type="paragraph" w:styleId="Title">
    <w:name w:val="Title"/>
    <w:basedOn w:val="Normal"/>
    <w:next w:val="Normal"/>
    <w:link w:val="a0"/>
    <w:uiPriority w:val="10"/>
    <w:qFormat/>
    <w:pPr>
      <w:spacing w:before="300" w:after="200"/>
      <w:contextualSpacing/>
    </w:pPr>
    <w:rPr>
      <w:sz w:val="48"/>
      <w:szCs w:val="48"/>
    </w:rPr>
  </w:style>
  <w:style w:type="paragraph" w:styleId="CommentSubject">
    <w:name w:val="annotation subject"/>
    <w:basedOn w:val="CommentText"/>
    <w:next w:val="CommentText"/>
    <w:semiHidden/>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PageNumber">
    <w:name w:val="page number"/>
    <w:qFormat/>
    <w:rPr>
      <w:rFonts w:ascii="Times New Roman" w:eastAsia="仿宋_GB2312" w:hAnsi="Times New Roman" w:cs="Times New Roman"/>
      <w:sz w:val="18"/>
    </w:rPr>
  </w:style>
  <w:style w:type="character" w:styleId="FollowedHyperlink">
    <w:name w:val="FollowedHyperlink"/>
    <w:qFormat/>
    <w:rPr>
      <w:color w:val="800080"/>
      <w:u w:val="single"/>
    </w:rPr>
  </w:style>
  <w:style w:type="character" w:styleId="Hyperlink">
    <w:name w:val="Hyperlink"/>
    <w:uiPriority w:val="99"/>
    <w:qFormat/>
    <w:rPr>
      <w:color w:val="0000FF"/>
      <w:u w:val="single"/>
    </w:rPr>
  </w:style>
  <w:style w:type="character" w:styleId="CommentReference">
    <w:name w:val="annotation reference"/>
    <w:qFormat/>
    <w:rPr>
      <w:sz w:val="21"/>
      <w:szCs w:val="21"/>
    </w:rPr>
  </w:style>
  <w:style w:type="character" w:styleId="FootnoteReference">
    <w:name w:val="footnote reference"/>
    <w:basedOn w:val="DefaultParagraphFont"/>
    <w:uiPriority w:val="99"/>
    <w:unhideWhenUsed/>
    <w:qFormat/>
    <w:rPr>
      <w:vertAlign w:val="superscript"/>
    </w:rPr>
  </w:style>
  <w:style w:type="character" w:customStyle="1" w:styleId="10">
    <w:name w:val="标题 1 字符"/>
    <w:basedOn w:val="DefaultParagraphFont"/>
    <w:link w:val="Heading1"/>
    <w:uiPriority w:val="9"/>
    <w:qFormat/>
    <w:rPr>
      <w:rFonts w:ascii="Arial" w:hAnsi="Arial" w:cs="Arial"/>
      <w:sz w:val="40"/>
      <w:szCs w:val="40"/>
    </w:rPr>
  </w:style>
  <w:style w:type="character" w:customStyle="1" w:styleId="2">
    <w:name w:val="标题 2 字符"/>
    <w:basedOn w:val="DefaultParagraphFont"/>
    <w:link w:val="Heading2"/>
    <w:uiPriority w:val="9"/>
    <w:qFormat/>
    <w:rPr>
      <w:rFonts w:ascii="Arial" w:hAnsi="Arial" w:cs="Arial"/>
      <w:sz w:val="34"/>
    </w:rPr>
  </w:style>
  <w:style w:type="character" w:customStyle="1" w:styleId="3">
    <w:name w:val="标题 3 字符"/>
    <w:basedOn w:val="DefaultParagraphFont"/>
    <w:link w:val="Heading3"/>
    <w:uiPriority w:val="9"/>
    <w:qFormat/>
    <w:rPr>
      <w:rFonts w:ascii="Arial" w:hAnsi="Arial" w:cs="Arial"/>
      <w:sz w:val="30"/>
      <w:szCs w:val="30"/>
    </w:rPr>
  </w:style>
  <w:style w:type="character" w:customStyle="1" w:styleId="4">
    <w:name w:val="标题 4 字符"/>
    <w:basedOn w:val="DefaultParagraphFont"/>
    <w:link w:val="Heading4"/>
    <w:uiPriority w:val="9"/>
    <w:qFormat/>
    <w:rPr>
      <w:rFonts w:ascii="Arial" w:hAnsi="Arial" w:cs="Arial"/>
      <w:b/>
      <w:bCs/>
      <w:sz w:val="26"/>
      <w:szCs w:val="26"/>
    </w:rPr>
  </w:style>
  <w:style w:type="character" w:customStyle="1" w:styleId="5">
    <w:name w:val="标题 5 字符"/>
    <w:basedOn w:val="DefaultParagraphFont"/>
    <w:link w:val="Heading5"/>
    <w:uiPriority w:val="9"/>
    <w:qFormat/>
    <w:rPr>
      <w:rFonts w:ascii="Arial" w:hAnsi="Arial" w:cs="Arial"/>
      <w:b/>
      <w:bCs/>
      <w:sz w:val="24"/>
      <w:szCs w:val="24"/>
    </w:rPr>
  </w:style>
  <w:style w:type="character" w:customStyle="1" w:styleId="6">
    <w:name w:val="标题 6 字符"/>
    <w:basedOn w:val="DefaultParagraphFont"/>
    <w:link w:val="Heading6"/>
    <w:uiPriority w:val="9"/>
    <w:qFormat/>
    <w:rPr>
      <w:rFonts w:ascii="Arial" w:hAnsi="Arial" w:cs="Arial"/>
      <w:b/>
      <w:bCs/>
      <w:sz w:val="22"/>
      <w:szCs w:val="22"/>
    </w:rPr>
  </w:style>
  <w:style w:type="character" w:customStyle="1" w:styleId="7">
    <w:name w:val="标题 7 字符"/>
    <w:basedOn w:val="DefaultParagraphFont"/>
    <w:link w:val="Heading7"/>
    <w:uiPriority w:val="9"/>
    <w:qFormat/>
    <w:rPr>
      <w:rFonts w:ascii="Arial" w:hAnsi="Arial" w:cs="Arial"/>
      <w:b/>
      <w:bCs/>
      <w:i/>
      <w:iCs/>
      <w:sz w:val="22"/>
      <w:szCs w:val="22"/>
    </w:rPr>
  </w:style>
  <w:style w:type="character" w:customStyle="1" w:styleId="8">
    <w:name w:val="标题 8 字符"/>
    <w:basedOn w:val="DefaultParagraphFont"/>
    <w:link w:val="Heading8"/>
    <w:uiPriority w:val="9"/>
    <w:qFormat/>
    <w:rPr>
      <w:rFonts w:ascii="Arial" w:hAnsi="Arial" w:cs="Arial"/>
      <w:i/>
      <w:iCs/>
      <w:sz w:val="22"/>
      <w:szCs w:val="22"/>
    </w:rPr>
  </w:style>
  <w:style w:type="character" w:customStyle="1" w:styleId="9">
    <w:name w:val="标题 9 字符"/>
    <w:basedOn w:val="DefaultParagraphFont"/>
    <w:link w:val="Heading9"/>
    <w:uiPriority w:val="9"/>
    <w:qFormat/>
    <w:rPr>
      <w:rFonts w:ascii="Arial" w:hAnsi="Arial" w:cs="Arial"/>
      <w:i/>
      <w:iCs/>
      <w:sz w:val="21"/>
      <w:szCs w:val="21"/>
    </w:rPr>
  </w:style>
  <w:style w:type="character" w:customStyle="1" w:styleId="1Char">
    <w:name w:val="标题 1 Char"/>
    <w:basedOn w:val="DefaultParagraphFont"/>
    <w:link w:val="11"/>
    <w:uiPriority w:val="9"/>
    <w:qFormat/>
    <w:rPr>
      <w:rFonts w:ascii="Arial" w:hAnsi="Arial" w:cs="Arial"/>
      <w:sz w:val="40"/>
      <w:szCs w:val="40"/>
    </w:rPr>
  </w:style>
  <w:style w:type="character" w:customStyle="1" w:styleId="2Char">
    <w:name w:val="标题 2 Char"/>
    <w:basedOn w:val="DefaultParagraphFont"/>
    <w:link w:val="21"/>
    <w:uiPriority w:val="9"/>
    <w:qFormat/>
    <w:rPr>
      <w:rFonts w:ascii="Arial" w:hAnsi="Arial" w:cs="Arial"/>
      <w:sz w:val="34"/>
    </w:rPr>
  </w:style>
  <w:style w:type="paragraph" w:styleId="ListParagraph">
    <w:name w:val="List Paragraph"/>
    <w:basedOn w:val="Normal"/>
    <w:uiPriority w:val="34"/>
    <w:qFormat/>
    <w:pPr>
      <w:ind w:left="720"/>
      <w:contextualSpacing/>
    </w:pPr>
  </w:style>
  <w:style w:type="paragraph" w:styleId="NoSpacing">
    <w:name w:val="No Spacing"/>
    <w:uiPriority w:val="1"/>
    <w:qFormat/>
    <w:pPr>
      <w:pBdr>
        <w:top w:val="nil"/>
        <w:left w:val="nil"/>
        <w:bottom w:val="nil"/>
        <w:right w:val="nil"/>
        <w:between w:val="nil"/>
      </w:pBdr>
      <w:shd w:val="clear" w:color="FFFFFF" w:fill="FFFFFF"/>
    </w:pPr>
    <w:rPr>
      <w:rFonts w:ascii="Times New Roman" w:hAnsi="Times New Roman" w:cs="Times New Roman"/>
      <w:sz w:val="20"/>
    </w:rPr>
  </w:style>
  <w:style w:type="character" w:customStyle="1" w:styleId="a0">
    <w:name w:val="标题 字符"/>
    <w:basedOn w:val="DefaultParagraphFont"/>
    <w:link w:val="Title"/>
    <w:uiPriority w:val="10"/>
    <w:qFormat/>
    <w:rPr>
      <w:sz w:val="48"/>
      <w:szCs w:val="48"/>
    </w:rPr>
  </w:style>
  <w:style w:type="character" w:customStyle="1" w:styleId="a1">
    <w:name w:val="副标题 字符"/>
    <w:basedOn w:val="DefaultParagraphFont"/>
    <w:link w:val="Subtitle"/>
    <w:uiPriority w:val="11"/>
    <w:qFormat/>
    <w:rPr>
      <w:sz w:val="24"/>
      <w:szCs w:val="24"/>
    </w:rPr>
  </w:style>
  <w:style w:type="paragraph" w:styleId="Quote">
    <w:name w:val="Quote"/>
    <w:basedOn w:val="Normal"/>
    <w:next w:val="Normal"/>
    <w:link w:val="a2"/>
    <w:uiPriority w:val="29"/>
    <w:qFormat/>
    <w:pPr>
      <w:ind w:left="720" w:right="720"/>
    </w:pPr>
    <w:rPr>
      <w:i/>
    </w:rPr>
  </w:style>
  <w:style w:type="character" w:customStyle="1" w:styleId="a2">
    <w:name w:val="引用 字符"/>
    <w:link w:val="Quote"/>
    <w:uiPriority w:val="29"/>
    <w:qFormat/>
    <w:rPr>
      <w:i/>
    </w:rPr>
  </w:style>
  <w:style w:type="paragraph" w:styleId="IntenseQuote">
    <w:name w:val="Intense Quote"/>
    <w:basedOn w:val="Normal"/>
    <w:next w:val="Normal"/>
    <w:link w:val="a3"/>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3">
    <w:name w:val="明显引用 字符"/>
    <w:link w:val="IntenseQuote"/>
    <w:uiPriority w:val="30"/>
    <w:qFormat/>
    <w:rPr>
      <w:i/>
    </w:rPr>
  </w:style>
  <w:style w:type="character" w:customStyle="1" w:styleId="a4">
    <w:name w:val="脚注文本 字符"/>
    <w:link w:val="FootnoteText"/>
    <w:uiPriority w:val="99"/>
    <w:qFormat/>
    <w:rPr>
      <w:sz w:val="18"/>
    </w:rPr>
  </w:style>
  <w:style w:type="character" w:customStyle="1" w:styleId="a5">
    <w:name w:val="批注文字 字符"/>
    <w:link w:val="CommentText"/>
    <w:qFormat/>
    <w:rPr>
      <w:sz w:val="21"/>
      <w:szCs w:val="24"/>
    </w:rPr>
  </w:style>
  <w:style w:type="character" w:customStyle="1" w:styleId="Char">
    <w:name w:val="页脚 Char"/>
    <w:basedOn w:val="DefaultParagraphFont"/>
    <w:link w:val="1"/>
    <w:uiPriority w:val="99"/>
    <w:qFormat/>
    <w:rPr>
      <w:sz w:val="18"/>
      <w:szCs w:val="18"/>
    </w:rPr>
  </w:style>
  <w:style w:type="character" w:customStyle="1" w:styleId="a6">
    <w:name w:val="文档结构图 字符"/>
    <w:basedOn w:val="DefaultParagraphFont"/>
    <w:link w:val="DocumentMap"/>
    <w:qFormat/>
    <w:rPr>
      <w:rFonts w:ascii="宋体"/>
      <w:sz w:val="18"/>
      <w:szCs w:val="18"/>
    </w:rPr>
  </w:style>
  <w:style w:type="paragraph" w:styleId="Revision">
    <w:name w:val="Revision"/>
    <w:hidden/>
    <w:uiPriority w:val="99"/>
    <w:semiHidden/>
    <w:rPr>
      <w:rFonts w:ascii="Times New Roman" w:hAnsi="Times New Roman" w:cs="Times New Roman"/>
      <w:sz w:val="21"/>
      <w:szCs w:val="24"/>
    </w:rPr>
  </w:style>
  <w:style w:type="paragraph" w:styleId="Header">
    <w:name w:val="header"/>
    <w:basedOn w:val="Normal"/>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DefaultParagraphFont"/>
    <w:link w:val="Header"/>
    <w:uiPriority w:val="99"/>
    <w:rPr>
      <w:rFonts w:ascii="Times New Roman" w:hAnsi="Times New Roman" w:cs="Times New Roman"/>
      <w:sz w:val="18"/>
      <w:szCs w:val="18"/>
      <w:shd w:val="clear" w:color="FFFFFF" w:fill="FFFFFF"/>
      <w:lang w:eastAsia="zh-CN"/>
    </w:rPr>
  </w:style>
  <w:style w:type="paragraph" w:styleId="Footer">
    <w:name w:val="footer"/>
    <w:basedOn w:val="Normal"/>
    <w:link w:val="a8"/>
    <w:uiPriority w:val="99"/>
    <w:unhideWhenUsed/>
    <w:pPr>
      <w:tabs>
        <w:tab w:val="center" w:pos="4153"/>
        <w:tab w:val="right" w:pos="8306"/>
      </w:tabs>
      <w:snapToGrid w:val="0"/>
      <w:jc w:val="left"/>
    </w:pPr>
    <w:rPr>
      <w:sz w:val="18"/>
      <w:szCs w:val="18"/>
    </w:rPr>
  </w:style>
  <w:style w:type="character" w:customStyle="1" w:styleId="a8">
    <w:name w:val="页脚 字符"/>
    <w:basedOn w:val="DefaultParagraphFont"/>
    <w:link w:val="Footer"/>
    <w:uiPriority w:val="99"/>
    <w:rPr>
      <w:rFonts w:ascii="Times New Roman" w:hAnsi="Times New Roman" w:cs="Times New Roman"/>
      <w:sz w:val="18"/>
      <w:szCs w:val="18"/>
      <w:shd w:val="clear" w:color="FFFFFF" w:fill="FFFFFF"/>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docParts>
    <w:docPart>
      <w:docPartPr>
        <w:name w:val="aab68f81189e47ac9bc73c1be17d4e7b"/>
        <w:category>
          <w:name w:val="(Empty Category)"/>
          <w:gallery w:val="any"/>
        </w:category>
        <w:behaviors>
          <w:behavior w:val="content"/>
        </w:behaviors>
        <w:guid w:val="{F069D19A-17C8-4E75-89ED-C21D58F65A79}"/>
      </w:docPartPr>
      <w:docPartBody>
        <w:p w:rsidR="000D07F4">
          <w:r>
            <w:t>请在此放置您的文字</w:t>
          </w:r>
        </w:p>
      </w:docPartBody>
    </w:docPart>
    <w:docPart>
      <w:docPartPr>
        <w:name w:val="2a7e0c4ebcf343ef90c16f5630cbdb21"/>
        <w:category>
          <w:name w:val="(Empty Category)"/>
          <w:gallery w:val="any"/>
        </w:category>
        <w:behaviors>
          <w:behavior w:val="content"/>
        </w:behaviors>
        <w:guid w:val="{EFBC2C22-2C77-43D3-A6AB-5FBF41183280}"/>
      </w:docPartPr>
      <w:docPartBody>
        <w:p w:rsidR="000D07F4">
          <w:r>
            <w:t>请在此放置您的文字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Calibri"/>
    <w:charset w:val="00"/>
    <w:family w:val="auto"/>
    <w:pitch w:val="default"/>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bordersDoNotSurroundHeader/>
  <w:bordersDoNotSurroundFooter/>
  <w:defaultTabStop w:val="420"/>
  <w:characterSpacingControl w:val="compressPunctuation"/>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07F4"/>
    <w:rsid w:val="000D07F4"/>
    <w:rsid w:val="000D4AA7"/>
    <w:rsid w:val="004E58D9"/>
    <w:rsid w:val="00635A28"/>
    <w:rsid w:val="006638CB"/>
    <w:rsid w:val="008042C7"/>
    <w:rsid w:val="00853282"/>
    <w:rsid w:val="009C39AF"/>
    <w:rsid w:val="009E03ED"/>
    <w:rsid w:val="00B059FA"/>
    <w:rsid w:val="00CE6362"/>
    <w:rsid w:val="00D90F10"/>
    <w:rsid w:val="00DD70FA"/>
    <w:rsid w:val="00F20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Arial" w:eastAsia="宋体"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1"/>
    <w:uiPriority w:val="9"/>
    <w:qFormat/>
    <w:pPr>
      <w:keepNext/>
      <w:keepLines/>
      <w:spacing w:before="480" w:after="200"/>
      <w:outlineLvl w:val="0"/>
    </w:pPr>
    <w:rPr>
      <w:sz w:val="40"/>
      <w:szCs w:val="40"/>
    </w:rPr>
  </w:style>
  <w:style w:type="paragraph" w:styleId="Heading2">
    <w:name w:val="heading 2"/>
    <w:basedOn w:val="Normal"/>
    <w:next w:val="Normal"/>
    <w:link w:val="2"/>
    <w:uiPriority w:val="9"/>
    <w:unhideWhenUsed/>
    <w:qFormat/>
    <w:pPr>
      <w:keepNext/>
      <w:keepLines/>
      <w:spacing w:before="360" w:after="200"/>
      <w:outlineLvl w:val="1"/>
    </w:pPr>
    <w:rPr>
      <w:sz w:val="34"/>
    </w:rPr>
  </w:style>
  <w:style w:type="paragraph" w:styleId="Heading3">
    <w:name w:val="heading 3"/>
    <w:basedOn w:val="Normal"/>
    <w:next w:val="Normal"/>
    <w:link w:val="3"/>
    <w:uiPriority w:val="9"/>
    <w:unhideWhenUsed/>
    <w:qFormat/>
    <w:pPr>
      <w:keepNext/>
      <w:keepLines/>
      <w:spacing w:before="320" w:after="200"/>
      <w:outlineLvl w:val="2"/>
    </w:pPr>
    <w:rPr>
      <w:sz w:val="30"/>
      <w:szCs w:val="30"/>
    </w:rPr>
  </w:style>
  <w:style w:type="paragraph" w:styleId="Heading4">
    <w:name w:val="heading 4"/>
    <w:basedOn w:val="Normal"/>
    <w:next w:val="Normal"/>
    <w:link w:val="4"/>
    <w:uiPriority w:val="9"/>
    <w:unhideWhenUsed/>
    <w:qFormat/>
    <w:pPr>
      <w:keepNext/>
      <w:keepLines/>
      <w:spacing w:before="320" w:after="200"/>
      <w:outlineLvl w:val="3"/>
    </w:pPr>
    <w:rPr>
      <w:b/>
      <w:bCs/>
      <w:sz w:val="26"/>
      <w:szCs w:val="26"/>
    </w:rPr>
  </w:style>
  <w:style w:type="paragraph" w:styleId="Heading5">
    <w:name w:val="heading 5"/>
    <w:basedOn w:val="Normal"/>
    <w:next w:val="Normal"/>
    <w:link w:val="5"/>
    <w:uiPriority w:val="9"/>
    <w:unhideWhenUsed/>
    <w:qFormat/>
    <w:pPr>
      <w:keepNext/>
      <w:keepLines/>
      <w:spacing w:before="320" w:after="200"/>
      <w:outlineLvl w:val="4"/>
    </w:pPr>
    <w:rPr>
      <w:b/>
      <w:bCs/>
      <w:sz w:val="24"/>
      <w:szCs w:val="24"/>
    </w:rPr>
  </w:style>
  <w:style w:type="paragraph" w:styleId="Heading6">
    <w:name w:val="heading 6"/>
    <w:basedOn w:val="Normal"/>
    <w:next w:val="Normal"/>
    <w:link w:val="6"/>
    <w:uiPriority w:val="9"/>
    <w:unhideWhenUsed/>
    <w:qFormat/>
    <w:pPr>
      <w:keepNext/>
      <w:keepLines/>
      <w:spacing w:before="320" w:after="200"/>
      <w:outlineLvl w:val="5"/>
    </w:pPr>
    <w:rPr>
      <w:b/>
      <w:bCs/>
    </w:rPr>
  </w:style>
  <w:style w:type="paragraph" w:styleId="Heading7">
    <w:name w:val="heading 7"/>
    <w:basedOn w:val="Normal"/>
    <w:next w:val="Normal"/>
    <w:link w:val="7"/>
    <w:uiPriority w:val="9"/>
    <w:unhideWhenUsed/>
    <w:qFormat/>
    <w:pPr>
      <w:keepNext/>
      <w:keepLines/>
      <w:spacing w:before="320" w:after="200"/>
      <w:outlineLvl w:val="6"/>
    </w:pPr>
    <w:rPr>
      <w:b/>
      <w:bCs/>
      <w:i/>
      <w:iCs/>
    </w:rPr>
  </w:style>
  <w:style w:type="paragraph" w:styleId="Heading8">
    <w:name w:val="heading 8"/>
    <w:basedOn w:val="Normal"/>
    <w:next w:val="Normal"/>
    <w:link w:val="8"/>
    <w:uiPriority w:val="9"/>
    <w:unhideWhenUsed/>
    <w:qFormat/>
    <w:pPr>
      <w:keepNext/>
      <w:keepLines/>
      <w:spacing w:before="320" w:after="200"/>
      <w:outlineLvl w:val="7"/>
    </w:pPr>
    <w:rPr>
      <w:i/>
      <w:iCs/>
    </w:rPr>
  </w:style>
  <w:style w:type="paragraph" w:styleId="Heading9">
    <w:name w:val="heading 9"/>
    <w:basedOn w:val="Normal"/>
    <w:next w:val="Normal"/>
    <w:link w:val="9"/>
    <w:uiPriority w:val="9"/>
    <w:unhideWhenUsed/>
    <w:qFormat/>
    <w:pPr>
      <w:keepNext/>
      <w:keepLines/>
      <w:spacing w:before="320" w:after="200"/>
      <w:outlineLvl w:val="8"/>
    </w:pPr>
    <w:rPr>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Pr>
      <w:rFonts w:ascii="Arial" w:hAnsi="Arial" w:cs="Arial"/>
      <w:sz w:val="40"/>
      <w:szCs w:val="40"/>
    </w:rPr>
  </w:style>
  <w:style w:type="character" w:customStyle="1" w:styleId="2">
    <w:name w:val="标题 2 字符"/>
    <w:basedOn w:val="DefaultParagraphFont"/>
    <w:link w:val="Heading2"/>
    <w:uiPriority w:val="9"/>
    <w:rPr>
      <w:rFonts w:ascii="Arial" w:hAnsi="Arial" w:cs="Arial"/>
      <w:sz w:val="34"/>
    </w:rPr>
  </w:style>
  <w:style w:type="character" w:customStyle="1" w:styleId="3">
    <w:name w:val="标题 3 字符"/>
    <w:basedOn w:val="DefaultParagraphFont"/>
    <w:link w:val="Heading3"/>
    <w:uiPriority w:val="9"/>
    <w:rPr>
      <w:rFonts w:ascii="Arial" w:hAnsi="Arial" w:cs="Arial"/>
      <w:sz w:val="30"/>
      <w:szCs w:val="30"/>
    </w:rPr>
  </w:style>
  <w:style w:type="character" w:customStyle="1" w:styleId="4">
    <w:name w:val="标题 4 字符"/>
    <w:basedOn w:val="DefaultParagraphFont"/>
    <w:link w:val="Heading4"/>
    <w:uiPriority w:val="9"/>
    <w:rPr>
      <w:rFonts w:ascii="Arial" w:hAnsi="Arial" w:cs="Arial"/>
      <w:b/>
      <w:bCs/>
      <w:sz w:val="26"/>
      <w:szCs w:val="26"/>
    </w:rPr>
  </w:style>
  <w:style w:type="character" w:customStyle="1" w:styleId="5">
    <w:name w:val="标题 5 字符"/>
    <w:basedOn w:val="DefaultParagraphFont"/>
    <w:link w:val="Heading5"/>
    <w:uiPriority w:val="9"/>
    <w:rPr>
      <w:rFonts w:ascii="Arial" w:hAnsi="Arial" w:cs="Arial"/>
      <w:b/>
      <w:bCs/>
      <w:sz w:val="24"/>
      <w:szCs w:val="24"/>
    </w:rPr>
  </w:style>
  <w:style w:type="character" w:customStyle="1" w:styleId="6">
    <w:name w:val="标题 6 字符"/>
    <w:basedOn w:val="DefaultParagraphFont"/>
    <w:link w:val="Heading6"/>
    <w:uiPriority w:val="9"/>
    <w:rPr>
      <w:rFonts w:ascii="Arial" w:hAnsi="Arial" w:cs="Arial"/>
      <w:b/>
      <w:bCs/>
      <w:sz w:val="22"/>
      <w:szCs w:val="22"/>
    </w:rPr>
  </w:style>
  <w:style w:type="character" w:customStyle="1" w:styleId="7">
    <w:name w:val="标题 7 字符"/>
    <w:basedOn w:val="DefaultParagraphFont"/>
    <w:link w:val="Heading7"/>
    <w:uiPriority w:val="9"/>
    <w:rPr>
      <w:rFonts w:ascii="Arial" w:hAnsi="Arial" w:cs="Arial"/>
      <w:b/>
      <w:bCs/>
      <w:i/>
      <w:iCs/>
      <w:sz w:val="22"/>
      <w:szCs w:val="22"/>
    </w:rPr>
  </w:style>
  <w:style w:type="character" w:customStyle="1" w:styleId="8">
    <w:name w:val="标题 8 字符"/>
    <w:basedOn w:val="DefaultParagraphFont"/>
    <w:link w:val="Heading8"/>
    <w:uiPriority w:val="9"/>
    <w:rPr>
      <w:rFonts w:ascii="Arial" w:hAnsi="Arial" w:cs="Arial"/>
      <w:i/>
      <w:iCs/>
      <w:sz w:val="22"/>
      <w:szCs w:val="22"/>
    </w:rPr>
  </w:style>
  <w:style w:type="character" w:customStyle="1" w:styleId="9">
    <w:name w:val="标题 9 字符"/>
    <w:basedOn w:val="DefaultParagraphFont"/>
    <w:link w:val="Heading9"/>
    <w:uiPriority w:val="9"/>
    <w:rPr>
      <w:rFonts w:ascii="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a"/>
    <w:uiPriority w:val="10"/>
    <w:qFormat/>
    <w:pPr>
      <w:spacing w:before="300" w:after="200"/>
      <w:contextualSpacing/>
    </w:pPr>
    <w:rPr>
      <w:sz w:val="48"/>
      <w:szCs w:val="48"/>
    </w:rPr>
  </w:style>
  <w:style w:type="character" w:customStyle="1" w:styleId="a">
    <w:name w:val="标题 字符"/>
    <w:basedOn w:val="DefaultParagraphFont"/>
    <w:link w:val="Title"/>
    <w:uiPriority w:val="10"/>
    <w:rPr>
      <w:sz w:val="48"/>
      <w:szCs w:val="48"/>
    </w:rPr>
  </w:style>
  <w:style w:type="paragraph" w:styleId="Subtitle">
    <w:name w:val="Subtitle"/>
    <w:basedOn w:val="Normal"/>
    <w:next w:val="Normal"/>
    <w:link w:val="a0"/>
    <w:uiPriority w:val="11"/>
    <w:qFormat/>
    <w:pPr>
      <w:spacing w:before="200" w:after="200"/>
    </w:pPr>
    <w:rPr>
      <w:sz w:val="24"/>
      <w:szCs w:val="24"/>
    </w:rPr>
  </w:style>
  <w:style w:type="character" w:customStyle="1" w:styleId="a0">
    <w:name w:val="副标题 字符"/>
    <w:basedOn w:val="DefaultParagraphFont"/>
    <w:link w:val="Subtitle"/>
    <w:uiPriority w:val="11"/>
    <w:rPr>
      <w:sz w:val="24"/>
      <w:szCs w:val="24"/>
    </w:rPr>
  </w:style>
  <w:style w:type="paragraph" w:styleId="Quote">
    <w:name w:val="Quote"/>
    <w:basedOn w:val="Normal"/>
    <w:next w:val="Normal"/>
    <w:link w:val="a1"/>
    <w:uiPriority w:val="29"/>
    <w:qFormat/>
    <w:pPr>
      <w:ind w:left="720" w:right="720"/>
    </w:pPr>
    <w:rPr>
      <w:i/>
    </w:rPr>
  </w:style>
  <w:style w:type="character" w:customStyle="1" w:styleId="a1">
    <w:name w:val="引用 字符"/>
    <w:link w:val="Quote"/>
    <w:uiPriority w:val="29"/>
    <w:rPr>
      <w:i/>
    </w:rPr>
  </w:style>
  <w:style w:type="paragraph" w:styleId="IntenseQuote">
    <w:name w:val="Intense Quote"/>
    <w:basedOn w:val="Normal"/>
    <w:next w:val="Normal"/>
    <w:link w:val="a2"/>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2">
    <w:name w:val="明显引用 字符"/>
    <w:link w:val="IntenseQuote"/>
    <w:uiPriority w:val="30"/>
    <w:rPr>
      <w:i/>
    </w:rPr>
  </w:style>
  <w:style w:type="paragraph" w:styleId="Header">
    <w:name w:val="header"/>
    <w:basedOn w:val="Normal"/>
    <w:link w:val="a3"/>
    <w:uiPriority w:val="99"/>
    <w:unhideWhenUsed/>
    <w:pPr>
      <w:tabs>
        <w:tab w:val="center" w:pos="7143"/>
        <w:tab w:val="right" w:pos="14287"/>
      </w:tabs>
    </w:pPr>
  </w:style>
  <w:style w:type="character" w:customStyle="1" w:styleId="a3">
    <w:name w:val="页眉 字符"/>
    <w:basedOn w:val="DefaultParagraphFont"/>
    <w:link w:val="Header"/>
    <w:uiPriority w:val="99"/>
  </w:style>
  <w:style w:type="paragraph" w:styleId="Footer">
    <w:name w:val="footer"/>
    <w:basedOn w:val="Normal"/>
    <w:link w:val="a4"/>
    <w:uiPriority w:val="99"/>
    <w:unhideWhenUsed/>
    <w:pPr>
      <w:tabs>
        <w:tab w:val="center" w:pos="7143"/>
        <w:tab w:val="right" w:pos="14287"/>
      </w:tabs>
    </w:pPr>
  </w:style>
  <w:style w:type="paragraph" w:styleId="Caption">
    <w:name w:val="caption"/>
    <w:basedOn w:val="Normal"/>
    <w:next w:val="Normal"/>
    <w:uiPriority w:val="35"/>
    <w:semiHidden/>
    <w:unhideWhenUsed/>
    <w:qFormat/>
    <w:pPr>
      <w:spacing w:line="276" w:lineRule="auto"/>
    </w:pPr>
    <w:rPr>
      <w:b/>
      <w:bCs/>
      <w:color w:val="156082" w:themeColor="accent1"/>
      <w:sz w:val="18"/>
      <w:szCs w:val="18"/>
    </w:rPr>
  </w:style>
  <w:style w:type="character" w:customStyle="1" w:styleId="a4">
    <w:name w:val="页脚 字符"/>
    <w:link w:val="Footer"/>
    <w:uiPriority w:val="99"/>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snapToGrid/>
      </w:pPr>
    </w:tblStylePr>
    <w:tblStylePr w:type="lastRow">
      <w:pPr>
        <w:snapToGrid/>
      </w:pPr>
    </w:tblStylePr>
    <w:tblStylePr w:type="firstCol">
      <w:pPr>
        <w:snapToGrid/>
      </w:pPr>
    </w:tblStylePr>
    <w:tblStylePr w:type="lastCol">
      <w:pPr>
        <w:snapToGrid/>
      </w:pPr>
    </w:tblStylePr>
    <w:tblStylePr w:type="band1Vert">
      <w:pPr>
        <w:snapToGrid/>
      </w:pPr>
    </w:tblStylePr>
    <w:tblStylePr w:type="band2Vert">
      <w:pPr>
        <w:snapToGrid/>
      </w:pPr>
    </w:tblStylePr>
    <w:tblStylePr w:type="band1Horz">
      <w:pPr>
        <w:snapToGrid/>
      </w:p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pPr>
        <w:snapToGrid/>
      </w:pPr>
      <w:rPr>
        <w:rFonts w:ascii="Arial" w:hAnsi="Arial"/>
        <w:b/>
        <w:color w:val="404040"/>
        <w:sz w:val="22"/>
      </w:r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shd w:val="clear" w:color="F2F2F2" w:fill="F2F2F2" w:themeFill="text1" w:themeFillTint="0D"/>
      </w:tcPr>
    </w:tblStylePr>
    <w:tblStylePr w:type="band2Vert">
      <w:pPr>
        <w:snapToGrid/>
      </w:pPr>
    </w:tblStylePr>
    <w:tblStylePr w:type="band1Horz">
      <w:pPr>
        <w:snapToGrid/>
      </w:p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pPr>
        <w:snapToGrid/>
      </w:pPr>
      <w:rPr>
        <w:rFonts w:ascii="Arial" w:hAnsi="Arial"/>
        <w:b/>
        <w:color w:val="404040"/>
        <w:sz w:val="22"/>
      </w:rPr>
      <w:tblPr/>
      <w:tcPr>
        <w:tcBorders>
          <w:top w:val="single" w:sz="4" w:space="0" w:color="000000" w:themeColor="text1"/>
          <w:bottom w:val="single" w:sz="4" w:space="0" w:color="000000" w:themeColor="text1"/>
        </w:tcBorders>
      </w:tcPr>
    </w:tblStylePr>
    <w:tblStylePr w:type="lastRow">
      <w:pPr>
        <w:snapToGrid/>
      </w:pPr>
      <w:rPr>
        <w:rFonts w:ascii="Arial" w:hAnsi="Arial"/>
        <w:b/>
        <w:color w:val="404040"/>
        <w:sz w:val="22"/>
      </w:r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tblPr/>
      <w:tcPr>
        <w:tcBorders>
          <w:left w:val="single" w:sz="4" w:space="0" w:color="000000" w:themeColor="text1"/>
          <w:right w:val="single" w:sz="4" w:space="0" w:color="000000" w:themeColor="text1"/>
        </w:tcBorders>
      </w:tcPr>
    </w:tblStylePr>
    <w:tblStylePr w:type="band2Vert">
      <w:pPr>
        <w:snapToGrid/>
      </w:pPr>
      <w:tblPr/>
      <w:tcPr>
        <w:tcBorders>
          <w:left w:val="single" w:sz="4" w:space="0" w:color="000000" w:themeColor="text1"/>
          <w:right w:val="single" w:sz="4" w:space="0" w:color="000000" w:themeColor="text1"/>
        </w:tcBorders>
      </w:tcPr>
    </w:tblStylePr>
    <w:tblStylePr w:type="band1Horz">
      <w:pPr>
        <w:snapToGrid/>
      </w:p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3">
    <w:name w:val="Plain Table 3"/>
    <w:basedOn w:val="TableNormal"/>
    <w:uiPriority w:val="99"/>
    <w:tblPr>
      <w:tblStyleRowBandSize w:val="1"/>
      <w:tblStyleColBandSize w:val="1"/>
    </w:tblPr>
    <w:tblStylePr w:type="firstRow">
      <w:pPr>
        <w:snapToGrid/>
      </w:pPr>
      <w:rPr>
        <w:b/>
        <w:caps/>
        <w:color w:val="404040"/>
      </w:rPr>
      <w:tblPr/>
      <w:tcPr>
        <w:tcBorders>
          <w:top w:val="nil"/>
          <w:left w:val="nil"/>
          <w:bottom w:val="single" w:sz="4" w:space="0" w:color="404040"/>
          <w:right w:val="nil"/>
        </w:tcBorders>
      </w:tcPr>
    </w:tblStylePr>
    <w:tblStylePr w:type="lastRow">
      <w:pPr>
        <w:snapToGrid/>
      </w:pPr>
      <w:rPr>
        <w:b/>
        <w:caps/>
        <w:color w:val="404040"/>
      </w:rPr>
    </w:tblStylePr>
    <w:tblStylePr w:type="firstCol">
      <w:pPr>
        <w:snapToGrid/>
      </w:pPr>
      <w:rPr>
        <w:b/>
        <w:caps/>
        <w:color w:val="404040"/>
      </w:rPr>
      <w:tblPr/>
      <w:tcPr>
        <w:tcBorders>
          <w:top w:val="nil"/>
          <w:left w:val="nil"/>
          <w:bottom w:val="nil"/>
          <w:right w:val="single" w:sz="4" w:space="0" w:color="404040"/>
        </w:tcBorders>
      </w:tcPr>
    </w:tblStylePr>
    <w:tblStylePr w:type="lastCol">
      <w:pPr>
        <w:snapToGrid/>
      </w:pPr>
      <w:rPr>
        <w:b/>
        <w:caps/>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4">
    <w:name w:val="Plain Table 4"/>
    <w:basedOn w:val="TableNormal"/>
    <w:uiPriority w:val="99"/>
    <w:tblPr>
      <w:tblStyleRowBandSize w:val="1"/>
      <w:tblStyleColBandSize w:val="1"/>
    </w:tblPr>
    <w:tblStylePr w:type="firstRow">
      <w:pPr>
        <w:snapToGrid/>
      </w:pPr>
      <w:rPr>
        <w:b/>
        <w:color w:val="404040"/>
      </w:r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PlainTable5">
    <w:name w:val="Plain Table 5"/>
    <w:basedOn w:val="TableNormal"/>
    <w:uiPriority w:val="99"/>
    <w:tblPr>
      <w:tblStyleRowBandSize w:val="1"/>
      <w:tblStyleColBandSize w:val="1"/>
    </w:tblPr>
    <w:tblStylePr w:type="firstRow">
      <w:pPr>
        <w:snapToGrid/>
      </w:pPr>
      <w:rPr>
        <w:i/>
        <w:color w:val="404040"/>
      </w:rPr>
      <w:tblPr/>
      <w:tcPr>
        <w:tcBorders>
          <w:left w:val="nil"/>
          <w:bottom w:val="single" w:sz="4" w:space="0" w:color="404040"/>
          <w:right w:val="nil"/>
        </w:tcBorders>
        <w:shd w:val="clear" w:color="FFFFFF" w:fill="FFFFFF"/>
      </w:tcPr>
    </w:tblStylePr>
    <w:tblStylePr w:type="lastRow">
      <w:pPr>
        <w:snapToGrid/>
      </w:pPr>
      <w:rPr>
        <w:i/>
        <w:color w:val="404040"/>
      </w:rPr>
      <w:tblPr/>
      <w:tcPr>
        <w:tcBorders>
          <w:top w:val="single" w:sz="4" w:space="0" w:color="404040"/>
          <w:left w:val="nil"/>
          <w:right w:val="nil"/>
        </w:tcBorders>
        <w:shd w:val="clear" w:color="FFFFFF" w:fill="FFFFFF"/>
      </w:tcPr>
    </w:tblStylePr>
    <w:tblStylePr w:type="firstCol">
      <w:pPr>
        <w:snapToGrid/>
        <w:jc w:val="right"/>
      </w:pPr>
      <w:rPr>
        <w:i/>
        <w:color w:val="404040"/>
      </w:rPr>
      <w:tblPr/>
      <w:tcPr>
        <w:tcBorders>
          <w:right w:val="single" w:sz="4" w:space="0" w:color="404040"/>
        </w:tcBorders>
        <w:shd w:val="clear" w:color="FFFFFF" w:fill="FFFFFF"/>
      </w:tcPr>
    </w:tblStylePr>
    <w:tblStylePr w:type="lastCol">
      <w:pPr>
        <w:snapToGrid/>
      </w:pPr>
      <w:rPr>
        <w:i/>
        <w:color w:val="404040"/>
      </w:rPr>
      <w:tblPr/>
      <w:tcPr>
        <w:tcBorders>
          <w:left w:val="single" w:sz="4" w:space="0" w:color="404040"/>
        </w:tcBorders>
        <w:shd w:val="clear" w:color="FFFFFF" w:fill="FFFFFF"/>
      </w:tcPr>
    </w:tblStylePr>
    <w:tblStylePr w:type="band1Vert">
      <w:pPr>
        <w:snapToGrid/>
      </w:pPr>
      <w:rPr>
        <w:rFonts w:ascii="Arial" w:hAnsi="Arial"/>
        <w:color w:val="404040"/>
        <w:sz w:val="22"/>
      </w:rPr>
      <w:tblPr/>
      <w:tcPr>
        <w:shd w:val="clear" w:color="F2F2F2" w:fill="F2F2F2" w:themeFill="text1" w:themeFillTint="0D"/>
      </w:tcPr>
    </w:tblStylePr>
    <w:tblStylePr w:type="band2Vert">
      <w:pPr>
        <w:snapToGrid/>
      </w:pPr>
    </w:tblStylePr>
    <w:tblStylePr w:type="band1Horz">
      <w:pPr>
        <w:snapToGrid/>
      </w:pPr>
      <w:rPr>
        <w:rFonts w:ascii="Arial" w:hAnsi="Arial"/>
        <w:color w:val="404040"/>
        <w:sz w:val="22"/>
      </w:rPr>
      <w:tblPr/>
      <w:tcPr>
        <w:shd w:val="clear" w:color="F2F2F2" w:fill="F2F2F2" w:themeFill="text1" w:themeFillTint="0D"/>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pPr>
        <w:snapToGrid/>
      </w:pPr>
      <w:rPr>
        <w:b/>
        <w:color w:val="404040"/>
      </w:rPr>
      <w:tblPr/>
      <w:tcPr>
        <w:tcBorders>
          <w:bottom w:val="single" w:sz="12" w:space="0" w:color="6A6A6A" w:themeColor="text1" w:themeTint="95"/>
        </w:tcBorders>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tblStylePr>
    <w:tblStylePr w:type="band2Vert">
      <w:pPr>
        <w:snapToGrid/>
      </w:pPr>
    </w:tblStylePr>
    <w:tblStylePr w:type="band1Horz">
      <w:pPr>
        <w:snapToGrid/>
      </w:pPr>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single" w:sz="12" w:space="0" w:color="6A6A6A" w:themeColor="text1" w:themeTint="95"/>
          <w:right w:val="nil"/>
        </w:tcBorders>
        <w:shd w:val="clear" w:color="FFFFFF" w:fill="FFFFFF"/>
      </w:tcPr>
    </w:tblStylePr>
    <w:tblStylePr w:type="lastRow">
      <w:pPr>
        <w:snapToGrid/>
      </w:pPr>
      <w:rPr>
        <w:b/>
        <w:color w:val="404040"/>
      </w:rPr>
      <w:tblPr/>
      <w:tcPr>
        <w:tcBorders>
          <w:top w:val="single" w:sz="4" w:space="0" w:color="6A6A6A" w:themeColor="text1" w:themeTint="95"/>
          <w:left w:val="nil"/>
          <w:bottom w:val="nil"/>
          <w:right w:val="nil"/>
        </w:tcBorders>
        <w:shd w:val="clear" w:color="FFFFFF" w:fill="FFFFFF"/>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pPr>
        <w:snapToGrid/>
      </w:pPr>
      <w:rPr>
        <w:b/>
        <w:color w:val="404040"/>
      </w:rPr>
      <w:tblPr/>
      <w:tcPr>
        <w:tcBorders>
          <w:top w:val="nil"/>
          <w:left w:val="nil"/>
          <w:bottom w:val="nil"/>
          <w:right w:val="nil"/>
        </w:tcBorders>
        <w:shd w:val="clear" w:color="FFFFFF" w:fill="FFFFFF"/>
      </w:tcPr>
    </w:tblStylePr>
    <w:tblStylePr w:type="lastRow">
      <w:pPr>
        <w:snapToGrid/>
      </w:pPr>
      <w:rPr>
        <w:b/>
        <w:color w:val="404040"/>
      </w:rPr>
      <w:tblPr/>
      <w:tcPr>
        <w:tcBorders>
          <w:top w:val="nil"/>
          <w:left w:val="nil"/>
          <w:bottom w:val="nil"/>
          <w:right w:val="nil"/>
        </w:tcBorders>
        <w:shd w:val="clear" w:color="FFFFFF" w:fill="FFFFFF"/>
      </w:tcPr>
    </w:tblStylePr>
    <w:tblStylePr w:type="firstCol">
      <w:pPr>
        <w:snapToGrid/>
        <w:jc w:val="right"/>
      </w:pPr>
      <w:rPr>
        <w:i/>
        <w:color w:val="404040"/>
      </w:rPr>
      <w:tblPr/>
      <w:tcPr>
        <w:tcBorders>
          <w:top w:val="nil"/>
          <w:left w:val="nil"/>
          <w:bottom w:val="nil"/>
          <w:right w:val="nil"/>
        </w:tcBorders>
        <w:shd w:val="clear" w:color="FFFFFF" w:fill="FFFFFF"/>
      </w:tcPr>
    </w:tblStylePr>
    <w:tblStylePr w:type="lastCol">
      <w:pPr>
        <w:snapToGrid/>
      </w:pPr>
      <w:rPr>
        <w:i/>
        <w:color w:val="404040"/>
      </w:rPr>
      <w:tblPr/>
      <w:tcPr>
        <w:tcBorders>
          <w:top w:val="nil"/>
          <w:left w:val="nil"/>
          <w:bottom w:val="nil"/>
          <w:right w:val="nil"/>
        </w:tcBorders>
        <w:shd w:val="clear" w:color="FFFFFF" w:fill="FFFFFF"/>
      </w:tc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pPr>
        <w:snapToGrid/>
      </w:pPr>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pPr>
        <w:snapToGrid/>
      </w:pPr>
      <w:rPr>
        <w:b/>
        <w:color w:val="404040"/>
      </w:rPr>
      <w:tblPr/>
      <w:tcPr>
        <w:tcBorders>
          <w:top w:val="single" w:sz="4" w:space="0" w:color="000000" w:themeColor="text1"/>
        </w:tcBorders>
      </w:tc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CBCBCB" w:fill="CBCBCB" w:themeFill="text1" w:themeFillTint="34"/>
      </w:tcPr>
    </w:tblStylePr>
    <w:tblStylePr w:type="band2Vert">
      <w:pPr>
        <w:snapToGrid/>
      </w:pPr>
    </w:tblStylePr>
    <w:tblStylePr w:type="band1Horz">
      <w:pPr>
        <w:snapToGrid/>
      </w:pPr>
      <w:rPr>
        <w:rFonts w:ascii="Arial" w:hAnsi="Arial"/>
        <w:color w:val="404040"/>
        <w:sz w:val="22"/>
      </w:rPr>
      <w:tblPr/>
      <w:tcPr>
        <w:shd w:val="clear" w:color="CBCBCB" w:fill="CBCBCB" w:themeFill="text1" w:themeFillTint="34"/>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pPr>
        <w:snapToGrid/>
      </w:pPr>
      <w:rPr>
        <w:rFonts w:ascii="Arial" w:hAnsi="Arial"/>
        <w:b/>
        <w:color w:val="FFFFFF"/>
        <w:sz w:val="22"/>
      </w:rPr>
      <w:tblPr/>
      <w:tcPr>
        <w:shd w:val="clear" w:color="000000" w:fill="000000" w:themeFill="text1"/>
      </w:tcPr>
    </w:tblStylePr>
    <w:tblStylePr w:type="lastRow">
      <w:pPr>
        <w:snapToGrid/>
      </w:pPr>
      <w:rPr>
        <w:rFonts w:ascii="Arial" w:hAnsi="Arial"/>
        <w:b/>
        <w:color w:val="FFFFFF"/>
        <w:sz w:val="22"/>
      </w:rPr>
      <w:tblPr/>
      <w:tcPr>
        <w:tcBorders>
          <w:top w:val="single" w:sz="4" w:space="0" w:color="FFFFFF" w:themeColor="light1"/>
        </w:tcBorders>
        <w:shd w:val="clear" w:color="000000" w:fill="000000" w:themeFill="text1"/>
      </w:tcPr>
    </w:tblStylePr>
    <w:tblStylePr w:type="firstCol">
      <w:pPr>
        <w:snapToGrid/>
      </w:pPr>
      <w:rPr>
        <w:rFonts w:ascii="Arial" w:hAnsi="Arial"/>
        <w:b/>
        <w:color w:val="FFFFFF"/>
        <w:sz w:val="22"/>
      </w:rPr>
      <w:tblPr/>
      <w:tcPr>
        <w:shd w:val="clear" w:color="000000" w:fill="000000" w:themeFill="text1"/>
      </w:tcPr>
    </w:tblStylePr>
    <w:tblStylePr w:type="lastCol">
      <w:pPr>
        <w:snapToGrid/>
      </w:pPr>
      <w:rPr>
        <w:rFonts w:ascii="Arial" w:hAnsi="Arial"/>
        <w:b/>
        <w:color w:val="FFFFFF"/>
        <w:sz w:val="22"/>
      </w:rPr>
      <w:tblPr/>
      <w:tcPr>
        <w:shd w:val="clear" w:color="000000" w:fill="000000" w:themeFill="text1"/>
      </w:tcPr>
    </w:tblStylePr>
    <w:tblStylePr w:type="band1Vert">
      <w:pPr>
        <w:snapToGrid/>
      </w:pPr>
      <w:tblPr/>
      <w:tcPr>
        <w:shd w:val="clear" w:color="8A8A8A" w:fill="8A8A8A" w:themeFill="text1" w:themeFillTint="75"/>
      </w:tcPr>
    </w:tblStylePr>
    <w:tblStylePr w:type="band2Vert">
      <w:pPr>
        <w:snapToGrid/>
      </w:pPr>
    </w:tblStylePr>
    <w:tblStylePr w:type="band1Horz">
      <w:pPr>
        <w:snapToGrid/>
      </w:pPr>
      <w:tblPr/>
      <w:tcPr>
        <w:shd w:val="clear" w:color="8A8A8A" w:fill="8A8A8A" w:themeFill="text1" w:themeFillTint="75"/>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b/>
        <w:color w:val="7F7F7F" w:themeColor="text1" w:themeShade="95" w:themeTint="80"/>
      </w:rPr>
      <w:tblPr/>
      <w:tcPr>
        <w:tcBorders>
          <w:bottom w:val="single" w:sz="12" w:space="0" w:color="7F7F7F" w:themeColor="text1" w:themeTint="80"/>
        </w:tcBorders>
      </w:tcPr>
    </w:tblStylePr>
    <w:tblStylePr w:type="lastRow">
      <w:pPr>
        <w:snapToGrid/>
      </w:pPr>
      <w:rPr>
        <w:b/>
        <w:color w:val="7F7F7F" w:themeColor="text1" w:themeShade="95" w:themeTint="80"/>
      </w:rPr>
    </w:tblStylePr>
    <w:tblStylePr w:type="firstCol">
      <w:pPr>
        <w:snapToGrid/>
      </w:pPr>
      <w:rPr>
        <w:b/>
        <w:color w:val="7F7F7F" w:themeColor="text1" w:themeShade="95" w:themeTint="80"/>
      </w:rPr>
    </w:tblStylePr>
    <w:tblStylePr w:type="lastCol">
      <w:pPr>
        <w:snapToGrid/>
      </w:pPr>
      <w:rPr>
        <w:b/>
        <w:color w:val="7F7F7F" w:themeColor="text1" w:themeShade="95" w:themeTint="80"/>
      </w:rPr>
    </w:tblStylePr>
    <w:tblStylePr w:type="band1Vert">
      <w:pPr>
        <w:snapToGrid/>
      </w:pPr>
      <w:tblPr/>
      <w:tcPr>
        <w:shd w:val="clear" w:color="CBCBCB" w:fill="CBCBCB" w:themeFill="text1" w:themeFillTint="34"/>
      </w:tcPr>
    </w:tblStylePr>
    <w:tblStylePr w:type="band2Vert">
      <w:pPr>
        <w:snapToGrid/>
      </w:pPr>
    </w:tblStylePr>
    <w:tblStylePr w:type="band1Horz">
      <w:pPr>
        <w:snapToGrid/>
      </w:pPr>
      <w:rPr>
        <w:rFonts w:ascii="Arial" w:hAnsi="Arial"/>
        <w:color w:val="7F7F7F" w:themeColor="text1" w:themeShade="95" w:themeTint="80"/>
        <w:sz w:val="22"/>
      </w:rPr>
      <w:tblPr/>
      <w:tcPr>
        <w:shd w:val="clear" w:color="CBCBCB" w:fill="CBCBCB" w:themeFill="text1" w:themeFillTint="34"/>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pPr>
        <w:snapToGrid/>
      </w:pPr>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F2F2F2" w:fill="F2F2F2" w:themeFill="text1" w:themeFillTint="0D"/>
      </w:tcPr>
    </w:tblStylePr>
    <w:tblStylePr w:type="band2Vert">
      <w:pPr>
        <w:snapToGrid/>
      </w:pPr>
    </w:tblStylePr>
    <w:tblStylePr w:type="band1Horz">
      <w:pPr>
        <w:snapToGrid/>
      </w:pPr>
      <w:rPr>
        <w:rFonts w:ascii="Arial" w:hAnsi="Arial"/>
        <w:color w:val="7F7F7F" w:themeColor="text1" w:themeShade="95" w:themeTint="80"/>
        <w:sz w:val="22"/>
      </w:rPr>
      <w:tblPr/>
      <w:tcPr>
        <w:shd w:val="clear" w:color="F2F2F2" w:fill="F2F2F2" w:themeFill="text1" w:themeFillTint="0D"/>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1Light">
    <w:name w:val="List Table 1 Light"/>
    <w:basedOn w:val="TableNormal"/>
    <w:uiPriority w:val="99"/>
    <w:tblPr>
      <w:tblStyleRowBandSize w:val="1"/>
      <w:tblStyleColBandSize w:val="1"/>
    </w:tblPr>
    <w:tblStylePr w:type="firstRow">
      <w:pPr>
        <w:snapToGrid/>
      </w:pPr>
      <w:rPr>
        <w:b/>
        <w:color w:val="404040"/>
      </w:rPr>
      <w:tblPr/>
      <w:tcPr>
        <w:tcBorders>
          <w:top w:val="nil"/>
          <w:left w:val="nil"/>
          <w:bottom w:val="single" w:sz="4" w:space="0" w:color="000000" w:themeColor="text1"/>
          <w:right w:val="nil"/>
        </w:tcBorders>
      </w:tcPr>
    </w:tblStylePr>
    <w:tblStylePr w:type="lastRow">
      <w:pPr>
        <w:snapToGrid/>
      </w:pPr>
      <w:rPr>
        <w:b/>
        <w:color w:val="404040"/>
      </w:rPr>
      <w:tblPr/>
      <w:tcPr>
        <w:tcBorders>
          <w:top w:val="single" w:sz="4" w:space="0" w:color="000000" w:themeColor="text1"/>
          <w:left w:val="nil"/>
          <w:bottom w:val="nil"/>
          <w:right w:val="nil"/>
        </w:tcBorders>
      </w:tcPr>
    </w:tblStylePr>
    <w:tblStylePr w:type="firstCol">
      <w:pPr>
        <w:snapToGrid/>
      </w:pPr>
      <w:rPr>
        <w:b/>
        <w:color w:val="404040"/>
      </w:rPr>
    </w:tblStylePr>
    <w:tblStylePr w:type="lastCol">
      <w:pPr>
        <w:snapToGrid/>
      </w:pPr>
      <w:rPr>
        <w:b/>
        <w:color w:val="404040"/>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pPr>
        <w:snapToGrid/>
      </w:pPr>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pPr>
        <w:snapToGrid/>
      </w:pPr>
      <w:rPr>
        <w:rFonts w:ascii="Arial" w:hAnsi="Arial"/>
        <w:b/>
        <w:color w:val="404040"/>
        <w:sz w:val="22"/>
      </w:rPr>
    </w:tblStylePr>
    <w:tblStylePr w:type="lastCol">
      <w:pPr>
        <w:snapToGrid/>
      </w:pPr>
      <w:rPr>
        <w:rFonts w:ascii="Arial" w:hAnsi="Arial"/>
        <w:b/>
        <w:color w:val="404040"/>
        <w:sz w:val="22"/>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tcBorders>
          <w:left w:val="single" w:sz="4" w:space="0" w:color="000000" w:themeColor="text1"/>
          <w:right w:val="single" w:sz="4" w:space="0" w:color="000000" w:themeColor="text1"/>
        </w:tcBorders>
      </w:tcPr>
    </w:tblStylePr>
    <w:tblStylePr w:type="band2Vert">
      <w:pPr>
        <w:snapToGrid/>
      </w:pPr>
    </w:tblStylePr>
    <w:tblStylePr w:type="band1Horz">
      <w:pPr>
        <w:snapToGrid/>
      </w:pPr>
      <w:rPr>
        <w:rFonts w:ascii="Arial" w:hAnsi="Arial"/>
        <w:color w:val="404040"/>
        <w:sz w:val="22"/>
      </w:rPr>
      <w:tblPr/>
      <w:tcPr>
        <w:tcBorders>
          <w:top w:val="single" w:sz="4" w:space="0" w:color="000000" w:themeColor="text1"/>
          <w:bottom w:val="single" w:sz="4" w:space="0" w:color="000000" w:themeColor="text1"/>
        </w:tcBorders>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pPr>
        <w:snapToGrid/>
      </w:pPr>
      <w:rPr>
        <w:rFonts w:ascii="Arial" w:hAnsi="Arial"/>
        <w:b/>
        <w:color w:val="FFFFFF"/>
        <w:sz w:val="22"/>
      </w:rPr>
      <w:tblPr/>
      <w:tcPr>
        <w:shd w:val="clear" w:color="000000" w:fill="000000" w:themeFill="text1"/>
      </w:tcPr>
    </w:tblStylePr>
    <w:tblStylePr w:type="lastRow">
      <w:pPr>
        <w:snapToGrid/>
      </w:pPr>
      <w:rPr>
        <w:b/>
        <w:color w:val="404040"/>
      </w:rPr>
    </w:tblStylePr>
    <w:tblStylePr w:type="firstCol">
      <w:pPr>
        <w:snapToGrid/>
      </w:pPr>
      <w:rPr>
        <w:b/>
        <w:color w:val="404040"/>
      </w:rPr>
    </w:tblStylePr>
    <w:tblStylePr w:type="lastCol">
      <w:pPr>
        <w:snapToGrid/>
      </w:pPr>
      <w:rPr>
        <w:b/>
        <w:color w:val="404040"/>
      </w:rPr>
    </w:tblStylePr>
    <w:tblStylePr w:type="band1Vert">
      <w:pPr>
        <w:snapToGrid/>
      </w:pPr>
      <w:rPr>
        <w:rFonts w:ascii="Arial" w:hAnsi="Arial"/>
        <w:color w:val="404040"/>
        <w:sz w:val="22"/>
      </w:rPr>
      <w:tblPr/>
      <w:tcPr>
        <w:shd w:val="clear" w:color="BFBFBF" w:fill="BFBFBF" w:themeFill="text1" w:themeFillTint="40"/>
      </w:tcPr>
    </w:tblStylePr>
    <w:tblStylePr w:type="band2Vert">
      <w:pPr>
        <w:snapToGrid/>
      </w:pPr>
    </w:tblStylePr>
    <w:tblStylePr w:type="band1Horz">
      <w:pPr>
        <w:snapToGrid/>
      </w:pPr>
      <w:rPr>
        <w:rFonts w:ascii="Arial" w:hAnsi="Arial"/>
        <w:color w:val="404040"/>
        <w:sz w:val="22"/>
      </w:rPr>
      <w:tblPr/>
      <w:tcPr>
        <w:shd w:val="clear" w:color="BFBFBF" w:fill="BFBFBF" w:themeFill="text1" w:themeFillTint="40"/>
      </w:tcPr>
    </w:tblStylePr>
    <w:tblStylePr w:type="band2Horz">
      <w:pPr>
        <w:snapToGrid/>
      </w:p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pPr>
        <w:snapToGrid/>
      </w:pPr>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pPr>
        <w:snapToGrid/>
      </w:pPr>
      <w:rPr>
        <w:rFonts w:ascii="Arial" w:hAnsi="Arial"/>
        <w:b/>
        <w:color w:val="FFFFFF" w:themeColor="light1"/>
        <w:sz w:val="22"/>
      </w:rPr>
    </w:tblStylePr>
    <w:tblStylePr w:type="firstCol">
      <w:pPr>
        <w:snapToGrid/>
      </w:pPr>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pPr>
        <w:snapToGrid/>
      </w:pPr>
      <w:tblPr/>
      <w:tcPr>
        <w:tcBorders>
          <w:left w:val="single" w:sz="4" w:space="0" w:color="FFFFFF" w:themeColor="light1"/>
          <w:right w:val="single" w:sz="32" w:space="0" w:color="7F7F7F" w:themeColor="text1" w:themeTint="80"/>
        </w:tcBorders>
      </w:tcPr>
    </w:tblStylePr>
    <w:tblStylePr w:type="band1Vert">
      <w:pPr>
        <w:snapToGrid/>
      </w:pPr>
      <w:tblPr/>
      <w:tcPr>
        <w:tcBorders>
          <w:left w:val="single" w:sz="4" w:space="0" w:color="FFFFFF" w:themeColor="light1"/>
          <w:right w:val="single" w:sz="4" w:space="0" w:color="FFFFFF" w:themeColor="light1"/>
        </w:tcBorders>
        <w:shd w:val="clear" w:color="7F7F7F" w:fill="7F7F7F" w:themeFill="text1" w:themeFillTint="80"/>
      </w:tcPr>
    </w:tblStylePr>
    <w:tblStylePr w:type="band2Vert">
      <w:pPr>
        <w:snapToGrid/>
      </w:pPr>
      <w:tblPr/>
      <w:tcPr>
        <w:tcBorders>
          <w:left w:val="single" w:sz="4" w:space="0" w:color="FFFFFF" w:themeColor="light1"/>
          <w:right w:val="single" w:sz="4" w:space="0" w:color="FFFFFF" w:themeColor="light1"/>
        </w:tcBorders>
      </w:tcPr>
    </w:tblStylePr>
    <w:tblStylePr w:type="band1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band2Horz">
      <w:pPr>
        <w:snapToGrid/>
      </w:pPr>
      <w:tblPr/>
      <w:tcPr>
        <w:tcBorders>
          <w:top w:val="single" w:sz="4" w:space="0" w:color="FFFFFF" w:themeColor="light1"/>
          <w:bottom w:val="single" w:sz="4" w:space="0" w:color="FFFFFF" w:themeColor="light1"/>
        </w:tcBorders>
        <w:shd w:val="clear" w:color="7F7F7F" w:fill="7F7F7F" w:themeFill="text1" w:themeFillTint="80"/>
      </w:tc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pPr>
        <w:snapToGrid/>
      </w:pPr>
      <w:rPr>
        <w:b/>
        <w:color w:val="000000" w:themeColor="text1"/>
      </w:rPr>
      <w:tblPr/>
      <w:tcPr>
        <w:tcBorders>
          <w:bottom w:val="single" w:sz="4" w:space="0" w:color="7F7F7F" w:themeColor="text1" w:themeTint="80"/>
        </w:tcBorders>
      </w:tcPr>
    </w:tblStylePr>
    <w:tblStylePr w:type="lastRow">
      <w:pPr>
        <w:snapToGrid/>
      </w:pPr>
      <w:rPr>
        <w:b/>
        <w:color w:val="000000" w:themeColor="text1"/>
      </w:rPr>
      <w:tblPr/>
      <w:tcPr>
        <w:tcBorders>
          <w:top w:val="single" w:sz="4" w:space="0" w:color="7F7F7F" w:themeColor="text1" w:themeTint="80"/>
        </w:tcBorders>
      </w:tcPr>
    </w:tblStylePr>
    <w:tblStylePr w:type="firstCol">
      <w:pPr>
        <w:snapToGrid/>
      </w:pPr>
      <w:rPr>
        <w:b/>
        <w:color w:val="000000" w:themeColor="text1"/>
      </w:rPr>
    </w:tblStylePr>
    <w:tblStylePr w:type="lastCol">
      <w:pPr>
        <w:snapToGrid/>
      </w:pPr>
      <w:rPr>
        <w:b/>
        <w:color w:val="000000" w:themeColor="text1"/>
      </w:r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000000" w:themeColor="text1"/>
        <w:sz w:val="22"/>
      </w:rPr>
      <w:tblPr/>
      <w:tcPr>
        <w:shd w:val="clear" w:color="BFBFBF" w:fill="BFBFBF" w:themeFill="text1" w:themeFillTint="40"/>
      </w:tcPr>
    </w:tblStylePr>
    <w:tblStylePr w:type="band2Horz">
      <w:pPr>
        <w:snapToGrid/>
      </w:pPr>
      <w:rPr>
        <w:rFonts w:ascii="Arial" w:hAnsi="Arial"/>
        <w:color w:val="000000" w:themeColor="text1"/>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pPr>
        <w:snapToGrid/>
      </w:pPr>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pPr>
        <w:snapToGrid/>
      </w:pPr>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snapToGrid/>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pPr>
        <w:snapToGrid/>
      </w:pPr>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pPr>
        <w:snapToGrid/>
      </w:pPr>
      <w:tblPr/>
      <w:tcPr>
        <w:shd w:val="clear" w:color="BFBFBF" w:fill="BFBFBF" w:themeFill="text1" w:themeFillTint="40"/>
      </w:tcPr>
    </w:tblStylePr>
    <w:tblStylePr w:type="band2Vert">
      <w:pPr>
        <w:snapToGrid/>
      </w:pPr>
    </w:tblStylePr>
    <w:tblStylePr w:type="band1Horz">
      <w:pPr>
        <w:snapToGrid/>
      </w:pPr>
      <w:rPr>
        <w:rFonts w:ascii="Arial" w:hAnsi="Arial"/>
        <w:color w:val="7F7F7F" w:themeColor="text1" w:themeShade="95" w:themeTint="80"/>
        <w:sz w:val="22"/>
      </w:rPr>
      <w:tblPr/>
      <w:tcPr>
        <w:shd w:val="clear" w:color="BFBFBF" w:fill="BFBFBF" w:themeFill="text1" w:themeFillTint="40"/>
      </w:tcPr>
    </w:tblStylePr>
    <w:tblStylePr w:type="band2Horz">
      <w:pPr>
        <w:snapToGrid/>
      </w:pPr>
      <w:rPr>
        <w:rFonts w:ascii="Arial" w:hAnsi="Arial"/>
        <w:color w:val="7F7F7F" w:themeColor="text1" w:themeShade="95" w:themeTint="80"/>
        <w:sz w:val="22"/>
      </w:rPr>
    </w:tblStylePr>
    <w:tblStylePr w:type="neCell">
      <w:pPr>
        <w:snapToGrid/>
      </w:pPr>
    </w:tblStylePr>
    <w:tblStylePr w:type="nwCell">
      <w:pPr>
        <w:snapToGrid/>
      </w:pPr>
    </w:tblStylePr>
    <w:tblStylePr w:type="seCell">
      <w:pPr>
        <w:snapToGrid/>
      </w:pPr>
    </w:tblStylePr>
    <w:tblStylePr w:type="swCell">
      <w:pPr>
        <w:snapToGrid/>
      </w:pPr>
    </w:tblStylePr>
  </w:style>
  <w:style w:type="character" w:styleId="Hyperlink">
    <w:name w:val="Hyperlink"/>
    <w:uiPriority w:val="99"/>
    <w:unhideWhenUsed/>
    <w:rPr>
      <w:color w:val="467886" w:themeColor="hyperlink"/>
      <w:u w:val="single"/>
    </w:rPr>
  </w:style>
  <w:style w:type="paragraph" w:styleId="FootnoteText">
    <w:name w:val="footnote text"/>
    <w:basedOn w:val="Normal"/>
    <w:link w:val="a5"/>
    <w:uiPriority w:val="99"/>
    <w:semiHidden/>
    <w:unhideWhenUsed/>
    <w:pPr>
      <w:spacing w:after="40"/>
    </w:pPr>
    <w:rPr>
      <w:sz w:val="18"/>
    </w:rPr>
  </w:style>
  <w:style w:type="character" w:customStyle="1" w:styleId="a5">
    <w:name w:val="脚注文本 字符"/>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a6"/>
    <w:uiPriority w:val="99"/>
    <w:semiHidden/>
    <w:unhideWhenUsed/>
    <w:rPr>
      <w:sz w:val="20"/>
    </w:rPr>
  </w:style>
  <w:style w:type="character" w:customStyle="1" w:styleId="a6">
    <w:name w:val="尾注文本 字符"/>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webSetting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2052-11.8.2.1111</vt:lpwstr>
  </property>
</Properties>
</file>