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12.0 -->
  <w:body>
    <w:p w:rsidR="005C6370" w:rsidP="00A24D29" w14:paraId="5E900C7B" w14:textId="77777777">
      <w:pPr>
        <w:snapToGrid w:val="0"/>
        <w:spacing w:line="360" w:lineRule="auto"/>
        <w:contextualSpacing/>
        <w:jc w:val="left"/>
        <w:rPr>
          <w:rFonts w:ascii="宋体" w:hAnsi="Calibri"/>
          <w:szCs w:val="21"/>
        </w:rPr>
      </w:pPr>
    </w:p>
    <w:p w:rsidR="005C6370" w:rsidP="00A24D29" w14:paraId="573BAF50" w14:textId="77777777">
      <w:pPr>
        <w:tabs>
          <w:tab w:val="left" w:pos="1890"/>
        </w:tabs>
        <w:contextualSpacing/>
        <w:rPr>
          <w:rFonts w:ascii="宋体" w:hAnsi="Calibri"/>
          <w:i/>
          <w:iCs/>
          <w:sz w:val="28"/>
          <w:szCs w:val="28"/>
        </w:rPr>
      </w:pPr>
    </w:p>
    <w:p w:rsidR="005C6370" w:rsidP="00A24D29" w14:paraId="27C167BB" w14:textId="77777777">
      <w:pPr>
        <w:spacing w:line="360" w:lineRule="auto"/>
        <w:ind w:firstLine="881"/>
        <w:contextualSpacing/>
        <w:jc w:val="center"/>
        <w:rPr>
          <w:rFonts w:ascii="宋体" w:hAnsi="Calibri"/>
          <w:b/>
          <w:sz w:val="44"/>
        </w:rPr>
      </w:pPr>
    </w:p>
    <w:p w:rsidR="005C6370" w:rsidP="00A24D29" w14:paraId="41B53857" w14:textId="77777777">
      <w:pPr>
        <w:spacing w:line="360" w:lineRule="auto"/>
        <w:ind w:firstLine="881"/>
        <w:contextualSpacing/>
        <w:jc w:val="center"/>
        <w:rPr>
          <w:rFonts w:ascii="宋体" w:hAnsi="Calibri"/>
          <w:b/>
          <w:sz w:val="44"/>
        </w:rPr>
      </w:pPr>
    </w:p>
    <w:p w:rsidR="005C6370" w:rsidP="00A24D29" w14:paraId="603F3F6A" w14:textId="77777777">
      <w:pPr>
        <w:spacing w:line="360" w:lineRule="auto"/>
        <w:ind w:firstLine="881"/>
        <w:contextualSpacing/>
        <w:jc w:val="center"/>
        <w:rPr>
          <w:rFonts w:ascii="宋体" w:hAnsi="Calibri"/>
          <w:b/>
          <w:sz w:val="44"/>
        </w:rPr>
      </w:pPr>
    </w:p>
    <w:p w:rsidR="005C6370" w:rsidP="00A24D29" w14:paraId="7570AF3B" w14:textId="77777777">
      <w:pPr>
        <w:spacing w:line="360" w:lineRule="auto"/>
        <w:ind w:firstLine="881"/>
        <w:contextualSpacing/>
        <w:jc w:val="center"/>
        <w:rPr>
          <w:rFonts w:ascii="宋体" w:hAnsi="Calibri"/>
          <w:b/>
          <w:sz w:val="44"/>
        </w:rPr>
      </w:pPr>
    </w:p>
    <w:p w:rsidR="005C6370" w:rsidP="00A24D29" w14:paraId="7EFF4F95" w14:textId="77777777">
      <w:pPr>
        <w:spacing w:line="360" w:lineRule="auto"/>
        <w:ind w:hanging="141"/>
        <w:contextualSpacing/>
        <w:jc w:val="center"/>
        <w:rPr>
          <w:rFonts w:ascii="宋体" w:hAnsi="Calibri"/>
          <w:b/>
          <w:sz w:val="44"/>
          <w:lang w:eastAsia="zh-CN"/>
        </w:rPr>
      </w:pPr>
      <w:r>
        <w:rPr>
          <w:rFonts w:ascii="宋体" w:hAnsi="Calibri" w:hint="eastAsia"/>
          <w:b/>
          <w:sz w:val="44"/>
          <w:szCs w:val="44"/>
          <w:lang w:eastAsia="zh-CN"/>
        </w:rPr>
        <w:t>易方达如意盈越3个月持有期混合型基金中基金（FOF）</w:t>
      </w:r>
      <w:r>
        <w:rPr>
          <w:rFonts w:ascii="宋体" w:hAnsi="Calibri" w:hint="eastAsia"/>
          <w:b/>
          <w:sz w:val="44"/>
          <w:szCs w:val="44"/>
          <w:highlight w:val="white"/>
          <w:lang w:eastAsia="zh-CN"/>
        </w:rPr>
        <w:t>招募说明书</w:t>
      </w:r>
    </w:p>
    <w:p w:rsidR="005C6370" w:rsidP="00A24D29" w14:paraId="239D0FBA" w14:textId="77777777">
      <w:pPr>
        <w:spacing w:line="360" w:lineRule="auto"/>
        <w:ind w:left="1680" w:firstLine="181"/>
        <w:contextualSpacing/>
        <w:rPr>
          <w:rFonts w:ascii="宋体" w:hAnsi="Calibri"/>
          <w:sz w:val="30"/>
          <w:szCs w:val="30"/>
          <w:lang w:eastAsia="zh-CN"/>
        </w:rPr>
      </w:pPr>
    </w:p>
    <w:p w:rsidR="005C6370" w:rsidP="00A24D29" w14:paraId="5B710B24" w14:textId="77777777">
      <w:pPr>
        <w:spacing w:line="360" w:lineRule="auto"/>
        <w:ind w:left="1680" w:firstLine="181"/>
        <w:contextualSpacing/>
        <w:rPr>
          <w:rFonts w:ascii="宋体" w:hAnsi="Calibri"/>
          <w:sz w:val="30"/>
          <w:szCs w:val="30"/>
          <w:lang w:eastAsia="zh-CN"/>
        </w:rPr>
      </w:pPr>
    </w:p>
    <w:p w:rsidR="005C6370" w:rsidP="00A24D29" w14:paraId="1AC5433D" w14:textId="77777777">
      <w:pPr>
        <w:spacing w:line="360" w:lineRule="auto"/>
        <w:ind w:left="1680"/>
        <w:contextualSpacing/>
        <w:rPr>
          <w:rFonts w:ascii="宋体" w:hAnsi="Calibri"/>
          <w:sz w:val="30"/>
          <w:szCs w:val="30"/>
          <w:lang w:eastAsia="zh-CN"/>
        </w:rPr>
      </w:pPr>
    </w:p>
    <w:p w:rsidR="005C6370" w:rsidP="00A24D29" w14:paraId="1CB148DD" w14:textId="77777777">
      <w:pPr>
        <w:spacing w:line="360" w:lineRule="auto"/>
        <w:ind w:left="1680"/>
        <w:contextualSpacing/>
        <w:rPr>
          <w:rFonts w:ascii="宋体" w:hAnsi="Calibri"/>
          <w:sz w:val="30"/>
          <w:szCs w:val="30"/>
          <w:lang w:eastAsia="zh-CN"/>
        </w:rPr>
      </w:pPr>
    </w:p>
    <w:p w:rsidR="005C6370" w:rsidP="00A24D29" w14:paraId="5845079F" w14:textId="77777777">
      <w:pPr>
        <w:spacing w:line="360" w:lineRule="auto"/>
        <w:ind w:left="1680"/>
        <w:contextualSpacing/>
        <w:rPr>
          <w:rFonts w:ascii="宋体" w:hAnsi="Calibri"/>
          <w:sz w:val="30"/>
          <w:szCs w:val="30"/>
          <w:lang w:eastAsia="zh-CN"/>
        </w:rPr>
      </w:pPr>
    </w:p>
    <w:p w:rsidR="005C6370" w:rsidP="00A24D29" w14:paraId="6B424796" w14:textId="77777777">
      <w:pPr>
        <w:spacing w:line="360" w:lineRule="auto"/>
        <w:ind w:left="1680"/>
        <w:contextualSpacing/>
        <w:rPr>
          <w:rFonts w:ascii="宋体" w:hAnsi="Calibri"/>
          <w:sz w:val="30"/>
          <w:szCs w:val="30"/>
          <w:lang w:eastAsia="zh-CN"/>
        </w:rPr>
      </w:pPr>
    </w:p>
    <w:p w:rsidR="005C6370" w:rsidP="00A24D29" w14:paraId="68C123C0" w14:textId="77777777">
      <w:pPr>
        <w:spacing w:line="360" w:lineRule="auto"/>
        <w:ind w:left="1679" w:hanging="238"/>
        <w:contextualSpacing/>
        <w:rPr>
          <w:rFonts w:ascii="宋体" w:hAnsi="Calibri"/>
          <w:b/>
          <w:sz w:val="32"/>
          <w:szCs w:val="32"/>
          <w:lang w:eastAsia="zh-CN"/>
        </w:rPr>
      </w:pPr>
      <w:r>
        <w:rPr>
          <w:rFonts w:ascii="宋体" w:hAnsi="Calibri" w:hint="eastAsia"/>
          <w:b/>
          <w:sz w:val="32"/>
          <w:szCs w:val="32"/>
          <w:highlight w:val="white"/>
          <w:lang w:eastAsia="zh-CN"/>
        </w:rPr>
        <w:t>基金管理人：易方达基金管理有限公司</w:t>
      </w:r>
    </w:p>
    <w:p w:rsidR="005C6370" w:rsidP="00A24D29" w14:paraId="54856A12" w14:textId="77777777">
      <w:pPr>
        <w:spacing w:line="360" w:lineRule="auto"/>
        <w:ind w:left="1438"/>
        <w:contextualSpacing/>
        <w:rPr>
          <w:rFonts w:ascii="宋体" w:hAnsi="Calibri"/>
          <w:b/>
          <w:sz w:val="32"/>
          <w:szCs w:val="32"/>
          <w:lang w:eastAsia="zh-CN"/>
        </w:rPr>
      </w:pPr>
      <w:r>
        <w:rPr>
          <w:rFonts w:ascii="宋体" w:hAnsi="Calibri" w:hint="eastAsia"/>
          <w:b/>
          <w:sz w:val="32"/>
          <w:szCs w:val="32"/>
          <w:highlight w:val="white"/>
          <w:lang w:eastAsia="zh-CN"/>
        </w:rPr>
        <w:t>基金托管人：</w:t>
      </w:r>
      <w:r>
        <w:rPr>
          <w:rFonts w:ascii="宋体" w:hAnsi="Calibri" w:hint="eastAsia"/>
          <w:b/>
          <w:sz w:val="32"/>
          <w:szCs w:val="32"/>
          <w:lang w:eastAsia="zh-CN"/>
        </w:rPr>
        <w:t>中国工商银行股份有限公司</w:t>
      </w:r>
    </w:p>
    <w:p w:rsidR="005C6370" w:rsidP="00A24D29" w14:paraId="1D430EE8" w14:textId="77777777">
      <w:pPr>
        <w:spacing w:line="360" w:lineRule="auto"/>
        <w:contextualSpacing/>
        <w:jc w:val="center"/>
        <w:rPr>
          <w:rFonts w:ascii="宋体" w:hAnsi="Calibri"/>
          <w:b/>
          <w:sz w:val="32"/>
          <w:szCs w:val="32"/>
          <w:lang w:eastAsia="zh-CN"/>
        </w:rPr>
      </w:pPr>
      <w:r>
        <w:rPr>
          <w:rFonts w:ascii="宋体" w:hAnsi="Calibri" w:hint="eastAsia"/>
          <w:b/>
          <w:sz w:val="32"/>
          <w:szCs w:val="32"/>
          <w:highlight w:val="white"/>
          <w:lang w:eastAsia="zh-CN"/>
        </w:rPr>
        <w:t>二〇二</w:t>
      </w:r>
      <w:r w:rsidR="00D57CDF">
        <w:rPr>
          <w:rFonts w:ascii="宋体" w:hAnsi="Calibri" w:hint="eastAsia"/>
          <w:b/>
          <w:sz w:val="32"/>
          <w:szCs w:val="32"/>
          <w:highlight w:val="white"/>
          <w:lang w:eastAsia="zh-CN"/>
        </w:rPr>
        <w:t>六</w:t>
      </w:r>
      <w:r>
        <w:rPr>
          <w:rFonts w:ascii="宋体" w:hAnsi="Calibri" w:hint="eastAsia"/>
          <w:b/>
          <w:sz w:val="32"/>
          <w:szCs w:val="32"/>
          <w:highlight w:val="white"/>
          <w:lang w:eastAsia="zh-CN"/>
        </w:rPr>
        <w:t>年</w:t>
      </w:r>
      <w:r w:rsidR="00D57CDF">
        <w:rPr>
          <w:rFonts w:ascii="宋体" w:hAnsi="Calibri" w:hint="eastAsia"/>
          <w:b/>
          <w:sz w:val="32"/>
          <w:szCs w:val="32"/>
          <w:highlight w:val="white"/>
          <w:lang w:eastAsia="zh-CN"/>
        </w:rPr>
        <w:t>九</w:t>
      </w:r>
      <w:r>
        <w:rPr>
          <w:rFonts w:ascii="宋体" w:hAnsi="Calibri" w:hint="eastAsia"/>
          <w:b/>
          <w:sz w:val="32"/>
          <w:szCs w:val="32"/>
          <w:highlight w:val="white"/>
          <w:lang w:eastAsia="zh-CN"/>
        </w:rPr>
        <w:t>月</w:t>
      </w:r>
    </w:p>
    <w:p w:rsidR="005C6370" w:rsidP="00A24D29" w14:paraId="309F9002" w14:textId="77777777">
      <w:pPr>
        <w:widowControl/>
        <w:contextualSpacing/>
        <w:jc w:val="left"/>
        <w:rPr>
          <w:rFonts w:ascii="宋体" w:hAnsi="Calibri"/>
          <w:sz w:val="30"/>
          <w:lang w:eastAsia="zh-CN"/>
        </w:rPr>
      </w:pPr>
      <w:r>
        <w:rPr>
          <w:rFonts w:ascii="宋体" w:hAnsi="Calibri"/>
          <w:sz w:val="30"/>
          <w:highlight w:val="white"/>
          <w:lang w:eastAsia="zh-CN"/>
        </w:rPr>
        <w:br w:type="page"/>
      </w:r>
    </w:p>
    <w:p w:rsidR="005C6370" w:rsidP="00A24D29" w14:paraId="74645944" w14:textId="77777777">
      <w:pPr>
        <w:spacing w:before="447" w:after="447" w:line="320" w:lineRule="exact"/>
        <w:contextualSpacing/>
        <w:jc w:val="center"/>
        <w:rPr>
          <w:rFonts w:ascii="宋体" w:hAnsi="Calibri"/>
          <w:sz w:val="30"/>
          <w:lang w:eastAsia="zh-CN"/>
        </w:rPr>
      </w:pPr>
      <w:r>
        <w:rPr>
          <w:rFonts w:ascii="宋体" w:hAnsi="Calibri" w:hint="eastAsia"/>
          <w:sz w:val="30"/>
          <w:lang w:eastAsia="zh-CN"/>
        </w:rPr>
        <w:t>易方达如意盈越3个月持有期混合型基金中基金（FOF）</w:t>
      </w:r>
      <w:r>
        <w:rPr>
          <w:rFonts w:ascii="宋体" w:hAnsi="Calibri" w:hint="eastAsia"/>
          <w:sz w:val="30"/>
          <w:highlight w:val="white"/>
          <w:lang w:eastAsia="zh-CN"/>
        </w:rPr>
        <w:t>招募说明书</w:t>
      </w:r>
    </w:p>
    <w:p w:rsidR="005C6370" w:rsidP="00A24D29" w14:paraId="48C17CEA" w14:textId="77777777">
      <w:pPr>
        <w:spacing w:line="288" w:lineRule="auto"/>
        <w:contextualSpacing/>
        <w:jc w:val="center"/>
        <w:rPr>
          <w:rFonts w:ascii="宋体" w:hAnsi="Calibri"/>
          <w:b/>
          <w:sz w:val="28"/>
          <w:szCs w:val="28"/>
          <w:lang w:eastAsia="zh-CN"/>
        </w:rPr>
      </w:pPr>
      <w:r>
        <w:rPr>
          <w:rFonts w:ascii="宋体" w:hAnsi="Calibri" w:hint="eastAsia"/>
          <w:b/>
          <w:sz w:val="28"/>
          <w:szCs w:val="28"/>
          <w:highlight w:val="white"/>
          <w:lang w:eastAsia="zh-CN"/>
        </w:rPr>
        <w:t>重要提示</w:t>
      </w:r>
    </w:p>
    <w:p w:rsidR="005C6370" w:rsidP="00A24D29" w14:paraId="41E1F68C" w14:textId="77777777">
      <w:pPr>
        <w:snapToGrid w:val="0"/>
        <w:spacing w:line="360" w:lineRule="auto"/>
        <w:ind w:firstLine="420"/>
        <w:contextualSpacing/>
        <w:rPr>
          <w:rFonts w:ascii="宋体" w:hAnsi="Calibri"/>
          <w:b/>
          <w:szCs w:val="21"/>
          <w:lang w:eastAsia="zh-CN"/>
        </w:rPr>
      </w:pPr>
      <w:r>
        <w:rPr>
          <w:rFonts w:ascii="宋体" w:hAnsi="Calibri" w:hint="eastAsia"/>
          <w:b/>
          <w:szCs w:val="21"/>
          <w:highlight w:val="white"/>
          <w:lang w:eastAsia="zh-CN"/>
        </w:rPr>
        <w:t>1、本基金根据</w:t>
      </w:r>
      <w:r w:rsidR="007D0AC0">
        <w:rPr>
          <w:rFonts w:ascii="宋体" w:hAnsi="Calibri"/>
          <w:b/>
          <w:szCs w:val="21"/>
          <w:highlight w:val="white"/>
          <w:lang w:eastAsia="zh-CN"/>
        </w:rPr>
        <w:t>202</w:t>
      </w:r>
      <w:r w:rsidR="007D0AC0">
        <w:rPr>
          <w:rFonts w:ascii="宋体" w:hAnsi="Calibri" w:hint="eastAsia"/>
          <w:b/>
          <w:szCs w:val="21"/>
          <w:highlight w:val="white"/>
          <w:lang w:eastAsia="zh-CN"/>
        </w:rPr>
        <w:t>6</w:t>
      </w:r>
      <w:r>
        <w:rPr>
          <w:rFonts w:ascii="宋体" w:hAnsi="Calibri" w:hint="eastAsia"/>
          <w:b/>
          <w:szCs w:val="21"/>
          <w:highlight w:val="white"/>
          <w:lang w:eastAsia="zh-CN"/>
        </w:rPr>
        <w:t>年</w:t>
      </w:r>
      <w:r w:rsidR="007D0AC0">
        <w:rPr>
          <w:rFonts w:ascii="宋体" w:hAnsi="Calibri" w:hint="eastAsia"/>
          <w:b/>
          <w:szCs w:val="21"/>
          <w:highlight w:val="white"/>
          <w:lang w:eastAsia="zh-CN"/>
        </w:rPr>
        <w:t>7</w:t>
      </w:r>
      <w:r>
        <w:rPr>
          <w:rFonts w:ascii="宋体" w:hAnsi="Calibri" w:hint="eastAsia"/>
          <w:b/>
          <w:szCs w:val="21"/>
          <w:highlight w:val="white"/>
          <w:lang w:eastAsia="zh-CN"/>
        </w:rPr>
        <w:t>月</w:t>
      </w:r>
      <w:r w:rsidR="007D0AC0">
        <w:rPr>
          <w:rFonts w:ascii="宋体" w:hAnsi="Calibri" w:hint="eastAsia"/>
          <w:b/>
          <w:szCs w:val="21"/>
          <w:highlight w:val="white"/>
          <w:lang w:eastAsia="zh-CN"/>
        </w:rPr>
        <w:t>1</w:t>
      </w:r>
      <w:r>
        <w:rPr>
          <w:rFonts w:ascii="宋体" w:hAnsi="Calibri" w:hint="eastAsia"/>
          <w:b/>
          <w:szCs w:val="21"/>
          <w:highlight w:val="white"/>
          <w:lang w:eastAsia="zh-CN"/>
        </w:rPr>
        <w:t>日中国证券监督管理委员会《关于准予</w:t>
      </w:r>
      <w:r>
        <w:rPr>
          <w:rFonts w:ascii="宋体" w:hAnsi="Calibri"/>
          <w:b/>
          <w:szCs w:val="21"/>
          <w:lang w:eastAsia="zh-CN"/>
        </w:rPr>
        <w:t>易方达如意盈越3个月持有期混合型基金中基金（FOF）</w:t>
      </w:r>
      <w:r>
        <w:rPr>
          <w:rFonts w:ascii="宋体" w:hAnsi="Calibri"/>
          <w:b/>
          <w:szCs w:val="21"/>
          <w:highlight w:val="white"/>
          <w:lang w:eastAsia="zh-CN"/>
        </w:rPr>
        <w:t>注册的批复》（证监许可[</w:t>
      </w:r>
      <w:r w:rsidR="007D0AC0">
        <w:rPr>
          <w:rFonts w:ascii="宋体" w:hAnsi="Calibri"/>
          <w:b/>
          <w:szCs w:val="21"/>
          <w:highlight w:val="white"/>
          <w:lang w:eastAsia="zh-CN"/>
        </w:rPr>
        <w:t>202</w:t>
      </w:r>
      <w:r w:rsidR="007D0AC0">
        <w:rPr>
          <w:rFonts w:ascii="宋体" w:hAnsi="Calibri" w:hint="eastAsia"/>
          <w:b/>
          <w:szCs w:val="21"/>
          <w:highlight w:val="white"/>
          <w:lang w:eastAsia="zh-CN"/>
        </w:rPr>
        <w:t>6</w:t>
      </w:r>
      <w:r>
        <w:rPr>
          <w:rFonts w:ascii="宋体" w:hAnsi="Calibri" w:hint="eastAsia"/>
          <w:b/>
          <w:szCs w:val="21"/>
          <w:highlight w:val="white"/>
          <w:lang w:eastAsia="zh-CN"/>
        </w:rPr>
        <w:t>]</w:t>
      </w:r>
      <w:r w:rsidR="007D0AC0">
        <w:rPr>
          <w:rFonts w:ascii="宋体" w:hAnsi="Calibri" w:hint="eastAsia"/>
          <w:b/>
          <w:szCs w:val="21"/>
          <w:highlight w:val="white"/>
          <w:lang w:eastAsia="zh-CN"/>
        </w:rPr>
        <w:t>1589</w:t>
      </w:r>
      <w:r>
        <w:rPr>
          <w:rFonts w:ascii="宋体" w:hAnsi="Calibri" w:hint="eastAsia"/>
          <w:b/>
          <w:szCs w:val="21"/>
          <w:highlight w:val="white"/>
          <w:lang w:eastAsia="zh-CN"/>
        </w:rPr>
        <w:t>号）进行募集。</w:t>
      </w:r>
    </w:p>
    <w:p w:rsidR="005C6370" w:rsidP="00A24D29" w14:paraId="14BC3506" w14:textId="77777777">
      <w:pPr>
        <w:snapToGrid w:val="0"/>
        <w:spacing w:line="360" w:lineRule="auto"/>
        <w:ind w:firstLine="420"/>
        <w:contextualSpacing/>
        <w:rPr>
          <w:rFonts w:ascii="宋体" w:hAnsi="Calibri"/>
          <w:b/>
          <w:szCs w:val="21"/>
          <w:lang w:eastAsia="zh-CN"/>
        </w:rPr>
      </w:pPr>
      <w:r>
        <w:rPr>
          <w:rFonts w:ascii="宋体" w:hAnsi="Calibri" w:hint="eastAsia"/>
          <w:b/>
          <w:szCs w:val="21"/>
          <w:highlight w:val="white"/>
          <w:lang w:eastAsia="zh-CN"/>
        </w:rPr>
        <w:t>2、基金管理人保证《招募说明书》的内容真实、准确、完整。本基金经中国证监会注册，但中国证监会对本基金募集的注册，并不表明其对本基金的投资价值、市场前景和收益作出实质性判断或保证，也不表明投资于本基金没有风险。</w:t>
      </w:r>
    </w:p>
    <w:p w:rsidR="005C6370" w:rsidP="00A24D29" w14:paraId="134AEAB1" w14:textId="77777777">
      <w:pPr>
        <w:snapToGrid w:val="0"/>
        <w:spacing w:line="360" w:lineRule="auto"/>
        <w:ind w:firstLine="420"/>
        <w:contextualSpacing/>
        <w:rPr>
          <w:rFonts w:ascii="宋体" w:hAnsi="Calibri"/>
          <w:b/>
          <w:szCs w:val="21"/>
          <w:lang w:eastAsia="zh-CN"/>
        </w:rPr>
      </w:pPr>
      <w:r>
        <w:rPr>
          <w:rFonts w:ascii="宋体" w:hAnsi="Calibri" w:hint="eastAsia"/>
          <w:b/>
          <w:szCs w:val="21"/>
          <w:highlight w:val="white"/>
          <w:lang w:eastAsia="zh-CN"/>
        </w:rPr>
        <w:t>基金管理人依照恪尽职守、诚实信用、谨慎勤勉的原则管理和运用基金财产，但不保证基金一定盈利，也不保证最低收益。</w:t>
      </w:r>
    </w:p>
    <w:p w:rsidR="005C6370" w:rsidP="00A24D29" w14:paraId="3C1A5507" w14:textId="77777777">
      <w:pPr>
        <w:snapToGrid w:val="0"/>
        <w:spacing w:line="360" w:lineRule="auto"/>
        <w:ind w:firstLine="420"/>
        <w:contextualSpacing/>
        <w:rPr>
          <w:rFonts w:ascii="宋体" w:hAnsi="Calibri"/>
          <w:b/>
          <w:szCs w:val="21"/>
          <w:lang w:eastAsia="zh-CN"/>
        </w:rPr>
      </w:pPr>
      <w:bookmarkStart w:id="0" w:name="_Hlk234827047"/>
      <w:r>
        <w:rPr>
          <w:rFonts w:ascii="宋体" w:hAnsi="Calibri"/>
          <w:b/>
          <w:szCs w:val="21"/>
          <w:highlight w:val="white"/>
          <w:lang w:eastAsia="zh-CN"/>
        </w:rPr>
        <w:t>3、本基金对于每份基金份额设定</w:t>
      </w:r>
      <w:r>
        <w:rPr>
          <w:rFonts w:ascii="宋体" w:hAnsi="Calibri"/>
          <w:b/>
          <w:szCs w:val="21"/>
          <w:lang w:eastAsia="zh-CN"/>
        </w:rPr>
        <w:t>3个月</w:t>
      </w:r>
      <w:r>
        <w:rPr>
          <w:rFonts w:ascii="宋体" w:hAnsi="Calibri"/>
          <w:b/>
          <w:szCs w:val="21"/>
          <w:highlight w:val="white"/>
          <w:lang w:eastAsia="zh-CN"/>
        </w:rPr>
        <w:t>（</w:t>
      </w:r>
      <w:r>
        <w:rPr>
          <w:rFonts w:ascii="宋体" w:hAnsi="Calibri"/>
          <w:b/>
          <w:szCs w:val="21"/>
          <w:lang w:eastAsia="zh-CN"/>
        </w:rPr>
        <w:t>一个月按30天计算</w:t>
      </w:r>
      <w:r>
        <w:rPr>
          <w:rFonts w:ascii="宋体" w:hAnsi="Calibri"/>
          <w:b/>
          <w:szCs w:val="21"/>
          <w:highlight w:val="white"/>
          <w:lang w:eastAsia="zh-CN"/>
        </w:rPr>
        <w:t>，下同）最短持有期限，且本基金不上市交易。投资者认购或申购基金份额后，自基金合同生效日或申购确认日至赎回确认日不得少于</w:t>
      </w:r>
      <w:r>
        <w:rPr>
          <w:rFonts w:ascii="宋体" w:hAnsi="Calibri"/>
          <w:b/>
          <w:szCs w:val="21"/>
          <w:lang w:eastAsia="zh-CN"/>
        </w:rPr>
        <w:t>3个月</w:t>
      </w:r>
      <w:r>
        <w:rPr>
          <w:rFonts w:ascii="宋体" w:hAnsi="Calibri"/>
          <w:b/>
          <w:szCs w:val="21"/>
          <w:highlight w:val="white"/>
          <w:lang w:eastAsia="zh-CN"/>
        </w:rPr>
        <w:t>。投资者投资本基金每份基金份额需要持有至少</w:t>
      </w:r>
      <w:r>
        <w:rPr>
          <w:rFonts w:ascii="宋体" w:hAnsi="Calibri"/>
          <w:b/>
          <w:szCs w:val="21"/>
          <w:lang w:eastAsia="zh-CN"/>
        </w:rPr>
        <w:t>3个月</w:t>
      </w:r>
      <w:r>
        <w:rPr>
          <w:rFonts w:ascii="宋体" w:hAnsi="Calibri"/>
          <w:b/>
          <w:szCs w:val="21"/>
          <w:highlight w:val="white"/>
          <w:lang w:eastAsia="zh-CN"/>
        </w:rPr>
        <w:t>以上，面临在</w:t>
      </w:r>
      <w:r>
        <w:rPr>
          <w:rFonts w:ascii="宋体" w:hAnsi="Calibri"/>
          <w:b/>
          <w:szCs w:val="21"/>
          <w:lang w:eastAsia="zh-CN"/>
        </w:rPr>
        <w:t>3个月</w:t>
      </w:r>
      <w:r>
        <w:rPr>
          <w:rFonts w:ascii="宋体" w:hAnsi="Calibri"/>
          <w:b/>
          <w:szCs w:val="21"/>
          <w:highlight w:val="white"/>
          <w:lang w:eastAsia="zh-CN"/>
        </w:rPr>
        <w:t>最短持有期内赎回无法确认的流动性风险以及基金净值可能发生较大波动的风险。投资者应当根据自身投资目标、投资期限等情况审慎作出投资决策。</w:t>
      </w:r>
    </w:p>
    <w:p w:rsidR="005C6370" w:rsidP="00A24D29" w14:paraId="593CC761" w14:textId="77777777">
      <w:pPr>
        <w:snapToGrid w:val="0"/>
        <w:spacing w:line="360" w:lineRule="auto"/>
        <w:ind w:firstLine="420"/>
        <w:contextualSpacing/>
        <w:rPr>
          <w:rFonts w:ascii="宋体" w:hAnsi="Calibri"/>
          <w:szCs w:val="21"/>
          <w:lang w:eastAsia="zh-CN"/>
        </w:rPr>
      </w:pPr>
      <w:r>
        <w:rPr>
          <w:rFonts w:ascii="宋体" w:hAnsi="Calibri" w:hint="eastAsia"/>
          <w:b/>
          <w:highlight w:val="white"/>
          <w:lang w:eastAsia="zh-CN"/>
        </w:rPr>
        <w:t>4、本基金主要投资于公开募集的证券投资基金</w:t>
      </w:r>
      <w:r>
        <w:rPr>
          <w:rFonts w:ascii="宋体" w:hAnsi="Calibri" w:hint="eastAsia"/>
          <w:b/>
          <w:szCs w:val="21"/>
          <w:highlight w:val="white"/>
          <w:lang w:eastAsia="zh-CN"/>
        </w:rPr>
        <w:t>，</w:t>
      </w:r>
      <w:r>
        <w:rPr>
          <w:rFonts w:ascii="宋体" w:hAnsi="Calibri" w:hint="eastAsia"/>
          <w:b/>
          <w:highlight w:val="white"/>
          <w:lang w:eastAsia="zh-CN"/>
        </w:rPr>
        <w:t>基金净值会因为其投资所涉及证券市场波动等因素产生波动</w:t>
      </w:r>
      <w:r>
        <w:rPr>
          <w:rFonts w:ascii="宋体" w:hAnsi="Calibri" w:hint="eastAsia"/>
          <w:b/>
          <w:szCs w:val="21"/>
          <w:highlight w:val="white"/>
          <w:lang w:eastAsia="zh-CN"/>
        </w:rPr>
        <w:t>。投资有风险，投资者在投资本基金前，请认真阅读本基金的招募说明书、基金合同、基金产品资料概要等信息披露文件，全面认识本基金产品的风险收益特征和产品特性，充分考虑自身的风险承受能力，理性判断市场，自主判断基金的投资价值，对投资基金的意愿、时机、数量等投资行为作出独立决策，承担基金投资中出现的各类风险。</w:t>
      </w:r>
      <w:r>
        <w:rPr>
          <w:rFonts w:ascii="宋体" w:hAnsi="Calibri"/>
          <w:b/>
          <w:szCs w:val="21"/>
          <w:highlight w:val="white"/>
          <w:lang w:eastAsia="zh-CN"/>
        </w:rPr>
        <w:t>除了前述本基金</w:t>
      </w:r>
      <w:r>
        <w:rPr>
          <w:rFonts w:ascii="宋体" w:hAnsi="Calibri"/>
          <w:b/>
          <w:highlight w:val="white"/>
          <w:lang w:eastAsia="zh-CN"/>
        </w:rPr>
        <w:t>对每份基金份额</w:t>
      </w:r>
      <w:r>
        <w:rPr>
          <w:rFonts w:ascii="宋体" w:hAnsi="Calibri"/>
          <w:b/>
          <w:szCs w:val="21"/>
          <w:highlight w:val="white"/>
          <w:lang w:eastAsia="zh-CN"/>
        </w:rPr>
        <w:t>设定</w:t>
      </w:r>
      <w:r>
        <w:rPr>
          <w:rFonts w:ascii="宋体" w:hAnsi="Calibri" w:hint="eastAsia"/>
          <w:b/>
          <w:szCs w:val="21"/>
          <w:lang w:eastAsia="zh-CN"/>
        </w:rPr>
        <w:t>3个月</w:t>
      </w:r>
      <w:r>
        <w:rPr>
          <w:rFonts w:ascii="宋体" w:hAnsi="Calibri" w:hint="eastAsia"/>
          <w:b/>
          <w:szCs w:val="21"/>
          <w:highlight w:val="white"/>
          <w:lang w:eastAsia="zh-CN"/>
        </w:rPr>
        <w:t>最短持有期带来</w:t>
      </w:r>
      <w:r>
        <w:rPr>
          <w:rFonts w:ascii="宋体" w:hAnsi="Calibri"/>
          <w:b/>
          <w:szCs w:val="21"/>
          <w:highlight w:val="white"/>
          <w:lang w:eastAsia="zh-CN"/>
        </w:rPr>
        <w:t>的特有风险外，</w:t>
      </w:r>
      <w:r>
        <w:rPr>
          <w:rFonts w:ascii="宋体" w:hAnsi="Calibri" w:hint="eastAsia"/>
          <w:b/>
          <w:szCs w:val="21"/>
          <w:highlight w:val="white"/>
          <w:lang w:eastAsia="zh-CN"/>
        </w:rPr>
        <w:t>投资本基金可能遇到的特有风险包括但不限于：</w:t>
      </w:r>
      <w:r>
        <w:rPr>
          <w:rFonts w:ascii="宋体" w:hAnsi="Calibri" w:hint="eastAsia"/>
          <w:b/>
          <w:highlight w:val="white"/>
          <w:lang w:eastAsia="zh-CN"/>
        </w:rPr>
        <w:t>（1）无法获得收益甚至损失本金的风险；（2）投资于非权益类资产的风险；（3）主要投资于基金所面临的特有风险，包括但不限于因主要投资于基金而面临的被投资基金业绩不达目标影响本基金投资业绩表现的风险、赎回资金到账时间较晚影响投资人资金安排的风险、双重收费风险、投资QDII基金的特有风险、投资香港互认基金的特有风险、投资于商品基金的风险、投资公募REITs的特有风险、投资于可上市交易基金的二级市场投资风险、被投资基金的运作风险、被投资基金的基金管理人经营风险和相关政策风险；（4）可能较大比例投资于基金管理人旗下基金所面临的风险；（5）本基金投资范围包括内地与香港股票市场交易互联互通机制允许买卖的香港证券市场股票及ETF而面临的香港市场股票及ETF投资交易、港股通机制带来的特殊风险；（6）本基金投资范围包括科创板股票、北交所股票、存托凭证、资产支持证券等特殊品种而面临的其他额外风险等。此外本基金还将面临市场风险、流动性风险、管理风险、税收风险、基金法律文件中涉及基金风险特征的表述与销售机构对基金的风险评级可能不一致的风险、其他风险等一般风险</w:t>
      </w:r>
      <w:r>
        <w:rPr>
          <w:rFonts w:ascii="宋体" w:hAnsi="Calibri"/>
          <w:b/>
          <w:szCs w:val="21"/>
          <w:highlight w:val="white"/>
          <w:lang w:eastAsia="zh-CN"/>
        </w:rPr>
        <w:t>。</w:t>
      </w:r>
    </w:p>
    <w:p w:rsidR="005C6370" w:rsidP="00A24D29" w14:paraId="0BB9CC47" w14:textId="77777777">
      <w:pPr>
        <w:snapToGrid w:val="0"/>
        <w:spacing w:line="360" w:lineRule="auto"/>
        <w:ind w:firstLine="420"/>
        <w:contextualSpacing/>
        <w:rPr>
          <w:rFonts w:ascii="宋体" w:hAnsi="Calibri"/>
          <w:b/>
          <w:szCs w:val="21"/>
          <w:lang w:eastAsia="zh-CN"/>
        </w:rPr>
      </w:pPr>
      <w:r>
        <w:rPr>
          <w:rFonts w:ascii="宋体" w:hAnsi="Calibri" w:hint="eastAsia"/>
          <w:b/>
          <w:szCs w:val="21"/>
          <w:highlight w:val="white"/>
          <w:lang w:eastAsia="zh-CN"/>
        </w:rPr>
        <w:t>本基金的具体运作特点详见基金合同和招募说明书的约定，</w:t>
      </w:r>
      <w:r>
        <w:rPr>
          <w:rFonts w:ascii="宋体" w:hAnsi="Calibri"/>
          <w:b/>
          <w:szCs w:val="21"/>
          <w:highlight w:val="white"/>
          <w:lang w:eastAsia="zh-CN"/>
        </w:rPr>
        <w:t>投资本基金可能面临的风险详见招募说明书的</w:t>
      </w:r>
      <w:r>
        <w:rPr>
          <w:rFonts w:ascii="宋体" w:hAnsi="Calibri"/>
          <w:b/>
          <w:szCs w:val="21"/>
          <w:highlight w:val="white"/>
          <w:lang w:eastAsia="zh-CN"/>
        </w:rPr>
        <w:t>“</w:t>
      </w:r>
      <w:r>
        <w:rPr>
          <w:rFonts w:ascii="宋体" w:hAnsi="Calibri"/>
          <w:b/>
          <w:szCs w:val="21"/>
          <w:highlight w:val="white"/>
          <w:lang w:eastAsia="zh-CN"/>
        </w:rPr>
        <w:t>风险揭示</w:t>
      </w:r>
      <w:r>
        <w:rPr>
          <w:rFonts w:ascii="宋体" w:hAnsi="Calibri"/>
          <w:b/>
          <w:szCs w:val="21"/>
          <w:highlight w:val="white"/>
          <w:lang w:eastAsia="zh-CN"/>
        </w:rPr>
        <w:t>”</w:t>
      </w:r>
      <w:r>
        <w:rPr>
          <w:rFonts w:ascii="宋体" w:hAnsi="Calibri"/>
          <w:b/>
          <w:szCs w:val="21"/>
          <w:highlight w:val="white"/>
          <w:lang w:eastAsia="zh-CN"/>
        </w:rPr>
        <w:t>部分。</w:t>
      </w:r>
    </w:p>
    <w:p w:rsidR="005C6370" w:rsidP="00A24D29" w14:paraId="71DE72D1" w14:textId="77777777">
      <w:pPr>
        <w:snapToGrid w:val="0"/>
        <w:spacing w:line="360" w:lineRule="auto"/>
        <w:ind w:firstLine="420" w:firstLineChars="200"/>
        <w:contextualSpacing/>
        <w:rPr>
          <w:rFonts w:ascii="宋体" w:hAnsi="Calibri"/>
          <w:b/>
          <w:szCs w:val="21"/>
          <w:lang w:eastAsia="zh-CN"/>
        </w:rPr>
      </w:pPr>
      <w:r>
        <w:rPr>
          <w:rFonts w:ascii="宋体" w:hAnsi="Calibri"/>
          <w:b/>
          <w:szCs w:val="21"/>
          <w:highlight w:val="white"/>
          <w:lang w:eastAsia="zh-CN"/>
        </w:rPr>
        <w:t>5</w:t>
      </w:r>
      <w:r>
        <w:rPr>
          <w:rFonts w:ascii="宋体" w:hAnsi="Calibri" w:hint="eastAsia"/>
          <w:b/>
          <w:szCs w:val="21"/>
          <w:highlight w:val="white"/>
          <w:lang w:eastAsia="zh-CN"/>
        </w:rPr>
        <w:t>、本基金可投资内地与香港股票市场交易互联互通机制允许买卖的香港证券市场股票及港股通ETF，会面临港股通机制下因投资环境、投资标的、市场制度以及交易规则等差异带来的特有风险，包括但不限于港股通股票及ETF价格波动较大的风险（港股市场实行T+0回转交易，且对股票及ETF交易不设涨跌幅限制，港股通股票及ETF价格可能表现出比A股更为剧烈的股价波动）、汇率风险（汇率波动可能对基金的投资收益造成损失）、港股通机制下交易日不连贯可能带来的风险（在内地开市香港休市的情形下，港股通不能正常交易，港股通股票及ETF不能及时卖出，可能带来一定的流动性风险）等。</w:t>
      </w:r>
    </w:p>
    <w:p w:rsidR="005C6370" w:rsidP="00A24D29" w14:paraId="7DE7B083" w14:textId="77777777">
      <w:pPr>
        <w:snapToGrid w:val="0"/>
        <w:spacing w:line="360" w:lineRule="auto"/>
        <w:ind w:firstLine="420" w:firstLineChars="200"/>
        <w:contextualSpacing/>
        <w:rPr>
          <w:rFonts w:ascii="宋体" w:hAnsi="Calibri"/>
          <w:b/>
          <w:szCs w:val="21"/>
          <w:lang w:eastAsia="zh-CN"/>
        </w:rPr>
      </w:pPr>
      <w:r>
        <w:rPr>
          <w:rFonts w:ascii="宋体" w:hAnsi="Calibri" w:hint="eastAsia"/>
          <w:b/>
          <w:szCs w:val="21"/>
          <w:highlight w:val="white"/>
          <w:lang w:eastAsia="zh-CN"/>
        </w:rPr>
        <w:t>本基金可根据投资策略需要或不同配置地市场环境的变化，选择将部分基金资产投资于港股及港股通ETF或选择不将基金资产投资于港股及港股通ETF，基金资产并非必然投资港股及港股通ETF。</w:t>
      </w:r>
    </w:p>
    <w:p w:rsidR="005C6370" w:rsidP="00A24D29" w14:paraId="3C6B83B5" w14:textId="77777777">
      <w:pPr>
        <w:snapToGrid w:val="0"/>
        <w:spacing w:line="360" w:lineRule="auto"/>
        <w:ind w:firstLine="420"/>
        <w:contextualSpacing/>
        <w:rPr>
          <w:rFonts w:ascii="宋体" w:hAnsi="Calibri"/>
          <w:b/>
          <w:szCs w:val="21"/>
          <w:lang w:eastAsia="zh-CN"/>
        </w:rPr>
      </w:pPr>
      <w:r>
        <w:rPr>
          <w:rFonts w:ascii="宋体" w:hAnsi="Calibri"/>
          <w:b/>
          <w:szCs w:val="21"/>
          <w:highlight w:val="white"/>
          <w:lang w:eastAsia="zh-CN"/>
        </w:rPr>
        <w:t>6</w:t>
      </w:r>
      <w:r>
        <w:rPr>
          <w:rFonts w:ascii="宋体" w:hAnsi="Calibri" w:hint="eastAsia"/>
          <w:b/>
          <w:szCs w:val="21"/>
          <w:highlight w:val="white"/>
          <w:lang w:eastAsia="zh-CN"/>
        </w:rPr>
        <w:t>、正常情况下，本基金将于</w:t>
      </w:r>
      <w:r>
        <w:rPr>
          <w:rFonts w:ascii="宋体" w:hAnsi="Calibri"/>
          <w:b/>
          <w:szCs w:val="21"/>
          <w:highlight w:val="white"/>
          <w:lang w:eastAsia="zh-CN"/>
        </w:rPr>
        <w:t>T+2</w:t>
      </w:r>
      <w:r>
        <w:rPr>
          <w:rFonts w:ascii="宋体" w:hAnsi="Calibri" w:hint="eastAsia"/>
          <w:b/>
          <w:szCs w:val="21"/>
          <w:highlight w:val="white"/>
          <w:lang w:eastAsia="zh-CN"/>
        </w:rPr>
        <w:t>日（</w:t>
      </w:r>
      <w:r>
        <w:rPr>
          <w:rFonts w:ascii="宋体" w:hAnsi="Calibri"/>
          <w:b/>
          <w:szCs w:val="21"/>
          <w:highlight w:val="white"/>
          <w:lang w:eastAsia="zh-CN"/>
        </w:rPr>
        <w:t>T</w:t>
      </w:r>
      <w:r>
        <w:rPr>
          <w:rFonts w:ascii="宋体" w:hAnsi="Calibri" w:hint="eastAsia"/>
          <w:b/>
          <w:szCs w:val="21"/>
          <w:highlight w:val="white"/>
          <w:lang w:eastAsia="zh-CN"/>
        </w:rPr>
        <w:t>日为申购、赎回申请日）对</w:t>
      </w:r>
      <w:r>
        <w:rPr>
          <w:rFonts w:ascii="宋体" w:hAnsi="Calibri"/>
          <w:b/>
          <w:szCs w:val="21"/>
          <w:highlight w:val="white"/>
          <w:lang w:eastAsia="zh-CN"/>
        </w:rPr>
        <w:t>T</w:t>
      </w:r>
      <w:r>
        <w:rPr>
          <w:rFonts w:ascii="宋体" w:hAnsi="Calibri" w:hint="eastAsia"/>
          <w:b/>
          <w:szCs w:val="21"/>
          <w:highlight w:val="white"/>
          <w:lang w:eastAsia="zh-CN"/>
        </w:rPr>
        <w:t>日的基金资产净值进行估值，</w:t>
      </w:r>
      <w:r>
        <w:rPr>
          <w:rFonts w:ascii="宋体" w:hAnsi="Calibri"/>
          <w:b/>
          <w:szCs w:val="21"/>
          <w:highlight w:val="white"/>
          <w:lang w:eastAsia="zh-CN"/>
        </w:rPr>
        <w:t>T+3</w:t>
      </w:r>
      <w:r>
        <w:rPr>
          <w:rFonts w:ascii="宋体" w:hAnsi="Calibri" w:hint="eastAsia"/>
          <w:b/>
          <w:szCs w:val="21"/>
          <w:highlight w:val="white"/>
          <w:lang w:eastAsia="zh-CN"/>
        </w:rPr>
        <w:t>日对投资人申购、赎回申请的有效性进行确认，投资人可于</w:t>
      </w:r>
      <w:r>
        <w:rPr>
          <w:rFonts w:ascii="宋体" w:hAnsi="Calibri"/>
          <w:b/>
          <w:szCs w:val="21"/>
          <w:highlight w:val="white"/>
          <w:lang w:eastAsia="zh-CN"/>
        </w:rPr>
        <w:t>T+4</w:t>
      </w:r>
      <w:r>
        <w:rPr>
          <w:rFonts w:ascii="宋体" w:hAnsi="Calibri" w:hint="eastAsia"/>
          <w:b/>
          <w:szCs w:val="21"/>
          <w:highlight w:val="white"/>
          <w:lang w:eastAsia="zh-CN"/>
        </w:rPr>
        <w:t>日到销售网点柜台或以销售机构规定的其他方式查询申请的确认情况。</w:t>
      </w:r>
    </w:p>
    <w:p w:rsidR="005C6370" w:rsidP="00A24D29" w14:paraId="03A882CF" w14:textId="77777777">
      <w:pPr>
        <w:snapToGrid w:val="0"/>
        <w:spacing w:line="360" w:lineRule="auto"/>
        <w:ind w:firstLine="420"/>
        <w:contextualSpacing/>
        <w:rPr>
          <w:rFonts w:ascii="宋体" w:hAnsi="Calibri"/>
          <w:b/>
          <w:szCs w:val="21"/>
          <w:lang w:eastAsia="zh-CN"/>
        </w:rPr>
      </w:pPr>
      <w:r>
        <w:rPr>
          <w:rFonts w:ascii="宋体" w:hAnsi="Calibri"/>
          <w:b/>
          <w:szCs w:val="21"/>
          <w:highlight w:val="white"/>
          <w:lang w:eastAsia="zh-CN"/>
        </w:rPr>
        <w:t>7</w:t>
      </w:r>
      <w:r>
        <w:rPr>
          <w:rFonts w:ascii="宋体" w:hAnsi="Calibri" w:hint="eastAsia"/>
          <w:b/>
          <w:szCs w:val="21"/>
          <w:highlight w:val="white"/>
          <w:lang w:eastAsia="zh-CN"/>
        </w:rPr>
        <w:t>、</w:t>
      </w:r>
      <w:r>
        <w:rPr>
          <w:rFonts w:ascii="宋体" w:hAnsi="Calibri"/>
          <w:b/>
          <w:szCs w:val="21"/>
          <w:lang w:eastAsia="zh-CN"/>
        </w:rPr>
        <w:t>本基金为混合型基金中基金（FOF），理论上其预期风险与预期收益水平低于股票型基金、股票型基金中基金（FOF），高于债券型基金、债券型基金中基金（FOF）、货币市场基金和货币型基金中基金（FOF）。</w:t>
      </w:r>
    </w:p>
    <w:p w:rsidR="005C6370" w:rsidP="00A24D29" w14:paraId="72AF00AF" w14:textId="77777777">
      <w:pPr>
        <w:snapToGrid w:val="0"/>
        <w:spacing w:line="360" w:lineRule="auto"/>
        <w:ind w:firstLine="420"/>
        <w:contextualSpacing/>
        <w:rPr>
          <w:rFonts w:ascii="宋体" w:hAnsi="Calibri"/>
          <w:b/>
          <w:szCs w:val="21"/>
          <w:lang w:eastAsia="zh-CN"/>
        </w:rPr>
      </w:pPr>
      <w:r>
        <w:rPr>
          <w:rFonts w:ascii="宋体" w:hAnsi="Calibri"/>
          <w:b/>
          <w:szCs w:val="21"/>
          <w:lang w:eastAsia="zh-CN"/>
        </w:rPr>
        <w:t>本基金可通过内地与香港股票市场交易互联互通机制投资于香港证券市场，除了需要承担市场波动风险等一般投资风险之外，本基金还面临汇率风险、投资于香港证券市场的风险、以及通过内地与香港股票市场交易互联互通机制投资的风险等特有风险。本基金通过内地与香港股票市场交易互联互通机制投资的风险详见招募说明书。</w:t>
      </w:r>
    </w:p>
    <w:p w:rsidR="005C6370" w:rsidP="00A24D29" w14:paraId="3EBA3056" w14:textId="77777777">
      <w:pPr>
        <w:spacing w:line="360" w:lineRule="auto"/>
        <w:ind w:firstLine="422"/>
        <w:contextualSpacing/>
        <w:rPr>
          <w:rFonts w:ascii="宋体" w:hAnsi="Calibri" w:cs="宋体"/>
          <w:b/>
          <w:szCs w:val="21"/>
          <w:lang w:eastAsia="zh-CN"/>
        </w:rPr>
      </w:pPr>
      <w:r>
        <w:rPr>
          <w:rFonts w:ascii="宋体" w:hAnsi="Calibri"/>
          <w:b/>
          <w:szCs w:val="21"/>
          <w:highlight w:val="white"/>
          <w:lang w:eastAsia="zh-CN"/>
        </w:rPr>
        <w:t>8、</w:t>
      </w:r>
      <w:r>
        <w:rPr>
          <w:rFonts w:ascii="宋体" w:hAnsi="Calibri" w:cs="宋体"/>
          <w:b/>
          <w:szCs w:val="21"/>
          <w:highlight w:val="white"/>
          <w:lang w:eastAsia="zh-CN"/>
        </w:rPr>
        <w:t>本基金将基金份额分为A类基金份额和C类基金份额。A类基金份额在投资人认购/申购时</w:t>
      </w:r>
      <w:r>
        <w:rPr>
          <w:rFonts w:ascii="宋体" w:hAnsi="宋体" w:cs="宋体" w:hint="eastAsia"/>
          <w:b/>
          <w:highlight w:val="white"/>
          <w:lang w:eastAsia="zh-CN"/>
        </w:rPr>
        <w:t>按规定</w:t>
      </w:r>
      <w:r>
        <w:rPr>
          <w:rFonts w:ascii="宋体" w:hAnsi="Calibri" w:cs="宋体"/>
          <w:b/>
          <w:szCs w:val="21"/>
          <w:highlight w:val="white"/>
          <w:lang w:eastAsia="zh-CN"/>
        </w:rPr>
        <w:t>收取认购/申购费用，在持有期间不收取销售服务费；C类基金份额在投资人认购/申购时不收取认购/申购费用，在持有期间</w:t>
      </w:r>
      <w:r>
        <w:rPr>
          <w:rFonts w:ascii="宋体" w:hAnsi="宋体" w:cs="宋体"/>
          <w:b/>
          <w:highlight w:val="white"/>
          <w:lang w:eastAsia="zh-CN"/>
        </w:rPr>
        <w:t>计提销售服务费</w:t>
      </w:r>
      <w:r>
        <w:rPr>
          <w:rFonts w:ascii="宋体" w:hAnsi="宋体" w:cs="宋体" w:hint="eastAsia"/>
          <w:b/>
          <w:highlight w:val="white"/>
          <w:lang w:eastAsia="zh-CN"/>
        </w:rPr>
        <w:t>并按规定收取或返还</w:t>
      </w:r>
      <w:r>
        <w:rPr>
          <w:rFonts w:ascii="宋体" w:hAnsi="Calibri" w:cs="宋体"/>
          <w:b/>
          <w:szCs w:val="21"/>
          <w:highlight w:val="white"/>
          <w:lang w:eastAsia="zh-CN"/>
        </w:rPr>
        <w:t>。</w:t>
      </w:r>
    </w:p>
    <w:p w:rsidR="005C6370" w:rsidP="00A24D29" w14:paraId="07DD2957" w14:textId="77777777">
      <w:pPr>
        <w:snapToGrid w:val="0"/>
        <w:spacing w:line="360" w:lineRule="auto"/>
        <w:ind w:firstLine="420"/>
        <w:contextualSpacing/>
        <w:rPr>
          <w:rFonts w:ascii="宋体" w:hAnsi="Calibri"/>
          <w:szCs w:val="21"/>
          <w:lang w:eastAsia="zh-CN"/>
        </w:rPr>
      </w:pPr>
      <w:r>
        <w:rPr>
          <w:rFonts w:ascii="宋体" w:hAnsi="Calibri"/>
          <w:b/>
          <w:szCs w:val="21"/>
          <w:highlight w:val="white"/>
          <w:lang w:eastAsia="zh-CN"/>
        </w:rPr>
        <w:t>9</w:t>
      </w:r>
      <w:r>
        <w:rPr>
          <w:rFonts w:ascii="宋体" w:hAnsi="Calibri" w:hint="eastAsia"/>
          <w:b/>
          <w:szCs w:val="21"/>
          <w:highlight w:val="white"/>
          <w:lang w:eastAsia="zh-CN"/>
        </w:rPr>
        <w:t>、基金管理人提醒投资者基金投资的“买者自负”原则，在投资者作出投资决策后，基金运营状况与基金净值变化引致的投资风险，由投资者自行负责。此外，本基金以1元初始面值进行募集，在市场波动等因素的影响下，存在单位份额净值跌破1元初始面值的风险。</w:t>
      </w:r>
    </w:p>
    <w:p w:rsidR="005C6370" w:rsidP="00A24D29" w14:paraId="4A8796C4" w14:textId="77777777">
      <w:pPr>
        <w:spacing w:line="360" w:lineRule="auto"/>
        <w:ind w:firstLine="420"/>
        <w:contextualSpacing/>
        <w:rPr>
          <w:rFonts w:ascii="宋体" w:hAnsi="Calibri"/>
          <w:b/>
          <w:szCs w:val="21"/>
          <w:lang w:eastAsia="zh-CN"/>
        </w:rPr>
      </w:pPr>
      <w:r>
        <w:rPr>
          <w:rFonts w:ascii="宋体" w:hAnsi="Calibri"/>
          <w:b/>
          <w:szCs w:val="21"/>
          <w:highlight w:val="white"/>
          <w:lang w:eastAsia="zh-CN"/>
        </w:rPr>
        <w:t>10</w:t>
      </w:r>
      <w:r>
        <w:rPr>
          <w:rFonts w:ascii="宋体" w:hAnsi="Calibri" w:hint="eastAsia"/>
          <w:b/>
          <w:szCs w:val="21"/>
          <w:highlight w:val="white"/>
          <w:lang w:eastAsia="zh-CN"/>
        </w:rPr>
        <w:t>、基金不同于银行储蓄，基金投资人投资于基金有可能获得较高的收益，也有可能损失本金。投资有风险，投资人在进行投资决策前，请仔细阅读本基金的《招募说明书》及《基金合同》。</w:t>
      </w:r>
    </w:p>
    <w:p w:rsidR="005C6370" w:rsidP="00A24D29" w14:paraId="4EAFC4D4" w14:textId="77777777">
      <w:pPr>
        <w:spacing w:line="360" w:lineRule="auto"/>
        <w:ind w:firstLine="420"/>
        <w:contextualSpacing/>
        <w:rPr>
          <w:rFonts w:ascii="宋体" w:hAnsi="Calibri"/>
          <w:b/>
          <w:szCs w:val="21"/>
          <w:lang w:eastAsia="zh-CN"/>
        </w:rPr>
      </w:pPr>
      <w:r>
        <w:rPr>
          <w:rFonts w:ascii="宋体" w:hAnsi="Calibri"/>
          <w:b/>
          <w:szCs w:val="21"/>
          <w:highlight w:val="white"/>
          <w:lang w:eastAsia="zh-CN"/>
        </w:rPr>
        <w:t>11</w:t>
      </w:r>
      <w:r>
        <w:rPr>
          <w:rFonts w:ascii="宋体" w:hAnsi="Calibri" w:hint="eastAsia"/>
          <w:b/>
          <w:szCs w:val="21"/>
          <w:highlight w:val="white"/>
          <w:lang w:eastAsia="zh-CN"/>
        </w:rPr>
        <w:t>、基金的过往业绩并不预示其未来表现，基金管理人管理的其他基金的业绩并不构成对本基金表现的保证。</w:t>
      </w:r>
      <w:bookmarkEnd w:id="0"/>
    </w:p>
    <w:p w:rsidR="005C6370" w:rsidP="00A24D29" w14:paraId="481EDADF" w14:textId="77777777">
      <w:pPr>
        <w:spacing w:line="360" w:lineRule="auto"/>
        <w:ind w:firstLine="420"/>
        <w:contextualSpacing/>
        <w:rPr>
          <w:rFonts w:ascii="宋体" w:hAnsi="Calibri"/>
          <w:b/>
          <w:szCs w:val="21"/>
          <w:lang w:eastAsia="zh-CN"/>
        </w:rPr>
      </w:pPr>
    </w:p>
    <w:p w:rsidR="005C6370" w:rsidP="00A24D29" w14:paraId="62BF7F64" w14:textId="77777777">
      <w:pPr>
        <w:snapToGrid w:val="0"/>
        <w:spacing w:before="100" w:after="100" w:line="360" w:lineRule="auto"/>
        <w:contextualSpacing/>
        <w:jc w:val="center"/>
        <w:rPr>
          <w:rFonts w:ascii="宋体" w:hAnsi="Calibri"/>
          <w:sz w:val="30"/>
        </w:rPr>
      </w:pPr>
      <w:r>
        <w:rPr>
          <w:rFonts w:ascii="宋体" w:hAnsi="Calibri" w:hint="eastAsia"/>
          <w:b/>
          <w:szCs w:val="21"/>
          <w:highlight w:val="white"/>
          <w:lang w:eastAsia="zh-CN"/>
        </w:rPr>
        <w:br w:type="column"/>
      </w:r>
      <w:r>
        <w:rPr>
          <w:rFonts w:ascii="宋体" w:hAnsi="Calibri" w:hint="eastAsia"/>
          <w:sz w:val="30"/>
          <w:highlight w:val="white"/>
        </w:rPr>
        <w:t>目     录</w:t>
      </w:r>
    </w:p>
    <w:p w:rsidR="005C6370" w:rsidP="00A24D29" w14:paraId="67870C1F" w14:textId="77777777">
      <w:pPr>
        <w:snapToGrid w:val="0"/>
        <w:spacing w:before="100" w:after="100" w:line="320" w:lineRule="exact"/>
        <w:ind w:firstLine="480"/>
        <w:contextualSpacing/>
        <w:jc w:val="center"/>
        <w:rPr>
          <w:rFonts w:ascii="宋体" w:hAnsi="Calibri"/>
          <w:b/>
        </w:rPr>
      </w:pPr>
    </w:p>
    <w:p w:rsidR="005C6370" w:rsidP="00A24D29" w14:paraId="42E8F793" w14:textId="694F0EC8">
      <w:pPr>
        <w:pStyle w:val="TOC1"/>
        <w:contextualSpacing/>
        <w:rPr>
          <w:rFonts w:eastAsia="宋体" w:hAnsi="Calibri" w:cs="Calibri"/>
          <w:caps w:val="0"/>
          <w:noProof/>
          <w:color w:val="auto"/>
          <w:sz w:val="21"/>
          <w:szCs w:val="22"/>
        </w:rPr>
      </w:pPr>
      <w:r>
        <w:rPr>
          <w:rFonts w:eastAsia="宋体" w:hAnsi="Calibri"/>
          <w:b/>
          <w:color w:val="auto"/>
        </w:rPr>
        <w:fldChar w:fldCharType="begin"/>
      </w:r>
      <w:r>
        <w:rPr>
          <w:rFonts w:eastAsia="宋体" w:hAnsi="Calibri"/>
          <w:b/>
          <w:color w:val="auto"/>
          <w:highlight w:val="white"/>
        </w:rPr>
        <w:instrText xml:space="preserve"> TOC \o "1-1" \h \z \u </w:instrText>
      </w:r>
      <w:r>
        <w:rPr>
          <w:rFonts w:eastAsia="宋体" w:hAnsi="Calibri"/>
          <w:b/>
          <w:color w:val="auto"/>
        </w:rPr>
        <w:fldChar w:fldCharType="separate"/>
      </w:r>
      <w:hyperlink w:anchor="_Toc121776964" w:tooltip="Current Document" w:history="1">
        <w:r>
          <w:rPr>
            <w:rStyle w:val="Hyperlink"/>
            <w:rFonts w:eastAsia="宋体" w:hAnsi="Calibri" w:hint="eastAsia"/>
            <w:noProof/>
            <w:highlight w:val="white"/>
          </w:rPr>
          <w:t>第一部分</w:t>
        </w:r>
        <w:r>
          <w:rPr>
            <w:rStyle w:val="Hyperlink"/>
            <w:rFonts w:eastAsia="宋体" w:hAnsi="Calibri"/>
            <w:noProof/>
            <w:highlight w:val="white"/>
          </w:rPr>
          <w:t xml:space="preserve"> </w:t>
        </w:r>
        <w:r>
          <w:rPr>
            <w:rStyle w:val="Hyperlink"/>
            <w:rFonts w:eastAsia="宋体" w:hAnsi="Calibri" w:hint="eastAsia"/>
            <w:noProof/>
            <w:highlight w:val="white"/>
          </w:rPr>
          <w:t>绪</w:t>
        </w:r>
        <w:r>
          <w:rPr>
            <w:rStyle w:val="Hyperlink"/>
            <w:rFonts w:eastAsia="宋体" w:hAnsi="Calibri"/>
            <w:noProof/>
            <w:highlight w:val="white"/>
          </w:rPr>
          <w:t xml:space="preserve">  </w:t>
        </w:r>
        <w:r>
          <w:rPr>
            <w:rStyle w:val="Hyperlink"/>
            <w:rFonts w:eastAsia="宋体" w:hAnsi="Calibri" w:hint="eastAsia"/>
            <w:noProof/>
            <w:highlight w:val="white"/>
          </w:rPr>
          <w:t>言</w:t>
        </w:r>
        <w:r>
          <w:rPr>
            <w:rFonts w:eastAsia="宋体" w:hAnsi="Calibri"/>
            <w:noProof/>
            <w:highlight w:val="white"/>
          </w:rPr>
          <w:tab/>
        </w:r>
        <w:r>
          <w:rPr>
            <w:rFonts w:eastAsia="宋体" w:hAnsi="Calibri"/>
            <w:noProof/>
          </w:rPr>
          <w:fldChar w:fldCharType="begin"/>
        </w:r>
        <w:r>
          <w:rPr>
            <w:rFonts w:eastAsia="宋体" w:hAnsi="Calibri"/>
            <w:noProof/>
            <w:highlight w:val="white"/>
          </w:rPr>
          <w:instrText xml:space="preserve"> PAGEREF _Toc121776964 \h </w:instrText>
        </w:r>
        <w:r>
          <w:rPr>
            <w:rFonts w:eastAsia="宋体" w:hAnsi="Calibri"/>
            <w:noProof/>
          </w:rPr>
          <w:fldChar w:fldCharType="separate"/>
        </w:r>
        <w:r w:rsidR="006A5596">
          <w:rPr>
            <w:rFonts w:eastAsia="宋体" w:hAnsi="Calibri"/>
            <w:noProof/>
            <w:highlight w:val="white"/>
          </w:rPr>
          <w:t>1</w:t>
        </w:r>
        <w:r>
          <w:rPr>
            <w:rFonts w:eastAsia="宋体" w:hAnsi="Calibri"/>
            <w:noProof/>
          </w:rPr>
          <w:fldChar w:fldCharType="end"/>
        </w:r>
      </w:hyperlink>
    </w:p>
    <w:p w:rsidR="005C6370" w:rsidP="00A24D29" w14:paraId="7E6E94F8" w14:textId="6AD3973D">
      <w:pPr>
        <w:pStyle w:val="TOC1"/>
        <w:contextualSpacing/>
        <w:rPr>
          <w:rFonts w:eastAsia="宋体" w:hAnsi="Calibri" w:cs="Calibri"/>
          <w:caps w:val="0"/>
          <w:noProof/>
          <w:color w:val="auto"/>
          <w:sz w:val="21"/>
          <w:szCs w:val="22"/>
        </w:rPr>
      </w:pPr>
      <w:hyperlink w:anchor="_Toc121776965" w:tooltip="Current Document" w:history="1">
        <w:r w:rsidR="00952691">
          <w:rPr>
            <w:rStyle w:val="Hyperlink"/>
            <w:rFonts w:eastAsia="宋体" w:hAnsi="Calibri" w:hint="eastAsia"/>
            <w:noProof/>
            <w:highlight w:val="white"/>
          </w:rPr>
          <w:t>第二部分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释</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义</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_Toc121776965 \h </w:instrText>
        </w:r>
        <w:r w:rsidR="00952691">
          <w:rPr>
            <w:rFonts w:eastAsia="宋体" w:hAnsi="Calibri"/>
            <w:noProof/>
          </w:rPr>
          <w:fldChar w:fldCharType="separate"/>
        </w:r>
        <w:r>
          <w:rPr>
            <w:rFonts w:eastAsia="宋体" w:hAnsi="Calibri"/>
            <w:noProof/>
            <w:highlight w:val="white"/>
          </w:rPr>
          <w:t>2</w:t>
        </w:r>
        <w:r w:rsidR="00952691">
          <w:rPr>
            <w:rFonts w:eastAsia="宋体" w:hAnsi="Calibri"/>
            <w:noProof/>
          </w:rPr>
          <w:fldChar w:fldCharType="end"/>
        </w:r>
      </w:hyperlink>
    </w:p>
    <w:p w:rsidR="005C6370" w:rsidP="00A24D29" w14:paraId="7355F4BD" w14:textId="106B6426">
      <w:pPr>
        <w:pStyle w:val="TOC1"/>
        <w:contextualSpacing/>
        <w:rPr>
          <w:rFonts w:eastAsia="宋体" w:hAnsi="Calibri" w:cs="Calibri"/>
          <w:caps w:val="0"/>
          <w:noProof/>
          <w:color w:val="auto"/>
          <w:sz w:val="21"/>
          <w:szCs w:val="22"/>
        </w:rPr>
      </w:pPr>
      <w:hyperlink w:anchor="_Toc121776966" w:tooltip="Current Document" w:history="1">
        <w:r w:rsidR="00952691">
          <w:rPr>
            <w:rStyle w:val="Hyperlink"/>
            <w:rFonts w:eastAsia="宋体" w:hAnsi="Calibri" w:hint="eastAsia"/>
            <w:noProof/>
            <w:highlight w:val="white"/>
          </w:rPr>
          <w:t>第三部分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基金管理人</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_Toc121776966 \h </w:instrText>
        </w:r>
        <w:r w:rsidR="00952691">
          <w:rPr>
            <w:rFonts w:eastAsia="宋体" w:hAnsi="Calibri"/>
            <w:noProof/>
          </w:rPr>
          <w:fldChar w:fldCharType="separate"/>
        </w:r>
        <w:r>
          <w:rPr>
            <w:rFonts w:eastAsia="宋体" w:hAnsi="Calibri"/>
            <w:noProof/>
            <w:highlight w:val="white"/>
          </w:rPr>
          <w:t>7</w:t>
        </w:r>
        <w:r w:rsidR="00952691">
          <w:rPr>
            <w:rFonts w:eastAsia="宋体" w:hAnsi="Calibri"/>
            <w:noProof/>
          </w:rPr>
          <w:fldChar w:fldCharType="end"/>
        </w:r>
      </w:hyperlink>
    </w:p>
    <w:p w:rsidR="005C6370" w:rsidP="00A24D29" w14:paraId="439AE03C" w14:textId="694F6C3C">
      <w:pPr>
        <w:pStyle w:val="TOC1"/>
        <w:contextualSpacing/>
        <w:rPr>
          <w:rFonts w:eastAsia="宋体" w:hAnsi="Calibri" w:cs="Calibri"/>
          <w:caps w:val="0"/>
          <w:noProof/>
          <w:color w:val="auto"/>
          <w:sz w:val="21"/>
          <w:szCs w:val="22"/>
        </w:rPr>
      </w:pPr>
      <w:hyperlink w:anchor="_Toc121776967" w:tooltip="Current Document" w:history="1">
        <w:r w:rsidR="00952691">
          <w:rPr>
            <w:rStyle w:val="Hyperlink"/>
            <w:rFonts w:eastAsia="宋体" w:hAnsi="Calibri" w:hint="eastAsia"/>
            <w:noProof/>
            <w:highlight w:val="white"/>
          </w:rPr>
          <w:t>第四部分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基金托管人</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_Toc121776967 \h </w:instrText>
        </w:r>
        <w:r w:rsidR="00952691">
          <w:rPr>
            <w:rFonts w:eastAsia="宋体" w:hAnsi="Calibri"/>
            <w:noProof/>
          </w:rPr>
          <w:fldChar w:fldCharType="separate"/>
        </w:r>
        <w:r>
          <w:rPr>
            <w:rFonts w:eastAsia="宋体" w:hAnsi="Calibri"/>
            <w:noProof/>
            <w:highlight w:val="white"/>
          </w:rPr>
          <w:t>19</w:t>
        </w:r>
        <w:r w:rsidR="00952691">
          <w:rPr>
            <w:rFonts w:eastAsia="宋体" w:hAnsi="Calibri"/>
            <w:noProof/>
          </w:rPr>
          <w:fldChar w:fldCharType="end"/>
        </w:r>
      </w:hyperlink>
    </w:p>
    <w:p w:rsidR="005C6370" w:rsidP="00A24D29" w14:paraId="27993517" w14:textId="3CCB2CF0">
      <w:pPr>
        <w:pStyle w:val="TOC1"/>
        <w:contextualSpacing/>
        <w:rPr>
          <w:rFonts w:eastAsia="宋体" w:hAnsi="Calibri" w:cs="Calibri"/>
          <w:caps w:val="0"/>
          <w:noProof/>
          <w:color w:val="auto"/>
          <w:sz w:val="21"/>
          <w:szCs w:val="22"/>
        </w:rPr>
      </w:pPr>
      <w:hyperlink w:anchor="_Toc121776968" w:tooltip="Current Document" w:history="1">
        <w:r w:rsidR="00952691">
          <w:rPr>
            <w:rStyle w:val="Hyperlink"/>
            <w:rFonts w:eastAsia="宋体" w:hAnsi="Calibri" w:hint="eastAsia"/>
            <w:noProof/>
            <w:highlight w:val="white"/>
          </w:rPr>
          <w:t>第五部分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相关服务机构</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_Toc121776968 \h </w:instrText>
        </w:r>
        <w:r w:rsidR="00952691">
          <w:rPr>
            <w:rFonts w:eastAsia="宋体" w:hAnsi="Calibri"/>
            <w:noProof/>
          </w:rPr>
          <w:fldChar w:fldCharType="separate"/>
        </w:r>
        <w:r>
          <w:rPr>
            <w:rFonts w:eastAsia="宋体" w:hAnsi="Calibri"/>
            <w:noProof/>
            <w:highlight w:val="white"/>
          </w:rPr>
          <w:t>23</w:t>
        </w:r>
        <w:r w:rsidR="00952691">
          <w:rPr>
            <w:rFonts w:eastAsia="宋体" w:hAnsi="Calibri"/>
            <w:noProof/>
          </w:rPr>
          <w:fldChar w:fldCharType="end"/>
        </w:r>
      </w:hyperlink>
    </w:p>
    <w:p w:rsidR="005C6370" w:rsidP="00A24D29" w14:paraId="3B967E49" w14:textId="4780D1DC">
      <w:pPr>
        <w:pStyle w:val="TOC1"/>
        <w:contextualSpacing/>
        <w:rPr>
          <w:rFonts w:eastAsia="宋体" w:hAnsi="Calibri" w:cs="Calibri"/>
          <w:caps w:val="0"/>
          <w:noProof/>
          <w:color w:val="auto"/>
          <w:sz w:val="21"/>
          <w:szCs w:val="22"/>
        </w:rPr>
      </w:pPr>
      <w:hyperlink w:anchor="_Toc121776969" w:tooltip="Current Document" w:history="1">
        <w:r w:rsidR="00952691">
          <w:rPr>
            <w:rStyle w:val="Hyperlink"/>
            <w:rFonts w:eastAsia="宋体" w:hAnsi="Calibri" w:hint="eastAsia"/>
            <w:noProof/>
            <w:highlight w:val="white"/>
          </w:rPr>
          <w:t>第六部分</w:t>
        </w:r>
        <w:r w:rsidR="00952691">
          <w:rPr>
            <w:rStyle w:val="Hyperlink"/>
            <w:rFonts w:eastAsia="宋体" w:hAnsi="Calibri"/>
            <w:noProof/>
            <w:highlight w:val="white"/>
          </w:rPr>
          <w:t xml:space="preserve"> </w:t>
        </w:r>
        <w:r w:rsidR="00952691">
          <w:rPr>
            <w:rStyle w:val="Hyperlink"/>
            <w:rFonts w:eastAsia="宋体" w:hAnsi="Calibri" w:hint="eastAsia"/>
            <w:bCs/>
            <w:noProof/>
            <w:highlight w:val="white"/>
          </w:rPr>
          <w:t>基金份额的分类</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_Toc121776969 \h </w:instrText>
        </w:r>
        <w:r w:rsidR="00952691">
          <w:rPr>
            <w:rFonts w:eastAsia="宋体" w:hAnsi="Calibri"/>
            <w:noProof/>
          </w:rPr>
          <w:fldChar w:fldCharType="separate"/>
        </w:r>
        <w:r>
          <w:rPr>
            <w:rFonts w:eastAsia="宋体" w:hAnsi="Calibri"/>
            <w:noProof/>
            <w:highlight w:val="white"/>
          </w:rPr>
          <w:t>25</w:t>
        </w:r>
        <w:r w:rsidR="00952691">
          <w:rPr>
            <w:rFonts w:eastAsia="宋体" w:hAnsi="Calibri"/>
            <w:noProof/>
          </w:rPr>
          <w:fldChar w:fldCharType="end"/>
        </w:r>
      </w:hyperlink>
    </w:p>
    <w:p w:rsidR="005C6370" w:rsidP="00A24D29" w14:paraId="17778293" w14:textId="4E50F948">
      <w:pPr>
        <w:pStyle w:val="TOC1"/>
        <w:contextualSpacing/>
        <w:rPr>
          <w:rFonts w:eastAsia="宋体" w:hAnsi="Calibri" w:cs="Calibri"/>
          <w:caps w:val="0"/>
          <w:noProof/>
          <w:color w:val="auto"/>
          <w:sz w:val="21"/>
          <w:szCs w:val="22"/>
        </w:rPr>
      </w:pPr>
      <w:hyperlink w:anchor="_Toc121776970" w:tooltip="Current Document" w:history="1">
        <w:r w:rsidR="00952691">
          <w:rPr>
            <w:rStyle w:val="Hyperlink"/>
            <w:rFonts w:eastAsia="宋体" w:hAnsi="Calibri" w:hint="eastAsia"/>
            <w:bCs/>
            <w:noProof/>
            <w:highlight w:val="white"/>
          </w:rPr>
          <w:t>第七部分</w:t>
        </w:r>
        <w:r w:rsidR="00952691">
          <w:rPr>
            <w:rStyle w:val="Hyperlink"/>
            <w:rFonts w:eastAsia="宋体" w:hAnsi="Calibri"/>
            <w:bCs/>
            <w:noProof/>
            <w:highlight w:val="white"/>
          </w:rPr>
          <w:t xml:space="preserve"> </w:t>
        </w:r>
        <w:r w:rsidR="00952691">
          <w:rPr>
            <w:rStyle w:val="Hyperlink"/>
            <w:rFonts w:eastAsia="宋体" w:hAnsi="Calibri" w:hint="eastAsia"/>
            <w:bCs/>
            <w:noProof/>
            <w:highlight w:val="white"/>
          </w:rPr>
          <w:t>基金的募集安排</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_Toc121776970 \h </w:instrText>
        </w:r>
        <w:r w:rsidR="00952691">
          <w:rPr>
            <w:rFonts w:eastAsia="宋体" w:hAnsi="Calibri"/>
            <w:noProof/>
          </w:rPr>
          <w:fldChar w:fldCharType="separate"/>
        </w:r>
        <w:r>
          <w:rPr>
            <w:rFonts w:eastAsia="宋体" w:hAnsi="Calibri"/>
            <w:noProof/>
            <w:highlight w:val="white"/>
          </w:rPr>
          <w:t>26</w:t>
        </w:r>
        <w:r w:rsidR="00952691">
          <w:rPr>
            <w:rFonts w:eastAsia="宋体" w:hAnsi="Calibri"/>
            <w:noProof/>
          </w:rPr>
          <w:fldChar w:fldCharType="end"/>
        </w:r>
      </w:hyperlink>
    </w:p>
    <w:p w:rsidR="005C6370" w:rsidP="00A24D29" w14:paraId="5ED902E3" w14:textId="0223BF2B">
      <w:pPr>
        <w:pStyle w:val="TOC1"/>
        <w:contextualSpacing/>
        <w:rPr>
          <w:rFonts w:eastAsia="宋体" w:hAnsi="Calibri" w:cs="Calibri"/>
          <w:caps w:val="0"/>
          <w:noProof/>
          <w:color w:val="auto"/>
          <w:sz w:val="21"/>
          <w:szCs w:val="22"/>
        </w:rPr>
      </w:pPr>
      <w:hyperlink w:anchor="_Toc121776971" w:tooltip="Current Document" w:history="1">
        <w:r w:rsidR="00952691">
          <w:rPr>
            <w:rStyle w:val="Hyperlink"/>
            <w:rFonts w:eastAsia="宋体" w:hAnsi="Calibri" w:hint="eastAsia"/>
            <w:bCs/>
            <w:noProof/>
            <w:highlight w:val="white"/>
          </w:rPr>
          <w:t>第八部分</w:t>
        </w:r>
        <w:r w:rsidR="00952691">
          <w:rPr>
            <w:rStyle w:val="Hyperlink"/>
            <w:rFonts w:eastAsia="宋体" w:hAnsi="Calibri"/>
            <w:bCs/>
            <w:noProof/>
            <w:highlight w:val="white"/>
          </w:rPr>
          <w:t xml:space="preserve"> </w:t>
        </w:r>
        <w:r w:rsidR="00952691">
          <w:rPr>
            <w:rStyle w:val="Hyperlink"/>
            <w:rFonts w:eastAsia="宋体" w:hAnsi="Calibri" w:hint="eastAsia"/>
            <w:bCs/>
            <w:noProof/>
            <w:highlight w:val="white"/>
          </w:rPr>
          <w:t>基金合同的生效</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_Toc121776971 \h </w:instrText>
        </w:r>
        <w:r w:rsidR="00952691">
          <w:rPr>
            <w:rFonts w:eastAsia="宋体" w:hAnsi="Calibri"/>
            <w:noProof/>
          </w:rPr>
          <w:fldChar w:fldCharType="separate"/>
        </w:r>
        <w:r>
          <w:rPr>
            <w:rFonts w:eastAsia="宋体" w:hAnsi="Calibri"/>
            <w:noProof/>
            <w:highlight w:val="white"/>
          </w:rPr>
          <w:t>30</w:t>
        </w:r>
        <w:r w:rsidR="00952691">
          <w:rPr>
            <w:rFonts w:eastAsia="宋体" w:hAnsi="Calibri"/>
            <w:noProof/>
          </w:rPr>
          <w:fldChar w:fldCharType="end"/>
        </w:r>
      </w:hyperlink>
    </w:p>
    <w:p w:rsidR="005C6370" w:rsidP="00A24D29" w14:paraId="4650B53A" w14:textId="47A1982F">
      <w:pPr>
        <w:pStyle w:val="TOC1"/>
        <w:contextualSpacing/>
        <w:rPr>
          <w:rFonts w:eastAsia="宋体" w:hAnsi="Calibri" w:cs="Calibri"/>
          <w:caps w:val="0"/>
          <w:noProof/>
          <w:color w:val="auto"/>
          <w:sz w:val="21"/>
          <w:szCs w:val="22"/>
        </w:rPr>
      </w:pPr>
      <w:hyperlink w:anchor="_Toc121776972" w:tooltip="Current Document" w:history="1">
        <w:r w:rsidR="00952691">
          <w:rPr>
            <w:rStyle w:val="Hyperlink"/>
            <w:rFonts w:eastAsia="宋体" w:hAnsi="Calibri" w:hint="eastAsia"/>
            <w:bCs/>
            <w:noProof/>
            <w:highlight w:val="white"/>
          </w:rPr>
          <w:t>第</w:t>
        </w:r>
        <w:r w:rsidR="00952691">
          <w:rPr>
            <w:rStyle w:val="Hyperlink"/>
            <w:rFonts w:eastAsia="宋体" w:hAnsi="Calibri" w:hint="eastAsia"/>
            <w:noProof/>
            <w:highlight w:val="white"/>
          </w:rPr>
          <w:t>九</w:t>
        </w:r>
        <w:r w:rsidR="00952691">
          <w:rPr>
            <w:rStyle w:val="Hyperlink"/>
            <w:rFonts w:eastAsia="宋体" w:hAnsi="Calibri" w:hint="eastAsia"/>
            <w:bCs/>
            <w:noProof/>
            <w:highlight w:val="white"/>
          </w:rPr>
          <w:t>部分</w:t>
        </w:r>
        <w:r w:rsidR="00952691">
          <w:rPr>
            <w:rStyle w:val="Hyperlink"/>
            <w:rFonts w:eastAsia="宋体" w:hAnsi="Calibri"/>
            <w:bCs/>
            <w:noProof/>
            <w:highlight w:val="white"/>
          </w:rPr>
          <w:t xml:space="preserve"> </w:t>
        </w:r>
        <w:r w:rsidR="00952691">
          <w:rPr>
            <w:rStyle w:val="Hyperlink"/>
            <w:rFonts w:eastAsia="宋体" w:hAnsi="Calibri" w:hint="eastAsia"/>
            <w:bCs/>
            <w:noProof/>
            <w:highlight w:val="white"/>
          </w:rPr>
          <w:t>基金份额的申购、赎回</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_Toc121776972 \h </w:instrText>
        </w:r>
        <w:r w:rsidR="00952691">
          <w:rPr>
            <w:rFonts w:eastAsia="宋体" w:hAnsi="Calibri"/>
            <w:noProof/>
          </w:rPr>
          <w:fldChar w:fldCharType="separate"/>
        </w:r>
        <w:r>
          <w:rPr>
            <w:rFonts w:eastAsia="宋体" w:hAnsi="Calibri"/>
            <w:noProof/>
            <w:highlight w:val="white"/>
          </w:rPr>
          <w:t>31</w:t>
        </w:r>
        <w:r w:rsidR="00952691">
          <w:rPr>
            <w:rFonts w:eastAsia="宋体" w:hAnsi="Calibri"/>
            <w:noProof/>
          </w:rPr>
          <w:fldChar w:fldCharType="end"/>
        </w:r>
      </w:hyperlink>
    </w:p>
    <w:p w:rsidR="005C6370" w:rsidP="00A24D29" w14:paraId="21454817" w14:textId="5861097F">
      <w:pPr>
        <w:pStyle w:val="TOC1"/>
        <w:contextualSpacing/>
        <w:rPr>
          <w:rFonts w:eastAsia="宋体" w:hAnsi="Calibri" w:cs="Calibri"/>
          <w:caps w:val="0"/>
          <w:noProof/>
          <w:color w:val="auto"/>
          <w:sz w:val="21"/>
          <w:szCs w:val="22"/>
        </w:rPr>
      </w:pPr>
      <w:hyperlink w:anchor="_Toc121776973" w:tooltip="Current Document" w:history="1">
        <w:r w:rsidR="00952691">
          <w:rPr>
            <w:rStyle w:val="Hyperlink"/>
            <w:rFonts w:eastAsia="宋体" w:hAnsi="Calibri" w:hint="eastAsia"/>
            <w:noProof/>
            <w:highlight w:val="white"/>
          </w:rPr>
          <w:t>第十部分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基金转换和定期定额投资计划</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_Toc121776973 \h </w:instrText>
        </w:r>
        <w:r w:rsidR="00952691">
          <w:rPr>
            <w:rFonts w:eastAsia="宋体" w:hAnsi="Calibri"/>
            <w:noProof/>
          </w:rPr>
          <w:fldChar w:fldCharType="separate"/>
        </w:r>
        <w:r>
          <w:rPr>
            <w:rFonts w:eastAsia="宋体" w:hAnsi="Calibri"/>
            <w:noProof/>
            <w:highlight w:val="white"/>
          </w:rPr>
          <w:t>41</w:t>
        </w:r>
        <w:r w:rsidR="00952691">
          <w:rPr>
            <w:rFonts w:eastAsia="宋体" w:hAnsi="Calibri"/>
            <w:noProof/>
          </w:rPr>
          <w:fldChar w:fldCharType="end"/>
        </w:r>
      </w:hyperlink>
    </w:p>
    <w:p w:rsidR="005C6370" w:rsidP="00A24D29" w14:paraId="79EB61E9" w14:textId="3E9E40E7">
      <w:pPr>
        <w:pStyle w:val="TOC1"/>
        <w:contextualSpacing/>
        <w:rPr>
          <w:rFonts w:eastAsia="宋体" w:hAnsi="Calibri" w:cs="Calibri"/>
          <w:caps w:val="0"/>
          <w:noProof/>
          <w:color w:val="auto"/>
          <w:sz w:val="21"/>
          <w:szCs w:val="22"/>
        </w:rPr>
      </w:pPr>
      <w:hyperlink w:anchor="_Toc121776974" w:tooltip="Current Document" w:history="1">
        <w:r w:rsidR="00952691">
          <w:rPr>
            <w:rStyle w:val="Hyperlink"/>
            <w:rFonts w:eastAsia="宋体" w:hAnsi="Calibri" w:hint="eastAsia"/>
            <w:noProof/>
            <w:highlight w:val="white"/>
          </w:rPr>
          <w:t>第十一部分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基金的转托管、质押、非交易过户、冻结与解冻</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_Toc121776974 \h </w:instrText>
        </w:r>
        <w:r w:rsidR="00952691">
          <w:rPr>
            <w:rFonts w:eastAsia="宋体" w:hAnsi="Calibri"/>
            <w:noProof/>
          </w:rPr>
          <w:fldChar w:fldCharType="separate"/>
        </w:r>
        <w:r>
          <w:rPr>
            <w:rFonts w:eastAsia="宋体" w:hAnsi="Calibri"/>
            <w:noProof/>
            <w:highlight w:val="white"/>
          </w:rPr>
          <w:t>42</w:t>
        </w:r>
        <w:r w:rsidR="00952691">
          <w:rPr>
            <w:rFonts w:eastAsia="宋体" w:hAnsi="Calibri"/>
            <w:noProof/>
          </w:rPr>
          <w:fldChar w:fldCharType="end"/>
        </w:r>
      </w:hyperlink>
    </w:p>
    <w:p w:rsidR="005C6370" w:rsidP="00A24D29" w14:paraId="56181364" w14:textId="21835CA9">
      <w:pPr>
        <w:pStyle w:val="TOC1"/>
        <w:contextualSpacing/>
        <w:rPr>
          <w:rFonts w:eastAsia="宋体" w:hAnsi="Calibri" w:cs="Calibri"/>
          <w:caps w:val="0"/>
          <w:noProof/>
          <w:color w:val="auto"/>
          <w:sz w:val="21"/>
          <w:szCs w:val="22"/>
        </w:rPr>
      </w:pPr>
      <w:hyperlink w:anchor="_Toc121776975" w:tooltip="Current Document" w:history="1">
        <w:r w:rsidR="00952691">
          <w:rPr>
            <w:rStyle w:val="Hyperlink"/>
            <w:rFonts w:eastAsia="宋体" w:hAnsi="Calibri" w:hint="eastAsia"/>
            <w:noProof/>
            <w:highlight w:val="white"/>
          </w:rPr>
          <w:t>第十二部分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基金的投资</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_Toc121776975 \h </w:instrText>
        </w:r>
        <w:r w:rsidR="00952691">
          <w:rPr>
            <w:rFonts w:eastAsia="宋体" w:hAnsi="Calibri"/>
            <w:noProof/>
          </w:rPr>
          <w:fldChar w:fldCharType="separate"/>
        </w:r>
        <w:r>
          <w:rPr>
            <w:rFonts w:eastAsia="宋体" w:hAnsi="Calibri"/>
            <w:noProof/>
            <w:highlight w:val="white"/>
          </w:rPr>
          <w:t>43</w:t>
        </w:r>
        <w:r w:rsidR="00952691">
          <w:rPr>
            <w:rFonts w:eastAsia="宋体" w:hAnsi="Calibri"/>
            <w:noProof/>
          </w:rPr>
          <w:fldChar w:fldCharType="end"/>
        </w:r>
      </w:hyperlink>
    </w:p>
    <w:p w:rsidR="005C6370" w:rsidP="00A24D29" w14:paraId="74ACC4F5" w14:textId="22161DB3">
      <w:pPr>
        <w:pStyle w:val="TOC1"/>
        <w:contextualSpacing/>
        <w:rPr>
          <w:rFonts w:eastAsia="宋体" w:hAnsi="Calibri" w:cs="Calibri"/>
          <w:caps w:val="0"/>
          <w:noProof/>
          <w:color w:val="auto"/>
          <w:sz w:val="21"/>
          <w:szCs w:val="22"/>
        </w:rPr>
      </w:pPr>
      <w:hyperlink w:anchor="_Toc121776976" w:tooltip="Current Document" w:history="1">
        <w:r w:rsidR="00952691">
          <w:rPr>
            <w:rStyle w:val="Hyperlink"/>
            <w:rFonts w:eastAsia="宋体" w:hAnsi="Calibri" w:hint="eastAsia"/>
            <w:noProof/>
            <w:highlight w:val="white"/>
          </w:rPr>
          <w:t>第十三部分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本基金投资于基金管理人所管理基金的原则及方法</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_Toc121776976 \h </w:instrText>
        </w:r>
        <w:r w:rsidR="00952691">
          <w:rPr>
            <w:rFonts w:eastAsia="宋体" w:hAnsi="Calibri"/>
            <w:noProof/>
          </w:rPr>
          <w:fldChar w:fldCharType="separate"/>
        </w:r>
        <w:r>
          <w:rPr>
            <w:rFonts w:eastAsia="宋体" w:hAnsi="Calibri"/>
            <w:noProof/>
            <w:highlight w:val="white"/>
          </w:rPr>
          <w:t>53</w:t>
        </w:r>
        <w:r w:rsidR="00952691">
          <w:rPr>
            <w:rFonts w:eastAsia="宋体" w:hAnsi="Calibri"/>
            <w:noProof/>
          </w:rPr>
          <w:fldChar w:fldCharType="end"/>
        </w:r>
      </w:hyperlink>
    </w:p>
    <w:p w:rsidR="005C6370" w:rsidP="00A24D29" w14:paraId="230CDED8" w14:textId="33A13B51">
      <w:pPr>
        <w:pStyle w:val="TOC1"/>
        <w:contextualSpacing/>
        <w:rPr>
          <w:rFonts w:eastAsia="宋体" w:hAnsi="Calibri" w:cs="Calibri"/>
          <w:caps w:val="0"/>
          <w:noProof/>
          <w:color w:val="auto"/>
          <w:sz w:val="21"/>
          <w:szCs w:val="22"/>
        </w:rPr>
      </w:pPr>
      <w:hyperlink w:anchor="_Toc121776977" w:tooltip="Current Document" w:history="1">
        <w:r w:rsidR="00952691">
          <w:rPr>
            <w:rStyle w:val="Hyperlink"/>
            <w:rFonts w:eastAsia="宋体" w:hAnsi="Calibri" w:hint="eastAsia"/>
            <w:noProof/>
            <w:highlight w:val="white"/>
          </w:rPr>
          <w:t>第十四部分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基金的财产</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_Toc121776977 \h </w:instrText>
        </w:r>
        <w:r w:rsidR="00952691">
          <w:rPr>
            <w:rFonts w:eastAsia="宋体" w:hAnsi="Calibri"/>
            <w:noProof/>
          </w:rPr>
          <w:fldChar w:fldCharType="separate"/>
        </w:r>
        <w:r>
          <w:rPr>
            <w:rFonts w:eastAsia="宋体" w:hAnsi="Calibri"/>
            <w:noProof/>
            <w:highlight w:val="white"/>
          </w:rPr>
          <w:t>55</w:t>
        </w:r>
        <w:r w:rsidR="00952691">
          <w:rPr>
            <w:rFonts w:eastAsia="宋体" w:hAnsi="Calibri"/>
            <w:noProof/>
          </w:rPr>
          <w:fldChar w:fldCharType="end"/>
        </w:r>
      </w:hyperlink>
    </w:p>
    <w:p w:rsidR="005C6370" w:rsidP="00A24D29" w14:paraId="3FCDD76A" w14:textId="04231EEC">
      <w:pPr>
        <w:pStyle w:val="TOC1"/>
        <w:contextualSpacing/>
        <w:rPr>
          <w:rFonts w:eastAsia="宋体" w:hAnsi="Calibri" w:cs="Calibri"/>
          <w:caps w:val="0"/>
          <w:noProof/>
          <w:color w:val="auto"/>
          <w:sz w:val="21"/>
          <w:szCs w:val="22"/>
        </w:rPr>
      </w:pPr>
      <w:hyperlink w:anchor="_Toc121776978" w:tooltip="Current Document" w:history="1">
        <w:r w:rsidR="00952691">
          <w:rPr>
            <w:rStyle w:val="Hyperlink"/>
            <w:rFonts w:eastAsia="宋体" w:hAnsi="Calibri" w:hint="eastAsia"/>
            <w:noProof/>
            <w:highlight w:val="white"/>
          </w:rPr>
          <w:t>第十五部分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基金资产的估值</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_Toc121776978 \h </w:instrText>
        </w:r>
        <w:r w:rsidR="00952691">
          <w:rPr>
            <w:rFonts w:eastAsia="宋体" w:hAnsi="Calibri"/>
            <w:noProof/>
          </w:rPr>
          <w:fldChar w:fldCharType="separate"/>
        </w:r>
        <w:r>
          <w:rPr>
            <w:rFonts w:eastAsia="宋体" w:hAnsi="Calibri"/>
            <w:noProof/>
            <w:highlight w:val="white"/>
          </w:rPr>
          <w:t>56</w:t>
        </w:r>
        <w:r w:rsidR="00952691">
          <w:rPr>
            <w:rFonts w:eastAsia="宋体" w:hAnsi="Calibri"/>
            <w:noProof/>
          </w:rPr>
          <w:fldChar w:fldCharType="end"/>
        </w:r>
      </w:hyperlink>
    </w:p>
    <w:p w:rsidR="005C6370" w:rsidP="00A24D29" w14:paraId="56CDDA45" w14:textId="4EF97E0D">
      <w:pPr>
        <w:pStyle w:val="TOC1"/>
        <w:contextualSpacing/>
        <w:rPr>
          <w:rFonts w:eastAsia="宋体" w:hAnsi="Calibri" w:cs="Calibri"/>
          <w:caps w:val="0"/>
          <w:noProof/>
          <w:color w:val="auto"/>
          <w:sz w:val="21"/>
          <w:szCs w:val="22"/>
        </w:rPr>
      </w:pPr>
      <w:hyperlink w:anchor="_Toc121776979" w:tooltip="Current Document" w:history="1">
        <w:r w:rsidR="00952691">
          <w:rPr>
            <w:rStyle w:val="Hyperlink"/>
            <w:rFonts w:eastAsia="宋体" w:hAnsi="Calibri" w:hint="eastAsia"/>
            <w:noProof/>
            <w:highlight w:val="white"/>
          </w:rPr>
          <w:t>第十六部分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基金的收益分配</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_Toc121776979 \h </w:instrText>
        </w:r>
        <w:r w:rsidR="00952691">
          <w:rPr>
            <w:rFonts w:eastAsia="宋体" w:hAnsi="Calibri"/>
            <w:noProof/>
          </w:rPr>
          <w:fldChar w:fldCharType="separate"/>
        </w:r>
        <w:r>
          <w:rPr>
            <w:rFonts w:eastAsia="宋体" w:hAnsi="Calibri"/>
            <w:noProof/>
            <w:highlight w:val="white"/>
          </w:rPr>
          <w:t>62</w:t>
        </w:r>
        <w:r w:rsidR="00952691">
          <w:rPr>
            <w:rFonts w:eastAsia="宋体" w:hAnsi="Calibri"/>
            <w:noProof/>
          </w:rPr>
          <w:fldChar w:fldCharType="end"/>
        </w:r>
      </w:hyperlink>
    </w:p>
    <w:p w:rsidR="005C6370" w:rsidP="00A24D29" w14:paraId="323B5DF6" w14:textId="25F01461">
      <w:pPr>
        <w:pStyle w:val="TOC1"/>
        <w:contextualSpacing/>
        <w:rPr>
          <w:rFonts w:eastAsia="宋体" w:hAnsi="Calibri" w:cs="Calibri"/>
          <w:caps w:val="0"/>
          <w:noProof/>
          <w:color w:val="auto"/>
          <w:sz w:val="21"/>
          <w:szCs w:val="22"/>
        </w:rPr>
      </w:pPr>
      <w:hyperlink w:anchor="_Toc121776980" w:tooltip="Current Document" w:history="1">
        <w:r w:rsidR="00952691">
          <w:rPr>
            <w:rStyle w:val="Hyperlink"/>
            <w:rFonts w:eastAsia="宋体" w:hAnsi="Calibri" w:hint="eastAsia"/>
            <w:noProof/>
            <w:highlight w:val="white"/>
          </w:rPr>
          <w:t>第十七部分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基金的费用与税收</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_Toc121776980 \h </w:instrText>
        </w:r>
        <w:r w:rsidR="00952691">
          <w:rPr>
            <w:rFonts w:eastAsia="宋体" w:hAnsi="Calibri"/>
            <w:noProof/>
          </w:rPr>
          <w:fldChar w:fldCharType="separate"/>
        </w:r>
        <w:r>
          <w:rPr>
            <w:rFonts w:eastAsia="宋体" w:hAnsi="Calibri"/>
            <w:noProof/>
            <w:highlight w:val="white"/>
          </w:rPr>
          <w:t>64</w:t>
        </w:r>
        <w:r w:rsidR="00952691">
          <w:rPr>
            <w:rFonts w:eastAsia="宋体" w:hAnsi="Calibri"/>
            <w:noProof/>
          </w:rPr>
          <w:fldChar w:fldCharType="end"/>
        </w:r>
      </w:hyperlink>
    </w:p>
    <w:p w:rsidR="005C6370" w:rsidP="00A24D29" w14:paraId="2A90787D" w14:textId="431C7DAE">
      <w:pPr>
        <w:pStyle w:val="TOC1"/>
        <w:contextualSpacing/>
        <w:rPr>
          <w:rFonts w:eastAsia="宋体" w:hAnsi="Calibri" w:cs="Calibri"/>
          <w:caps w:val="0"/>
          <w:noProof/>
          <w:color w:val="auto"/>
          <w:sz w:val="21"/>
          <w:szCs w:val="22"/>
        </w:rPr>
      </w:pPr>
      <w:hyperlink w:anchor="_Toc121776981" w:tooltip="Current Document" w:history="1">
        <w:r w:rsidR="00952691">
          <w:rPr>
            <w:rStyle w:val="Hyperlink"/>
            <w:rFonts w:eastAsia="宋体" w:hAnsi="Calibri" w:hint="eastAsia"/>
            <w:noProof/>
            <w:highlight w:val="white"/>
          </w:rPr>
          <w:t>第十八部分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基金的会计与审计</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_Toc121776981 \h </w:instrText>
        </w:r>
        <w:r w:rsidR="00952691">
          <w:rPr>
            <w:rFonts w:eastAsia="宋体" w:hAnsi="Calibri"/>
            <w:noProof/>
          </w:rPr>
          <w:fldChar w:fldCharType="separate"/>
        </w:r>
        <w:r>
          <w:rPr>
            <w:rFonts w:eastAsia="宋体" w:hAnsi="Calibri"/>
            <w:noProof/>
            <w:highlight w:val="white"/>
          </w:rPr>
          <w:t>68</w:t>
        </w:r>
        <w:r w:rsidR="00952691">
          <w:rPr>
            <w:rFonts w:eastAsia="宋体" w:hAnsi="Calibri"/>
            <w:noProof/>
          </w:rPr>
          <w:fldChar w:fldCharType="end"/>
        </w:r>
      </w:hyperlink>
    </w:p>
    <w:p w:rsidR="005C6370" w:rsidP="00A24D29" w14:paraId="036B3040" w14:textId="12112FE3">
      <w:pPr>
        <w:pStyle w:val="TOC1"/>
        <w:contextualSpacing/>
        <w:rPr>
          <w:rFonts w:eastAsia="宋体" w:hAnsi="Calibri" w:cs="Calibri"/>
          <w:caps w:val="0"/>
          <w:noProof/>
          <w:color w:val="auto"/>
          <w:sz w:val="21"/>
          <w:szCs w:val="22"/>
        </w:rPr>
      </w:pPr>
      <w:hyperlink w:anchor="_Toc121776982" w:tooltip="Current Document" w:history="1">
        <w:r w:rsidR="00952691">
          <w:rPr>
            <w:rStyle w:val="Hyperlink"/>
            <w:rFonts w:eastAsia="宋体" w:hAnsi="Calibri" w:hint="eastAsia"/>
            <w:noProof/>
            <w:highlight w:val="white"/>
          </w:rPr>
          <w:t>第十九部分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基金的信息披露</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_Toc121776982 \h </w:instrText>
        </w:r>
        <w:r w:rsidR="00952691">
          <w:rPr>
            <w:rFonts w:eastAsia="宋体" w:hAnsi="Calibri"/>
            <w:noProof/>
          </w:rPr>
          <w:fldChar w:fldCharType="separate"/>
        </w:r>
        <w:r>
          <w:rPr>
            <w:rFonts w:eastAsia="宋体" w:hAnsi="Calibri"/>
            <w:noProof/>
            <w:highlight w:val="white"/>
          </w:rPr>
          <w:t>69</w:t>
        </w:r>
        <w:r w:rsidR="00952691">
          <w:rPr>
            <w:rFonts w:eastAsia="宋体" w:hAnsi="Calibri"/>
            <w:noProof/>
          </w:rPr>
          <w:fldChar w:fldCharType="end"/>
        </w:r>
      </w:hyperlink>
    </w:p>
    <w:p w:rsidR="005C6370" w:rsidP="00A24D29" w14:paraId="4226BCC0" w14:textId="75119504">
      <w:pPr>
        <w:pStyle w:val="TOC1"/>
        <w:contextualSpacing/>
        <w:rPr>
          <w:rFonts w:eastAsia="宋体" w:hAnsi="Calibri" w:cs="Calibri"/>
          <w:caps w:val="0"/>
          <w:noProof/>
          <w:color w:val="auto"/>
          <w:sz w:val="21"/>
          <w:szCs w:val="22"/>
        </w:rPr>
      </w:pPr>
      <w:hyperlink w:anchor="_Toc121776983" w:tooltip="Current Document" w:history="1">
        <w:r w:rsidR="00952691">
          <w:rPr>
            <w:rStyle w:val="Hyperlink"/>
            <w:rFonts w:eastAsia="宋体" w:hAnsi="Calibri" w:hint="eastAsia"/>
            <w:noProof/>
            <w:highlight w:val="white"/>
          </w:rPr>
          <w:t>第二十部分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基金持有其他基金的信息披露</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_Toc121776983 \h </w:instrText>
        </w:r>
        <w:r w:rsidR="00952691">
          <w:rPr>
            <w:rFonts w:eastAsia="宋体" w:hAnsi="Calibri"/>
            <w:noProof/>
          </w:rPr>
          <w:fldChar w:fldCharType="separate"/>
        </w:r>
        <w:r>
          <w:rPr>
            <w:rFonts w:eastAsia="宋体" w:hAnsi="Calibri"/>
            <w:noProof/>
            <w:highlight w:val="white"/>
          </w:rPr>
          <w:t>75</w:t>
        </w:r>
        <w:r w:rsidR="00952691">
          <w:rPr>
            <w:rFonts w:eastAsia="宋体" w:hAnsi="Calibri"/>
            <w:noProof/>
          </w:rPr>
          <w:fldChar w:fldCharType="end"/>
        </w:r>
      </w:hyperlink>
    </w:p>
    <w:p w:rsidR="005C6370" w:rsidP="00A24D29" w14:paraId="6323DFC0" w14:textId="579E1908">
      <w:pPr>
        <w:pStyle w:val="TOC1"/>
        <w:contextualSpacing/>
        <w:rPr>
          <w:rFonts w:eastAsia="宋体" w:hAnsi="Calibri" w:cs="Calibri"/>
          <w:caps w:val="0"/>
          <w:noProof/>
          <w:color w:val="auto"/>
          <w:sz w:val="21"/>
          <w:szCs w:val="22"/>
        </w:rPr>
      </w:pPr>
      <w:hyperlink w:anchor="_Toc121776984" w:tooltip="Current Document" w:history="1">
        <w:r w:rsidR="00952691">
          <w:rPr>
            <w:rStyle w:val="Hyperlink"/>
            <w:rFonts w:eastAsia="宋体" w:hAnsi="Calibri" w:hint="eastAsia"/>
            <w:noProof/>
            <w:highlight w:val="white"/>
          </w:rPr>
          <w:t>第二十一部分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侧袋机制</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_Toc121776984 \h </w:instrText>
        </w:r>
        <w:r w:rsidR="00952691">
          <w:rPr>
            <w:rFonts w:eastAsia="宋体" w:hAnsi="Calibri"/>
            <w:noProof/>
          </w:rPr>
          <w:fldChar w:fldCharType="separate"/>
        </w:r>
        <w:r>
          <w:rPr>
            <w:rFonts w:eastAsia="宋体" w:hAnsi="Calibri"/>
            <w:noProof/>
            <w:highlight w:val="white"/>
          </w:rPr>
          <w:t>80</w:t>
        </w:r>
        <w:r w:rsidR="00952691">
          <w:rPr>
            <w:rFonts w:eastAsia="宋体" w:hAnsi="Calibri"/>
            <w:noProof/>
          </w:rPr>
          <w:fldChar w:fldCharType="end"/>
        </w:r>
      </w:hyperlink>
    </w:p>
    <w:p w:rsidR="005C6370" w:rsidP="00A24D29" w14:paraId="724BA5F5" w14:textId="5EB0C35B">
      <w:pPr>
        <w:pStyle w:val="TOC1"/>
        <w:contextualSpacing/>
        <w:rPr>
          <w:rFonts w:eastAsia="宋体" w:hAnsi="Calibri" w:cs="Calibri"/>
          <w:caps w:val="0"/>
          <w:noProof/>
          <w:color w:val="auto"/>
          <w:sz w:val="21"/>
          <w:szCs w:val="22"/>
        </w:rPr>
      </w:pPr>
      <w:hyperlink w:anchor="_Toc121776985" w:tooltip="Current Document" w:history="1">
        <w:r w:rsidR="00952691">
          <w:rPr>
            <w:rStyle w:val="Hyperlink"/>
            <w:rFonts w:eastAsia="宋体" w:hAnsi="Calibri" w:hint="eastAsia"/>
            <w:noProof/>
            <w:highlight w:val="white"/>
          </w:rPr>
          <w:t>第二十二部分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风险揭示</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_Toc121776985 \h </w:instrText>
        </w:r>
        <w:r w:rsidR="00952691">
          <w:rPr>
            <w:rFonts w:eastAsia="宋体" w:hAnsi="Calibri"/>
            <w:noProof/>
          </w:rPr>
          <w:fldChar w:fldCharType="separate"/>
        </w:r>
        <w:r>
          <w:rPr>
            <w:rFonts w:eastAsia="宋体" w:hAnsi="Calibri"/>
            <w:noProof/>
            <w:highlight w:val="white"/>
          </w:rPr>
          <w:t>82</w:t>
        </w:r>
        <w:r w:rsidR="00952691">
          <w:rPr>
            <w:rFonts w:eastAsia="宋体" w:hAnsi="Calibri"/>
            <w:noProof/>
          </w:rPr>
          <w:fldChar w:fldCharType="end"/>
        </w:r>
      </w:hyperlink>
    </w:p>
    <w:p w:rsidR="005C6370" w:rsidP="00A24D29" w14:paraId="5B2AA6B5" w14:textId="73098BEB">
      <w:pPr>
        <w:pStyle w:val="TOC1"/>
        <w:contextualSpacing/>
        <w:rPr>
          <w:rFonts w:eastAsia="宋体" w:hAnsi="Calibri" w:cs="Calibri"/>
          <w:caps w:val="0"/>
          <w:noProof/>
          <w:color w:val="auto"/>
          <w:sz w:val="21"/>
          <w:szCs w:val="22"/>
        </w:rPr>
      </w:pPr>
      <w:hyperlink w:anchor="_Toc121776986" w:tooltip="Current Document" w:history="1">
        <w:r w:rsidR="00952691">
          <w:rPr>
            <w:rStyle w:val="Hyperlink"/>
            <w:rFonts w:eastAsia="宋体" w:hAnsi="Calibri" w:hint="eastAsia"/>
            <w:noProof/>
            <w:highlight w:val="white"/>
          </w:rPr>
          <w:t>第二十三部分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基金合同的变更、终止与基金财产的清算</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_Toc121776986 \h </w:instrText>
        </w:r>
        <w:r w:rsidR="00952691">
          <w:rPr>
            <w:rFonts w:eastAsia="宋体" w:hAnsi="Calibri"/>
            <w:noProof/>
          </w:rPr>
          <w:fldChar w:fldCharType="separate"/>
        </w:r>
        <w:r>
          <w:rPr>
            <w:rFonts w:eastAsia="宋体" w:hAnsi="Calibri"/>
            <w:noProof/>
            <w:highlight w:val="white"/>
          </w:rPr>
          <w:t>98</w:t>
        </w:r>
        <w:r w:rsidR="00952691">
          <w:rPr>
            <w:rFonts w:eastAsia="宋体" w:hAnsi="Calibri"/>
            <w:noProof/>
          </w:rPr>
          <w:fldChar w:fldCharType="end"/>
        </w:r>
      </w:hyperlink>
    </w:p>
    <w:p w:rsidR="005C6370" w:rsidP="00A24D29" w14:paraId="0E4A4D97" w14:textId="69FF1818">
      <w:pPr>
        <w:pStyle w:val="TOC1"/>
        <w:contextualSpacing/>
        <w:rPr>
          <w:rFonts w:eastAsia="宋体" w:hAnsi="Calibri" w:cs="Calibri"/>
          <w:caps w:val="0"/>
          <w:noProof/>
          <w:color w:val="auto"/>
          <w:sz w:val="21"/>
          <w:szCs w:val="22"/>
        </w:rPr>
      </w:pPr>
      <w:hyperlink w:anchor="_Toc121776987" w:tooltip="Current Document" w:history="1">
        <w:r w:rsidR="00952691">
          <w:rPr>
            <w:rStyle w:val="Hyperlink"/>
            <w:rFonts w:eastAsia="宋体" w:hAnsi="Calibri" w:hint="eastAsia"/>
            <w:noProof/>
            <w:highlight w:val="white"/>
          </w:rPr>
          <w:t>第二十四部分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基金合同的内容摘要</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_Toc121776987 \h </w:instrText>
        </w:r>
        <w:r w:rsidR="00952691">
          <w:rPr>
            <w:rFonts w:eastAsia="宋体" w:hAnsi="Calibri"/>
            <w:noProof/>
          </w:rPr>
          <w:fldChar w:fldCharType="separate"/>
        </w:r>
        <w:r>
          <w:rPr>
            <w:rFonts w:eastAsia="宋体" w:hAnsi="Calibri"/>
            <w:noProof/>
            <w:highlight w:val="white"/>
          </w:rPr>
          <w:t>100</w:t>
        </w:r>
        <w:r w:rsidR="00952691">
          <w:rPr>
            <w:rFonts w:eastAsia="宋体" w:hAnsi="Calibri"/>
            <w:noProof/>
          </w:rPr>
          <w:fldChar w:fldCharType="end"/>
        </w:r>
      </w:hyperlink>
    </w:p>
    <w:p w:rsidR="005C6370" w:rsidP="00A24D29" w14:paraId="538F598B" w14:textId="11DB90CD">
      <w:pPr>
        <w:pStyle w:val="TOC1"/>
        <w:contextualSpacing/>
        <w:rPr>
          <w:rFonts w:eastAsia="宋体" w:hAnsi="Calibri" w:cs="Calibri"/>
          <w:caps w:val="0"/>
          <w:noProof/>
          <w:color w:val="auto"/>
          <w:sz w:val="21"/>
          <w:szCs w:val="22"/>
        </w:rPr>
      </w:pPr>
      <w:hyperlink w:anchor="_Toc121776988" w:tooltip="Current Document" w:history="1">
        <w:r w:rsidR="00952691">
          <w:rPr>
            <w:rStyle w:val="Hyperlink"/>
            <w:rFonts w:eastAsia="宋体" w:hAnsi="Calibri" w:hint="eastAsia"/>
            <w:noProof/>
            <w:highlight w:val="white"/>
          </w:rPr>
          <w:t>第二十五部分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基金托管协议的内容摘要</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_Toc121776988 \h </w:instrText>
        </w:r>
        <w:r w:rsidR="00952691">
          <w:rPr>
            <w:rFonts w:eastAsia="宋体" w:hAnsi="Calibri"/>
            <w:noProof/>
          </w:rPr>
          <w:fldChar w:fldCharType="separate"/>
        </w:r>
        <w:r>
          <w:rPr>
            <w:rFonts w:eastAsia="宋体" w:hAnsi="Calibri"/>
            <w:noProof/>
            <w:highlight w:val="white"/>
          </w:rPr>
          <w:t>117</w:t>
        </w:r>
        <w:r w:rsidR="00952691">
          <w:rPr>
            <w:rFonts w:eastAsia="宋体" w:hAnsi="Calibri"/>
            <w:noProof/>
          </w:rPr>
          <w:fldChar w:fldCharType="end"/>
        </w:r>
      </w:hyperlink>
    </w:p>
    <w:p w:rsidR="005C6370" w:rsidP="00A24D29" w14:paraId="3D6B1279" w14:textId="43920A45">
      <w:pPr>
        <w:pStyle w:val="TOC1"/>
        <w:contextualSpacing/>
        <w:rPr>
          <w:rFonts w:eastAsia="宋体" w:hAnsi="Calibri" w:cs="Calibri"/>
          <w:caps w:val="0"/>
          <w:noProof/>
          <w:color w:val="auto"/>
          <w:sz w:val="21"/>
          <w:szCs w:val="22"/>
        </w:rPr>
      </w:pPr>
      <w:hyperlink w:anchor="_Toc121776989" w:tooltip="Current Document" w:history="1">
        <w:r w:rsidR="00952691">
          <w:rPr>
            <w:rStyle w:val="Hyperlink"/>
            <w:rFonts w:eastAsia="宋体" w:hAnsi="Calibri" w:hint="eastAsia"/>
            <w:noProof/>
            <w:highlight w:val="white"/>
          </w:rPr>
          <w:t>第二十六部分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对基金份额持有人的服务</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_Toc121776989 \h </w:instrText>
        </w:r>
        <w:r w:rsidR="00952691">
          <w:rPr>
            <w:rFonts w:eastAsia="宋体" w:hAnsi="Calibri"/>
            <w:noProof/>
          </w:rPr>
          <w:fldChar w:fldCharType="separate"/>
        </w:r>
        <w:r>
          <w:rPr>
            <w:rFonts w:eastAsia="宋体" w:hAnsi="Calibri"/>
            <w:noProof/>
            <w:highlight w:val="white"/>
          </w:rPr>
          <w:t>137</w:t>
        </w:r>
        <w:r w:rsidR="00952691">
          <w:rPr>
            <w:rFonts w:eastAsia="宋体" w:hAnsi="Calibri"/>
            <w:noProof/>
          </w:rPr>
          <w:fldChar w:fldCharType="end"/>
        </w:r>
      </w:hyperlink>
    </w:p>
    <w:p w:rsidR="005C6370" w:rsidP="00A24D29" w14:paraId="4FB071CA" w14:textId="731CC43B">
      <w:pPr>
        <w:pStyle w:val="TOC1"/>
        <w:contextualSpacing/>
        <w:rPr>
          <w:rFonts w:eastAsia="宋体" w:hAnsi="Calibri" w:cs="Calibri"/>
          <w:caps w:val="0"/>
          <w:noProof/>
          <w:color w:val="auto"/>
          <w:sz w:val="21"/>
          <w:szCs w:val="22"/>
        </w:rPr>
      </w:pPr>
      <w:hyperlink w:anchor="_Toc121776990" w:tooltip="Current Document" w:history="1">
        <w:r w:rsidR="00952691">
          <w:rPr>
            <w:rStyle w:val="Hyperlink"/>
            <w:rFonts w:eastAsia="宋体" w:hAnsi="Calibri" w:hint="eastAsia"/>
            <w:noProof/>
            <w:highlight w:val="white"/>
          </w:rPr>
          <w:t>第二十七部分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其他应披露事项</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_Toc121776990 \h </w:instrText>
        </w:r>
        <w:r w:rsidR="00952691">
          <w:rPr>
            <w:rFonts w:eastAsia="宋体" w:hAnsi="Calibri"/>
            <w:noProof/>
          </w:rPr>
          <w:fldChar w:fldCharType="separate"/>
        </w:r>
        <w:r>
          <w:rPr>
            <w:rFonts w:eastAsia="宋体" w:hAnsi="Calibri"/>
            <w:noProof/>
            <w:highlight w:val="white"/>
          </w:rPr>
          <w:t>138</w:t>
        </w:r>
        <w:r w:rsidR="00952691">
          <w:rPr>
            <w:rFonts w:eastAsia="宋体" w:hAnsi="Calibri"/>
            <w:noProof/>
          </w:rPr>
          <w:fldChar w:fldCharType="end"/>
        </w:r>
      </w:hyperlink>
    </w:p>
    <w:p w:rsidR="005C6370" w:rsidP="00A24D29" w14:paraId="3F0A3750" w14:textId="4BE088A2">
      <w:pPr>
        <w:pStyle w:val="TOC1"/>
        <w:contextualSpacing/>
        <w:rPr>
          <w:rFonts w:eastAsia="宋体" w:hAnsi="Calibri" w:cs="Calibri"/>
          <w:caps w:val="0"/>
          <w:noProof/>
          <w:color w:val="auto"/>
          <w:sz w:val="21"/>
          <w:szCs w:val="22"/>
        </w:rPr>
      </w:pPr>
      <w:hyperlink w:anchor="_Toc121776991" w:tooltip="Current Document" w:history="1">
        <w:r w:rsidR="00952691">
          <w:rPr>
            <w:rStyle w:val="Hyperlink"/>
            <w:rFonts w:eastAsia="宋体" w:hAnsi="Calibri" w:hint="eastAsia"/>
            <w:noProof/>
            <w:highlight w:val="white"/>
          </w:rPr>
          <w:t>第二十八部分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招募说明书的存放及查阅方式</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_Toc121776991 \h </w:instrText>
        </w:r>
        <w:r w:rsidR="00952691">
          <w:rPr>
            <w:rFonts w:eastAsia="宋体" w:hAnsi="Calibri"/>
            <w:noProof/>
          </w:rPr>
          <w:fldChar w:fldCharType="separate"/>
        </w:r>
        <w:r>
          <w:rPr>
            <w:rFonts w:eastAsia="宋体" w:hAnsi="Calibri"/>
            <w:noProof/>
            <w:highlight w:val="white"/>
          </w:rPr>
          <w:t>139</w:t>
        </w:r>
        <w:r w:rsidR="00952691">
          <w:rPr>
            <w:rFonts w:eastAsia="宋体" w:hAnsi="Calibri"/>
            <w:noProof/>
          </w:rPr>
          <w:fldChar w:fldCharType="end"/>
        </w:r>
      </w:hyperlink>
    </w:p>
    <w:p w:rsidR="005C6370" w:rsidP="00A24D29" w14:paraId="05F8C53E" w14:textId="002058A5">
      <w:pPr>
        <w:pStyle w:val="TOC1"/>
        <w:contextualSpacing/>
        <w:rPr>
          <w:rFonts w:eastAsia="宋体" w:hAnsi="Calibri" w:cs="Calibri"/>
          <w:caps w:val="0"/>
          <w:noProof/>
          <w:color w:val="auto"/>
          <w:sz w:val="21"/>
          <w:szCs w:val="22"/>
        </w:rPr>
      </w:pPr>
      <w:hyperlink w:anchor="_Toc121776992" w:tooltip="Current Document" w:history="1">
        <w:r w:rsidR="00952691">
          <w:rPr>
            <w:rStyle w:val="Hyperlink"/>
            <w:rFonts w:eastAsia="宋体" w:hAnsi="Calibri" w:hint="eastAsia"/>
            <w:noProof/>
            <w:highlight w:val="white"/>
          </w:rPr>
          <w:t>第二十九部分</w:t>
        </w:r>
        <w:r w:rsidR="00952691">
          <w:rPr>
            <w:rStyle w:val="Hyperlink"/>
            <w:rFonts w:eastAsia="宋体" w:hAnsi="Calibri"/>
            <w:noProof/>
            <w:highlight w:val="white"/>
          </w:rPr>
          <w:t xml:space="preserve"> </w:t>
        </w:r>
        <w:r w:rsidR="00952691">
          <w:rPr>
            <w:rStyle w:val="Hyperlink"/>
            <w:rFonts w:eastAsia="宋体" w:hAnsi="Calibri" w:hint="eastAsia"/>
            <w:noProof/>
            <w:highlight w:val="white"/>
          </w:rPr>
          <w:t>备查文件</w:t>
        </w:r>
        <w:r w:rsidR="00952691">
          <w:rPr>
            <w:rFonts w:eastAsia="宋体" w:hAnsi="Calibri"/>
            <w:noProof/>
            <w:highlight w:val="white"/>
          </w:rPr>
          <w:tab/>
        </w:r>
        <w:r w:rsidR="00952691">
          <w:rPr>
            <w:rFonts w:eastAsia="宋体" w:hAnsi="Calibri"/>
            <w:noProof/>
          </w:rPr>
          <w:fldChar w:fldCharType="begin"/>
        </w:r>
        <w:r w:rsidR="00952691">
          <w:rPr>
            <w:rFonts w:eastAsia="宋体" w:hAnsi="Calibri"/>
            <w:noProof/>
            <w:highlight w:val="white"/>
          </w:rPr>
          <w:instrText xml:space="preserve"> PAGEREF _Toc121776992 \h </w:instrText>
        </w:r>
        <w:r w:rsidR="00952691">
          <w:rPr>
            <w:rFonts w:eastAsia="宋体" w:hAnsi="Calibri"/>
            <w:noProof/>
          </w:rPr>
          <w:fldChar w:fldCharType="separate"/>
        </w:r>
        <w:r>
          <w:rPr>
            <w:rFonts w:eastAsia="宋体" w:hAnsi="Calibri"/>
            <w:noProof/>
            <w:highlight w:val="white"/>
          </w:rPr>
          <w:t>140</w:t>
        </w:r>
        <w:r w:rsidR="00952691">
          <w:rPr>
            <w:rFonts w:eastAsia="宋体" w:hAnsi="Calibri"/>
            <w:noProof/>
          </w:rPr>
          <w:fldChar w:fldCharType="end"/>
        </w:r>
      </w:hyperlink>
    </w:p>
    <w:p w:rsidR="005C6370" w:rsidP="00A24D29" w14:paraId="33B39272" w14:textId="77777777">
      <w:pPr>
        <w:ind w:firstLine="560"/>
        <w:contextualSpacing/>
        <w:jc w:val="center"/>
        <w:rPr>
          <w:rFonts w:ascii="宋体" w:hAnsi="Calibri"/>
          <w:b/>
          <w:caps/>
          <w:sz w:val="24"/>
          <w:szCs w:val="28"/>
        </w:rPr>
      </w:pPr>
      <w:r>
        <w:rPr>
          <w:rFonts w:ascii="宋体" w:hAnsi="Calibri"/>
          <w:b/>
          <w:caps/>
          <w:sz w:val="24"/>
          <w:szCs w:val="28"/>
        </w:rPr>
        <w:fldChar w:fldCharType="end"/>
      </w:r>
    </w:p>
    <w:p w:rsidR="005C6370" w:rsidP="00A24D29" w14:paraId="0B05FEBA" w14:textId="77777777">
      <w:pPr>
        <w:ind w:firstLine="560"/>
        <w:contextualSpacing/>
        <w:jc w:val="center"/>
        <w:rPr>
          <w:rFonts w:ascii="宋体" w:hAnsi="Calibri"/>
          <w:b/>
          <w:caps/>
          <w:sz w:val="24"/>
          <w:szCs w:val="28"/>
        </w:rPr>
        <w:sectPr>
          <w:footerReference w:type="default" r:id="rId5"/>
          <w:pgSz w:w="11906" w:h="16838"/>
          <w:pgMar w:top="1440" w:right="1803" w:bottom="1440" w:left="1803" w:header="851" w:footer="992" w:gutter="0"/>
          <w:pgNumType w:start="1"/>
          <w:cols w:space="720"/>
          <w:docGrid w:type="lines" w:linePitch="317"/>
        </w:sectPr>
      </w:pPr>
    </w:p>
    <w:p w:rsidR="005C6370" w:rsidP="00A24D29" w14:paraId="0009DAD9" w14:textId="77777777">
      <w:pPr>
        <w:pStyle w:val="10"/>
        <w:spacing w:before="317" w:after="317" w:line="320" w:lineRule="exact"/>
        <w:ind w:firstLine="600"/>
        <w:contextualSpacing/>
        <w:rPr>
          <w:rFonts w:ascii="宋体" w:eastAsia="宋体" w:hAnsi="Calibri"/>
          <w:b w:val="0"/>
          <w:sz w:val="30"/>
          <w:szCs w:val="30"/>
          <w:lang w:eastAsia="zh-CN"/>
        </w:rPr>
      </w:pPr>
      <w:bookmarkStart w:id="1" w:name="_Toc332373444"/>
      <w:bookmarkStart w:id="2" w:name="_Toc121776964"/>
      <w:r>
        <w:rPr>
          <w:rFonts w:ascii="宋体" w:eastAsia="宋体" w:hAnsi="Calibri" w:hint="eastAsia"/>
          <w:b w:val="0"/>
          <w:sz w:val="30"/>
          <w:szCs w:val="30"/>
          <w:highlight w:val="white"/>
          <w:lang w:eastAsia="zh-CN"/>
        </w:rPr>
        <w:t>第一部分 绪  言</w:t>
      </w:r>
      <w:bookmarkEnd w:id="1"/>
      <w:bookmarkEnd w:id="2"/>
    </w:p>
    <w:p w:rsidR="005C6370" w:rsidP="00A24D29" w14:paraId="151D6FEE" w14:textId="77777777">
      <w:pPr>
        <w:spacing w:line="360" w:lineRule="auto"/>
        <w:ind w:firstLine="420"/>
        <w:contextualSpacing/>
        <w:rPr>
          <w:rFonts w:ascii="宋体" w:hAnsi="Calibri"/>
          <w:lang w:eastAsia="zh-CN"/>
        </w:rPr>
      </w:pPr>
    </w:p>
    <w:p w:rsidR="005C6370" w:rsidP="00A24D29" w14:paraId="255BC0AD" w14:textId="77777777">
      <w:pPr>
        <w:spacing w:line="360" w:lineRule="auto"/>
        <w:ind w:firstLine="420"/>
        <w:contextualSpacing/>
        <w:rPr>
          <w:rFonts w:ascii="宋体" w:hAnsi="Calibri"/>
          <w:lang w:eastAsia="zh-CN"/>
        </w:rPr>
      </w:pPr>
      <w:r>
        <w:rPr>
          <w:rFonts w:ascii="宋体" w:hAnsi="Calibri" w:hint="eastAsia"/>
          <w:highlight w:val="white"/>
          <w:lang w:eastAsia="zh-CN"/>
        </w:rPr>
        <w:t>本招募说明书依据《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证券投资基金信息披露内容与格式准则第5号&lt;招募说明书的内容与格式&gt;》《公开募集证券投资基金运作指引第2号-基金中基金指引》《公开募集开放式证券投资基金流动性风险管理规定》（以下简称《</w:t>
      </w:r>
      <w:r>
        <w:rPr>
          <w:rStyle w:val="da"/>
          <w:rFonts w:ascii="宋体" w:hAnsi="Calibri" w:hint="eastAsia"/>
          <w:highlight w:val="white"/>
          <w:lang w:eastAsia="zh-CN"/>
        </w:rPr>
        <w:t>流动性风险</w:t>
      </w:r>
      <w:r>
        <w:rPr>
          <w:rFonts w:ascii="宋体" w:hAnsi="Calibri" w:hint="eastAsia"/>
          <w:highlight w:val="white"/>
          <w:lang w:eastAsia="zh-CN"/>
        </w:rPr>
        <w:t>管理规定》）、《</w:t>
      </w:r>
      <w:r>
        <w:rPr>
          <w:rFonts w:ascii="宋体" w:hAnsi="Calibri" w:hint="eastAsia"/>
          <w:lang w:eastAsia="zh-CN"/>
        </w:rPr>
        <w:t>易方达如意盈越3个月持有期混合型基金中基金（FOF）</w:t>
      </w:r>
      <w:r>
        <w:rPr>
          <w:rFonts w:ascii="宋体" w:hAnsi="Calibri" w:hint="eastAsia"/>
          <w:highlight w:val="white"/>
          <w:lang w:eastAsia="zh-CN"/>
        </w:rPr>
        <w:t>基金合同》（以下简称基金合同）及其它有关规定等编写。</w:t>
      </w:r>
    </w:p>
    <w:p w:rsidR="005C6370" w:rsidP="00A24D29" w14:paraId="4BFB6B5B" w14:textId="77777777">
      <w:pPr>
        <w:spacing w:line="360" w:lineRule="auto"/>
        <w:ind w:firstLine="420"/>
        <w:contextualSpacing/>
        <w:rPr>
          <w:rFonts w:ascii="宋体" w:hAnsi="Calibri"/>
          <w:lang w:eastAsia="zh-CN"/>
        </w:rPr>
      </w:pPr>
      <w:r>
        <w:rPr>
          <w:rStyle w:val="da"/>
          <w:rFonts w:ascii="宋体" w:hAnsi="Calibri" w:hint="eastAsia"/>
          <w:highlight w:val="white"/>
          <w:lang w:eastAsia="zh-CN"/>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rsidR="005C6370" w:rsidP="00A24D29" w14:paraId="075266C4"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本招募说明书根据本基金的基金合同编写，并经中国证监会注册。基金合同是约定基金当事人之间权利、义务的法律文件。基金投资人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rsidR="005C6370" w:rsidP="00A24D29" w14:paraId="7F3D2579" w14:textId="77777777">
      <w:pPr>
        <w:spacing w:line="360" w:lineRule="auto"/>
        <w:ind w:firstLine="482"/>
        <w:contextualSpacing/>
        <w:rPr>
          <w:rFonts w:ascii="宋体" w:hAnsi="Calibri"/>
          <w:lang w:eastAsia="zh-CN"/>
        </w:rPr>
      </w:pPr>
      <w:r>
        <w:rPr>
          <w:rFonts w:ascii="宋体" w:hAnsi="Calibri" w:hint="eastAsia"/>
          <w:highlight w:val="white"/>
          <w:lang w:eastAsia="zh-CN"/>
        </w:rPr>
        <w:t>本基金按照中国法律法规成立并运作，若基金合同、招募说明书等基金法律文件的内容与届时有效的法律法规的强制性规定不一致，应当以届时有效的法律法规的规定为准。</w:t>
      </w:r>
    </w:p>
    <w:p w:rsidR="005C6370" w:rsidP="00A24D29" w14:paraId="67D37C9B" w14:textId="77777777">
      <w:pPr>
        <w:spacing w:line="360" w:lineRule="auto"/>
        <w:ind w:firstLine="482"/>
        <w:contextualSpacing/>
        <w:rPr>
          <w:rFonts w:ascii="宋体" w:hAnsi="Calibri"/>
          <w:lang w:eastAsia="zh-CN"/>
        </w:rPr>
      </w:pPr>
    </w:p>
    <w:p w:rsidR="005C6370" w:rsidP="00A24D29" w14:paraId="376024A5" w14:textId="77777777">
      <w:pPr>
        <w:spacing w:line="360" w:lineRule="auto"/>
        <w:ind w:firstLine="482"/>
        <w:contextualSpacing/>
        <w:rPr>
          <w:rFonts w:ascii="宋体" w:hAnsi="Calibri"/>
          <w:lang w:eastAsia="zh-CN"/>
        </w:rPr>
      </w:pPr>
    </w:p>
    <w:p w:rsidR="005C6370" w:rsidP="00A24D29" w14:paraId="7E6A9BB7" w14:textId="77777777">
      <w:pPr>
        <w:spacing w:line="360" w:lineRule="auto"/>
        <w:ind w:firstLine="482"/>
        <w:contextualSpacing/>
        <w:rPr>
          <w:rFonts w:ascii="宋体" w:hAnsi="Calibri"/>
          <w:lang w:eastAsia="zh-CN"/>
        </w:rPr>
      </w:pPr>
    </w:p>
    <w:p w:rsidR="005C6370" w:rsidP="00A24D29" w14:paraId="5AE4AA26" w14:textId="77777777">
      <w:pPr>
        <w:widowControl/>
        <w:contextualSpacing/>
        <w:jc w:val="left"/>
        <w:rPr>
          <w:rFonts w:ascii="宋体" w:hAnsi="Calibri"/>
          <w:sz w:val="30"/>
          <w:szCs w:val="20"/>
          <w:lang w:eastAsia="zh-CN"/>
        </w:rPr>
      </w:pPr>
      <w:bookmarkStart w:id="3" w:name="_Toc332373445"/>
      <w:r>
        <w:rPr>
          <w:rFonts w:ascii="宋体" w:hAnsi="Calibri"/>
          <w:sz w:val="30"/>
          <w:highlight w:val="white"/>
          <w:lang w:eastAsia="zh-CN"/>
        </w:rPr>
        <w:br w:type="page"/>
      </w:r>
    </w:p>
    <w:p w:rsidR="005C6370" w:rsidP="00A24D29" w14:paraId="11605896" w14:textId="77777777">
      <w:pPr>
        <w:pStyle w:val="111"/>
        <w:pageBreakBefore w:val="0"/>
        <w:spacing w:before="317" w:after="317" w:line="320" w:lineRule="exact"/>
        <w:ind w:firstLine="600"/>
        <w:contextualSpacing/>
        <w:rPr>
          <w:rFonts w:ascii="宋体" w:eastAsia="宋体" w:hAnsi="Calibri"/>
          <w:sz w:val="30"/>
          <w:szCs w:val="30"/>
          <w:lang w:eastAsia="zh-CN"/>
        </w:rPr>
      </w:pPr>
      <w:bookmarkStart w:id="4" w:name="_Toc121776965"/>
      <w:r>
        <w:rPr>
          <w:rFonts w:ascii="宋体" w:eastAsia="宋体" w:hAnsi="Calibri"/>
          <w:sz w:val="30"/>
          <w:szCs w:val="30"/>
          <w:highlight w:val="white"/>
          <w:lang w:eastAsia="zh-CN"/>
        </w:rPr>
        <w:t>第二部分</w:t>
      </w:r>
      <w:r>
        <w:rPr>
          <w:rFonts w:ascii="宋体" w:eastAsia="宋体" w:hAnsi="Calibri" w:hint="eastAsia"/>
          <w:sz w:val="30"/>
          <w:szCs w:val="30"/>
          <w:highlight w:val="white"/>
          <w:lang w:eastAsia="zh-CN"/>
        </w:rPr>
        <w:t xml:space="preserve"> 释  义</w:t>
      </w:r>
      <w:bookmarkEnd w:id="3"/>
      <w:bookmarkEnd w:id="4"/>
    </w:p>
    <w:p w:rsidR="005C6370" w:rsidP="00A24D29" w14:paraId="383331BC" w14:textId="77777777">
      <w:pPr>
        <w:spacing w:line="360" w:lineRule="auto"/>
        <w:ind w:firstLine="420"/>
        <w:contextualSpacing/>
        <w:rPr>
          <w:rStyle w:val="da"/>
          <w:rFonts w:ascii="宋体" w:eastAsia="黑体" w:hAnsi="Calibri"/>
          <w:sz w:val="20"/>
          <w:szCs w:val="20"/>
          <w:lang w:eastAsia="zh-CN"/>
        </w:rPr>
      </w:pPr>
      <w:r>
        <w:rPr>
          <w:rStyle w:val="da"/>
          <w:rFonts w:ascii="宋体" w:hAnsi="Calibri" w:hint="eastAsia"/>
          <w:highlight w:val="white"/>
          <w:lang w:eastAsia="zh-CN"/>
        </w:rPr>
        <w:t>本招募说明书中除非文意另有所指，下列词语或</w:t>
      </w:r>
      <w:r>
        <w:rPr>
          <w:rStyle w:val="da"/>
          <w:rFonts w:ascii="宋体" w:hAnsi="Calibri"/>
          <w:highlight w:val="white"/>
          <w:lang w:eastAsia="zh-CN"/>
        </w:rPr>
        <w:t>简称</w:t>
      </w:r>
      <w:r>
        <w:rPr>
          <w:rStyle w:val="da"/>
          <w:rFonts w:ascii="宋体" w:hAnsi="Calibri" w:hint="eastAsia"/>
          <w:highlight w:val="white"/>
          <w:lang w:eastAsia="zh-CN"/>
        </w:rPr>
        <w:t>具有如下含义：</w:t>
      </w:r>
    </w:p>
    <w:p w:rsidR="005C6370" w:rsidP="00A24D29" w14:paraId="1F07B877"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1、本基金：指</w:t>
      </w:r>
      <w:r>
        <w:rPr>
          <w:rStyle w:val="da"/>
          <w:rFonts w:ascii="宋体" w:hAnsi="Calibri" w:hint="eastAsia"/>
          <w:lang w:eastAsia="zh-CN"/>
        </w:rPr>
        <w:t>易方达如意盈越3个月持有期混合型基金中基金（FOF）</w:t>
      </w:r>
    </w:p>
    <w:p w:rsidR="005C6370" w:rsidP="00A24D29" w14:paraId="063C656E"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2、基金：指经中国证监会依法核准或注册的公开募集的基金</w:t>
      </w:r>
    </w:p>
    <w:p w:rsidR="005C6370" w:rsidP="00A24D29" w14:paraId="560BE947"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 xml:space="preserve">3、基金管理人：指易方达基金管理有限公司          </w:t>
      </w:r>
    </w:p>
    <w:p w:rsidR="005C6370" w:rsidP="00A24D29" w14:paraId="22012B1A"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4、基金托管人：指</w:t>
      </w:r>
      <w:r>
        <w:rPr>
          <w:rStyle w:val="da"/>
          <w:rFonts w:ascii="宋体" w:hAnsi="Calibri" w:hint="eastAsia"/>
          <w:lang w:eastAsia="zh-CN"/>
        </w:rPr>
        <w:t>中国工商银行股份有限公司</w:t>
      </w:r>
      <w:r>
        <w:rPr>
          <w:rStyle w:val="da"/>
          <w:rFonts w:ascii="宋体" w:hAnsi="Calibri" w:hint="eastAsia"/>
          <w:highlight w:val="white"/>
          <w:lang w:eastAsia="zh-CN"/>
        </w:rPr>
        <w:t xml:space="preserve"> </w:t>
      </w:r>
    </w:p>
    <w:p w:rsidR="005C6370" w:rsidP="00A24D29" w14:paraId="21DF43E9"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5、基金合同：指《</w:t>
      </w:r>
      <w:r>
        <w:rPr>
          <w:rStyle w:val="da"/>
          <w:rFonts w:ascii="宋体" w:hAnsi="Calibri" w:hint="eastAsia"/>
          <w:lang w:eastAsia="zh-CN"/>
        </w:rPr>
        <w:t>易方达如意盈越3个月持有期混合型基金中基金（FOF）</w:t>
      </w:r>
      <w:r>
        <w:rPr>
          <w:rStyle w:val="da"/>
          <w:rFonts w:ascii="宋体" w:hAnsi="Calibri" w:hint="eastAsia"/>
          <w:highlight w:val="white"/>
          <w:lang w:eastAsia="zh-CN"/>
        </w:rPr>
        <w:t>基金合同》及对基金合同的任何有效修订和补充</w:t>
      </w:r>
    </w:p>
    <w:p w:rsidR="005C6370" w:rsidP="00A24D29" w14:paraId="0D3D15B8"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6、托管协议：指基金管理人与基金托管人就本基金签订之《</w:t>
      </w:r>
      <w:r>
        <w:rPr>
          <w:rStyle w:val="da"/>
          <w:rFonts w:ascii="宋体" w:hAnsi="Calibri" w:hint="eastAsia"/>
          <w:lang w:eastAsia="zh-CN"/>
        </w:rPr>
        <w:t>易方达如意盈越3个月持有期混合型基金中基金（FOF）</w:t>
      </w:r>
      <w:r>
        <w:rPr>
          <w:rStyle w:val="da"/>
          <w:rFonts w:ascii="宋体" w:hAnsi="Calibri" w:hint="eastAsia"/>
          <w:highlight w:val="white"/>
          <w:lang w:eastAsia="zh-CN"/>
        </w:rPr>
        <w:t>托管协议》及对该托管协议的任何有效修订和补充</w:t>
      </w:r>
    </w:p>
    <w:p w:rsidR="005C6370" w:rsidP="00A24D29" w14:paraId="7B76DFAC"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7、招募说明书或本招募说明书：指《</w:t>
      </w:r>
      <w:r>
        <w:rPr>
          <w:rStyle w:val="da"/>
          <w:rFonts w:ascii="宋体" w:hAnsi="Calibri" w:hint="eastAsia"/>
          <w:lang w:eastAsia="zh-CN"/>
        </w:rPr>
        <w:t>易方达如意盈越3个月持有期混合型基金中基金（FOF）</w:t>
      </w:r>
      <w:r>
        <w:rPr>
          <w:rStyle w:val="da"/>
          <w:rFonts w:ascii="宋体" w:hAnsi="Calibri" w:hint="eastAsia"/>
          <w:highlight w:val="white"/>
          <w:lang w:eastAsia="zh-CN"/>
        </w:rPr>
        <w:t>招募说明书》及其更新</w:t>
      </w:r>
    </w:p>
    <w:p w:rsidR="005C6370" w:rsidP="00A24D29" w14:paraId="1A6FD3A8"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8、基金产品资料概要：指《易方达如意盈越3个月持有期混合型基金中基金（FOF）基金产品资料概要》及其更新</w:t>
      </w:r>
    </w:p>
    <w:p w:rsidR="005C6370" w:rsidP="00A24D29" w14:paraId="4F178569"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9、基金份额发售公告：指《易方达如意盈越3个月持有期混合型基金中基金（FOF）基金份额发售公告》</w:t>
      </w:r>
    </w:p>
    <w:p w:rsidR="005C6370" w:rsidP="00A24D29" w14:paraId="5465DB85"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10、法律法规：指中国现行有效并公布实施的法律、行政法规、规范性文件、司法解释、行政规章以及其他对基金合同当事人有约束力的决定、决议、通知等</w:t>
      </w:r>
    </w:p>
    <w:p w:rsidR="005C6370" w:rsidP="00A24D29" w14:paraId="62A35701"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11、《基金法》：指2003年10月28日经第十届全国人民代表大会常务委员会第五次会议通过，经2012年12月28日第十一届全国人民代表大会常务委员会第三十次会议修订，自2013年6月1日起实施，并经2015年4月24日第十二届全国人民代表大会常务委员会第十四次会议《全国人民代表大会常务委员会关于修改&lt;中华人民共和国港口法&gt;等七部法律的决定》修正的《中华人民共和国证券投资基金法》及颁布机关对其不时做出的修订</w:t>
      </w:r>
    </w:p>
    <w:p w:rsidR="005C6370" w:rsidP="00A24D29" w14:paraId="2F4DAB77"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12、《销售办法》：指中国证监会2020年8月28日颁布、同年10月1日实施的《公开募集证券投资基金销售机构监督管理办法》及颁布机关对其不时做出的修订</w:t>
      </w:r>
    </w:p>
    <w:p w:rsidR="005C6370" w:rsidP="00A24D29" w14:paraId="51B7AF7F"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13、《信息披露办法》：指中国证监会2019年7月26日颁布、同年9月1日实施的《公开募集证券投资基金信息披露管理办法》及颁布机关对其不时做出的修订</w:t>
      </w:r>
    </w:p>
    <w:p w:rsidR="005C6370" w:rsidP="00A24D29" w14:paraId="0ED48EFB"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14、《运作办法》：指中国证监会2014年7月7日颁布、同年8月8日实施的《公开募集证券投资基金运作管理办法》及颁布机关对其不时做出的修订</w:t>
      </w:r>
    </w:p>
    <w:p w:rsidR="005C6370" w:rsidP="00A24D29" w14:paraId="0B7DDF9F"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15、《流动性风险管理规定》：指中国证监会2017年8月31日颁布、同年10月1日实施的《公开募集开放式证券投资基金流动性风险管理规定》及颁布机关对其不时做出的修订</w:t>
      </w:r>
    </w:p>
    <w:p w:rsidR="005C6370" w:rsidP="00A24D29" w14:paraId="76F87F38"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16、中国证监会：指中国证券监督管理委员会</w:t>
      </w:r>
    </w:p>
    <w:p w:rsidR="005C6370" w:rsidP="00A24D29" w14:paraId="36358AD8"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17、银行业监督管理机构：指中国人民银行和/或国家金融监督管理总局</w:t>
      </w:r>
    </w:p>
    <w:p w:rsidR="005C6370" w:rsidP="00A24D29" w14:paraId="3F1C51EB"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18、基金合同当事人：指受基金合同约束，根据基金合同享有权利并承担义务的法律主体，包括基金管理人、基金托管人和基金份额持有人</w:t>
      </w:r>
    </w:p>
    <w:p w:rsidR="005C6370" w:rsidP="00A24D29" w14:paraId="3C7F68DB"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19、个人投资者：指依据有关法律法规规定可投资于证券投资基金的自然人</w:t>
      </w:r>
    </w:p>
    <w:p w:rsidR="005C6370" w:rsidP="00A24D29" w14:paraId="7EE67425"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20、机构投资者：指依法可以投资证券投资基金的、在中华人民共和国境内合法登记并存续或经有关政府部门批准设立并存续的企业法人、事业法人、社会团体或其他组织</w:t>
      </w:r>
    </w:p>
    <w:p w:rsidR="005C6370" w:rsidP="00A24D29" w14:paraId="6A02A06E"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21、合格境外投资者：指符合相关法律法规规定使用来自境外的资金进行境内证券期货投资的境外机构投资者，包括合格境外机构投资者和人民币合格境外机构投资者</w:t>
      </w:r>
    </w:p>
    <w:p w:rsidR="005C6370" w:rsidP="00A24D29" w14:paraId="01D198DF"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22、投资人、投资者：指个人投资者、机构投资者、合格境外投资者以及法律法规或中国证监会允许购买证券投资基金的其他投资人的合称</w:t>
      </w:r>
    </w:p>
    <w:p w:rsidR="005C6370" w:rsidP="00A24D29" w14:paraId="60E24E9E"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23、基金份额持有人：指依基金合同和招募说明书合法取得基金份额的投资人</w:t>
      </w:r>
    </w:p>
    <w:p w:rsidR="005C6370" w:rsidP="00A24D29" w14:paraId="64EEF8A9"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24、基金销售业务：指基金管理人或销售机构宣传推介基金，发售基金份额，办理基金份额的申购、赎回、转换、转托管及定期定额投资等业务</w:t>
      </w:r>
    </w:p>
    <w:p w:rsidR="005C6370" w:rsidP="00A24D29" w14:paraId="3EC66681"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25、销售机构：指易方达基金管理有限公司以及符合《销售办法》和中国证监会规定的其他条件，取得基金销售业务资格并与基金管理人签订了基金销售服务协议，办理基金销售业务的机构</w:t>
      </w:r>
    </w:p>
    <w:p w:rsidR="005C6370" w:rsidP="00A24D29" w14:paraId="5C57270C"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26、登记业务：指基金登记、存管、过户、清算和结算业务，具体内容包括投资人基金账户的建立和管理、基金份额登记、基金销售业务的确认、清算和结算、代理发放红利、建立并保管基金份额持有人名册和办理非交易过户等</w:t>
      </w:r>
    </w:p>
    <w:p w:rsidR="005C6370" w:rsidP="00A24D29" w14:paraId="1681DC71"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27、登记机构：指办理登记业务的机构。基金的登记机构为易方达基金管理有限公司或接受易方达基金管理有限公司委托代为办理登记业务的机构</w:t>
      </w:r>
    </w:p>
    <w:p w:rsidR="005C6370" w:rsidP="00A24D29" w14:paraId="0EF28FCE"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28、基金账户：指登记机构为投资人开立的、记录其持有的、基金管理人所管理的基金份额余额及其变动情况的账户</w:t>
      </w:r>
    </w:p>
    <w:p w:rsidR="005C6370" w:rsidP="00A24D29" w14:paraId="0A838085"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29、基金交易账户：指销售机构为投资人开立的、记录投资人通过该销售机构办理认购、申购、赎回、转换、转托管及定期定额投资等业务而引起的基金份额变动及结余情况的账户</w:t>
      </w:r>
    </w:p>
    <w:p w:rsidR="005C6370" w:rsidP="00A24D29" w14:paraId="71E62802"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30、基金合同生效日：指基金募集达到法律法规规定及基金合同规定的条件，基金管理人向中国证监会办理基金备案手续完毕，并获得中国证监会书面确认的日期</w:t>
      </w:r>
    </w:p>
    <w:p w:rsidR="005C6370" w:rsidP="00A24D29" w14:paraId="2599CFB0"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31、基金合同终止日：指基金合同规定的基金合同终止事由出现后，基金财产清算完毕，清算结果报中国证监会备案并予以公告的日期</w:t>
      </w:r>
    </w:p>
    <w:p w:rsidR="005C6370" w:rsidP="00A24D29" w14:paraId="18C14943"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32、基金募集期：指自基金份额发售之日起至发售结束之日止的期间，最长不得超过3个月</w:t>
      </w:r>
    </w:p>
    <w:p w:rsidR="005C6370" w:rsidP="00A24D29" w14:paraId="4A245D44"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33、存续期：指基金合同生效日至终止日之间的不定期期限</w:t>
      </w:r>
    </w:p>
    <w:p w:rsidR="005C6370" w:rsidP="00A24D29" w14:paraId="701ACFF1"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34、最短持有期：指投资者认购或申购基金份额后需持有的最短期限，在最短持有期限内，基金管理人对投资者的相应基金份额不办理赎回确认。本基金每份基金份额的最短持有期限为3个月（一个月按30天计算）</w:t>
      </w:r>
    </w:p>
    <w:p w:rsidR="005C6370" w:rsidP="00A24D29" w14:paraId="4FA85360"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35、最短持有期起始日：对于每份认购份额的最短持有期起始日，指基金合同生效日；对于每份申购份额的最短持有期起始日，指该基金份额申购确认日</w:t>
      </w:r>
    </w:p>
    <w:p w:rsidR="005C6370" w:rsidP="00A24D29" w14:paraId="0793696A"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36、最短持有期到期日：对于每份认购份额，最短持有期为基金合同生效日起的3个月（一个月按30天计算，下同）；对于每份申购份额，最短持有期为申购确认日起的3个月。即对每份基金份额，当持有时间小于3个月，无法确认赎回；当持有时间大于等于3个月，可以确认赎回。最短持有期的最后一日为最短持有期到期日</w:t>
      </w:r>
    </w:p>
    <w:p w:rsidR="005C6370" w:rsidP="00A24D29" w14:paraId="3D3FAB53"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37、工作日：指上海证券交易所、深圳证券交易所的交易日</w:t>
      </w:r>
    </w:p>
    <w:p w:rsidR="005C6370" w:rsidP="00A24D29" w14:paraId="4E9C623F"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38、T日：指销售机构在规定时间受理投资人申购、赎回或其他业务申请的开放日</w:t>
      </w:r>
    </w:p>
    <w:p w:rsidR="005C6370" w:rsidP="00A24D29" w14:paraId="6071F595"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39、T+n日：指自T日起第n个工作日（不包含T日），n为自然数</w:t>
      </w:r>
    </w:p>
    <w:p w:rsidR="005C6370" w:rsidP="00A24D29" w14:paraId="0EE74826"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40、开放日：指为投资人办理基金份额申购、赎回或其他业务的工作日</w:t>
      </w:r>
    </w:p>
    <w:p w:rsidR="005C6370" w:rsidP="00A24D29" w14:paraId="59C78650"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41、开放时间：指开放日基金接受申购、赎回或其他交易的时间段</w:t>
      </w:r>
    </w:p>
    <w:p w:rsidR="005C6370" w:rsidP="00A24D29" w14:paraId="567880DB"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42、《业务规则》：指《易方达基金管理有限公司开放式基金业务规则》，是规范基金管理人所管理的开放式证券投资基金登记方面的业务规则，由基金管理人和投资人共同遵守</w:t>
      </w:r>
    </w:p>
    <w:p w:rsidR="005C6370" w:rsidP="00A24D29" w14:paraId="67F42A92"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43、认购：指在基金募集期内，投资人根据基金合同和招募说明书的规定申请购买基金份额的行为</w:t>
      </w:r>
    </w:p>
    <w:p w:rsidR="005C6370" w:rsidP="00A24D29" w14:paraId="1D121B27"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44、申购：指基金合同生效后，投资人根据基金合同和招募说明书的规定申请购买基金份额的行为</w:t>
      </w:r>
    </w:p>
    <w:p w:rsidR="005C6370" w:rsidP="00A24D29" w14:paraId="5AA86129"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45、赎回：指基金合同生效后，基金份额持有人按基金合同和招募说明书规定的条件要求将基金份额兑换为现金的行为</w:t>
      </w:r>
    </w:p>
    <w:p w:rsidR="005C6370" w:rsidP="00A24D29" w14:paraId="08A4525E"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46、基金转换：指基金份额持有人按照基金合同和基金管理人届时有效公告规定的条件，申请将其持有基金管理人管理的、某一基金的基金份额转换为基金管理人管理的其他基金基金份额的行为</w:t>
      </w:r>
    </w:p>
    <w:p w:rsidR="005C6370" w:rsidP="00A24D29" w14:paraId="22F885EA"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47、转托管：指基金份额持有人在本基金的不同销售机构之间实施的变更所持基金份额销售机构的操作</w:t>
      </w:r>
    </w:p>
    <w:p w:rsidR="005C6370" w:rsidP="00A24D29" w14:paraId="33362A77"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48、定期定额投资计划：指投资人通过有关销售机构提出申请，约定每期申购日、扣款金额及扣款方式，由销售机构于每期约定扣款日在投资人指定银行账户内自动完成扣款及受理基金申购申请的一种投资方式</w:t>
      </w:r>
    </w:p>
    <w:p w:rsidR="005C6370" w:rsidP="00A24D29" w14:paraId="4007E382"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49、巨额赎回：指本基金单个开放日，基金净赎回申请（赎回申请份额总数加上基金转换中转出申请份额总数后扣除申购申请份额总数及基金转换中转入申请份额总数后的余额）超过上一开放日基金总份额的10%</w:t>
      </w:r>
    </w:p>
    <w:p w:rsidR="005C6370" w:rsidP="00A24D29" w14:paraId="09AFC89F"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50、元：指人民币元</w:t>
      </w:r>
    </w:p>
    <w:p w:rsidR="005C6370" w:rsidP="00A24D29" w14:paraId="37B03FCC"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51、基金收益：指基金投资所得红利、股息、债券利息、买卖证券价差、银行存款利息、已实现的其他合法收入及因运用基金财产带来的成本和费用的节约</w:t>
      </w:r>
    </w:p>
    <w:p w:rsidR="005C6370" w:rsidP="00A24D29" w14:paraId="7F8C4C3F"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52、基金资产总值：指基金拥有的各类有价证券、基金份额、银行存款本息、基金应收申购款及其他资产的价值总和</w:t>
      </w:r>
    </w:p>
    <w:p w:rsidR="005C6370" w:rsidP="00A24D29" w14:paraId="4456169B"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53、基金资产净值：指基金资产总值减去基金负债后的价值</w:t>
      </w:r>
    </w:p>
    <w:p w:rsidR="005C6370" w:rsidP="00A24D29" w14:paraId="35AE0CC1"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54、基金份额净值：指计算日基金资产净值除以计算日基金份额总数</w:t>
      </w:r>
    </w:p>
    <w:p w:rsidR="005C6370" w:rsidP="00A24D29" w14:paraId="712C16C9"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55、基金资产估值：指计算评估基金资产和负债的价值，以确定基金资产净值和基金份额净值的过程</w:t>
      </w:r>
    </w:p>
    <w:p w:rsidR="005C6370" w:rsidP="00A24D29" w14:paraId="43731295"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56、基金份额折算：指基金管理人根据基金运作的需要，在基金资产净值不变的前提下，按照一定比例调整基金份额总额及基金份额净值</w:t>
      </w:r>
    </w:p>
    <w:p w:rsidR="005C6370" w:rsidP="00A24D29" w14:paraId="309CB7D2"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57、规定媒介：指符合中国证监会规定条件的全国性报刊（以下简称规定报刊）及《信息披露办法》规定的互联网网站（以下简称规定网站，包括基金管理人网站、基金托管人网站、中国证监会基金电子披露网站）等媒介</w:t>
      </w:r>
    </w:p>
    <w:p w:rsidR="005C6370" w:rsidP="00A24D29" w14:paraId="722E42CF"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58、销售服务费：指从基金财产中计提的，用于本基金市场推广、销售以及基金份额持有人服务的费用</w:t>
      </w:r>
    </w:p>
    <w:p w:rsidR="005C6370" w:rsidP="00A24D29" w14:paraId="73C5F309"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59、A类基金份额：在投资人认购/申购基金时按规定收取认购/申购费用，并不再从本类别基金资产中计提销售服务费的基金份额，称为A类基金份额</w:t>
      </w:r>
    </w:p>
    <w:p w:rsidR="005C6370" w:rsidP="00A24D29" w14:paraId="0C099995"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60、C类基金份额：从本类别基金资产中计提销售服务费并按规定收取或返还，不收取认购/申购费用的基金份额，称为C类基金份额</w:t>
      </w:r>
    </w:p>
    <w:p w:rsidR="005C6370" w:rsidP="00A24D29" w14:paraId="67559F9A"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61、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rsidR="005C6370" w:rsidP="00A24D29" w14:paraId="5AD8B2CE"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62、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rsidR="005C6370" w:rsidP="00A24D29" w14:paraId="46507D33"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63、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rsidR="005C6370" w:rsidP="00A24D29" w14:paraId="18DFEABE"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64、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rsidR="005C6370" w:rsidP="00A24D29" w14:paraId="613D2D00"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65、不可抗力：指基金合同当事人不能预见、不能避免且不能克服的客观事件</w:t>
      </w:r>
    </w:p>
    <w:p w:rsidR="005C6370" w:rsidP="00A24D29" w14:paraId="02F438C3"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66</w:t>
      </w:r>
      <w:r>
        <w:rPr>
          <w:rStyle w:val="da"/>
          <w:rFonts w:ascii="宋体" w:hAnsi="Calibri" w:hint="eastAsia"/>
          <w:highlight w:val="white"/>
          <w:lang w:eastAsia="zh-CN"/>
        </w:rPr>
        <w:t>、直销机构：指易方达基金管理有限公司</w:t>
      </w:r>
    </w:p>
    <w:p w:rsidR="005C6370" w:rsidP="00A24D29" w14:paraId="6E32498F"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67</w:t>
      </w:r>
      <w:r>
        <w:rPr>
          <w:rStyle w:val="da"/>
          <w:rFonts w:ascii="宋体" w:hAnsi="Calibri" w:hint="eastAsia"/>
          <w:highlight w:val="white"/>
          <w:lang w:eastAsia="zh-CN"/>
        </w:rPr>
        <w:t>、非直销销售机构：指符合《销售办法》和中国证监会规定的其他条件，取得基金销售业务资格并与基金管理人签订了基金销售服务协议，办理基金销售业务的机构</w:t>
      </w:r>
    </w:p>
    <w:p w:rsidR="005C6370" w:rsidP="00A24D29" w14:paraId="1A3CE00D" w14:textId="77777777">
      <w:pPr>
        <w:spacing w:line="360" w:lineRule="auto"/>
        <w:ind w:firstLine="420"/>
        <w:contextualSpacing/>
        <w:rPr>
          <w:rStyle w:val="da"/>
          <w:rFonts w:ascii="宋体" w:hAnsi="Calibri"/>
          <w:lang w:eastAsia="zh-CN"/>
        </w:rPr>
      </w:pPr>
    </w:p>
    <w:p w:rsidR="005C6370" w:rsidP="00A24D29" w14:paraId="2C6C08E6" w14:textId="77777777">
      <w:pPr>
        <w:pStyle w:val="111"/>
        <w:pageBreakBefore w:val="0"/>
        <w:spacing w:before="317" w:after="317" w:line="320" w:lineRule="exact"/>
        <w:ind w:firstLine="640"/>
        <w:contextualSpacing/>
        <w:rPr>
          <w:rFonts w:ascii="宋体" w:eastAsia="宋体" w:hAnsi="Calibri"/>
          <w:sz w:val="30"/>
          <w:lang w:eastAsia="zh-CN"/>
        </w:rPr>
      </w:pPr>
      <w:r>
        <w:rPr>
          <w:rFonts w:ascii="宋体" w:eastAsia="宋体" w:hAnsi="Calibri" w:hint="eastAsia"/>
          <w:highlight w:val="white"/>
          <w:lang w:eastAsia="zh-CN"/>
        </w:rPr>
        <w:br w:type="column"/>
      </w:r>
      <w:bookmarkStart w:id="5" w:name="_Toc332373446"/>
      <w:bookmarkStart w:id="6" w:name="_Toc121776966"/>
      <w:r>
        <w:rPr>
          <w:rFonts w:ascii="宋体" w:eastAsia="宋体" w:hAnsi="Calibri" w:hint="eastAsia"/>
          <w:sz w:val="30"/>
          <w:highlight w:val="white"/>
          <w:lang w:eastAsia="zh-CN"/>
        </w:rPr>
        <w:t>第三部分 基金管理人</w:t>
      </w:r>
      <w:bookmarkEnd w:id="5"/>
      <w:bookmarkEnd w:id="6"/>
    </w:p>
    <w:p w:rsidR="005C6370" w:rsidP="00A24D29" w14:paraId="479E1F8B" w14:textId="77777777">
      <w:pPr>
        <w:spacing w:line="360" w:lineRule="auto"/>
        <w:ind w:firstLine="420"/>
        <w:contextualSpacing/>
        <w:rPr>
          <w:rFonts w:ascii="宋体" w:hAnsi="Calibri"/>
          <w:bCs/>
          <w:lang w:eastAsia="zh-CN"/>
        </w:rPr>
      </w:pPr>
      <w:bookmarkStart w:id="7" w:name="_Toc332373447"/>
      <w:r>
        <w:rPr>
          <w:rFonts w:ascii="宋体" w:hAnsi="Calibri" w:hint="eastAsia"/>
          <w:bCs/>
          <w:highlight w:val="white"/>
          <w:lang w:eastAsia="zh-CN"/>
        </w:rPr>
        <w:t>一、基金管理人基本情况</w:t>
      </w:r>
      <w:bookmarkEnd w:id="7"/>
    </w:p>
    <w:p w:rsidR="005C6370" w:rsidP="00A24D29" w14:paraId="182CF5FC" w14:textId="77777777">
      <w:pPr>
        <w:spacing w:line="360" w:lineRule="auto"/>
        <w:ind w:firstLine="420"/>
        <w:contextualSpacing/>
        <w:rPr>
          <w:rFonts w:ascii="宋体" w:hAnsi="Calibri"/>
          <w:bCs/>
          <w:lang w:eastAsia="zh-CN"/>
        </w:rPr>
      </w:pPr>
      <w:r>
        <w:rPr>
          <w:rFonts w:ascii="宋体" w:hAnsi="宋体" w:cs="宋体"/>
          <w:bCs/>
          <w:lang w:eastAsia="zh-CN"/>
        </w:rPr>
        <w:t>1、</w:t>
      </w:r>
      <w:r>
        <w:rPr>
          <w:bCs/>
          <w:lang w:eastAsia="zh-CN"/>
        </w:rPr>
        <w:t>基金管理人：易方达基金管理有限公司</w:t>
      </w:r>
    </w:p>
    <w:p w:rsidR="005C6370" w:rsidP="00A24D29" w14:paraId="0FE579E6" w14:textId="77777777">
      <w:pPr>
        <w:spacing w:line="360" w:lineRule="auto"/>
        <w:ind w:firstLine="420"/>
        <w:contextualSpacing/>
        <w:rPr>
          <w:rFonts w:ascii="宋体" w:hAnsi="Calibri"/>
          <w:bCs/>
          <w:lang w:eastAsia="zh-CN"/>
        </w:rPr>
      </w:pPr>
      <w:r>
        <w:rPr>
          <w:bCs/>
          <w:lang w:eastAsia="zh-CN"/>
        </w:rPr>
        <w:t>注册地址：广东省珠海市横琴新区荣粤道</w:t>
      </w:r>
      <w:r>
        <w:rPr>
          <w:rFonts w:ascii="宋体" w:hAnsi="宋体" w:cs="宋体"/>
          <w:bCs/>
          <w:lang w:eastAsia="zh-CN"/>
        </w:rPr>
        <w:t>188</w:t>
      </w:r>
      <w:r>
        <w:rPr>
          <w:bCs/>
          <w:lang w:eastAsia="zh-CN"/>
        </w:rPr>
        <w:t>号</w:t>
      </w:r>
      <w:r>
        <w:rPr>
          <w:rFonts w:ascii="宋体" w:hAnsi="宋体" w:cs="宋体"/>
          <w:bCs/>
          <w:lang w:eastAsia="zh-CN"/>
        </w:rPr>
        <w:t>6</w:t>
      </w:r>
      <w:r>
        <w:rPr>
          <w:bCs/>
          <w:lang w:eastAsia="zh-CN"/>
        </w:rPr>
        <w:t>层</w:t>
      </w:r>
    </w:p>
    <w:p w:rsidR="005C6370" w:rsidP="00A24D29" w14:paraId="71822C9E" w14:textId="77777777">
      <w:pPr>
        <w:spacing w:line="360" w:lineRule="auto"/>
        <w:ind w:firstLine="420"/>
        <w:contextualSpacing/>
        <w:rPr>
          <w:rFonts w:ascii="宋体" w:hAnsi="Calibri"/>
          <w:bCs/>
          <w:lang w:eastAsia="zh-CN"/>
        </w:rPr>
      </w:pPr>
      <w:r>
        <w:rPr>
          <w:bCs/>
          <w:lang w:eastAsia="zh-CN"/>
        </w:rPr>
        <w:t>办公地址：广东省广州市天河区珠江西路</w:t>
      </w:r>
      <w:r>
        <w:rPr>
          <w:rFonts w:ascii="宋体" w:hAnsi="宋体" w:cs="宋体"/>
          <w:bCs/>
          <w:lang w:eastAsia="zh-CN"/>
        </w:rPr>
        <w:t>21</w:t>
      </w:r>
      <w:r>
        <w:rPr>
          <w:bCs/>
          <w:lang w:eastAsia="zh-CN"/>
        </w:rPr>
        <w:t>号</w:t>
      </w:r>
      <w:r>
        <w:rPr>
          <w:rFonts w:ascii="宋体" w:hAnsi="宋体" w:cs="宋体"/>
          <w:bCs/>
          <w:lang w:eastAsia="zh-CN"/>
        </w:rPr>
        <w:t>52</w:t>
      </w:r>
      <w:r>
        <w:rPr>
          <w:bCs/>
          <w:lang w:eastAsia="zh-CN"/>
        </w:rPr>
        <w:t>层；广东省广州市天河区珠江东路</w:t>
      </w:r>
      <w:r>
        <w:rPr>
          <w:rFonts w:ascii="宋体" w:hAnsi="宋体" w:cs="宋体"/>
          <w:bCs/>
          <w:lang w:eastAsia="zh-CN"/>
        </w:rPr>
        <w:t>30</w:t>
      </w:r>
      <w:r>
        <w:rPr>
          <w:bCs/>
          <w:lang w:eastAsia="zh-CN"/>
        </w:rPr>
        <w:t>号</w:t>
      </w:r>
      <w:r>
        <w:rPr>
          <w:rFonts w:ascii="宋体" w:hAnsi="宋体" w:cs="宋体"/>
          <w:bCs/>
          <w:lang w:eastAsia="zh-CN"/>
        </w:rPr>
        <w:t>42</w:t>
      </w:r>
      <w:r>
        <w:rPr>
          <w:bCs/>
          <w:lang w:eastAsia="zh-CN"/>
        </w:rPr>
        <w:t>层；广东省珠海市横琴新区荣粤道</w:t>
      </w:r>
      <w:r>
        <w:rPr>
          <w:rFonts w:ascii="宋体" w:hAnsi="宋体" w:cs="宋体"/>
          <w:bCs/>
          <w:lang w:eastAsia="zh-CN"/>
        </w:rPr>
        <w:t>188</w:t>
      </w:r>
      <w:r>
        <w:rPr>
          <w:bCs/>
          <w:lang w:eastAsia="zh-CN"/>
        </w:rPr>
        <w:t>号</w:t>
      </w:r>
      <w:r>
        <w:rPr>
          <w:rFonts w:ascii="宋体" w:hAnsi="宋体" w:cs="宋体"/>
          <w:bCs/>
          <w:lang w:eastAsia="zh-CN"/>
        </w:rPr>
        <w:t>6</w:t>
      </w:r>
      <w:r>
        <w:rPr>
          <w:bCs/>
          <w:lang w:eastAsia="zh-CN"/>
        </w:rPr>
        <w:t>层</w:t>
      </w:r>
    </w:p>
    <w:p w:rsidR="005C6370" w:rsidP="00A24D29" w14:paraId="29F68EDA" w14:textId="77777777">
      <w:pPr>
        <w:spacing w:line="360" w:lineRule="auto"/>
        <w:ind w:firstLine="420"/>
        <w:contextualSpacing/>
        <w:rPr>
          <w:rFonts w:ascii="宋体" w:hAnsi="Calibri"/>
          <w:bCs/>
          <w:lang w:eastAsia="zh-CN"/>
        </w:rPr>
      </w:pPr>
      <w:r>
        <w:rPr>
          <w:bCs/>
          <w:lang w:eastAsia="zh-CN"/>
        </w:rPr>
        <w:t>设立日期：</w:t>
      </w:r>
      <w:r>
        <w:rPr>
          <w:rFonts w:ascii="宋体" w:hAnsi="宋体" w:cs="宋体"/>
          <w:bCs/>
          <w:lang w:eastAsia="zh-CN"/>
        </w:rPr>
        <w:t>2001</w:t>
      </w:r>
      <w:r>
        <w:rPr>
          <w:bCs/>
          <w:lang w:eastAsia="zh-CN"/>
        </w:rPr>
        <w:t>年</w:t>
      </w:r>
      <w:r>
        <w:rPr>
          <w:rFonts w:ascii="宋体" w:hAnsi="宋体" w:cs="宋体"/>
          <w:bCs/>
          <w:lang w:eastAsia="zh-CN"/>
        </w:rPr>
        <w:t>4</w:t>
      </w:r>
      <w:r>
        <w:rPr>
          <w:bCs/>
          <w:lang w:eastAsia="zh-CN"/>
        </w:rPr>
        <w:t>月</w:t>
      </w:r>
      <w:r>
        <w:rPr>
          <w:rFonts w:ascii="宋体" w:hAnsi="宋体" w:cs="宋体"/>
          <w:bCs/>
          <w:lang w:eastAsia="zh-CN"/>
        </w:rPr>
        <w:t>17</w:t>
      </w:r>
      <w:r>
        <w:rPr>
          <w:bCs/>
          <w:lang w:eastAsia="zh-CN"/>
        </w:rPr>
        <w:t>日</w:t>
      </w:r>
    </w:p>
    <w:p w:rsidR="005C6370" w:rsidP="00A24D29" w14:paraId="72D318EF" w14:textId="77777777">
      <w:pPr>
        <w:spacing w:line="360" w:lineRule="auto"/>
        <w:ind w:firstLine="420"/>
        <w:contextualSpacing/>
        <w:rPr>
          <w:rFonts w:ascii="宋体" w:hAnsi="Calibri"/>
          <w:bCs/>
          <w:lang w:eastAsia="zh-CN"/>
        </w:rPr>
      </w:pPr>
      <w:r>
        <w:rPr>
          <w:bCs/>
          <w:lang w:eastAsia="zh-CN"/>
        </w:rPr>
        <w:t>法定代表人：吴欣荣</w:t>
      </w:r>
      <w:r>
        <w:rPr>
          <w:rFonts w:ascii="宋体" w:hAnsi="宋体" w:cs="宋体"/>
          <w:bCs/>
          <w:lang w:eastAsia="zh-CN"/>
        </w:rPr>
        <w:t xml:space="preserve"> </w:t>
      </w:r>
    </w:p>
    <w:p w:rsidR="005C6370" w:rsidP="00A24D29" w14:paraId="27707D90" w14:textId="77777777">
      <w:pPr>
        <w:spacing w:line="360" w:lineRule="auto"/>
        <w:ind w:firstLine="420"/>
        <w:contextualSpacing/>
        <w:rPr>
          <w:rFonts w:ascii="宋体" w:hAnsi="Calibri"/>
          <w:bCs/>
          <w:lang w:eastAsia="zh-CN"/>
        </w:rPr>
      </w:pPr>
      <w:r>
        <w:rPr>
          <w:bCs/>
          <w:lang w:eastAsia="zh-CN"/>
        </w:rPr>
        <w:t>联系电话：</w:t>
      </w:r>
      <w:r>
        <w:rPr>
          <w:rFonts w:ascii="宋体" w:hAnsi="宋体" w:cs="宋体"/>
          <w:bCs/>
          <w:lang w:eastAsia="zh-CN"/>
        </w:rPr>
        <w:t>400 881 8088</w:t>
      </w:r>
    </w:p>
    <w:p w:rsidR="005C6370" w:rsidP="00A24D29" w14:paraId="218DD727" w14:textId="77777777">
      <w:pPr>
        <w:spacing w:line="360" w:lineRule="auto"/>
        <w:ind w:firstLine="420"/>
        <w:contextualSpacing/>
        <w:rPr>
          <w:rFonts w:ascii="宋体" w:hAnsi="Calibri"/>
          <w:bCs/>
          <w:lang w:eastAsia="zh-CN"/>
        </w:rPr>
      </w:pPr>
      <w:r>
        <w:rPr>
          <w:bCs/>
          <w:lang w:eastAsia="zh-CN"/>
        </w:rPr>
        <w:t>联系人：李红枫</w:t>
      </w:r>
    </w:p>
    <w:p w:rsidR="005C6370" w:rsidP="00A24D29" w14:paraId="5983C4D7" w14:textId="77777777">
      <w:pPr>
        <w:spacing w:line="360" w:lineRule="auto"/>
        <w:ind w:firstLine="420"/>
        <w:contextualSpacing/>
        <w:rPr>
          <w:rFonts w:ascii="宋体" w:hAnsi="Calibri"/>
          <w:bCs/>
          <w:lang w:eastAsia="zh-CN"/>
        </w:rPr>
      </w:pPr>
      <w:r>
        <w:rPr>
          <w:bCs/>
          <w:lang w:eastAsia="zh-CN"/>
        </w:rPr>
        <w:t>注册资本：</w:t>
      </w:r>
      <w:r>
        <w:rPr>
          <w:rFonts w:ascii="宋体" w:hAnsi="宋体" w:cs="宋体"/>
          <w:bCs/>
          <w:lang w:eastAsia="zh-CN"/>
        </w:rPr>
        <w:t>13,244.2</w:t>
      </w:r>
      <w:r>
        <w:rPr>
          <w:bCs/>
          <w:lang w:eastAsia="zh-CN"/>
        </w:rPr>
        <w:t>万元人民币</w:t>
      </w:r>
    </w:p>
    <w:p w:rsidR="005C6370" w:rsidP="00A24D29" w14:paraId="2F23457F" w14:textId="77777777">
      <w:pPr>
        <w:spacing w:line="360" w:lineRule="auto"/>
        <w:ind w:firstLine="420"/>
        <w:contextualSpacing/>
        <w:rPr>
          <w:rFonts w:ascii="宋体" w:hAnsi="Calibri"/>
          <w:bCs/>
          <w:lang w:eastAsia="zh-CN"/>
        </w:rPr>
      </w:pPr>
      <w:r>
        <w:rPr>
          <w:bCs/>
          <w:lang w:eastAsia="zh-CN"/>
        </w:rPr>
        <w:t>批准设立机关及文号：中国证券监督管理委员会，证监基金字</w:t>
      </w:r>
      <w:r>
        <w:rPr>
          <w:rFonts w:ascii="宋体" w:hAnsi="宋体" w:cs="宋体"/>
          <w:bCs/>
          <w:lang w:eastAsia="zh-CN"/>
        </w:rPr>
        <w:t>[2001]4</w:t>
      </w:r>
      <w:r>
        <w:rPr>
          <w:bCs/>
          <w:lang w:eastAsia="zh-CN"/>
        </w:rPr>
        <w:t>号</w:t>
      </w:r>
    </w:p>
    <w:p w:rsidR="005C6370" w:rsidP="00A24D29" w14:paraId="772DE75C" w14:textId="77777777">
      <w:pPr>
        <w:spacing w:line="360" w:lineRule="auto"/>
        <w:ind w:firstLine="420"/>
        <w:contextualSpacing/>
        <w:rPr>
          <w:rFonts w:ascii="宋体" w:hAnsi="Calibri"/>
          <w:bCs/>
          <w:lang w:eastAsia="zh-CN"/>
        </w:rPr>
      </w:pPr>
      <w:r>
        <w:rPr>
          <w:bCs/>
          <w:lang w:eastAsia="zh-CN"/>
        </w:rPr>
        <w:t>经营范围：公开募集证券投资基金管理、基金销售、特定客户资产管理</w:t>
      </w:r>
    </w:p>
    <w:p w:rsidR="005C6370" w:rsidP="00A24D29" w14:paraId="3711A68A" w14:textId="77777777">
      <w:pPr>
        <w:spacing w:line="360" w:lineRule="auto"/>
        <w:ind w:firstLine="420"/>
        <w:contextualSpacing/>
        <w:rPr>
          <w:rFonts w:ascii="宋体" w:hAnsi="Calibri"/>
          <w:bCs/>
        </w:rPr>
      </w:pPr>
      <w:r>
        <w:rPr>
          <w:rFonts w:ascii="宋体" w:hAnsi="Calibri" w:hint="eastAsia"/>
          <w:bCs/>
          <w:highlight w:val="white"/>
        </w:rPr>
        <w:t>2、股权结构：</w:t>
      </w:r>
    </w:p>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783"/>
        <w:gridCol w:w="2507"/>
      </w:tblGrid>
      <w:tr w14:paraId="20BE467F" w14:textId="77777777">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vAlign w:val="center"/>
          </w:tcPr>
          <w:p w:rsidR="005C6370" w:rsidP="00A24D29" w14:paraId="3B2EC830" w14:textId="77777777">
            <w:pPr>
              <w:ind w:firstLine="420"/>
              <w:contextualSpacing/>
              <w:jc w:val="center"/>
              <w:rPr>
                <w:rFonts w:ascii="宋体" w:hAnsi="宋体" w:hint="eastAsia"/>
              </w:rPr>
            </w:pPr>
            <w:r>
              <w:rPr>
                <w:rFonts w:ascii="宋体" w:hAnsi="宋体"/>
              </w:rPr>
              <w:t>股东名称</w:t>
            </w:r>
          </w:p>
        </w:tc>
        <w:tc>
          <w:tcPr>
            <w:tcW w:w="2507" w:type="dxa"/>
            <w:tcBorders>
              <w:top w:val="single" w:sz="4" w:space="0" w:color="000000"/>
              <w:left w:val="single" w:sz="4" w:space="0" w:color="000000"/>
              <w:bottom w:val="single" w:sz="4" w:space="0" w:color="000000"/>
              <w:right w:val="single" w:sz="4" w:space="0" w:color="000000"/>
            </w:tcBorders>
            <w:vAlign w:val="center"/>
          </w:tcPr>
          <w:p w:rsidR="005C6370" w:rsidP="00A24D29" w14:paraId="0CC29AEE" w14:textId="77777777">
            <w:pPr>
              <w:ind w:firstLine="420"/>
              <w:contextualSpacing/>
              <w:jc w:val="center"/>
              <w:rPr>
                <w:rFonts w:ascii="宋体" w:hAnsi="宋体" w:hint="eastAsia"/>
              </w:rPr>
            </w:pPr>
            <w:r>
              <w:rPr>
                <w:rFonts w:ascii="宋体" w:hAnsi="宋体"/>
              </w:rPr>
              <w:t>出资比例</w:t>
            </w:r>
          </w:p>
        </w:tc>
      </w:tr>
      <w:tr w14:paraId="2B98D1BE" w14:textId="77777777">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vAlign w:val="center"/>
          </w:tcPr>
          <w:p w:rsidR="005C6370" w:rsidP="00A24D29" w14:paraId="3EA34C28" w14:textId="77777777">
            <w:pPr>
              <w:ind w:firstLine="420"/>
              <w:contextualSpacing/>
              <w:rPr>
                <w:rFonts w:ascii="宋体" w:hAnsi="宋体" w:hint="eastAsia"/>
                <w:lang w:eastAsia="zh-CN"/>
              </w:rPr>
            </w:pPr>
            <w:r>
              <w:rPr>
                <w:rFonts w:ascii="宋体" w:hAnsi="宋体"/>
                <w:lang w:eastAsia="zh-CN"/>
              </w:rPr>
              <w:t>广东粤财信托有限公司</w:t>
            </w:r>
          </w:p>
        </w:tc>
        <w:tc>
          <w:tcPr>
            <w:tcW w:w="2507" w:type="dxa"/>
            <w:tcBorders>
              <w:top w:val="single" w:sz="4" w:space="0" w:color="000000"/>
              <w:left w:val="single" w:sz="4" w:space="0" w:color="000000"/>
              <w:bottom w:val="single" w:sz="4" w:space="0" w:color="000000"/>
              <w:right w:val="single" w:sz="4" w:space="0" w:color="000000"/>
            </w:tcBorders>
            <w:vAlign w:val="center"/>
          </w:tcPr>
          <w:p w:rsidR="005C6370" w:rsidP="00A24D29" w14:paraId="19AD6217" w14:textId="77777777">
            <w:pPr>
              <w:ind w:firstLine="420"/>
              <w:contextualSpacing/>
              <w:jc w:val="center"/>
              <w:rPr>
                <w:rFonts w:ascii="宋体" w:hAnsi="宋体" w:hint="eastAsia"/>
              </w:rPr>
            </w:pPr>
            <w:r>
              <w:rPr>
                <w:rFonts w:ascii="宋体" w:hAnsi="宋体"/>
              </w:rPr>
              <w:t>22.6514％</w:t>
            </w:r>
          </w:p>
        </w:tc>
      </w:tr>
      <w:tr w14:paraId="32D54339" w14:textId="77777777">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vAlign w:val="center"/>
          </w:tcPr>
          <w:p w:rsidR="005C6370" w:rsidP="00A24D29" w14:paraId="20B32125" w14:textId="77777777">
            <w:pPr>
              <w:ind w:firstLine="420"/>
              <w:contextualSpacing/>
              <w:rPr>
                <w:rFonts w:ascii="宋体" w:hAnsi="宋体" w:hint="eastAsia"/>
                <w:lang w:eastAsia="zh-CN"/>
              </w:rPr>
            </w:pPr>
            <w:r>
              <w:rPr>
                <w:rFonts w:ascii="宋体" w:hAnsi="宋体"/>
                <w:lang w:eastAsia="zh-CN"/>
              </w:rPr>
              <w:t>广发证券股份有限公司</w:t>
            </w:r>
          </w:p>
        </w:tc>
        <w:tc>
          <w:tcPr>
            <w:tcW w:w="2507" w:type="dxa"/>
            <w:tcBorders>
              <w:top w:val="single" w:sz="4" w:space="0" w:color="000000"/>
              <w:left w:val="single" w:sz="4" w:space="0" w:color="000000"/>
              <w:bottom w:val="single" w:sz="4" w:space="0" w:color="000000"/>
              <w:right w:val="single" w:sz="4" w:space="0" w:color="000000"/>
            </w:tcBorders>
            <w:vAlign w:val="center"/>
          </w:tcPr>
          <w:p w:rsidR="005C6370" w:rsidP="00A24D29" w14:paraId="130B47FC" w14:textId="77777777">
            <w:pPr>
              <w:ind w:firstLine="420"/>
              <w:contextualSpacing/>
              <w:jc w:val="center"/>
              <w:rPr>
                <w:rFonts w:ascii="宋体" w:hAnsi="宋体" w:hint="eastAsia"/>
              </w:rPr>
            </w:pPr>
            <w:r>
              <w:rPr>
                <w:rFonts w:ascii="宋体" w:hAnsi="宋体"/>
              </w:rPr>
              <w:t>22.6514％</w:t>
            </w:r>
          </w:p>
        </w:tc>
      </w:tr>
      <w:tr w14:paraId="57A338F6" w14:textId="77777777">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vAlign w:val="center"/>
          </w:tcPr>
          <w:p w:rsidR="005C6370" w:rsidP="00A24D29" w14:paraId="3A80AFC8" w14:textId="77777777">
            <w:pPr>
              <w:ind w:firstLine="420"/>
              <w:contextualSpacing/>
              <w:rPr>
                <w:rFonts w:ascii="宋体" w:hAnsi="宋体" w:hint="eastAsia"/>
              </w:rPr>
            </w:pPr>
            <w:r>
              <w:rPr>
                <w:rFonts w:ascii="宋体" w:hAnsi="宋体"/>
              </w:rPr>
              <w:t>盈峰集团有限公司</w:t>
            </w:r>
          </w:p>
        </w:tc>
        <w:tc>
          <w:tcPr>
            <w:tcW w:w="2507" w:type="dxa"/>
            <w:tcBorders>
              <w:top w:val="single" w:sz="4" w:space="0" w:color="000000"/>
              <w:left w:val="single" w:sz="4" w:space="0" w:color="000000"/>
              <w:bottom w:val="single" w:sz="4" w:space="0" w:color="000000"/>
              <w:right w:val="single" w:sz="4" w:space="0" w:color="000000"/>
            </w:tcBorders>
            <w:vAlign w:val="center"/>
          </w:tcPr>
          <w:p w:rsidR="005C6370" w:rsidP="00A24D29" w14:paraId="75E46FD5" w14:textId="77777777">
            <w:pPr>
              <w:ind w:firstLine="420"/>
              <w:contextualSpacing/>
              <w:jc w:val="center"/>
              <w:rPr>
                <w:rFonts w:ascii="宋体" w:hAnsi="宋体" w:hint="eastAsia"/>
              </w:rPr>
            </w:pPr>
            <w:r>
              <w:rPr>
                <w:rFonts w:ascii="宋体" w:hAnsi="宋体"/>
              </w:rPr>
              <w:t>22.6514％</w:t>
            </w:r>
          </w:p>
        </w:tc>
      </w:tr>
      <w:tr w14:paraId="2EB55D4E" w14:textId="77777777">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vAlign w:val="center"/>
          </w:tcPr>
          <w:p w:rsidR="005C6370" w:rsidP="00A24D29" w14:paraId="2BCD1580" w14:textId="77777777">
            <w:pPr>
              <w:ind w:firstLine="420"/>
              <w:contextualSpacing/>
              <w:rPr>
                <w:rFonts w:ascii="宋体" w:hAnsi="宋体" w:hint="eastAsia"/>
                <w:lang w:eastAsia="zh-CN"/>
              </w:rPr>
            </w:pPr>
            <w:r>
              <w:rPr>
                <w:rFonts w:ascii="宋体" w:hAnsi="宋体"/>
                <w:lang w:eastAsia="zh-CN"/>
              </w:rPr>
              <w:t>广东省广晟控股集团有限公司</w:t>
            </w:r>
          </w:p>
        </w:tc>
        <w:tc>
          <w:tcPr>
            <w:tcW w:w="2507" w:type="dxa"/>
            <w:tcBorders>
              <w:top w:val="single" w:sz="4" w:space="0" w:color="000000"/>
              <w:left w:val="single" w:sz="4" w:space="0" w:color="000000"/>
              <w:bottom w:val="single" w:sz="4" w:space="0" w:color="000000"/>
              <w:right w:val="single" w:sz="4" w:space="0" w:color="000000"/>
            </w:tcBorders>
            <w:vAlign w:val="center"/>
          </w:tcPr>
          <w:p w:rsidR="005C6370" w:rsidP="00A24D29" w14:paraId="75BEAB0F" w14:textId="77777777">
            <w:pPr>
              <w:ind w:firstLine="420"/>
              <w:contextualSpacing/>
              <w:jc w:val="center"/>
              <w:rPr>
                <w:rFonts w:ascii="宋体" w:hAnsi="宋体" w:hint="eastAsia"/>
              </w:rPr>
            </w:pPr>
            <w:r>
              <w:rPr>
                <w:rFonts w:ascii="宋体" w:hAnsi="宋体"/>
              </w:rPr>
              <w:t>15.1010％</w:t>
            </w:r>
          </w:p>
        </w:tc>
      </w:tr>
      <w:tr w14:paraId="7C385319" w14:textId="77777777">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vAlign w:val="center"/>
          </w:tcPr>
          <w:p w:rsidR="005C6370" w:rsidP="00A24D29" w14:paraId="7EC940BD" w14:textId="77777777">
            <w:pPr>
              <w:ind w:firstLine="420"/>
              <w:contextualSpacing/>
              <w:rPr>
                <w:rFonts w:ascii="宋体" w:hAnsi="宋体" w:hint="eastAsia"/>
                <w:lang w:eastAsia="zh-CN"/>
              </w:rPr>
            </w:pPr>
            <w:r>
              <w:rPr>
                <w:rFonts w:ascii="宋体" w:hAnsi="宋体"/>
                <w:lang w:eastAsia="zh-CN"/>
              </w:rPr>
              <w:t>广州市广永国有资产经营有限公司</w:t>
            </w:r>
          </w:p>
        </w:tc>
        <w:tc>
          <w:tcPr>
            <w:tcW w:w="2507" w:type="dxa"/>
            <w:tcBorders>
              <w:top w:val="single" w:sz="4" w:space="0" w:color="000000"/>
              <w:left w:val="single" w:sz="4" w:space="0" w:color="000000"/>
              <w:bottom w:val="single" w:sz="4" w:space="0" w:color="000000"/>
              <w:right w:val="single" w:sz="4" w:space="0" w:color="000000"/>
            </w:tcBorders>
            <w:vAlign w:val="center"/>
          </w:tcPr>
          <w:p w:rsidR="005C6370" w:rsidP="00A24D29" w14:paraId="09C596D6" w14:textId="77777777">
            <w:pPr>
              <w:ind w:firstLine="420"/>
              <w:contextualSpacing/>
              <w:jc w:val="center"/>
              <w:rPr>
                <w:rFonts w:ascii="宋体" w:hAnsi="宋体" w:hint="eastAsia"/>
              </w:rPr>
            </w:pPr>
            <w:r>
              <w:rPr>
                <w:rFonts w:ascii="宋体" w:hAnsi="宋体"/>
              </w:rPr>
              <w:t>7.5505％</w:t>
            </w:r>
          </w:p>
        </w:tc>
      </w:tr>
      <w:tr w14:paraId="7A2A766B" w14:textId="77777777">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vAlign w:val="center"/>
          </w:tcPr>
          <w:p w:rsidR="005C6370" w:rsidP="00A24D29" w14:paraId="17D8F19A" w14:textId="77777777">
            <w:pPr>
              <w:ind w:firstLine="420"/>
              <w:contextualSpacing/>
              <w:rPr>
                <w:rFonts w:ascii="宋体" w:hAnsi="宋体" w:hint="eastAsia"/>
                <w:lang w:eastAsia="zh-CN"/>
              </w:rPr>
            </w:pPr>
            <w:r>
              <w:rPr>
                <w:rFonts w:ascii="宋体" w:hAnsi="宋体"/>
                <w:lang w:eastAsia="zh-CN"/>
              </w:rPr>
              <w:t>珠海祺荣宝投资合伙企业（有限合伙）</w:t>
            </w:r>
          </w:p>
        </w:tc>
        <w:tc>
          <w:tcPr>
            <w:tcW w:w="2507" w:type="dxa"/>
            <w:tcBorders>
              <w:top w:val="single" w:sz="4" w:space="0" w:color="000000"/>
              <w:left w:val="single" w:sz="4" w:space="0" w:color="000000"/>
              <w:bottom w:val="single" w:sz="4" w:space="0" w:color="000000"/>
              <w:right w:val="single" w:sz="4" w:space="0" w:color="000000"/>
            </w:tcBorders>
            <w:vAlign w:val="center"/>
          </w:tcPr>
          <w:p w:rsidR="005C6370" w:rsidP="00A24D29" w14:paraId="78B95CCF" w14:textId="77777777">
            <w:pPr>
              <w:ind w:firstLine="420"/>
              <w:contextualSpacing/>
              <w:jc w:val="center"/>
              <w:rPr>
                <w:rFonts w:ascii="宋体" w:hAnsi="宋体" w:hint="eastAsia"/>
              </w:rPr>
            </w:pPr>
            <w:r>
              <w:rPr>
                <w:rFonts w:ascii="宋体" w:hAnsi="宋体"/>
              </w:rPr>
              <w:t>1.5087％</w:t>
            </w:r>
          </w:p>
        </w:tc>
      </w:tr>
      <w:tr w14:paraId="67079BD9" w14:textId="77777777">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tcPr>
          <w:p w:rsidR="005C6370" w:rsidP="00A24D29" w14:paraId="4A0DE593" w14:textId="77777777">
            <w:pPr>
              <w:ind w:firstLine="420"/>
              <w:contextualSpacing/>
              <w:rPr>
                <w:rFonts w:ascii="宋体" w:hAnsi="宋体" w:hint="eastAsia"/>
                <w:lang w:eastAsia="zh-CN"/>
              </w:rPr>
            </w:pPr>
            <w:r>
              <w:rPr>
                <w:rFonts w:ascii="宋体" w:hAnsi="宋体"/>
                <w:lang w:eastAsia="zh-CN"/>
              </w:rPr>
              <w:t>珠海祺泰宝投资合伙企业（有限合伙）</w:t>
            </w:r>
          </w:p>
        </w:tc>
        <w:tc>
          <w:tcPr>
            <w:tcW w:w="2507" w:type="dxa"/>
            <w:tcBorders>
              <w:top w:val="single" w:sz="4" w:space="0" w:color="000000"/>
              <w:left w:val="single" w:sz="4" w:space="0" w:color="000000"/>
              <w:bottom w:val="single" w:sz="4" w:space="0" w:color="000000"/>
              <w:right w:val="single" w:sz="4" w:space="0" w:color="000000"/>
            </w:tcBorders>
            <w:vAlign w:val="center"/>
          </w:tcPr>
          <w:p w:rsidR="005C6370" w:rsidP="00A24D29" w14:paraId="122D183D" w14:textId="77777777">
            <w:pPr>
              <w:ind w:firstLine="420"/>
              <w:contextualSpacing/>
              <w:jc w:val="center"/>
              <w:rPr>
                <w:rFonts w:ascii="宋体" w:hAnsi="宋体" w:hint="eastAsia"/>
              </w:rPr>
            </w:pPr>
            <w:r>
              <w:rPr>
                <w:rFonts w:ascii="宋体" w:hAnsi="宋体"/>
              </w:rPr>
              <w:t>1.6205％</w:t>
            </w:r>
          </w:p>
        </w:tc>
      </w:tr>
      <w:tr w14:paraId="627A72D5" w14:textId="77777777">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tcPr>
          <w:p w:rsidR="005C6370" w:rsidP="00A24D29" w14:paraId="29F2BCCF" w14:textId="77777777">
            <w:pPr>
              <w:ind w:firstLine="420"/>
              <w:contextualSpacing/>
              <w:rPr>
                <w:rFonts w:ascii="宋体" w:hAnsi="宋体" w:hint="eastAsia"/>
                <w:lang w:eastAsia="zh-CN"/>
              </w:rPr>
            </w:pPr>
            <w:r>
              <w:rPr>
                <w:rFonts w:ascii="宋体" w:hAnsi="宋体"/>
                <w:lang w:eastAsia="zh-CN"/>
              </w:rPr>
              <w:t>珠海祺丰宝投资合伙企业（有限合伙）</w:t>
            </w:r>
          </w:p>
        </w:tc>
        <w:tc>
          <w:tcPr>
            <w:tcW w:w="2507" w:type="dxa"/>
            <w:tcBorders>
              <w:top w:val="single" w:sz="4" w:space="0" w:color="000000"/>
              <w:left w:val="single" w:sz="4" w:space="0" w:color="000000"/>
              <w:bottom w:val="single" w:sz="4" w:space="0" w:color="000000"/>
              <w:right w:val="single" w:sz="4" w:space="0" w:color="000000"/>
            </w:tcBorders>
            <w:vAlign w:val="center"/>
          </w:tcPr>
          <w:p w:rsidR="005C6370" w:rsidP="00A24D29" w14:paraId="60421708" w14:textId="77777777">
            <w:pPr>
              <w:ind w:firstLine="420"/>
              <w:contextualSpacing/>
              <w:jc w:val="center"/>
              <w:rPr>
                <w:rFonts w:ascii="宋体" w:hAnsi="宋体" w:hint="eastAsia"/>
              </w:rPr>
            </w:pPr>
            <w:r>
              <w:rPr>
                <w:rFonts w:ascii="宋体" w:hAnsi="宋体"/>
              </w:rPr>
              <w:t>1.5309％</w:t>
            </w:r>
          </w:p>
        </w:tc>
      </w:tr>
      <w:tr w14:paraId="4229D857" w14:textId="77777777">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tcPr>
          <w:p w:rsidR="005C6370" w:rsidP="00A24D29" w14:paraId="0E9448EC" w14:textId="77777777">
            <w:pPr>
              <w:ind w:firstLine="420"/>
              <w:contextualSpacing/>
              <w:rPr>
                <w:rFonts w:ascii="宋体" w:hAnsi="宋体" w:hint="eastAsia"/>
                <w:lang w:eastAsia="zh-CN"/>
              </w:rPr>
            </w:pPr>
            <w:r>
              <w:rPr>
                <w:rFonts w:ascii="宋体" w:hAnsi="宋体"/>
                <w:lang w:eastAsia="zh-CN"/>
              </w:rPr>
              <w:t>珠海聚莱康投资合伙企业（有限合伙）</w:t>
            </w:r>
          </w:p>
        </w:tc>
        <w:tc>
          <w:tcPr>
            <w:tcW w:w="2507" w:type="dxa"/>
            <w:tcBorders>
              <w:top w:val="single" w:sz="4" w:space="0" w:color="000000"/>
              <w:left w:val="single" w:sz="4" w:space="0" w:color="000000"/>
              <w:bottom w:val="single" w:sz="4" w:space="0" w:color="000000"/>
              <w:right w:val="single" w:sz="4" w:space="0" w:color="000000"/>
            </w:tcBorders>
            <w:vAlign w:val="center"/>
          </w:tcPr>
          <w:p w:rsidR="005C6370" w:rsidP="00A24D29" w14:paraId="69BE3CA8" w14:textId="77777777">
            <w:pPr>
              <w:ind w:firstLine="420"/>
              <w:contextualSpacing/>
              <w:jc w:val="center"/>
              <w:rPr>
                <w:rFonts w:ascii="宋体" w:hAnsi="宋体" w:hint="eastAsia"/>
              </w:rPr>
            </w:pPr>
            <w:r>
              <w:rPr>
                <w:rFonts w:ascii="宋体" w:hAnsi="宋体"/>
              </w:rPr>
              <w:t>1.7558％</w:t>
            </w:r>
          </w:p>
        </w:tc>
      </w:tr>
      <w:tr w14:paraId="004C70C3" w14:textId="77777777">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tcPr>
          <w:p w:rsidR="005C6370" w:rsidP="00A24D29" w14:paraId="5A5D5D3E" w14:textId="77777777">
            <w:pPr>
              <w:ind w:firstLine="420"/>
              <w:contextualSpacing/>
              <w:rPr>
                <w:rFonts w:ascii="宋体" w:hAnsi="宋体" w:hint="eastAsia"/>
                <w:lang w:eastAsia="zh-CN"/>
              </w:rPr>
            </w:pPr>
            <w:r>
              <w:rPr>
                <w:rFonts w:ascii="宋体" w:hAnsi="宋体"/>
                <w:lang w:eastAsia="zh-CN"/>
              </w:rPr>
              <w:t>珠海聚宁康投资合伙企业（有限合伙）</w:t>
            </w:r>
          </w:p>
        </w:tc>
        <w:tc>
          <w:tcPr>
            <w:tcW w:w="2507" w:type="dxa"/>
            <w:tcBorders>
              <w:top w:val="single" w:sz="4" w:space="0" w:color="000000"/>
              <w:left w:val="single" w:sz="4" w:space="0" w:color="000000"/>
              <w:bottom w:val="single" w:sz="4" w:space="0" w:color="000000"/>
              <w:right w:val="single" w:sz="4" w:space="0" w:color="000000"/>
            </w:tcBorders>
            <w:vAlign w:val="center"/>
          </w:tcPr>
          <w:p w:rsidR="005C6370" w:rsidP="00A24D29" w14:paraId="4ACEF2FB" w14:textId="77777777">
            <w:pPr>
              <w:ind w:firstLine="420"/>
              <w:contextualSpacing/>
              <w:jc w:val="center"/>
              <w:rPr>
                <w:rFonts w:ascii="宋体" w:hAnsi="宋体" w:hint="eastAsia"/>
              </w:rPr>
            </w:pPr>
            <w:r>
              <w:rPr>
                <w:rFonts w:ascii="宋体" w:hAnsi="宋体"/>
              </w:rPr>
              <w:t>1.4396％</w:t>
            </w:r>
          </w:p>
        </w:tc>
      </w:tr>
      <w:tr w14:paraId="7803A9AA" w14:textId="77777777">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tcPr>
          <w:p w:rsidR="005C6370" w:rsidP="00A24D29" w14:paraId="0F8E99B2" w14:textId="77777777">
            <w:pPr>
              <w:ind w:firstLine="420"/>
              <w:contextualSpacing/>
              <w:rPr>
                <w:rFonts w:ascii="宋体" w:hAnsi="宋体" w:hint="eastAsia"/>
                <w:lang w:eastAsia="zh-CN"/>
              </w:rPr>
            </w:pPr>
            <w:r>
              <w:rPr>
                <w:rFonts w:ascii="宋体" w:hAnsi="宋体"/>
                <w:lang w:eastAsia="zh-CN"/>
              </w:rPr>
              <w:t>珠海聚弘康投资合伙企业（有限合伙）</w:t>
            </w:r>
          </w:p>
        </w:tc>
        <w:tc>
          <w:tcPr>
            <w:tcW w:w="2507" w:type="dxa"/>
            <w:tcBorders>
              <w:top w:val="single" w:sz="4" w:space="0" w:color="000000"/>
              <w:left w:val="single" w:sz="4" w:space="0" w:color="000000"/>
              <w:bottom w:val="single" w:sz="4" w:space="0" w:color="000000"/>
              <w:right w:val="single" w:sz="4" w:space="0" w:color="000000"/>
            </w:tcBorders>
            <w:vAlign w:val="center"/>
          </w:tcPr>
          <w:p w:rsidR="005C6370" w:rsidP="00A24D29" w14:paraId="6CAB05A0" w14:textId="77777777">
            <w:pPr>
              <w:ind w:firstLine="420"/>
              <w:contextualSpacing/>
              <w:jc w:val="center"/>
              <w:rPr>
                <w:rFonts w:ascii="宋体" w:hAnsi="宋体" w:hint="eastAsia"/>
              </w:rPr>
            </w:pPr>
            <w:r>
              <w:rPr>
                <w:rFonts w:ascii="宋体" w:hAnsi="宋体"/>
              </w:rPr>
              <w:t>1.5388％</w:t>
            </w:r>
          </w:p>
        </w:tc>
      </w:tr>
      <w:tr w14:paraId="4B84F962" w14:textId="77777777">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vAlign w:val="center"/>
          </w:tcPr>
          <w:p w:rsidR="005C6370" w:rsidP="00A24D29" w14:paraId="3F90C962" w14:textId="77777777">
            <w:pPr>
              <w:ind w:firstLine="420"/>
              <w:contextualSpacing/>
              <w:rPr>
                <w:rFonts w:ascii="宋体" w:hAnsi="宋体" w:hint="eastAsia"/>
              </w:rPr>
            </w:pPr>
            <w:r>
              <w:rPr>
                <w:rFonts w:ascii="宋体" w:hAnsi="宋体"/>
              </w:rPr>
              <w:t>总   计</w:t>
            </w:r>
          </w:p>
        </w:tc>
        <w:tc>
          <w:tcPr>
            <w:tcW w:w="2507" w:type="dxa"/>
            <w:tcBorders>
              <w:top w:val="single" w:sz="4" w:space="0" w:color="000000"/>
              <w:left w:val="single" w:sz="4" w:space="0" w:color="000000"/>
              <w:bottom w:val="single" w:sz="4" w:space="0" w:color="000000"/>
              <w:right w:val="single" w:sz="4" w:space="0" w:color="000000"/>
            </w:tcBorders>
            <w:vAlign w:val="center"/>
          </w:tcPr>
          <w:p w:rsidR="005C6370" w:rsidP="00A24D29" w14:paraId="308A7A5C" w14:textId="77777777">
            <w:pPr>
              <w:ind w:firstLine="420"/>
              <w:contextualSpacing/>
              <w:jc w:val="center"/>
              <w:rPr>
                <w:rFonts w:ascii="宋体" w:hAnsi="宋体" w:hint="eastAsia"/>
              </w:rPr>
            </w:pPr>
            <w:r>
              <w:rPr>
                <w:rFonts w:ascii="宋体" w:hAnsi="宋体"/>
              </w:rPr>
              <w:t>100％</w:t>
            </w:r>
          </w:p>
        </w:tc>
      </w:tr>
    </w:tbl>
    <w:p w:rsidR="005C6370" w:rsidP="00A24D29" w14:paraId="475FF5E6" w14:textId="77777777">
      <w:pPr>
        <w:spacing w:line="360" w:lineRule="auto"/>
        <w:ind w:firstLine="420"/>
        <w:contextualSpacing/>
        <w:rPr>
          <w:rFonts w:ascii="宋体" w:hAnsi="Calibri"/>
          <w:bCs/>
        </w:rPr>
      </w:pPr>
      <w:r>
        <w:rPr>
          <w:rFonts w:ascii="宋体" w:hAnsi="Calibri" w:hint="eastAsia"/>
          <w:bCs/>
          <w:highlight w:val="white"/>
        </w:rPr>
        <w:t>二、主要人员情况</w:t>
      </w:r>
    </w:p>
    <w:p w:rsidR="005C6370" w:rsidP="00A24D29" w14:paraId="47695577" w14:textId="77777777">
      <w:pPr>
        <w:spacing w:line="360" w:lineRule="auto"/>
        <w:ind w:firstLine="420"/>
        <w:contextualSpacing/>
        <w:rPr>
          <w:bCs/>
          <w:lang w:eastAsia="zh-CN"/>
        </w:rPr>
      </w:pPr>
      <w:r>
        <w:rPr>
          <w:rFonts w:ascii="宋体" w:hAnsi="宋体" w:cs="宋体"/>
          <w:bCs/>
          <w:highlight w:val="white"/>
          <w:lang w:eastAsia="zh-CN"/>
        </w:rPr>
        <w:t>1</w:t>
      </w:r>
      <w:r>
        <w:rPr>
          <w:rFonts w:hint="eastAsia"/>
          <w:bCs/>
          <w:highlight w:val="white"/>
          <w:lang w:eastAsia="zh-CN"/>
        </w:rPr>
        <w:t>、董事、监事及高级管理人员</w:t>
      </w:r>
    </w:p>
    <w:p w:rsidR="005340D3" w:rsidRPr="005340D3" w:rsidP="005340D3" w14:paraId="2F009910" w14:textId="77777777">
      <w:pPr>
        <w:spacing w:line="360" w:lineRule="auto"/>
        <w:ind w:firstLine="420"/>
        <w:contextualSpacing/>
        <w:rPr>
          <w:bCs/>
          <w:lang w:eastAsia="zh-CN"/>
        </w:rPr>
      </w:pPr>
      <w:r w:rsidRPr="005340D3">
        <w:rPr>
          <w:rFonts w:hint="eastAsia"/>
          <w:bCs/>
          <w:lang w:eastAsia="zh-CN"/>
        </w:rPr>
        <w:t>刘晓艳女士，经济学博士。现任易方达基金管理有限公司董事长，广州投资顾问学院管理有限公司董事。曾任广发证券有限责任公司投资理财部副经理、基金经理、基金投资理财部副总经理，易方达基金管理有限公司督察员、监察部总经理、总裁助理、市场总监、副总经理、总经理、副董事长、董事长（联席），易方达资产管理有限公司董事，易方达资产管理（香港）有限公司董事长，易方达国际控股有限公司董事，易方达资产管理（新加坡）有限公司董事长。</w:t>
      </w:r>
    </w:p>
    <w:p w:rsidR="005340D3" w:rsidRPr="005340D3" w:rsidP="005340D3" w14:paraId="44FCC4B1" w14:textId="77777777">
      <w:pPr>
        <w:spacing w:line="360" w:lineRule="auto"/>
        <w:ind w:firstLine="420"/>
        <w:contextualSpacing/>
        <w:rPr>
          <w:bCs/>
          <w:lang w:eastAsia="zh-CN"/>
        </w:rPr>
      </w:pPr>
      <w:r w:rsidRPr="005340D3">
        <w:rPr>
          <w:rFonts w:hint="eastAsia"/>
          <w:bCs/>
          <w:lang w:eastAsia="zh-CN"/>
        </w:rPr>
        <w:t>吴欣荣先生，工学硕士。现任易方达基金管理有限公司董事、总经理，易方达资产管理（香港）有限公司董事长，易方达私募基金管理有限公司董事长。曾任易方达基金管理有限公司研究员、投资管理部经理、基金经理、基金投资部副总经理、研究部副总经理、研究部总经理、基金投资部总经理、总裁助理、公募基金投资部总经理、权益投资总部总经理、权益投资总监、权益投资决策委员会委员、副总经理级高级管理人员、执行总经理，易方达国际控股有限公司董事。</w:t>
      </w:r>
    </w:p>
    <w:p w:rsidR="005340D3" w:rsidRPr="005340D3" w:rsidP="005340D3" w14:paraId="301297E3" w14:textId="77777777">
      <w:pPr>
        <w:spacing w:line="360" w:lineRule="auto"/>
        <w:ind w:firstLine="420"/>
        <w:contextualSpacing/>
        <w:rPr>
          <w:bCs/>
          <w:lang w:eastAsia="zh-CN"/>
        </w:rPr>
      </w:pPr>
      <w:r w:rsidRPr="005340D3">
        <w:rPr>
          <w:rFonts w:hint="eastAsia"/>
          <w:bCs/>
          <w:lang w:eastAsia="zh-CN"/>
        </w:rPr>
        <w:t>王麒麟先生，管理学、法学学士。现任易方达基金管理有限公司董事，广东粤财信托有限公司党委副书记、董事、总经理。曾任广东粤财投资控股有限公司资产管理部业务员、农业项目部经理助理；广东粤财信托有限公司信托管理二部经理助理、副经理，信托管理部副经理、经理、副总经理，信托管理一部副总经理、总经理，机构业务部总经理；广东粤财金融租赁股份有限公司副总经理、总经理。</w:t>
      </w:r>
    </w:p>
    <w:p w:rsidR="005340D3" w:rsidRPr="005340D3" w:rsidP="005340D3" w14:paraId="5459B448" w14:textId="77777777">
      <w:pPr>
        <w:spacing w:line="360" w:lineRule="auto"/>
        <w:ind w:firstLine="420"/>
        <w:contextualSpacing/>
        <w:rPr>
          <w:bCs/>
          <w:lang w:eastAsia="zh-CN"/>
        </w:rPr>
      </w:pPr>
      <w:r w:rsidRPr="005340D3">
        <w:rPr>
          <w:rFonts w:hint="eastAsia"/>
          <w:bCs/>
          <w:lang w:eastAsia="zh-CN"/>
        </w:rPr>
        <w:t>徐佑军先生，经济学硕士。现任易方达基金管理有限公司董事，广发证券股份有限公司副总经理。曾任广州交通房地产公司开发部员工，广东珠江投资公司企管部员工，广州证券有限责任公司投资银行部经理，广发证券股份有限公司投资银行部业务经理、湖北总部总经理助理、投资银行部总经理助理、投行综合管理部总经理助理、兼并收购部执行董事、董事会办公室总经理、公司董事会秘书、联席公司秘书、证券事务代表、公司合规总监、合规与法律事务部总经理。</w:t>
      </w:r>
    </w:p>
    <w:p w:rsidR="005340D3" w:rsidRPr="005340D3" w:rsidP="005340D3" w14:paraId="10661FAD" w14:textId="77777777">
      <w:pPr>
        <w:spacing w:line="360" w:lineRule="auto"/>
        <w:ind w:firstLine="420"/>
        <w:contextualSpacing/>
        <w:rPr>
          <w:bCs/>
          <w:lang w:eastAsia="zh-CN"/>
        </w:rPr>
      </w:pPr>
      <w:r w:rsidRPr="005340D3">
        <w:rPr>
          <w:rFonts w:hint="eastAsia"/>
          <w:bCs/>
          <w:lang w:eastAsia="zh-CN"/>
        </w:rPr>
        <w:t>邝广雄先生，工商管理硕士。现任易方达基金管理有限公司董事，盈峰集团有限公司董事、执行总裁，顾家家居股份有限公司董事长，盈峰环境科技集团股份有限公司董事，广东盈峰普惠互联小额贷款股份有限公司董事，盈合（深圳）机器人与自动化科技有限公司董事长，广东盈峰材料技术股份有限公司董事长，佛山市盈峰贸易有限公司执行董事兼总经理，宁波盈峰睿和投资管理有限公司执行董事、经理，宁波盈峰捭阖文化产业投资有限公司执行董事、经理，宁波盈峰资产管理有限公司执行董事、经理。曾任美的日电集团财务经理，美的美国公司财务经理，美的厨房电器财务总监，美的中央空调财务总监，美的库卡中国合资公司财务总监。</w:t>
      </w:r>
    </w:p>
    <w:p w:rsidR="005340D3" w:rsidRPr="005340D3" w:rsidP="005340D3" w14:paraId="38D9EA71" w14:textId="77777777">
      <w:pPr>
        <w:spacing w:line="360" w:lineRule="auto"/>
        <w:ind w:firstLine="420"/>
        <w:contextualSpacing/>
        <w:rPr>
          <w:bCs/>
          <w:lang w:eastAsia="zh-CN"/>
        </w:rPr>
      </w:pPr>
      <w:r w:rsidRPr="005340D3">
        <w:rPr>
          <w:rFonts w:hint="eastAsia"/>
          <w:bCs/>
          <w:lang w:eastAsia="zh-CN"/>
        </w:rPr>
        <w:t>范裕先生，工学硕士。现任易方达基金管理有限公司董事，广东省广晟控股集团有限公司资本运营部负责人。曾任美国摩根大通银行上海分行投行部分析师、香港分行投行部经理；中信证券股份有限公司投行部副总裁；中德证券有限责任公司投行部副总裁；光大理财有限责任公司股票投资部执行总监；平安银行股份有限公司投行部资本市场室负责人、投行部产品总监；广东省广晟控股集团有限公司资本运营部副部长。</w:t>
      </w:r>
    </w:p>
    <w:p w:rsidR="005340D3" w:rsidRPr="005340D3" w:rsidP="005340D3" w14:paraId="1B03CC8A" w14:textId="77777777">
      <w:pPr>
        <w:spacing w:line="360" w:lineRule="auto"/>
        <w:ind w:firstLine="420"/>
        <w:contextualSpacing/>
        <w:rPr>
          <w:bCs/>
          <w:lang w:eastAsia="zh-CN"/>
        </w:rPr>
      </w:pPr>
      <w:r w:rsidRPr="005340D3">
        <w:rPr>
          <w:rFonts w:hint="eastAsia"/>
          <w:bCs/>
          <w:lang w:eastAsia="zh-CN"/>
        </w:rPr>
        <w:t>王承志先生，法学博士。现任易方达基金管理有限公司独立董事，中山大学法学院副教授、博士生导师，广东省法学会国际法学研究会秘书长，中国国际私法学会理事，广东神朗律师事务所兼职律师，深圳市美之高科技股份有限公司独立董事，祥鑫科技股份有限公司独立董事，广州恒运企业集团股份有限公司独立董事。曾任美国天普大学法学院访问副教授，广东凯金新能源科技股份有限公司独立董事，江苏凯强医学检验有限公司董事，广东茉莉数字科技集团股份有限公司独立董事，艾尔玛科技股份有限公司独立董事。</w:t>
      </w:r>
    </w:p>
    <w:p w:rsidR="005340D3" w:rsidRPr="005340D3" w:rsidP="005340D3" w14:paraId="7BCA9BA7" w14:textId="77777777">
      <w:pPr>
        <w:spacing w:line="360" w:lineRule="auto"/>
        <w:ind w:firstLine="420"/>
        <w:contextualSpacing/>
        <w:rPr>
          <w:bCs/>
          <w:lang w:eastAsia="zh-CN"/>
        </w:rPr>
      </w:pPr>
      <w:r w:rsidRPr="005340D3">
        <w:rPr>
          <w:rFonts w:hint="eastAsia"/>
          <w:bCs/>
          <w:lang w:eastAsia="zh-CN"/>
        </w:rPr>
        <w:t>高建先生，工学博士。现任易方达基金管理有限公司独立董事，清华大学经济管理学院教授、博士生导师、学术委员会副主任，南通苏锡通控股集团有限公司创业投资决策委员会外聘专家委员。曾任重庆建筑工程学院建筑管理工程系助教、讲师、教研室副主任，清华大学经济管理学院讲师、副教授、技术经济与管理系主任、创新创业与战略系主任、院长助理、副院长、党委书记，山东新北洋信息技术股份有限公司独立董事，中融人寿保险股份有限公司独立董事</w:t>
      </w:r>
      <w:r w:rsidRPr="005340D3">
        <w:rPr>
          <w:rFonts w:hint="eastAsia"/>
          <w:bCs/>
          <w:lang w:eastAsia="zh-CN"/>
        </w:rPr>
        <w:t>,</w:t>
      </w:r>
      <w:r w:rsidRPr="005340D3">
        <w:rPr>
          <w:rFonts w:hint="eastAsia"/>
          <w:bCs/>
          <w:lang w:eastAsia="zh-CN"/>
        </w:rPr>
        <w:t>深圳市力合科创股份有限公司独立董事，固生堂控股有限公司非执行董事。</w:t>
      </w:r>
    </w:p>
    <w:p w:rsidR="005340D3" w:rsidRPr="005340D3" w:rsidP="005340D3" w14:paraId="26C2477C" w14:textId="77777777">
      <w:pPr>
        <w:spacing w:line="360" w:lineRule="auto"/>
        <w:ind w:firstLine="420"/>
        <w:contextualSpacing/>
        <w:rPr>
          <w:bCs/>
          <w:lang w:eastAsia="zh-CN"/>
        </w:rPr>
      </w:pPr>
      <w:r w:rsidRPr="005340D3">
        <w:rPr>
          <w:rFonts w:hint="eastAsia"/>
          <w:bCs/>
          <w:lang w:eastAsia="zh-CN"/>
        </w:rPr>
        <w:t>刘劲先生，工商管理博士。现任易方达基金管理有限公司独立董事，长江商学院会计与金融教授、投资研究中心主任、教授管理委员会主席，闪送必应有限公司独立董事。曾任哥伦比亚大学经济学讲师，加州大学洛杉矶分校安德森管理学院助理教授、副教授、终身教授，长江商学院行政副院长、</w:t>
      </w:r>
      <w:r w:rsidRPr="005340D3">
        <w:rPr>
          <w:rFonts w:hint="eastAsia"/>
          <w:bCs/>
          <w:lang w:eastAsia="zh-CN"/>
        </w:rPr>
        <w:t>DBA</w:t>
      </w:r>
      <w:r w:rsidRPr="005340D3">
        <w:rPr>
          <w:rFonts w:hint="eastAsia"/>
          <w:bCs/>
          <w:lang w:eastAsia="zh-CN"/>
        </w:rPr>
        <w:t>项目副院长、创创社区项目发起人兼副院长，云南白药集团股份有限公司独立董事，瑞士银行（中国）有限公司独立董事，秦川机床工具集团股份公司独立董事，浙江红蜻蜓鞋业股份有限公司独立董事，中国天伦燃气控股有限公司独立非执行董事。</w:t>
      </w:r>
    </w:p>
    <w:p w:rsidR="005340D3" w:rsidRPr="005340D3" w:rsidP="005340D3" w14:paraId="063D3698" w14:textId="77777777">
      <w:pPr>
        <w:spacing w:line="360" w:lineRule="auto"/>
        <w:ind w:firstLine="420"/>
        <w:contextualSpacing/>
        <w:rPr>
          <w:bCs/>
          <w:lang w:eastAsia="zh-CN"/>
        </w:rPr>
      </w:pPr>
      <w:r w:rsidRPr="005340D3">
        <w:rPr>
          <w:rFonts w:hint="eastAsia"/>
          <w:bCs/>
          <w:lang w:eastAsia="zh-CN"/>
        </w:rPr>
        <w:t>陈能先生，经济学学士。现任易方达基金管理有限公司监事会主席，广东粤财投资控股有限公司职工董事、审计部总经理。曾任广东省轻工业品进出口（集团）塑胶公司财务部员工，广州对外经济贸易信托投资公司财务部副经理，广东粤财信托投资公司计划财务部业务经理，广东粤财实业发展公司财务部经理，广东粤财信托有限公司信托财务部副总经理、财务部总经理、审计部总经理，广东粤财投资控股有限公司审计部副总经理（主持工作）。</w:t>
      </w:r>
    </w:p>
    <w:p w:rsidR="005340D3" w:rsidRPr="005340D3" w:rsidP="005340D3" w14:paraId="756410D3" w14:textId="77777777">
      <w:pPr>
        <w:spacing w:line="360" w:lineRule="auto"/>
        <w:ind w:firstLine="420"/>
        <w:contextualSpacing/>
        <w:rPr>
          <w:bCs/>
          <w:lang w:eastAsia="zh-CN"/>
        </w:rPr>
      </w:pPr>
      <w:r w:rsidRPr="005340D3">
        <w:rPr>
          <w:rFonts w:hint="eastAsia"/>
          <w:bCs/>
          <w:lang w:eastAsia="zh-CN"/>
        </w:rPr>
        <w:t>危勇先生，经济学博士。现任易方达基金管理有限公司监事，广州市广永国有资产经营有限公司董事长，广州广永科技发展有限公司董事长、总经理。曾任中国水利水电第八工程局三产实业开发部秘书，中国人民银行广州分行统计研究处干部、货币信贷管理处主任科员、营管部综合处助理调研员，广州金融控股集团有限公司行政办公室主任，广州市广永国有资产经营有限公司总裁，广州金融资产交易中心有限公司董事，广州股权交易中心有限公司董事，广州广永丽都酒店有限公司董事长，万联证券股份有限公司监事，广州广永股权投资基金管理有限公司董事长，广州赛马娱乐总公司董事，广州广永投资管理有限公司董事长，广州银行股份有限公司董事。</w:t>
      </w:r>
    </w:p>
    <w:p w:rsidR="005340D3" w:rsidRPr="005340D3" w:rsidP="005340D3" w14:paraId="1AE663EB" w14:textId="77777777">
      <w:pPr>
        <w:spacing w:line="360" w:lineRule="auto"/>
        <w:ind w:firstLine="420"/>
        <w:contextualSpacing/>
        <w:rPr>
          <w:bCs/>
          <w:lang w:eastAsia="zh-CN"/>
        </w:rPr>
      </w:pPr>
      <w:r w:rsidRPr="005340D3">
        <w:rPr>
          <w:rFonts w:hint="eastAsia"/>
          <w:bCs/>
          <w:lang w:eastAsia="zh-CN"/>
        </w:rPr>
        <w:t>廖智先生，经济学硕士。现任易方达基金管理有限公司监事、总裁助理、党群工作部联席总经理，易方达资产管理有限公司监事，易方达私募基金管理有限公司监事，易方达财富管理基金销售（广州）有限公司监事。曾任广东证券股份有限公司基金部主管，易方达基金管理有限公司综合管理部副总经理、人力资源部副总经理、市场部总经理、互联网金融部总经理、综合管理部总经理、行政管理部总经理，广东粤财互联网金融股份有限公司董事。</w:t>
      </w:r>
    </w:p>
    <w:p w:rsidR="005340D3" w:rsidRPr="005340D3" w:rsidP="005340D3" w14:paraId="1393EC31" w14:textId="77777777">
      <w:pPr>
        <w:spacing w:line="360" w:lineRule="auto"/>
        <w:ind w:firstLine="420"/>
        <w:contextualSpacing/>
        <w:rPr>
          <w:bCs/>
          <w:lang w:eastAsia="zh-CN"/>
        </w:rPr>
      </w:pPr>
      <w:r w:rsidRPr="005340D3">
        <w:rPr>
          <w:rFonts w:hint="eastAsia"/>
          <w:bCs/>
          <w:lang w:eastAsia="zh-CN"/>
        </w:rPr>
        <w:t>吴镝先生，经济学硕士。现任易方达基金管理有限公司监事、人力资源部总经理、办公室总经理，易方达资产管理有限公司董事，易方达私募基金管理有限公司董事，易方达财富管理基金销售（广州）有限公司董事，易方达资产管理（香港）有限公司董事，易方达资产管理（新加坡）有限公司董事。曾任江南证券有限责任公司职员，金鹰基金管理有限公司投资管理部交易员，易方达基金管理有限公司集中交易室交易员、总经理助理、副总经理，研究部总经理助理、副总经理，权益运作支持部总经理。</w:t>
      </w:r>
    </w:p>
    <w:p w:rsidR="005340D3" w:rsidRPr="005340D3" w:rsidP="005340D3" w14:paraId="2CD8C1A9" w14:textId="77777777">
      <w:pPr>
        <w:spacing w:line="360" w:lineRule="auto"/>
        <w:ind w:firstLine="420"/>
        <w:contextualSpacing/>
        <w:rPr>
          <w:bCs/>
          <w:lang w:eastAsia="zh-CN"/>
        </w:rPr>
      </w:pPr>
      <w:r w:rsidRPr="005340D3">
        <w:rPr>
          <w:rFonts w:hint="eastAsia"/>
          <w:bCs/>
          <w:lang w:eastAsia="zh-CN"/>
        </w:rPr>
        <w:t>唐永鹏先生，工学硕士。现任易方达基金管理有限公司监事、智能投研技术部总经理、智能运营技术部总经理，易方达资产管理有限公司董事。曾任易方达基金管理有限公司系统管理工程师，信息技术部总经理助理，技术运营部总经理助理、副总经理，金融科技部总经理，创新研究中心总经理，系统研发中心总经理。</w:t>
      </w:r>
    </w:p>
    <w:p w:rsidR="005340D3" w:rsidRPr="005340D3" w:rsidP="005340D3" w14:paraId="128A2A2B" w14:textId="77777777">
      <w:pPr>
        <w:spacing w:line="360" w:lineRule="auto"/>
        <w:ind w:firstLine="420"/>
        <w:contextualSpacing/>
        <w:rPr>
          <w:bCs/>
          <w:lang w:eastAsia="zh-CN"/>
        </w:rPr>
      </w:pPr>
      <w:r w:rsidRPr="005340D3">
        <w:rPr>
          <w:rFonts w:hint="eastAsia"/>
          <w:bCs/>
          <w:lang w:eastAsia="zh-CN"/>
        </w:rPr>
        <w:t>娄利舟女士，工商管理硕士（</w:t>
      </w:r>
      <w:r w:rsidRPr="005340D3">
        <w:rPr>
          <w:rFonts w:hint="eastAsia"/>
          <w:bCs/>
          <w:lang w:eastAsia="zh-CN"/>
        </w:rPr>
        <w:t>EMBA</w:t>
      </w:r>
      <w:r w:rsidRPr="005340D3">
        <w:rPr>
          <w:rFonts w:hint="eastAsia"/>
          <w:bCs/>
          <w:lang w:eastAsia="zh-CN"/>
        </w:rPr>
        <w:t>）、经济学硕士。现任易方达基金管理有限公司副总经理级高级管理人员，易方达私募基金管理有限公司董事，易方达国际控股有限公司董事长，易方达资产管理（香港）有限公司董事。曾任联合证券有限责任公司证券营业部分析师、研究所策略研究员、经纪业务部高级经理，易方达基金管理有限公司销售支持中心经理、市场部总经理助理、市场部副总经理、广州分公司总经理、北京分公司总经理、总裁助理、</w:t>
      </w:r>
      <w:r w:rsidRPr="005340D3">
        <w:rPr>
          <w:rFonts w:hint="eastAsia"/>
          <w:bCs/>
          <w:lang w:eastAsia="zh-CN"/>
        </w:rPr>
        <w:t>FOF</w:t>
      </w:r>
      <w:r w:rsidRPr="005340D3">
        <w:rPr>
          <w:rFonts w:hint="eastAsia"/>
          <w:bCs/>
          <w:lang w:eastAsia="zh-CN"/>
        </w:rPr>
        <w:t>投资决策委员会委员，易方达资产管理有限公司总经理、董事长。</w:t>
      </w:r>
    </w:p>
    <w:p w:rsidR="005340D3" w:rsidRPr="005340D3" w:rsidP="005340D3" w14:paraId="598068D2" w14:textId="77777777">
      <w:pPr>
        <w:spacing w:line="360" w:lineRule="auto"/>
        <w:ind w:firstLine="420"/>
        <w:contextualSpacing/>
        <w:rPr>
          <w:bCs/>
          <w:lang w:eastAsia="zh-CN"/>
        </w:rPr>
      </w:pPr>
      <w:r w:rsidRPr="005340D3">
        <w:rPr>
          <w:rFonts w:hint="eastAsia"/>
          <w:bCs/>
          <w:lang w:eastAsia="zh-CN"/>
        </w:rPr>
        <w:t>陈彤先生，经济学博士。现任易方达基金管理有限公司副总经理级高级管理人员，易方达财富管理基金销售（广州）有限公司董事长。曾任中国经济开发信托投资公司成都营业部研发部副经理、交易部经理、研发部经理、证券总部研究部行业研究员，易方达基金管理有限公司市场拓展部主管、基金经理、市场部华东区大区销售经理、市场部总经理助理、南京分公司总经理、成都分公司总经理、上海分公司总经理、总裁助理、市场总监，易方达国际控股有限公司董事。</w:t>
      </w:r>
    </w:p>
    <w:p w:rsidR="005340D3" w:rsidRPr="005340D3" w:rsidP="005340D3" w14:paraId="2E4218C8" w14:textId="77777777">
      <w:pPr>
        <w:spacing w:line="360" w:lineRule="auto"/>
        <w:ind w:firstLine="420"/>
        <w:contextualSpacing/>
        <w:rPr>
          <w:bCs/>
          <w:lang w:eastAsia="zh-CN"/>
        </w:rPr>
      </w:pPr>
      <w:r w:rsidRPr="005340D3">
        <w:rPr>
          <w:rFonts w:hint="eastAsia"/>
          <w:bCs/>
          <w:lang w:eastAsia="zh-CN"/>
        </w:rPr>
        <w:t>范岳先生，工商管理硕士。现任易方达基金管理有限公司副总经理级高级管理人员、</w:t>
      </w:r>
      <w:r w:rsidRPr="005340D3">
        <w:rPr>
          <w:rFonts w:hint="eastAsia"/>
          <w:bCs/>
          <w:lang w:eastAsia="zh-CN"/>
        </w:rPr>
        <w:t>REITs</w:t>
      </w:r>
      <w:r w:rsidRPr="005340D3">
        <w:rPr>
          <w:rFonts w:hint="eastAsia"/>
          <w:bCs/>
          <w:lang w:eastAsia="zh-CN"/>
        </w:rPr>
        <w:t>投资管理委员会委员，易方达资产管理有限公司董事，易方达财富管理基金销售（广州）有限公司董事，易方达资产管理（香港）有限公司董事。曾任中国工商银行深圳分行国际业务部科员，深圳证券登记结算公司办公室经理、国际部经理，深圳证券交易所北京中心助理主任、上市部副总监、基金债券部副总监、基金管理部总监，易方达资产管理有限公司副董事长。</w:t>
      </w:r>
    </w:p>
    <w:p w:rsidR="005340D3" w:rsidRPr="005340D3" w:rsidP="005340D3" w14:paraId="38BD77FD" w14:textId="77777777">
      <w:pPr>
        <w:spacing w:line="360" w:lineRule="auto"/>
        <w:ind w:firstLine="420"/>
        <w:contextualSpacing/>
        <w:rPr>
          <w:bCs/>
          <w:lang w:eastAsia="zh-CN"/>
        </w:rPr>
      </w:pPr>
      <w:r w:rsidRPr="005340D3">
        <w:rPr>
          <w:rFonts w:hint="eastAsia"/>
          <w:bCs/>
          <w:lang w:eastAsia="zh-CN"/>
        </w:rPr>
        <w:t>陈荣女士，经济学博士。现任易方达基金管理有限公司副总经理级高级管理人员，易方达财富管理基金销售（广州）有限公司董事，易方达国际控股有限公司董事，易方达投资基金管理（澳门）股份有限公司董事。曾任中国人民银行广州分行统计研究处科员，易方达基金管理有限公司运作支持部经理、核算部总经理助理、核算部副总经理、核算部总经理、投资风险管理部总经理、总裁助理、董事会秘书、公司财务中心主任，易方达资产管理（香港）有限公司董事，易方达私募基金管理有限公司监事，易方达资产管理有限公司监事。</w:t>
      </w:r>
    </w:p>
    <w:p w:rsidR="005340D3" w:rsidRPr="005340D3" w:rsidP="005340D3" w14:paraId="57B0FBC0" w14:textId="77777777">
      <w:pPr>
        <w:spacing w:line="360" w:lineRule="auto"/>
        <w:ind w:firstLine="420"/>
        <w:contextualSpacing/>
        <w:rPr>
          <w:bCs/>
          <w:lang w:eastAsia="zh-CN"/>
        </w:rPr>
      </w:pPr>
      <w:r w:rsidRPr="005340D3">
        <w:rPr>
          <w:rFonts w:hint="eastAsia"/>
          <w:bCs/>
          <w:lang w:eastAsia="zh-CN"/>
        </w:rPr>
        <w:t>陈丽园女士，管理学硕士、法律硕士。现任易方达基金管理有限公司副总经理级高级管理人员，易方达财富管理基金销售（广州）有限公司董事，易方达国际控股有限公司董事，易方达资产管理（新加坡）有限公司董事，易方达投资基金管理（澳门）股份有限公司董事长。曾任易方达基金管理有限公司监察部监察员、总经理助理、副总经理、总经理，监察与合规管理总部总经理兼合规内审部总经理，首席营运官，易方达资产管理有限公司董事，易方达资产管理（香港）有限公司董事。</w:t>
      </w:r>
    </w:p>
    <w:p w:rsidR="005340D3" w:rsidRPr="005340D3" w:rsidP="005340D3" w14:paraId="3BB6E298" w14:textId="77777777">
      <w:pPr>
        <w:spacing w:line="360" w:lineRule="auto"/>
        <w:ind w:firstLine="420"/>
        <w:contextualSpacing/>
        <w:rPr>
          <w:bCs/>
          <w:lang w:eastAsia="zh-CN"/>
        </w:rPr>
      </w:pPr>
      <w:r w:rsidRPr="005340D3">
        <w:rPr>
          <w:rFonts w:hint="eastAsia"/>
          <w:bCs/>
          <w:lang w:eastAsia="zh-CN"/>
        </w:rPr>
        <w:t>冯波先生，经济学硕士。现任易方达基金管理有限公司副总经理级高级管理人员、权益投资决策委员会委员。曾任广东发展银行行员，易方达基金管理有限公司市场拓展部研究员、市场拓展部副经理、市场部大区销售经理、北京分公司副总经理、行业研究员、基金经理助理、研究部总经理助理、研究部副总经理、研究部总经理、基金经理。</w:t>
      </w:r>
    </w:p>
    <w:p w:rsidR="005340D3" w:rsidRPr="005340D3" w:rsidP="005340D3" w14:paraId="721FC5FF" w14:textId="77777777">
      <w:pPr>
        <w:spacing w:line="360" w:lineRule="auto"/>
        <w:ind w:firstLine="420"/>
        <w:contextualSpacing/>
        <w:rPr>
          <w:bCs/>
          <w:lang w:eastAsia="zh-CN"/>
        </w:rPr>
      </w:pPr>
      <w:r w:rsidRPr="005340D3">
        <w:rPr>
          <w:rFonts w:hint="eastAsia"/>
          <w:bCs/>
          <w:lang w:eastAsia="zh-CN"/>
        </w:rPr>
        <w:t>杨冬梅女士，工商管理博士。现任易方达基金管理有限公司副总经理级高级管理人员、董事会秘书，易方达财富管理基金销售（广州）有限公司董事，易方达国际控股有限公司董事，易方达资产管理（新加坡）有限公司董事，易方达投资基金管理（澳门）股份有限公司董事。曾任广发证券有限责任公司投资理财部职员、发展研究中心市场研究部负责人，南方证券股份有限公司研究所高级研究员，招商基金管理有限公司机构理财部高级经理、股票投资部高级经理，易方达基金管理有限公司宣传策划专员、市场部总经理助理、市场部副总经理、全球投资客户部总经理、宣传策划部总经理，易方达资产管理（香港）有限公司董事。</w:t>
      </w:r>
    </w:p>
    <w:p w:rsidR="005340D3" w:rsidRPr="005340D3" w:rsidP="005340D3" w14:paraId="47FBAD3D" w14:textId="77777777">
      <w:pPr>
        <w:spacing w:line="360" w:lineRule="auto"/>
        <w:ind w:firstLine="420"/>
        <w:contextualSpacing/>
        <w:rPr>
          <w:bCs/>
          <w:lang w:eastAsia="zh-CN"/>
        </w:rPr>
      </w:pPr>
      <w:r w:rsidRPr="005340D3">
        <w:rPr>
          <w:rFonts w:hint="eastAsia"/>
          <w:bCs/>
          <w:lang w:eastAsia="zh-CN"/>
        </w:rPr>
        <w:t>刘世军先生，理学硕士。现任易方达基金管理有限公司副总经理级高级管理人员（首席数据与风险监测官）、投资风险管理部总经理。曾任易方达基金管理有限公司金融工程研究员、绩效与风险评估研究员、投资发展部总经理助理、投资风险管理部总经理助理、投资风险管理部副总经理、投资风险管理与数据服务总部总经理。</w:t>
      </w:r>
    </w:p>
    <w:p w:rsidR="005340D3" w:rsidRPr="005340D3" w:rsidP="005340D3" w14:paraId="1D31E2B1" w14:textId="77777777">
      <w:pPr>
        <w:spacing w:line="360" w:lineRule="auto"/>
        <w:ind w:firstLine="420"/>
        <w:contextualSpacing/>
        <w:rPr>
          <w:bCs/>
          <w:lang w:eastAsia="zh-CN"/>
        </w:rPr>
      </w:pPr>
      <w:r w:rsidRPr="005340D3">
        <w:rPr>
          <w:rFonts w:hint="eastAsia"/>
          <w:bCs/>
          <w:lang w:eastAsia="zh-CN"/>
        </w:rPr>
        <w:t>王玉女士，法学硕士。现任易方达基金管理有限公司督察长、内审稽核部总经理、发展研究中心总经理，易方达财富管理基金销售（广州）有限公司董事，易方达国际控股有限公司董事。曾在北京市国枫律师事务所、中国证监会工作，曾任易方达基金管理有限公司公司法律事务部总经理，易方达资产管理有限公司董事。</w:t>
      </w:r>
    </w:p>
    <w:p w:rsidR="005340D3" w:rsidRPr="005340D3" w:rsidP="005340D3" w14:paraId="1DD25880" w14:textId="77777777">
      <w:pPr>
        <w:spacing w:line="360" w:lineRule="auto"/>
        <w:ind w:firstLine="420"/>
        <w:contextualSpacing/>
        <w:rPr>
          <w:bCs/>
          <w:lang w:eastAsia="zh-CN"/>
        </w:rPr>
      </w:pPr>
      <w:r w:rsidRPr="005340D3">
        <w:rPr>
          <w:rFonts w:hint="eastAsia"/>
          <w:bCs/>
          <w:lang w:eastAsia="zh-CN"/>
        </w:rPr>
        <w:t>王骏先生，会计硕士。现任易方达基金管理有限公司副总经理级高级管理人员（首席市场官）、渠道与营销管理部总经理、产品设计与业务创新部总经理。曾在普华永道中天会计师事务所、证监会广东监管局工作，曾任易方达资产管理有限公司副总经理、合规风控负责人、常务副总经理、董事。</w:t>
      </w:r>
    </w:p>
    <w:p w:rsidR="005340D3" w:rsidRPr="005340D3" w:rsidP="005340D3" w14:paraId="2999E2D2" w14:textId="77777777">
      <w:pPr>
        <w:spacing w:line="360" w:lineRule="auto"/>
        <w:ind w:firstLine="420"/>
        <w:contextualSpacing/>
        <w:rPr>
          <w:bCs/>
          <w:lang w:eastAsia="zh-CN"/>
        </w:rPr>
      </w:pPr>
      <w:r w:rsidRPr="005340D3">
        <w:rPr>
          <w:rFonts w:hint="eastAsia"/>
          <w:bCs/>
          <w:lang w:eastAsia="zh-CN"/>
        </w:rPr>
        <w:t>刘硕凌先生，工学博士。现任易方达基金管理有限公司首席信息官、前沿科技研究部总经理、</w:t>
      </w:r>
      <w:r w:rsidRPr="005340D3">
        <w:rPr>
          <w:rFonts w:hint="eastAsia"/>
          <w:bCs/>
          <w:lang w:eastAsia="zh-CN"/>
        </w:rPr>
        <w:t>AI</w:t>
      </w:r>
      <w:r w:rsidRPr="005340D3">
        <w:rPr>
          <w:rFonts w:hint="eastAsia"/>
          <w:bCs/>
          <w:lang w:eastAsia="zh-CN"/>
        </w:rPr>
        <w:t>平台与数据工程部总经理，易方达私募基金管理有限公司董事，易方达资产管理（香港）有限公司董事，易方达投资基金管理（澳门）股份有限公司董事。曾任嘉实基金管理有限公司信息技术部高级项目经理、科技子公司副总经理，天弘基金管理有限公司智能投资部总经理助理，易方达基金管理有限公司金融科技部副总经理、创新研究中心副总经理、系统研发中心副总经理、创新研究中心总经理、智能应用研究部总经理。</w:t>
      </w:r>
    </w:p>
    <w:p w:rsidR="005340D3" w:rsidRPr="005340D3" w:rsidP="005340D3" w14:paraId="0F9F4E3C" w14:textId="77777777">
      <w:pPr>
        <w:spacing w:line="360" w:lineRule="auto"/>
        <w:ind w:firstLine="420"/>
        <w:contextualSpacing/>
        <w:rPr>
          <w:bCs/>
          <w:lang w:eastAsia="zh-CN"/>
        </w:rPr>
      </w:pPr>
      <w:r w:rsidRPr="005340D3">
        <w:rPr>
          <w:rFonts w:hint="eastAsia"/>
          <w:bCs/>
          <w:lang w:eastAsia="zh-CN"/>
        </w:rPr>
        <w:t>付浩先生，经济学硕士。现任易方达基金管理有限公司副总经理级高级管理人员、多资产投资决策委员会委员、</w:t>
      </w:r>
      <w:r w:rsidRPr="005340D3">
        <w:rPr>
          <w:rFonts w:hint="eastAsia"/>
          <w:bCs/>
          <w:lang w:eastAsia="zh-CN"/>
        </w:rPr>
        <w:t>REITs</w:t>
      </w:r>
      <w:r w:rsidRPr="005340D3">
        <w:rPr>
          <w:rFonts w:hint="eastAsia"/>
          <w:bCs/>
          <w:lang w:eastAsia="zh-CN"/>
        </w:rPr>
        <w:t>投资管理委员会委员。曾任广东粤财信托投资有限公司国际金融部职员，湖南证券投资银行总部项目经理，融通基金管理有限公司研究策划部研究员，易方达基金管理有限公司基金经理助理、投资经理、基金经理、权益投资总部副总经理、养老金与专户权益投资部副总经理、公募基金投资部总经理、公司监事、权益投资管理部总经理、权益投资决策委员会委员。</w:t>
      </w:r>
    </w:p>
    <w:p w:rsidR="005C6370" w:rsidP="005340D3" w14:paraId="1A16541A" w14:textId="77777777">
      <w:pPr>
        <w:spacing w:line="360" w:lineRule="auto"/>
        <w:ind w:firstLine="420"/>
        <w:contextualSpacing/>
        <w:rPr>
          <w:bCs/>
          <w:lang w:eastAsia="zh-CN"/>
        </w:rPr>
      </w:pPr>
      <w:r w:rsidRPr="005340D3">
        <w:rPr>
          <w:rFonts w:hint="eastAsia"/>
          <w:bCs/>
          <w:lang w:eastAsia="zh-CN"/>
        </w:rPr>
        <w:t>岳新宇先生，法学硕士。现任易方达基金管理有限公司副总经理级高级管理人员、社保业务部总经理。曾在北京市法制办、中国证监会、腾讯科技（北京）有限公司工作，曾任易方达基金管理有限公司实体经济服务部总经理、机构客户总部联席总经理、机构客户部总经理、总裁助理。</w:t>
      </w:r>
    </w:p>
    <w:p w:rsidR="005C6370" w:rsidP="00A24D29" w14:paraId="65A53964" w14:textId="77777777">
      <w:pPr>
        <w:spacing w:line="360" w:lineRule="auto"/>
        <w:ind w:firstLine="420"/>
        <w:contextualSpacing/>
        <w:rPr>
          <w:bCs/>
          <w:lang w:eastAsia="zh-CN"/>
        </w:rPr>
      </w:pPr>
      <w:r>
        <w:rPr>
          <w:rFonts w:ascii="宋体" w:hAnsi="宋体" w:cs="宋体"/>
          <w:bCs/>
          <w:highlight w:val="white"/>
          <w:lang w:eastAsia="zh-CN"/>
        </w:rPr>
        <w:t>2</w:t>
      </w:r>
      <w:r>
        <w:rPr>
          <w:rFonts w:hint="eastAsia"/>
          <w:bCs/>
          <w:highlight w:val="white"/>
          <w:lang w:eastAsia="zh-CN"/>
        </w:rPr>
        <w:t>、基金经理</w:t>
      </w:r>
    </w:p>
    <w:p w:rsidR="00ED206D" w14:paraId="0E97AA44" w14:textId="77777777">
      <w:pPr>
        <w:spacing w:line="360" w:lineRule="auto"/>
        <w:ind w:firstLine="420"/>
        <w:contextualSpacing/>
        <w:rPr>
          <w:bCs/>
          <w:lang w:eastAsia="zh-CN"/>
        </w:rPr>
      </w:pPr>
      <w:r>
        <w:rPr>
          <w:rFonts w:hint="eastAsia"/>
          <w:bCs/>
          <w:lang w:eastAsia="zh-CN"/>
        </w:rPr>
        <w:t>张浩然先生，金融硕士，本基金的基金经理。现任易方达基金管理有限公司资产配置与解决方案部副总经理、资产配置与解决方案投资决策委员会委员、基金经理。曾任中国人寿资产管理有限公司基金投资部助理研究员，易方达基金管理有限公司研究员、投资经理、基金经理助理、</w:t>
      </w:r>
      <w:r>
        <w:rPr>
          <w:rFonts w:hint="eastAsia"/>
          <w:bCs/>
          <w:lang w:eastAsia="zh-CN"/>
        </w:rPr>
        <w:t>FOF</w:t>
      </w:r>
      <w:r>
        <w:rPr>
          <w:rFonts w:hint="eastAsia"/>
          <w:bCs/>
          <w:lang w:eastAsia="zh-CN"/>
        </w:rPr>
        <w:t>投资部总经理助理、资产配置与解决方案部总经理助理。张浩然历任基金经理的基金如下：</w:t>
      </w:r>
    </w:p>
    <w:tbl>
      <w:tblPr>
        <w:tblStyle w:val="TableGrid"/>
        <w:tblW w:w="0" w:type="auto"/>
        <w:jc w:val="center"/>
        <w:tblLayout w:type="fixed"/>
        <w:tblLook w:val="04A0"/>
      </w:tblPr>
      <w:tblGrid>
        <w:gridCol w:w="4626"/>
        <w:gridCol w:w="1835"/>
        <w:gridCol w:w="1835"/>
      </w:tblGrid>
      <w:tr w14:paraId="44A85BF0" w14:textId="77777777">
        <w:tblPrEx>
          <w:tblW w:w="0" w:type="auto"/>
          <w:jc w:val="center"/>
          <w:tblLayout w:type="fixed"/>
          <w:tblLook w:val="04A0"/>
        </w:tblPrEx>
        <w:trPr>
          <w:jc w:val="center"/>
        </w:trPr>
        <w:tc>
          <w:tcPr>
            <w:tcW w:w="4626" w:type="dxa"/>
          </w:tcPr>
          <w:p w:rsidR="00ED206D" w14:paraId="6B6BAC9F" w14:textId="77777777">
            <w:r>
              <w:rPr>
                <w:rFonts w:hint="eastAsia"/>
                <w:b/>
                <w:szCs w:val="21"/>
              </w:rPr>
              <w:t>历任基金经理的基金</w:t>
            </w:r>
          </w:p>
        </w:tc>
        <w:tc>
          <w:tcPr>
            <w:tcW w:w="1835" w:type="dxa"/>
          </w:tcPr>
          <w:p w:rsidR="00ED206D" w14:paraId="1CCA3943" w14:textId="77777777">
            <w:pPr>
              <w:jc w:val="center"/>
            </w:pPr>
            <w:r>
              <w:rPr>
                <w:rFonts w:hint="eastAsia"/>
                <w:b/>
                <w:szCs w:val="21"/>
              </w:rPr>
              <w:t>任职时间</w:t>
            </w:r>
          </w:p>
        </w:tc>
        <w:tc>
          <w:tcPr>
            <w:tcW w:w="1835" w:type="dxa"/>
          </w:tcPr>
          <w:p w:rsidR="00ED206D" w14:paraId="15038F97" w14:textId="77777777">
            <w:pPr>
              <w:jc w:val="center"/>
            </w:pPr>
            <w:r>
              <w:rPr>
                <w:rFonts w:hint="eastAsia"/>
                <w:b/>
                <w:szCs w:val="21"/>
              </w:rPr>
              <w:t>离任时间</w:t>
            </w:r>
          </w:p>
        </w:tc>
      </w:tr>
      <w:tr w14:paraId="0E511892" w14:textId="77777777">
        <w:tblPrEx>
          <w:tblW w:w="0" w:type="auto"/>
          <w:jc w:val="center"/>
          <w:tblLayout w:type="fixed"/>
          <w:tblLook w:val="04A0"/>
        </w:tblPrEx>
        <w:trPr>
          <w:trHeight w:val="360"/>
          <w:jc w:val="center"/>
        </w:trPr>
        <w:tc>
          <w:tcPr>
            <w:tcW w:w="4626" w:type="dxa"/>
          </w:tcPr>
          <w:p w:rsidR="00ED206D" w14:paraId="09DBD5FD" w14:textId="77777777">
            <w:pPr>
              <w:rPr>
                <w:lang w:eastAsia="zh-CN"/>
              </w:rPr>
            </w:pPr>
            <w:r>
              <w:rPr>
                <w:rFonts w:hint="eastAsia"/>
                <w:szCs w:val="21"/>
                <w:lang w:eastAsia="zh-CN"/>
              </w:rPr>
              <w:t>易方达优选多资产三个月持有混合（</w:t>
            </w:r>
            <w:r>
              <w:rPr>
                <w:rFonts w:hint="eastAsia"/>
                <w:szCs w:val="21"/>
                <w:lang w:eastAsia="zh-CN"/>
              </w:rPr>
              <w:t>FOF</w:t>
            </w:r>
            <w:r>
              <w:rPr>
                <w:rFonts w:hint="eastAsia"/>
                <w:szCs w:val="21"/>
                <w:lang w:eastAsia="zh-CN"/>
              </w:rPr>
              <w:t>）</w:t>
            </w:r>
          </w:p>
        </w:tc>
        <w:tc>
          <w:tcPr>
            <w:tcW w:w="1835" w:type="dxa"/>
          </w:tcPr>
          <w:p w:rsidR="00ED206D" w14:paraId="51AD0F8B" w14:textId="77777777">
            <w:pPr>
              <w:rPr>
                <w:lang w:eastAsia="zh-CN"/>
              </w:rPr>
            </w:pPr>
            <w:r>
              <w:rPr>
                <w:rFonts w:hint="eastAsia"/>
                <w:szCs w:val="21"/>
                <w:lang w:eastAsia="zh-CN"/>
              </w:rPr>
              <w:t>2020-04-09</w:t>
            </w:r>
          </w:p>
        </w:tc>
        <w:tc>
          <w:tcPr>
            <w:tcW w:w="1835" w:type="dxa"/>
          </w:tcPr>
          <w:p w:rsidR="00ED206D" w14:paraId="773A3005" w14:textId="77777777">
            <w:pPr>
              <w:rPr>
                <w:lang w:eastAsia="zh-CN"/>
              </w:rPr>
            </w:pPr>
            <w:r>
              <w:rPr>
                <w:rFonts w:hint="eastAsia"/>
                <w:szCs w:val="21"/>
                <w:lang w:eastAsia="zh-CN"/>
              </w:rPr>
              <w:t>-</w:t>
            </w:r>
          </w:p>
        </w:tc>
      </w:tr>
      <w:tr w14:paraId="61FFD3B0" w14:textId="77777777">
        <w:tblPrEx>
          <w:tblW w:w="0" w:type="auto"/>
          <w:jc w:val="center"/>
          <w:tblLayout w:type="fixed"/>
          <w:tblLook w:val="04A0"/>
        </w:tblPrEx>
        <w:trPr>
          <w:trHeight w:val="360"/>
          <w:jc w:val="center"/>
        </w:trPr>
        <w:tc>
          <w:tcPr>
            <w:tcW w:w="4626" w:type="dxa"/>
          </w:tcPr>
          <w:p w:rsidR="00ED206D" w14:paraId="58284A1E" w14:textId="77777777">
            <w:pPr>
              <w:rPr>
                <w:lang w:eastAsia="zh-CN"/>
              </w:rPr>
            </w:pPr>
            <w:r>
              <w:rPr>
                <w:rFonts w:hint="eastAsia"/>
                <w:szCs w:val="21"/>
                <w:lang w:eastAsia="zh-CN"/>
              </w:rPr>
              <w:t>易方达如意安泰一年持有混合（</w:t>
            </w:r>
            <w:r>
              <w:rPr>
                <w:rFonts w:hint="eastAsia"/>
                <w:szCs w:val="21"/>
                <w:lang w:eastAsia="zh-CN"/>
              </w:rPr>
              <w:t>FOF</w:t>
            </w:r>
            <w:r>
              <w:rPr>
                <w:rFonts w:hint="eastAsia"/>
                <w:szCs w:val="21"/>
                <w:lang w:eastAsia="zh-CN"/>
              </w:rPr>
              <w:t>）</w:t>
            </w:r>
          </w:p>
        </w:tc>
        <w:tc>
          <w:tcPr>
            <w:tcW w:w="1835" w:type="dxa"/>
          </w:tcPr>
          <w:p w:rsidR="00ED206D" w14:paraId="1CB039C4" w14:textId="77777777">
            <w:pPr>
              <w:rPr>
                <w:lang w:eastAsia="zh-CN"/>
              </w:rPr>
            </w:pPr>
            <w:r>
              <w:rPr>
                <w:rFonts w:hint="eastAsia"/>
                <w:szCs w:val="21"/>
                <w:lang w:eastAsia="zh-CN"/>
              </w:rPr>
              <w:t>2020-08-14</w:t>
            </w:r>
          </w:p>
        </w:tc>
        <w:tc>
          <w:tcPr>
            <w:tcW w:w="1835" w:type="dxa"/>
          </w:tcPr>
          <w:p w:rsidR="00ED206D" w14:paraId="2FA4D804" w14:textId="77777777">
            <w:pPr>
              <w:rPr>
                <w:lang w:eastAsia="zh-CN"/>
              </w:rPr>
            </w:pPr>
            <w:r>
              <w:rPr>
                <w:rFonts w:hint="eastAsia"/>
                <w:szCs w:val="21"/>
                <w:lang w:eastAsia="zh-CN"/>
              </w:rPr>
              <w:t>-</w:t>
            </w:r>
          </w:p>
        </w:tc>
      </w:tr>
      <w:tr w14:paraId="08E592B3" w14:textId="77777777">
        <w:tblPrEx>
          <w:tblW w:w="0" w:type="auto"/>
          <w:jc w:val="center"/>
          <w:tblLayout w:type="fixed"/>
          <w:tblLook w:val="04A0"/>
        </w:tblPrEx>
        <w:trPr>
          <w:trHeight w:val="360"/>
          <w:jc w:val="center"/>
        </w:trPr>
        <w:tc>
          <w:tcPr>
            <w:tcW w:w="4626" w:type="dxa"/>
          </w:tcPr>
          <w:p w:rsidR="00ED206D" w14:paraId="2E68F6A8" w14:textId="77777777">
            <w:pPr>
              <w:rPr>
                <w:lang w:eastAsia="zh-CN"/>
              </w:rPr>
            </w:pPr>
            <w:r>
              <w:rPr>
                <w:rFonts w:hint="eastAsia"/>
                <w:szCs w:val="21"/>
                <w:lang w:eastAsia="zh-CN"/>
              </w:rPr>
              <w:t>易方达优势价值一年持有混合（</w:t>
            </w:r>
            <w:r>
              <w:rPr>
                <w:rFonts w:hint="eastAsia"/>
                <w:szCs w:val="21"/>
                <w:lang w:eastAsia="zh-CN"/>
              </w:rPr>
              <w:t>FOF</w:t>
            </w:r>
            <w:r>
              <w:rPr>
                <w:rFonts w:hint="eastAsia"/>
                <w:szCs w:val="21"/>
                <w:lang w:eastAsia="zh-CN"/>
              </w:rPr>
              <w:t>）</w:t>
            </w:r>
          </w:p>
        </w:tc>
        <w:tc>
          <w:tcPr>
            <w:tcW w:w="1835" w:type="dxa"/>
          </w:tcPr>
          <w:p w:rsidR="00ED206D" w14:paraId="0BCB5E35" w14:textId="77777777">
            <w:pPr>
              <w:rPr>
                <w:lang w:eastAsia="zh-CN"/>
              </w:rPr>
            </w:pPr>
            <w:r>
              <w:rPr>
                <w:rFonts w:hint="eastAsia"/>
                <w:szCs w:val="21"/>
                <w:lang w:eastAsia="zh-CN"/>
              </w:rPr>
              <w:t>2021-08-24</w:t>
            </w:r>
          </w:p>
        </w:tc>
        <w:tc>
          <w:tcPr>
            <w:tcW w:w="1835" w:type="dxa"/>
          </w:tcPr>
          <w:p w:rsidR="00ED206D" w14:paraId="13E9BC32" w14:textId="77777777">
            <w:pPr>
              <w:rPr>
                <w:lang w:eastAsia="zh-CN"/>
              </w:rPr>
            </w:pPr>
            <w:r>
              <w:rPr>
                <w:rFonts w:hint="eastAsia"/>
                <w:szCs w:val="21"/>
                <w:lang w:eastAsia="zh-CN"/>
              </w:rPr>
              <w:t>-</w:t>
            </w:r>
          </w:p>
        </w:tc>
      </w:tr>
      <w:tr w14:paraId="66494446" w14:textId="77777777">
        <w:tblPrEx>
          <w:tblW w:w="0" w:type="auto"/>
          <w:jc w:val="center"/>
          <w:tblLayout w:type="fixed"/>
          <w:tblLook w:val="04A0"/>
        </w:tblPrEx>
        <w:trPr>
          <w:trHeight w:val="360"/>
          <w:jc w:val="center"/>
        </w:trPr>
        <w:tc>
          <w:tcPr>
            <w:tcW w:w="4626" w:type="dxa"/>
          </w:tcPr>
          <w:p w:rsidR="00ED206D" w14:paraId="6A3989E8" w14:textId="77777777">
            <w:pPr>
              <w:rPr>
                <w:lang w:eastAsia="zh-CN"/>
              </w:rPr>
            </w:pPr>
            <w:r>
              <w:rPr>
                <w:rFonts w:hint="eastAsia"/>
                <w:szCs w:val="21"/>
                <w:lang w:eastAsia="zh-CN"/>
              </w:rPr>
              <w:t>易方达优势领航六个月持有混合（</w:t>
            </w:r>
            <w:r>
              <w:rPr>
                <w:rFonts w:hint="eastAsia"/>
                <w:szCs w:val="21"/>
                <w:lang w:eastAsia="zh-CN"/>
              </w:rPr>
              <w:t>FOF</w:t>
            </w:r>
            <w:r>
              <w:rPr>
                <w:rFonts w:hint="eastAsia"/>
                <w:szCs w:val="21"/>
                <w:lang w:eastAsia="zh-CN"/>
              </w:rPr>
              <w:t>）</w:t>
            </w:r>
          </w:p>
        </w:tc>
        <w:tc>
          <w:tcPr>
            <w:tcW w:w="1835" w:type="dxa"/>
          </w:tcPr>
          <w:p w:rsidR="00ED206D" w14:paraId="3C6C81EB" w14:textId="77777777">
            <w:pPr>
              <w:rPr>
                <w:lang w:eastAsia="zh-CN"/>
              </w:rPr>
            </w:pPr>
            <w:r>
              <w:rPr>
                <w:rFonts w:hint="eastAsia"/>
                <w:szCs w:val="21"/>
                <w:lang w:eastAsia="zh-CN"/>
              </w:rPr>
              <w:t>2021-12-10</w:t>
            </w:r>
          </w:p>
        </w:tc>
        <w:tc>
          <w:tcPr>
            <w:tcW w:w="1835" w:type="dxa"/>
          </w:tcPr>
          <w:p w:rsidR="00ED206D" w14:paraId="29C0D8C8" w14:textId="77777777">
            <w:pPr>
              <w:rPr>
                <w:lang w:eastAsia="zh-CN"/>
              </w:rPr>
            </w:pPr>
            <w:r>
              <w:rPr>
                <w:rFonts w:hint="eastAsia"/>
                <w:szCs w:val="21"/>
                <w:lang w:eastAsia="zh-CN"/>
              </w:rPr>
              <w:t>-</w:t>
            </w:r>
          </w:p>
        </w:tc>
      </w:tr>
      <w:tr w14:paraId="705D65C1" w14:textId="77777777">
        <w:tblPrEx>
          <w:tblW w:w="0" w:type="auto"/>
          <w:jc w:val="center"/>
          <w:tblLayout w:type="fixed"/>
          <w:tblLook w:val="04A0"/>
        </w:tblPrEx>
        <w:trPr>
          <w:trHeight w:val="360"/>
          <w:jc w:val="center"/>
        </w:trPr>
        <w:tc>
          <w:tcPr>
            <w:tcW w:w="4626" w:type="dxa"/>
          </w:tcPr>
          <w:p w:rsidR="00ED206D" w14:paraId="23CD268B" w14:textId="77777777">
            <w:pPr>
              <w:rPr>
                <w:lang w:eastAsia="zh-CN"/>
              </w:rPr>
            </w:pPr>
            <w:r>
              <w:rPr>
                <w:rFonts w:hint="eastAsia"/>
                <w:szCs w:val="21"/>
                <w:lang w:eastAsia="zh-CN"/>
              </w:rPr>
              <w:t>易方达优势长兴三个月持有混合（</w:t>
            </w:r>
            <w:r>
              <w:rPr>
                <w:rFonts w:hint="eastAsia"/>
                <w:szCs w:val="21"/>
                <w:lang w:eastAsia="zh-CN"/>
              </w:rPr>
              <w:t>FOF</w:t>
            </w:r>
            <w:r>
              <w:rPr>
                <w:rFonts w:hint="eastAsia"/>
                <w:szCs w:val="21"/>
                <w:lang w:eastAsia="zh-CN"/>
              </w:rPr>
              <w:t>）</w:t>
            </w:r>
          </w:p>
        </w:tc>
        <w:tc>
          <w:tcPr>
            <w:tcW w:w="1835" w:type="dxa"/>
          </w:tcPr>
          <w:p w:rsidR="00ED206D" w14:paraId="104C78AB" w14:textId="77777777">
            <w:pPr>
              <w:rPr>
                <w:lang w:eastAsia="zh-CN"/>
              </w:rPr>
            </w:pPr>
            <w:r>
              <w:rPr>
                <w:rFonts w:hint="eastAsia"/>
                <w:szCs w:val="21"/>
                <w:lang w:eastAsia="zh-CN"/>
              </w:rPr>
              <w:t>2022-06-21</w:t>
            </w:r>
          </w:p>
        </w:tc>
        <w:tc>
          <w:tcPr>
            <w:tcW w:w="1835" w:type="dxa"/>
          </w:tcPr>
          <w:p w:rsidR="00ED206D" w14:paraId="60BDE740" w14:textId="77777777">
            <w:pPr>
              <w:rPr>
                <w:lang w:eastAsia="zh-CN"/>
              </w:rPr>
            </w:pPr>
            <w:r>
              <w:rPr>
                <w:rFonts w:hint="eastAsia"/>
                <w:szCs w:val="21"/>
                <w:lang w:eastAsia="zh-CN"/>
              </w:rPr>
              <w:t>-</w:t>
            </w:r>
          </w:p>
        </w:tc>
      </w:tr>
      <w:tr w14:paraId="684CAEF7" w14:textId="77777777">
        <w:tblPrEx>
          <w:tblW w:w="0" w:type="auto"/>
          <w:jc w:val="center"/>
          <w:tblLayout w:type="fixed"/>
          <w:tblLook w:val="04A0"/>
        </w:tblPrEx>
        <w:trPr>
          <w:trHeight w:val="360"/>
          <w:jc w:val="center"/>
        </w:trPr>
        <w:tc>
          <w:tcPr>
            <w:tcW w:w="4626" w:type="dxa"/>
          </w:tcPr>
          <w:p w:rsidR="00ED206D" w14:paraId="4A157F58" w14:textId="77777777">
            <w:pPr>
              <w:rPr>
                <w:lang w:eastAsia="zh-CN"/>
              </w:rPr>
            </w:pPr>
            <w:r>
              <w:rPr>
                <w:rFonts w:hint="eastAsia"/>
                <w:szCs w:val="21"/>
                <w:lang w:eastAsia="zh-CN"/>
              </w:rPr>
              <w:t>易方达汇康稳健养老一年持有混合（</w:t>
            </w:r>
            <w:r>
              <w:rPr>
                <w:rFonts w:hint="eastAsia"/>
                <w:szCs w:val="21"/>
                <w:lang w:eastAsia="zh-CN"/>
              </w:rPr>
              <w:t>FOF</w:t>
            </w:r>
            <w:r>
              <w:rPr>
                <w:rFonts w:hint="eastAsia"/>
                <w:szCs w:val="21"/>
                <w:lang w:eastAsia="zh-CN"/>
              </w:rPr>
              <w:t>）</w:t>
            </w:r>
          </w:p>
        </w:tc>
        <w:tc>
          <w:tcPr>
            <w:tcW w:w="1835" w:type="dxa"/>
          </w:tcPr>
          <w:p w:rsidR="00ED206D" w14:paraId="35C331E7" w14:textId="77777777">
            <w:pPr>
              <w:rPr>
                <w:lang w:eastAsia="zh-CN"/>
              </w:rPr>
            </w:pPr>
            <w:r>
              <w:rPr>
                <w:rFonts w:hint="eastAsia"/>
                <w:szCs w:val="21"/>
                <w:lang w:eastAsia="zh-CN"/>
              </w:rPr>
              <w:t>2022-09-06</w:t>
            </w:r>
          </w:p>
        </w:tc>
        <w:tc>
          <w:tcPr>
            <w:tcW w:w="1835" w:type="dxa"/>
          </w:tcPr>
          <w:p w:rsidR="00ED206D" w14:paraId="1C5E4A14" w14:textId="77777777">
            <w:pPr>
              <w:rPr>
                <w:lang w:eastAsia="zh-CN"/>
              </w:rPr>
            </w:pPr>
            <w:r>
              <w:rPr>
                <w:rFonts w:hint="eastAsia"/>
                <w:szCs w:val="21"/>
                <w:lang w:eastAsia="zh-CN"/>
              </w:rPr>
              <w:t>-</w:t>
            </w:r>
          </w:p>
        </w:tc>
      </w:tr>
      <w:tr w14:paraId="6D58A2F6" w14:textId="77777777">
        <w:tblPrEx>
          <w:tblW w:w="0" w:type="auto"/>
          <w:jc w:val="center"/>
          <w:tblLayout w:type="fixed"/>
          <w:tblLook w:val="04A0"/>
        </w:tblPrEx>
        <w:trPr>
          <w:trHeight w:val="360"/>
          <w:jc w:val="center"/>
        </w:trPr>
        <w:tc>
          <w:tcPr>
            <w:tcW w:w="4626" w:type="dxa"/>
          </w:tcPr>
          <w:p w:rsidR="00ED206D" w14:paraId="60E1216E" w14:textId="77777777">
            <w:pPr>
              <w:rPr>
                <w:lang w:eastAsia="zh-CN"/>
              </w:rPr>
            </w:pPr>
            <w:r>
              <w:rPr>
                <w:rFonts w:hint="eastAsia"/>
                <w:szCs w:val="21"/>
                <w:lang w:eastAsia="zh-CN"/>
              </w:rPr>
              <w:t>易方达优势驱动一年持有混合（</w:t>
            </w:r>
            <w:r>
              <w:rPr>
                <w:rFonts w:hint="eastAsia"/>
                <w:szCs w:val="21"/>
                <w:lang w:eastAsia="zh-CN"/>
              </w:rPr>
              <w:t>FOF</w:t>
            </w:r>
            <w:r>
              <w:rPr>
                <w:rFonts w:hint="eastAsia"/>
                <w:szCs w:val="21"/>
                <w:lang w:eastAsia="zh-CN"/>
              </w:rPr>
              <w:t>）</w:t>
            </w:r>
          </w:p>
        </w:tc>
        <w:tc>
          <w:tcPr>
            <w:tcW w:w="1835" w:type="dxa"/>
          </w:tcPr>
          <w:p w:rsidR="00ED206D" w14:paraId="37CC61C9" w14:textId="77777777">
            <w:pPr>
              <w:rPr>
                <w:lang w:eastAsia="zh-CN"/>
              </w:rPr>
            </w:pPr>
            <w:r>
              <w:rPr>
                <w:rFonts w:hint="eastAsia"/>
                <w:szCs w:val="21"/>
                <w:lang w:eastAsia="zh-CN"/>
              </w:rPr>
              <w:t>2022-09-06</w:t>
            </w:r>
          </w:p>
        </w:tc>
        <w:tc>
          <w:tcPr>
            <w:tcW w:w="1835" w:type="dxa"/>
          </w:tcPr>
          <w:p w:rsidR="00ED206D" w14:paraId="36D03A48" w14:textId="77777777">
            <w:pPr>
              <w:rPr>
                <w:lang w:eastAsia="zh-CN"/>
              </w:rPr>
            </w:pPr>
            <w:r>
              <w:rPr>
                <w:rFonts w:hint="eastAsia"/>
                <w:szCs w:val="21"/>
                <w:lang w:eastAsia="zh-CN"/>
              </w:rPr>
              <w:t>-</w:t>
            </w:r>
          </w:p>
        </w:tc>
      </w:tr>
      <w:tr w14:paraId="2AC7AD07" w14:textId="77777777">
        <w:tblPrEx>
          <w:tblW w:w="0" w:type="auto"/>
          <w:jc w:val="center"/>
          <w:tblLayout w:type="fixed"/>
          <w:tblLook w:val="04A0"/>
        </w:tblPrEx>
        <w:trPr>
          <w:trHeight w:val="360"/>
          <w:jc w:val="center"/>
        </w:trPr>
        <w:tc>
          <w:tcPr>
            <w:tcW w:w="4626" w:type="dxa"/>
          </w:tcPr>
          <w:p w:rsidR="00ED206D" w14:paraId="7C70AA27" w14:textId="77777777">
            <w:pPr>
              <w:rPr>
                <w:lang w:eastAsia="zh-CN"/>
              </w:rPr>
            </w:pPr>
            <w:r>
              <w:rPr>
                <w:rFonts w:hint="eastAsia"/>
                <w:szCs w:val="21"/>
                <w:lang w:eastAsia="zh-CN"/>
              </w:rPr>
              <w:t>易方达优选星汇六个月持有混合（</w:t>
            </w:r>
            <w:r>
              <w:rPr>
                <w:rFonts w:hint="eastAsia"/>
                <w:szCs w:val="21"/>
                <w:lang w:eastAsia="zh-CN"/>
              </w:rPr>
              <w:t>FOF</w:t>
            </w:r>
            <w:r>
              <w:rPr>
                <w:rFonts w:hint="eastAsia"/>
                <w:szCs w:val="21"/>
                <w:lang w:eastAsia="zh-CN"/>
              </w:rPr>
              <w:t>）</w:t>
            </w:r>
          </w:p>
        </w:tc>
        <w:tc>
          <w:tcPr>
            <w:tcW w:w="1835" w:type="dxa"/>
          </w:tcPr>
          <w:p w:rsidR="00ED206D" w14:paraId="093CA4DD" w14:textId="77777777">
            <w:pPr>
              <w:rPr>
                <w:lang w:eastAsia="zh-CN"/>
              </w:rPr>
            </w:pPr>
            <w:r>
              <w:rPr>
                <w:rFonts w:hint="eastAsia"/>
                <w:szCs w:val="21"/>
                <w:lang w:eastAsia="zh-CN"/>
              </w:rPr>
              <w:t>2023-03-07</w:t>
            </w:r>
          </w:p>
        </w:tc>
        <w:tc>
          <w:tcPr>
            <w:tcW w:w="1835" w:type="dxa"/>
          </w:tcPr>
          <w:p w:rsidR="00ED206D" w14:paraId="768D6E26" w14:textId="77777777">
            <w:pPr>
              <w:rPr>
                <w:lang w:eastAsia="zh-CN"/>
              </w:rPr>
            </w:pPr>
            <w:r>
              <w:rPr>
                <w:rFonts w:hint="eastAsia"/>
                <w:szCs w:val="21"/>
                <w:lang w:eastAsia="zh-CN"/>
              </w:rPr>
              <w:t>-</w:t>
            </w:r>
          </w:p>
        </w:tc>
      </w:tr>
      <w:tr w14:paraId="55DE4475" w14:textId="77777777">
        <w:tblPrEx>
          <w:tblW w:w="0" w:type="auto"/>
          <w:jc w:val="center"/>
          <w:tblLayout w:type="fixed"/>
          <w:tblLook w:val="04A0"/>
        </w:tblPrEx>
        <w:trPr>
          <w:trHeight w:val="360"/>
          <w:jc w:val="center"/>
        </w:trPr>
        <w:tc>
          <w:tcPr>
            <w:tcW w:w="4626" w:type="dxa"/>
          </w:tcPr>
          <w:p w:rsidR="00ED206D" w14:paraId="4945BDE2" w14:textId="77777777">
            <w:pPr>
              <w:rPr>
                <w:lang w:eastAsia="zh-CN"/>
              </w:rPr>
            </w:pPr>
            <w:r>
              <w:rPr>
                <w:rFonts w:hint="eastAsia"/>
                <w:szCs w:val="21"/>
                <w:lang w:eastAsia="zh-CN"/>
              </w:rPr>
              <w:t>易方达如意安裕</w:t>
            </w:r>
            <w:r>
              <w:rPr>
                <w:rFonts w:hint="eastAsia"/>
                <w:szCs w:val="21"/>
                <w:lang w:eastAsia="zh-CN"/>
              </w:rPr>
              <w:t>3</w:t>
            </w:r>
            <w:r>
              <w:rPr>
                <w:rFonts w:hint="eastAsia"/>
                <w:szCs w:val="21"/>
                <w:lang w:eastAsia="zh-CN"/>
              </w:rPr>
              <w:t>个月持有混合（</w:t>
            </w:r>
            <w:r>
              <w:rPr>
                <w:rFonts w:hint="eastAsia"/>
                <w:szCs w:val="21"/>
                <w:lang w:eastAsia="zh-CN"/>
              </w:rPr>
              <w:t>FOF</w:t>
            </w:r>
            <w:r>
              <w:rPr>
                <w:rFonts w:hint="eastAsia"/>
                <w:szCs w:val="21"/>
                <w:lang w:eastAsia="zh-CN"/>
              </w:rPr>
              <w:t>）</w:t>
            </w:r>
          </w:p>
        </w:tc>
        <w:tc>
          <w:tcPr>
            <w:tcW w:w="1835" w:type="dxa"/>
          </w:tcPr>
          <w:p w:rsidR="00ED206D" w14:paraId="139266DD" w14:textId="77777777">
            <w:pPr>
              <w:rPr>
                <w:lang w:eastAsia="zh-CN"/>
              </w:rPr>
            </w:pPr>
            <w:r>
              <w:rPr>
                <w:rFonts w:hint="eastAsia"/>
                <w:szCs w:val="21"/>
                <w:lang w:eastAsia="zh-CN"/>
              </w:rPr>
              <w:t>2026-05-12</w:t>
            </w:r>
          </w:p>
        </w:tc>
        <w:tc>
          <w:tcPr>
            <w:tcW w:w="1835" w:type="dxa"/>
          </w:tcPr>
          <w:p w:rsidR="00ED206D" w14:paraId="7280E501" w14:textId="77777777">
            <w:pPr>
              <w:rPr>
                <w:lang w:eastAsia="zh-CN"/>
              </w:rPr>
            </w:pPr>
            <w:r>
              <w:rPr>
                <w:rFonts w:hint="eastAsia"/>
                <w:szCs w:val="21"/>
                <w:lang w:eastAsia="zh-CN"/>
              </w:rPr>
              <w:t>-</w:t>
            </w:r>
          </w:p>
        </w:tc>
      </w:tr>
      <w:tr w14:paraId="687E9BFB" w14:textId="77777777">
        <w:tblPrEx>
          <w:tblW w:w="0" w:type="auto"/>
          <w:jc w:val="center"/>
          <w:tblLayout w:type="fixed"/>
          <w:tblLook w:val="04A0"/>
        </w:tblPrEx>
        <w:trPr>
          <w:trHeight w:val="360"/>
          <w:jc w:val="center"/>
        </w:trPr>
        <w:tc>
          <w:tcPr>
            <w:tcW w:w="4626" w:type="dxa"/>
          </w:tcPr>
          <w:p w:rsidR="00ED206D" w14:paraId="4AF52853" w14:textId="77777777">
            <w:pPr>
              <w:rPr>
                <w:lang w:eastAsia="zh-CN"/>
              </w:rPr>
            </w:pPr>
            <w:r>
              <w:rPr>
                <w:rFonts w:hint="eastAsia"/>
                <w:szCs w:val="21"/>
                <w:lang w:eastAsia="zh-CN"/>
              </w:rPr>
              <w:t>易方达优势回报混合（</w:t>
            </w:r>
            <w:r>
              <w:rPr>
                <w:rFonts w:hint="eastAsia"/>
                <w:szCs w:val="21"/>
                <w:lang w:eastAsia="zh-CN"/>
              </w:rPr>
              <w:t>FOF-LOF</w:t>
            </w:r>
            <w:r>
              <w:rPr>
                <w:rFonts w:hint="eastAsia"/>
                <w:szCs w:val="21"/>
                <w:lang w:eastAsia="zh-CN"/>
              </w:rPr>
              <w:t>）</w:t>
            </w:r>
          </w:p>
        </w:tc>
        <w:tc>
          <w:tcPr>
            <w:tcW w:w="1835" w:type="dxa"/>
          </w:tcPr>
          <w:p w:rsidR="00ED206D" w14:paraId="3A18E09A" w14:textId="77777777">
            <w:pPr>
              <w:rPr>
                <w:lang w:eastAsia="zh-CN"/>
              </w:rPr>
            </w:pPr>
            <w:r>
              <w:rPr>
                <w:rFonts w:hint="eastAsia"/>
                <w:szCs w:val="21"/>
                <w:lang w:eastAsia="zh-CN"/>
              </w:rPr>
              <w:t>2022-03-23</w:t>
            </w:r>
          </w:p>
        </w:tc>
        <w:tc>
          <w:tcPr>
            <w:tcW w:w="1835" w:type="dxa"/>
          </w:tcPr>
          <w:p w:rsidR="00ED206D" w14:paraId="676D55BA" w14:textId="77777777">
            <w:pPr>
              <w:rPr>
                <w:lang w:eastAsia="zh-CN"/>
              </w:rPr>
            </w:pPr>
            <w:r>
              <w:rPr>
                <w:rFonts w:hint="eastAsia"/>
                <w:szCs w:val="21"/>
                <w:lang w:eastAsia="zh-CN"/>
              </w:rPr>
              <w:t>2024-01-11</w:t>
            </w:r>
          </w:p>
        </w:tc>
      </w:tr>
      <w:tr w14:paraId="44A2482B" w14:textId="77777777">
        <w:tblPrEx>
          <w:tblW w:w="0" w:type="auto"/>
          <w:jc w:val="center"/>
          <w:tblLayout w:type="fixed"/>
          <w:tblLook w:val="04A0"/>
        </w:tblPrEx>
        <w:trPr>
          <w:trHeight w:val="360"/>
          <w:jc w:val="center"/>
        </w:trPr>
        <w:tc>
          <w:tcPr>
            <w:tcW w:w="4626" w:type="dxa"/>
          </w:tcPr>
          <w:p w:rsidR="00ED206D" w14:paraId="5C32DD19" w14:textId="77777777">
            <w:pPr>
              <w:rPr>
                <w:lang w:eastAsia="zh-CN"/>
              </w:rPr>
            </w:pPr>
            <w:r>
              <w:rPr>
                <w:rFonts w:hint="eastAsia"/>
                <w:szCs w:val="21"/>
                <w:lang w:eastAsia="zh-CN"/>
              </w:rPr>
              <w:t>易方达如意招享混合（</w:t>
            </w:r>
            <w:r>
              <w:rPr>
                <w:rFonts w:hint="eastAsia"/>
                <w:szCs w:val="21"/>
                <w:lang w:eastAsia="zh-CN"/>
              </w:rPr>
              <w:t>FOF-LOF</w:t>
            </w:r>
            <w:r>
              <w:rPr>
                <w:rFonts w:hint="eastAsia"/>
                <w:szCs w:val="21"/>
                <w:lang w:eastAsia="zh-CN"/>
              </w:rPr>
              <w:t>）</w:t>
            </w:r>
          </w:p>
        </w:tc>
        <w:tc>
          <w:tcPr>
            <w:tcW w:w="1835" w:type="dxa"/>
          </w:tcPr>
          <w:p w:rsidR="00ED206D" w14:paraId="2658FE05" w14:textId="77777777">
            <w:pPr>
              <w:rPr>
                <w:lang w:eastAsia="zh-CN"/>
              </w:rPr>
            </w:pPr>
            <w:r>
              <w:rPr>
                <w:rFonts w:hint="eastAsia"/>
                <w:szCs w:val="21"/>
                <w:lang w:eastAsia="zh-CN"/>
              </w:rPr>
              <w:t>2022-11-01</w:t>
            </w:r>
          </w:p>
        </w:tc>
        <w:tc>
          <w:tcPr>
            <w:tcW w:w="1835" w:type="dxa"/>
          </w:tcPr>
          <w:p w:rsidR="00ED206D" w14:paraId="3F15DBE9" w14:textId="77777777">
            <w:pPr>
              <w:rPr>
                <w:lang w:eastAsia="zh-CN"/>
              </w:rPr>
            </w:pPr>
            <w:r>
              <w:rPr>
                <w:rFonts w:hint="eastAsia"/>
                <w:szCs w:val="21"/>
                <w:lang w:eastAsia="zh-CN"/>
              </w:rPr>
              <w:t>2025-12-16</w:t>
            </w:r>
          </w:p>
        </w:tc>
      </w:tr>
      <w:tr w14:paraId="5D125236" w14:textId="77777777">
        <w:tblPrEx>
          <w:tblW w:w="0" w:type="auto"/>
          <w:jc w:val="center"/>
          <w:tblLayout w:type="fixed"/>
          <w:tblLook w:val="04A0"/>
        </w:tblPrEx>
        <w:trPr>
          <w:trHeight w:val="360"/>
          <w:jc w:val="center"/>
        </w:trPr>
        <w:tc>
          <w:tcPr>
            <w:tcW w:w="4626" w:type="dxa"/>
          </w:tcPr>
          <w:p w:rsidR="00ED206D" w14:paraId="20B78140" w14:textId="77777777">
            <w:pPr>
              <w:rPr>
                <w:lang w:eastAsia="zh-CN"/>
              </w:rPr>
            </w:pPr>
            <w:r>
              <w:rPr>
                <w:rFonts w:hint="eastAsia"/>
                <w:szCs w:val="21"/>
                <w:lang w:eastAsia="zh-CN"/>
              </w:rPr>
              <w:t>易方达稳健腾享六个月持有混合（</w:t>
            </w:r>
            <w:r>
              <w:rPr>
                <w:rFonts w:hint="eastAsia"/>
                <w:szCs w:val="21"/>
                <w:lang w:eastAsia="zh-CN"/>
              </w:rPr>
              <w:t>FOF</w:t>
            </w:r>
            <w:r>
              <w:rPr>
                <w:rFonts w:hint="eastAsia"/>
                <w:szCs w:val="21"/>
                <w:lang w:eastAsia="zh-CN"/>
              </w:rPr>
              <w:t>）</w:t>
            </w:r>
          </w:p>
        </w:tc>
        <w:tc>
          <w:tcPr>
            <w:tcW w:w="1835" w:type="dxa"/>
          </w:tcPr>
          <w:p w:rsidR="00ED206D" w14:paraId="3AE62FBE" w14:textId="77777777">
            <w:pPr>
              <w:rPr>
                <w:lang w:eastAsia="zh-CN"/>
              </w:rPr>
            </w:pPr>
            <w:r>
              <w:rPr>
                <w:rFonts w:hint="eastAsia"/>
                <w:szCs w:val="21"/>
                <w:lang w:eastAsia="zh-CN"/>
              </w:rPr>
              <w:t>2023-08-29</w:t>
            </w:r>
          </w:p>
        </w:tc>
        <w:tc>
          <w:tcPr>
            <w:tcW w:w="1835" w:type="dxa"/>
          </w:tcPr>
          <w:p w:rsidR="00ED206D" w14:paraId="2BC26E68" w14:textId="77777777">
            <w:pPr>
              <w:rPr>
                <w:lang w:eastAsia="zh-CN"/>
              </w:rPr>
            </w:pPr>
            <w:r>
              <w:rPr>
                <w:rFonts w:hint="eastAsia"/>
                <w:szCs w:val="21"/>
                <w:lang w:eastAsia="zh-CN"/>
              </w:rPr>
              <w:t>2025-12-20</w:t>
            </w:r>
          </w:p>
        </w:tc>
      </w:tr>
    </w:tbl>
    <w:p w:rsidR="005C6370" w:rsidP="00A24D29" w14:paraId="22E8D7EE" w14:textId="77777777">
      <w:pPr>
        <w:spacing w:line="360" w:lineRule="auto"/>
        <w:ind w:firstLine="420"/>
        <w:contextualSpacing/>
        <w:rPr>
          <w:bCs/>
          <w:lang w:eastAsia="zh-CN"/>
        </w:rPr>
      </w:pPr>
      <w:r>
        <w:rPr>
          <w:rFonts w:hint="eastAsia"/>
          <w:bCs/>
          <w:lang w:eastAsia="zh-CN"/>
        </w:rPr>
        <w:t>3</w:t>
      </w:r>
      <w:r>
        <w:rPr>
          <w:rFonts w:hint="eastAsia"/>
          <w:bCs/>
          <w:lang w:eastAsia="zh-CN"/>
        </w:rPr>
        <w:t>、资产配置与解决方案投资决策委员会成员</w:t>
      </w:r>
    </w:p>
    <w:p w:rsidR="00ED206D" w14:paraId="59B09808" w14:textId="77777777">
      <w:pPr>
        <w:spacing w:line="360" w:lineRule="auto"/>
        <w:ind w:firstLine="420"/>
        <w:contextualSpacing/>
        <w:rPr>
          <w:bCs/>
          <w:lang w:eastAsia="zh-CN"/>
        </w:rPr>
      </w:pPr>
      <w:r>
        <w:rPr>
          <w:rFonts w:hint="eastAsia"/>
          <w:bCs/>
          <w:lang w:eastAsia="zh-CN"/>
        </w:rPr>
        <w:t>本公司资产配置与解决方案投资决策委员会成员包括：揭冠周先生、张浩然先生、刘淑霞女士。</w:t>
      </w:r>
    </w:p>
    <w:p w:rsidR="00ED206D" w14:paraId="66C54B30" w14:textId="77777777">
      <w:pPr>
        <w:spacing w:line="360" w:lineRule="auto"/>
        <w:ind w:firstLine="420"/>
        <w:contextualSpacing/>
        <w:rPr>
          <w:bCs/>
          <w:lang w:eastAsia="zh-CN"/>
        </w:rPr>
      </w:pPr>
      <w:r>
        <w:rPr>
          <w:rFonts w:hint="eastAsia"/>
          <w:bCs/>
          <w:lang w:eastAsia="zh-CN"/>
        </w:rPr>
        <w:t>揭冠周先生，易方达基金管理有限公司首席策略官、资产配置与解决方案部总经理。</w:t>
      </w:r>
    </w:p>
    <w:p w:rsidR="00ED206D" w14:paraId="39E259F0" w14:textId="77777777">
      <w:pPr>
        <w:spacing w:line="360" w:lineRule="auto"/>
        <w:ind w:firstLine="420"/>
        <w:contextualSpacing/>
        <w:rPr>
          <w:bCs/>
          <w:lang w:eastAsia="zh-CN"/>
        </w:rPr>
      </w:pPr>
      <w:r>
        <w:rPr>
          <w:rFonts w:hint="eastAsia"/>
          <w:bCs/>
          <w:lang w:eastAsia="zh-CN"/>
        </w:rPr>
        <w:t>张浩然先生，</w:t>
      </w:r>
      <w:r>
        <w:rPr>
          <w:rFonts w:hint="eastAsia"/>
          <w:bCs/>
          <w:lang w:eastAsia="zh-CN"/>
        </w:rPr>
        <w:t>同上</w:t>
      </w:r>
      <w:r>
        <w:rPr>
          <w:rFonts w:hint="eastAsia"/>
          <w:bCs/>
          <w:lang w:eastAsia="zh-CN"/>
        </w:rPr>
        <w:t>。</w:t>
      </w:r>
    </w:p>
    <w:p w:rsidR="00ED206D" w14:paraId="3BA11C70" w14:textId="77777777">
      <w:pPr>
        <w:spacing w:line="360" w:lineRule="auto"/>
        <w:ind w:firstLine="420"/>
        <w:contextualSpacing/>
        <w:rPr>
          <w:bCs/>
          <w:lang w:eastAsia="zh-CN"/>
        </w:rPr>
      </w:pPr>
      <w:r>
        <w:rPr>
          <w:rFonts w:hint="eastAsia"/>
          <w:bCs/>
          <w:lang w:eastAsia="zh-CN"/>
        </w:rPr>
        <w:t>刘淑霞女士，易方达基金管理有限公司基金经理。</w:t>
      </w:r>
    </w:p>
    <w:p w:rsidR="005C6370" w:rsidP="00A24D29" w14:paraId="2ECCBCC5" w14:textId="77777777">
      <w:pPr>
        <w:spacing w:line="360" w:lineRule="auto"/>
        <w:ind w:firstLine="420"/>
        <w:contextualSpacing/>
        <w:rPr>
          <w:bCs/>
          <w:lang w:eastAsia="zh-CN"/>
        </w:rPr>
      </w:pPr>
      <w:bookmarkStart w:id="8" w:name="_Toc332373449"/>
      <w:r>
        <w:rPr>
          <w:rFonts w:hint="eastAsia"/>
          <w:bCs/>
          <w:lang w:eastAsia="zh-CN"/>
        </w:rPr>
        <w:t>4</w:t>
      </w:r>
      <w:bookmarkEnd w:id="8"/>
      <w:r>
        <w:rPr>
          <w:rFonts w:hint="eastAsia"/>
          <w:bCs/>
          <w:highlight w:val="white"/>
          <w:lang w:eastAsia="zh-CN"/>
        </w:rPr>
        <w:t>、上述人员之间均不存在近亲属关系。</w:t>
      </w:r>
    </w:p>
    <w:p w:rsidR="005C6370" w:rsidP="00A24D29" w14:paraId="7F72A15D" w14:textId="77777777">
      <w:pPr>
        <w:spacing w:line="360" w:lineRule="auto"/>
        <w:ind w:firstLine="420"/>
        <w:contextualSpacing/>
        <w:rPr>
          <w:rFonts w:ascii="宋体" w:hAnsi="Calibri"/>
          <w:lang w:eastAsia="zh-CN"/>
        </w:rPr>
      </w:pPr>
      <w:bookmarkStart w:id="9" w:name="_Toc332373451"/>
      <w:r>
        <w:rPr>
          <w:rFonts w:ascii="宋体" w:hAnsi="Calibri" w:hint="eastAsia"/>
          <w:highlight w:val="white"/>
          <w:lang w:eastAsia="zh-CN"/>
        </w:rPr>
        <w:t>三、基金管理人的职责</w:t>
      </w:r>
      <w:bookmarkEnd w:id="9"/>
    </w:p>
    <w:p w:rsidR="005C6370" w:rsidP="00A24D29" w14:paraId="6BA557C8" w14:textId="77777777">
      <w:pPr>
        <w:spacing w:line="360" w:lineRule="auto"/>
        <w:ind w:firstLine="420"/>
        <w:contextualSpacing/>
        <w:rPr>
          <w:rFonts w:ascii="宋体" w:hAnsi="Calibri"/>
          <w:lang w:eastAsia="zh-CN"/>
        </w:rPr>
      </w:pPr>
      <w:bookmarkStart w:id="10" w:name="_Toc332373455"/>
      <w:r>
        <w:rPr>
          <w:rFonts w:ascii="宋体" w:hAnsi="Calibri"/>
          <w:highlight w:val="white"/>
          <w:lang w:eastAsia="zh-CN"/>
        </w:rPr>
        <w:t>1、依法募集资金，办理基金份额的发售和登记事宜；</w:t>
      </w:r>
    </w:p>
    <w:p w:rsidR="005C6370" w:rsidP="00A24D29" w14:paraId="41257C2E" w14:textId="77777777">
      <w:pPr>
        <w:spacing w:line="360" w:lineRule="auto"/>
        <w:ind w:firstLine="420"/>
        <w:contextualSpacing/>
        <w:rPr>
          <w:rFonts w:ascii="宋体" w:hAnsi="Calibri"/>
          <w:lang w:eastAsia="zh-CN"/>
        </w:rPr>
      </w:pPr>
      <w:bookmarkStart w:id="11" w:name="_Toc332373452"/>
      <w:r>
        <w:rPr>
          <w:rFonts w:ascii="宋体" w:hAnsi="Calibri"/>
          <w:highlight w:val="white"/>
          <w:lang w:eastAsia="zh-CN"/>
        </w:rPr>
        <w:t>2、办理基金备案手续；</w:t>
      </w:r>
      <w:bookmarkEnd w:id="11"/>
    </w:p>
    <w:p w:rsidR="005C6370" w:rsidP="00A24D29" w14:paraId="5619D989" w14:textId="77777777">
      <w:pPr>
        <w:spacing w:line="360" w:lineRule="auto"/>
        <w:ind w:firstLine="420"/>
        <w:contextualSpacing/>
        <w:rPr>
          <w:rFonts w:ascii="宋体" w:hAnsi="Calibri"/>
          <w:lang w:eastAsia="zh-CN"/>
        </w:rPr>
      </w:pPr>
      <w:r>
        <w:rPr>
          <w:rFonts w:ascii="宋体" w:hAnsi="Calibri"/>
          <w:highlight w:val="white"/>
          <w:lang w:eastAsia="zh-CN"/>
        </w:rPr>
        <w:t>3、对所管理的不同基金财产分别管理、分别记账，进行证券投资；</w:t>
      </w:r>
    </w:p>
    <w:p w:rsidR="005C6370" w:rsidP="00A24D29" w14:paraId="38BB3B08" w14:textId="77777777">
      <w:pPr>
        <w:spacing w:line="360" w:lineRule="auto"/>
        <w:ind w:firstLine="420"/>
        <w:contextualSpacing/>
        <w:rPr>
          <w:rFonts w:ascii="宋体" w:hAnsi="Calibri"/>
          <w:lang w:eastAsia="zh-CN"/>
        </w:rPr>
      </w:pPr>
      <w:r>
        <w:rPr>
          <w:rFonts w:ascii="宋体" w:hAnsi="Calibri"/>
          <w:highlight w:val="white"/>
          <w:lang w:eastAsia="zh-CN"/>
        </w:rPr>
        <w:t>4、按照基金合同的约定及时向基金份额持有人分配收益；</w:t>
      </w:r>
    </w:p>
    <w:p w:rsidR="005C6370" w:rsidP="00A24D29" w14:paraId="01D468B8" w14:textId="77777777">
      <w:pPr>
        <w:spacing w:line="360" w:lineRule="auto"/>
        <w:ind w:firstLine="420"/>
        <w:contextualSpacing/>
        <w:rPr>
          <w:rFonts w:ascii="宋体" w:hAnsi="Calibri"/>
          <w:lang w:eastAsia="zh-CN"/>
        </w:rPr>
      </w:pPr>
      <w:r>
        <w:rPr>
          <w:rFonts w:ascii="宋体" w:hAnsi="Calibri"/>
          <w:highlight w:val="white"/>
          <w:lang w:eastAsia="zh-CN"/>
        </w:rPr>
        <w:t>5、进行基金会计核算并编制基金财务会计报告；</w:t>
      </w:r>
    </w:p>
    <w:p w:rsidR="005C6370" w:rsidP="00A24D29" w14:paraId="4CC200E8" w14:textId="77777777">
      <w:pPr>
        <w:spacing w:line="360" w:lineRule="auto"/>
        <w:ind w:firstLine="420"/>
        <w:contextualSpacing/>
        <w:rPr>
          <w:rFonts w:ascii="宋体" w:hAnsi="Calibri"/>
          <w:lang w:eastAsia="zh-CN"/>
        </w:rPr>
      </w:pPr>
      <w:r>
        <w:rPr>
          <w:rFonts w:ascii="宋体" w:hAnsi="Calibri"/>
          <w:highlight w:val="white"/>
          <w:lang w:eastAsia="zh-CN"/>
        </w:rPr>
        <w:t>6、编制</w:t>
      </w:r>
      <w:r>
        <w:rPr>
          <w:rFonts w:ascii="宋体" w:hAnsi="Calibri" w:hint="eastAsia"/>
          <w:highlight w:val="white"/>
          <w:lang w:eastAsia="zh-CN"/>
        </w:rPr>
        <w:t>季度报告、中期报告和年度报告；</w:t>
      </w:r>
    </w:p>
    <w:p w:rsidR="005C6370" w:rsidP="00A24D29" w14:paraId="49A9A89D" w14:textId="77777777">
      <w:pPr>
        <w:spacing w:line="360" w:lineRule="auto"/>
        <w:ind w:firstLine="420"/>
        <w:contextualSpacing/>
        <w:rPr>
          <w:rFonts w:ascii="宋体" w:hAnsi="Calibri"/>
          <w:lang w:eastAsia="zh-CN"/>
        </w:rPr>
      </w:pPr>
      <w:r>
        <w:rPr>
          <w:rFonts w:ascii="宋体" w:hAnsi="Calibri"/>
          <w:highlight w:val="white"/>
          <w:lang w:eastAsia="zh-CN"/>
        </w:rPr>
        <w:t>7、计算并公告</w:t>
      </w:r>
      <w:r>
        <w:rPr>
          <w:rFonts w:ascii="宋体" w:hAnsi="Calibri" w:hint="eastAsia"/>
          <w:highlight w:val="white"/>
          <w:lang w:eastAsia="zh-CN"/>
        </w:rPr>
        <w:t>基金净值信息，确定基金份额申购、赎回价格；</w:t>
      </w:r>
    </w:p>
    <w:p w:rsidR="005C6370" w:rsidP="00A24D29" w14:paraId="0CB661D6" w14:textId="77777777">
      <w:pPr>
        <w:spacing w:line="360" w:lineRule="auto"/>
        <w:ind w:firstLine="420"/>
        <w:contextualSpacing/>
        <w:rPr>
          <w:rFonts w:ascii="宋体" w:hAnsi="Calibri"/>
          <w:lang w:eastAsia="zh-CN"/>
        </w:rPr>
      </w:pPr>
      <w:bookmarkStart w:id="12" w:name="_Toc332373453"/>
      <w:r>
        <w:rPr>
          <w:rFonts w:ascii="宋体" w:hAnsi="Calibri"/>
          <w:highlight w:val="white"/>
          <w:lang w:eastAsia="zh-CN"/>
        </w:rPr>
        <w:t>8、办理与基金财产管理业务活动有关的信息披露事项；</w:t>
      </w:r>
      <w:bookmarkEnd w:id="12"/>
    </w:p>
    <w:p w:rsidR="005C6370" w:rsidP="00A24D29" w14:paraId="4BD3F734" w14:textId="77777777">
      <w:pPr>
        <w:spacing w:line="360" w:lineRule="auto"/>
        <w:ind w:firstLine="420"/>
        <w:contextualSpacing/>
        <w:rPr>
          <w:rFonts w:ascii="宋体" w:hAnsi="Calibri"/>
          <w:lang w:eastAsia="zh-CN"/>
        </w:rPr>
      </w:pPr>
      <w:r>
        <w:rPr>
          <w:rFonts w:ascii="宋体" w:hAnsi="Calibri"/>
          <w:highlight w:val="white"/>
          <w:lang w:eastAsia="zh-CN"/>
        </w:rPr>
        <w:t>9、按照规定召集基金份额持有人大会；</w:t>
      </w:r>
    </w:p>
    <w:p w:rsidR="005C6370" w:rsidP="00A24D29" w14:paraId="1DBF6307" w14:textId="77777777">
      <w:pPr>
        <w:spacing w:line="360" w:lineRule="auto"/>
        <w:ind w:firstLine="420"/>
        <w:contextualSpacing/>
        <w:rPr>
          <w:rFonts w:ascii="宋体" w:hAnsi="Calibri"/>
          <w:lang w:eastAsia="zh-CN"/>
        </w:rPr>
      </w:pPr>
      <w:bookmarkStart w:id="13" w:name="_Toc332373454"/>
      <w:r>
        <w:rPr>
          <w:rFonts w:ascii="宋体" w:hAnsi="Calibri"/>
          <w:highlight w:val="white"/>
          <w:lang w:eastAsia="zh-CN"/>
        </w:rPr>
        <w:t>10、保存基金财产管理业务活动的记录、账册、报表和其他相关资料；</w:t>
      </w:r>
      <w:bookmarkEnd w:id="13"/>
    </w:p>
    <w:p w:rsidR="005C6370" w:rsidP="00A24D29" w14:paraId="5246D4EA" w14:textId="77777777">
      <w:pPr>
        <w:spacing w:line="360" w:lineRule="auto"/>
        <w:ind w:firstLine="420"/>
        <w:contextualSpacing/>
        <w:rPr>
          <w:rFonts w:ascii="宋体" w:hAnsi="Calibri"/>
          <w:lang w:eastAsia="zh-CN"/>
        </w:rPr>
      </w:pPr>
      <w:r>
        <w:rPr>
          <w:rFonts w:ascii="宋体" w:hAnsi="Calibri"/>
          <w:highlight w:val="white"/>
          <w:lang w:eastAsia="zh-CN"/>
        </w:rPr>
        <w:t>11、以基金管理人名义，代表基金份额持有人利益行使诉讼权利或者实施其他法律行为；</w:t>
      </w:r>
    </w:p>
    <w:p w:rsidR="005C6370" w:rsidP="00A24D29" w14:paraId="0262F8E4" w14:textId="77777777">
      <w:pPr>
        <w:spacing w:line="360" w:lineRule="auto"/>
        <w:ind w:firstLine="420"/>
        <w:contextualSpacing/>
        <w:rPr>
          <w:rFonts w:ascii="宋体" w:hAnsi="Calibri"/>
          <w:lang w:eastAsia="zh-CN"/>
        </w:rPr>
      </w:pPr>
      <w:r>
        <w:rPr>
          <w:rFonts w:ascii="宋体" w:hAnsi="Calibri"/>
          <w:highlight w:val="white"/>
          <w:lang w:eastAsia="zh-CN"/>
        </w:rPr>
        <w:t>12、中国证监会规定的其他职责。</w:t>
      </w:r>
    </w:p>
    <w:p w:rsidR="005C6370" w:rsidP="00A24D29" w14:paraId="29F2FB2D" w14:textId="77777777">
      <w:pPr>
        <w:spacing w:line="360" w:lineRule="auto"/>
        <w:ind w:firstLine="420"/>
        <w:contextualSpacing/>
        <w:rPr>
          <w:rFonts w:ascii="宋体" w:hAnsi="Calibri"/>
          <w:lang w:eastAsia="zh-CN"/>
        </w:rPr>
      </w:pPr>
      <w:r>
        <w:rPr>
          <w:rFonts w:ascii="宋体" w:hAnsi="Calibri" w:hint="eastAsia"/>
          <w:highlight w:val="white"/>
          <w:lang w:eastAsia="zh-CN"/>
        </w:rPr>
        <w:t>四、基金管理人的承诺</w:t>
      </w:r>
    </w:p>
    <w:p w:rsidR="005C6370" w:rsidP="00A24D29" w14:paraId="699AB79A" w14:textId="77777777">
      <w:pPr>
        <w:spacing w:line="360" w:lineRule="auto"/>
        <w:ind w:firstLine="420"/>
        <w:contextualSpacing/>
        <w:rPr>
          <w:rFonts w:ascii="宋体" w:hAnsi="Calibri"/>
          <w:lang w:eastAsia="zh-CN"/>
        </w:rPr>
      </w:pPr>
      <w:r>
        <w:rPr>
          <w:rFonts w:ascii="宋体" w:hAnsi="Calibri" w:hint="eastAsia"/>
          <w:highlight w:val="white"/>
          <w:lang w:eastAsia="zh-CN"/>
        </w:rPr>
        <w:t>1、本基金管理人承诺严格遵守现行有效的相关法律、法规、规章、基金合同和中国证监会的有关规定，建立健全内部控制制度，采取有效措施，防止违反现行有效的有关法律、法规、规章、基金合同和中国证监会有关规定的行为发生。</w:t>
      </w:r>
    </w:p>
    <w:p w:rsidR="005C6370" w:rsidP="00A24D29" w14:paraId="6F828002" w14:textId="77777777">
      <w:pPr>
        <w:spacing w:line="360" w:lineRule="auto"/>
        <w:ind w:firstLine="420"/>
        <w:contextualSpacing/>
        <w:rPr>
          <w:rFonts w:ascii="宋体" w:hAnsi="Calibri"/>
          <w:lang w:eastAsia="zh-CN"/>
        </w:rPr>
      </w:pPr>
      <w:r>
        <w:rPr>
          <w:rFonts w:ascii="宋体" w:hAnsi="Calibri" w:hint="eastAsia"/>
          <w:highlight w:val="white"/>
          <w:lang w:eastAsia="zh-CN"/>
        </w:rPr>
        <w:t>2、本基金管理人承诺严格遵守《证券法》、《基金法》及有关法律法规，建立健全内部控制制度，采取有效措施，防止下列行为发生：</w:t>
      </w:r>
    </w:p>
    <w:p w:rsidR="005C6370" w:rsidP="00A24D29" w14:paraId="7C75D099" w14:textId="77777777">
      <w:pPr>
        <w:spacing w:line="360" w:lineRule="auto"/>
        <w:ind w:firstLine="420"/>
        <w:contextualSpacing/>
        <w:rPr>
          <w:rFonts w:ascii="宋体" w:hAnsi="Calibri"/>
          <w:lang w:eastAsia="zh-CN"/>
        </w:rPr>
      </w:pPr>
      <w:r>
        <w:rPr>
          <w:rFonts w:ascii="宋体" w:hAnsi="Calibri" w:hint="eastAsia"/>
          <w:highlight w:val="white"/>
          <w:lang w:eastAsia="zh-CN"/>
        </w:rPr>
        <w:t>（1）将其固有财产或者他人财产混同于基金财产从事证券投资；</w:t>
      </w:r>
    </w:p>
    <w:p w:rsidR="005C6370" w:rsidP="00A24D29" w14:paraId="4ED071CC" w14:textId="77777777">
      <w:pPr>
        <w:spacing w:line="360" w:lineRule="auto"/>
        <w:ind w:firstLine="420"/>
        <w:contextualSpacing/>
        <w:rPr>
          <w:rFonts w:ascii="宋体" w:hAnsi="Calibri"/>
          <w:lang w:eastAsia="zh-CN"/>
        </w:rPr>
      </w:pPr>
      <w:r>
        <w:rPr>
          <w:rFonts w:ascii="宋体" w:hAnsi="Calibri" w:hint="eastAsia"/>
          <w:highlight w:val="white"/>
          <w:lang w:eastAsia="zh-CN"/>
        </w:rPr>
        <w:t>（2）不公平地对待其管理的不同基金财产；</w:t>
      </w:r>
    </w:p>
    <w:p w:rsidR="005C6370" w:rsidP="00A24D29" w14:paraId="2DAA6E76" w14:textId="77777777">
      <w:pPr>
        <w:spacing w:line="360" w:lineRule="auto"/>
        <w:ind w:firstLine="420"/>
        <w:contextualSpacing/>
        <w:rPr>
          <w:rFonts w:ascii="宋体" w:hAnsi="Calibri"/>
          <w:lang w:eastAsia="zh-CN"/>
        </w:rPr>
      </w:pPr>
      <w:r>
        <w:rPr>
          <w:rFonts w:ascii="宋体" w:hAnsi="Calibri" w:hint="eastAsia"/>
          <w:highlight w:val="white"/>
          <w:lang w:eastAsia="zh-CN"/>
        </w:rPr>
        <w:t>（3）利用基金财产或职务之便为基金份额持有人以外的人谋取利益；</w:t>
      </w:r>
    </w:p>
    <w:p w:rsidR="005C6370" w:rsidP="00A24D29" w14:paraId="7E5C660D" w14:textId="77777777">
      <w:pPr>
        <w:spacing w:line="360" w:lineRule="auto"/>
        <w:ind w:firstLine="420"/>
        <w:contextualSpacing/>
        <w:rPr>
          <w:rFonts w:ascii="宋体" w:hAnsi="Calibri"/>
          <w:lang w:eastAsia="zh-CN"/>
        </w:rPr>
      </w:pPr>
      <w:r>
        <w:rPr>
          <w:rFonts w:ascii="宋体" w:hAnsi="Calibri" w:hint="eastAsia"/>
          <w:highlight w:val="white"/>
          <w:lang w:eastAsia="zh-CN"/>
        </w:rPr>
        <w:t>（4）向基金份额持有人违规承诺收益或者承担损失；</w:t>
      </w:r>
    </w:p>
    <w:p w:rsidR="005C6370" w:rsidP="00A24D29" w14:paraId="39C401FA" w14:textId="77777777">
      <w:pPr>
        <w:spacing w:line="360" w:lineRule="auto"/>
        <w:ind w:firstLine="420"/>
        <w:contextualSpacing/>
        <w:rPr>
          <w:rFonts w:ascii="宋体" w:hAnsi="Calibri"/>
          <w:lang w:eastAsia="zh-CN"/>
        </w:rPr>
      </w:pPr>
      <w:r>
        <w:rPr>
          <w:rFonts w:ascii="宋体" w:hAnsi="Calibri" w:hint="eastAsia"/>
          <w:highlight w:val="white"/>
          <w:lang w:eastAsia="zh-CN"/>
        </w:rPr>
        <w:t>（5）侵占、挪用基金财产；</w:t>
      </w:r>
    </w:p>
    <w:p w:rsidR="005C6370" w:rsidP="00A24D29" w14:paraId="2F8C9409" w14:textId="77777777">
      <w:pPr>
        <w:spacing w:line="360" w:lineRule="auto"/>
        <w:ind w:firstLine="420"/>
        <w:contextualSpacing/>
        <w:rPr>
          <w:rFonts w:ascii="宋体" w:hAnsi="Calibri"/>
          <w:lang w:eastAsia="zh-CN"/>
        </w:rPr>
      </w:pPr>
      <w:r>
        <w:rPr>
          <w:rFonts w:ascii="宋体" w:hAnsi="Calibri" w:hint="eastAsia"/>
          <w:highlight w:val="white"/>
          <w:lang w:eastAsia="zh-CN"/>
        </w:rPr>
        <w:t>（6）泄露因职务便利获取的未公开信息、利用该信息从事或者明示、暗示他人从事相关的交易活动；</w:t>
      </w:r>
    </w:p>
    <w:p w:rsidR="005C6370" w:rsidP="00A24D29" w14:paraId="3F17EA4C" w14:textId="77777777">
      <w:pPr>
        <w:spacing w:line="360" w:lineRule="auto"/>
        <w:ind w:firstLine="420"/>
        <w:contextualSpacing/>
        <w:rPr>
          <w:rFonts w:ascii="宋体" w:hAnsi="Calibri"/>
          <w:lang w:eastAsia="zh-CN"/>
        </w:rPr>
      </w:pPr>
      <w:r>
        <w:rPr>
          <w:rFonts w:ascii="宋体" w:hAnsi="Calibri" w:hint="eastAsia"/>
          <w:highlight w:val="white"/>
          <w:lang w:eastAsia="zh-CN"/>
        </w:rPr>
        <w:t>（7）玩忽职守，不按照规定履行职责；</w:t>
      </w:r>
    </w:p>
    <w:p w:rsidR="005C6370" w:rsidP="00A24D29" w14:paraId="138434F6" w14:textId="77777777">
      <w:pPr>
        <w:spacing w:line="360" w:lineRule="auto"/>
        <w:ind w:firstLine="420"/>
        <w:contextualSpacing/>
        <w:rPr>
          <w:rFonts w:ascii="宋体" w:hAnsi="Calibri"/>
          <w:lang w:eastAsia="zh-CN"/>
        </w:rPr>
      </w:pPr>
      <w:r>
        <w:rPr>
          <w:rFonts w:ascii="宋体" w:hAnsi="Calibri" w:hint="eastAsia"/>
          <w:highlight w:val="white"/>
          <w:lang w:eastAsia="zh-CN"/>
        </w:rPr>
        <w:t>（8）法律、行政法规和中国证监会禁止的其他行为。</w:t>
      </w:r>
    </w:p>
    <w:p w:rsidR="005C6370" w:rsidP="00A24D29" w14:paraId="51F0828E" w14:textId="77777777">
      <w:pPr>
        <w:spacing w:line="360" w:lineRule="auto"/>
        <w:ind w:firstLine="420"/>
        <w:contextualSpacing/>
        <w:rPr>
          <w:rFonts w:ascii="宋体" w:hAnsi="Calibri"/>
          <w:lang w:eastAsia="zh-CN"/>
        </w:rPr>
      </w:pPr>
      <w:r>
        <w:rPr>
          <w:rFonts w:ascii="宋体" w:hAnsi="Calibri" w:hint="eastAsia"/>
          <w:highlight w:val="white"/>
          <w:lang w:eastAsia="zh-CN"/>
        </w:rPr>
        <w:t>3、本基金管理人承诺加强人员管理，强化职业操守，督促和约束员工遵守国家有关法律、法规及行业规范，诚实信用、勤勉尽责，不从事以下活动：</w:t>
      </w:r>
    </w:p>
    <w:p w:rsidR="005C6370" w:rsidP="00A24D29" w14:paraId="12CD5C7A" w14:textId="77777777">
      <w:pPr>
        <w:spacing w:line="360" w:lineRule="auto"/>
        <w:ind w:firstLine="420"/>
        <w:contextualSpacing/>
        <w:rPr>
          <w:rFonts w:ascii="宋体" w:hAnsi="Calibri"/>
          <w:lang w:eastAsia="zh-CN"/>
        </w:rPr>
      </w:pPr>
      <w:r>
        <w:rPr>
          <w:rFonts w:ascii="宋体" w:hAnsi="Calibri" w:hint="eastAsia"/>
          <w:highlight w:val="white"/>
          <w:lang w:eastAsia="zh-CN"/>
        </w:rPr>
        <w:t>（1）越权或违规经营；</w:t>
      </w:r>
    </w:p>
    <w:p w:rsidR="005C6370" w:rsidP="00A24D29" w14:paraId="6B617475" w14:textId="77777777">
      <w:pPr>
        <w:spacing w:line="360" w:lineRule="auto"/>
        <w:ind w:firstLine="420"/>
        <w:contextualSpacing/>
        <w:rPr>
          <w:rFonts w:ascii="宋体" w:hAnsi="Calibri"/>
          <w:lang w:eastAsia="zh-CN"/>
        </w:rPr>
      </w:pPr>
      <w:r>
        <w:rPr>
          <w:rFonts w:ascii="宋体" w:hAnsi="Calibri" w:hint="eastAsia"/>
          <w:highlight w:val="white"/>
          <w:lang w:eastAsia="zh-CN"/>
        </w:rPr>
        <w:t>（2）违反基金合同或托管协议；</w:t>
      </w:r>
    </w:p>
    <w:p w:rsidR="005C6370" w:rsidP="00A24D29" w14:paraId="14BD98EE" w14:textId="77777777">
      <w:pPr>
        <w:spacing w:line="360" w:lineRule="auto"/>
        <w:ind w:firstLine="420"/>
        <w:contextualSpacing/>
        <w:rPr>
          <w:rFonts w:ascii="宋体" w:hAnsi="Calibri"/>
          <w:lang w:eastAsia="zh-CN"/>
        </w:rPr>
      </w:pPr>
      <w:r>
        <w:rPr>
          <w:rFonts w:ascii="宋体" w:hAnsi="Calibri" w:hint="eastAsia"/>
          <w:highlight w:val="white"/>
          <w:lang w:eastAsia="zh-CN"/>
        </w:rPr>
        <w:t>（3）故意损害基金份额持有人或其他基金相关机构的合法利益；</w:t>
      </w:r>
    </w:p>
    <w:p w:rsidR="005C6370" w:rsidP="00A24D29" w14:paraId="48A08FA4" w14:textId="77777777">
      <w:pPr>
        <w:spacing w:line="360" w:lineRule="auto"/>
        <w:ind w:firstLine="420"/>
        <w:contextualSpacing/>
        <w:rPr>
          <w:rFonts w:ascii="宋体" w:hAnsi="Calibri"/>
          <w:lang w:eastAsia="zh-CN"/>
        </w:rPr>
      </w:pPr>
      <w:r>
        <w:rPr>
          <w:rFonts w:ascii="宋体" w:hAnsi="Calibri" w:hint="eastAsia"/>
          <w:highlight w:val="white"/>
          <w:lang w:eastAsia="zh-CN"/>
        </w:rPr>
        <w:t>（4）在向中国证监会报送的资料中弄虚作假；</w:t>
      </w:r>
    </w:p>
    <w:p w:rsidR="005C6370" w:rsidP="00A24D29" w14:paraId="52B374B9" w14:textId="77777777">
      <w:pPr>
        <w:spacing w:line="360" w:lineRule="auto"/>
        <w:ind w:firstLine="420"/>
        <w:contextualSpacing/>
        <w:rPr>
          <w:rFonts w:ascii="宋体" w:hAnsi="Calibri"/>
          <w:lang w:eastAsia="zh-CN"/>
        </w:rPr>
      </w:pPr>
      <w:r>
        <w:rPr>
          <w:rFonts w:ascii="宋体" w:hAnsi="Calibri" w:hint="eastAsia"/>
          <w:highlight w:val="white"/>
          <w:lang w:eastAsia="zh-CN"/>
        </w:rPr>
        <w:t>（5）拒绝、干扰、阻挠或严重影响中国证监会依法监管；</w:t>
      </w:r>
    </w:p>
    <w:p w:rsidR="005C6370" w:rsidP="00A24D29" w14:paraId="4991B77F" w14:textId="77777777">
      <w:pPr>
        <w:spacing w:line="360" w:lineRule="auto"/>
        <w:ind w:firstLine="420"/>
        <w:contextualSpacing/>
        <w:rPr>
          <w:rFonts w:ascii="宋体" w:hAnsi="Calibri"/>
          <w:lang w:eastAsia="zh-CN"/>
        </w:rPr>
      </w:pPr>
      <w:r>
        <w:rPr>
          <w:rFonts w:ascii="宋体" w:hAnsi="Calibri" w:hint="eastAsia"/>
          <w:highlight w:val="white"/>
          <w:lang w:eastAsia="zh-CN"/>
        </w:rPr>
        <w:t>（6）玩忽职守、滥用职权；</w:t>
      </w:r>
    </w:p>
    <w:p w:rsidR="005C6370" w:rsidP="00A24D29" w14:paraId="76395841" w14:textId="77777777">
      <w:pPr>
        <w:spacing w:line="360" w:lineRule="auto"/>
        <w:ind w:firstLine="420"/>
        <w:contextualSpacing/>
        <w:rPr>
          <w:rFonts w:ascii="宋体" w:hAnsi="Calibri"/>
          <w:lang w:eastAsia="zh-CN"/>
        </w:rPr>
      </w:pPr>
      <w:r>
        <w:rPr>
          <w:rFonts w:ascii="宋体" w:hAnsi="Calibri" w:hint="eastAsia"/>
          <w:highlight w:val="white"/>
          <w:lang w:eastAsia="zh-CN"/>
        </w:rPr>
        <w:t>（7）违反现行有效的有关法律、法规、规章、基金合同和中国证监会的有关规定，泄露在任职期间知悉的有关证券、基金的商业秘密，尚未依法公开的基金投资内容、基金投资计划等信息；</w:t>
      </w:r>
    </w:p>
    <w:p w:rsidR="005C6370" w:rsidP="00A24D29" w14:paraId="10FB9CA5" w14:textId="77777777">
      <w:pPr>
        <w:spacing w:line="360" w:lineRule="auto"/>
        <w:ind w:firstLine="420"/>
        <w:contextualSpacing/>
        <w:rPr>
          <w:rFonts w:ascii="宋体" w:hAnsi="Calibri"/>
          <w:lang w:eastAsia="zh-CN"/>
        </w:rPr>
      </w:pPr>
      <w:r>
        <w:rPr>
          <w:rFonts w:ascii="宋体" w:hAnsi="Calibri" w:hint="eastAsia"/>
          <w:highlight w:val="white"/>
          <w:lang w:eastAsia="zh-CN"/>
        </w:rPr>
        <w:t>（8）违反证券交易场所业务规则，利用对敲、倒仓等手段操纵市场价格，扰乱市场秩序；</w:t>
      </w:r>
    </w:p>
    <w:p w:rsidR="005C6370" w:rsidP="00A24D29" w14:paraId="1FB51021" w14:textId="77777777">
      <w:pPr>
        <w:spacing w:line="360" w:lineRule="auto"/>
        <w:ind w:firstLine="420"/>
        <w:contextualSpacing/>
        <w:rPr>
          <w:rFonts w:ascii="宋体" w:hAnsi="Calibri"/>
          <w:lang w:eastAsia="zh-CN"/>
        </w:rPr>
      </w:pPr>
      <w:r>
        <w:rPr>
          <w:rFonts w:ascii="宋体" w:hAnsi="Calibri" w:hint="eastAsia"/>
          <w:highlight w:val="white"/>
          <w:lang w:eastAsia="zh-CN"/>
        </w:rPr>
        <w:t>（9）贬损同行，以抬高自己；</w:t>
      </w:r>
    </w:p>
    <w:p w:rsidR="005C6370" w:rsidP="00A24D29" w14:paraId="00387F95" w14:textId="77777777">
      <w:pPr>
        <w:spacing w:line="360" w:lineRule="auto"/>
        <w:ind w:firstLine="420"/>
        <w:contextualSpacing/>
        <w:rPr>
          <w:rFonts w:ascii="宋体" w:hAnsi="Calibri"/>
          <w:lang w:eastAsia="zh-CN"/>
        </w:rPr>
      </w:pPr>
      <w:r>
        <w:rPr>
          <w:rFonts w:ascii="宋体" w:hAnsi="Calibri" w:hint="eastAsia"/>
          <w:highlight w:val="white"/>
          <w:lang w:eastAsia="zh-CN"/>
        </w:rPr>
        <w:t>（10）以不正当手段谋求业务发展；</w:t>
      </w:r>
    </w:p>
    <w:p w:rsidR="005C6370" w:rsidP="00A24D29" w14:paraId="12833672" w14:textId="77777777">
      <w:pPr>
        <w:spacing w:line="360" w:lineRule="auto"/>
        <w:ind w:firstLine="420"/>
        <w:contextualSpacing/>
        <w:rPr>
          <w:rFonts w:ascii="宋体" w:hAnsi="Calibri"/>
          <w:lang w:eastAsia="zh-CN"/>
        </w:rPr>
      </w:pPr>
      <w:r>
        <w:rPr>
          <w:rFonts w:ascii="宋体" w:hAnsi="Calibri" w:hint="eastAsia"/>
          <w:highlight w:val="white"/>
          <w:lang w:eastAsia="zh-CN"/>
        </w:rPr>
        <w:t>（11）有悖社会公德，损害证券投资基金从业人员形象；</w:t>
      </w:r>
    </w:p>
    <w:p w:rsidR="005C6370" w:rsidP="00A24D29" w14:paraId="4ECC798C" w14:textId="77777777">
      <w:pPr>
        <w:spacing w:line="360" w:lineRule="auto"/>
        <w:ind w:firstLine="420"/>
        <w:contextualSpacing/>
        <w:rPr>
          <w:rFonts w:ascii="宋体" w:hAnsi="Calibri"/>
          <w:lang w:eastAsia="zh-CN"/>
        </w:rPr>
      </w:pPr>
      <w:r>
        <w:rPr>
          <w:rFonts w:ascii="宋体" w:hAnsi="Calibri" w:hint="eastAsia"/>
          <w:highlight w:val="white"/>
          <w:lang w:eastAsia="zh-CN"/>
        </w:rPr>
        <w:t>（12）在公开信息披露和广告中故意含有虚假、误导、欺诈成分；</w:t>
      </w:r>
    </w:p>
    <w:p w:rsidR="005C6370" w:rsidP="00A24D29" w14:paraId="155FD8AB" w14:textId="77777777">
      <w:pPr>
        <w:spacing w:line="360" w:lineRule="auto"/>
        <w:ind w:firstLine="420"/>
        <w:contextualSpacing/>
        <w:rPr>
          <w:rFonts w:ascii="宋体" w:hAnsi="Calibri"/>
          <w:lang w:eastAsia="zh-CN"/>
        </w:rPr>
      </w:pPr>
      <w:r>
        <w:rPr>
          <w:rFonts w:ascii="宋体" w:hAnsi="Calibri" w:hint="eastAsia"/>
          <w:highlight w:val="white"/>
          <w:lang w:eastAsia="zh-CN"/>
        </w:rPr>
        <w:t>（13）其他法律、行政法规以及中国证监会禁止的行为。</w:t>
      </w:r>
    </w:p>
    <w:p w:rsidR="005C6370" w:rsidP="00A24D29" w14:paraId="1907D7E3" w14:textId="77777777">
      <w:pPr>
        <w:spacing w:line="360" w:lineRule="auto"/>
        <w:ind w:firstLine="420"/>
        <w:contextualSpacing/>
        <w:rPr>
          <w:rFonts w:ascii="宋体" w:hAnsi="Calibri"/>
          <w:lang w:eastAsia="zh-CN"/>
        </w:rPr>
      </w:pPr>
      <w:r>
        <w:rPr>
          <w:rFonts w:ascii="宋体" w:hAnsi="Calibri" w:hint="eastAsia"/>
          <w:highlight w:val="white"/>
          <w:lang w:eastAsia="zh-CN"/>
        </w:rPr>
        <w:t>4、基金经理承诺</w:t>
      </w:r>
    </w:p>
    <w:p w:rsidR="005C6370" w:rsidP="00A24D29" w14:paraId="5CF1E90B" w14:textId="77777777">
      <w:pPr>
        <w:spacing w:line="360" w:lineRule="auto"/>
        <w:ind w:firstLine="420"/>
        <w:contextualSpacing/>
        <w:rPr>
          <w:rFonts w:ascii="宋体" w:hAnsi="Calibri"/>
          <w:lang w:eastAsia="zh-CN"/>
        </w:rPr>
      </w:pPr>
      <w:r>
        <w:rPr>
          <w:rFonts w:ascii="宋体" w:hAnsi="Calibri" w:hint="eastAsia"/>
          <w:highlight w:val="white"/>
          <w:lang w:eastAsia="zh-CN"/>
        </w:rPr>
        <w:t>（1）依照有关法律、法规和基金合同的规定，本着谨慎的原则为基金份额持有人谋取最大利益；</w:t>
      </w:r>
    </w:p>
    <w:p w:rsidR="005C6370" w:rsidP="00A24D29" w14:paraId="47863312" w14:textId="77777777">
      <w:pPr>
        <w:spacing w:line="360" w:lineRule="auto"/>
        <w:ind w:firstLine="420"/>
        <w:contextualSpacing/>
        <w:rPr>
          <w:rFonts w:ascii="宋体" w:hAnsi="Calibri"/>
          <w:lang w:eastAsia="zh-CN"/>
        </w:rPr>
      </w:pPr>
      <w:r>
        <w:rPr>
          <w:rFonts w:ascii="宋体" w:hAnsi="Calibri" w:hint="eastAsia"/>
          <w:highlight w:val="white"/>
          <w:lang w:eastAsia="zh-CN"/>
        </w:rPr>
        <w:t>（2）不利用职务之便为自己及其代理人、受雇人或任何第三人谋取利益；</w:t>
      </w:r>
    </w:p>
    <w:p w:rsidR="005C6370" w:rsidP="00A24D29" w14:paraId="02621ED9" w14:textId="77777777">
      <w:pPr>
        <w:spacing w:line="360" w:lineRule="auto"/>
        <w:ind w:firstLine="420"/>
        <w:contextualSpacing/>
        <w:rPr>
          <w:rFonts w:ascii="宋体" w:hAnsi="Calibri"/>
          <w:lang w:eastAsia="zh-CN"/>
        </w:rPr>
      </w:pPr>
      <w:r>
        <w:rPr>
          <w:rFonts w:ascii="宋体" w:hAnsi="Calibri" w:hint="eastAsia"/>
          <w:highlight w:val="white"/>
          <w:lang w:eastAsia="zh-CN"/>
        </w:rPr>
        <w:t>（3）不违反现行有效的有关法律、法规、规章、基金合同和中国证监会的有关规定，泄露在任职期间知悉的有关证券、基金的商业秘密、尚未依法公开的基金投资内容、基金投资计划等信息；</w:t>
      </w:r>
    </w:p>
    <w:p w:rsidR="005C6370" w:rsidP="00A24D29" w14:paraId="09460E20" w14:textId="77777777">
      <w:pPr>
        <w:spacing w:line="360" w:lineRule="auto"/>
        <w:ind w:firstLine="420"/>
        <w:contextualSpacing/>
        <w:rPr>
          <w:rFonts w:ascii="宋体" w:hAnsi="Calibri"/>
          <w:lang w:eastAsia="zh-CN"/>
        </w:rPr>
      </w:pPr>
      <w:r>
        <w:rPr>
          <w:rFonts w:ascii="宋体" w:hAnsi="Calibri" w:hint="eastAsia"/>
          <w:highlight w:val="white"/>
          <w:lang w:eastAsia="zh-CN"/>
        </w:rPr>
        <w:t>（4）不从事损害基金财产和基金份额持有人利益的证券交易及其他活动。</w:t>
      </w:r>
    </w:p>
    <w:p w:rsidR="005C6370" w:rsidP="00A24D29" w14:paraId="5F98AA4E" w14:textId="77777777">
      <w:pPr>
        <w:spacing w:line="360" w:lineRule="auto"/>
        <w:ind w:firstLine="420"/>
        <w:contextualSpacing/>
        <w:rPr>
          <w:rFonts w:ascii="宋体" w:hAnsi="Calibri"/>
          <w:lang w:eastAsia="zh-CN"/>
        </w:rPr>
      </w:pPr>
      <w:r>
        <w:rPr>
          <w:rFonts w:ascii="宋体" w:hAnsi="Calibri" w:hint="eastAsia"/>
          <w:highlight w:val="white"/>
          <w:lang w:eastAsia="zh-CN"/>
        </w:rPr>
        <w:t>五、基金管理人的内部控制制度</w:t>
      </w:r>
    </w:p>
    <w:p w:rsidR="005C6370" w:rsidP="00A24D29" w14:paraId="7ECA6A82" w14:textId="77777777">
      <w:pPr>
        <w:spacing w:line="360" w:lineRule="auto"/>
        <w:ind w:firstLine="420"/>
        <w:contextualSpacing/>
        <w:rPr>
          <w:rFonts w:ascii="宋体" w:hAnsi="Calibri"/>
          <w:lang w:eastAsia="zh-CN"/>
        </w:rPr>
      </w:pPr>
      <w:r>
        <w:rPr>
          <w:rFonts w:ascii="宋体" w:hAnsi="Calibri" w:hint="eastAsia"/>
          <w:highlight w:val="white"/>
          <w:lang w:eastAsia="zh-CN"/>
        </w:rPr>
        <w:t>为保证公司规范化运作，有效地防范和化解经营风险，促进公司诚信、合法、有效经营，保障基金份额持有人利益，维护公司及公司股东的合法权益，本基金管理人建立了科学、严密、高效的内部控制体系。</w:t>
      </w:r>
    </w:p>
    <w:p w:rsidR="005C6370" w:rsidP="00A24D29" w14:paraId="3664FBA2" w14:textId="77777777">
      <w:pPr>
        <w:spacing w:line="360" w:lineRule="auto"/>
        <w:ind w:firstLine="420"/>
        <w:contextualSpacing/>
        <w:rPr>
          <w:rFonts w:ascii="宋体" w:hAnsi="Calibri"/>
          <w:lang w:eastAsia="zh-CN"/>
        </w:rPr>
      </w:pPr>
      <w:r>
        <w:rPr>
          <w:rFonts w:ascii="宋体" w:hAnsi="Calibri" w:hint="eastAsia"/>
          <w:highlight w:val="white"/>
          <w:lang w:eastAsia="zh-CN"/>
        </w:rPr>
        <w:t>1、公司内部控制的总体目标</w:t>
      </w:r>
    </w:p>
    <w:p w:rsidR="005C6370" w:rsidP="00A24D29" w14:paraId="5B1639CF" w14:textId="77777777">
      <w:pPr>
        <w:spacing w:line="360" w:lineRule="auto"/>
        <w:ind w:firstLine="420"/>
        <w:contextualSpacing/>
        <w:rPr>
          <w:rFonts w:ascii="宋体" w:hAnsi="Calibri"/>
          <w:lang w:eastAsia="zh-CN"/>
        </w:rPr>
      </w:pPr>
      <w:r>
        <w:rPr>
          <w:rFonts w:ascii="宋体" w:hAnsi="Calibri" w:hint="eastAsia"/>
          <w:highlight w:val="white"/>
          <w:lang w:eastAsia="zh-CN"/>
        </w:rPr>
        <w:t>（1）保证公司经营管理活动的合法合规性；</w:t>
      </w:r>
    </w:p>
    <w:p w:rsidR="005C6370" w:rsidP="00A24D29" w14:paraId="7EB4B0BB" w14:textId="77777777">
      <w:pPr>
        <w:spacing w:line="360" w:lineRule="auto"/>
        <w:ind w:firstLine="420"/>
        <w:contextualSpacing/>
        <w:rPr>
          <w:rFonts w:ascii="宋体" w:hAnsi="Calibri"/>
          <w:lang w:eastAsia="zh-CN"/>
        </w:rPr>
      </w:pPr>
      <w:r>
        <w:rPr>
          <w:rFonts w:ascii="宋体" w:hAnsi="Calibri" w:hint="eastAsia"/>
          <w:highlight w:val="white"/>
          <w:lang w:eastAsia="zh-CN"/>
        </w:rPr>
        <w:t>（2）保证各类基金份额持有人及委托人的合法权益不受侵犯；</w:t>
      </w:r>
    </w:p>
    <w:p w:rsidR="005C6370" w:rsidP="00A24D29" w14:paraId="74ED03C5" w14:textId="77777777">
      <w:pPr>
        <w:spacing w:line="360" w:lineRule="auto"/>
        <w:ind w:firstLine="420"/>
        <w:contextualSpacing/>
        <w:rPr>
          <w:rFonts w:ascii="宋体" w:hAnsi="Calibri"/>
          <w:lang w:eastAsia="zh-CN"/>
        </w:rPr>
      </w:pPr>
      <w:r>
        <w:rPr>
          <w:rFonts w:ascii="宋体" w:hAnsi="Calibri" w:hint="eastAsia"/>
          <w:highlight w:val="white"/>
          <w:lang w:eastAsia="zh-CN"/>
        </w:rPr>
        <w:t>（3）防范和化解经营风险，提高经营管理效率，确保业务稳健经营运行和受托资产安全完整，实现公司的持续、健康发展，促进公司实现发展战略；</w:t>
      </w:r>
    </w:p>
    <w:p w:rsidR="005C6370" w:rsidP="00A24D29" w14:paraId="43B696ED" w14:textId="77777777">
      <w:pPr>
        <w:spacing w:line="360" w:lineRule="auto"/>
        <w:ind w:firstLine="420"/>
        <w:contextualSpacing/>
        <w:rPr>
          <w:rFonts w:ascii="宋体" w:hAnsi="Calibri"/>
          <w:lang w:eastAsia="zh-CN"/>
        </w:rPr>
      </w:pPr>
      <w:r>
        <w:rPr>
          <w:rFonts w:ascii="宋体" w:hAnsi="Calibri" w:hint="eastAsia"/>
          <w:highlight w:val="white"/>
          <w:lang w:eastAsia="zh-CN"/>
        </w:rPr>
        <w:t>（4）督促公司全体员工恪守职业操守，正直诚信，廉洁自律，勤勉尽责；</w:t>
      </w:r>
    </w:p>
    <w:p w:rsidR="005C6370" w:rsidP="00A24D29" w14:paraId="4EC8CD66" w14:textId="77777777">
      <w:pPr>
        <w:spacing w:line="360" w:lineRule="auto"/>
        <w:ind w:firstLine="420"/>
        <w:contextualSpacing/>
        <w:rPr>
          <w:rFonts w:ascii="宋体" w:hAnsi="Calibri"/>
          <w:lang w:eastAsia="zh-CN"/>
        </w:rPr>
      </w:pPr>
      <w:r>
        <w:rPr>
          <w:rFonts w:ascii="宋体" w:hAnsi="Calibri" w:hint="eastAsia"/>
          <w:highlight w:val="white"/>
          <w:lang w:eastAsia="zh-CN"/>
        </w:rPr>
        <w:t>（5）维护公司的声誉，保持公司的良好形象。</w:t>
      </w:r>
    </w:p>
    <w:p w:rsidR="005C6370" w:rsidP="00A24D29" w14:paraId="087CB0F4" w14:textId="77777777">
      <w:pPr>
        <w:spacing w:line="360" w:lineRule="auto"/>
        <w:ind w:firstLine="420"/>
        <w:contextualSpacing/>
        <w:rPr>
          <w:rFonts w:ascii="宋体" w:hAnsi="Calibri"/>
          <w:lang w:eastAsia="zh-CN"/>
        </w:rPr>
      </w:pPr>
      <w:r>
        <w:rPr>
          <w:rFonts w:ascii="宋体" w:hAnsi="Calibri" w:hint="eastAsia"/>
          <w:highlight w:val="white"/>
          <w:lang w:eastAsia="zh-CN"/>
        </w:rPr>
        <w:t>2、公司内部控制遵循的原则</w:t>
      </w:r>
    </w:p>
    <w:p w:rsidR="005C6370" w:rsidP="00A24D29" w14:paraId="329D2D86" w14:textId="77777777">
      <w:pPr>
        <w:spacing w:line="360" w:lineRule="auto"/>
        <w:ind w:firstLine="420"/>
        <w:contextualSpacing/>
        <w:rPr>
          <w:rFonts w:ascii="宋体" w:hAnsi="Calibri"/>
          <w:lang w:eastAsia="zh-CN"/>
        </w:rPr>
      </w:pPr>
      <w:r>
        <w:rPr>
          <w:rFonts w:ascii="宋体" w:hAnsi="Calibri" w:hint="eastAsia"/>
          <w:highlight w:val="white"/>
          <w:lang w:eastAsia="zh-CN"/>
        </w:rPr>
        <w:t>（1）健全性原则。内部控制应当包括公司的各项业务、各个部门或机构和各级人员，并涵盖到决策、执行、监督、反馈等各个环节。</w:t>
      </w:r>
    </w:p>
    <w:p w:rsidR="005C6370" w:rsidP="00A24D29" w14:paraId="52E83FF3" w14:textId="77777777">
      <w:pPr>
        <w:spacing w:line="360" w:lineRule="auto"/>
        <w:ind w:firstLine="420"/>
        <w:contextualSpacing/>
        <w:rPr>
          <w:rFonts w:ascii="宋体" w:hAnsi="Calibri"/>
          <w:lang w:eastAsia="zh-CN"/>
        </w:rPr>
      </w:pPr>
      <w:r>
        <w:rPr>
          <w:rFonts w:ascii="宋体" w:hAnsi="Calibri" w:hint="eastAsia"/>
          <w:highlight w:val="white"/>
          <w:lang w:eastAsia="zh-CN"/>
        </w:rPr>
        <w:t>（2）有效性原则。通过科学的内控手段和方法，建立合理的内控程序，维护内控制度的有效执行。</w:t>
      </w:r>
    </w:p>
    <w:p w:rsidR="005C6370" w:rsidP="00A24D29" w14:paraId="32EA380D" w14:textId="77777777">
      <w:pPr>
        <w:spacing w:line="360" w:lineRule="auto"/>
        <w:ind w:firstLine="420"/>
        <w:contextualSpacing/>
        <w:rPr>
          <w:rFonts w:ascii="宋体" w:hAnsi="Calibri"/>
          <w:lang w:eastAsia="zh-CN"/>
        </w:rPr>
      </w:pPr>
      <w:r>
        <w:rPr>
          <w:rFonts w:ascii="宋体" w:hAnsi="Calibri" w:hint="eastAsia"/>
          <w:highlight w:val="white"/>
          <w:lang w:eastAsia="zh-CN"/>
        </w:rPr>
        <w:t>（3）独立性原则。公司机构、部门和岗位职责应当保持相对独立，除非法律法规另有规定，公司基金资产、自有资产、其他资产的运作应当分离。</w:t>
      </w:r>
    </w:p>
    <w:p w:rsidR="005C6370" w:rsidP="00A24D29" w14:paraId="5E751E57" w14:textId="77777777">
      <w:pPr>
        <w:spacing w:line="360" w:lineRule="auto"/>
        <w:ind w:firstLine="420"/>
        <w:contextualSpacing/>
        <w:rPr>
          <w:rFonts w:ascii="宋体" w:hAnsi="Calibri"/>
          <w:lang w:eastAsia="zh-CN"/>
        </w:rPr>
      </w:pPr>
      <w:r>
        <w:rPr>
          <w:rFonts w:ascii="宋体" w:hAnsi="Calibri" w:hint="eastAsia"/>
          <w:highlight w:val="white"/>
          <w:lang w:eastAsia="zh-CN"/>
        </w:rPr>
        <w:t>（4）相互制约原则。公司内部部门和岗位的设置应当体现权责分明、相互制衡。</w:t>
      </w:r>
    </w:p>
    <w:p w:rsidR="005C6370" w:rsidP="00A24D29" w14:paraId="4E19E4B8" w14:textId="77777777">
      <w:pPr>
        <w:spacing w:line="360" w:lineRule="auto"/>
        <w:ind w:firstLine="420"/>
        <w:contextualSpacing/>
        <w:rPr>
          <w:rFonts w:ascii="宋体" w:hAnsi="Calibri"/>
          <w:lang w:eastAsia="zh-CN"/>
        </w:rPr>
      </w:pPr>
      <w:r>
        <w:rPr>
          <w:rFonts w:ascii="宋体" w:hAnsi="Calibri" w:hint="eastAsia"/>
          <w:highlight w:val="white"/>
          <w:lang w:eastAsia="zh-CN"/>
        </w:rPr>
        <w:t>（5）成本效益原则。公司运用科学化的经营管理方法降低运作成本，提高经济效益，力争以合理的控制成本达到最佳的内部控制效果。</w:t>
      </w:r>
    </w:p>
    <w:p w:rsidR="005C6370" w:rsidP="00A24D29" w14:paraId="52683D03" w14:textId="77777777">
      <w:pPr>
        <w:spacing w:line="360" w:lineRule="auto"/>
        <w:ind w:firstLine="420"/>
        <w:contextualSpacing/>
        <w:rPr>
          <w:rFonts w:ascii="宋体" w:hAnsi="Calibri"/>
          <w:lang w:eastAsia="zh-CN"/>
        </w:rPr>
      </w:pPr>
      <w:r>
        <w:rPr>
          <w:rFonts w:ascii="宋体" w:hAnsi="Calibri" w:hint="eastAsia"/>
          <w:highlight w:val="white"/>
          <w:lang w:eastAsia="zh-CN"/>
        </w:rPr>
        <w:t>3、内部控制的制度体系</w:t>
      </w:r>
    </w:p>
    <w:p w:rsidR="005C6370" w:rsidP="00A24D29" w14:paraId="03F97196" w14:textId="77777777">
      <w:pPr>
        <w:spacing w:line="360" w:lineRule="auto"/>
        <w:ind w:firstLine="420"/>
        <w:contextualSpacing/>
        <w:rPr>
          <w:rFonts w:ascii="宋体" w:hAnsi="Calibri"/>
          <w:lang w:eastAsia="zh-CN"/>
        </w:rPr>
      </w:pPr>
      <w:r>
        <w:rPr>
          <w:rFonts w:ascii="宋体" w:hAnsi="Calibri" w:hint="eastAsia"/>
          <w:highlight w:val="white"/>
          <w:lang w:eastAsia="zh-CN"/>
        </w:rPr>
        <w:t>公司制定了合理、完备、有效并易于执行的制度体系。公司制度体系由不同层面的制度构成。按照其效力大小分为四个层面：第一个层面是公司章程；第二个层面是公司内部控制大纲，它是公司制定各项规章制度的基础和依据；第三个层面是公司基本管理制度；第四个层面是部门和业务管理制度。它们的制订、修改、实施、废止应该遵循相应的程序，每一层面的内容不得与其以上层面的内容相违背。公司重视对制度的持续检验，结合业务的发展、法规及监管环境的变化以及公司风险控制的要求，不断检讨和增强公司制度的完备性、有效性。</w:t>
      </w:r>
    </w:p>
    <w:p w:rsidR="005C6370" w:rsidP="00A24D29" w14:paraId="138744A3" w14:textId="77777777">
      <w:pPr>
        <w:spacing w:line="360" w:lineRule="auto"/>
        <w:ind w:firstLine="420"/>
        <w:contextualSpacing/>
        <w:rPr>
          <w:rFonts w:ascii="宋体" w:hAnsi="Calibri"/>
          <w:lang w:eastAsia="zh-CN"/>
        </w:rPr>
      </w:pPr>
      <w:r>
        <w:rPr>
          <w:rFonts w:ascii="宋体" w:hAnsi="Calibri" w:hint="eastAsia"/>
          <w:highlight w:val="white"/>
          <w:lang w:eastAsia="zh-CN"/>
        </w:rPr>
        <w:t>4、关于授权、研究、投资、交易等方面的控制点</w:t>
      </w:r>
    </w:p>
    <w:p w:rsidR="005C6370" w:rsidP="00A24D29" w14:paraId="4760DD15" w14:textId="77777777">
      <w:pPr>
        <w:spacing w:line="360" w:lineRule="auto"/>
        <w:ind w:firstLine="420"/>
        <w:contextualSpacing/>
        <w:rPr>
          <w:rFonts w:ascii="宋体" w:hAnsi="Calibri"/>
          <w:lang w:eastAsia="zh-CN"/>
        </w:rPr>
      </w:pPr>
      <w:r>
        <w:rPr>
          <w:rFonts w:ascii="宋体" w:hAnsi="Calibri" w:hint="eastAsia"/>
          <w:highlight w:val="white"/>
          <w:lang w:eastAsia="zh-CN"/>
        </w:rPr>
        <w:t>（1）授权制度</w:t>
      </w:r>
    </w:p>
    <w:p w:rsidR="005C6370" w:rsidP="00A24D29" w14:paraId="6A0E4D7C" w14:textId="77777777">
      <w:pPr>
        <w:spacing w:line="360" w:lineRule="auto"/>
        <w:ind w:firstLine="420"/>
        <w:contextualSpacing/>
        <w:rPr>
          <w:rFonts w:ascii="宋体" w:hAnsi="Calibri"/>
          <w:lang w:eastAsia="zh-CN"/>
        </w:rPr>
      </w:pPr>
      <w:r>
        <w:rPr>
          <w:rFonts w:ascii="宋体" w:hAnsi="Calibri" w:hint="eastAsia"/>
          <w:highlight w:val="white"/>
          <w:lang w:eastAsia="zh-CN"/>
        </w:rPr>
        <w:t>公司的授权制度贯穿于整个公司活动。股东会、董事会、监事会和管理层必须充分履行各自的职权，健全公司逐级授权制度，确保公司各项规章制度的贯彻执行；各项经营业务和管理程序必须遵从管理层制定的操作规程，经办人员的每一项工作必须是在业务授权范围内进行。公司重大业务的授权必须采取书面形式，授权书应当明确授权内容。公司授权应适当，对已获授权的部门和人员应建立有效的评价和反馈机制，对已不适用的授权应及时修改或取消授权。</w:t>
      </w:r>
    </w:p>
    <w:p w:rsidR="005C6370" w:rsidP="00A24D29" w14:paraId="41BF8C9A" w14:textId="77777777">
      <w:pPr>
        <w:spacing w:line="360" w:lineRule="auto"/>
        <w:ind w:firstLine="420"/>
        <w:contextualSpacing/>
        <w:rPr>
          <w:rFonts w:ascii="宋体" w:hAnsi="Calibri"/>
          <w:lang w:eastAsia="zh-CN"/>
        </w:rPr>
      </w:pPr>
      <w:r>
        <w:rPr>
          <w:rFonts w:ascii="宋体" w:hAnsi="Calibri" w:hint="eastAsia"/>
          <w:highlight w:val="white"/>
          <w:lang w:eastAsia="zh-CN"/>
        </w:rPr>
        <w:t>（2）公司研究业务</w:t>
      </w:r>
    </w:p>
    <w:p w:rsidR="005C6370" w:rsidP="00A24D29" w14:paraId="6C81C1C4" w14:textId="77777777">
      <w:pPr>
        <w:spacing w:line="360" w:lineRule="auto"/>
        <w:ind w:firstLine="420"/>
        <w:contextualSpacing/>
        <w:rPr>
          <w:rFonts w:ascii="宋体" w:hAnsi="Calibri"/>
          <w:lang w:eastAsia="zh-CN"/>
        </w:rPr>
      </w:pPr>
      <w:r>
        <w:rPr>
          <w:rFonts w:ascii="宋体" w:hAnsi="Calibri" w:hint="eastAsia"/>
          <w:highlight w:val="white"/>
          <w:lang w:eastAsia="zh-CN"/>
        </w:rPr>
        <w:t>研究工作应保持独立、客观，不受任何部门及个人的不正当影响；建立严谨的研究工作业务流程，形成科学、有效的研究方法；建立投资产品备选库制度，研究部门根据投资产品的特征，在充分研究的基础上建立和维护备选库。建立研究与投资的业务交流制度，保持畅通的交流渠道；建立研究报告质量评价体系，不断提高研究水平。</w:t>
      </w:r>
    </w:p>
    <w:p w:rsidR="005C6370" w:rsidP="00A24D29" w14:paraId="48F36387" w14:textId="77777777">
      <w:pPr>
        <w:spacing w:line="360" w:lineRule="auto"/>
        <w:ind w:firstLine="420"/>
        <w:contextualSpacing/>
        <w:rPr>
          <w:rFonts w:ascii="宋体" w:hAnsi="Calibri"/>
          <w:lang w:eastAsia="zh-CN"/>
        </w:rPr>
      </w:pPr>
      <w:r>
        <w:rPr>
          <w:rFonts w:ascii="宋体" w:hAnsi="Calibri" w:hint="eastAsia"/>
          <w:highlight w:val="white"/>
          <w:lang w:eastAsia="zh-CN"/>
        </w:rPr>
        <w:t>（3）基金投资业务</w:t>
      </w:r>
    </w:p>
    <w:p w:rsidR="005C6370" w:rsidP="00A24D29" w14:paraId="3C3E1E77" w14:textId="77777777">
      <w:pPr>
        <w:spacing w:line="360" w:lineRule="auto"/>
        <w:ind w:firstLine="420"/>
        <w:contextualSpacing/>
        <w:rPr>
          <w:rFonts w:ascii="宋体" w:hAnsi="Calibri"/>
          <w:lang w:eastAsia="zh-CN"/>
        </w:rPr>
      </w:pPr>
      <w:r>
        <w:rPr>
          <w:rFonts w:ascii="宋体" w:hAnsi="Calibri" w:hint="eastAsia"/>
          <w:highlight w:val="white"/>
          <w:lang w:eastAsia="zh-CN"/>
        </w:rPr>
        <w:t>基金投资应确立科学的投资理念，根据风险防范原则和效率性原则制定合理的决策程序；在进行投资时应有明确的投资授权制度，并应建立与所授权限相应的约束制度和考核制度。建立严格的投资禁止和投资限制制度，保证基金投资的合法合规性。建立投资风险评估与管理制度，将重点投资限制在规定的风险权限范围内；建立科学的投资业绩评价体系，及时回顾分析和评估投资结果。</w:t>
      </w:r>
    </w:p>
    <w:p w:rsidR="005C6370" w:rsidP="00A24D29" w14:paraId="36238EB4" w14:textId="77777777">
      <w:pPr>
        <w:spacing w:line="360" w:lineRule="auto"/>
        <w:ind w:firstLine="420"/>
        <w:contextualSpacing/>
        <w:rPr>
          <w:rFonts w:ascii="宋体" w:hAnsi="Calibri"/>
          <w:lang w:eastAsia="zh-CN"/>
        </w:rPr>
      </w:pPr>
      <w:r>
        <w:rPr>
          <w:rFonts w:ascii="宋体" w:hAnsi="Calibri" w:hint="eastAsia"/>
          <w:highlight w:val="white"/>
          <w:lang w:eastAsia="zh-CN"/>
        </w:rPr>
        <w:t>（4）交易业务</w:t>
      </w:r>
    </w:p>
    <w:p w:rsidR="005C6370" w:rsidP="00A24D29" w14:paraId="0D265035" w14:textId="77777777">
      <w:pPr>
        <w:spacing w:line="360" w:lineRule="auto"/>
        <w:ind w:firstLine="420"/>
        <w:contextualSpacing/>
        <w:rPr>
          <w:rFonts w:ascii="宋体" w:hAnsi="Calibri"/>
          <w:lang w:eastAsia="zh-CN"/>
        </w:rPr>
      </w:pPr>
      <w:r>
        <w:rPr>
          <w:rFonts w:ascii="宋体" w:hAnsi="Calibri" w:hint="eastAsia"/>
          <w:highlight w:val="white"/>
          <w:lang w:eastAsia="zh-CN"/>
        </w:rPr>
        <w:t>建立集中交易部门和集中交易制度，投资指令通过集中交易部门完成；建立交易监测系统、预警系统和交易反馈系统，完善相关的安全设施；集中交易部门应对交易指令进行审核，建立公平的交易分配制度，确保公平对待不同基金；完善交易记录，并及时进行反馈、核对和存档保管；建立科学的投资交易绩效评价体系。</w:t>
      </w:r>
    </w:p>
    <w:p w:rsidR="005C6370" w:rsidP="00A24D29" w14:paraId="11DFB94E" w14:textId="77777777">
      <w:pPr>
        <w:spacing w:line="360" w:lineRule="auto"/>
        <w:ind w:firstLine="420"/>
        <w:contextualSpacing/>
        <w:rPr>
          <w:rFonts w:ascii="宋体" w:hAnsi="Calibri"/>
          <w:lang w:eastAsia="zh-CN"/>
        </w:rPr>
      </w:pPr>
      <w:r>
        <w:rPr>
          <w:rFonts w:ascii="宋体" w:hAnsi="Calibri" w:hint="eastAsia"/>
          <w:highlight w:val="white"/>
          <w:lang w:eastAsia="zh-CN"/>
        </w:rPr>
        <w:t>（5）基金会计核算</w:t>
      </w:r>
    </w:p>
    <w:p w:rsidR="005C6370" w:rsidP="00A24D29" w14:paraId="4ED493B7" w14:textId="77777777">
      <w:pPr>
        <w:spacing w:line="360" w:lineRule="auto"/>
        <w:ind w:firstLine="420"/>
        <w:contextualSpacing/>
        <w:rPr>
          <w:rFonts w:ascii="宋体" w:hAnsi="Calibri"/>
          <w:lang w:eastAsia="zh-CN"/>
        </w:rPr>
      </w:pPr>
      <w:r>
        <w:rPr>
          <w:rFonts w:ascii="宋体" w:hAnsi="Calibri" w:hint="eastAsia"/>
          <w:highlight w:val="white"/>
          <w:lang w:eastAsia="zh-CN"/>
        </w:rPr>
        <w:t>公司根据法律法规及业务的要求建立会计制度，并根据风险控制点建立健全规范的系统和流程，以基金为会计核算主体，独立建账、独立核算。通过合理的估值方法和估值程序等会计措施，真实、完整、及时地记载每一笔业务并正确进行会计核算和业务核算。同时建立会计档案保管制度，确保档案真实完整。</w:t>
      </w:r>
    </w:p>
    <w:p w:rsidR="005C6370" w:rsidP="00A24D29" w14:paraId="4C33BE07" w14:textId="77777777">
      <w:pPr>
        <w:spacing w:line="360" w:lineRule="auto"/>
        <w:ind w:firstLine="420"/>
        <w:contextualSpacing/>
        <w:rPr>
          <w:rFonts w:ascii="宋体" w:hAnsi="Calibri"/>
          <w:lang w:eastAsia="zh-CN"/>
        </w:rPr>
      </w:pPr>
      <w:r>
        <w:rPr>
          <w:rFonts w:ascii="宋体" w:hAnsi="Calibri" w:hint="eastAsia"/>
          <w:highlight w:val="white"/>
          <w:lang w:eastAsia="zh-CN"/>
        </w:rPr>
        <w:t>（6）信息披露</w:t>
      </w:r>
    </w:p>
    <w:p w:rsidR="005C6370" w:rsidP="00A24D29" w14:paraId="780DF79E" w14:textId="77777777">
      <w:pPr>
        <w:spacing w:line="360" w:lineRule="auto"/>
        <w:ind w:firstLine="420"/>
        <w:contextualSpacing/>
        <w:rPr>
          <w:rFonts w:ascii="宋体" w:hAnsi="Calibri"/>
          <w:lang w:eastAsia="zh-CN"/>
        </w:rPr>
      </w:pPr>
      <w:r>
        <w:rPr>
          <w:rFonts w:ascii="宋体" w:hAnsi="Calibri" w:hint="eastAsia"/>
          <w:highlight w:val="white"/>
          <w:lang w:eastAsia="zh-CN"/>
        </w:rPr>
        <w:t>公司建立了完备的信息披露制度，指定了信息披露负责人，并建立了相应的制度流程规范相关信息的收集、组织、审核和发布，努力确保公开披露的信息真实、准确、完整、及时。</w:t>
      </w:r>
    </w:p>
    <w:p w:rsidR="005C6370" w:rsidP="00A24D29" w14:paraId="4AE169E0" w14:textId="77777777">
      <w:pPr>
        <w:spacing w:line="360" w:lineRule="auto"/>
        <w:ind w:firstLine="420"/>
        <w:contextualSpacing/>
        <w:rPr>
          <w:rFonts w:ascii="宋体" w:hAnsi="Calibri"/>
          <w:lang w:eastAsia="zh-CN"/>
        </w:rPr>
      </w:pPr>
      <w:r>
        <w:rPr>
          <w:rFonts w:ascii="宋体" w:hAnsi="Calibri" w:hint="eastAsia"/>
          <w:highlight w:val="white"/>
          <w:lang w:eastAsia="zh-CN"/>
        </w:rPr>
        <w:t>（7）监察与合规管理</w:t>
      </w:r>
    </w:p>
    <w:p w:rsidR="005C6370" w:rsidP="00A24D29" w14:paraId="44A78B6B" w14:textId="77777777">
      <w:pPr>
        <w:spacing w:line="360" w:lineRule="auto"/>
        <w:ind w:firstLine="420"/>
        <w:contextualSpacing/>
        <w:rPr>
          <w:rFonts w:ascii="宋体" w:hAnsi="Calibri"/>
          <w:lang w:eastAsia="zh-CN"/>
        </w:rPr>
      </w:pPr>
      <w:r>
        <w:rPr>
          <w:rFonts w:ascii="宋体" w:hAnsi="Calibri" w:hint="eastAsia"/>
          <w:highlight w:val="white"/>
          <w:lang w:eastAsia="zh-CN"/>
        </w:rPr>
        <w:t>公司设立督察长，由董事会聘任，向董事会负责。根据公司监察与合规管理工作的需要和董事会授权，督察长可以列席公司相关会议，调阅公司相关档案资料，就内部控制制度的执行情况独立地履行检查、评价、报告、建议职能。督察长定期和不定期向董事会报告公司内部控制执行情况，董事会对督察长的报告进行审议。</w:t>
      </w:r>
    </w:p>
    <w:p w:rsidR="005C6370" w:rsidP="00A24D29" w14:paraId="6A9C67ED" w14:textId="77777777">
      <w:pPr>
        <w:spacing w:line="360" w:lineRule="auto"/>
        <w:ind w:firstLine="420"/>
        <w:contextualSpacing/>
        <w:rPr>
          <w:rFonts w:ascii="宋体" w:hAnsi="Calibri"/>
          <w:lang w:eastAsia="zh-CN"/>
        </w:rPr>
      </w:pPr>
      <w:r>
        <w:rPr>
          <w:rFonts w:ascii="宋体" w:hAnsi="Calibri" w:hint="eastAsia"/>
          <w:highlight w:val="white"/>
          <w:lang w:eastAsia="zh-CN"/>
        </w:rPr>
        <w:t>公司设立监察合规管理部门，并保障其独立性。监察合规管理部门按照公司规定和督察长的安排履行监察与合规管理职责。</w:t>
      </w:r>
    </w:p>
    <w:p w:rsidR="005C6370" w:rsidP="00A24D29" w14:paraId="0D4BEA0F" w14:textId="77777777">
      <w:pPr>
        <w:spacing w:line="360" w:lineRule="auto"/>
        <w:ind w:firstLine="420"/>
        <w:contextualSpacing/>
        <w:rPr>
          <w:rFonts w:ascii="宋体" w:hAnsi="Calibri"/>
          <w:lang w:eastAsia="zh-CN"/>
        </w:rPr>
      </w:pPr>
      <w:r>
        <w:rPr>
          <w:rFonts w:ascii="宋体" w:hAnsi="Calibri" w:hint="eastAsia"/>
          <w:highlight w:val="white"/>
          <w:lang w:eastAsia="zh-CN"/>
        </w:rPr>
        <w:t>监察合规管理部门通过定期或不定期检查内部控制制度的执行情况，督促公司和旗下基金的管理运作规范进行。</w:t>
      </w:r>
    </w:p>
    <w:p w:rsidR="005C6370" w:rsidP="00A24D29" w14:paraId="345EF7B3" w14:textId="77777777">
      <w:pPr>
        <w:spacing w:line="360" w:lineRule="auto"/>
        <w:ind w:firstLine="420"/>
        <w:contextualSpacing/>
        <w:rPr>
          <w:rFonts w:ascii="宋体" w:hAnsi="Calibri"/>
          <w:lang w:eastAsia="zh-CN"/>
        </w:rPr>
      </w:pPr>
      <w:r>
        <w:rPr>
          <w:rFonts w:ascii="宋体" w:hAnsi="Calibri" w:hint="eastAsia"/>
          <w:highlight w:val="white"/>
          <w:lang w:eastAsia="zh-CN"/>
        </w:rPr>
        <w:t>公司董事会和管理层充分重视和支持监察与合规管理工作，对违反法律、法规和公司内部控制制度的，追究有关部门和人员的责任。</w:t>
      </w:r>
    </w:p>
    <w:p w:rsidR="005C6370" w:rsidP="00A24D29" w14:paraId="3A5154FC" w14:textId="77777777">
      <w:pPr>
        <w:spacing w:line="360" w:lineRule="auto"/>
        <w:ind w:firstLine="420"/>
        <w:contextualSpacing/>
        <w:rPr>
          <w:rFonts w:ascii="宋体" w:hAnsi="Calibri"/>
          <w:lang w:eastAsia="zh-CN"/>
        </w:rPr>
      </w:pPr>
      <w:r>
        <w:rPr>
          <w:rFonts w:ascii="宋体" w:hAnsi="Calibri" w:hint="eastAsia"/>
          <w:highlight w:val="white"/>
          <w:lang w:eastAsia="zh-CN"/>
        </w:rPr>
        <w:t>5、基金管理人关于内部控制制度声明书</w:t>
      </w:r>
    </w:p>
    <w:p w:rsidR="005C6370" w:rsidP="00A24D29" w14:paraId="5D3621E9" w14:textId="77777777">
      <w:pPr>
        <w:spacing w:line="360" w:lineRule="auto"/>
        <w:ind w:firstLine="420"/>
        <w:contextualSpacing/>
        <w:rPr>
          <w:rFonts w:ascii="宋体" w:hAnsi="Calibri"/>
          <w:lang w:eastAsia="zh-CN"/>
        </w:rPr>
      </w:pPr>
      <w:r>
        <w:rPr>
          <w:rFonts w:ascii="宋体" w:hAnsi="Calibri" w:hint="eastAsia"/>
          <w:highlight w:val="white"/>
          <w:lang w:eastAsia="zh-CN"/>
        </w:rPr>
        <w:t>（1）本公司承诺以上关于内部控制制度的披露真实、准确；</w:t>
      </w:r>
    </w:p>
    <w:p w:rsidR="005C6370" w:rsidP="00A24D29" w14:paraId="00BFC3BC" w14:textId="77777777">
      <w:pPr>
        <w:spacing w:line="360" w:lineRule="auto"/>
        <w:ind w:firstLine="420"/>
        <w:contextualSpacing/>
        <w:rPr>
          <w:rFonts w:ascii="宋体" w:hAnsi="Calibri"/>
          <w:lang w:eastAsia="zh-CN"/>
        </w:rPr>
      </w:pPr>
      <w:r>
        <w:rPr>
          <w:rFonts w:ascii="宋体" w:hAnsi="Calibri" w:hint="eastAsia"/>
          <w:highlight w:val="white"/>
          <w:lang w:eastAsia="zh-CN"/>
        </w:rPr>
        <w:t>（2）本公司承诺根据市场变化和公司业务发展不断完善内部控制制度。</w:t>
      </w:r>
      <w:bookmarkStart w:id="14" w:name="_Toc272570575"/>
      <w:bookmarkStart w:id="15" w:name="_Toc272570708"/>
      <w:bookmarkStart w:id="16" w:name="_Toc272570841"/>
      <w:bookmarkStart w:id="17" w:name="_Toc272569093"/>
      <w:bookmarkStart w:id="18" w:name="_Toc272569564"/>
      <w:bookmarkStart w:id="19" w:name="_Toc272569700"/>
      <w:bookmarkStart w:id="20" w:name="_Toc272569569"/>
      <w:bookmarkStart w:id="21" w:name="_Toc272569705"/>
      <w:bookmarkStart w:id="22" w:name="_Toc309286157"/>
      <w:bookmarkStart w:id="23" w:name="_Toc272569091"/>
      <w:bookmarkStart w:id="24" w:name="_Toc272569243"/>
      <w:bookmarkStart w:id="25" w:name="_Toc272569427"/>
      <w:bookmarkStart w:id="26" w:name="_Toc272570310"/>
      <w:bookmarkStart w:id="27" w:name="_Toc272570443"/>
      <w:bookmarkStart w:id="28" w:name="_Toc272569851"/>
      <w:bookmarkStart w:id="29" w:name="_Toc272570174"/>
      <w:bookmarkStart w:id="30" w:name="_Toc272570308"/>
      <w:bookmarkStart w:id="31" w:name="_Toc272570441"/>
      <w:bookmarkStart w:id="32" w:name="_Toc272570578"/>
      <w:bookmarkStart w:id="33" w:name="_Toc272570711"/>
      <w:bookmarkStart w:id="34" w:name="_Toc272570844"/>
      <w:bookmarkStart w:id="35" w:name="_Toc272569095"/>
      <w:bookmarkStart w:id="36" w:name="_Toc272569247"/>
      <w:bookmarkStart w:id="37" w:name="_Toc272569431"/>
      <w:bookmarkStart w:id="38" w:name="_Toc272569245"/>
      <w:bookmarkStart w:id="39" w:name="_Toc272569429"/>
      <w:bookmarkStart w:id="40" w:name="_Toc272569566"/>
      <w:bookmarkStart w:id="41" w:name="_Toc272569702"/>
      <w:bookmarkStart w:id="42" w:name="_Toc272569853"/>
      <w:bookmarkStart w:id="43" w:name="_Toc272570176"/>
      <w:bookmarkStart w:id="44" w:name="_Toc272569856"/>
      <w:bookmarkStart w:id="45" w:name="_Toc272570179"/>
      <w:bookmarkStart w:id="46" w:name="_Toc272570313"/>
      <w:bookmarkStart w:id="47" w:name="_Toc272570577"/>
      <w:bookmarkStart w:id="48" w:name="_Toc272570710"/>
      <w:bookmarkStart w:id="49" w:name="_Toc272570843"/>
      <w:bookmarkStart w:id="50" w:name="_Toc272569094"/>
      <w:bookmarkStart w:id="51" w:name="_Toc272569246"/>
      <w:bookmarkStart w:id="52" w:name="_Toc272569430"/>
      <w:bookmarkStart w:id="53" w:name="_Toc272569567"/>
      <w:bookmarkStart w:id="54" w:name="_Toc272569703"/>
      <w:bookmarkStart w:id="55" w:name="_Toc272569854"/>
      <w:bookmarkStart w:id="56" w:name="_Toc272570177"/>
      <w:bookmarkStart w:id="57" w:name="_Toc272570311"/>
      <w:bookmarkStart w:id="58" w:name="_Toc272570444"/>
      <w:bookmarkStart w:id="59" w:name="_Toc272570848"/>
      <w:bookmarkStart w:id="60" w:name="_Toc272569099"/>
      <w:bookmarkStart w:id="61" w:name="_Toc272569251"/>
      <w:bookmarkStart w:id="62" w:name="_Toc272569435"/>
      <w:bookmarkStart w:id="63" w:name="_Toc272569572"/>
      <w:bookmarkStart w:id="64" w:name="_Toc272569708"/>
      <w:bookmarkStart w:id="65" w:name="_Toc272569859"/>
      <w:bookmarkStart w:id="66" w:name="_Toc272570182"/>
      <w:bookmarkStart w:id="67" w:name="_Toc272570316"/>
      <w:bookmarkStart w:id="68" w:name="_Toc272570449"/>
      <w:bookmarkStart w:id="69" w:name="_Toc272570583"/>
      <w:bookmarkStart w:id="70" w:name="_Toc272570716"/>
      <w:bookmarkStart w:id="71" w:name="_Toc272570849"/>
      <w:bookmarkStart w:id="72" w:name="_Toc272569568"/>
      <w:bookmarkStart w:id="73" w:name="_Toc272569704"/>
      <w:bookmarkStart w:id="74" w:name="_Toc272569855"/>
      <w:bookmarkStart w:id="75" w:name="_Toc272570178"/>
      <w:bookmarkStart w:id="76" w:name="_Toc272570312"/>
      <w:bookmarkStart w:id="77" w:name="_Toc272570445"/>
      <w:bookmarkStart w:id="78" w:name="_Toc272570579"/>
      <w:bookmarkStart w:id="79" w:name="_Toc272570712"/>
      <w:bookmarkStart w:id="80" w:name="_Toc272570845"/>
      <w:bookmarkStart w:id="81" w:name="_Toc272569096"/>
      <w:bookmarkStart w:id="82" w:name="_Toc272569248"/>
      <w:bookmarkStart w:id="83" w:name="_Toc272569432"/>
      <w:bookmarkStart w:id="84" w:name="_Toc272570319"/>
      <w:bookmarkStart w:id="85" w:name="_Toc272570452"/>
      <w:bookmarkStart w:id="86" w:name="_Toc272570586"/>
      <w:bookmarkStart w:id="87" w:name="_Toc272570719"/>
      <w:bookmarkStart w:id="88" w:name="_Toc272570852"/>
      <w:bookmarkStart w:id="89" w:name="_Toc272569103"/>
      <w:bookmarkStart w:id="90" w:name="_Toc272569255"/>
      <w:bookmarkStart w:id="91" w:name="_Toc272569439"/>
      <w:bookmarkStart w:id="92" w:name="_Toc272570446"/>
      <w:bookmarkStart w:id="93" w:name="_Toc272570580"/>
      <w:bookmarkStart w:id="94" w:name="_Toc272570713"/>
      <w:bookmarkStart w:id="95" w:name="_Toc272570846"/>
      <w:bookmarkStart w:id="96" w:name="_Toc272569097"/>
      <w:bookmarkStart w:id="97" w:name="_Toc272569249"/>
      <w:bookmarkStart w:id="98" w:name="_Toc272569433"/>
      <w:bookmarkStart w:id="99" w:name="_Toc272569570"/>
      <w:bookmarkStart w:id="100" w:name="_Toc272569706"/>
      <w:bookmarkStart w:id="101" w:name="_Toc272569857"/>
      <w:bookmarkStart w:id="102" w:name="_Toc272570180"/>
      <w:bookmarkStart w:id="103" w:name="_Toc272570314"/>
      <w:bookmarkStart w:id="104" w:name="_Toc272570447"/>
      <w:bookmarkStart w:id="105" w:name="_Toc272570581"/>
      <w:bookmarkStart w:id="106" w:name="_Toc272570714"/>
      <w:bookmarkStart w:id="107" w:name="_Toc272570847"/>
      <w:bookmarkStart w:id="108" w:name="_Toc272569098"/>
      <w:bookmarkStart w:id="109" w:name="_Toc272569250"/>
      <w:bookmarkStart w:id="110" w:name="_Toc272569434"/>
      <w:bookmarkStart w:id="111" w:name="_Toc272569571"/>
      <w:bookmarkStart w:id="112" w:name="_Toc272569707"/>
      <w:bookmarkStart w:id="113" w:name="_Toc272569858"/>
      <w:bookmarkStart w:id="114" w:name="_Toc272570181"/>
      <w:bookmarkStart w:id="115" w:name="_Toc272570315"/>
      <w:bookmarkStart w:id="116" w:name="_Toc272570448"/>
      <w:bookmarkStart w:id="117" w:name="_Toc272570582"/>
      <w:bookmarkStart w:id="118" w:name="_Toc272570715"/>
      <w:bookmarkStart w:id="119" w:name="_Toc38440873"/>
      <w:bookmarkStart w:id="120" w:name="_Toc38441205"/>
      <w:bookmarkStart w:id="121" w:name="_Toc38441537"/>
      <w:bookmarkStart w:id="122" w:name="_Toc38441865"/>
      <w:bookmarkStart w:id="123" w:name="_Toc38442197"/>
      <w:bookmarkStart w:id="124" w:name="_Toc38442529"/>
      <w:bookmarkStart w:id="125" w:name="_Toc38442860"/>
      <w:bookmarkStart w:id="126" w:name="_Toc38443191"/>
      <w:bookmarkStart w:id="127" w:name="_Toc38443522"/>
      <w:bookmarkStart w:id="128" w:name="_Toc38443853"/>
      <w:bookmarkStart w:id="129" w:name="_Toc38438320"/>
      <w:bookmarkStart w:id="130" w:name="_Toc38438657"/>
      <w:bookmarkStart w:id="131" w:name="_Toc38438994"/>
      <w:bookmarkStart w:id="132" w:name="_Toc38439331"/>
      <w:bookmarkStart w:id="133" w:name="_Toc38439668"/>
      <w:bookmarkStart w:id="134" w:name="_Toc38440005"/>
      <w:bookmarkStart w:id="135" w:name="_Toc38440342"/>
      <w:bookmarkStart w:id="136" w:name="_Toc38440675"/>
      <w:bookmarkStart w:id="137" w:name="_Toc38440874"/>
      <w:bookmarkStart w:id="138" w:name="_Toc38441206"/>
      <w:bookmarkStart w:id="139" w:name="_Toc38441538"/>
      <w:bookmarkStart w:id="140" w:name="_Toc38441866"/>
      <w:bookmarkStart w:id="141" w:name="_Toc38442198"/>
      <w:bookmarkStart w:id="142" w:name="_Toc38442530"/>
      <w:bookmarkStart w:id="143" w:name="_Toc38442861"/>
      <w:bookmarkStart w:id="144" w:name="_Toc272569100"/>
      <w:bookmarkStart w:id="145" w:name="_Toc272569252"/>
      <w:bookmarkStart w:id="146" w:name="_Toc272569436"/>
      <w:bookmarkStart w:id="147" w:name="_Toc272569573"/>
      <w:bookmarkStart w:id="148" w:name="_Toc272569709"/>
      <w:bookmarkStart w:id="149" w:name="_Toc272569860"/>
      <w:bookmarkStart w:id="150" w:name="_Toc272570183"/>
      <w:bookmarkStart w:id="151" w:name="_Toc272570317"/>
      <w:bookmarkStart w:id="152" w:name="_Toc272570450"/>
      <w:bookmarkStart w:id="153" w:name="_Toc272570584"/>
      <w:bookmarkStart w:id="154" w:name="_Toc272570717"/>
      <w:bookmarkStart w:id="155" w:name="_Toc272570850"/>
      <w:bookmarkStart w:id="156" w:name="_Toc272569102"/>
      <w:bookmarkStart w:id="157" w:name="_Toc272569254"/>
      <w:bookmarkStart w:id="158" w:name="_Toc272569438"/>
      <w:bookmarkStart w:id="159" w:name="_Toc272569575"/>
      <w:bookmarkStart w:id="160" w:name="_Toc272569711"/>
      <w:bookmarkStart w:id="161" w:name="_Toc272569862"/>
      <w:bookmarkStart w:id="162" w:name="_Toc272570185"/>
      <w:bookmarkStart w:id="163" w:name="_Toc38442200"/>
      <w:bookmarkStart w:id="164" w:name="_Toc38442532"/>
      <w:bookmarkStart w:id="165" w:name="_Toc38442863"/>
      <w:bookmarkStart w:id="166" w:name="_Toc38443194"/>
      <w:bookmarkStart w:id="167" w:name="_Toc38443525"/>
      <w:bookmarkStart w:id="168" w:name="_Toc38443856"/>
      <w:bookmarkStart w:id="169" w:name="_Toc38438323"/>
      <w:bookmarkStart w:id="170" w:name="_Toc38438660"/>
      <w:bookmarkStart w:id="171" w:name="_Toc38438997"/>
      <w:bookmarkStart w:id="172" w:name="_Toc38439334"/>
      <w:bookmarkStart w:id="173" w:name="_Toc38439671"/>
      <w:bookmarkStart w:id="174" w:name="_Toc38440008"/>
      <w:bookmarkStart w:id="175" w:name="_Toc38440345"/>
      <w:bookmarkStart w:id="176" w:name="_Toc38440678"/>
      <w:bookmarkStart w:id="177" w:name="_Toc38440877"/>
      <w:bookmarkStart w:id="178" w:name="_Toc38441209"/>
      <w:bookmarkStart w:id="179" w:name="_Toc272569576"/>
      <w:bookmarkStart w:id="180" w:name="_Toc272569712"/>
      <w:bookmarkStart w:id="181" w:name="_Toc272569863"/>
      <w:bookmarkStart w:id="182" w:name="_Toc272570186"/>
      <w:bookmarkStart w:id="183" w:name="_Toc272570320"/>
      <w:bookmarkStart w:id="184" w:name="_Toc272570453"/>
      <w:bookmarkStart w:id="185" w:name="_Toc272570587"/>
      <w:bookmarkStart w:id="186" w:name="_Toc272570720"/>
      <w:bookmarkStart w:id="187" w:name="_Toc272570853"/>
      <w:bookmarkStart w:id="188" w:name="_Toc272569104"/>
      <w:bookmarkStart w:id="189" w:name="_Toc272569256"/>
      <w:bookmarkStart w:id="190" w:name="_Toc272569440"/>
      <w:bookmarkStart w:id="191" w:name="_Toc272569577"/>
      <w:bookmarkStart w:id="192" w:name="_Toc272569713"/>
      <w:bookmarkStart w:id="193" w:name="_Toc272569864"/>
      <w:bookmarkStart w:id="194" w:name="_Toc272570187"/>
      <w:bookmarkStart w:id="195" w:name="_Toc272570321"/>
      <w:bookmarkStart w:id="196" w:name="_Toc272570454"/>
      <w:bookmarkStart w:id="197" w:name="_Toc272570588"/>
      <w:bookmarkStart w:id="198" w:name="_Toc272570721"/>
      <w:bookmarkStart w:id="199" w:name="_Toc272570854"/>
      <w:bookmarkStart w:id="200" w:name="_Toc272569105"/>
      <w:bookmarkStart w:id="201" w:name="_Toc272569257"/>
      <w:bookmarkStart w:id="202" w:name="_Toc272569441"/>
      <w:bookmarkStart w:id="203" w:name="_Toc272569578"/>
      <w:bookmarkStart w:id="204" w:name="_Toc272569714"/>
      <w:bookmarkStart w:id="205" w:name="_Toc272569865"/>
      <w:bookmarkStart w:id="206" w:name="_Toc272570188"/>
      <w:bookmarkStart w:id="207" w:name="_Toc272570322"/>
      <w:bookmarkStart w:id="208" w:name="_Toc272570455"/>
      <w:bookmarkStart w:id="209" w:name="_Toc272570589"/>
      <w:bookmarkStart w:id="210" w:name="_Toc272570722"/>
      <w:bookmarkStart w:id="211" w:name="_Toc272570855"/>
      <w:bookmarkStart w:id="212" w:name="_Toc272569106"/>
      <w:bookmarkStart w:id="213" w:name="_Toc272569258"/>
      <w:bookmarkStart w:id="214" w:name="_Toc272569442"/>
      <w:bookmarkStart w:id="215" w:name="_Toc272569579"/>
      <w:bookmarkStart w:id="216" w:name="_Toc272569715"/>
      <w:bookmarkStart w:id="217" w:name="_Toc272569866"/>
      <w:bookmarkStart w:id="218" w:name="_Toc272570189"/>
      <w:bookmarkStart w:id="219" w:name="_Toc272570323"/>
      <w:bookmarkStart w:id="220" w:name="_Toc272570456"/>
      <w:bookmarkStart w:id="221" w:name="_Toc272570590"/>
      <w:bookmarkStart w:id="222" w:name="_Toc272570723"/>
      <w:bookmarkStart w:id="223" w:name="_Toc272570856"/>
      <w:bookmarkStart w:id="224" w:name="_Toc272569107"/>
      <w:bookmarkStart w:id="225" w:name="_Toc272569259"/>
      <w:bookmarkStart w:id="226" w:name="_Toc272569443"/>
      <w:bookmarkStart w:id="227" w:name="_Toc38442196"/>
      <w:bookmarkStart w:id="228" w:name="_Toc38442528"/>
      <w:bookmarkStart w:id="229" w:name="_Toc38442859"/>
      <w:bookmarkStart w:id="230" w:name="_Toc38443190"/>
      <w:bookmarkStart w:id="231" w:name="_Toc38443521"/>
      <w:bookmarkStart w:id="232" w:name="_Toc38443852"/>
      <w:bookmarkStart w:id="233" w:name="_Toc38438319"/>
      <w:bookmarkStart w:id="234" w:name="_Toc38438656"/>
      <w:bookmarkStart w:id="235" w:name="_Toc38438993"/>
      <w:bookmarkStart w:id="236" w:name="_Toc38439330"/>
      <w:bookmarkStart w:id="237" w:name="_Toc38439667"/>
      <w:bookmarkStart w:id="238" w:name="_Toc38440004"/>
      <w:bookmarkStart w:id="239" w:name="_Toc38440341"/>
      <w:bookmarkStart w:id="240" w:name="_Toc38440674"/>
      <w:bookmarkStart w:id="241" w:name="_Toc38441217"/>
      <w:bookmarkStart w:id="242" w:name="_Toc38441549"/>
      <w:bookmarkStart w:id="243" w:name="_Toc38441877"/>
      <w:bookmarkStart w:id="244" w:name="_Toc38442209"/>
      <w:bookmarkStart w:id="245" w:name="_Toc38442541"/>
      <w:bookmarkStart w:id="246" w:name="_Toc38442872"/>
      <w:bookmarkStart w:id="247" w:name="_Toc38443203"/>
      <w:bookmarkStart w:id="248" w:name="_Toc38443534"/>
      <w:bookmarkStart w:id="249" w:name="_Toc38443865"/>
      <w:bookmarkStart w:id="250" w:name="_Toc38438332"/>
      <w:bookmarkStart w:id="251" w:name="_Toc38438669"/>
      <w:bookmarkStart w:id="252" w:name="_Toc38439006"/>
      <w:bookmarkStart w:id="253" w:name="_Toc38439343"/>
      <w:bookmarkStart w:id="254" w:name="_Toc38439680"/>
      <w:bookmarkStart w:id="255" w:name="_Toc38440017"/>
      <w:bookmarkStart w:id="256" w:name="_Toc38440354"/>
      <w:bookmarkStart w:id="257" w:name="_Toc38440886"/>
      <w:bookmarkStart w:id="258" w:name="_Toc38441218"/>
      <w:bookmarkStart w:id="259" w:name="_Toc38441550"/>
      <w:bookmarkStart w:id="260" w:name="_Toc38441878"/>
      <w:bookmarkStart w:id="261" w:name="_Toc38442210"/>
      <w:bookmarkStart w:id="262" w:name="_Toc38442542"/>
      <w:bookmarkStart w:id="263" w:name="_Toc38442873"/>
      <w:bookmarkStart w:id="264" w:name="_Toc38443204"/>
      <w:bookmarkStart w:id="265" w:name="_Toc38443535"/>
      <w:bookmarkStart w:id="266" w:name="_Toc38443866"/>
      <w:bookmarkStart w:id="267" w:name="_Toc38438333"/>
      <w:bookmarkStart w:id="268" w:name="_Toc38438670"/>
      <w:bookmarkStart w:id="269" w:name="_Toc38439007"/>
      <w:bookmarkStart w:id="270" w:name="_Toc38439344"/>
      <w:bookmarkStart w:id="271" w:name="_Toc38439681"/>
      <w:bookmarkStart w:id="272" w:name="_Toc38440018"/>
      <w:bookmarkStart w:id="273" w:name="_Toc38440355"/>
      <w:bookmarkStart w:id="274" w:name="_Toc38440887"/>
      <w:bookmarkStart w:id="275" w:name="_Toc38441219"/>
      <w:bookmarkStart w:id="276" w:name="_Toc38441551"/>
      <w:bookmarkStart w:id="277" w:name="_Toc38441879"/>
      <w:bookmarkStart w:id="278" w:name="_Toc38442211"/>
      <w:bookmarkStart w:id="279" w:name="_Toc38442543"/>
      <w:bookmarkStart w:id="280" w:name="_Toc38442874"/>
      <w:bookmarkStart w:id="281" w:name="_Toc38443205"/>
      <w:bookmarkStart w:id="282" w:name="_Toc38443536"/>
      <w:bookmarkStart w:id="283" w:name="_Toc38443867"/>
      <w:bookmarkStart w:id="284" w:name="_Toc38438334"/>
      <w:bookmarkStart w:id="285" w:name="_Toc38438671"/>
      <w:bookmarkStart w:id="286" w:name="_Toc38439008"/>
      <w:bookmarkStart w:id="287" w:name="_Toc38439345"/>
      <w:bookmarkStart w:id="288" w:name="_Toc38439682"/>
      <w:bookmarkStart w:id="289" w:name="_Toc38440019"/>
      <w:bookmarkStart w:id="290" w:name="_Toc38440356"/>
      <w:bookmarkStart w:id="291" w:name="_Toc38440888"/>
      <w:bookmarkStart w:id="292" w:name="_Toc38441220"/>
      <w:bookmarkStart w:id="293" w:name="_Toc38443192"/>
      <w:bookmarkStart w:id="294" w:name="_Toc38443523"/>
      <w:bookmarkStart w:id="295" w:name="_Toc38443854"/>
      <w:bookmarkStart w:id="296" w:name="_Toc38438321"/>
      <w:bookmarkStart w:id="297" w:name="_Toc38438658"/>
      <w:bookmarkStart w:id="298" w:name="_Toc38438995"/>
      <w:bookmarkStart w:id="299" w:name="_Toc38439332"/>
      <w:bookmarkStart w:id="300" w:name="_Toc38439669"/>
      <w:bookmarkStart w:id="301" w:name="_Toc38440006"/>
      <w:bookmarkStart w:id="302" w:name="_Toc38440343"/>
      <w:bookmarkStart w:id="303" w:name="_Toc38440676"/>
      <w:bookmarkStart w:id="304" w:name="_Toc38440875"/>
      <w:bookmarkStart w:id="305" w:name="_Toc38441207"/>
      <w:bookmarkStart w:id="306" w:name="_Toc38441539"/>
      <w:bookmarkStart w:id="307" w:name="_Toc38441867"/>
      <w:bookmarkStart w:id="308" w:name="_Toc38442199"/>
      <w:bookmarkStart w:id="309" w:name="_Toc38442531"/>
      <w:bookmarkStart w:id="310" w:name="_Toc38442862"/>
      <w:bookmarkStart w:id="311" w:name="_Toc38443193"/>
      <w:bookmarkStart w:id="312" w:name="_Toc38443524"/>
      <w:bookmarkStart w:id="313" w:name="_Toc38443855"/>
      <w:bookmarkStart w:id="314" w:name="_Toc38438322"/>
      <w:bookmarkStart w:id="315" w:name="_Toc38438659"/>
      <w:bookmarkStart w:id="316" w:name="_Toc38438996"/>
      <w:bookmarkStart w:id="317" w:name="_Toc38439333"/>
      <w:bookmarkStart w:id="318" w:name="_Toc38439670"/>
      <w:bookmarkStart w:id="319" w:name="_Toc38440007"/>
      <w:bookmarkStart w:id="320" w:name="_Toc38440344"/>
      <w:bookmarkStart w:id="321" w:name="_Toc38440677"/>
      <w:bookmarkStart w:id="322" w:name="_Toc38440876"/>
      <w:bookmarkStart w:id="323" w:name="_Toc38441208"/>
      <w:bookmarkStart w:id="324" w:name="_Toc38441540"/>
      <w:bookmarkStart w:id="325" w:name="_Toc38441868"/>
      <w:bookmarkStart w:id="326" w:name="_Toc38441883"/>
      <w:bookmarkStart w:id="327" w:name="_Toc38442215"/>
      <w:bookmarkStart w:id="328" w:name="_Toc38442547"/>
      <w:bookmarkStart w:id="329" w:name="_Toc38442878"/>
      <w:bookmarkStart w:id="330" w:name="_Toc38443209"/>
      <w:bookmarkStart w:id="331" w:name="_Toc38443540"/>
      <w:bookmarkStart w:id="332" w:name="_Toc38443871"/>
      <w:bookmarkStart w:id="333" w:name="_Toc38438338"/>
      <w:bookmarkStart w:id="334" w:name="_Toc38438675"/>
      <w:bookmarkStart w:id="335" w:name="_Toc38439012"/>
      <w:bookmarkStart w:id="336" w:name="_Toc38439349"/>
      <w:bookmarkStart w:id="337" w:name="_Toc38439686"/>
      <w:bookmarkStart w:id="338" w:name="_Toc38440023"/>
      <w:bookmarkStart w:id="339" w:name="_Toc38440360"/>
      <w:bookmarkStart w:id="340" w:name="_Toc38440892"/>
      <w:bookmarkStart w:id="341" w:name="_Toc38441224"/>
      <w:bookmarkStart w:id="342" w:name="_Toc38441556"/>
      <w:bookmarkStart w:id="343" w:name="_Toc38441884"/>
      <w:bookmarkStart w:id="344" w:name="_Toc38442216"/>
      <w:bookmarkStart w:id="345" w:name="_Toc38442548"/>
      <w:bookmarkStart w:id="346" w:name="_Toc38442879"/>
      <w:bookmarkStart w:id="347" w:name="_Toc38443210"/>
      <w:bookmarkStart w:id="348" w:name="_Toc38443541"/>
      <w:bookmarkStart w:id="349" w:name="_Toc38443872"/>
      <w:bookmarkStart w:id="350" w:name="_Toc38438339"/>
      <w:bookmarkStart w:id="351" w:name="_Toc38438676"/>
      <w:bookmarkStart w:id="352" w:name="_Toc38439013"/>
      <w:bookmarkStart w:id="353" w:name="_Toc38439350"/>
      <w:bookmarkStart w:id="354" w:name="_Toc38439687"/>
      <w:bookmarkStart w:id="355" w:name="_Toc38440024"/>
      <w:bookmarkStart w:id="356" w:name="_Toc38440361"/>
      <w:bookmarkStart w:id="357" w:name="_Toc38440893"/>
      <w:bookmarkStart w:id="358" w:name="_Toc38441541"/>
      <w:bookmarkStart w:id="359" w:name="_Toc38441869"/>
      <w:bookmarkStart w:id="360" w:name="_Toc38442201"/>
      <w:bookmarkStart w:id="361" w:name="_Toc38442533"/>
      <w:bookmarkStart w:id="362" w:name="_Toc38442864"/>
      <w:bookmarkStart w:id="363" w:name="_Toc38443195"/>
      <w:bookmarkStart w:id="364" w:name="_Toc38443526"/>
      <w:bookmarkStart w:id="365" w:name="_Toc38443857"/>
      <w:bookmarkStart w:id="366" w:name="_Toc38438324"/>
      <w:bookmarkStart w:id="367" w:name="_Toc38438661"/>
      <w:bookmarkStart w:id="368" w:name="_Toc38438998"/>
      <w:bookmarkStart w:id="369" w:name="_Toc38439335"/>
      <w:bookmarkStart w:id="370" w:name="_Toc38439672"/>
      <w:bookmarkStart w:id="371" w:name="_Toc38440009"/>
      <w:bookmarkStart w:id="372" w:name="_Toc38440346"/>
      <w:bookmarkStart w:id="373" w:name="_Toc38440679"/>
      <w:bookmarkStart w:id="374" w:name="_Toc38440878"/>
      <w:bookmarkStart w:id="375" w:name="_Toc38441210"/>
      <w:bookmarkStart w:id="376" w:name="_Toc38441542"/>
      <w:bookmarkStart w:id="377" w:name="_Toc38441870"/>
      <w:bookmarkStart w:id="378" w:name="_Toc38442202"/>
      <w:bookmarkStart w:id="379" w:name="_Toc38442534"/>
      <w:bookmarkStart w:id="380" w:name="_Toc38442865"/>
      <w:bookmarkStart w:id="381" w:name="_Toc38443196"/>
      <w:bookmarkStart w:id="382" w:name="_Toc38443527"/>
      <w:bookmarkStart w:id="383" w:name="_Toc38443858"/>
      <w:bookmarkStart w:id="384" w:name="_Toc38438325"/>
      <w:bookmarkStart w:id="385" w:name="_Toc38438662"/>
      <w:bookmarkStart w:id="386" w:name="_Toc38438999"/>
      <w:bookmarkStart w:id="387" w:name="_Toc38439336"/>
      <w:bookmarkStart w:id="388" w:name="_Toc38439673"/>
      <w:bookmarkStart w:id="389" w:name="_Toc38440010"/>
      <w:bookmarkStart w:id="390" w:name="_Toc38440347"/>
      <w:bookmarkStart w:id="391" w:name="_Toc38440879"/>
      <w:bookmarkStart w:id="392" w:name="_Toc38441211"/>
      <w:bookmarkStart w:id="393" w:name="_Toc38441543"/>
      <w:bookmarkStart w:id="394" w:name="_Toc38441871"/>
      <w:bookmarkStart w:id="395" w:name="_Toc38442203"/>
      <w:bookmarkStart w:id="396" w:name="_Toc38442535"/>
      <w:bookmarkStart w:id="397" w:name="_Toc38442866"/>
      <w:bookmarkStart w:id="398" w:name="_Toc38443197"/>
      <w:bookmarkStart w:id="399" w:name="_Toc38443528"/>
      <w:bookmarkStart w:id="400" w:name="_Toc38443859"/>
      <w:bookmarkStart w:id="401" w:name="_Toc38438326"/>
      <w:bookmarkStart w:id="402" w:name="_Toc38438663"/>
      <w:bookmarkStart w:id="403" w:name="_Toc38439000"/>
      <w:bookmarkStart w:id="404" w:name="_Toc38439337"/>
      <w:bookmarkStart w:id="405" w:name="_Toc38439674"/>
      <w:bookmarkStart w:id="406" w:name="_Toc38440011"/>
      <w:bookmarkStart w:id="407" w:name="_Toc38440348"/>
      <w:bookmarkStart w:id="408" w:name="_Toc38440880"/>
      <w:bookmarkStart w:id="409" w:name="_Toc38441212"/>
      <w:bookmarkStart w:id="410" w:name="_Toc38441544"/>
      <w:bookmarkStart w:id="411" w:name="_Toc38441872"/>
      <w:bookmarkStart w:id="412" w:name="_Toc38442204"/>
      <w:bookmarkStart w:id="413" w:name="_Toc38442536"/>
      <w:bookmarkStart w:id="414" w:name="_Toc38442867"/>
      <w:bookmarkStart w:id="415" w:name="_Toc38443198"/>
      <w:bookmarkStart w:id="416" w:name="_Toc38443529"/>
      <w:bookmarkStart w:id="417" w:name="_Toc38443860"/>
      <w:bookmarkStart w:id="418" w:name="_Toc38438327"/>
      <w:bookmarkStart w:id="419" w:name="_Toc38438664"/>
      <w:bookmarkStart w:id="420" w:name="_Toc38439001"/>
      <w:bookmarkStart w:id="421" w:name="_Toc38439338"/>
      <w:bookmarkStart w:id="422" w:name="_Toc38439675"/>
      <w:bookmarkStart w:id="423" w:name="_Toc38440012"/>
      <w:bookmarkStart w:id="424" w:name="_Toc38440349"/>
      <w:bookmarkStart w:id="425" w:name="_Toc38440881"/>
      <w:bookmarkStart w:id="426" w:name="_Toc38441213"/>
      <w:bookmarkStart w:id="427" w:name="_Toc38441545"/>
      <w:bookmarkStart w:id="428" w:name="_Toc38441873"/>
      <w:bookmarkStart w:id="429" w:name="_Toc38442205"/>
      <w:bookmarkStart w:id="430" w:name="_Toc38442537"/>
      <w:bookmarkStart w:id="431" w:name="_Toc38442868"/>
      <w:bookmarkStart w:id="432" w:name="_Toc38443199"/>
      <w:bookmarkStart w:id="433" w:name="_Toc38443530"/>
      <w:bookmarkStart w:id="434" w:name="_Toc38443861"/>
      <w:bookmarkStart w:id="435" w:name="_Toc38438328"/>
      <w:bookmarkStart w:id="436" w:name="_Toc38438665"/>
      <w:bookmarkStart w:id="437" w:name="_Toc38439002"/>
      <w:bookmarkStart w:id="438" w:name="_Toc38439339"/>
      <w:bookmarkStart w:id="439" w:name="_Toc38439676"/>
      <w:bookmarkStart w:id="440" w:name="_Toc38440013"/>
      <w:bookmarkStart w:id="441" w:name="_Toc38440350"/>
      <w:bookmarkStart w:id="442" w:name="_Toc38440882"/>
      <w:bookmarkStart w:id="443" w:name="_Toc38441214"/>
      <w:bookmarkStart w:id="444" w:name="_Toc38441546"/>
      <w:bookmarkStart w:id="445" w:name="_Toc38441874"/>
      <w:bookmarkStart w:id="446" w:name="_Toc38442206"/>
      <w:bookmarkStart w:id="447" w:name="_Toc38442538"/>
      <w:bookmarkStart w:id="448" w:name="_Toc38442869"/>
      <w:bookmarkStart w:id="449" w:name="_Toc38443200"/>
      <w:bookmarkStart w:id="450" w:name="_Toc38443531"/>
      <w:bookmarkStart w:id="451" w:name="_Toc38443862"/>
      <w:bookmarkStart w:id="452" w:name="_Toc38438329"/>
      <w:bookmarkStart w:id="453" w:name="_Toc38438666"/>
      <w:bookmarkStart w:id="454" w:name="_Toc38439003"/>
      <w:bookmarkStart w:id="455" w:name="_Toc38439340"/>
      <w:bookmarkStart w:id="456" w:name="_Toc38439677"/>
      <w:bookmarkStart w:id="457" w:name="_Toc38440014"/>
      <w:bookmarkStart w:id="458" w:name="_Toc38440351"/>
      <w:bookmarkStart w:id="459" w:name="_Toc38440883"/>
      <w:bookmarkStart w:id="460" w:name="_Toc38441215"/>
      <w:bookmarkStart w:id="461" w:name="_Toc38441547"/>
      <w:bookmarkStart w:id="462" w:name="_Toc38441875"/>
      <w:bookmarkStart w:id="463" w:name="_Toc38442207"/>
      <w:bookmarkStart w:id="464" w:name="_Toc38442539"/>
      <w:bookmarkStart w:id="465" w:name="_Toc38442870"/>
      <w:bookmarkStart w:id="466" w:name="_Toc38443201"/>
      <w:bookmarkStart w:id="467" w:name="_Toc38443532"/>
      <w:bookmarkStart w:id="468" w:name="_Toc38443863"/>
      <w:bookmarkStart w:id="469" w:name="_Toc38438330"/>
      <w:bookmarkStart w:id="470" w:name="_Toc38438667"/>
      <w:bookmarkStart w:id="471" w:name="_Toc38439004"/>
      <w:bookmarkStart w:id="472" w:name="_Toc38439341"/>
      <w:bookmarkStart w:id="473" w:name="_Toc38439678"/>
      <w:bookmarkStart w:id="474" w:name="_Toc38440015"/>
      <w:bookmarkStart w:id="475" w:name="_Toc38440352"/>
      <w:bookmarkStart w:id="476" w:name="_Toc38440884"/>
      <w:bookmarkStart w:id="477" w:name="_Toc38441216"/>
      <w:bookmarkStart w:id="478" w:name="_Toc38441548"/>
      <w:bookmarkStart w:id="479" w:name="_Toc38441876"/>
      <w:bookmarkStart w:id="480" w:name="_Toc38442208"/>
      <w:bookmarkStart w:id="481" w:name="_Toc38442540"/>
      <w:bookmarkStart w:id="482" w:name="_Toc38442871"/>
      <w:bookmarkStart w:id="483" w:name="_Toc38443202"/>
      <w:bookmarkStart w:id="484" w:name="_Toc38443533"/>
      <w:bookmarkStart w:id="485" w:name="_Toc38443864"/>
      <w:bookmarkStart w:id="486" w:name="_Toc38438331"/>
      <w:bookmarkStart w:id="487" w:name="_Toc38438668"/>
      <w:bookmarkStart w:id="488" w:name="_Toc38439005"/>
      <w:bookmarkStart w:id="489" w:name="_Toc38439342"/>
      <w:bookmarkStart w:id="490" w:name="_Toc38439679"/>
      <w:bookmarkStart w:id="491" w:name="_Toc38440016"/>
      <w:bookmarkStart w:id="492" w:name="_Toc38440353"/>
      <w:bookmarkStart w:id="493" w:name="_Toc38440885"/>
      <w:bookmarkStart w:id="494" w:name="_Toc38439962"/>
      <w:bookmarkStart w:id="495" w:name="_Toc38440299"/>
      <w:bookmarkStart w:id="496" w:name="_Toc38440632"/>
      <w:bookmarkStart w:id="497" w:name="_Toc38440831"/>
      <w:bookmarkStart w:id="498" w:name="_Toc38441163"/>
      <w:bookmarkStart w:id="499" w:name="_Toc38441495"/>
      <w:bookmarkStart w:id="500" w:name="_Toc38441823"/>
      <w:bookmarkStart w:id="501" w:name="_Toc38442155"/>
      <w:bookmarkStart w:id="502" w:name="_Toc38442487"/>
      <w:bookmarkStart w:id="503" w:name="_Toc38442818"/>
      <w:bookmarkStart w:id="504" w:name="_Toc38443149"/>
      <w:bookmarkStart w:id="505" w:name="_Toc38443480"/>
      <w:bookmarkStart w:id="506" w:name="_Toc38443811"/>
      <w:bookmarkStart w:id="507" w:name="_Toc38438278"/>
      <w:bookmarkStart w:id="508" w:name="_Toc38438615"/>
      <w:bookmarkStart w:id="509" w:name="_Toc38438952"/>
      <w:bookmarkStart w:id="510" w:name="_Toc38439289"/>
      <w:bookmarkStart w:id="511" w:name="_Toc38439626"/>
      <w:bookmarkStart w:id="512" w:name="_Toc38439963"/>
      <w:bookmarkStart w:id="513" w:name="_Toc38440300"/>
      <w:bookmarkStart w:id="514" w:name="_Toc38440633"/>
      <w:bookmarkStart w:id="515" w:name="_Toc38440832"/>
      <w:bookmarkStart w:id="516" w:name="_Toc38441164"/>
      <w:bookmarkStart w:id="517" w:name="_Toc38441496"/>
      <w:bookmarkStart w:id="518" w:name="_Toc38441824"/>
      <w:bookmarkStart w:id="519" w:name="_Toc38442156"/>
      <w:bookmarkStart w:id="520" w:name="_Toc38442488"/>
      <w:bookmarkStart w:id="521" w:name="_Toc38442819"/>
      <w:bookmarkStart w:id="522" w:name="_Toc38443150"/>
      <w:bookmarkStart w:id="523" w:name="_Toc38443481"/>
      <w:bookmarkStart w:id="524" w:name="_Toc38443812"/>
      <w:bookmarkStart w:id="525" w:name="_Toc38438279"/>
      <w:bookmarkStart w:id="526" w:name="_Toc38438616"/>
      <w:bookmarkStart w:id="527" w:name="_Toc38438953"/>
      <w:bookmarkStart w:id="528" w:name="_Toc38439290"/>
      <w:bookmarkStart w:id="529" w:name="_Toc38439627"/>
      <w:bookmarkStart w:id="530" w:name="_Toc38439964"/>
      <w:bookmarkStart w:id="531" w:name="_Toc38440301"/>
      <w:bookmarkStart w:id="532" w:name="_Toc38440634"/>
      <w:bookmarkStart w:id="533" w:name="_Toc38440833"/>
      <w:bookmarkStart w:id="534" w:name="_Toc38441165"/>
      <w:bookmarkStart w:id="535" w:name="_Toc38441497"/>
      <w:bookmarkStart w:id="536" w:name="_Toc38441825"/>
      <w:bookmarkStart w:id="537" w:name="_Toc38442157"/>
      <w:bookmarkStart w:id="538" w:name="_Toc38442489"/>
      <w:bookmarkStart w:id="539" w:name="_Toc38442820"/>
      <w:bookmarkStart w:id="540" w:name="_Toc38443151"/>
      <w:bookmarkStart w:id="541" w:name="_Toc38443482"/>
      <w:bookmarkStart w:id="542" w:name="_Toc38443813"/>
      <w:bookmarkStart w:id="543" w:name="_Toc38438280"/>
      <w:bookmarkStart w:id="544" w:name="_Toc38438617"/>
      <w:bookmarkStart w:id="545" w:name="_Toc38438954"/>
      <w:bookmarkStart w:id="546" w:name="_Toc38439291"/>
      <w:bookmarkStart w:id="547" w:name="_Toc38439628"/>
      <w:bookmarkStart w:id="548" w:name="_Toc38439965"/>
      <w:bookmarkStart w:id="549" w:name="_Toc38440302"/>
      <w:bookmarkStart w:id="550" w:name="_Toc38440635"/>
      <w:bookmarkStart w:id="551" w:name="_Toc38440834"/>
      <w:bookmarkStart w:id="552" w:name="_Toc38441166"/>
      <w:bookmarkStart w:id="553" w:name="_Toc38441498"/>
      <w:bookmarkStart w:id="554" w:name="_Toc38441826"/>
      <w:bookmarkStart w:id="555" w:name="_Toc38442158"/>
      <w:bookmarkStart w:id="556" w:name="_Toc38442490"/>
      <w:bookmarkStart w:id="557" w:name="_Toc38442821"/>
      <w:bookmarkStart w:id="558" w:name="_Toc38443152"/>
      <w:bookmarkStart w:id="559" w:name="_Toc38443483"/>
      <w:bookmarkStart w:id="560" w:name="_Toc38443814"/>
      <w:bookmarkStart w:id="561" w:name="_Toc38438281"/>
      <w:bookmarkStart w:id="562" w:name="_Toc38438618"/>
      <w:bookmarkStart w:id="563" w:name="_Toc38438955"/>
      <w:bookmarkStart w:id="564" w:name="_Toc38439292"/>
      <w:bookmarkStart w:id="565" w:name="_Toc38439629"/>
      <w:bookmarkStart w:id="566" w:name="_Toc38439966"/>
      <w:bookmarkStart w:id="567" w:name="_Toc38440303"/>
      <w:bookmarkStart w:id="568" w:name="_Toc38440636"/>
      <w:bookmarkStart w:id="569" w:name="_Toc38440835"/>
      <w:bookmarkStart w:id="570" w:name="_Toc38441167"/>
      <w:bookmarkStart w:id="571" w:name="_Toc38441499"/>
      <w:bookmarkStart w:id="572" w:name="_Toc38441827"/>
      <w:bookmarkStart w:id="573" w:name="_Toc38442159"/>
      <w:bookmarkStart w:id="574" w:name="_Toc38442491"/>
      <w:bookmarkStart w:id="575" w:name="_Toc38442822"/>
      <w:bookmarkStart w:id="576" w:name="_Toc38443153"/>
      <w:bookmarkStart w:id="577" w:name="_Toc38443484"/>
      <w:bookmarkStart w:id="578" w:name="_Toc38443815"/>
      <w:bookmarkStart w:id="579" w:name="_Toc38438282"/>
      <w:bookmarkStart w:id="580" w:name="_Toc38438619"/>
      <w:bookmarkStart w:id="581" w:name="_Toc38438956"/>
      <w:bookmarkStart w:id="582" w:name="_Toc38439293"/>
      <w:bookmarkStart w:id="583" w:name="_Toc38439630"/>
      <w:bookmarkStart w:id="584" w:name="_Toc38439967"/>
      <w:bookmarkStart w:id="585" w:name="_Toc38440304"/>
      <w:bookmarkStart w:id="586" w:name="_Toc38440637"/>
      <w:bookmarkStart w:id="587" w:name="_Toc38440836"/>
      <w:bookmarkStart w:id="588" w:name="_Toc38441168"/>
      <w:bookmarkStart w:id="589" w:name="_Toc38441500"/>
      <w:bookmarkStart w:id="590" w:name="_Toc38441828"/>
      <w:bookmarkStart w:id="591" w:name="_Toc38442160"/>
      <w:bookmarkStart w:id="592" w:name="_Toc38442492"/>
      <w:bookmarkStart w:id="593" w:name="_Toc38442823"/>
      <w:bookmarkStart w:id="594" w:name="_Toc38443154"/>
      <w:bookmarkStart w:id="595" w:name="_Toc38443485"/>
      <w:bookmarkStart w:id="596" w:name="_Toc38443816"/>
      <w:bookmarkStart w:id="597" w:name="_Toc38441552"/>
      <w:bookmarkStart w:id="598" w:name="_Toc38441880"/>
      <w:bookmarkStart w:id="599" w:name="_Toc38442212"/>
      <w:bookmarkStart w:id="600" w:name="_Toc38442544"/>
      <w:bookmarkStart w:id="601" w:name="_Toc38442875"/>
      <w:bookmarkStart w:id="602" w:name="_Toc38443206"/>
      <w:bookmarkStart w:id="603" w:name="_Toc38443537"/>
      <w:bookmarkStart w:id="604" w:name="_Toc38443868"/>
      <w:bookmarkStart w:id="605" w:name="_Toc38438335"/>
      <w:bookmarkStart w:id="606" w:name="_Toc38438672"/>
      <w:bookmarkStart w:id="607" w:name="_Toc38439009"/>
      <w:bookmarkStart w:id="608" w:name="_Toc38439346"/>
      <w:bookmarkStart w:id="609" w:name="_Toc38439683"/>
      <w:bookmarkStart w:id="610" w:name="_Toc38440020"/>
      <w:bookmarkStart w:id="611" w:name="_Toc38440357"/>
      <w:bookmarkStart w:id="612" w:name="_Toc38440889"/>
      <w:bookmarkStart w:id="613" w:name="_Toc38441221"/>
      <w:bookmarkStart w:id="614" w:name="_Toc38441553"/>
      <w:bookmarkStart w:id="615" w:name="_Toc38441881"/>
      <w:bookmarkStart w:id="616" w:name="_Toc38442213"/>
      <w:bookmarkStart w:id="617" w:name="_Toc38442545"/>
      <w:bookmarkStart w:id="618" w:name="_Toc38442876"/>
      <w:bookmarkStart w:id="619" w:name="_Toc38443207"/>
      <w:bookmarkStart w:id="620" w:name="_Toc38443538"/>
      <w:bookmarkStart w:id="621" w:name="_Toc38443869"/>
      <w:bookmarkStart w:id="622" w:name="_Toc38438336"/>
      <w:bookmarkStart w:id="623" w:name="_Toc38438673"/>
      <w:bookmarkStart w:id="624" w:name="_Toc38439010"/>
      <w:bookmarkStart w:id="625" w:name="_Toc38439347"/>
      <w:bookmarkStart w:id="626" w:name="_Toc38439684"/>
      <w:bookmarkStart w:id="627" w:name="_Toc38440021"/>
      <w:bookmarkStart w:id="628" w:name="_Toc38440358"/>
      <w:bookmarkStart w:id="629" w:name="_Toc38440890"/>
      <w:bookmarkStart w:id="630" w:name="_Toc38441222"/>
      <w:bookmarkStart w:id="631" w:name="_Toc38441554"/>
      <w:bookmarkStart w:id="632" w:name="_Toc38441882"/>
      <w:bookmarkStart w:id="633" w:name="_Toc38442214"/>
      <w:bookmarkStart w:id="634" w:name="_Toc38442546"/>
      <w:bookmarkStart w:id="635" w:name="_Toc38442877"/>
      <w:bookmarkStart w:id="636" w:name="_Toc38443208"/>
      <w:bookmarkStart w:id="637" w:name="_Toc38443539"/>
      <w:bookmarkStart w:id="638" w:name="_Toc38443870"/>
      <w:bookmarkStart w:id="639" w:name="_Toc38438337"/>
      <w:bookmarkStart w:id="640" w:name="_Toc38438674"/>
      <w:bookmarkStart w:id="641" w:name="_Toc38439011"/>
      <w:bookmarkStart w:id="642" w:name="_Toc38439348"/>
      <w:bookmarkStart w:id="643" w:name="_Toc38439685"/>
      <w:bookmarkStart w:id="644" w:name="_Toc38440022"/>
      <w:bookmarkStart w:id="645" w:name="_Toc38440359"/>
      <w:bookmarkStart w:id="646" w:name="_Toc38440891"/>
      <w:bookmarkStart w:id="647" w:name="_Toc38441223"/>
      <w:bookmarkStart w:id="648" w:name="_Toc38441555"/>
      <w:bookmarkStart w:id="649" w:name="_Toc38441174"/>
      <w:bookmarkStart w:id="650" w:name="_Toc38441506"/>
      <w:bookmarkStart w:id="651" w:name="_Toc38441834"/>
      <w:bookmarkStart w:id="652" w:name="_Toc38442166"/>
      <w:bookmarkStart w:id="653" w:name="_Toc38442498"/>
      <w:bookmarkStart w:id="654" w:name="_Toc38442829"/>
      <w:bookmarkStart w:id="655" w:name="_Toc38443160"/>
      <w:bookmarkStart w:id="656" w:name="_Toc38443491"/>
      <w:bookmarkStart w:id="657" w:name="_Toc38443822"/>
      <w:bookmarkStart w:id="658" w:name="_Toc38438289"/>
      <w:bookmarkStart w:id="659" w:name="_Toc38438626"/>
      <w:bookmarkStart w:id="660" w:name="_Toc38438963"/>
      <w:bookmarkStart w:id="661" w:name="_Toc38439300"/>
      <w:bookmarkStart w:id="662" w:name="_Toc38439637"/>
      <w:bookmarkStart w:id="663" w:name="_Toc38439974"/>
      <w:bookmarkStart w:id="664" w:name="_Toc38440311"/>
      <w:bookmarkStart w:id="665" w:name="_Toc38440644"/>
      <w:bookmarkStart w:id="666" w:name="_Toc38440843"/>
      <w:bookmarkStart w:id="667" w:name="_Toc38441175"/>
      <w:bookmarkStart w:id="668" w:name="_Toc38441507"/>
      <w:bookmarkStart w:id="669" w:name="_Toc38441835"/>
      <w:bookmarkStart w:id="670" w:name="_Toc38442167"/>
      <w:bookmarkStart w:id="671" w:name="_Toc38442499"/>
      <w:bookmarkStart w:id="672" w:name="_Toc38442830"/>
      <w:bookmarkStart w:id="673" w:name="_Toc38443161"/>
      <w:bookmarkStart w:id="674" w:name="_Toc38443492"/>
      <w:bookmarkStart w:id="675" w:name="_Toc38443823"/>
      <w:bookmarkStart w:id="676" w:name="_Toc38438290"/>
      <w:bookmarkStart w:id="677" w:name="_Toc38438627"/>
      <w:bookmarkStart w:id="678" w:name="_Toc38438964"/>
      <w:bookmarkStart w:id="679" w:name="_Toc38439301"/>
      <w:bookmarkStart w:id="680" w:name="_Toc38439638"/>
      <w:bookmarkStart w:id="681" w:name="_Toc38439975"/>
      <w:bookmarkStart w:id="682" w:name="_Toc38440312"/>
      <w:bookmarkStart w:id="683" w:name="_Toc38440645"/>
      <w:bookmarkStart w:id="684" w:name="_Toc38440844"/>
      <w:bookmarkStart w:id="685" w:name="_Toc38441176"/>
      <w:bookmarkStart w:id="686" w:name="_Toc38441508"/>
      <w:bookmarkStart w:id="687" w:name="_Toc38441836"/>
      <w:bookmarkStart w:id="688" w:name="_Toc38442168"/>
      <w:bookmarkStart w:id="689" w:name="_Toc38442500"/>
      <w:bookmarkStart w:id="690" w:name="_Toc38442831"/>
      <w:bookmarkStart w:id="691" w:name="_Toc38443162"/>
      <w:bookmarkStart w:id="692" w:name="_Toc38443493"/>
      <w:bookmarkStart w:id="693" w:name="_Toc38443824"/>
      <w:bookmarkStart w:id="694" w:name="_Toc38438291"/>
      <w:bookmarkStart w:id="695" w:name="_Toc38438628"/>
      <w:bookmarkStart w:id="696" w:name="_Toc38438965"/>
      <w:bookmarkStart w:id="697" w:name="_Toc38439302"/>
      <w:bookmarkStart w:id="698" w:name="_Toc38439639"/>
      <w:bookmarkStart w:id="699" w:name="_Toc38439976"/>
      <w:bookmarkStart w:id="700" w:name="_Toc38440313"/>
      <w:bookmarkStart w:id="701" w:name="_Toc38440646"/>
      <w:bookmarkStart w:id="702" w:name="_Toc38440845"/>
      <w:bookmarkStart w:id="703" w:name="_Toc38441177"/>
      <w:bookmarkStart w:id="704" w:name="_Toc38441509"/>
      <w:bookmarkStart w:id="705" w:name="_Toc38441837"/>
      <w:bookmarkStart w:id="706" w:name="_Toc38442169"/>
      <w:bookmarkStart w:id="707" w:name="_Toc38442501"/>
      <w:bookmarkStart w:id="708" w:name="_Toc38442832"/>
      <w:bookmarkStart w:id="709" w:name="_Toc38443163"/>
      <w:bookmarkStart w:id="710" w:name="_Toc38443494"/>
      <w:bookmarkStart w:id="711" w:name="_Toc38443825"/>
      <w:bookmarkStart w:id="712" w:name="_Toc38438292"/>
      <w:bookmarkStart w:id="713" w:name="_Toc38441225"/>
      <w:bookmarkStart w:id="714" w:name="_Toc38441557"/>
      <w:bookmarkStart w:id="715" w:name="_Toc38441885"/>
      <w:bookmarkStart w:id="716" w:name="_Toc38442217"/>
      <w:bookmarkStart w:id="717" w:name="_Toc38442549"/>
      <w:bookmarkStart w:id="718" w:name="_Toc38442880"/>
      <w:bookmarkStart w:id="719" w:name="_Toc38443211"/>
      <w:bookmarkStart w:id="720" w:name="_Toc38443542"/>
      <w:bookmarkStart w:id="721" w:name="_Toc38443873"/>
      <w:bookmarkStart w:id="722" w:name="_Toc38438340"/>
      <w:bookmarkStart w:id="723" w:name="_Toc38438677"/>
      <w:bookmarkStart w:id="724" w:name="_Toc38439014"/>
      <w:bookmarkStart w:id="725" w:name="_Toc38439351"/>
      <w:bookmarkStart w:id="726" w:name="_Toc38439688"/>
      <w:bookmarkStart w:id="727" w:name="_Toc38440025"/>
      <w:bookmarkStart w:id="728" w:name="_Toc38440362"/>
      <w:bookmarkStart w:id="729" w:name="_Toc38440894"/>
      <w:bookmarkStart w:id="730" w:name="_Toc38441226"/>
      <w:bookmarkStart w:id="731" w:name="_Toc38441558"/>
      <w:bookmarkStart w:id="732" w:name="_Toc38441886"/>
      <w:bookmarkStart w:id="733" w:name="_Toc38442218"/>
      <w:bookmarkStart w:id="734" w:name="_Toc38442550"/>
      <w:bookmarkStart w:id="735" w:name="_Toc38442881"/>
      <w:bookmarkStart w:id="736" w:name="_Toc38443212"/>
      <w:bookmarkStart w:id="737" w:name="_Toc38443543"/>
      <w:bookmarkStart w:id="738" w:name="_Toc38443874"/>
      <w:bookmarkStart w:id="739" w:name="_Toc38438341"/>
      <w:bookmarkStart w:id="740" w:name="_Toc38438678"/>
      <w:bookmarkStart w:id="741" w:name="_Toc38439015"/>
      <w:bookmarkStart w:id="742" w:name="_Toc38439352"/>
      <w:bookmarkStart w:id="743" w:name="_Toc38439689"/>
      <w:bookmarkStart w:id="744" w:name="_Toc38440026"/>
      <w:bookmarkStart w:id="745" w:name="_Toc38440363"/>
      <w:bookmarkStart w:id="746" w:name="_Toc38440895"/>
      <w:bookmarkStart w:id="747" w:name="_Toc38441227"/>
      <w:bookmarkStart w:id="748" w:name="_Toc38441559"/>
      <w:bookmarkStart w:id="749" w:name="_Toc38441887"/>
      <w:bookmarkStart w:id="750" w:name="_Toc38442219"/>
      <w:bookmarkStart w:id="751" w:name="_Toc38442551"/>
      <w:bookmarkStart w:id="752" w:name="_Toc38442882"/>
      <w:bookmarkStart w:id="753" w:name="_Toc38443213"/>
      <w:bookmarkStart w:id="754" w:name="_Toc38443544"/>
      <w:bookmarkStart w:id="755" w:name="_Toc38443875"/>
      <w:bookmarkStart w:id="756" w:name="_Toc38438342"/>
      <w:bookmarkStart w:id="757" w:name="_Toc38438679"/>
      <w:bookmarkStart w:id="758" w:name="_Toc38439016"/>
      <w:bookmarkStart w:id="759" w:name="_Toc38439353"/>
      <w:bookmarkStart w:id="760" w:name="_Toc38439690"/>
      <w:bookmarkStart w:id="761" w:name="_Toc38440027"/>
      <w:bookmarkStart w:id="762" w:name="_Toc38440364"/>
      <w:bookmarkStart w:id="763" w:name="_Toc38440896"/>
      <w:bookmarkStart w:id="764" w:name="_Toc38441228"/>
      <w:bookmarkStart w:id="765" w:name="_Toc38441560"/>
      <w:bookmarkStart w:id="766" w:name="_Toc38441888"/>
      <w:bookmarkStart w:id="767" w:name="_Toc38442220"/>
      <w:bookmarkStart w:id="768" w:name="_Toc38442552"/>
      <w:bookmarkStart w:id="769" w:name="_Toc38442883"/>
      <w:bookmarkStart w:id="770" w:name="_Toc38443214"/>
      <w:bookmarkStart w:id="771" w:name="_Toc38443545"/>
      <w:bookmarkStart w:id="772" w:name="_Toc38443876"/>
      <w:bookmarkStart w:id="773" w:name="_Toc38438343"/>
      <w:bookmarkStart w:id="774" w:name="_Toc38438680"/>
      <w:bookmarkStart w:id="775" w:name="_Toc38439017"/>
      <w:bookmarkStart w:id="776" w:name="_Toc38439354"/>
      <w:bookmarkStart w:id="777" w:name="_Toc38439691"/>
      <w:bookmarkStart w:id="778" w:name="_Toc38440028"/>
      <w:bookmarkStart w:id="779" w:name="_Toc38440365"/>
      <w:bookmarkStart w:id="780" w:name="_Toc38440897"/>
      <w:bookmarkStart w:id="781" w:name="_Toc38441229"/>
      <w:bookmarkStart w:id="782" w:name="_Toc38441561"/>
      <w:bookmarkStart w:id="783" w:name="_Toc38441889"/>
      <w:bookmarkStart w:id="784" w:name="_Toc38442221"/>
      <w:bookmarkStart w:id="785" w:name="_Toc38442553"/>
      <w:bookmarkStart w:id="786" w:name="_Toc38442884"/>
      <w:bookmarkStart w:id="787" w:name="_Toc38443215"/>
      <w:bookmarkStart w:id="788" w:name="_Toc38443546"/>
      <w:bookmarkStart w:id="789" w:name="_Toc38443877"/>
      <w:bookmarkStart w:id="790" w:name="_Toc272569769"/>
      <w:bookmarkStart w:id="791" w:name="_Toc323051008"/>
      <w:bookmarkStart w:id="792" w:name="_Toc296526927"/>
      <w:bookmarkStart w:id="793" w:name="_Toc296526926"/>
      <w:bookmarkStart w:id="794" w:name="_Toc296526932"/>
      <w:bookmarkStart w:id="795" w:name="_Toc272569770"/>
      <w:bookmarkStart w:id="796" w:name="_Toc272569767"/>
      <w:bookmarkStart w:id="797" w:name="_Toc296526933"/>
      <w:bookmarkStart w:id="798" w:name="_Toc272569771"/>
      <w:bookmarkStart w:id="799" w:name="_Toc296526931"/>
      <w:bookmarkStart w:id="800" w:name="_Toc296526936"/>
      <w:bookmarkStart w:id="801" w:name="_Toc272569768"/>
      <w:bookmarkStart w:id="802" w:name="_Toc296526934"/>
      <w:bookmarkStart w:id="803" w:name="_Toc296526929"/>
      <w:bookmarkStart w:id="804" w:name="_Toc296526958"/>
      <w:bookmarkStart w:id="805" w:name="_Toc296526992"/>
      <w:bookmarkStart w:id="806" w:name="_Toc296526928"/>
      <w:bookmarkStart w:id="807" w:name="_Toc272569765"/>
      <w:bookmarkStart w:id="808" w:name="_Toc272569766"/>
      <w:bookmarkStart w:id="809" w:name="_Toc309286029"/>
      <w:bookmarkStart w:id="810" w:name="_Toc272569773"/>
      <w:bookmarkStart w:id="811" w:name="_Toc309286035"/>
      <w:bookmarkStart w:id="812" w:name="_Toc309286022"/>
      <w:bookmarkStart w:id="813" w:name="_Toc308697513"/>
      <w:bookmarkStart w:id="814" w:name="_Toc308697499"/>
      <w:bookmarkStart w:id="815" w:name="_Toc296526963"/>
      <w:bookmarkStart w:id="816" w:name="_Toc309286026"/>
      <w:bookmarkStart w:id="817" w:name="_Toc277752499"/>
      <w:bookmarkStart w:id="818" w:name="_Toc308697502"/>
      <w:bookmarkStart w:id="819" w:name="_Toc296440126"/>
      <w:bookmarkStart w:id="820" w:name="_Toc277786083"/>
      <w:bookmarkStart w:id="821" w:name="_Toc296526974"/>
      <w:bookmarkStart w:id="822" w:name="_Toc308697504"/>
      <w:bookmarkStart w:id="823" w:name="_Toc308697507"/>
      <w:bookmarkStart w:id="824" w:name="_Toc277787604"/>
      <w:bookmarkStart w:id="825" w:name="_Toc277786078"/>
      <w:bookmarkStart w:id="826" w:name="_Toc308697512"/>
      <w:bookmarkStart w:id="827" w:name="_Toc309286021"/>
      <w:bookmarkStart w:id="828" w:name="_Toc308697509"/>
      <w:bookmarkStart w:id="829" w:name="_Toc308697511"/>
      <w:bookmarkStart w:id="830" w:name="_Toc272569772"/>
      <w:bookmarkStart w:id="831" w:name="_Toc296526989"/>
      <w:bookmarkStart w:id="832" w:name="_Toc277787599"/>
      <w:bookmarkStart w:id="833" w:name="_Toc308697508"/>
      <w:bookmarkStart w:id="834" w:name="_Toc309286030"/>
      <w:bookmarkStart w:id="835" w:name="_Toc308697500"/>
      <w:bookmarkStart w:id="836" w:name="_Toc309286032"/>
      <w:bookmarkStart w:id="837" w:name="_Toc309286033"/>
      <w:bookmarkStart w:id="838" w:name="_Toc277752504"/>
      <w:bookmarkStart w:id="839" w:name="_Toc309286028"/>
      <w:bookmarkStart w:id="840" w:name="_Toc308697501"/>
      <w:bookmarkStart w:id="841" w:name="_Toc309286010"/>
      <w:bookmarkStart w:id="842" w:name="_Toc323051000"/>
      <w:bookmarkStart w:id="843" w:name="_Toc308697505"/>
      <w:bookmarkStart w:id="844" w:name="_Toc309286034"/>
      <w:bookmarkStart w:id="845" w:name="_Toc308697488"/>
      <w:bookmarkStart w:id="846" w:name="_Toc308697503"/>
      <w:bookmarkStart w:id="847" w:name="_Toc296526993"/>
      <w:bookmarkStart w:id="848" w:name="_Toc309286024"/>
      <w:bookmarkStart w:id="849" w:name="_Toc308697498"/>
      <w:bookmarkStart w:id="850" w:name="_Toc308697497"/>
      <w:bookmarkStart w:id="851" w:name="_Toc308697506"/>
      <w:bookmarkStart w:id="852" w:name="_Toc277787873"/>
      <w:bookmarkStart w:id="853" w:name="_Toc309286031"/>
      <w:bookmarkStart w:id="854" w:name="_Toc309286020"/>
      <w:bookmarkStart w:id="855" w:name="_Toc309286019"/>
      <w:bookmarkStart w:id="856" w:name="_Toc309286023"/>
      <w:bookmarkStart w:id="857" w:name="_Toc309286027"/>
      <w:bookmarkStart w:id="858" w:name="_Toc309286025"/>
      <w:bookmarkStart w:id="859" w:name="_Toc278409384"/>
      <w:bookmarkStart w:id="860" w:name="_Toc272569580"/>
      <w:bookmarkStart w:id="861" w:name="_Toc272569716"/>
      <w:bookmarkStart w:id="862" w:name="_Toc272569867"/>
      <w:bookmarkStart w:id="863" w:name="_Toc272570190"/>
      <w:bookmarkStart w:id="864" w:name="_Toc272570324"/>
      <w:bookmarkStart w:id="865" w:name="_Toc272570457"/>
      <w:bookmarkStart w:id="866" w:name="_Toc272570591"/>
      <w:bookmarkStart w:id="867" w:name="_Toc272570724"/>
      <w:bookmarkStart w:id="868" w:name="_Toc272570857"/>
      <w:bookmarkStart w:id="869" w:name="_Toc272569108"/>
      <w:bookmarkStart w:id="870" w:name="_Toc272569260"/>
      <w:bookmarkStart w:id="871" w:name="_Toc272569444"/>
      <w:bookmarkStart w:id="872" w:name="_Toc272569581"/>
      <w:bookmarkStart w:id="873" w:name="_Toc272569717"/>
      <w:bookmarkStart w:id="874" w:name="_Toc272569868"/>
      <w:bookmarkStart w:id="875" w:name="_Toc272570191"/>
      <w:bookmarkStart w:id="876" w:name="_Toc272570325"/>
      <w:bookmarkStart w:id="877" w:name="_Toc272570458"/>
      <w:bookmarkStart w:id="878" w:name="_Toc272570592"/>
      <w:bookmarkStart w:id="879" w:name="_Toc272570725"/>
      <w:bookmarkStart w:id="880" w:name="_Toc272570858"/>
      <w:bookmarkStart w:id="881" w:name="_Toc272569109"/>
      <w:bookmarkStart w:id="882" w:name="_Toc272569261"/>
      <w:bookmarkStart w:id="883" w:name="_Toc272569445"/>
      <w:bookmarkStart w:id="884" w:name="_Toc272569582"/>
      <w:bookmarkStart w:id="885" w:name="_Toc272569718"/>
      <w:bookmarkStart w:id="886" w:name="_Toc272569869"/>
      <w:bookmarkStart w:id="887" w:name="_Toc272570192"/>
      <w:bookmarkStart w:id="888" w:name="_Toc272570326"/>
      <w:bookmarkStart w:id="889" w:name="_Toc272570459"/>
      <w:bookmarkStart w:id="890" w:name="_Toc272570593"/>
      <w:bookmarkStart w:id="891" w:name="_Toc272570726"/>
      <w:bookmarkStart w:id="892" w:name="_Toc272570859"/>
      <w:bookmarkStart w:id="893" w:name="_Toc308697698"/>
      <w:bookmarkStart w:id="894" w:name="_Toc309286220"/>
      <w:bookmarkStart w:id="895" w:name="_Toc308697699"/>
      <w:bookmarkStart w:id="896" w:name="_Toc309286221"/>
      <w:bookmarkStart w:id="897" w:name="_Toc308697700"/>
      <w:bookmarkStart w:id="898" w:name="_Toc309286222"/>
      <w:bookmarkStart w:id="899" w:name="_Toc308697701"/>
      <w:bookmarkStart w:id="900" w:name="_Toc309286223"/>
      <w:bookmarkStart w:id="901" w:name="_Toc308697702"/>
      <w:bookmarkStart w:id="902" w:name="_Toc309286224"/>
      <w:bookmarkStart w:id="903" w:name="_Toc308697703"/>
      <w:bookmarkStart w:id="904" w:name="_Toc309286225"/>
      <w:bookmarkStart w:id="905" w:name="_Toc308697704"/>
      <w:bookmarkStart w:id="906" w:name="_Toc309286226"/>
      <w:bookmarkStart w:id="907" w:name="_Toc308697705"/>
      <w:bookmarkStart w:id="908" w:name="_Toc309286227"/>
      <w:bookmarkStart w:id="909" w:name="_Toc308697706"/>
      <w:bookmarkStart w:id="910" w:name="_Toc309286228"/>
      <w:bookmarkStart w:id="911" w:name="_Toc296440221"/>
      <w:bookmarkStart w:id="912" w:name="_Toc272569113"/>
      <w:bookmarkStart w:id="913" w:name="_Toc272569265"/>
      <w:bookmarkStart w:id="914" w:name="_Toc272569449"/>
      <w:bookmarkStart w:id="915" w:name="_Toc272569586"/>
      <w:bookmarkStart w:id="916" w:name="_Toc272569722"/>
      <w:bookmarkStart w:id="917" w:name="_Toc272569873"/>
      <w:bookmarkStart w:id="918" w:name="_Toc272569114"/>
      <w:bookmarkStart w:id="919" w:name="_Toc272569266"/>
      <w:bookmarkStart w:id="920" w:name="_Toc272569450"/>
      <w:bookmarkStart w:id="921" w:name="_Toc272569587"/>
      <w:bookmarkStart w:id="922" w:name="_Toc272569723"/>
      <w:bookmarkStart w:id="923" w:name="_Toc272569874"/>
      <w:bookmarkStart w:id="924" w:name="_Toc272569115"/>
      <w:bookmarkStart w:id="925" w:name="_Toc272569267"/>
      <w:bookmarkStart w:id="926" w:name="_Toc272569451"/>
      <w:bookmarkStart w:id="927" w:name="_Toc272569588"/>
      <w:bookmarkStart w:id="928" w:name="_Toc272569724"/>
      <w:bookmarkStart w:id="929" w:name="_Toc272569875"/>
      <w:bookmarkStart w:id="930" w:name="_Toc272569116"/>
      <w:bookmarkStart w:id="931" w:name="_Toc272569268"/>
      <w:bookmarkStart w:id="932" w:name="_Toc272569452"/>
      <w:bookmarkStart w:id="933" w:name="_Toc272569589"/>
      <w:bookmarkStart w:id="934" w:name="_Toc272569725"/>
      <w:bookmarkStart w:id="935" w:name="_Toc272569876"/>
      <w:bookmarkStart w:id="936" w:name="_Toc272569117"/>
      <w:bookmarkStart w:id="937" w:name="_Toc272569269"/>
      <w:bookmarkStart w:id="938" w:name="_Toc272569453"/>
      <w:bookmarkStart w:id="939" w:name="_Toc272569590"/>
      <w:bookmarkStart w:id="940" w:name="_Toc272569726"/>
      <w:bookmarkStart w:id="941" w:name="_Toc272569877"/>
      <w:bookmarkStart w:id="942" w:name="_Toc272569118"/>
      <w:bookmarkStart w:id="943" w:name="_Toc272569270"/>
      <w:bookmarkStart w:id="944" w:name="_Toc272569454"/>
      <w:bookmarkStart w:id="945" w:name="_Toc272569591"/>
      <w:bookmarkStart w:id="946" w:name="_Toc272569727"/>
      <w:bookmarkStart w:id="947" w:name="_Toc272569878"/>
      <w:bookmarkStart w:id="948" w:name="_Toc308697714"/>
      <w:bookmarkStart w:id="949" w:name="_Toc309286236"/>
      <w:bookmarkStart w:id="950" w:name="_Hlt133147570"/>
      <w:bookmarkStart w:id="951" w:name="_Hlt133151691"/>
      <w:bookmarkStart w:id="952" w:name="_Toc308697716"/>
      <w:bookmarkStart w:id="953" w:name="_Toc309286238"/>
      <w:bookmarkStart w:id="954" w:name="_Toc308697717"/>
      <w:bookmarkStart w:id="955" w:name="_Toc309286239"/>
      <w:bookmarkStart w:id="956" w:name="_Toc308697718"/>
      <w:bookmarkStart w:id="957" w:name="_Toc309286240"/>
      <w:bookmarkStart w:id="958" w:name="_Toc308697719"/>
      <w:bookmarkStart w:id="959" w:name="_Toc309286241"/>
      <w:bookmarkStart w:id="960" w:name="_Toc308697720"/>
      <w:bookmarkStart w:id="961" w:name="_Toc309286242"/>
      <w:bookmarkStart w:id="962" w:name="_Toc308697721"/>
      <w:bookmarkStart w:id="963" w:name="_Toc309286243"/>
      <w:bookmarkStart w:id="964" w:name="_Toc308697722"/>
      <w:bookmarkStart w:id="965" w:name="_Toc309286244"/>
      <w:bookmarkStart w:id="966" w:name="_Toc308697723"/>
      <w:bookmarkStart w:id="967" w:name="_Toc309286245"/>
      <w:bookmarkStart w:id="968" w:name="_Toc38438275"/>
      <w:bookmarkStart w:id="969" w:name="_Toc38438612"/>
      <w:bookmarkStart w:id="970" w:name="_Toc38438949"/>
      <w:bookmarkStart w:id="971" w:name="_Toc38439286"/>
      <w:bookmarkStart w:id="972" w:name="_Toc38439623"/>
      <w:bookmarkStart w:id="973" w:name="_Toc38439960"/>
      <w:bookmarkStart w:id="974" w:name="_Toc38440297"/>
      <w:bookmarkStart w:id="975" w:name="_Toc38440630"/>
      <w:bookmarkStart w:id="976" w:name="_Toc38440829"/>
      <w:bookmarkStart w:id="977" w:name="_Toc38441161"/>
      <w:bookmarkStart w:id="978" w:name="_Toc38441493"/>
      <w:bookmarkStart w:id="979" w:name="_Toc38441821"/>
      <w:bookmarkStart w:id="980" w:name="_Toc38442153"/>
      <w:bookmarkStart w:id="981" w:name="_Toc38442485"/>
      <w:bookmarkStart w:id="982" w:name="_Toc38442816"/>
      <w:bookmarkStart w:id="983" w:name="_Toc38443147"/>
      <w:bookmarkStart w:id="984" w:name="_Toc38443478"/>
      <w:bookmarkStart w:id="985" w:name="_Toc38443809"/>
      <w:bookmarkStart w:id="986" w:name="_Toc38438277"/>
      <w:bookmarkStart w:id="987" w:name="_Toc38438614"/>
      <w:bookmarkStart w:id="988" w:name="_Toc38438951"/>
      <w:bookmarkStart w:id="989" w:name="_Toc38439288"/>
      <w:bookmarkStart w:id="990" w:name="_Toc38439625"/>
      <w:bookmarkStart w:id="991" w:name="_Toc309286198"/>
      <w:bookmarkStart w:id="992" w:name="_Toc308697677"/>
      <w:bookmarkStart w:id="993" w:name="_Toc309286199"/>
      <w:bookmarkStart w:id="994" w:name="_Toc308697678"/>
      <w:bookmarkStart w:id="995" w:name="_Toc309286200"/>
      <w:bookmarkStart w:id="996" w:name="_Toc308697679"/>
      <w:bookmarkStart w:id="997" w:name="_Toc309286201"/>
      <w:bookmarkStart w:id="998" w:name="_Toc308697680"/>
      <w:bookmarkStart w:id="999" w:name="_Toc309286202"/>
      <w:bookmarkStart w:id="1000" w:name="_Toc308697681"/>
      <w:bookmarkStart w:id="1001" w:name="_Toc309286203"/>
      <w:bookmarkStart w:id="1002" w:name="_Toc308697682"/>
      <w:bookmarkStart w:id="1003" w:name="_Toc309286204"/>
      <w:bookmarkStart w:id="1004" w:name="_Toc308697683"/>
      <w:bookmarkStart w:id="1005" w:name="_Toc309286205"/>
      <w:bookmarkStart w:id="1006" w:name="_Toc308697684"/>
      <w:bookmarkStart w:id="1007" w:name="_Toc309286206"/>
      <w:bookmarkStart w:id="1008" w:name="_Toc308697685"/>
      <w:bookmarkStart w:id="1009" w:name="_Toc309286207"/>
      <w:bookmarkStart w:id="1010" w:name="_Toc97031319"/>
      <w:bookmarkStart w:id="1011" w:name="_Toc97107279"/>
      <w:bookmarkStart w:id="1012" w:name="_Toc272569090"/>
      <w:bookmarkStart w:id="1013" w:name="_Toc272569242"/>
      <w:bookmarkStart w:id="1014" w:name="_Toc272569426"/>
      <w:bookmarkStart w:id="1015" w:name="_Toc272569563"/>
      <w:bookmarkStart w:id="1016" w:name="_Toc272569699"/>
      <w:bookmarkStart w:id="1017" w:name="_Toc272569850"/>
      <w:bookmarkStart w:id="1018" w:name="_Toc272570173"/>
      <w:bookmarkStart w:id="1019" w:name="_Toc272570307"/>
      <w:bookmarkStart w:id="1020" w:name="_Toc272570440"/>
      <w:bookmarkStart w:id="1021" w:name="_Toc272570574"/>
      <w:bookmarkStart w:id="1022" w:name="_Toc272570707"/>
      <w:bookmarkStart w:id="1023" w:name="_Toc272570840"/>
      <w:bookmarkStart w:id="1024" w:name="_Toc38438283"/>
      <w:bookmarkStart w:id="1025" w:name="_Toc38438620"/>
      <w:bookmarkStart w:id="1026" w:name="_Toc38438957"/>
      <w:bookmarkStart w:id="1027" w:name="_Toc38439294"/>
      <w:bookmarkStart w:id="1028" w:name="_Toc38439631"/>
      <w:bookmarkStart w:id="1029" w:name="_Toc38439968"/>
      <w:bookmarkStart w:id="1030" w:name="_Toc38440305"/>
      <w:bookmarkStart w:id="1031" w:name="_Toc38440638"/>
      <w:bookmarkStart w:id="1032" w:name="_Toc38440837"/>
      <w:bookmarkStart w:id="1033" w:name="_Toc38441169"/>
      <w:bookmarkStart w:id="1034" w:name="_Toc38441501"/>
      <w:bookmarkStart w:id="1035" w:name="_Toc38441829"/>
      <w:bookmarkStart w:id="1036" w:name="_Toc38442161"/>
      <w:bookmarkStart w:id="1037" w:name="_Toc38442493"/>
      <w:bookmarkStart w:id="1038" w:name="_Toc38442824"/>
      <w:bookmarkStart w:id="1039" w:name="_Toc38443155"/>
      <w:bookmarkStart w:id="1040" w:name="_Toc38443486"/>
      <w:bookmarkStart w:id="1041" w:name="_Toc38443817"/>
      <w:bookmarkStart w:id="1042" w:name="_Toc38438284"/>
      <w:bookmarkStart w:id="1043" w:name="_Toc38438621"/>
      <w:bookmarkStart w:id="1044" w:name="_Toc38438958"/>
      <w:bookmarkStart w:id="1045" w:name="_Toc38439295"/>
      <w:bookmarkStart w:id="1046" w:name="_Toc38439632"/>
      <w:bookmarkStart w:id="1047" w:name="_Toc38439969"/>
      <w:bookmarkStart w:id="1048" w:name="_Toc38440306"/>
      <w:bookmarkStart w:id="1049" w:name="_Toc38440639"/>
      <w:bookmarkStart w:id="1050" w:name="_Toc38440838"/>
      <w:bookmarkStart w:id="1051" w:name="_Toc38441170"/>
      <w:bookmarkStart w:id="1052" w:name="_Toc38441502"/>
      <w:bookmarkStart w:id="1053" w:name="_Toc38441830"/>
      <w:bookmarkStart w:id="1054" w:name="_Toc38442162"/>
      <w:bookmarkStart w:id="1055" w:name="_Toc38442494"/>
      <w:bookmarkStart w:id="1056" w:name="_Toc38442825"/>
      <w:bookmarkStart w:id="1057" w:name="_Toc38443156"/>
      <w:bookmarkStart w:id="1058" w:name="_Toc38443487"/>
      <w:bookmarkStart w:id="1059" w:name="_Toc38443818"/>
      <w:bookmarkStart w:id="1060" w:name="_Toc38438285"/>
      <w:bookmarkStart w:id="1061" w:name="_Toc38438622"/>
      <w:bookmarkStart w:id="1062" w:name="_Toc38438959"/>
      <w:bookmarkStart w:id="1063" w:name="_Toc38439296"/>
      <w:bookmarkStart w:id="1064" w:name="_Toc38439633"/>
      <w:bookmarkStart w:id="1065" w:name="_Toc38439970"/>
      <w:bookmarkStart w:id="1066" w:name="_Toc38440307"/>
      <w:bookmarkStart w:id="1067" w:name="_Toc38440640"/>
      <w:bookmarkStart w:id="1068" w:name="_Toc38440839"/>
      <w:bookmarkStart w:id="1069" w:name="_Toc38441171"/>
      <w:bookmarkStart w:id="1070" w:name="_Toc38441503"/>
      <w:bookmarkStart w:id="1071" w:name="_Toc38441831"/>
      <w:bookmarkStart w:id="1072" w:name="_Toc38442163"/>
      <w:bookmarkStart w:id="1073" w:name="_Toc38442495"/>
      <w:bookmarkStart w:id="1074" w:name="_Toc38442826"/>
      <w:bookmarkStart w:id="1075" w:name="_Toc38443157"/>
      <w:bookmarkStart w:id="1076" w:name="_Toc38443488"/>
      <w:bookmarkStart w:id="1077" w:name="_Toc38443819"/>
      <w:bookmarkStart w:id="1078" w:name="_Toc38438286"/>
      <w:bookmarkStart w:id="1079" w:name="_Toc38438623"/>
      <w:bookmarkStart w:id="1080" w:name="_Toc38438960"/>
      <w:bookmarkStart w:id="1081" w:name="_Toc38439297"/>
      <w:bookmarkStart w:id="1082" w:name="_Toc38439634"/>
      <w:bookmarkStart w:id="1083" w:name="_Toc38439971"/>
      <w:bookmarkStart w:id="1084" w:name="_Toc38440308"/>
      <w:bookmarkStart w:id="1085" w:name="_Toc38440641"/>
      <w:bookmarkStart w:id="1086" w:name="_Toc38440840"/>
      <w:bookmarkStart w:id="1087" w:name="_Toc38441172"/>
      <w:bookmarkStart w:id="1088" w:name="_Toc38441504"/>
      <w:bookmarkStart w:id="1089" w:name="_Toc38441832"/>
      <w:bookmarkStart w:id="1090" w:name="_Toc38442164"/>
      <w:bookmarkStart w:id="1091" w:name="_Toc38442496"/>
      <w:bookmarkStart w:id="1092" w:name="_Toc38442827"/>
      <w:bookmarkStart w:id="1093" w:name="_Toc38443158"/>
      <w:bookmarkStart w:id="1094" w:name="_Toc38443489"/>
      <w:bookmarkStart w:id="1095" w:name="_Toc38443820"/>
      <w:bookmarkStart w:id="1096" w:name="_Toc38438287"/>
      <w:bookmarkStart w:id="1097" w:name="_Toc38438624"/>
      <w:bookmarkStart w:id="1098" w:name="_Toc38438961"/>
      <w:bookmarkStart w:id="1099" w:name="_Toc38439298"/>
      <w:bookmarkStart w:id="1100" w:name="_Toc38439635"/>
      <w:bookmarkStart w:id="1101" w:name="_Toc38439972"/>
      <w:bookmarkStart w:id="1102" w:name="_Toc38440309"/>
      <w:bookmarkStart w:id="1103" w:name="_Toc38440642"/>
      <w:bookmarkStart w:id="1104" w:name="_Toc38440841"/>
      <w:bookmarkStart w:id="1105" w:name="_Toc38441173"/>
      <w:bookmarkStart w:id="1106" w:name="_Toc38441505"/>
      <w:bookmarkStart w:id="1107" w:name="_Toc38441833"/>
      <w:bookmarkStart w:id="1108" w:name="_Toc38442165"/>
      <w:bookmarkStart w:id="1109" w:name="_Toc38442497"/>
      <w:bookmarkStart w:id="1110" w:name="_Toc38442828"/>
      <w:bookmarkStart w:id="1111" w:name="_Toc38443159"/>
      <w:bookmarkStart w:id="1112" w:name="_Toc38443490"/>
      <w:bookmarkStart w:id="1113" w:name="_Toc38443821"/>
      <w:bookmarkStart w:id="1114" w:name="_Toc38438288"/>
      <w:bookmarkStart w:id="1115" w:name="_Toc38438625"/>
      <w:bookmarkStart w:id="1116" w:name="_Toc38438962"/>
      <w:bookmarkStart w:id="1117" w:name="_Toc38439299"/>
      <w:bookmarkStart w:id="1118" w:name="_Toc38439636"/>
      <w:bookmarkStart w:id="1119" w:name="_Toc38439973"/>
      <w:bookmarkStart w:id="1120" w:name="_Toc38440310"/>
      <w:bookmarkStart w:id="1121" w:name="_Toc38440643"/>
      <w:bookmarkStart w:id="1122" w:name="_Toc38440842"/>
      <w:bookmarkStart w:id="1123" w:name="_Toc38438629"/>
      <w:bookmarkStart w:id="1124" w:name="_Toc38438966"/>
      <w:bookmarkStart w:id="1125" w:name="_Toc38439303"/>
      <w:bookmarkStart w:id="1126" w:name="_Toc38439640"/>
      <w:bookmarkStart w:id="1127" w:name="_Toc38439977"/>
      <w:bookmarkStart w:id="1128" w:name="_Toc38440314"/>
      <w:bookmarkStart w:id="1129" w:name="_Toc38440647"/>
      <w:bookmarkStart w:id="1130" w:name="_Toc38440846"/>
      <w:bookmarkStart w:id="1131" w:name="_Toc38441178"/>
      <w:bookmarkStart w:id="1132" w:name="_Toc38441510"/>
      <w:bookmarkStart w:id="1133" w:name="_Toc38441838"/>
      <w:bookmarkStart w:id="1134" w:name="_Toc38442170"/>
      <w:bookmarkStart w:id="1135" w:name="_Toc38442502"/>
      <w:bookmarkStart w:id="1136" w:name="_Toc38442833"/>
      <w:bookmarkStart w:id="1137" w:name="_Toc38443164"/>
      <w:bookmarkStart w:id="1138" w:name="_Toc38443495"/>
      <w:bookmarkStart w:id="1139" w:name="_Toc38443826"/>
      <w:bookmarkStart w:id="1140" w:name="_Toc38438293"/>
      <w:bookmarkStart w:id="1141" w:name="_Toc38438630"/>
      <w:bookmarkStart w:id="1142" w:name="_Toc38438967"/>
      <w:bookmarkStart w:id="1143" w:name="_Toc38439304"/>
      <w:bookmarkStart w:id="1144" w:name="_Toc38439641"/>
      <w:bookmarkStart w:id="1145" w:name="_Toc38439978"/>
      <w:bookmarkStart w:id="1146" w:name="_Toc38440315"/>
      <w:bookmarkStart w:id="1147" w:name="_Toc38440648"/>
      <w:bookmarkStart w:id="1148" w:name="_Toc38440847"/>
      <w:bookmarkStart w:id="1149" w:name="_Toc38441179"/>
      <w:bookmarkStart w:id="1150" w:name="_Toc38441511"/>
      <w:bookmarkStart w:id="1151" w:name="_Toc38441839"/>
      <w:bookmarkStart w:id="1152" w:name="_Toc38442171"/>
      <w:bookmarkStart w:id="1153" w:name="_Toc38442503"/>
      <w:bookmarkStart w:id="1154" w:name="_Toc38442834"/>
      <w:bookmarkStart w:id="1155" w:name="_Toc38443165"/>
      <w:bookmarkStart w:id="1156" w:name="_Toc38443496"/>
      <w:bookmarkStart w:id="1157" w:name="_Toc38443827"/>
      <w:bookmarkStart w:id="1158" w:name="_Toc38438296"/>
      <w:bookmarkStart w:id="1159" w:name="_Toc38438633"/>
      <w:bookmarkStart w:id="1160" w:name="_Toc38438970"/>
      <w:bookmarkStart w:id="1161" w:name="_Toc38439307"/>
      <w:bookmarkStart w:id="1162" w:name="_Toc38439644"/>
      <w:bookmarkStart w:id="1163" w:name="_Toc38439981"/>
      <w:bookmarkStart w:id="1164" w:name="_Toc38440318"/>
      <w:bookmarkStart w:id="1165" w:name="_Toc38440651"/>
      <w:bookmarkStart w:id="1166" w:name="_Toc38440850"/>
      <w:bookmarkStart w:id="1167" w:name="_Toc38441182"/>
      <w:bookmarkStart w:id="1168" w:name="_Toc38441514"/>
      <w:bookmarkStart w:id="1169" w:name="_Toc38441842"/>
      <w:bookmarkStart w:id="1170" w:name="_Toc38442174"/>
      <w:bookmarkStart w:id="1171" w:name="_Toc38442506"/>
      <w:bookmarkStart w:id="1172" w:name="_Toc38442837"/>
      <w:bookmarkStart w:id="1173" w:name="_Toc38443168"/>
      <w:bookmarkStart w:id="1174" w:name="_Toc38443499"/>
      <w:bookmarkStart w:id="1175" w:name="_Toc38443830"/>
      <w:bookmarkStart w:id="1176" w:name="_Toc38438297"/>
      <w:bookmarkStart w:id="1177" w:name="_Toc38438634"/>
      <w:bookmarkStart w:id="1178" w:name="_Toc38438971"/>
      <w:bookmarkStart w:id="1179" w:name="_Toc38439308"/>
      <w:bookmarkStart w:id="1180" w:name="_Toc38439645"/>
      <w:bookmarkStart w:id="1181" w:name="_Toc38439982"/>
      <w:bookmarkStart w:id="1182" w:name="_Toc38440319"/>
      <w:bookmarkStart w:id="1183" w:name="_Toc38440652"/>
      <w:bookmarkStart w:id="1184" w:name="_Toc38440851"/>
      <w:bookmarkStart w:id="1185" w:name="_Toc38441183"/>
      <w:bookmarkStart w:id="1186" w:name="_Toc38441515"/>
      <w:bookmarkStart w:id="1187" w:name="_Toc38441843"/>
      <w:bookmarkStart w:id="1188" w:name="_Toc38442175"/>
      <w:bookmarkStart w:id="1189" w:name="_Toc38442507"/>
      <w:bookmarkStart w:id="1190" w:name="_Toc38442838"/>
      <w:bookmarkStart w:id="1191" w:name="_Toc38443169"/>
      <w:bookmarkStart w:id="1192" w:name="_Toc38443500"/>
      <w:bookmarkStart w:id="1193" w:name="_Toc38443831"/>
      <w:bookmarkStart w:id="1194" w:name="_Toc38438298"/>
      <w:bookmarkStart w:id="1195" w:name="_Toc38438635"/>
      <w:bookmarkStart w:id="1196" w:name="_Toc38438972"/>
      <w:bookmarkStart w:id="1197" w:name="_Toc38439309"/>
      <w:bookmarkStart w:id="1198" w:name="_Toc38439646"/>
      <w:bookmarkStart w:id="1199" w:name="_Toc38439983"/>
      <w:bookmarkStart w:id="1200" w:name="_Toc38440320"/>
      <w:bookmarkStart w:id="1201" w:name="_Toc38440653"/>
      <w:bookmarkStart w:id="1202" w:name="_Toc38440852"/>
      <w:bookmarkStart w:id="1203" w:name="_Toc38441184"/>
      <w:bookmarkStart w:id="1204" w:name="_Toc38441516"/>
      <w:bookmarkStart w:id="1205" w:name="_Toc38441844"/>
      <w:bookmarkStart w:id="1206" w:name="_Toc38442176"/>
      <w:bookmarkStart w:id="1207" w:name="_Toc38442508"/>
      <w:bookmarkStart w:id="1208" w:name="_Toc38442839"/>
      <w:bookmarkStart w:id="1209" w:name="_Toc38443170"/>
      <w:bookmarkStart w:id="1210" w:name="_Toc38443501"/>
      <w:bookmarkStart w:id="1211" w:name="_Toc38443832"/>
      <w:bookmarkStart w:id="1212" w:name="_Toc38438299"/>
      <w:bookmarkStart w:id="1213" w:name="_Toc38438636"/>
      <w:bookmarkStart w:id="1214" w:name="_Toc38438973"/>
      <w:bookmarkStart w:id="1215" w:name="_Toc38439310"/>
      <w:bookmarkStart w:id="1216" w:name="_Toc38439647"/>
      <w:bookmarkStart w:id="1217" w:name="_Toc38439984"/>
      <w:bookmarkStart w:id="1218" w:name="_Toc38440321"/>
      <w:bookmarkStart w:id="1219" w:name="_Toc38440654"/>
      <w:bookmarkStart w:id="1220" w:name="_Toc38440853"/>
      <w:bookmarkStart w:id="1221" w:name="_Toc38441185"/>
      <w:bookmarkStart w:id="1222" w:name="_Toc38441517"/>
      <w:bookmarkStart w:id="1223" w:name="_Toc38441845"/>
      <w:bookmarkStart w:id="1224" w:name="_Toc38442177"/>
      <w:bookmarkStart w:id="1225" w:name="_Toc38442509"/>
      <w:bookmarkStart w:id="1226" w:name="_Toc38442840"/>
      <w:bookmarkStart w:id="1227" w:name="_Toc38443171"/>
      <w:bookmarkStart w:id="1228" w:name="_Toc38443502"/>
      <w:bookmarkStart w:id="1229" w:name="_Toc38443833"/>
      <w:bookmarkStart w:id="1230" w:name="_Toc38438301"/>
      <w:bookmarkStart w:id="1231" w:name="_Toc38438638"/>
      <w:bookmarkStart w:id="1232" w:name="_Toc38438975"/>
      <w:bookmarkStart w:id="1233" w:name="_Toc38439312"/>
      <w:bookmarkStart w:id="1234" w:name="_Toc38439649"/>
      <w:bookmarkStart w:id="1235" w:name="_Toc38439986"/>
      <w:bookmarkStart w:id="1236" w:name="_Toc38440323"/>
      <w:bookmarkStart w:id="1237" w:name="_Toc38440656"/>
      <w:bookmarkStart w:id="1238" w:name="_Toc38440855"/>
      <w:bookmarkStart w:id="1239" w:name="_Toc38441187"/>
      <w:bookmarkStart w:id="1240" w:name="_Toc38441519"/>
      <w:bookmarkStart w:id="1241" w:name="_Toc38441847"/>
      <w:bookmarkStart w:id="1242" w:name="_Toc38442179"/>
      <w:bookmarkStart w:id="1243" w:name="_Toc38442511"/>
      <w:bookmarkStart w:id="1244" w:name="_Toc38442842"/>
      <w:bookmarkStart w:id="1245" w:name="_Toc38443173"/>
      <w:bookmarkStart w:id="1246" w:name="_Toc38443504"/>
      <w:bookmarkStart w:id="1247" w:name="_Toc38443835"/>
      <w:bookmarkStart w:id="1248" w:name="_Toc38438302"/>
      <w:bookmarkStart w:id="1249" w:name="_Toc38438639"/>
      <w:bookmarkStart w:id="1250" w:name="_Toc38438976"/>
      <w:bookmarkStart w:id="1251" w:name="_Toc38439313"/>
      <w:bookmarkStart w:id="1252" w:name="_Toc38439650"/>
      <w:bookmarkStart w:id="1253" w:name="_Toc38439987"/>
      <w:bookmarkStart w:id="1254" w:name="_Toc38440324"/>
      <w:bookmarkStart w:id="1255" w:name="_Toc38440657"/>
      <w:bookmarkStart w:id="1256" w:name="_Toc38440856"/>
      <w:bookmarkStart w:id="1257" w:name="_Toc38441188"/>
      <w:bookmarkStart w:id="1258" w:name="_Toc38441520"/>
      <w:bookmarkStart w:id="1259" w:name="_Toc38441848"/>
      <w:bookmarkStart w:id="1260" w:name="_Toc38442180"/>
      <w:bookmarkStart w:id="1261" w:name="_Toc38442512"/>
      <w:bookmarkStart w:id="1262" w:name="_Toc38442843"/>
      <w:bookmarkStart w:id="1263" w:name="_Toc38443174"/>
      <w:bookmarkStart w:id="1264" w:name="_Toc38443505"/>
      <w:bookmarkStart w:id="1265" w:name="_Toc38443836"/>
      <w:bookmarkStart w:id="1266" w:name="_Toc38438303"/>
      <w:bookmarkStart w:id="1267" w:name="_Toc38438640"/>
      <w:bookmarkStart w:id="1268" w:name="_Toc38438977"/>
      <w:bookmarkStart w:id="1269" w:name="_Toc38439314"/>
      <w:bookmarkStart w:id="1270" w:name="_Toc38439651"/>
      <w:bookmarkStart w:id="1271" w:name="_Toc38439988"/>
      <w:bookmarkStart w:id="1272" w:name="_Toc38440325"/>
      <w:bookmarkStart w:id="1273" w:name="_Toc38440658"/>
      <w:bookmarkStart w:id="1274" w:name="_Toc38440857"/>
      <w:bookmarkStart w:id="1275" w:name="_Toc38441189"/>
      <w:bookmarkStart w:id="1276" w:name="_Toc38441521"/>
      <w:bookmarkStart w:id="1277" w:name="_Toc38441849"/>
      <w:bookmarkStart w:id="1278" w:name="_Toc38442181"/>
      <w:bookmarkStart w:id="1279" w:name="_Toc38442513"/>
      <w:bookmarkStart w:id="1280" w:name="_Toc38442844"/>
      <w:bookmarkStart w:id="1281" w:name="_Toc38443175"/>
      <w:bookmarkStart w:id="1282" w:name="_Toc38443506"/>
      <w:bookmarkStart w:id="1283" w:name="_Toc38443837"/>
      <w:bookmarkStart w:id="1284" w:name="_Toc38438304"/>
      <w:bookmarkStart w:id="1285" w:name="_Toc38438641"/>
      <w:bookmarkStart w:id="1286" w:name="_Toc38438978"/>
      <w:bookmarkStart w:id="1287" w:name="_Toc38439315"/>
      <w:bookmarkStart w:id="1288" w:name="_Toc38439652"/>
      <w:bookmarkStart w:id="1289" w:name="_Toc38439989"/>
      <w:bookmarkStart w:id="1290" w:name="_Toc38440326"/>
      <w:bookmarkStart w:id="1291" w:name="_Toc38440659"/>
      <w:bookmarkStart w:id="1292" w:name="_Toc38440858"/>
      <w:bookmarkStart w:id="1293" w:name="_Toc38441190"/>
      <w:bookmarkStart w:id="1294" w:name="_Toc38441522"/>
      <w:bookmarkStart w:id="1295" w:name="_Toc38441850"/>
      <w:bookmarkStart w:id="1296" w:name="_Toc38442182"/>
      <w:bookmarkStart w:id="1297" w:name="_Toc38442514"/>
      <w:bookmarkStart w:id="1298" w:name="_Toc38442845"/>
      <w:bookmarkStart w:id="1299" w:name="_Toc38443176"/>
      <w:bookmarkStart w:id="1300" w:name="_Toc38443507"/>
      <w:bookmarkStart w:id="1301" w:name="_Toc38443838"/>
      <w:bookmarkStart w:id="1302" w:name="_Toc38438305"/>
      <w:bookmarkStart w:id="1303" w:name="_Toc38438642"/>
      <w:bookmarkStart w:id="1304" w:name="_Toc38438979"/>
      <w:bookmarkStart w:id="1305" w:name="_Toc38439316"/>
      <w:bookmarkStart w:id="1306" w:name="_Toc38439653"/>
      <w:bookmarkStart w:id="1307" w:name="_Toc38439990"/>
      <w:bookmarkStart w:id="1308" w:name="_Toc38440327"/>
      <w:bookmarkStart w:id="1309" w:name="_Toc38440660"/>
      <w:bookmarkStart w:id="1310" w:name="_Toc38440859"/>
      <w:bookmarkStart w:id="1311" w:name="_Toc38441191"/>
      <w:bookmarkStart w:id="1312" w:name="_Toc38441523"/>
      <w:bookmarkStart w:id="1313" w:name="_Toc38441851"/>
      <w:bookmarkStart w:id="1314" w:name="_Toc38442183"/>
      <w:bookmarkStart w:id="1315" w:name="_Toc38442515"/>
      <w:bookmarkStart w:id="1316" w:name="_Toc38442846"/>
      <w:bookmarkStart w:id="1317" w:name="_Toc38443177"/>
      <w:bookmarkStart w:id="1318" w:name="_Toc38443508"/>
      <w:bookmarkStart w:id="1319" w:name="_Toc38443839"/>
      <w:bookmarkStart w:id="1320" w:name="_Toc38438306"/>
      <w:bookmarkStart w:id="1321" w:name="_Toc38438643"/>
      <w:bookmarkStart w:id="1322" w:name="_Toc38438980"/>
      <w:bookmarkStart w:id="1323" w:name="_Toc38439317"/>
      <w:bookmarkStart w:id="1324" w:name="_Toc38439654"/>
      <w:bookmarkStart w:id="1325" w:name="_Toc38439991"/>
      <w:bookmarkStart w:id="1326" w:name="_Toc38440328"/>
      <w:bookmarkStart w:id="1327" w:name="_Toc38440661"/>
      <w:bookmarkStart w:id="1328" w:name="_Toc38440860"/>
      <w:bookmarkStart w:id="1329" w:name="_Toc38441192"/>
      <w:bookmarkStart w:id="1330" w:name="_Toc38441524"/>
      <w:bookmarkStart w:id="1331" w:name="_Toc38441852"/>
      <w:bookmarkStart w:id="1332" w:name="_Toc38442184"/>
      <w:bookmarkStart w:id="1333" w:name="_Toc38442516"/>
      <w:bookmarkStart w:id="1334" w:name="_Toc38442847"/>
      <w:bookmarkStart w:id="1335" w:name="_Toc38443178"/>
      <w:bookmarkStart w:id="1336" w:name="_Toc38443509"/>
      <w:bookmarkStart w:id="1337" w:name="_Toc38443840"/>
      <w:bookmarkStart w:id="1338" w:name="_Toc38438310"/>
      <w:bookmarkStart w:id="1339" w:name="_Toc38438647"/>
      <w:bookmarkStart w:id="1340" w:name="_Toc38438984"/>
      <w:bookmarkStart w:id="1341" w:name="_Toc38439321"/>
      <w:bookmarkStart w:id="1342" w:name="_Toc38439658"/>
      <w:bookmarkStart w:id="1343" w:name="_Toc38439995"/>
      <w:bookmarkStart w:id="1344" w:name="_Toc38440332"/>
      <w:bookmarkStart w:id="1345" w:name="_Toc38440665"/>
      <w:bookmarkStart w:id="1346" w:name="_Toc38440864"/>
      <w:bookmarkStart w:id="1347" w:name="_Toc38441196"/>
      <w:bookmarkStart w:id="1348" w:name="_Toc38441528"/>
      <w:bookmarkStart w:id="1349" w:name="_Toc38441856"/>
      <w:bookmarkStart w:id="1350" w:name="_Toc38442188"/>
      <w:bookmarkStart w:id="1351" w:name="_Toc38442520"/>
      <w:bookmarkStart w:id="1352" w:name="_Toc38442851"/>
      <w:bookmarkStart w:id="1353" w:name="_Toc38443182"/>
      <w:bookmarkStart w:id="1354" w:name="_Toc38443513"/>
      <w:bookmarkStart w:id="1355" w:name="_Toc38443844"/>
      <w:bookmarkStart w:id="1356" w:name="_Toc38438311"/>
      <w:bookmarkStart w:id="1357" w:name="_Toc38438648"/>
      <w:bookmarkStart w:id="1358" w:name="_Toc38438985"/>
      <w:bookmarkStart w:id="1359" w:name="_Toc38439322"/>
      <w:bookmarkStart w:id="1360" w:name="_Toc38439659"/>
      <w:bookmarkStart w:id="1361" w:name="_Toc38439996"/>
      <w:bookmarkStart w:id="1362" w:name="_Toc38440333"/>
      <w:bookmarkStart w:id="1363" w:name="_Toc38440666"/>
      <w:bookmarkStart w:id="1364" w:name="_Toc38440865"/>
      <w:bookmarkStart w:id="1365" w:name="_Toc38441197"/>
      <w:bookmarkStart w:id="1366" w:name="_Toc38441529"/>
      <w:bookmarkStart w:id="1367" w:name="_Toc38441857"/>
      <w:bookmarkStart w:id="1368" w:name="_Toc38442189"/>
      <w:bookmarkStart w:id="1369" w:name="_Toc38442521"/>
      <w:bookmarkStart w:id="1370" w:name="_Toc38442852"/>
      <w:bookmarkStart w:id="1371" w:name="_Toc38443183"/>
      <w:bookmarkStart w:id="1372" w:name="_Toc38443514"/>
      <w:bookmarkStart w:id="1373" w:name="_Toc38443845"/>
      <w:bookmarkStart w:id="1374" w:name="_Toc38438312"/>
      <w:bookmarkStart w:id="1375" w:name="_Toc38438649"/>
      <w:bookmarkStart w:id="1376" w:name="_Toc38438986"/>
      <w:bookmarkStart w:id="1377" w:name="_Toc38439323"/>
      <w:bookmarkStart w:id="1378" w:name="_Toc38439660"/>
      <w:bookmarkStart w:id="1379" w:name="_Toc38439997"/>
      <w:bookmarkStart w:id="1380" w:name="_Toc38440334"/>
      <w:bookmarkStart w:id="1381" w:name="_Toc38440667"/>
      <w:bookmarkStart w:id="1382" w:name="_Toc38440866"/>
      <w:bookmarkStart w:id="1383" w:name="_Toc38441198"/>
      <w:bookmarkStart w:id="1384" w:name="_Toc38441530"/>
      <w:bookmarkStart w:id="1385" w:name="_Toc38441858"/>
      <w:bookmarkStart w:id="1386" w:name="_Toc38442190"/>
      <w:bookmarkStart w:id="1387" w:name="_Toc38442522"/>
      <w:bookmarkStart w:id="1388" w:name="_Toc38442853"/>
      <w:bookmarkStart w:id="1389" w:name="_Toc38443184"/>
      <w:bookmarkStart w:id="1390" w:name="_Toc38443515"/>
      <w:bookmarkStart w:id="1391" w:name="_Toc38443846"/>
      <w:bookmarkStart w:id="1392" w:name="_Toc38438313"/>
      <w:bookmarkStart w:id="1393" w:name="_Toc38438650"/>
      <w:bookmarkStart w:id="1394" w:name="_Toc38438987"/>
      <w:bookmarkStart w:id="1395" w:name="_Toc38439324"/>
      <w:bookmarkStart w:id="1396" w:name="_Toc38439661"/>
      <w:bookmarkStart w:id="1397" w:name="_Toc38439998"/>
      <w:bookmarkStart w:id="1398" w:name="_Toc38440335"/>
      <w:bookmarkStart w:id="1399" w:name="_Toc38440668"/>
      <w:bookmarkStart w:id="1400" w:name="_Toc38440867"/>
      <w:bookmarkStart w:id="1401" w:name="_Toc38441199"/>
      <w:bookmarkStart w:id="1402" w:name="_Toc38441531"/>
      <w:bookmarkStart w:id="1403" w:name="_Toc38441859"/>
      <w:bookmarkStart w:id="1404" w:name="_Toc38442191"/>
      <w:bookmarkStart w:id="1405" w:name="_Toc38442523"/>
      <w:bookmarkStart w:id="1406" w:name="_Toc38442854"/>
      <w:bookmarkStart w:id="1407" w:name="_Toc38443185"/>
      <w:bookmarkStart w:id="1408" w:name="_Toc38443516"/>
      <w:bookmarkStart w:id="1409" w:name="_Toc38443847"/>
      <w:bookmarkStart w:id="1410" w:name="_Toc38438314"/>
      <w:bookmarkStart w:id="1411" w:name="_Toc38438651"/>
      <w:bookmarkStart w:id="1412" w:name="_Toc38438988"/>
      <w:bookmarkStart w:id="1413" w:name="_Toc38439325"/>
      <w:bookmarkStart w:id="1414" w:name="_Toc38439662"/>
      <w:bookmarkStart w:id="1415" w:name="_Toc38439999"/>
      <w:bookmarkStart w:id="1416" w:name="_Toc38440336"/>
      <w:bookmarkStart w:id="1417" w:name="_Toc38440669"/>
      <w:bookmarkStart w:id="1418" w:name="_Toc38440868"/>
      <w:bookmarkStart w:id="1419" w:name="_Toc38441200"/>
      <w:bookmarkStart w:id="1420" w:name="_Toc38441532"/>
      <w:bookmarkStart w:id="1421" w:name="_Toc38441860"/>
      <w:bookmarkStart w:id="1422" w:name="_Toc38442192"/>
      <w:bookmarkStart w:id="1423" w:name="_Toc38442524"/>
      <w:bookmarkStart w:id="1424" w:name="_Toc38442855"/>
      <w:bookmarkStart w:id="1425" w:name="_Toc38443186"/>
      <w:bookmarkStart w:id="1426" w:name="_Toc38443517"/>
      <w:bookmarkStart w:id="1427" w:name="_Toc38443848"/>
      <w:bookmarkStart w:id="1428" w:name="_Toc38438315"/>
      <w:bookmarkStart w:id="1429" w:name="_Toc38438652"/>
      <w:bookmarkStart w:id="1430" w:name="_Toc38438989"/>
      <w:bookmarkStart w:id="1431" w:name="_Toc38439326"/>
      <w:bookmarkStart w:id="1432" w:name="_Toc38439663"/>
      <w:bookmarkStart w:id="1433" w:name="_Toc38440000"/>
      <w:bookmarkStart w:id="1434" w:name="_Toc38440337"/>
      <w:bookmarkStart w:id="1435" w:name="_Toc38440670"/>
      <w:bookmarkStart w:id="1436" w:name="_Toc38440869"/>
      <w:bookmarkStart w:id="1437" w:name="_Toc38441201"/>
      <w:bookmarkStart w:id="1438" w:name="_Toc38441533"/>
      <w:bookmarkStart w:id="1439" w:name="_Toc38441861"/>
      <w:bookmarkStart w:id="1440" w:name="_Toc38442193"/>
      <w:bookmarkStart w:id="1441" w:name="_Toc38442525"/>
      <w:bookmarkStart w:id="1442" w:name="_Toc38442856"/>
      <w:bookmarkStart w:id="1443" w:name="_Toc38443187"/>
      <w:bookmarkStart w:id="1444" w:name="_Toc38443518"/>
      <w:bookmarkStart w:id="1445" w:name="_Toc38443849"/>
      <w:bookmarkStart w:id="1446" w:name="_Toc38438316"/>
      <w:bookmarkStart w:id="1447" w:name="_Toc38438653"/>
      <w:bookmarkStart w:id="1448" w:name="_Toc38438990"/>
      <w:bookmarkStart w:id="1449" w:name="_Toc38439327"/>
      <w:bookmarkStart w:id="1450" w:name="_Toc38439664"/>
      <w:bookmarkStart w:id="1451" w:name="_Toc38440001"/>
      <w:bookmarkStart w:id="1452" w:name="_Toc38440338"/>
      <w:bookmarkStart w:id="1453" w:name="_Toc38440671"/>
      <w:bookmarkStart w:id="1454" w:name="_Toc38440870"/>
      <w:bookmarkStart w:id="1455" w:name="_Toc38441202"/>
      <w:bookmarkStart w:id="1456" w:name="_Toc38441534"/>
      <w:bookmarkStart w:id="1457" w:name="_Toc38441862"/>
      <w:bookmarkStart w:id="1458" w:name="_Toc38442194"/>
      <w:bookmarkStart w:id="1459" w:name="_Toc38442526"/>
      <w:bookmarkStart w:id="1460" w:name="_Toc38442857"/>
      <w:bookmarkStart w:id="1461" w:name="_Toc38443188"/>
      <w:bookmarkStart w:id="1462" w:name="_Toc38443519"/>
      <w:bookmarkStart w:id="1463" w:name="_Toc38443850"/>
      <w:bookmarkStart w:id="1464" w:name="_Toc38438317"/>
      <w:bookmarkStart w:id="1465" w:name="_Toc38438654"/>
      <w:bookmarkStart w:id="1466" w:name="_Toc38438991"/>
      <w:bookmarkStart w:id="1467" w:name="_Toc38439328"/>
      <w:bookmarkStart w:id="1468" w:name="_Toc38439665"/>
      <w:bookmarkStart w:id="1469" w:name="_Toc38440002"/>
      <w:bookmarkStart w:id="1470" w:name="_Toc38440339"/>
      <w:bookmarkStart w:id="1471" w:name="_Toc38440672"/>
      <w:bookmarkStart w:id="1472" w:name="_Toc38440871"/>
      <w:bookmarkStart w:id="1473" w:name="_Toc38441203"/>
      <w:bookmarkStart w:id="1474" w:name="_Toc38441535"/>
      <w:bookmarkStart w:id="1475" w:name="_Toc38441863"/>
      <w:bookmarkStart w:id="1476" w:name="_Toc38442195"/>
      <w:bookmarkStart w:id="1477" w:name="_Toc38442527"/>
      <w:bookmarkStart w:id="1478" w:name="_Toc38442858"/>
      <w:bookmarkStart w:id="1479" w:name="_Toc38443189"/>
      <w:bookmarkStart w:id="1480" w:name="_Toc38443520"/>
      <w:bookmarkStart w:id="1481" w:name="_Toc38443851"/>
      <w:bookmarkStart w:id="1482" w:name="_Toc38438318"/>
      <w:bookmarkStart w:id="1483" w:name="_Toc38438655"/>
      <w:bookmarkStart w:id="1484" w:name="_Toc38438992"/>
      <w:bookmarkStart w:id="1485" w:name="_Toc38439329"/>
      <w:bookmarkStart w:id="1486" w:name="_Toc38439666"/>
      <w:bookmarkStart w:id="1487" w:name="_Toc38440003"/>
      <w:bookmarkStart w:id="1488" w:name="_Toc38440340"/>
      <w:bookmarkStart w:id="1489" w:name="_Toc38440673"/>
      <w:bookmarkStart w:id="1490" w:name="_Toc38440872"/>
      <w:bookmarkStart w:id="1491" w:name="_Toc38441204"/>
      <w:bookmarkStart w:id="1492" w:name="_Toc38441536"/>
      <w:bookmarkStart w:id="1493" w:name="_Toc38441864"/>
      <w:bookmarkStart w:id="1494" w:name="_Toc278409389"/>
      <w:bookmarkStart w:id="1495" w:name="_Toc277787882"/>
      <w:bookmarkStart w:id="1496" w:name="_Toc277787878"/>
      <w:bookmarkStart w:id="1497" w:name="_Toc277787608"/>
      <w:bookmarkStart w:id="1498" w:name="_Toc309286149"/>
      <w:bookmarkStart w:id="1499" w:name="_Toc308697636"/>
      <w:bookmarkStart w:id="1500" w:name="_Toc309286148"/>
      <w:bookmarkStart w:id="1501" w:name="_Toc308697627"/>
      <w:bookmarkStart w:id="1502" w:name="_Toc309286158"/>
      <w:bookmarkStart w:id="1503" w:name="_Toc309286150"/>
      <w:bookmarkStart w:id="1504" w:name="_Toc308697628"/>
      <w:bookmarkStart w:id="1505" w:name="_Toc308697629"/>
      <w:bookmarkStart w:id="1506" w:name="_Toc277752508"/>
      <w:bookmarkStart w:id="1507" w:name="_Toc278409392"/>
      <w:bookmarkStart w:id="1508" w:name="_Toc277786087"/>
      <w:bookmarkStart w:id="1509" w:name="_Toc277787881"/>
      <w:bookmarkStart w:id="1510" w:name="_Toc308697635"/>
      <w:bookmarkStart w:id="1511" w:name="_Toc308697632"/>
      <w:bookmarkStart w:id="1512" w:name="_Toc309286156"/>
      <w:bookmarkStart w:id="1513" w:name="_Toc308697634"/>
      <w:bookmarkStart w:id="1514" w:name="_Toc309286154"/>
      <w:bookmarkStart w:id="1515" w:name="_Toc309286155"/>
      <w:bookmarkStart w:id="1516" w:name="_Toc308697642"/>
      <w:bookmarkStart w:id="1517" w:name="_Toc308697633"/>
      <w:bookmarkStart w:id="1518" w:name="_Toc309286151"/>
      <w:bookmarkStart w:id="1519" w:name="_Toc308697630"/>
      <w:bookmarkStart w:id="1520" w:name="_Toc309286153"/>
      <w:bookmarkStart w:id="1521" w:name="_Toc309286144"/>
      <w:bookmarkStart w:id="1522" w:name="_Toc308697631"/>
      <w:bookmarkStart w:id="1523" w:name="_Toc309286152"/>
      <w:bookmarkStart w:id="1524" w:name="_Toc308697623"/>
      <w:bookmarkStart w:id="1525" w:name="_Toc309286143"/>
      <w:bookmarkStart w:id="1526" w:name="_Toc308697621"/>
      <w:bookmarkStart w:id="1527" w:name="_Toc309286145"/>
      <w:bookmarkStart w:id="1528" w:name="_Toc308697622"/>
      <w:bookmarkStart w:id="1529" w:name="_Toc277752505"/>
      <w:bookmarkStart w:id="1530" w:name="_Toc277787606"/>
      <w:bookmarkStart w:id="1531" w:name="_Toc277786085"/>
      <w:bookmarkStart w:id="1532" w:name="_Toc278409390"/>
      <w:bookmarkStart w:id="1533" w:name="_Toc277787879"/>
      <w:bookmarkStart w:id="1534" w:name="_Toc277752506"/>
      <w:bookmarkStart w:id="1535" w:name="_Toc277786084"/>
      <w:bookmarkStart w:id="1536" w:name="_Toc308697510"/>
      <w:bookmarkStart w:id="1537" w:name="_Toc277787605"/>
      <w:bookmarkStart w:id="1538" w:name="_Toc277752507"/>
      <w:bookmarkStart w:id="1539" w:name="_Toc278409391"/>
      <w:bookmarkStart w:id="1540" w:name="_Toc277786086"/>
      <w:bookmarkStart w:id="1541" w:name="_Toc277787607"/>
      <w:bookmarkStart w:id="1542" w:name="_Toc278409393"/>
      <w:bookmarkStart w:id="1543" w:name="_Toc277787880"/>
      <w:bookmarkStart w:id="1544" w:name="_Toc309286082"/>
      <w:bookmarkStart w:id="1545" w:name="_Toc308697560"/>
      <w:bookmarkStart w:id="1546" w:name="_Toc44229207"/>
      <w:bookmarkStart w:id="1547" w:name="_Toc323051026"/>
      <w:bookmarkStart w:id="1548" w:name="_Toc310513350"/>
      <w:bookmarkStart w:id="1549" w:name="_Toc44229112"/>
      <w:bookmarkStart w:id="1550" w:name="_Toc310513214"/>
      <w:bookmarkStart w:id="1551" w:name="_Toc309286083"/>
      <w:bookmarkStart w:id="1552" w:name="_Toc310513075"/>
      <w:bookmarkStart w:id="1553" w:name="_Toc310512935"/>
      <w:bookmarkStart w:id="1554" w:name="_Toc310512782"/>
      <w:bookmarkStart w:id="1555" w:name="_Toc310512629"/>
      <w:bookmarkStart w:id="1556" w:name="_Toc310512465"/>
      <w:bookmarkStart w:id="1557" w:name="_Toc44229201"/>
      <w:bookmarkStart w:id="1558" w:name="_Toc323051025"/>
      <w:bookmarkStart w:id="1559" w:name="_Toc44229208"/>
      <w:bookmarkStart w:id="1560" w:name="_Toc310513349"/>
      <w:bookmarkStart w:id="1561" w:name="_Toc308697561"/>
      <w:bookmarkStart w:id="1562" w:name="_Toc310513213"/>
      <w:bookmarkStart w:id="1563" w:name="_Toc44229113"/>
      <w:bookmarkStart w:id="1564" w:name="_Toc44229107"/>
      <w:bookmarkStart w:id="1565" w:name="_Toc44229202"/>
      <w:bookmarkStart w:id="1566" w:name="_Toc310513074"/>
      <w:bookmarkStart w:id="1567" w:name="_Toc310512934"/>
      <w:bookmarkStart w:id="1568" w:name="_Toc44229108"/>
      <w:bookmarkStart w:id="1569" w:name="_Toc44229106"/>
      <w:bookmarkStart w:id="1570" w:name="_Toc308697562"/>
      <w:bookmarkStart w:id="1571" w:name="_Toc310512781"/>
      <w:bookmarkStart w:id="1572" w:name="_Toc309286084"/>
      <w:bookmarkStart w:id="1573" w:name="_Toc310512628"/>
      <w:bookmarkStart w:id="1574" w:name="_Toc310512464"/>
      <w:bookmarkStart w:id="1575" w:name="_Toc323051024"/>
      <w:bookmarkStart w:id="1576" w:name="_Toc310513348"/>
      <w:bookmarkStart w:id="1577" w:name="_Toc310513212"/>
      <w:bookmarkStart w:id="1578" w:name="_Toc310513073"/>
      <w:bookmarkStart w:id="1579" w:name="_Toc310512933"/>
      <w:bookmarkStart w:id="1580" w:name="_Toc310512780"/>
      <w:bookmarkStart w:id="1581" w:name="_Toc310512627"/>
      <w:bookmarkStart w:id="1582" w:name="_Toc310512463"/>
      <w:bookmarkStart w:id="1583" w:name="_Toc306614238"/>
      <w:bookmarkStart w:id="1584" w:name="_Toc309286065"/>
      <w:bookmarkStart w:id="1585" w:name="_Toc308697543"/>
      <w:bookmarkStart w:id="1586" w:name="_Toc309286064"/>
      <w:bookmarkStart w:id="1587" w:name="_Toc308697542"/>
      <w:bookmarkStart w:id="1588" w:name="_Toc309286063"/>
      <w:bookmarkStart w:id="1589" w:name="_Toc308697541"/>
      <w:bookmarkStart w:id="1590" w:name="_Toc296527004"/>
      <w:bookmarkStart w:id="1591" w:name="_Toc309286039"/>
      <w:bookmarkStart w:id="1592" w:name="_Toc308697517"/>
      <w:bookmarkStart w:id="1593" w:name="_Toc309286038"/>
      <w:bookmarkStart w:id="1594" w:name="_Toc308697516"/>
      <w:bookmarkStart w:id="1595" w:name="_Toc278409394"/>
      <w:bookmarkStart w:id="1596" w:name="_Toc277787883"/>
      <w:bookmarkStart w:id="1597" w:name="_Toc277787609"/>
      <w:bookmarkStart w:id="1598" w:name="_Toc277786088"/>
      <w:bookmarkStart w:id="1599" w:name="_Toc277752509"/>
      <w:bookmarkStart w:id="1600" w:name="_Toc309286113"/>
      <w:bookmarkStart w:id="1601" w:name="_Toc309286119"/>
      <w:bookmarkStart w:id="1602" w:name="_Toc309286112"/>
      <w:bookmarkStart w:id="1603" w:name="_Toc308697597"/>
      <w:bookmarkStart w:id="1604" w:name="_Toc309286114"/>
      <w:bookmarkStart w:id="1605" w:name="_Toc309286116"/>
      <w:bookmarkStart w:id="1606" w:name="_Toc309286121"/>
      <w:bookmarkStart w:id="1607" w:name="_Toc308697603"/>
      <w:bookmarkStart w:id="1608" w:name="_Toc308697586"/>
      <w:bookmarkStart w:id="1609" w:name="_Toc308697594"/>
      <w:bookmarkStart w:id="1610" w:name="_Toc308697593"/>
      <w:bookmarkStart w:id="1611" w:name="_Toc309286117"/>
      <w:bookmarkStart w:id="1612" w:name="_Toc308697587"/>
      <w:bookmarkStart w:id="1613" w:name="_Toc308697602"/>
      <w:bookmarkStart w:id="1614" w:name="_Toc308697604"/>
      <w:bookmarkStart w:id="1615" w:name="_Toc309286107"/>
      <w:bookmarkStart w:id="1616" w:name="_Toc308697589"/>
      <w:bookmarkStart w:id="1617" w:name="_Toc308697595"/>
      <w:bookmarkStart w:id="1618" w:name="_Toc308697591"/>
      <w:bookmarkStart w:id="1619" w:name="_Toc308697598"/>
      <w:bookmarkStart w:id="1620" w:name="_Toc309286108"/>
      <w:bookmarkStart w:id="1621" w:name="_Toc308697584"/>
      <w:bookmarkStart w:id="1622" w:name="_Toc309286126"/>
      <w:bookmarkStart w:id="1623" w:name="_Toc309286106"/>
      <w:bookmarkStart w:id="1624" w:name="_Toc309286120"/>
      <w:bookmarkStart w:id="1625" w:name="_Toc309286111"/>
      <w:bookmarkStart w:id="1626" w:name="_Toc309286123"/>
      <w:bookmarkStart w:id="1627" w:name="_Toc309286109"/>
      <w:bookmarkStart w:id="1628" w:name="_Toc309286118"/>
      <w:bookmarkStart w:id="1629" w:name="_Toc308697592"/>
      <w:bookmarkStart w:id="1630" w:name="_Toc309286124"/>
      <w:bookmarkStart w:id="1631" w:name="_Toc309286125"/>
      <w:bookmarkStart w:id="1632" w:name="_Toc308697585"/>
      <w:bookmarkStart w:id="1633" w:name="_Toc308697590"/>
      <w:bookmarkStart w:id="1634" w:name="_Toc308697599"/>
      <w:bookmarkStart w:id="1635" w:name="_Toc309286115"/>
      <w:bookmarkStart w:id="1636" w:name="_Toc308697596"/>
      <w:bookmarkStart w:id="1637" w:name="_Toc185222591"/>
      <w:bookmarkStart w:id="1638" w:name="_Toc323051054"/>
      <w:bookmarkStart w:id="1639" w:name="_Toc44229110"/>
      <w:bookmarkStart w:id="1640" w:name="_Toc323051055"/>
      <w:bookmarkStart w:id="1641" w:name="_Toc308697588"/>
      <w:bookmarkStart w:id="1642" w:name="_Toc309286105"/>
      <w:bookmarkStart w:id="1643" w:name="_Toc44229205"/>
      <w:bookmarkStart w:id="1644" w:name="_Toc323051053"/>
      <w:bookmarkStart w:id="1645" w:name="_Toc278409426"/>
      <w:bookmarkStart w:id="1646" w:name="_Toc44229109"/>
      <w:bookmarkStart w:id="1647" w:name="_Toc309286110"/>
      <w:bookmarkStart w:id="1648" w:name="_Toc185222757"/>
      <w:bookmarkStart w:id="1649" w:name="_Toc44229111"/>
      <w:bookmarkStart w:id="1650" w:name="_Toc44229206"/>
      <w:bookmarkStart w:id="1651" w:name="_Hlt80958353"/>
      <w:bookmarkStart w:id="1652" w:name="_Toc44229203"/>
      <w:bookmarkStart w:id="1653" w:name="_Toc185222016"/>
      <w:bookmarkStart w:id="1654" w:name="_Toc44229204"/>
      <w:bookmarkStart w:id="1655" w:name="_Toc308697583"/>
      <w:bookmarkStart w:id="1656" w:name="_Toc185222488"/>
      <w:bookmarkStart w:id="1657" w:name="_Toc309286140"/>
      <w:bookmarkStart w:id="1658" w:name="_Toc308697626"/>
      <w:bookmarkStart w:id="1659" w:name="_Toc308697613"/>
      <w:bookmarkStart w:id="1660" w:name="_Toc308697608"/>
      <w:bookmarkStart w:id="1661" w:name="_Toc308697614"/>
      <w:bookmarkStart w:id="1662" w:name="_Toc309286146"/>
      <w:bookmarkStart w:id="1663" w:name="_Toc309286135"/>
      <w:bookmarkStart w:id="1664" w:name="_Toc308697609"/>
      <w:bookmarkStart w:id="1665" w:name="_Toc308697600"/>
      <w:bookmarkStart w:id="1666" w:name="_Toc309286134"/>
      <w:bookmarkStart w:id="1667" w:name="_Toc309286129"/>
      <w:bookmarkStart w:id="1668" w:name="_Toc308697618"/>
      <w:bookmarkStart w:id="1669" w:name="_Toc309286141"/>
      <w:bookmarkStart w:id="1670" w:name="_Toc308697611"/>
      <w:bookmarkStart w:id="1671" w:name="_Toc309286133"/>
      <w:bookmarkStart w:id="1672" w:name="_Toc309286136"/>
      <w:bookmarkStart w:id="1673" w:name="_Toc308697601"/>
      <w:bookmarkStart w:id="1674" w:name="_Toc309286147"/>
      <w:bookmarkStart w:id="1675" w:name="_Toc309286122"/>
      <w:bookmarkStart w:id="1676" w:name="_Toc308697620"/>
      <w:bookmarkStart w:id="1677" w:name="_Toc308697607"/>
      <w:bookmarkStart w:id="1678" w:name="_Toc308697615"/>
      <w:bookmarkStart w:id="1679" w:name="_Toc309286131"/>
      <w:bookmarkStart w:id="1680" w:name="_Toc309286130"/>
      <w:bookmarkStart w:id="1681" w:name="_Toc308697606"/>
      <w:bookmarkStart w:id="1682" w:name="_Toc309286127"/>
      <w:bookmarkStart w:id="1683" w:name="_Toc308697624"/>
      <w:bookmarkStart w:id="1684" w:name="_Toc309286138"/>
      <w:bookmarkStart w:id="1685" w:name="_Toc308697619"/>
      <w:bookmarkStart w:id="1686" w:name="_Toc308697625"/>
      <w:bookmarkStart w:id="1687" w:name="_Toc308697605"/>
      <w:bookmarkStart w:id="1688" w:name="_Toc309286128"/>
      <w:bookmarkStart w:id="1689" w:name="_Toc309286142"/>
      <w:bookmarkStart w:id="1690" w:name="_Toc308697616"/>
      <w:bookmarkStart w:id="1691" w:name="_Toc308697617"/>
      <w:bookmarkStart w:id="1692" w:name="_Toc309286137"/>
      <w:bookmarkStart w:id="1693" w:name="_Toc309286132"/>
      <w:bookmarkStart w:id="1694" w:name="_Toc308697610"/>
      <w:bookmarkStart w:id="1695" w:name="_Toc309286139"/>
      <w:bookmarkStart w:id="1696" w:name="_Toc308697612"/>
      <w:bookmarkStart w:id="1697" w:name="_Toc308697662"/>
      <w:bookmarkStart w:id="1698" w:name="_Toc309286174"/>
      <w:bookmarkStart w:id="1699" w:name="_Toc309286168"/>
      <w:bookmarkStart w:id="1700" w:name="_Toc308697643"/>
      <w:bookmarkStart w:id="1701" w:name="_Toc309286165"/>
      <w:bookmarkStart w:id="1702" w:name="_Toc308697647"/>
      <w:bookmarkStart w:id="1703" w:name="_Toc308697653"/>
      <w:bookmarkStart w:id="1704" w:name="_Toc308697650"/>
      <w:bookmarkStart w:id="1705" w:name="_Toc309286171"/>
      <w:bookmarkStart w:id="1706" w:name="_Toc308697649"/>
      <w:bookmarkStart w:id="1707" w:name="_Toc309286167"/>
      <w:bookmarkStart w:id="1708" w:name="_Toc308697651"/>
      <w:bookmarkStart w:id="1709" w:name="_Toc309286160"/>
      <w:bookmarkStart w:id="1710" w:name="_Toc309286183"/>
      <w:bookmarkStart w:id="1711" w:name="_Toc308697639"/>
      <w:bookmarkStart w:id="1712" w:name="_Toc309286161"/>
      <w:bookmarkStart w:id="1713" w:name="_Toc309286166"/>
      <w:bookmarkStart w:id="1714" w:name="_Toc308697637"/>
      <w:bookmarkStart w:id="1715" w:name="_Toc309286182"/>
      <w:bookmarkStart w:id="1716" w:name="_Toc309286162"/>
      <w:bookmarkStart w:id="1717" w:name="_Toc308697652"/>
      <w:bookmarkStart w:id="1718" w:name="_Toc309286178"/>
      <w:bookmarkStart w:id="1719" w:name="_Toc309286164"/>
      <w:bookmarkStart w:id="1720" w:name="_Toc308697641"/>
      <w:bookmarkStart w:id="1721" w:name="_Toc308697656"/>
      <w:bookmarkStart w:id="1722" w:name="_Toc309286175"/>
      <w:bookmarkStart w:id="1723" w:name="_Toc308697645"/>
      <w:bookmarkStart w:id="1724" w:name="_Toc308697654"/>
      <w:bookmarkStart w:id="1725" w:name="_Toc308697644"/>
      <w:bookmarkStart w:id="1726" w:name="_Toc308697638"/>
      <w:bookmarkStart w:id="1727" w:name="_Toc308697661"/>
      <w:bookmarkStart w:id="1728" w:name="_Toc309286170"/>
      <w:bookmarkStart w:id="1729" w:name="_Toc308697658"/>
      <w:bookmarkStart w:id="1730" w:name="_Toc309286169"/>
      <w:bookmarkStart w:id="1731" w:name="_Toc309286159"/>
      <w:bookmarkStart w:id="1732" w:name="_Toc308697648"/>
      <w:bookmarkStart w:id="1733" w:name="_Toc309286173"/>
      <w:bookmarkStart w:id="1734" w:name="_Toc309286176"/>
      <w:bookmarkStart w:id="1735" w:name="_Toc309286179"/>
      <w:bookmarkStart w:id="1736" w:name="_Toc309286177"/>
      <w:bookmarkStart w:id="1737" w:name="_Toc309286163"/>
      <w:bookmarkStart w:id="1738" w:name="_Toc308697655"/>
      <w:bookmarkStart w:id="1739" w:name="_Toc308697640"/>
      <w:bookmarkStart w:id="1740" w:name="_Toc308697657"/>
      <w:bookmarkStart w:id="1741" w:name="_Toc308697646"/>
      <w:bookmarkStart w:id="1742" w:name="_Toc309286172"/>
      <w:bookmarkStart w:id="1743" w:name="_Toc308697663"/>
      <w:bookmarkStart w:id="1744" w:name="_Toc309286184"/>
      <w:bookmarkStart w:id="1745" w:name="_Toc309286185"/>
      <w:bookmarkStart w:id="1746" w:name="_Toc308697660"/>
      <w:bookmarkStart w:id="1747" w:name="_Toc309286180"/>
      <w:bookmarkStart w:id="1748" w:name="_Toc309286186"/>
      <w:bookmarkStart w:id="1749" w:name="_Toc308697664"/>
      <w:bookmarkStart w:id="1750" w:name="_Toc309286181"/>
      <w:bookmarkStart w:id="1751" w:name="_Toc308697659"/>
      <w:bookmarkStart w:id="1752" w:name="_Toc308697665"/>
      <w:bookmarkStart w:id="1753" w:name="_Toc309286187"/>
      <w:bookmarkStart w:id="1754" w:name="_Toc308697666"/>
      <w:bookmarkStart w:id="1755" w:name="_Toc309286188"/>
      <w:bookmarkStart w:id="1756" w:name="_Toc308697667"/>
      <w:bookmarkStart w:id="1757" w:name="_Toc309286189"/>
      <w:bookmarkStart w:id="1758" w:name="_Toc308697668"/>
      <w:bookmarkStart w:id="1759" w:name="_Toc309286190"/>
      <w:bookmarkStart w:id="1760" w:name="_Toc308697669"/>
      <w:bookmarkStart w:id="1761" w:name="_Toc309286191"/>
      <w:bookmarkStart w:id="1762" w:name="_Toc308697670"/>
      <w:bookmarkStart w:id="1763" w:name="_Toc309286192"/>
      <w:bookmarkStart w:id="1764" w:name="_Toc308697671"/>
      <w:bookmarkStart w:id="1765" w:name="_Toc309286193"/>
      <w:bookmarkStart w:id="1766" w:name="_Toc308697672"/>
      <w:bookmarkStart w:id="1767" w:name="_Toc309286194"/>
      <w:bookmarkStart w:id="1768" w:name="_Toc308697673"/>
      <w:bookmarkStart w:id="1769" w:name="_Toc309286195"/>
      <w:bookmarkStart w:id="1770" w:name="_Toc308697674"/>
      <w:bookmarkStart w:id="1771" w:name="_Toc309286196"/>
      <w:bookmarkStart w:id="1772" w:name="_Toc308697675"/>
      <w:bookmarkStart w:id="1773" w:name="_Toc309286197"/>
      <w:bookmarkStart w:id="1774" w:name="_Toc308697676"/>
      <w:bookmarkEnd w:id="10"/>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rsidR="005C6370" w:rsidP="00A24D29" w14:paraId="57C4BFD6" w14:textId="77777777">
      <w:pPr>
        <w:pStyle w:val="Heading1"/>
        <w:spacing w:before="317" w:after="317" w:line="360" w:lineRule="auto"/>
        <w:ind w:firstLine="643"/>
        <w:contextualSpacing/>
        <w:rPr>
          <w:rFonts w:ascii="宋体" w:eastAsia="宋体" w:hAnsi="Calibri"/>
          <w:sz w:val="30"/>
          <w:szCs w:val="30"/>
          <w:lang w:eastAsia="zh-CN"/>
        </w:rPr>
      </w:pPr>
      <w:r>
        <w:rPr>
          <w:rFonts w:ascii="宋体" w:eastAsia="宋体" w:hAnsi="Calibri"/>
          <w:b/>
          <w:bCs/>
          <w:i/>
          <w:highlight w:val="white"/>
          <w:lang w:eastAsia="zh-CN"/>
        </w:rPr>
        <w:br w:type="column"/>
      </w:r>
      <w:bookmarkStart w:id="1775" w:name="_Toc121776967"/>
      <w:bookmarkStart w:id="1776" w:name="_Toc332373471"/>
      <w:r>
        <w:rPr>
          <w:rFonts w:ascii="宋体" w:eastAsia="宋体" w:hAnsi="Calibri"/>
          <w:sz w:val="30"/>
          <w:szCs w:val="30"/>
          <w:highlight w:val="white"/>
          <w:lang w:eastAsia="zh-CN"/>
        </w:rPr>
        <w:t>第</w:t>
      </w:r>
      <w:r>
        <w:rPr>
          <w:rFonts w:ascii="宋体" w:eastAsia="宋体" w:hAnsi="Calibri" w:hint="eastAsia"/>
          <w:sz w:val="30"/>
          <w:szCs w:val="30"/>
          <w:highlight w:val="white"/>
          <w:lang w:eastAsia="zh-CN"/>
        </w:rPr>
        <w:t>四部分 基金托管人</w:t>
      </w:r>
      <w:bookmarkEnd w:id="1775"/>
      <w:bookmarkEnd w:id="1776"/>
    </w:p>
    <w:p w:rsidR="005340D3" w:rsidRPr="005340D3" w:rsidP="005340D3" w14:paraId="32006BF5" w14:textId="77777777">
      <w:pPr>
        <w:spacing w:line="360" w:lineRule="auto"/>
        <w:ind w:firstLine="420"/>
        <w:contextualSpacing/>
        <w:rPr>
          <w:rFonts w:ascii="宋体" w:hAnsi="Calibri"/>
          <w:szCs w:val="21"/>
          <w:lang w:eastAsia="zh-CN"/>
        </w:rPr>
      </w:pPr>
      <w:r>
        <w:rPr>
          <w:rFonts w:ascii="宋体" w:hAnsi="Calibri" w:hint="eastAsia"/>
          <w:szCs w:val="21"/>
          <w:lang w:eastAsia="zh-CN"/>
        </w:rPr>
        <w:t>一、</w:t>
      </w:r>
      <w:r w:rsidRPr="005340D3">
        <w:rPr>
          <w:rFonts w:ascii="宋体" w:hAnsi="Calibri" w:hint="eastAsia"/>
          <w:szCs w:val="21"/>
          <w:lang w:eastAsia="zh-CN"/>
        </w:rPr>
        <w:t xml:space="preserve">基金托管人基本情况 </w:t>
      </w:r>
    </w:p>
    <w:p w:rsidR="005340D3" w:rsidRPr="005340D3" w:rsidP="005340D3" w14:paraId="553A5491" w14:textId="77777777">
      <w:pPr>
        <w:spacing w:line="360" w:lineRule="auto"/>
        <w:ind w:firstLine="420"/>
        <w:contextualSpacing/>
        <w:rPr>
          <w:rFonts w:ascii="宋体" w:hAnsi="Calibri"/>
          <w:szCs w:val="21"/>
          <w:lang w:eastAsia="zh-CN"/>
        </w:rPr>
      </w:pPr>
      <w:r w:rsidRPr="005340D3">
        <w:rPr>
          <w:rFonts w:ascii="宋体" w:hAnsi="Calibri" w:hint="eastAsia"/>
          <w:szCs w:val="21"/>
          <w:lang w:eastAsia="zh-CN"/>
        </w:rPr>
        <w:t>名称：中国工商银行股份有限公司</w:t>
      </w:r>
    </w:p>
    <w:p w:rsidR="005340D3" w:rsidP="005340D3" w14:paraId="39CB3237" w14:textId="77777777">
      <w:pPr>
        <w:spacing w:line="360" w:lineRule="auto"/>
        <w:ind w:firstLine="420"/>
        <w:contextualSpacing/>
        <w:rPr>
          <w:rFonts w:ascii="宋体" w:hAnsi="Calibri"/>
          <w:szCs w:val="21"/>
          <w:lang w:eastAsia="zh-CN"/>
        </w:rPr>
      </w:pPr>
      <w:r w:rsidRPr="005340D3">
        <w:rPr>
          <w:rFonts w:ascii="宋体" w:hAnsi="Calibri" w:hint="eastAsia"/>
          <w:szCs w:val="21"/>
          <w:lang w:eastAsia="zh-CN"/>
        </w:rPr>
        <w:t>注册地址：北京市西城区复兴门内大街55号</w:t>
      </w:r>
    </w:p>
    <w:p w:rsidR="00B14044" w:rsidRPr="00B14044" w:rsidP="005340D3" w14:paraId="5721F95D" w14:textId="6DBEC296">
      <w:pPr>
        <w:spacing w:line="360" w:lineRule="auto"/>
        <w:ind w:firstLine="420"/>
        <w:contextualSpacing/>
        <w:rPr>
          <w:rFonts w:ascii="宋体" w:hAnsi="Calibri"/>
          <w:szCs w:val="21"/>
          <w:lang w:eastAsia="zh-CN"/>
        </w:rPr>
      </w:pPr>
      <w:r w:rsidRPr="00B14044">
        <w:rPr>
          <w:rFonts w:ascii="宋体" w:hAnsi="Calibri" w:hint="eastAsia"/>
          <w:szCs w:val="21"/>
          <w:lang w:eastAsia="zh-CN"/>
        </w:rPr>
        <w:t>办公地址：北京市西城区复兴门内大街55号</w:t>
      </w:r>
    </w:p>
    <w:p w:rsidR="005340D3" w:rsidRPr="005340D3" w:rsidP="005340D3" w14:paraId="43524544" w14:textId="77777777">
      <w:pPr>
        <w:spacing w:line="360" w:lineRule="auto"/>
        <w:ind w:firstLine="420"/>
        <w:contextualSpacing/>
        <w:rPr>
          <w:rFonts w:ascii="宋体" w:hAnsi="Calibri"/>
          <w:szCs w:val="21"/>
          <w:lang w:eastAsia="zh-CN"/>
        </w:rPr>
      </w:pPr>
      <w:r w:rsidRPr="005340D3">
        <w:rPr>
          <w:rFonts w:ascii="宋体" w:hAnsi="Calibri" w:hint="eastAsia"/>
          <w:szCs w:val="21"/>
          <w:lang w:eastAsia="zh-CN"/>
        </w:rPr>
        <w:t>成立时间：1984年1月1日</w:t>
      </w:r>
    </w:p>
    <w:p w:rsidR="005340D3" w:rsidRPr="005340D3" w:rsidP="005340D3" w14:paraId="46382103" w14:textId="77777777">
      <w:pPr>
        <w:spacing w:line="360" w:lineRule="auto"/>
        <w:ind w:firstLine="420"/>
        <w:contextualSpacing/>
        <w:rPr>
          <w:rFonts w:ascii="宋体" w:hAnsi="Calibri"/>
          <w:szCs w:val="21"/>
          <w:lang w:eastAsia="zh-CN"/>
        </w:rPr>
      </w:pPr>
      <w:r w:rsidRPr="005340D3">
        <w:rPr>
          <w:rFonts w:ascii="宋体" w:hAnsi="Calibri" w:hint="eastAsia"/>
          <w:szCs w:val="21"/>
          <w:lang w:eastAsia="zh-CN"/>
        </w:rPr>
        <w:t>法定代表人： 廖林</w:t>
      </w:r>
    </w:p>
    <w:p w:rsidR="005340D3" w:rsidRPr="005340D3" w:rsidP="005340D3" w14:paraId="72574BB9" w14:textId="77777777">
      <w:pPr>
        <w:spacing w:line="360" w:lineRule="auto"/>
        <w:ind w:firstLine="420"/>
        <w:contextualSpacing/>
        <w:rPr>
          <w:rFonts w:ascii="宋体" w:hAnsi="Calibri"/>
          <w:szCs w:val="21"/>
          <w:lang w:eastAsia="zh-CN"/>
        </w:rPr>
      </w:pPr>
      <w:r w:rsidRPr="005340D3">
        <w:rPr>
          <w:rFonts w:ascii="宋体" w:hAnsi="Calibri" w:hint="eastAsia"/>
          <w:szCs w:val="21"/>
          <w:lang w:eastAsia="zh-CN"/>
        </w:rPr>
        <w:t>注册资本：人民币35,640,625.7089万元</w:t>
      </w:r>
    </w:p>
    <w:p w:rsidR="005340D3" w:rsidRPr="005340D3" w:rsidP="005340D3" w14:paraId="1A00FE08" w14:textId="77777777">
      <w:pPr>
        <w:spacing w:line="360" w:lineRule="auto"/>
        <w:ind w:firstLine="420"/>
        <w:contextualSpacing/>
        <w:rPr>
          <w:rFonts w:ascii="宋体" w:hAnsi="Calibri"/>
          <w:szCs w:val="21"/>
          <w:lang w:eastAsia="zh-CN"/>
        </w:rPr>
      </w:pPr>
      <w:r w:rsidRPr="005340D3">
        <w:rPr>
          <w:rFonts w:ascii="宋体" w:hAnsi="Calibri" w:hint="eastAsia"/>
          <w:szCs w:val="21"/>
          <w:lang w:eastAsia="zh-CN"/>
        </w:rPr>
        <w:t>联系电话：010-66105799</w:t>
      </w:r>
    </w:p>
    <w:p w:rsidR="005340D3" w:rsidRPr="005340D3" w:rsidP="005340D3" w14:paraId="331E3C45" w14:textId="77777777">
      <w:pPr>
        <w:spacing w:line="360" w:lineRule="auto"/>
        <w:ind w:firstLine="420"/>
        <w:contextualSpacing/>
        <w:rPr>
          <w:rFonts w:ascii="宋体" w:hAnsi="Calibri"/>
          <w:szCs w:val="21"/>
          <w:lang w:eastAsia="zh-CN"/>
        </w:rPr>
      </w:pPr>
      <w:r w:rsidRPr="005340D3">
        <w:rPr>
          <w:rFonts w:ascii="宋体" w:hAnsi="Calibri" w:hint="eastAsia"/>
          <w:szCs w:val="21"/>
          <w:lang w:eastAsia="zh-CN"/>
        </w:rPr>
        <w:t>联系人：郭明</w:t>
      </w:r>
    </w:p>
    <w:p w:rsidR="005340D3" w:rsidRPr="005340D3" w:rsidP="005340D3" w14:paraId="29FAE1DC" w14:textId="77777777">
      <w:pPr>
        <w:spacing w:line="360" w:lineRule="auto"/>
        <w:ind w:firstLine="420"/>
        <w:contextualSpacing/>
        <w:rPr>
          <w:rFonts w:ascii="宋体" w:hAnsi="Calibri"/>
          <w:szCs w:val="21"/>
          <w:lang w:eastAsia="zh-CN"/>
        </w:rPr>
      </w:pPr>
      <w:r>
        <w:rPr>
          <w:rFonts w:ascii="宋体" w:hAnsi="Calibri" w:hint="eastAsia"/>
          <w:szCs w:val="21"/>
          <w:lang w:eastAsia="zh-CN"/>
        </w:rPr>
        <w:t>二、</w:t>
      </w:r>
      <w:r w:rsidRPr="005340D3">
        <w:rPr>
          <w:rFonts w:ascii="宋体" w:hAnsi="Calibri" w:hint="eastAsia"/>
          <w:szCs w:val="21"/>
          <w:lang w:eastAsia="zh-CN"/>
        </w:rPr>
        <w:t>主要人员情况</w:t>
      </w:r>
    </w:p>
    <w:p w:rsidR="005340D3" w:rsidRPr="005340D3" w:rsidP="005340D3" w14:paraId="18B770A4" w14:textId="77777777">
      <w:pPr>
        <w:spacing w:line="360" w:lineRule="auto"/>
        <w:ind w:firstLine="420"/>
        <w:contextualSpacing/>
        <w:rPr>
          <w:rFonts w:ascii="宋体" w:hAnsi="Calibri"/>
          <w:szCs w:val="21"/>
          <w:lang w:eastAsia="zh-CN"/>
        </w:rPr>
      </w:pPr>
      <w:r w:rsidRPr="005340D3">
        <w:rPr>
          <w:rFonts w:ascii="宋体" w:hAnsi="Calibri" w:hint="eastAsia"/>
          <w:szCs w:val="21"/>
          <w:lang w:eastAsia="zh-CN"/>
        </w:rPr>
        <w:t>截至2026年6月，中国工商银行资产托管部共有员工209人，平均年龄38岁，99%以上员工拥有大学本科以上学历，高管人员均拥有研究生以上学历或高级技术职称。</w:t>
      </w:r>
    </w:p>
    <w:p w:rsidR="005340D3" w:rsidRPr="005340D3" w:rsidP="005340D3" w14:paraId="50691480" w14:textId="77777777">
      <w:pPr>
        <w:spacing w:line="360" w:lineRule="auto"/>
        <w:ind w:firstLine="420"/>
        <w:contextualSpacing/>
        <w:rPr>
          <w:rFonts w:ascii="宋体" w:hAnsi="Calibri"/>
          <w:szCs w:val="21"/>
          <w:lang w:eastAsia="zh-CN"/>
        </w:rPr>
      </w:pPr>
      <w:r>
        <w:rPr>
          <w:rFonts w:ascii="宋体" w:hAnsi="Calibri" w:hint="eastAsia"/>
          <w:szCs w:val="21"/>
          <w:lang w:eastAsia="zh-CN"/>
        </w:rPr>
        <w:t>三、</w:t>
      </w:r>
      <w:r w:rsidRPr="005340D3">
        <w:rPr>
          <w:rFonts w:ascii="宋体" w:hAnsi="Calibri" w:hint="eastAsia"/>
          <w:szCs w:val="21"/>
          <w:lang w:eastAsia="zh-CN"/>
        </w:rPr>
        <w:t>基金托管业务经营情况</w:t>
      </w:r>
    </w:p>
    <w:p w:rsidR="005C6370" w:rsidP="005340D3" w14:paraId="45C91B20" w14:textId="77777777">
      <w:pPr>
        <w:spacing w:line="360" w:lineRule="auto"/>
        <w:ind w:firstLine="420"/>
        <w:contextualSpacing/>
        <w:rPr>
          <w:rFonts w:ascii="宋体" w:hAnsi="Calibri"/>
          <w:szCs w:val="21"/>
          <w:lang w:eastAsia="zh-CN"/>
        </w:rPr>
      </w:pPr>
      <w:r w:rsidRPr="005340D3">
        <w:rPr>
          <w:rFonts w:ascii="宋体" w:hAnsi="Calibri" w:hint="eastAsia"/>
          <w:szCs w:val="21"/>
          <w:lang w:eastAsia="zh-CN"/>
        </w:rPr>
        <w:t>作为中国大陆托管服务的先行者，中国工商银行自1998年在国内首家提供托管服务以来，秉承“诚实信用、勤勉尽责”的宗旨，依靠严密科学的风险管理和内部控制体系、规范的管理模式、先进的营运系统和专业的服务团队，严格履行资产托管人职责，为境内外广大投资者、金融资产管理机构和企业客户提供安全、高效、专业的托管服务，展现优异的市场形象和影响力。建立了国内托管银行中最丰富、最成熟的产品线。拥有包括证券投资基金、信托资产、保险资产、社会保障基金、基本养老保险、企业年金基金、QFI资产、QDII资产、股权投资基金、证券公司集合资产管理计划、证券公司定向资产管理计划、商业银行信贷资产证券化、基金公司特定客户资产管理、QDII专户资产、ESCROW等门类齐全的托管产品体系，同时在国内率先开展绩效评估、风险管理等增值服务，可以为各类客户提供个性化的托管服务。截至2026年6月，中国工商银行共托管证券投资基金1612只。自2003年以来，本行连续二十二年获得香港《亚洲货币》、英国《全球托管人》、香港《财资》、美国《环球金融》、内地《证券时报》、《上海证券报》等境内外权威财经媒体评选的120项最佳托管银行大奖；是获得奖项最多的国内托管银行，优良的服务品质获得国内外金融领域的持续认可和广泛好评。</w:t>
      </w:r>
    </w:p>
    <w:p w:rsidR="005C6370" w:rsidP="00A24D29" w14:paraId="4F228014" w14:textId="77777777">
      <w:pPr>
        <w:spacing w:line="360" w:lineRule="auto"/>
        <w:ind w:firstLine="420"/>
        <w:contextualSpacing/>
        <w:rPr>
          <w:rFonts w:ascii="宋体" w:hAnsi="Calibri"/>
          <w:szCs w:val="21"/>
          <w:lang w:eastAsia="zh-CN"/>
        </w:rPr>
      </w:pPr>
      <w:r w:rsidR="005340D3">
        <w:rPr>
          <w:rFonts w:ascii="宋体" w:hAnsi="Calibri" w:hint="eastAsia"/>
          <w:szCs w:val="21"/>
          <w:lang w:eastAsia="zh-CN"/>
        </w:rPr>
        <w:t>四、</w:t>
      </w:r>
      <w:r>
        <w:rPr>
          <w:rFonts w:ascii="宋体" w:hAnsi="Calibri" w:hint="eastAsia"/>
          <w:szCs w:val="21"/>
          <w:lang w:eastAsia="zh-CN"/>
        </w:rPr>
        <w:t>基金托管人的内部控制情况</w:t>
      </w:r>
    </w:p>
    <w:p w:rsidR="005C6370" w:rsidP="00A24D29" w14:paraId="799856DB" w14:textId="77777777">
      <w:pPr>
        <w:spacing w:line="360" w:lineRule="auto"/>
        <w:ind w:firstLine="420"/>
        <w:contextualSpacing/>
        <w:rPr>
          <w:rFonts w:ascii="宋体" w:hAnsi="Calibri"/>
          <w:szCs w:val="21"/>
          <w:lang w:eastAsia="zh-CN"/>
        </w:rPr>
      </w:pPr>
      <w:r>
        <w:rPr>
          <w:rFonts w:ascii="宋体" w:hAnsi="Calibri" w:hint="eastAsia"/>
          <w:szCs w:val="21"/>
          <w:lang w:eastAsia="zh-CN"/>
        </w:rPr>
        <w:t>中国工商银行资产托管部在风险管理的实操过程中根据国际公认的内部控制COSO准则从控制环境、风险评估、控制活动、信息与沟通、内部监督五个方面构建起了托管业务内部风险控制体系，并纳入统一的风险管理体系。</w:t>
      </w:r>
    </w:p>
    <w:p w:rsidR="005C6370" w:rsidP="00A24D29" w14:paraId="6448F65C" w14:textId="77777777">
      <w:pPr>
        <w:spacing w:line="360" w:lineRule="auto"/>
        <w:ind w:firstLine="420"/>
        <w:contextualSpacing/>
        <w:rPr>
          <w:rFonts w:ascii="宋体" w:hAnsi="Calibri"/>
          <w:szCs w:val="21"/>
          <w:lang w:eastAsia="zh-CN"/>
        </w:rPr>
      </w:pPr>
      <w:r>
        <w:rPr>
          <w:rFonts w:ascii="宋体" w:hAnsi="Calibri" w:hint="eastAsia"/>
          <w:szCs w:val="21"/>
          <w:lang w:eastAsia="zh-CN"/>
        </w:rPr>
        <w:t>中国工商银行资产托管部从成立之日起始终秉持规范运作的原则，将建立系统、高效的风险防范和控制体系视为工作重点。随着市场环境的变化和托管业务的快速发展，新问题新情况的不断出现，资产托管部自始至终将风险管理置于与业务发展同等重要的位置，视风险防范和控制为托管业务生存与发展的生命线。资产托管部实施全员风险管理，将风险控制责任落实到具体业务部门和相关业务岗位，每位员工均有义务对自己岗位职责范围内的风险负责。从2005年至今，中国工商银行资产托管部共十九次顺利通过评估组织内部控制和安全措施最权威的ISAE3402审阅，全部获得无保留意见的控制及有效性报告，充分表明独立第三方对中国工商银行托管服务在风险管理、内部控制方面的健全性和有效性的全面认可，也证明中国工商银行托管服务的风险控制能力已经与国际大型托管银行接轨，达到国际先进水平。</w:t>
      </w:r>
    </w:p>
    <w:p w:rsidR="005C6370" w:rsidP="00A24D29" w14:paraId="5E20095A" w14:textId="77777777">
      <w:pPr>
        <w:spacing w:line="360" w:lineRule="auto"/>
        <w:ind w:firstLine="420"/>
        <w:contextualSpacing/>
        <w:rPr>
          <w:rFonts w:ascii="宋体" w:hAnsi="Calibri"/>
          <w:szCs w:val="21"/>
          <w:lang w:eastAsia="zh-CN"/>
        </w:rPr>
      </w:pPr>
      <w:r>
        <w:rPr>
          <w:rFonts w:ascii="宋体" w:hAnsi="Calibri" w:hint="eastAsia"/>
          <w:szCs w:val="21"/>
          <w:lang w:eastAsia="zh-CN"/>
        </w:rPr>
        <w:t>1、内部控制目标</w:t>
      </w:r>
    </w:p>
    <w:p w:rsidR="005C6370" w:rsidP="00A24D29" w14:paraId="0E13AB0C" w14:textId="77777777">
      <w:pPr>
        <w:spacing w:line="360" w:lineRule="auto"/>
        <w:ind w:firstLine="420"/>
        <w:contextualSpacing/>
        <w:rPr>
          <w:rFonts w:ascii="宋体" w:hAnsi="Calibri"/>
          <w:szCs w:val="21"/>
          <w:lang w:eastAsia="zh-CN"/>
        </w:rPr>
      </w:pPr>
      <w:r>
        <w:rPr>
          <w:rFonts w:ascii="宋体" w:hAnsi="Calibri" w:hint="eastAsia"/>
          <w:szCs w:val="21"/>
          <w:lang w:eastAsia="zh-CN"/>
        </w:rPr>
        <w:t>（1）资产托管业务经营管理合法合规；</w:t>
      </w:r>
    </w:p>
    <w:p w:rsidR="005C6370" w:rsidP="00A24D29" w14:paraId="2395ADAC" w14:textId="77777777">
      <w:pPr>
        <w:spacing w:line="360" w:lineRule="auto"/>
        <w:ind w:firstLine="420"/>
        <w:contextualSpacing/>
        <w:rPr>
          <w:rFonts w:ascii="宋体" w:hAnsi="Calibri"/>
          <w:szCs w:val="21"/>
          <w:lang w:eastAsia="zh-CN"/>
        </w:rPr>
      </w:pPr>
      <w:r>
        <w:rPr>
          <w:rFonts w:ascii="宋体" w:hAnsi="Calibri" w:hint="eastAsia"/>
          <w:szCs w:val="21"/>
          <w:lang w:eastAsia="zh-CN"/>
        </w:rPr>
        <w:t>（2）促进实现资产托管业务发展战略和经营目标；</w:t>
      </w:r>
    </w:p>
    <w:p w:rsidR="005C6370" w:rsidP="00A24D29" w14:paraId="40346FCF" w14:textId="77777777">
      <w:pPr>
        <w:spacing w:line="360" w:lineRule="auto"/>
        <w:ind w:firstLine="420"/>
        <w:contextualSpacing/>
        <w:rPr>
          <w:rFonts w:ascii="宋体" w:hAnsi="Calibri"/>
          <w:szCs w:val="21"/>
          <w:lang w:eastAsia="zh-CN"/>
        </w:rPr>
      </w:pPr>
      <w:r>
        <w:rPr>
          <w:rFonts w:ascii="宋体" w:hAnsi="Calibri" w:hint="eastAsia"/>
          <w:szCs w:val="21"/>
          <w:lang w:eastAsia="zh-CN"/>
        </w:rPr>
        <w:t>（3）资产托管业务风险管理的有效性和资产安全；</w:t>
      </w:r>
    </w:p>
    <w:p w:rsidR="005C6370" w:rsidP="00A24D29" w14:paraId="36B22740" w14:textId="77777777">
      <w:pPr>
        <w:spacing w:line="360" w:lineRule="auto"/>
        <w:ind w:firstLine="420"/>
        <w:contextualSpacing/>
        <w:rPr>
          <w:rFonts w:ascii="宋体" w:hAnsi="Calibri"/>
          <w:szCs w:val="21"/>
          <w:lang w:eastAsia="zh-CN"/>
        </w:rPr>
      </w:pPr>
      <w:r>
        <w:rPr>
          <w:rFonts w:ascii="宋体" w:hAnsi="Calibri" w:hint="eastAsia"/>
          <w:szCs w:val="21"/>
          <w:lang w:eastAsia="zh-CN"/>
        </w:rPr>
        <w:t>（4）提高资产托管经营效率和效果；</w:t>
      </w:r>
    </w:p>
    <w:p w:rsidR="005C6370" w:rsidP="00A24D29" w14:paraId="6B988DED" w14:textId="77777777">
      <w:pPr>
        <w:spacing w:line="360" w:lineRule="auto"/>
        <w:ind w:firstLine="420"/>
        <w:contextualSpacing/>
        <w:rPr>
          <w:rFonts w:ascii="宋体" w:hAnsi="Calibri"/>
          <w:szCs w:val="21"/>
          <w:lang w:eastAsia="zh-CN"/>
        </w:rPr>
      </w:pPr>
      <w:r>
        <w:rPr>
          <w:rFonts w:ascii="宋体" w:hAnsi="Calibri" w:hint="eastAsia"/>
          <w:szCs w:val="21"/>
          <w:lang w:eastAsia="zh-CN"/>
        </w:rPr>
        <w:t>（5）业务记录、会计信息和其他经营管理相关信息的真实、准确、完整、及时。</w:t>
      </w:r>
    </w:p>
    <w:p w:rsidR="005C6370" w:rsidP="00A24D29" w14:paraId="5689A878" w14:textId="77777777">
      <w:pPr>
        <w:spacing w:line="360" w:lineRule="auto"/>
        <w:ind w:firstLine="420"/>
        <w:contextualSpacing/>
        <w:rPr>
          <w:rFonts w:ascii="宋体" w:hAnsi="Calibri"/>
          <w:szCs w:val="21"/>
          <w:lang w:eastAsia="zh-CN"/>
        </w:rPr>
      </w:pPr>
      <w:r>
        <w:rPr>
          <w:rFonts w:ascii="宋体" w:hAnsi="Calibri" w:hint="eastAsia"/>
          <w:szCs w:val="21"/>
          <w:lang w:eastAsia="zh-CN"/>
        </w:rPr>
        <w:t>2、内部控制的原则</w:t>
      </w:r>
    </w:p>
    <w:p w:rsidR="005C6370" w:rsidP="00A24D29" w14:paraId="7A10E8AB" w14:textId="77777777">
      <w:pPr>
        <w:spacing w:line="360" w:lineRule="auto"/>
        <w:ind w:firstLine="420"/>
        <w:contextualSpacing/>
        <w:rPr>
          <w:rFonts w:ascii="宋体" w:hAnsi="Calibri"/>
          <w:szCs w:val="21"/>
          <w:lang w:eastAsia="zh-CN"/>
        </w:rPr>
      </w:pPr>
      <w:r>
        <w:rPr>
          <w:rFonts w:ascii="宋体" w:hAnsi="Calibri" w:hint="eastAsia"/>
          <w:szCs w:val="21"/>
          <w:lang w:eastAsia="zh-CN"/>
        </w:rPr>
        <w:t>（1）全面性原则。资产托管业务内部控制应贯穿决策、执行和监督全过程，覆盖资产托管业务各项业务流程和管理活动，覆盖所有机构、部门和从业人员。</w:t>
      </w:r>
    </w:p>
    <w:p w:rsidR="005C6370" w:rsidP="00A24D29" w14:paraId="75BAE998" w14:textId="77777777">
      <w:pPr>
        <w:spacing w:line="360" w:lineRule="auto"/>
        <w:ind w:firstLine="420"/>
        <w:contextualSpacing/>
        <w:rPr>
          <w:rFonts w:ascii="宋体" w:hAnsi="Calibri"/>
          <w:szCs w:val="21"/>
          <w:lang w:eastAsia="zh-CN"/>
        </w:rPr>
      </w:pPr>
      <w:r>
        <w:rPr>
          <w:rFonts w:ascii="宋体" w:hAnsi="Calibri" w:hint="eastAsia"/>
          <w:szCs w:val="21"/>
          <w:lang w:eastAsia="zh-CN"/>
        </w:rPr>
        <w:t>（2）重要性原则。资产托管业务内部控制应在全面控制基础上，关注重要业务事项、重点业务环节和高风险领域。</w:t>
      </w:r>
    </w:p>
    <w:p w:rsidR="005C6370" w:rsidP="00A24D29" w14:paraId="1EA067A1" w14:textId="77777777">
      <w:pPr>
        <w:spacing w:line="360" w:lineRule="auto"/>
        <w:ind w:firstLine="420"/>
        <w:contextualSpacing/>
        <w:rPr>
          <w:rFonts w:ascii="宋体" w:hAnsi="Calibri"/>
          <w:szCs w:val="21"/>
          <w:lang w:eastAsia="zh-CN"/>
        </w:rPr>
      </w:pPr>
      <w:r>
        <w:rPr>
          <w:rFonts w:ascii="宋体" w:hAnsi="Calibri" w:hint="eastAsia"/>
          <w:szCs w:val="21"/>
          <w:lang w:eastAsia="zh-CN"/>
        </w:rPr>
        <w:t>（3）制衡性原则。资产托管业务内部控制应在机构设置、权责分配及业务流程等方面形成相互制约、相互监督的机制，同时兼顾运营效率。</w:t>
      </w:r>
    </w:p>
    <w:p w:rsidR="005C6370" w:rsidP="00A24D29" w14:paraId="0AB44543" w14:textId="77777777">
      <w:pPr>
        <w:spacing w:line="360" w:lineRule="auto"/>
        <w:ind w:firstLine="420"/>
        <w:contextualSpacing/>
        <w:rPr>
          <w:rFonts w:ascii="宋体" w:hAnsi="Calibri"/>
          <w:szCs w:val="21"/>
          <w:lang w:eastAsia="zh-CN"/>
        </w:rPr>
      </w:pPr>
      <w:r>
        <w:rPr>
          <w:rFonts w:ascii="宋体" w:hAnsi="Calibri" w:hint="eastAsia"/>
          <w:szCs w:val="21"/>
          <w:lang w:eastAsia="zh-CN"/>
        </w:rPr>
        <w:t>（4）适应性原则。资产托管业务内部控制应当与经营规模、业务范围和风险特点相适应，并进行动态调整，以合理成本实现内部控制目标。</w:t>
      </w:r>
    </w:p>
    <w:p w:rsidR="005C6370" w:rsidP="00A24D29" w14:paraId="40D1D08A" w14:textId="77777777">
      <w:pPr>
        <w:spacing w:line="360" w:lineRule="auto"/>
        <w:ind w:firstLine="420"/>
        <w:contextualSpacing/>
        <w:rPr>
          <w:rFonts w:ascii="宋体" w:hAnsi="Calibri"/>
          <w:szCs w:val="21"/>
          <w:lang w:eastAsia="zh-CN"/>
        </w:rPr>
      </w:pPr>
      <w:r>
        <w:rPr>
          <w:rFonts w:ascii="宋体" w:hAnsi="Calibri" w:hint="eastAsia"/>
          <w:szCs w:val="21"/>
          <w:lang w:eastAsia="zh-CN"/>
        </w:rPr>
        <w:t>（5）审慎性原则。资产托管业务内部控制应坚持风险为本、审慎经营的理念，设立机构或开展各项经营管理活动均应坚持内控优先。</w:t>
      </w:r>
    </w:p>
    <w:p w:rsidR="005C6370" w:rsidP="00A24D29" w14:paraId="4C3A169F" w14:textId="77777777">
      <w:pPr>
        <w:spacing w:line="360" w:lineRule="auto"/>
        <w:ind w:firstLine="420"/>
        <w:contextualSpacing/>
        <w:rPr>
          <w:rFonts w:ascii="宋体" w:hAnsi="Calibri"/>
          <w:szCs w:val="21"/>
          <w:lang w:eastAsia="zh-CN"/>
        </w:rPr>
      </w:pPr>
      <w:r>
        <w:rPr>
          <w:rFonts w:ascii="宋体" w:hAnsi="Calibri" w:hint="eastAsia"/>
          <w:szCs w:val="21"/>
          <w:lang w:eastAsia="zh-CN"/>
        </w:rPr>
        <w:t>（6）成本效益原则。资产托管业务内部控制应权衡实施成本与预期效益，以合理成本实现有效控制。</w:t>
      </w:r>
    </w:p>
    <w:p w:rsidR="005C6370" w:rsidP="00A24D29" w14:paraId="6B82BF74" w14:textId="77777777">
      <w:pPr>
        <w:spacing w:line="360" w:lineRule="auto"/>
        <w:ind w:firstLine="420"/>
        <w:contextualSpacing/>
        <w:rPr>
          <w:rFonts w:ascii="宋体" w:hAnsi="Calibri"/>
          <w:szCs w:val="21"/>
          <w:lang w:eastAsia="zh-CN"/>
        </w:rPr>
      </w:pPr>
      <w:r>
        <w:rPr>
          <w:rFonts w:ascii="宋体" w:hAnsi="Calibri" w:hint="eastAsia"/>
          <w:szCs w:val="21"/>
          <w:lang w:eastAsia="zh-CN"/>
        </w:rPr>
        <w:t>3、内部控制组织结构</w:t>
      </w:r>
    </w:p>
    <w:p w:rsidR="005C6370" w:rsidP="00A24D29" w14:paraId="11F7C259" w14:textId="77777777">
      <w:pPr>
        <w:spacing w:line="360" w:lineRule="auto"/>
        <w:ind w:firstLine="420"/>
        <w:contextualSpacing/>
        <w:rPr>
          <w:rFonts w:ascii="宋体" w:hAnsi="Calibri"/>
          <w:szCs w:val="21"/>
          <w:lang w:eastAsia="zh-CN"/>
        </w:rPr>
      </w:pPr>
      <w:r>
        <w:rPr>
          <w:rFonts w:ascii="宋体" w:hAnsi="Calibri" w:hint="eastAsia"/>
          <w:szCs w:val="21"/>
          <w:lang w:eastAsia="zh-CN"/>
        </w:rPr>
        <w:t>资产托管业务内部控制纳入全行统一的内部控制体系。</w:t>
      </w:r>
    </w:p>
    <w:p w:rsidR="005C6370" w:rsidP="00A24D29" w14:paraId="68E797E3" w14:textId="77777777">
      <w:pPr>
        <w:spacing w:line="360" w:lineRule="auto"/>
        <w:ind w:firstLine="420"/>
        <w:contextualSpacing/>
        <w:rPr>
          <w:rFonts w:ascii="宋体" w:hAnsi="Calibri"/>
          <w:szCs w:val="21"/>
          <w:lang w:eastAsia="zh-CN"/>
        </w:rPr>
      </w:pPr>
      <w:r>
        <w:rPr>
          <w:rFonts w:ascii="宋体" w:hAnsi="Calibri" w:hint="eastAsia"/>
          <w:szCs w:val="21"/>
          <w:lang w:eastAsia="zh-CN"/>
        </w:rPr>
        <w:t>（1）总行资产托管部根据内部控制基本规定建立健全资产托管业务内部控制体系，作为全行托管业务的牵头管理部门，根据行内内部控制基本规定建立健全内部控制体系，建立与托管业务条线相适应的内部控制运行机制，确定各项业务活动的风险控制点，制定标准统一的业务制度；采取适当的控制措施，合理保证托管业务流程的经营效率和效果，组织开展资产托管业务内部控制措施的执行、监督和检查，督促各机构落实控制措施。</w:t>
      </w:r>
    </w:p>
    <w:p w:rsidR="005C6370" w:rsidP="00A24D29" w14:paraId="17BACB37" w14:textId="77777777">
      <w:pPr>
        <w:spacing w:line="360" w:lineRule="auto"/>
        <w:ind w:firstLine="420"/>
        <w:contextualSpacing/>
        <w:rPr>
          <w:rFonts w:ascii="宋体" w:hAnsi="Calibri"/>
          <w:szCs w:val="21"/>
          <w:lang w:eastAsia="zh-CN"/>
        </w:rPr>
      </w:pPr>
      <w:r>
        <w:rPr>
          <w:rFonts w:ascii="宋体" w:hAnsi="Calibri" w:hint="eastAsia"/>
          <w:szCs w:val="21"/>
          <w:lang w:eastAsia="zh-CN"/>
        </w:rPr>
        <w:t>（2）总行内控合规部负责托管业务的内控管理工作再监督，根据年度工作重点，定期或不定期在全行开展相关业务监督检查，将托管业务检查项目整合到全行业务监督检查工作中。</w:t>
      </w:r>
    </w:p>
    <w:p w:rsidR="005C6370" w:rsidP="00A24D29" w14:paraId="7412B819" w14:textId="77777777">
      <w:pPr>
        <w:spacing w:line="360" w:lineRule="auto"/>
        <w:ind w:firstLine="420"/>
        <w:contextualSpacing/>
        <w:rPr>
          <w:rFonts w:ascii="宋体" w:hAnsi="Calibri"/>
          <w:szCs w:val="21"/>
          <w:lang w:eastAsia="zh-CN"/>
        </w:rPr>
      </w:pPr>
      <w:r>
        <w:rPr>
          <w:rFonts w:ascii="宋体" w:hAnsi="Calibri" w:hint="eastAsia"/>
          <w:szCs w:val="21"/>
          <w:lang w:eastAsia="zh-CN"/>
        </w:rPr>
        <w:t>（3）总行内部审计局负责对资产托管业务的审计与评价工作。</w:t>
      </w:r>
    </w:p>
    <w:p w:rsidR="005C6370" w:rsidP="00A24D29" w14:paraId="0D2D7CFD" w14:textId="77777777">
      <w:pPr>
        <w:spacing w:line="360" w:lineRule="auto"/>
        <w:ind w:firstLine="420"/>
        <w:contextualSpacing/>
        <w:rPr>
          <w:rFonts w:ascii="宋体" w:hAnsi="Calibri"/>
          <w:szCs w:val="21"/>
          <w:lang w:eastAsia="zh-CN"/>
        </w:rPr>
      </w:pPr>
      <w:r>
        <w:rPr>
          <w:rFonts w:ascii="宋体" w:hAnsi="Calibri" w:hint="eastAsia"/>
          <w:szCs w:val="21"/>
          <w:lang w:eastAsia="zh-CN"/>
        </w:rPr>
        <w:t>（4）一级（直属）分行资产托管业务部门作为内部控制的执行机构，负责组织开展本机构内部控制的日常运行及自查工作，及时整改、纠正、处理存在的问题。</w:t>
      </w:r>
    </w:p>
    <w:p w:rsidR="005C6370" w:rsidP="00A24D29" w14:paraId="2520AA96" w14:textId="77777777">
      <w:pPr>
        <w:spacing w:line="360" w:lineRule="auto"/>
        <w:ind w:firstLine="420"/>
        <w:contextualSpacing/>
        <w:rPr>
          <w:rFonts w:ascii="宋体" w:hAnsi="Calibri"/>
          <w:szCs w:val="21"/>
          <w:lang w:eastAsia="zh-CN"/>
        </w:rPr>
      </w:pPr>
      <w:r>
        <w:rPr>
          <w:rFonts w:ascii="宋体" w:hAnsi="Calibri" w:hint="eastAsia"/>
          <w:szCs w:val="21"/>
          <w:lang w:eastAsia="zh-CN"/>
        </w:rPr>
        <w:t>4、内部控制措施</w:t>
      </w:r>
    </w:p>
    <w:p w:rsidR="005C6370" w:rsidP="00A24D29" w14:paraId="713D0A91" w14:textId="77777777">
      <w:pPr>
        <w:spacing w:line="360" w:lineRule="auto"/>
        <w:ind w:firstLine="420"/>
        <w:contextualSpacing/>
        <w:rPr>
          <w:rFonts w:ascii="宋体" w:hAnsi="Calibri"/>
          <w:szCs w:val="21"/>
          <w:lang w:eastAsia="zh-CN"/>
        </w:rPr>
      </w:pPr>
      <w:r>
        <w:rPr>
          <w:rFonts w:ascii="宋体" w:hAnsi="Calibri" w:hint="eastAsia"/>
          <w:szCs w:val="21"/>
          <w:lang w:eastAsia="zh-CN"/>
        </w:rPr>
        <w:t>工商银行资产托管部重视内部控制制度的建设，坚持把风险防范和控制的理念和方法融入岗位职责、制度建设和工作流程中，建立了一整套内部控制制度体系，包括《资产托管业务管理规定》、《资产托管业务内部控制管理办法》、《资产托管业务全面风险管理办法》、《资产托管业务营运管理办法》、《资产托管业务合同管理办法》、《资产托管业务档案管理办法》、《资产托管业务系统管理办法》、《资产托管业务重大突发事件应急预案》、《资产托管业务从业人员管理办法》等，在制度、流程、岗位、系统、授权审批、新机构、新客户、新业务及新产品、合同、印章、利益冲突、反洗钱、业务连续性等全方面执行内部控制措施。</w:t>
      </w:r>
    </w:p>
    <w:p w:rsidR="005C6370" w:rsidP="00A24D29" w14:paraId="4DCB40DB" w14:textId="77777777">
      <w:pPr>
        <w:spacing w:line="360" w:lineRule="auto"/>
        <w:ind w:firstLine="420"/>
        <w:contextualSpacing/>
        <w:rPr>
          <w:rFonts w:ascii="宋体" w:hAnsi="Calibri"/>
          <w:szCs w:val="21"/>
          <w:lang w:eastAsia="zh-CN"/>
        </w:rPr>
      </w:pPr>
      <w:r>
        <w:rPr>
          <w:rFonts w:ascii="宋体" w:hAnsi="Calibri" w:hint="eastAsia"/>
          <w:szCs w:val="21"/>
          <w:lang w:eastAsia="zh-CN"/>
        </w:rPr>
        <w:t>5、风险控制</w:t>
      </w:r>
    </w:p>
    <w:p w:rsidR="005C6370" w:rsidP="00A24D29" w14:paraId="0983E5DB" w14:textId="77777777">
      <w:pPr>
        <w:spacing w:line="360" w:lineRule="auto"/>
        <w:ind w:firstLine="420"/>
        <w:contextualSpacing/>
        <w:rPr>
          <w:rFonts w:ascii="宋体" w:hAnsi="Calibri"/>
          <w:szCs w:val="21"/>
          <w:lang w:eastAsia="zh-CN"/>
        </w:rPr>
      </w:pPr>
      <w:r>
        <w:rPr>
          <w:rFonts w:ascii="宋体" w:hAnsi="Calibri" w:hint="eastAsia"/>
          <w:szCs w:val="21"/>
          <w:lang w:eastAsia="zh-CN"/>
        </w:rPr>
        <w:t>资产托管业务切实履行风险管理第一道防线的主体职责，按照“主动防、智能控、全面管”的管理思路，主动将资产托管业务的风险管理纳入全行全面风险管理体系，以“管住人、管住钱、管好防线、管好底线”为管理重点，搭建适应资产托管业务特点的风险管理架构，通过推进托管业务体制机制与完善集约化营运改革、建立资产托管风险管理与内部控制委员会机制、完善资产托管业务制度体系、加强资产托管业务队伍建设、科技赋能、建立健全应急灾备体系、建立审计发现问题整改台账、加强人员管理等措施，有效控制操作风险、合规风险、声誉风险、信息科技风险、次生风险和道德风险。</w:t>
      </w:r>
    </w:p>
    <w:p w:rsidR="005C6370" w:rsidP="00A24D29" w14:paraId="2415C34C" w14:textId="77777777">
      <w:pPr>
        <w:spacing w:line="360" w:lineRule="auto"/>
        <w:ind w:firstLine="420"/>
        <w:contextualSpacing/>
        <w:rPr>
          <w:rFonts w:ascii="宋体" w:hAnsi="Calibri"/>
          <w:szCs w:val="21"/>
          <w:lang w:eastAsia="zh-CN"/>
        </w:rPr>
      </w:pPr>
      <w:r>
        <w:rPr>
          <w:rFonts w:ascii="宋体" w:hAnsi="Calibri" w:hint="eastAsia"/>
          <w:szCs w:val="21"/>
          <w:lang w:eastAsia="zh-CN"/>
        </w:rPr>
        <w:t>6、业务连续性保障</w:t>
      </w:r>
    </w:p>
    <w:p w:rsidR="005C6370" w:rsidP="00A24D29" w14:paraId="71F2120C" w14:textId="77777777">
      <w:pPr>
        <w:spacing w:line="360" w:lineRule="auto"/>
        <w:ind w:firstLine="420"/>
        <w:contextualSpacing/>
        <w:rPr>
          <w:rFonts w:ascii="宋体" w:hAnsi="Calibri"/>
          <w:szCs w:val="21"/>
          <w:lang w:eastAsia="zh-CN"/>
        </w:rPr>
      </w:pPr>
      <w:r>
        <w:rPr>
          <w:rFonts w:ascii="宋体" w:hAnsi="Calibri" w:hint="eastAsia"/>
          <w:szCs w:val="21"/>
          <w:lang w:eastAsia="zh-CN"/>
        </w:rPr>
        <w:t>中国工商银行制订了完善的资产托管业务连续性工作计划和应急预案，具备行之有效的灾备恢复方案、充足的移动办公设备、同城异城相结合的备份办公场所、必要的工作人员、科学清晰的AB岗位设置及定期演练机制。在重大突发事件发生后，可根据突发事件的对托管业务连续性营运影响程度的评估，适时选择或依次启动“原场所现场+居家”、“部分同城异地+居家”、“部分异城异地+居家”、“异地全部切换”四种方案，由“总部+总行级营运中心+托管分部+境外营运机构”形成全球、全天候营运网络，向客户提供连续性服务，确保托管产品日常交易的及时清算和交割。</w:t>
      </w:r>
    </w:p>
    <w:p w:rsidR="005C6370" w:rsidP="00A24D29" w14:paraId="6EAB5596" w14:textId="77777777">
      <w:pPr>
        <w:spacing w:line="360" w:lineRule="auto"/>
        <w:ind w:firstLine="420"/>
        <w:contextualSpacing/>
        <w:rPr>
          <w:rFonts w:ascii="宋体" w:hAnsi="Calibri"/>
          <w:szCs w:val="21"/>
          <w:lang w:eastAsia="zh-CN"/>
        </w:rPr>
      </w:pPr>
      <w:r>
        <w:rPr>
          <w:rFonts w:ascii="宋体" w:hAnsi="Calibri" w:hint="eastAsia"/>
          <w:szCs w:val="21"/>
          <w:lang w:eastAsia="zh-CN"/>
        </w:rPr>
        <w:t>五、</w:t>
      </w:r>
      <w:r w:rsidR="00952691">
        <w:rPr>
          <w:rFonts w:ascii="宋体" w:hAnsi="Calibri" w:hint="eastAsia"/>
          <w:szCs w:val="21"/>
          <w:lang w:eastAsia="zh-CN"/>
        </w:rPr>
        <w:t>基金托管人对基金管理人运作基金进行监督的方法和程序</w:t>
      </w:r>
    </w:p>
    <w:p w:rsidR="005C6370" w:rsidP="00A24D29" w14:paraId="3DFF45D1" w14:textId="77777777">
      <w:pPr>
        <w:spacing w:line="360" w:lineRule="auto"/>
        <w:ind w:firstLine="420"/>
        <w:contextualSpacing/>
        <w:rPr>
          <w:rFonts w:ascii="宋体" w:hAnsi="Calibri"/>
          <w:szCs w:val="21"/>
          <w:lang w:eastAsia="zh-CN"/>
        </w:rPr>
      </w:pPr>
      <w:r>
        <w:rPr>
          <w:rFonts w:ascii="宋体" w:hAnsi="Calibri" w:hint="eastAsia"/>
          <w:szCs w:val="21"/>
          <w:lang w:eastAsia="zh-CN"/>
        </w:rPr>
        <w:t>根据《基金法》、基金合同、托管协议和有关基金法规的规定，基金托管人对基金的投资范围和投资对象、基金投融资比例、基金投资禁止行为、基金参与银行间债券市场、基金资产净值的计算、基金份额净值计算、应收资金到账、基金费用开支及收入确定、基金收益分配、相关信息披露、基金宣传推介材料中登载基金业绩表现数据等进行监督和核查，其中对基金的投资比例的监督和核查自基金合同生效之后六个月开始。</w:t>
      </w:r>
    </w:p>
    <w:p w:rsidR="005C6370" w:rsidP="00A24D29" w14:paraId="0526332E" w14:textId="77777777">
      <w:pPr>
        <w:spacing w:line="360" w:lineRule="auto"/>
        <w:ind w:firstLine="420"/>
        <w:contextualSpacing/>
        <w:rPr>
          <w:rFonts w:ascii="宋体" w:hAnsi="Calibri"/>
          <w:szCs w:val="21"/>
          <w:lang w:eastAsia="zh-CN"/>
        </w:rPr>
      </w:pPr>
      <w:r>
        <w:rPr>
          <w:rFonts w:ascii="宋体" w:hAnsi="Calibri" w:hint="eastAsia"/>
          <w:szCs w:val="21"/>
          <w:lang w:eastAsia="zh-CN"/>
        </w:rPr>
        <w:t>基金托管人发现基金管理人违反《基金法》、基金合同、基金托管协议或有关基金法律法规规定的行为，应及时以书面形式通知基金管理人限期纠正，基金管理人收到通知后应及时核对，并以书面形式对基金托管人发出回函确认。在限期内，基金托管人有权随时对通知事项进行复查，督促基金管理人改正。基金管理人对基金托管人通知的违规事项未能在限期内纠正的，基金托管人应报告中国证监会。</w:t>
      </w:r>
    </w:p>
    <w:p w:rsidR="005C6370" w:rsidP="00A24D29" w14:paraId="25860D6E" w14:textId="77777777">
      <w:pPr>
        <w:spacing w:line="360" w:lineRule="auto"/>
        <w:ind w:firstLine="420"/>
        <w:contextualSpacing/>
        <w:rPr>
          <w:rFonts w:ascii="宋体" w:hAnsi="Calibri"/>
          <w:szCs w:val="21"/>
          <w:lang w:eastAsia="zh-CN"/>
        </w:rPr>
      </w:pPr>
      <w:r>
        <w:rPr>
          <w:rFonts w:ascii="宋体" w:hAnsi="Calibri" w:hint="eastAsia"/>
          <w:szCs w:val="21"/>
          <w:lang w:eastAsia="zh-CN"/>
        </w:rPr>
        <w:t>基金托管人发现基金管理人有重大违规行为，应立即报告中国证监会，同时通知基金管理人限期纠正。</w:t>
      </w:r>
    </w:p>
    <w:p w:rsidR="005C6370" w:rsidP="00A24D29" w14:paraId="22BE04C3" w14:textId="77777777">
      <w:pPr>
        <w:pStyle w:val="111"/>
        <w:spacing w:before="317" w:after="317" w:line="360" w:lineRule="auto"/>
        <w:ind w:firstLine="640"/>
        <w:contextualSpacing/>
        <w:rPr>
          <w:rFonts w:ascii="宋体" w:eastAsia="宋体" w:hAnsi="Calibri"/>
          <w:sz w:val="30"/>
          <w:szCs w:val="30"/>
          <w:lang w:eastAsia="zh-CN"/>
        </w:rPr>
      </w:pPr>
      <w:bookmarkStart w:id="1777" w:name="_Toc121776968"/>
      <w:bookmarkStart w:id="1778" w:name="_Toc332373481"/>
      <w:r>
        <w:rPr>
          <w:rFonts w:ascii="宋体" w:eastAsia="宋体" w:hAnsi="Calibri" w:hint="eastAsia"/>
          <w:sz w:val="30"/>
          <w:szCs w:val="30"/>
          <w:highlight w:val="white"/>
          <w:lang w:eastAsia="zh-CN"/>
        </w:rPr>
        <w:t>第五部分 相关服务机构</w:t>
      </w:r>
      <w:bookmarkEnd w:id="1777"/>
      <w:bookmarkEnd w:id="1778"/>
    </w:p>
    <w:p w:rsidR="005C6370" w:rsidP="00A24D29" w14:paraId="6EC97179" w14:textId="77777777">
      <w:pPr>
        <w:spacing w:line="360" w:lineRule="auto"/>
        <w:ind w:firstLine="420"/>
        <w:contextualSpacing/>
        <w:rPr>
          <w:rStyle w:val="da"/>
          <w:rFonts w:ascii="宋体" w:eastAsia="黑体" w:hAnsi="Calibri"/>
          <w:sz w:val="20"/>
          <w:szCs w:val="20"/>
          <w:lang w:eastAsia="zh-CN"/>
        </w:rPr>
      </w:pPr>
      <w:bookmarkStart w:id="1779" w:name="_Toc332373482"/>
      <w:r>
        <w:rPr>
          <w:rStyle w:val="da"/>
          <w:rFonts w:ascii="宋体" w:hAnsi="Calibri" w:hint="eastAsia"/>
          <w:highlight w:val="white"/>
          <w:lang w:eastAsia="zh-CN"/>
        </w:rPr>
        <w:t>一、基金份额发售机构</w:t>
      </w:r>
      <w:bookmarkEnd w:id="1779"/>
    </w:p>
    <w:p w:rsidR="005C6370" w:rsidP="00A24D29" w14:paraId="4113177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1、直销机构：易方达基金管理有限公司</w:t>
      </w:r>
    </w:p>
    <w:p w:rsidR="005C6370" w:rsidP="00A24D29" w14:paraId="1478B28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注册地址：</w:t>
      </w:r>
      <w:r>
        <w:rPr>
          <w:rFonts w:ascii="宋体" w:hAnsi="Calibri" w:cs="宋体"/>
          <w:color w:val="000000"/>
          <w:sz w:val="22"/>
          <w:highlight w:val="white"/>
          <w:lang w:eastAsia="zh-CN"/>
        </w:rPr>
        <w:t>广东省珠海市横琴新区荣粤道188号6层</w:t>
      </w:r>
    </w:p>
    <w:p w:rsidR="005C6370" w:rsidP="00A24D29" w14:paraId="7565037C"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办公地址：广东省广州市天河区珠江西路21号52层；广东省广州市天河区珠江东路30号42层；广东省珠海市横琴新区荣粤道188号6层</w:t>
      </w:r>
    </w:p>
    <w:p w:rsidR="005C6370" w:rsidP="00A24D29" w14:paraId="3F439938"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 xml:space="preserve">法定代表人：吴欣荣 </w:t>
      </w:r>
    </w:p>
    <w:p w:rsidR="005C6370" w:rsidP="00A24D29" w14:paraId="1F59C5D9"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电话：020-85102506</w:t>
      </w:r>
    </w:p>
    <w:p w:rsidR="005C6370" w:rsidP="00A24D29" w14:paraId="5207DAC4" w14:textId="77777777">
      <w:pPr>
        <w:spacing w:line="360" w:lineRule="auto"/>
        <w:ind w:firstLine="420"/>
        <w:contextualSpacing/>
        <w:rPr>
          <w:rStyle w:val="da"/>
          <w:rFonts w:ascii="宋体" w:hAnsi="Calibri"/>
        </w:rPr>
      </w:pPr>
      <w:r>
        <w:rPr>
          <w:rStyle w:val="da"/>
          <w:rFonts w:ascii="宋体" w:hAnsi="Calibri" w:hint="eastAsia"/>
          <w:highlight w:val="white"/>
        </w:rPr>
        <w:t>传真：4008818099</w:t>
      </w:r>
    </w:p>
    <w:p w:rsidR="005C6370" w:rsidP="00A24D29" w14:paraId="12606F3E" w14:textId="77777777">
      <w:pPr>
        <w:spacing w:line="360" w:lineRule="auto"/>
        <w:ind w:firstLine="420"/>
        <w:contextualSpacing/>
        <w:rPr>
          <w:rStyle w:val="da"/>
          <w:rFonts w:ascii="宋体" w:hAnsi="Calibri"/>
        </w:rPr>
      </w:pPr>
      <w:r>
        <w:rPr>
          <w:rStyle w:val="da"/>
          <w:rFonts w:ascii="宋体" w:hAnsi="Calibri" w:hint="eastAsia"/>
          <w:highlight w:val="white"/>
        </w:rPr>
        <w:t>联系人：梁美</w:t>
      </w:r>
    </w:p>
    <w:p w:rsidR="005C6370" w:rsidP="00A24D29" w14:paraId="18984F6E" w14:textId="77777777">
      <w:pPr>
        <w:spacing w:line="360" w:lineRule="auto"/>
        <w:ind w:firstLine="420"/>
        <w:contextualSpacing/>
        <w:rPr>
          <w:rStyle w:val="da"/>
          <w:rFonts w:ascii="宋体" w:hAnsi="Calibri"/>
        </w:rPr>
      </w:pPr>
      <w:r>
        <w:rPr>
          <w:rStyle w:val="da"/>
          <w:rFonts w:ascii="宋体" w:hAnsi="Calibri" w:hint="eastAsia"/>
          <w:highlight w:val="white"/>
        </w:rPr>
        <w:t>网址：</w:t>
      </w:r>
      <w:hyperlink r:id="rId6" w:history="1">
        <w:r>
          <w:rPr>
            <w:rStyle w:val="da"/>
            <w:rFonts w:ascii="宋体" w:hAnsi="Calibri" w:hint="eastAsia"/>
            <w:highlight w:val="white"/>
          </w:rPr>
          <w:t>www.efunds.com.cn</w:t>
        </w:r>
      </w:hyperlink>
    </w:p>
    <w:p w:rsidR="005C6370" w:rsidP="00A24D29" w14:paraId="262BE164" w14:textId="77777777">
      <w:pPr>
        <w:spacing w:line="360" w:lineRule="auto"/>
        <w:ind w:firstLine="420"/>
        <w:contextualSpacing/>
        <w:rPr>
          <w:rFonts w:ascii="宋体" w:hAnsi="Calibri"/>
          <w:lang w:eastAsia="zh-CN"/>
        </w:rPr>
      </w:pPr>
      <w:r>
        <w:rPr>
          <w:rFonts w:ascii="宋体" w:hAnsi="Calibri" w:cs="宋体"/>
          <w:color w:val="000000"/>
          <w:sz w:val="22"/>
          <w:highlight w:val="white"/>
          <w:lang w:eastAsia="zh-CN"/>
        </w:rPr>
        <w:t>直销机构网点信息：</w:t>
      </w:r>
    </w:p>
    <w:p w:rsidR="005C6370" w:rsidP="00A24D29" w14:paraId="7C72762B" w14:textId="77777777">
      <w:pPr>
        <w:spacing w:line="360" w:lineRule="auto"/>
        <w:ind w:firstLine="420"/>
        <w:contextualSpacing/>
        <w:rPr>
          <w:rFonts w:ascii="宋体" w:hAnsi="Calibri"/>
          <w:lang w:eastAsia="zh-CN"/>
        </w:rPr>
      </w:pPr>
      <w:r>
        <w:rPr>
          <w:rFonts w:ascii="宋体" w:hAnsi="Calibri" w:cs="宋体"/>
          <w:color w:val="000000"/>
          <w:sz w:val="22"/>
          <w:highlight w:val="white"/>
          <w:lang w:eastAsia="zh-CN"/>
        </w:rPr>
        <w:t>本公司直销中心和网上直销系统销售本基金A类基金份额，若后续销售本基金C类基金份额，将另行公告，网点具体信息详见本公司网站。</w:t>
      </w:r>
    </w:p>
    <w:p w:rsidR="005C6370" w:rsidP="00A24D29" w14:paraId="4E2C3C57"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2、非直销销售机构</w:t>
      </w:r>
    </w:p>
    <w:p w:rsidR="005C6370" w:rsidP="00A24D29" w14:paraId="1213C507"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详见基金份额发售公告。</w:t>
      </w:r>
    </w:p>
    <w:p w:rsidR="005C6370" w:rsidP="00A24D29" w14:paraId="1B7A54D8"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基金管理人可根据情况变更或增减销售机构并在基金管理人网站公示。</w:t>
      </w:r>
    </w:p>
    <w:p w:rsidR="005C6370" w:rsidP="00A24D29" w14:paraId="3F1597E5" w14:textId="77777777">
      <w:pPr>
        <w:spacing w:line="360" w:lineRule="auto"/>
        <w:ind w:firstLine="420"/>
        <w:contextualSpacing/>
        <w:rPr>
          <w:rStyle w:val="da"/>
          <w:rFonts w:ascii="宋体" w:hAnsi="Calibri"/>
          <w:lang w:eastAsia="zh-CN"/>
        </w:rPr>
      </w:pPr>
      <w:bookmarkStart w:id="1780" w:name="_Toc332373483"/>
      <w:r>
        <w:rPr>
          <w:rStyle w:val="da"/>
          <w:rFonts w:ascii="宋体" w:hAnsi="Calibri" w:hint="eastAsia"/>
          <w:highlight w:val="white"/>
          <w:lang w:eastAsia="zh-CN"/>
        </w:rPr>
        <w:t>二、</w:t>
      </w:r>
      <w:bookmarkEnd w:id="1780"/>
      <w:r>
        <w:rPr>
          <w:rStyle w:val="da"/>
          <w:rFonts w:ascii="宋体" w:hAnsi="Calibri" w:hint="eastAsia"/>
          <w:highlight w:val="white"/>
          <w:lang w:eastAsia="zh-CN"/>
        </w:rPr>
        <w:t>登记机构</w:t>
      </w:r>
    </w:p>
    <w:p w:rsidR="005C6370" w:rsidP="00A24D29" w14:paraId="3A70F339"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名称：易方达基金管理有限公司</w:t>
      </w:r>
    </w:p>
    <w:p w:rsidR="005C6370" w:rsidP="00A24D29" w14:paraId="1A2FB30B"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注册地址：</w:t>
      </w:r>
      <w:r>
        <w:rPr>
          <w:rFonts w:ascii="宋体" w:hAnsi="Calibri" w:cs="宋体"/>
          <w:color w:val="000000"/>
          <w:sz w:val="22"/>
          <w:highlight w:val="white"/>
          <w:lang w:eastAsia="zh-CN"/>
        </w:rPr>
        <w:t>广东省珠海市横琴新区荣粤道188号6层</w:t>
      </w:r>
    </w:p>
    <w:p w:rsidR="005C6370" w:rsidP="00A24D29" w14:paraId="32F45E9A"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办公</w:t>
      </w:r>
      <w:r>
        <w:rPr>
          <w:rStyle w:val="da"/>
          <w:rFonts w:ascii="宋体" w:hAnsi="Calibri" w:hint="eastAsia"/>
          <w:highlight w:val="white"/>
          <w:lang w:eastAsia="zh-CN"/>
        </w:rPr>
        <w:t>地址：广东省广州市天河区珠江西路21号52层；广东省广州市天河区珠江东路30号42层；广东省珠海市横琴新区荣粤道188号6层</w:t>
      </w:r>
    </w:p>
    <w:p w:rsidR="005C6370" w:rsidP="00A24D29" w14:paraId="63DDF6DC"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法定代表人：吴欣荣</w:t>
      </w:r>
    </w:p>
    <w:p w:rsidR="005C6370" w:rsidP="00A24D29" w14:paraId="5554499C"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电话：4008818088</w:t>
      </w:r>
    </w:p>
    <w:p w:rsidR="005C6370" w:rsidP="00A24D29" w14:paraId="1D98D0E6"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传真：</w:t>
      </w:r>
      <w:r>
        <w:rPr>
          <w:rStyle w:val="da"/>
          <w:rFonts w:ascii="宋体" w:hAnsi="Calibri"/>
          <w:highlight w:val="white"/>
          <w:lang w:eastAsia="zh-CN"/>
        </w:rPr>
        <w:t>020</w:t>
      </w:r>
      <w:r>
        <w:rPr>
          <w:rStyle w:val="da"/>
          <w:rFonts w:ascii="宋体" w:hAnsi="Calibri" w:hint="eastAsia"/>
          <w:highlight w:val="white"/>
          <w:lang w:eastAsia="zh-CN"/>
        </w:rPr>
        <w:t>-38799249</w:t>
      </w:r>
    </w:p>
    <w:p w:rsidR="005C6370" w:rsidP="00A24D29" w14:paraId="0A92B84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联系人：余贤高</w:t>
      </w:r>
    </w:p>
    <w:p w:rsidR="005C6370" w:rsidP="00A24D29" w14:paraId="39B3985D" w14:textId="77777777">
      <w:pPr>
        <w:spacing w:line="360" w:lineRule="auto"/>
        <w:ind w:firstLine="420"/>
        <w:contextualSpacing/>
        <w:rPr>
          <w:rStyle w:val="da"/>
          <w:rFonts w:ascii="宋体" w:hAnsi="Calibri"/>
          <w:lang w:eastAsia="zh-CN"/>
        </w:rPr>
      </w:pPr>
      <w:bookmarkStart w:id="1781" w:name="_Toc332373484"/>
      <w:r>
        <w:rPr>
          <w:rStyle w:val="da"/>
          <w:rFonts w:ascii="宋体" w:hAnsi="Calibri" w:hint="eastAsia"/>
          <w:highlight w:val="white"/>
          <w:lang w:eastAsia="zh-CN"/>
        </w:rPr>
        <w:t>三、律师事务所和经办律师</w:t>
      </w:r>
      <w:bookmarkEnd w:id="1781"/>
    </w:p>
    <w:p w:rsidR="005C6370" w:rsidP="00A24D29" w14:paraId="39E90034"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律师事务所：广东金桥百信律师事务所</w:t>
      </w:r>
    </w:p>
    <w:p w:rsidR="005C6370" w:rsidP="00A24D29" w14:paraId="3AB98B41"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住所：</w:t>
      </w:r>
      <w:r>
        <w:rPr>
          <w:rStyle w:val="da"/>
          <w:rFonts w:ascii="宋体" w:hAnsi="Calibri" w:cs="宋体" w:hint="eastAsia"/>
          <w:szCs w:val="21"/>
          <w:highlight w:val="white"/>
          <w:lang w:eastAsia="zh-CN"/>
        </w:rPr>
        <w:t>广东省广州市天河区珠江东路16号24-26层</w:t>
      </w:r>
    </w:p>
    <w:p w:rsidR="005C6370" w:rsidP="00A24D29" w14:paraId="7B20179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办公地址：广州市珠江新城珠江东路16号高德置地冬广场G座26楼</w:t>
      </w:r>
    </w:p>
    <w:p w:rsidR="005C6370" w:rsidP="00A24D29" w14:paraId="19354FE0"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负责人：莫哲</w:t>
      </w:r>
    </w:p>
    <w:p w:rsidR="005C6370" w:rsidP="00A24D29" w14:paraId="2D46066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电话：</w:t>
      </w:r>
      <w:r>
        <w:rPr>
          <w:rStyle w:val="da"/>
          <w:rFonts w:ascii="宋体" w:hAnsi="Calibri"/>
          <w:highlight w:val="white"/>
          <w:lang w:eastAsia="zh-CN"/>
        </w:rPr>
        <w:t>020-83338668</w:t>
      </w:r>
    </w:p>
    <w:p w:rsidR="005C6370" w:rsidP="00A24D29" w14:paraId="726FDEC6"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传真：</w:t>
      </w:r>
      <w:r>
        <w:rPr>
          <w:rStyle w:val="da"/>
          <w:rFonts w:ascii="宋体" w:hAnsi="Calibri"/>
          <w:highlight w:val="white"/>
          <w:lang w:eastAsia="zh-CN"/>
        </w:rPr>
        <w:t>020-83338088</w:t>
      </w:r>
    </w:p>
    <w:p w:rsidR="005C6370" w:rsidP="00A24D29" w14:paraId="48C257D4"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经办律师：郭东雪、李海滢</w:t>
      </w:r>
    </w:p>
    <w:p w:rsidR="005C6370" w:rsidP="00A24D29" w14:paraId="62B02A45"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联系人：李海滢</w:t>
      </w:r>
      <w:bookmarkStart w:id="1782" w:name="_Toc332373485"/>
    </w:p>
    <w:p w:rsidR="005C6370" w:rsidP="00A24D29" w14:paraId="1B527322" w14:textId="77777777">
      <w:pPr>
        <w:spacing w:line="360" w:lineRule="auto"/>
        <w:ind w:firstLine="420"/>
        <w:contextualSpacing/>
        <w:rPr>
          <w:rStyle w:val="da"/>
          <w:rFonts w:ascii="宋体" w:hAnsi="Calibri" w:cs="宋体"/>
          <w:szCs w:val="21"/>
          <w:lang w:eastAsia="zh-CN"/>
        </w:rPr>
      </w:pPr>
      <w:r>
        <w:rPr>
          <w:rStyle w:val="da"/>
          <w:rFonts w:ascii="宋体" w:hAnsi="Calibri" w:cs="宋体" w:hint="eastAsia"/>
          <w:szCs w:val="21"/>
          <w:highlight w:val="white"/>
          <w:lang w:eastAsia="zh-CN"/>
        </w:rPr>
        <w:t>四、会计师事务所</w:t>
      </w:r>
    </w:p>
    <w:p w:rsidR="005C6370" w:rsidP="00A24D29" w14:paraId="45179F91" w14:textId="77777777">
      <w:pPr>
        <w:spacing w:line="360" w:lineRule="auto"/>
        <w:ind w:firstLine="420"/>
        <w:contextualSpacing/>
        <w:rPr>
          <w:rStyle w:val="da"/>
          <w:rFonts w:ascii="宋体" w:hAnsi="Calibri" w:cs="宋体"/>
          <w:szCs w:val="21"/>
          <w:lang w:eastAsia="zh-CN"/>
        </w:rPr>
      </w:pPr>
      <w:r>
        <w:rPr>
          <w:rStyle w:val="da"/>
          <w:rFonts w:ascii="宋体" w:hAnsi="Calibri" w:cs="宋体" w:hint="eastAsia"/>
          <w:szCs w:val="21"/>
          <w:highlight w:val="white"/>
          <w:lang w:eastAsia="zh-CN"/>
        </w:rPr>
        <w:t>本基金的法定验资机构为德勤华永会计师事务所（特殊普通合伙）。</w:t>
      </w:r>
    </w:p>
    <w:p w:rsidR="005C6370" w:rsidP="00A24D29" w14:paraId="36514AB4" w14:textId="77777777">
      <w:pPr>
        <w:spacing w:line="360" w:lineRule="auto"/>
        <w:ind w:firstLine="420"/>
        <w:contextualSpacing/>
        <w:rPr>
          <w:rStyle w:val="da"/>
          <w:rFonts w:ascii="宋体" w:hAnsi="Calibri" w:cs="宋体"/>
          <w:szCs w:val="21"/>
          <w:lang w:eastAsia="zh-CN"/>
        </w:rPr>
      </w:pPr>
      <w:r>
        <w:rPr>
          <w:rStyle w:val="da"/>
          <w:rFonts w:ascii="宋体" w:hAnsi="Calibri" w:cs="宋体" w:hint="eastAsia"/>
          <w:szCs w:val="21"/>
          <w:highlight w:val="white"/>
          <w:lang w:eastAsia="zh-CN"/>
        </w:rPr>
        <w:t>会计师事务所：德勤华永会计师事务所（特殊普通合伙）</w:t>
      </w:r>
    </w:p>
    <w:p w:rsidR="005C6370" w:rsidP="00A24D29" w14:paraId="67ABAABD" w14:textId="77777777">
      <w:pPr>
        <w:spacing w:line="360" w:lineRule="auto"/>
        <w:ind w:firstLine="420"/>
        <w:contextualSpacing/>
        <w:rPr>
          <w:rStyle w:val="da"/>
          <w:rFonts w:ascii="宋体" w:hAnsi="Calibri" w:cs="宋体"/>
          <w:szCs w:val="21"/>
          <w:lang w:eastAsia="zh-CN"/>
        </w:rPr>
      </w:pPr>
      <w:r>
        <w:rPr>
          <w:rStyle w:val="da"/>
          <w:rFonts w:ascii="宋体" w:hAnsi="Calibri" w:cs="宋体" w:hint="eastAsia"/>
          <w:szCs w:val="21"/>
          <w:highlight w:val="white"/>
          <w:lang w:eastAsia="zh-CN"/>
        </w:rPr>
        <w:t>住所：中国上海市延安东路222号外滩中心30楼</w:t>
      </w:r>
    </w:p>
    <w:p w:rsidR="005C6370" w:rsidP="00A24D29" w14:paraId="3FC1FC36" w14:textId="77777777">
      <w:pPr>
        <w:spacing w:line="360" w:lineRule="auto"/>
        <w:ind w:firstLine="420"/>
        <w:contextualSpacing/>
        <w:rPr>
          <w:rStyle w:val="da"/>
          <w:rFonts w:ascii="宋体" w:hAnsi="Calibri" w:cs="宋体"/>
          <w:szCs w:val="21"/>
          <w:lang w:eastAsia="zh-CN"/>
        </w:rPr>
      </w:pPr>
      <w:r>
        <w:rPr>
          <w:rStyle w:val="da"/>
          <w:rFonts w:ascii="宋体" w:hAnsi="Calibri" w:cs="宋体" w:hint="eastAsia"/>
          <w:szCs w:val="21"/>
          <w:highlight w:val="white"/>
          <w:lang w:eastAsia="zh-CN"/>
        </w:rPr>
        <w:t>主要经营场所：中国上海市延安东路222号外滩中心30楼</w:t>
      </w:r>
    </w:p>
    <w:p w:rsidR="005C6370" w:rsidP="00A24D29" w14:paraId="0FF57E82" w14:textId="77777777">
      <w:pPr>
        <w:spacing w:line="360" w:lineRule="auto"/>
        <w:ind w:firstLine="420"/>
        <w:contextualSpacing/>
        <w:rPr>
          <w:rStyle w:val="da"/>
          <w:rFonts w:ascii="宋体" w:hAnsi="Calibri" w:cs="宋体"/>
          <w:szCs w:val="21"/>
          <w:lang w:eastAsia="zh-CN"/>
        </w:rPr>
      </w:pPr>
      <w:r>
        <w:rPr>
          <w:rStyle w:val="da"/>
          <w:rFonts w:ascii="宋体" w:hAnsi="Calibri" w:cs="宋体" w:hint="eastAsia"/>
          <w:szCs w:val="21"/>
          <w:highlight w:val="white"/>
          <w:lang w:eastAsia="zh-CN"/>
        </w:rPr>
        <w:t>执行事务合伙人：唐恋炯</w:t>
      </w:r>
    </w:p>
    <w:p w:rsidR="005C6370" w:rsidP="00A24D29" w14:paraId="5803015D" w14:textId="77777777">
      <w:pPr>
        <w:spacing w:line="360" w:lineRule="auto"/>
        <w:ind w:firstLine="420"/>
        <w:contextualSpacing/>
        <w:rPr>
          <w:rStyle w:val="da"/>
          <w:rFonts w:ascii="宋体" w:hAnsi="Calibri" w:cs="宋体"/>
          <w:szCs w:val="21"/>
          <w:lang w:eastAsia="zh-CN"/>
        </w:rPr>
      </w:pPr>
      <w:r>
        <w:rPr>
          <w:rStyle w:val="da"/>
          <w:rFonts w:ascii="宋体" w:hAnsi="Calibri" w:cs="宋体" w:hint="eastAsia"/>
          <w:szCs w:val="21"/>
          <w:highlight w:val="white"/>
          <w:lang w:eastAsia="zh-CN"/>
        </w:rPr>
        <w:t>电话：021-61418888</w:t>
      </w:r>
    </w:p>
    <w:p w:rsidR="005C6370" w:rsidP="00A24D29" w14:paraId="06583936" w14:textId="77777777">
      <w:pPr>
        <w:spacing w:line="360" w:lineRule="auto"/>
        <w:ind w:firstLine="420"/>
        <w:contextualSpacing/>
        <w:rPr>
          <w:rStyle w:val="da"/>
          <w:rFonts w:ascii="宋体" w:hAnsi="Calibri" w:cs="宋体"/>
          <w:szCs w:val="21"/>
          <w:lang w:eastAsia="zh-CN"/>
        </w:rPr>
      </w:pPr>
      <w:r>
        <w:rPr>
          <w:rStyle w:val="da"/>
          <w:rFonts w:ascii="宋体" w:hAnsi="Calibri" w:cs="宋体" w:hint="eastAsia"/>
          <w:szCs w:val="21"/>
          <w:highlight w:val="white"/>
          <w:lang w:eastAsia="zh-CN"/>
        </w:rPr>
        <w:t>传真：021-63350003</w:t>
      </w:r>
    </w:p>
    <w:p w:rsidR="005C6370" w:rsidP="00A24D29" w14:paraId="019779BA" w14:textId="77777777">
      <w:pPr>
        <w:spacing w:line="360" w:lineRule="auto"/>
        <w:ind w:firstLine="420"/>
        <w:contextualSpacing/>
        <w:rPr>
          <w:rStyle w:val="da"/>
          <w:rFonts w:ascii="宋体" w:hAnsi="Calibri" w:cs="宋体"/>
          <w:szCs w:val="21"/>
          <w:lang w:eastAsia="zh-CN"/>
        </w:rPr>
      </w:pPr>
      <w:r>
        <w:rPr>
          <w:rStyle w:val="da"/>
          <w:rFonts w:ascii="宋体" w:hAnsi="Calibri" w:cs="宋体" w:hint="eastAsia"/>
          <w:szCs w:val="21"/>
          <w:highlight w:val="white"/>
          <w:lang w:eastAsia="zh-CN"/>
        </w:rPr>
        <w:t>联系人：江丽雅</w:t>
      </w:r>
      <w:bookmarkEnd w:id="1782"/>
    </w:p>
    <w:p w:rsidR="00952691" w:rsidRPr="00952691" w:rsidP="00952691" w14:paraId="2B259563" w14:textId="77777777">
      <w:pPr>
        <w:spacing w:line="360" w:lineRule="auto"/>
        <w:ind w:firstLine="420"/>
        <w:contextualSpacing/>
        <w:rPr>
          <w:rStyle w:val="da"/>
          <w:rFonts w:ascii="宋体" w:hAnsi="Calibri" w:cs="宋体"/>
          <w:szCs w:val="21"/>
          <w:lang w:eastAsia="zh-CN"/>
        </w:rPr>
      </w:pPr>
      <w:r w:rsidRPr="00952691">
        <w:rPr>
          <w:rStyle w:val="da"/>
          <w:rFonts w:ascii="宋体" w:hAnsi="Calibri" w:cs="宋体" w:hint="eastAsia"/>
          <w:szCs w:val="21"/>
          <w:lang w:eastAsia="zh-CN"/>
        </w:rPr>
        <w:t>本基金的年度财务报表及其他规定事项的审计机构为容诚会计师事务所（特殊普通合伙）。</w:t>
      </w:r>
    </w:p>
    <w:p w:rsidR="00952691" w:rsidRPr="00952691" w:rsidP="00952691" w14:paraId="5BE0AF03" w14:textId="77777777">
      <w:pPr>
        <w:spacing w:line="360" w:lineRule="auto"/>
        <w:ind w:firstLine="420"/>
        <w:contextualSpacing/>
        <w:rPr>
          <w:rStyle w:val="da"/>
          <w:rFonts w:ascii="宋体" w:hAnsi="Calibri" w:cs="宋体"/>
          <w:szCs w:val="21"/>
          <w:lang w:eastAsia="zh-CN"/>
        </w:rPr>
      </w:pPr>
      <w:r w:rsidRPr="00952691">
        <w:rPr>
          <w:rStyle w:val="da"/>
          <w:rFonts w:ascii="宋体" w:hAnsi="Calibri" w:cs="宋体" w:hint="eastAsia"/>
          <w:szCs w:val="21"/>
          <w:lang w:eastAsia="zh-CN"/>
        </w:rPr>
        <w:t>会计师事务所：容诚会计师事务所（特殊普通合伙）</w:t>
      </w:r>
    </w:p>
    <w:p w:rsidR="00952691" w:rsidRPr="00952691" w:rsidP="00952691" w14:paraId="55A6E656" w14:textId="77777777">
      <w:pPr>
        <w:spacing w:line="360" w:lineRule="auto"/>
        <w:ind w:firstLine="420"/>
        <w:contextualSpacing/>
        <w:rPr>
          <w:rStyle w:val="da"/>
          <w:rFonts w:ascii="宋体" w:hAnsi="Calibri" w:cs="宋体"/>
          <w:szCs w:val="21"/>
          <w:lang w:eastAsia="zh-CN"/>
        </w:rPr>
      </w:pPr>
      <w:r w:rsidRPr="00952691">
        <w:rPr>
          <w:rStyle w:val="da"/>
          <w:rFonts w:ascii="宋体" w:hAnsi="Calibri" w:cs="宋体" w:hint="eastAsia"/>
          <w:szCs w:val="21"/>
          <w:lang w:eastAsia="zh-CN"/>
        </w:rPr>
        <w:t>住所：北京市西城区阜成门外大街22号1幢10层1001-1至 1001-26</w:t>
      </w:r>
    </w:p>
    <w:p w:rsidR="00952691" w:rsidRPr="00952691" w:rsidP="00952691" w14:paraId="7EDF441C" w14:textId="77777777">
      <w:pPr>
        <w:spacing w:line="360" w:lineRule="auto"/>
        <w:ind w:firstLine="420"/>
        <w:contextualSpacing/>
        <w:rPr>
          <w:rStyle w:val="da"/>
          <w:rFonts w:ascii="宋体" w:hAnsi="Calibri" w:cs="宋体"/>
          <w:szCs w:val="21"/>
          <w:lang w:eastAsia="zh-CN"/>
        </w:rPr>
      </w:pPr>
      <w:r w:rsidRPr="00952691">
        <w:rPr>
          <w:rStyle w:val="da"/>
          <w:rFonts w:ascii="宋体" w:hAnsi="Calibri" w:cs="宋体" w:hint="eastAsia"/>
          <w:szCs w:val="21"/>
          <w:lang w:eastAsia="zh-CN"/>
        </w:rPr>
        <w:t>主要经营场所：北京市西城区阜成门外大街22号1幢10层1001-1至 1001-26</w:t>
      </w:r>
    </w:p>
    <w:p w:rsidR="00952691" w:rsidRPr="00952691" w:rsidP="00952691" w14:paraId="5644E254" w14:textId="77777777">
      <w:pPr>
        <w:spacing w:line="360" w:lineRule="auto"/>
        <w:ind w:firstLine="420"/>
        <w:contextualSpacing/>
        <w:rPr>
          <w:rStyle w:val="da"/>
          <w:rFonts w:ascii="宋体" w:hAnsi="Calibri" w:cs="宋体"/>
          <w:szCs w:val="21"/>
          <w:lang w:eastAsia="zh-CN"/>
        </w:rPr>
      </w:pPr>
      <w:r w:rsidRPr="00952691">
        <w:rPr>
          <w:rStyle w:val="da"/>
          <w:rFonts w:ascii="宋体" w:hAnsi="Calibri" w:cs="宋体" w:hint="eastAsia"/>
          <w:szCs w:val="21"/>
          <w:lang w:eastAsia="zh-CN"/>
        </w:rPr>
        <w:t>执行事务合伙人：肖厚发、刘维</w:t>
      </w:r>
    </w:p>
    <w:p w:rsidR="00952691" w:rsidRPr="00952691" w:rsidP="00952691" w14:paraId="2BAB899B" w14:textId="77777777">
      <w:pPr>
        <w:spacing w:line="360" w:lineRule="auto"/>
        <w:ind w:firstLine="420"/>
        <w:contextualSpacing/>
        <w:rPr>
          <w:rStyle w:val="da"/>
          <w:rFonts w:ascii="宋体" w:hAnsi="Calibri" w:cs="宋体"/>
          <w:szCs w:val="21"/>
          <w:lang w:eastAsia="zh-CN"/>
        </w:rPr>
      </w:pPr>
      <w:r w:rsidRPr="00952691">
        <w:rPr>
          <w:rStyle w:val="da"/>
          <w:rFonts w:ascii="宋体" w:hAnsi="Calibri" w:cs="宋体" w:hint="eastAsia"/>
          <w:szCs w:val="21"/>
          <w:lang w:eastAsia="zh-CN"/>
        </w:rPr>
        <w:t>电话：010-66001391</w:t>
      </w:r>
    </w:p>
    <w:p w:rsidR="00952691" w:rsidRPr="00952691" w:rsidP="00952691" w14:paraId="6ECAD805" w14:textId="77777777">
      <w:pPr>
        <w:spacing w:line="360" w:lineRule="auto"/>
        <w:ind w:firstLine="420"/>
        <w:contextualSpacing/>
        <w:rPr>
          <w:rStyle w:val="da"/>
          <w:rFonts w:ascii="宋体" w:hAnsi="Calibri" w:cs="宋体"/>
          <w:szCs w:val="21"/>
          <w:lang w:eastAsia="zh-CN"/>
        </w:rPr>
      </w:pPr>
      <w:r w:rsidRPr="00952691">
        <w:rPr>
          <w:rStyle w:val="da"/>
          <w:rFonts w:ascii="宋体" w:hAnsi="Calibri" w:cs="宋体" w:hint="eastAsia"/>
          <w:szCs w:val="21"/>
          <w:lang w:eastAsia="zh-CN"/>
        </w:rPr>
        <w:t>传真：010-66001392</w:t>
      </w:r>
    </w:p>
    <w:p w:rsidR="00952691" w:rsidP="00952691" w14:paraId="76CE3A6A" w14:textId="77777777">
      <w:pPr>
        <w:spacing w:line="360" w:lineRule="auto"/>
        <w:ind w:firstLine="420"/>
        <w:contextualSpacing/>
        <w:rPr>
          <w:rStyle w:val="da"/>
          <w:rFonts w:ascii="宋体" w:hAnsi="Calibri" w:cs="宋体"/>
          <w:szCs w:val="21"/>
          <w:lang w:eastAsia="zh-CN"/>
        </w:rPr>
      </w:pPr>
      <w:r w:rsidRPr="00952691">
        <w:rPr>
          <w:rStyle w:val="da"/>
          <w:rFonts w:ascii="宋体" w:hAnsi="Calibri" w:cs="宋体" w:hint="eastAsia"/>
          <w:szCs w:val="21"/>
          <w:lang w:eastAsia="zh-CN"/>
        </w:rPr>
        <w:t>联系人：陈轶杰</w:t>
      </w:r>
    </w:p>
    <w:p w:rsidR="005C6370" w:rsidP="00A24D29" w14:paraId="0B7E5E2E" w14:textId="77777777">
      <w:pPr>
        <w:spacing w:line="360" w:lineRule="auto"/>
        <w:ind w:firstLine="420"/>
        <w:contextualSpacing/>
        <w:rPr>
          <w:rStyle w:val="da"/>
          <w:rFonts w:ascii="宋体" w:hAnsi="Calibri" w:cs="Calibri"/>
          <w:lang w:eastAsia="zh-CN"/>
        </w:rPr>
      </w:pPr>
    </w:p>
    <w:p w:rsidR="005C6370" w:rsidP="00A24D29" w14:paraId="09EFC90E" w14:textId="77777777">
      <w:pPr>
        <w:widowControl/>
        <w:contextualSpacing/>
        <w:jc w:val="left"/>
        <w:rPr>
          <w:rFonts w:ascii="宋体" w:hAnsi="Calibri"/>
          <w:szCs w:val="21"/>
          <w:lang w:eastAsia="zh-CN"/>
        </w:rPr>
      </w:pPr>
      <w:r>
        <w:rPr>
          <w:rFonts w:ascii="宋体" w:hAnsi="Calibri"/>
          <w:szCs w:val="21"/>
          <w:highlight w:val="white"/>
          <w:lang w:eastAsia="zh-CN"/>
        </w:rPr>
        <w:br w:type="page"/>
      </w:r>
    </w:p>
    <w:p w:rsidR="005C6370" w:rsidP="00A24D29" w14:paraId="4F00D65B" w14:textId="77777777">
      <w:pPr>
        <w:pStyle w:val="Heading1"/>
        <w:pageBreakBefore/>
        <w:spacing w:before="240" w:after="240" w:line="360" w:lineRule="auto"/>
        <w:ind w:firstLine="600"/>
        <w:contextualSpacing/>
        <w:rPr>
          <w:rFonts w:ascii="宋体" w:eastAsia="宋体" w:hAnsi="Calibri"/>
          <w:bCs/>
          <w:sz w:val="30"/>
          <w:szCs w:val="30"/>
          <w:lang w:eastAsia="zh-CN"/>
        </w:rPr>
      </w:pPr>
      <w:bookmarkStart w:id="1783" w:name="_Toc76457651"/>
      <w:bookmarkStart w:id="1784" w:name="_Toc121776969"/>
      <w:bookmarkStart w:id="1785" w:name="_Toc11178790"/>
      <w:r>
        <w:rPr>
          <w:rFonts w:ascii="宋体" w:eastAsia="宋体" w:hAnsi="Calibri" w:hint="eastAsia"/>
          <w:sz w:val="30"/>
          <w:szCs w:val="30"/>
          <w:highlight w:val="white"/>
          <w:lang w:eastAsia="zh-CN"/>
        </w:rPr>
        <w:t xml:space="preserve">第六部分 </w:t>
      </w:r>
      <w:r>
        <w:rPr>
          <w:rFonts w:ascii="宋体" w:eastAsia="宋体" w:hAnsi="Calibri"/>
          <w:bCs/>
          <w:sz w:val="30"/>
          <w:szCs w:val="30"/>
          <w:highlight w:val="white"/>
          <w:lang w:eastAsia="zh-CN"/>
        </w:rPr>
        <w:t>基金份额的分类</w:t>
      </w:r>
      <w:bookmarkEnd w:id="1783"/>
      <w:bookmarkEnd w:id="1784"/>
      <w:bookmarkEnd w:id="1785"/>
    </w:p>
    <w:p w:rsidR="005C6370" w:rsidP="00A24D29" w14:paraId="6E2C4AB4"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一、基金份额类别</w:t>
      </w:r>
    </w:p>
    <w:p w:rsidR="005C6370" w:rsidP="00A24D29" w14:paraId="343ADFF1" w14:textId="77777777">
      <w:pPr>
        <w:spacing w:line="360" w:lineRule="auto"/>
        <w:ind w:firstLine="420" w:firstLineChars="200"/>
        <w:contextualSpacing/>
        <w:rPr>
          <w:rStyle w:val="da"/>
          <w:rFonts w:ascii="宋体" w:hAnsi="Calibri"/>
          <w:lang w:eastAsia="zh-CN"/>
        </w:rPr>
      </w:pPr>
      <w:r>
        <w:rPr>
          <w:rStyle w:val="da"/>
          <w:rFonts w:ascii="宋体" w:hAnsi="Calibri" w:hint="eastAsia"/>
          <w:lang w:eastAsia="zh-CN"/>
        </w:rPr>
        <w:t>本基金将基金份额分为A类基金份额、C类基金份额。在投资人认购/申购基金时按规定收取认购/申购费用，并不再从本类别基金资产中计提销售服务费的基金份额，为A类基金份额；从本类基金资产中计提销售服务费并按规定收取或返还，不收取认购/申购费用的基金份额，为C类基金份额。</w:t>
      </w:r>
    </w:p>
    <w:p w:rsidR="005C6370" w:rsidP="00A24D29" w14:paraId="51ADE077" w14:textId="77777777">
      <w:pPr>
        <w:spacing w:line="360" w:lineRule="auto"/>
        <w:ind w:firstLine="480"/>
        <w:contextualSpacing/>
        <w:rPr>
          <w:rStyle w:val="da"/>
          <w:rFonts w:ascii="宋体" w:hAnsi="Calibri"/>
          <w:lang w:eastAsia="zh-CN"/>
        </w:rPr>
      </w:pPr>
      <w:r>
        <w:rPr>
          <w:rStyle w:val="da"/>
          <w:rFonts w:ascii="宋体" w:hAnsi="Calibri" w:hint="eastAsia"/>
          <w:highlight w:val="white"/>
          <w:lang w:eastAsia="zh-CN"/>
        </w:rPr>
        <w:t>本基金各类基金份额分别设置代码，分别计算并公布基金份额净值和基金份额累计净值。投资人在认购/申购基金份额时可自行选择基金份额类别。本基金暂不开通各份额类别之间的转换业务，今后若开通本基金各份额类别之间的转换业务，业务规则详见届时发布的有关公告或更新的招募说明书。</w:t>
      </w:r>
    </w:p>
    <w:p w:rsidR="005C6370" w:rsidP="00A24D29" w14:paraId="16890CC0"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每类基金</w:t>
      </w:r>
      <w:r>
        <w:rPr>
          <w:rFonts w:ascii="宋体" w:hAnsi="Calibri"/>
          <w:szCs w:val="21"/>
          <w:highlight w:val="white"/>
          <w:lang w:eastAsia="zh-CN"/>
        </w:rPr>
        <w:t>份额的具体</w:t>
      </w:r>
      <w:r>
        <w:rPr>
          <w:rFonts w:ascii="宋体" w:hAnsi="Calibri" w:hint="eastAsia"/>
          <w:szCs w:val="21"/>
          <w:highlight w:val="white"/>
          <w:lang w:eastAsia="zh-CN"/>
        </w:rPr>
        <w:t>规定</w:t>
      </w:r>
      <w:r>
        <w:rPr>
          <w:rFonts w:ascii="宋体" w:hAnsi="Calibri"/>
          <w:szCs w:val="21"/>
          <w:highlight w:val="white"/>
          <w:lang w:eastAsia="zh-CN"/>
        </w:rPr>
        <w:t>详见下表：</w:t>
      </w:r>
    </w:p>
    <w:tbl>
      <w:tblPr>
        <w:tblpPr w:leftFromText="180" w:rightFromText="180" w:vertAnchor="text" w:horzAnchor="page" w:tblpX="1749" w:tblpY="124"/>
        <w:tblOverlap w:val="neve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47"/>
        <w:gridCol w:w="2835"/>
        <w:gridCol w:w="2551"/>
      </w:tblGrid>
      <w:tr w14:paraId="790FC607" w14:textId="77777777">
        <w:tblPrEx>
          <w:tblW w:w="7933" w:type="dxa"/>
          <w:tblLayout w:type="fixed"/>
          <w:tblLook w:val="04A0"/>
        </w:tblPrEx>
        <w:trPr>
          <w:trHeight w:val="159"/>
        </w:trPr>
        <w:tc>
          <w:tcPr>
            <w:tcW w:w="2547" w:type="dxa"/>
            <w:tcBorders>
              <w:top w:val="single" w:sz="4" w:space="0" w:color="auto"/>
              <w:left w:val="single" w:sz="4" w:space="0" w:color="auto"/>
              <w:bottom w:val="single" w:sz="4" w:space="0" w:color="auto"/>
              <w:right w:val="single" w:sz="4" w:space="0" w:color="auto"/>
            </w:tcBorders>
            <w:vAlign w:val="center"/>
          </w:tcPr>
          <w:p w:rsidR="005C6370" w:rsidP="00A24D29" w14:paraId="22BADB39" w14:textId="77777777">
            <w:pPr>
              <w:autoSpaceDE w:val="0"/>
              <w:autoSpaceDN w:val="0"/>
              <w:snapToGrid w:val="0"/>
              <w:spacing w:line="360" w:lineRule="auto"/>
              <w:contextualSpacing/>
              <w:jc w:val="center"/>
              <w:rPr>
                <w:rFonts w:ascii="宋体" w:hAnsi="Calibri" w:cs="宋体s....."/>
                <w:b/>
                <w:szCs w:val="21"/>
              </w:rPr>
            </w:pPr>
            <w:r>
              <w:rPr>
                <w:rFonts w:ascii="宋体" w:hAnsi="Calibri" w:cs="宋体s....." w:hint="eastAsia"/>
                <w:b/>
                <w:szCs w:val="21"/>
                <w:highlight w:val="white"/>
              </w:rPr>
              <w:t>份额类别</w:t>
            </w:r>
          </w:p>
        </w:tc>
        <w:tc>
          <w:tcPr>
            <w:tcW w:w="2835" w:type="dxa"/>
            <w:tcBorders>
              <w:top w:val="single" w:sz="4" w:space="0" w:color="auto"/>
              <w:left w:val="single" w:sz="4" w:space="0" w:color="auto"/>
              <w:bottom w:val="single" w:sz="4" w:space="0" w:color="auto"/>
              <w:right w:val="single" w:sz="4" w:space="0" w:color="auto"/>
            </w:tcBorders>
            <w:vAlign w:val="center"/>
          </w:tcPr>
          <w:p w:rsidR="005C6370" w:rsidP="00A24D29" w14:paraId="7578D965" w14:textId="77777777">
            <w:pPr>
              <w:autoSpaceDE w:val="0"/>
              <w:autoSpaceDN w:val="0"/>
              <w:snapToGrid w:val="0"/>
              <w:spacing w:line="360" w:lineRule="auto"/>
              <w:contextualSpacing/>
              <w:jc w:val="center"/>
              <w:rPr>
                <w:rFonts w:ascii="宋体" w:hAnsi="Calibri"/>
                <w:b/>
                <w:szCs w:val="21"/>
              </w:rPr>
            </w:pPr>
            <w:r>
              <w:rPr>
                <w:rFonts w:ascii="宋体" w:hAnsi="Calibri"/>
                <w:b/>
                <w:bCs/>
                <w:szCs w:val="21"/>
                <w:highlight w:val="white"/>
              </w:rPr>
              <w:t>A类基金份额</w:t>
            </w:r>
          </w:p>
        </w:tc>
        <w:tc>
          <w:tcPr>
            <w:tcW w:w="2551" w:type="dxa"/>
            <w:tcBorders>
              <w:top w:val="single" w:sz="4" w:space="0" w:color="auto"/>
              <w:left w:val="single" w:sz="4" w:space="0" w:color="auto"/>
              <w:bottom w:val="single" w:sz="4" w:space="0" w:color="auto"/>
              <w:right w:val="single" w:sz="4" w:space="0" w:color="auto"/>
            </w:tcBorders>
            <w:vAlign w:val="center"/>
          </w:tcPr>
          <w:p w:rsidR="005C6370" w:rsidP="00A24D29" w14:paraId="3838E0AB" w14:textId="77777777">
            <w:pPr>
              <w:autoSpaceDE w:val="0"/>
              <w:autoSpaceDN w:val="0"/>
              <w:snapToGrid w:val="0"/>
              <w:spacing w:line="360" w:lineRule="auto"/>
              <w:contextualSpacing/>
              <w:jc w:val="center"/>
              <w:rPr>
                <w:rFonts w:ascii="宋体" w:hAnsi="Calibri"/>
                <w:b/>
                <w:bCs/>
                <w:szCs w:val="21"/>
              </w:rPr>
            </w:pPr>
            <w:r>
              <w:rPr>
                <w:rFonts w:ascii="宋体" w:hAnsi="Calibri"/>
                <w:b/>
                <w:bCs/>
                <w:szCs w:val="21"/>
                <w:highlight w:val="white"/>
              </w:rPr>
              <w:t>C类基金份额</w:t>
            </w:r>
          </w:p>
        </w:tc>
      </w:tr>
      <w:tr w14:paraId="3D9A5254" w14:textId="77777777">
        <w:tblPrEx>
          <w:tblW w:w="7933" w:type="dxa"/>
          <w:tblLayout w:type="fixed"/>
          <w:tblLook w:val="04A0"/>
        </w:tblPrEx>
        <w:trPr>
          <w:trHeight w:val="159"/>
        </w:trPr>
        <w:tc>
          <w:tcPr>
            <w:tcW w:w="2547" w:type="dxa"/>
            <w:vAlign w:val="center"/>
          </w:tcPr>
          <w:p w:rsidR="005C6370" w:rsidP="00A24D29" w14:paraId="6D2CE670" w14:textId="77777777">
            <w:pPr>
              <w:autoSpaceDE w:val="0"/>
              <w:autoSpaceDN w:val="0"/>
              <w:snapToGrid w:val="0"/>
              <w:spacing w:line="360" w:lineRule="auto"/>
              <w:contextualSpacing/>
              <w:jc w:val="center"/>
              <w:rPr>
                <w:rFonts w:ascii="宋体" w:hAnsi="Calibri" w:cs="宋体s....."/>
                <w:szCs w:val="21"/>
              </w:rPr>
            </w:pPr>
            <w:r>
              <w:rPr>
                <w:rFonts w:ascii="宋体" w:hAnsi="Calibri" w:cs="宋体s....." w:hint="eastAsia"/>
                <w:szCs w:val="21"/>
                <w:highlight w:val="white"/>
              </w:rPr>
              <w:t>认/申购费</w:t>
            </w:r>
          </w:p>
        </w:tc>
        <w:tc>
          <w:tcPr>
            <w:tcW w:w="2835" w:type="dxa"/>
            <w:vAlign w:val="center"/>
          </w:tcPr>
          <w:p w:rsidR="005C6370" w:rsidP="00A24D29" w14:paraId="6E91461A" w14:textId="77777777">
            <w:pPr>
              <w:autoSpaceDE w:val="0"/>
              <w:autoSpaceDN w:val="0"/>
              <w:snapToGrid w:val="0"/>
              <w:spacing w:line="360" w:lineRule="auto"/>
              <w:contextualSpacing/>
              <w:jc w:val="center"/>
              <w:rPr>
                <w:rFonts w:ascii="宋体" w:hAnsi="Calibri" w:cs="宋体s....."/>
                <w:szCs w:val="21"/>
              </w:rPr>
            </w:pPr>
            <w:r>
              <w:rPr>
                <w:rFonts w:ascii="宋体" w:hAnsi="Calibri" w:cs="宋体" w:hint="eastAsia"/>
                <w:szCs w:val="21"/>
                <w:highlight w:val="white"/>
              </w:rPr>
              <w:t>按规定</w:t>
            </w:r>
            <w:r>
              <w:rPr>
                <w:rFonts w:ascii="宋体" w:hAnsi="Calibri" w:cs="宋体s....." w:hint="eastAsia"/>
                <w:szCs w:val="21"/>
                <w:highlight w:val="white"/>
              </w:rPr>
              <w:t>收取</w:t>
            </w:r>
          </w:p>
        </w:tc>
        <w:tc>
          <w:tcPr>
            <w:tcW w:w="2551" w:type="dxa"/>
            <w:vAlign w:val="center"/>
          </w:tcPr>
          <w:p w:rsidR="005C6370" w:rsidP="00A24D29" w14:paraId="563B578B" w14:textId="77777777">
            <w:pPr>
              <w:autoSpaceDE w:val="0"/>
              <w:autoSpaceDN w:val="0"/>
              <w:snapToGrid w:val="0"/>
              <w:spacing w:line="360" w:lineRule="auto"/>
              <w:contextualSpacing/>
              <w:jc w:val="center"/>
              <w:rPr>
                <w:rFonts w:ascii="宋体" w:hAnsi="Calibri" w:cs="宋体s....."/>
                <w:szCs w:val="21"/>
              </w:rPr>
            </w:pPr>
            <w:r>
              <w:rPr>
                <w:rFonts w:ascii="宋体" w:hAnsi="Calibri" w:cs="宋体s....." w:hint="eastAsia"/>
                <w:szCs w:val="21"/>
                <w:highlight w:val="white"/>
              </w:rPr>
              <w:t>不</w:t>
            </w:r>
            <w:r>
              <w:rPr>
                <w:rFonts w:ascii="宋体" w:hAnsi="Calibri" w:cs="宋体s....."/>
                <w:szCs w:val="21"/>
                <w:highlight w:val="white"/>
              </w:rPr>
              <w:t>收取</w:t>
            </w:r>
          </w:p>
        </w:tc>
      </w:tr>
      <w:tr w14:paraId="7FF0BC2F" w14:textId="77777777">
        <w:tblPrEx>
          <w:tblW w:w="7933" w:type="dxa"/>
          <w:tblLayout w:type="fixed"/>
          <w:tblLook w:val="04A0"/>
        </w:tblPrEx>
        <w:trPr>
          <w:trHeight w:val="857"/>
        </w:trPr>
        <w:tc>
          <w:tcPr>
            <w:tcW w:w="2547" w:type="dxa"/>
            <w:vAlign w:val="center"/>
          </w:tcPr>
          <w:p w:rsidR="005C6370" w:rsidP="00A24D29" w14:paraId="64552A65" w14:textId="77777777">
            <w:pPr>
              <w:autoSpaceDE w:val="0"/>
              <w:autoSpaceDN w:val="0"/>
              <w:snapToGrid w:val="0"/>
              <w:spacing w:line="360" w:lineRule="auto"/>
              <w:contextualSpacing/>
              <w:jc w:val="center"/>
              <w:rPr>
                <w:rFonts w:ascii="宋体" w:hAnsi="Calibri" w:cs="宋体s....."/>
                <w:szCs w:val="21"/>
              </w:rPr>
            </w:pPr>
            <w:r>
              <w:rPr>
                <w:rFonts w:ascii="宋体" w:hAnsi="Calibri" w:cs="宋体s....." w:hint="eastAsia"/>
                <w:szCs w:val="21"/>
                <w:highlight w:val="white"/>
              </w:rPr>
              <w:t>首次认/申购最低金额</w:t>
            </w:r>
          </w:p>
        </w:tc>
        <w:tc>
          <w:tcPr>
            <w:tcW w:w="2835" w:type="dxa"/>
            <w:vAlign w:val="center"/>
          </w:tcPr>
          <w:p w:rsidR="005C6370" w:rsidP="00A24D29" w14:paraId="32484247" w14:textId="77777777">
            <w:pPr>
              <w:autoSpaceDE w:val="0"/>
              <w:autoSpaceDN w:val="0"/>
              <w:snapToGrid w:val="0"/>
              <w:spacing w:line="360" w:lineRule="auto"/>
              <w:contextualSpacing/>
              <w:jc w:val="center"/>
              <w:rPr>
                <w:rFonts w:ascii="宋体" w:hAnsi="Calibri" w:cs="宋体s....."/>
                <w:szCs w:val="21"/>
              </w:rPr>
            </w:pPr>
            <w:r>
              <w:rPr>
                <w:rFonts w:ascii="宋体" w:hAnsi="Calibri" w:cs="宋体s....." w:hint="eastAsia"/>
                <w:szCs w:val="21"/>
                <w:highlight w:val="white"/>
              </w:rPr>
              <w:t>1元</w:t>
            </w:r>
            <w:r>
              <w:rPr>
                <w:rFonts w:ascii="宋体" w:hAnsi="Calibri" w:cs="宋体s....."/>
                <w:szCs w:val="21"/>
                <w:highlight w:val="white"/>
              </w:rPr>
              <w:t>(直销中心为5</w:t>
            </w:r>
            <w:r>
              <w:rPr>
                <w:rFonts w:ascii="宋体" w:hAnsi="Calibri" w:cs="宋体s....." w:hint="eastAsia"/>
                <w:szCs w:val="21"/>
                <w:highlight w:val="white"/>
              </w:rPr>
              <w:t>万元</w:t>
            </w:r>
            <w:r>
              <w:rPr>
                <w:rFonts w:ascii="宋体" w:hAnsi="Calibri" w:cs="宋体s....."/>
                <w:szCs w:val="21"/>
                <w:highlight w:val="white"/>
              </w:rPr>
              <w:t>)</w:t>
            </w:r>
          </w:p>
        </w:tc>
        <w:tc>
          <w:tcPr>
            <w:tcW w:w="2551" w:type="dxa"/>
            <w:vAlign w:val="center"/>
          </w:tcPr>
          <w:p w:rsidR="005C6370" w:rsidP="00A24D29" w14:paraId="1923729D" w14:textId="77777777">
            <w:pPr>
              <w:autoSpaceDE w:val="0"/>
              <w:autoSpaceDN w:val="0"/>
              <w:snapToGrid w:val="0"/>
              <w:spacing w:line="360" w:lineRule="auto"/>
              <w:contextualSpacing/>
              <w:jc w:val="center"/>
              <w:rPr>
                <w:rFonts w:ascii="宋体" w:hAnsi="Calibri" w:cs="宋体s....."/>
                <w:szCs w:val="21"/>
              </w:rPr>
            </w:pPr>
            <w:r>
              <w:rPr>
                <w:rFonts w:ascii="宋体" w:hAnsi="Calibri" w:cs="宋体s....." w:hint="eastAsia"/>
                <w:szCs w:val="21"/>
                <w:highlight w:val="white"/>
              </w:rPr>
              <w:t>1元</w:t>
            </w:r>
            <w:r>
              <w:rPr>
                <w:rFonts w:ascii="宋体" w:hAnsi="Calibri" w:cs="宋体s....."/>
                <w:szCs w:val="21"/>
                <w:highlight w:val="white"/>
              </w:rPr>
              <w:t>(直销中心为5</w:t>
            </w:r>
            <w:r>
              <w:rPr>
                <w:rFonts w:ascii="宋体" w:hAnsi="Calibri" w:cs="宋体s....." w:hint="eastAsia"/>
                <w:szCs w:val="21"/>
                <w:highlight w:val="white"/>
              </w:rPr>
              <w:t>万元</w:t>
            </w:r>
            <w:r>
              <w:rPr>
                <w:rFonts w:ascii="宋体" w:hAnsi="Calibri" w:cs="宋体s....."/>
                <w:szCs w:val="21"/>
                <w:highlight w:val="white"/>
              </w:rPr>
              <w:t>)</w:t>
            </w:r>
          </w:p>
        </w:tc>
      </w:tr>
      <w:tr w14:paraId="0AF1FF09" w14:textId="77777777">
        <w:tblPrEx>
          <w:tblW w:w="7933" w:type="dxa"/>
          <w:tblLayout w:type="fixed"/>
          <w:tblLook w:val="04A0"/>
        </w:tblPrEx>
        <w:trPr>
          <w:trHeight w:val="157"/>
        </w:trPr>
        <w:tc>
          <w:tcPr>
            <w:tcW w:w="2547" w:type="dxa"/>
            <w:vAlign w:val="center"/>
          </w:tcPr>
          <w:p w:rsidR="005C6370" w:rsidP="00A24D29" w14:paraId="51705E65" w14:textId="77777777">
            <w:pPr>
              <w:autoSpaceDE w:val="0"/>
              <w:autoSpaceDN w:val="0"/>
              <w:snapToGrid w:val="0"/>
              <w:spacing w:line="360" w:lineRule="auto"/>
              <w:contextualSpacing/>
              <w:jc w:val="center"/>
              <w:rPr>
                <w:rFonts w:ascii="宋体" w:hAnsi="Calibri" w:cs="宋体s....."/>
                <w:szCs w:val="21"/>
              </w:rPr>
            </w:pPr>
            <w:r>
              <w:rPr>
                <w:rFonts w:ascii="宋体" w:hAnsi="Calibri" w:cs="宋体s....." w:hint="eastAsia"/>
                <w:szCs w:val="21"/>
                <w:highlight w:val="white"/>
              </w:rPr>
              <w:t>追加认</w:t>
            </w:r>
            <w:r>
              <w:rPr>
                <w:rFonts w:ascii="宋体" w:hAnsi="Calibri" w:cs="宋体s....."/>
                <w:szCs w:val="21"/>
                <w:highlight w:val="white"/>
              </w:rPr>
              <w:t>/</w:t>
            </w:r>
            <w:r>
              <w:rPr>
                <w:rFonts w:ascii="宋体" w:hAnsi="Calibri" w:cs="宋体s....." w:hint="eastAsia"/>
                <w:szCs w:val="21"/>
                <w:highlight w:val="white"/>
              </w:rPr>
              <w:t>申购最低金额</w:t>
            </w:r>
          </w:p>
        </w:tc>
        <w:tc>
          <w:tcPr>
            <w:tcW w:w="2835" w:type="dxa"/>
            <w:vAlign w:val="center"/>
          </w:tcPr>
          <w:p w:rsidR="005C6370" w:rsidP="00A24D29" w14:paraId="5EE22454" w14:textId="77777777">
            <w:pPr>
              <w:autoSpaceDE w:val="0"/>
              <w:autoSpaceDN w:val="0"/>
              <w:snapToGrid w:val="0"/>
              <w:spacing w:line="360" w:lineRule="auto"/>
              <w:contextualSpacing/>
              <w:jc w:val="center"/>
              <w:rPr>
                <w:rFonts w:ascii="宋体" w:hAnsi="Calibri" w:cs="宋体s....."/>
                <w:szCs w:val="21"/>
              </w:rPr>
            </w:pPr>
            <w:r>
              <w:rPr>
                <w:rFonts w:ascii="宋体" w:hAnsi="Calibri" w:cs="宋体s....." w:hint="eastAsia"/>
                <w:szCs w:val="21"/>
                <w:highlight w:val="white"/>
              </w:rPr>
              <w:t>1元</w:t>
            </w:r>
            <w:r>
              <w:rPr>
                <w:rFonts w:ascii="宋体" w:hAnsi="Calibri" w:cs="宋体s....."/>
                <w:szCs w:val="21"/>
                <w:highlight w:val="white"/>
              </w:rPr>
              <w:t>(直销中心为</w:t>
            </w:r>
            <w:r>
              <w:rPr>
                <w:rFonts w:ascii="宋体" w:hAnsi="Calibri"/>
                <w:szCs w:val="21"/>
                <w:highlight w:val="white"/>
              </w:rPr>
              <w:t>1000</w:t>
            </w:r>
            <w:r>
              <w:rPr>
                <w:rFonts w:ascii="宋体" w:hAnsi="Calibri" w:cs="宋体s....." w:hint="eastAsia"/>
                <w:szCs w:val="21"/>
                <w:highlight w:val="white"/>
              </w:rPr>
              <w:t>元</w:t>
            </w:r>
            <w:r>
              <w:rPr>
                <w:rFonts w:ascii="宋体" w:hAnsi="Calibri" w:cs="宋体s....."/>
                <w:szCs w:val="21"/>
                <w:highlight w:val="white"/>
              </w:rPr>
              <w:t>)</w:t>
            </w:r>
          </w:p>
        </w:tc>
        <w:tc>
          <w:tcPr>
            <w:tcW w:w="2551" w:type="dxa"/>
            <w:vAlign w:val="center"/>
          </w:tcPr>
          <w:p w:rsidR="005C6370" w:rsidP="00A24D29" w14:paraId="249889FA" w14:textId="77777777">
            <w:pPr>
              <w:autoSpaceDE w:val="0"/>
              <w:autoSpaceDN w:val="0"/>
              <w:snapToGrid w:val="0"/>
              <w:spacing w:line="360" w:lineRule="auto"/>
              <w:contextualSpacing/>
              <w:jc w:val="center"/>
              <w:rPr>
                <w:rFonts w:ascii="宋体" w:hAnsi="Calibri"/>
                <w:szCs w:val="21"/>
              </w:rPr>
            </w:pPr>
            <w:r>
              <w:rPr>
                <w:rFonts w:ascii="宋体" w:hAnsi="Calibri" w:cs="宋体s....." w:hint="eastAsia"/>
                <w:szCs w:val="21"/>
                <w:highlight w:val="white"/>
              </w:rPr>
              <w:t>1元</w:t>
            </w:r>
            <w:r>
              <w:rPr>
                <w:rFonts w:ascii="宋体" w:hAnsi="Calibri" w:cs="宋体s....."/>
                <w:szCs w:val="21"/>
                <w:highlight w:val="white"/>
              </w:rPr>
              <w:t>(直销中心为</w:t>
            </w:r>
            <w:r>
              <w:rPr>
                <w:rFonts w:ascii="宋体" w:hAnsi="Calibri"/>
                <w:szCs w:val="21"/>
                <w:highlight w:val="white"/>
              </w:rPr>
              <w:t>1000</w:t>
            </w:r>
            <w:r>
              <w:rPr>
                <w:rFonts w:ascii="宋体" w:hAnsi="Calibri" w:cs="宋体s....." w:hint="eastAsia"/>
                <w:szCs w:val="21"/>
                <w:highlight w:val="white"/>
              </w:rPr>
              <w:t>元</w:t>
            </w:r>
            <w:r>
              <w:rPr>
                <w:rFonts w:ascii="宋体" w:hAnsi="Calibri" w:cs="宋体s....."/>
                <w:szCs w:val="21"/>
                <w:highlight w:val="white"/>
              </w:rPr>
              <w:t>)</w:t>
            </w:r>
          </w:p>
        </w:tc>
      </w:tr>
      <w:tr w14:paraId="0690F6BD" w14:textId="77777777">
        <w:tblPrEx>
          <w:tblW w:w="7933" w:type="dxa"/>
          <w:tblLayout w:type="fixed"/>
          <w:tblLook w:val="04A0"/>
        </w:tblPrEx>
        <w:trPr>
          <w:trHeight w:val="157"/>
        </w:trPr>
        <w:tc>
          <w:tcPr>
            <w:tcW w:w="2547" w:type="dxa"/>
            <w:vAlign w:val="center"/>
          </w:tcPr>
          <w:p w:rsidR="005C6370" w:rsidP="00A24D29" w14:paraId="00D1AD21" w14:textId="77777777">
            <w:pPr>
              <w:autoSpaceDE w:val="0"/>
              <w:autoSpaceDN w:val="0"/>
              <w:snapToGrid w:val="0"/>
              <w:spacing w:line="360" w:lineRule="auto"/>
              <w:contextualSpacing/>
              <w:jc w:val="center"/>
              <w:rPr>
                <w:rFonts w:ascii="宋体" w:hAnsi="Calibri" w:cs="宋体s....."/>
                <w:szCs w:val="21"/>
              </w:rPr>
            </w:pPr>
            <w:r>
              <w:rPr>
                <w:rFonts w:ascii="宋体" w:hAnsi="Calibri" w:cs="宋体s....." w:hint="eastAsia"/>
                <w:szCs w:val="21"/>
                <w:highlight w:val="white"/>
              </w:rPr>
              <w:t>单笔赎回最低份额</w:t>
            </w:r>
          </w:p>
        </w:tc>
        <w:tc>
          <w:tcPr>
            <w:tcW w:w="2835" w:type="dxa"/>
            <w:vAlign w:val="center"/>
          </w:tcPr>
          <w:p w:rsidR="005C6370" w:rsidP="00A24D29" w14:paraId="06EB6897" w14:textId="77777777">
            <w:pPr>
              <w:autoSpaceDE w:val="0"/>
              <w:autoSpaceDN w:val="0"/>
              <w:snapToGrid w:val="0"/>
              <w:spacing w:line="360" w:lineRule="auto"/>
              <w:contextualSpacing/>
              <w:jc w:val="center"/>
              <w:rPr>
                <w:rFonts w:ascii="宋体" w:hAnsi="Calibri" w:cs="宋体s....."/>
                <w:szCs w:val="21"/>
              </w:rPr>
            </w:pPr>
            <w:r>
              <w:rPr>
                <w:rFonts w:ascii="宋体" w:hAnsi="Calibri" w:hint="eastAsia"/>
                <w:szCs w:val="21"/>
                <w:highlight w:val="white"/>
              </w:rPr>
              <w:t>1份</w:t>
            </w:r>
          </w:p>
        </w:tc>
        <w:tc>
          <w:tcPr>
            <w:tcW w:w="2551" w:type="dxa"/>
            <w:vAlign w:val="center"/>
          </w:tcPr>
          <w:p w:rsidR="005C6370" w:rsidP="00A24D29" w14:paraId="101812AB" w14:textId="77777777">
            <w:pPr>
              <w:autoSpaceDE w:val="0"/>
              <w:autoSpaceDN w:val="0"/>
              <w:snapToGrid w:val="0"/>
              <w:spacing w:line="360" w:lineRule="auto"/>
              <w:contextualSpacing/>
              <w:jc w:val="center"/>
              <w:rPr>
                <w:rFonts w:ascii="宋体" w:hAnsi="Calibri"/>
                <w:szCs w:val="21"/>
              </w:rPr>
            </w:pPr>
            <w:r>
              <w:rPr>
                <w:rFonts w:ascii="宋体" w:hAnsi="Calibri" w:hint="eastAsia"/>
                <w:szCs w:val="21"/>
                <w:highlight w:val="white"/>
              </w:rPr>
              <w:t>1份</w:t>
            </w:r>
          </w:p>
        </w:tc>
      </w:tr>
      <w:tr w14:paraId="4D2C1EDF" w14:textId="77777777">
        <w:tblPrEx>
          <w:tblW w:w="7933" w:type="dxa"/>
          <w:tblLayout w:type="fixed"/>
          <w:tblLook w:val="04A0"/>
        </w:tblPrEx>
        <w:trPr>
          <w:trHeight w:val="157"/>
        </w:trPr>
        <w:tc>
          <w:tcPr>
            <w:tcW w:w="2547" w:type="dxa"/>
            <w:vAlign w:val="center"/>
          </w:tcPr>
          <w:p w:rsidR="005C6370" w:rsidP="00A24D29" w14:paraId="02566CDE" w14:textId="77777777">
            <w:pPr>
              <w:autoSpaceDE w:val="0"/>
              <w:autoSpaceDN w:val="0"/>
              <w:snapToGrid w:val="0"/>
              <w:spacing w:line="360" w:lineRule="auto"/>
              <w:contextualSpacing/>
              <w:jc w:val="center"/>
              <w:rPr>
                <w:rFonts w:ascii="宋体" w:hAnsi="Calibri" w:cs="宋体s....."/>
                <w:szCs w:val="21"/>
                <w:lang w:eastAsia="zh-CN"/>
              </w:rPr>
            </w:pPr>
            <w:r>
              <w:rPr>
                <w:rFonts w:ascii="宋体" w:hAnsi="Calibri" w:cs="宋体s....." w:hint="eastAsia"/>
                <w:szCs w:val="21"/>
                <w:highlight w:val="white"/>
                <w:lang w:eastAsia="zh-CN"/>
              </w:rPr>
              <w:t>基金交易账户最低基金份额余额</w:t>
            </w:r>
          </w:p>
        </w:tc>
        <w:tc>
          <w:tcPr>
            <w:tcW w:w="2835" w:type="dxa"/>
            <w:vAlign w:val="center"/>
          </w:tcPr>
          <w:p w:rsidR="005C6370" w:rsidP="00A24D29" w14:paraId="489B4552" w14:textId="77777777">
            <w:pPr>
              <w:autoSpaceDE w:val="0"/>
              <w:autoSpaceDN w:val="0"/>
              <w:snapToGrid w:val="0"/>
              <w:spacing w:line="360" w:lineRule="auto"/>
              <w:contextualSpacing/>
              <w:jc w:val="center"/>
              <w:rPr>
                <w:rFonts w:ascii="宋体" w:hAnsi="Calibri" w:cs="宋体s....."/>
                <w:szCs w:val="21"/>
              </w:rPr>
            </w:pPr>
            <w:r>
              <w:rPr>
                <w:rFonts w:ascii="宋体" w:hAnsi="Calibri" w:hint="eastAsia"/>
                <w:szCs w:val="21"/>
                <w:highlight w:val="white"/>
              </w:rPr>
              <w:t>1份</w:t>
            </w:r>
          </w:p>
        </w:tc>
        <w:tc>
          <w:tcPr>
            <w:tcW w:w="2551" w:type="dxa"/>
            <w:vAlign w:val="center"/>
          </w:tcPr>
          <w:p w:rsidR="005C6370" w:rsidP="00A24D29" w14:paraId="07BF339F" w14:textId="77777777">
            <w:pPr>
              <w:autoSpaceDE w:val="0"/>
              <w:autoSpaceDN w:val="0"/>
              <w:snapToGrid w:val="0"/>
              <w:spacing w:line="360" w:lineRule="auto"/>
              <w:contextualSpacing/>
              <w:jc w:val="center"/>
              <w:rPr>
                <w:rFonts w:ascii="宋体" w:hAnsi="Calibri"/>
                <w:szCs w:val="21"/>
              </w:rPr>
            </w:pPr>
            <w:r>
              <w:rPr>
                <w:rFonts w:ascii="宋体" w:hAnsi="Calibri" w:hint="eastAsia"/>
                <w:szCs w:val="21"/>
                <w:highlight w:val="white"/>
              </w:rPr>
              <w:t>1份</w:t>
            </w:r>
          </w:p>
        </w:tc>
      </w:tr>
      <w:tr w14:paraId="38A13D6B" w14:textId="77777777">
        <w:tblPrEx>
          <w:tblW w:w="7933" w:type="dxa"/>
          <w:tblLayout w:type="fixed"/>
          <w:tblLook w:val="04A0"/>
        </w:tblPrEx>
        <w:trPr>
          <w:trHeight w:val="360"/>
        </w:trPr>
        <w:tc>
          <w:tcPr>
            <w:tcW w:w="2547" w:type="dxa"/>
            <w:vAlign w:val="center"/>
          </w:tcPr>
          <w:p w:rsidR="005C6370" w:rsidP="00A24D29" w14:paraId="30A92F1F" w14:textId="77777777">
            <w:pPr>
              <w:autoSpaceDE w:val="0"/>
              <w:autoSpaceDN w:val="0"/>
              <w:snapToGrid w:val="0"/>
              <w:spacing w:line="360" w:lineRule="auto"/>
              <w:contextualSpacing/>
              <w:jc w:val="center"/>
              <w:rPr>
                <w:rFonts w:ascii="宋体" w:hAnsi="Calibri"/>
                <w:bCs/>
                <w:szCs w:val="20"/>
              </w:rPr>
            </w:pPr>
            <w:r>
              <w:rPr>
                <w:rFonts w:ascii="宋体" w:hAnsi="Calibri" w:hint="eastAsia"/>
                <w:bCs/>
                <w:szCs w:val="20"/>
                <w:highlight w:val="white"/>
              </w:rPr>
              <w:t>销售服务费</w:t>
            </w:r>
            <w:r>
              <w:rPr>
                <w:rFonts w:ascii="宋体" w:hAnsi="Calibri"/>
                <w:bCs/>
                <w:szCs w:val="20"/>
                <w:highlight w:val="white"/>
              </w:rPr>
              <w:t>(年费率)</w:t>
            </w:r>
          </w:p>
        </w:tc>
        <w:tc>
          <w:tcPr>
            <w:tcW w:w="2835" w:type="dxa"/>
            <w:vAlign w:val="center"/>
          </w:tcPr>
          <w:p w:rsidR="005C6370" w:rsidP="00A24D29" w14:paraId="6581977E" w14:textId="77777777">
            <w:pPr>
              <w:autoSpaceDE w:val="0"/>
              <w:autoSpaceDN w:val="0"/>
              <w:snapToGrid w:val="0"/>
              <w:spacing w:line="360" w:lineRule="auto"/>
              <w:contextualSpacing/>
              <w:jc w:val="center"/>
              <w:rPr>
                <w:rFonts w:ascii="宋体" w:hAnsi="Calibri"/>
                <w:bCs/>
                <w:szCs w:val="20"/>
              </w:rPr>
            </w:pPr>
            <w:r>
              <w:rPr>
                <w:rFonts w:ascii="宋体" w:hAnsi="Calibri"/>
                <w:bCs/>
                <w:szCs w:val="20"/>
                <w:highlight w:val="white"/>
              </w:rPr>
              <w:t>不收取</w:t>
            </w:r>
          </w:p>
        </w:tc>
        <w:tc>
          <w:tcPr>
            <w:tcW w:w="2551" w:type="dxa"/>
            <w:vAlign w:val="center"/>
          </w:tcPr>
          <w:p w:rsidR="005C6370" w:rsidP="00A24D29" w14:paraId="379DB7CE" w14:textId="77777777">
            <w:pPr>
              <w:autoSpaceDE w:val="0"/>
              <w:autoSpaceDN w:val="0"/>
              <w:snapToGrid w:val="0"/>
              <w:spacing w:line="360" w:lineRule="auto"/>
              <w:contextualSpacing/>
              <w:jc w:val="center"/>
              <w:rPr>
                <w:rFonts w:ascii="宋体" w:hAnsi="Calibri"/>
                <w:bCs/>
                <w:szCs w:val="20"/>
                <w:lang w:eastAsia="zh-CN"/>
              </w:rPr>
            </w:pPr>
            <w:r>
              <w:rPr>
                <w:rFonts w:ascii="宋体" w:hAnsi="Calibri" w:hint="eastAsia"/>
                <w:bCs/>
                <w:szCs w:val="20"/>
                <w:lang w:eastAsia="zh-CN"/>
              </w:rPr>
              <w:t>0.</w:t>
            </w:r>
            <w:r>
              <w:rPr>
                <w:rFonts w:ascii="宋体" w:hAnsi="Calibri" w:hint="eastAsia"/>
                <w:bCs/>
                <w:szCs w:val="20"/>
                <w:lang w:eastAsia="zh-CN"/>
              </w:rPr>
              <w:t>40</w:t>
            </w:r>
            <w:r>
              <w:rPr>
                <w:rFonts w:ascii="宋体" w:hAnsi="Calibri" w:hint="eastAsia"/>
                <w:bCs/>
                <w:szCs w:val="20"/>
                <w:lang w:eastAsia="zh-CN"/>
              </w:rPr>
              <w:t>%</w:t>
            </w:r>
            <w:r>
              <w:rPr>
                <w:rFonts w:ascii="宋体" w:hAnsi="Calibri" w:cs="宋体" w:hint="eastAsia"/>
                <w:iCs/>
                <w:highlight w:val="white"/>
                <w:lang w:eastAsia="zh-CN"/>
              </w:rPr>
              <w:t>（按规定收取或返还）</w:t>
            </w:r>
          </w:p>
        </w:tc>
      </w:tr>
    </w:tbl>
    <w:p w:rsidR="005C6370" w:rsidP="00A24D29" w14:paraId="1CBDF4B6"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注：本基金不同份额类别的适用费率及销售渠道等有所差异，并可能发生调整，敬请投资者予以关注。</w:t>
      </w:r>
    </w:p>
    <w:p w:rsidR="005C6370" w:rsidP="00A24D29" w14:paraId="3E619E7E" w14:textId="77777777">
      <w:pPr>
        <w:spacing w:line="360" w:lineRule="auto"/>
        <w:ind w:firstLine="480"/>
        <w:contextualSpacing/>
        <w:rPr>
          <w:rStyle w:val="da"/>
          <w:rFonts w:ascii="宋体" w:hAnsi="Calibri"/>
          <w:lang w:eastAsia="zh-CN"/>
        </w:rPr>
      </w:pPr>
      <w:r>
        <w:rPr>
          <w:rStyle w:val="da"/>
          <w:rFonts w:ascii="宋体" w:hAnsi="Calibri" w:hint="eastAsia"/>
          <w:highlight w:val="white"/>
          <w:lang w:eastAsia="zh-CN"/>
        </w:rPr>
        <w:t>二</w:t>
      </w:r>
      <w:r>
        <w:rPr>
          <w:rStyle w:val="da"/>
          <w:rFonts w:ascii="宋体" w:hAnsi="Calibri"/>
          <w:highlight w:val="white"/>
          <w:lang w:eastAsia="zh-CN"/>
        </w:rPr>
        <w:t>、有关基金份额类别的具体设置、费率水平等由基金管理人确定。</w:t>
      </w:r>
      <w:r>
        <w:rPr>
          <w:rStyle w:val="da"/>
          <w:rFonts w:ascii="宋体" w:hAnsi="Calibri" w:hint="eastAsia"/>
          <w:highlight w:val="white"/>
          <w:lang w:eastAsia="zh-CN"/>
        </w:rPr>
        <w:t>基金管理人可根据基金实际运作情况，在对基金份额持有人利益无实质不利影响的情况下，经与基金托管人协商一致，增加新的基金份额类别，或取消某基金份额类别，或对基金份额分类办法及规则进行调整并公告，不需召开基金份额持有人大会审议。</w:t>
      </w:r>
    </w:p>
    <w:p w:rsidR="005C6370" w:rsidP="00A24D29" w14:paraId="420A2057" w14:textId="77777777">
      <w:pPr>
        <w:pStyle w:val="20"/>
        <w:spacing w:before="0" w:beforeAutospacing="0" w:after="0" w:afterAutospacing="0"/>
        <w:ind w:firstLine="420"/>
        <w:contextualSpacing/>
        <w:rPr>
          <w:rFonts w:ascii="宋体" w:hAnsi="Calibri"/>
          <w:sz w:val="21"/>
          <w:szCs w:val="21"/>
          <w:lang w:eastAsia="zh-CN"/>
        </w:rPr>
      </w:pPr>
    </w:p>
    <w:p w:rsidR="005C6370" w:rsidP="00A24D29" w14:paraId="198777E9" w14:textId="77777777">
      <w:pPr>
        <w:pStyle w:val="20"/>
        <w:spacing w:before="0" w:beforeAutospacing="0" w:after="0" w:afterAutospacing="0"/>
        <w:ind w:firstLine="420"/>
        <w:contextualSpacing/>
        <w:rPr>
          <w:rFonts w:ascii="宋体" w:hAnsi="Calibri"/>
          <w:sz w:val="21"/>
          <w:szCs w:val="21"/>
          <w:lang w:eastAsia="zh-CN"/>
        </w:rPr>
      </w:pPr>
    </w:p>
    <w:p w:rsidR="005C6370" w:rsidP="00A24D29" w14:paraId="7D0FD200" w14:textId="77777777">
      <w:pPr>
        <w:pStyle w:val="Heading1"/>
        <w:pageBreakBefore/>
        <w:spacing w:before="317" w:after="317" w:line="360" w:lineRule="auto"/>
        <w:ind w:firstLine="640"/>
        <w:contextualSpacing/>
        <w:rPr>
          <w:rFonts w:ascii="宋体" w:eastAsia="宋体" w:hAnsi="Calibri"/>
          <w:bCs/>
          <w:sz w:val="30"/>
          <w:szCs w:val="30"/>
        </w:rPr>
      </w:pPr>
      <w:bookmarkStart w:id="1786" w:name="_Toc121776970"/>
      <w:bookmarkStart w:id="1787" w:name="_Toc332373486"/>
      <w:r>
        <w:rPr>
          <w:rFonts w:ascii="宋体" w:eastAsia="宋体" w:hAnsi="Calibri" w:hint="eastAsia"/>
          <w:bCs/>
          <w:sz w:val="30"/>
          <w:szCs w:val="30"/>
          <w:highlight w:val="white"/>
        </w:rPr>
        <w:t>第</w:t>
      </w:r>
      <w:r>
        <w:rPr>
          <w:rFonts w:ascii="宋体" w:eastAsia="宋体" w:hAnsi="Calibri"/>
          <w:bCs/>
          <w:sz w:val="30"/>
          <w:szCs w:val="30"/>
          <w:highlight w:val="white"/>
        </w:rPr>
        <w:t>七</w:t>
      </w:r>
      <w:r>
        <w:rPr>
          <w:rFonts w:ascii="宋体" w:eastAsia="宋体" w:hAnsi="Calibri" w:hint="eastAsia"/>
          <w:bCs/>
          <w:sz w:val="30"/>
          <w:szCs w:val="30"/>
          <w:highlight w:val="white"/>
        </w:rPr>
        <w:t>部分 基金的募集安排</w:t>
      </w:r>
      <w:bookmarkEnd w:id="1786"/>
      <w:bookmarkEnd w:id="1787"/>
    </w:p>
    <w:p w:rsidR="005C6370" w:rsidP="00A24D29" w14:paraId="62F83838" w14:textId="77777777">
      <w:pPr>
        <w:spacing w:line="360" w:lineRule="auto"/>
        <w:ind w:firstLine="420"/>
        <w:contextualSpacing/>
        <w:rPr>
          <w:rStyle w:val="da"/>
          <w:rFonts w:ascii="宋体" w:eastAsia="黑体" w:hAnsi="Calibri"/>
          <w:sz w:val="32"/>
          <w:szCs w:val="32"/>
          <w:lang w:eastAsia="zh-CN"/>
        </w:rPr>
      </w:pPr>
      <w:r>
        <w:rPr>
          <w:rStyle w:val="da"/>
          <w:rFonts w:ascii="宋体" w:hAnsi="Calibri" w:hint="eastAsia"/>
          <w:highlight w:val="white"/>
          <w:lang w:eastAsia="zh-CN"/>
        </w:rPr>
        <w:t>本基金由基金管理人依照《基金法》《运作办法》《销售办法》、基金合同的相关规定募集，并经</w:t>
      </w:r>
      <w:r w:rsidRPr="007D0AC0" w:rsidR="007D0AC0">
        <w:rPr>
          <w:rStyle w:val="da"/>
          <w:rFonts w:ascii="宋体" w:hAnsi="Calibri" w:hint="eastAsia"/>
          <w:lang w:eastAsia="zh-CN"/>
        </w:rPr>
        <w:t>2026年7月1日</w:t>
      </w:r>
      <w:r>
        <w:rPr>
          <w:rStyle w:val="da"/>
          <w:rFonts w:ascii="宋体" w:hAnsi="Calibri" w:hint="eastAsia"/>
          <w:highlight w:val="white"/>
          <w:lang w:eastAsia="zh-CN"/>
        </w:rPr>
        <w:t>中国证券监督管理委员会《关于准予</w:t>
      </w:r>
      <w:r>
        <w:rPr>
          <w:rStyle w:val="da"/>
          <w:rFonts w:ascii="宋体" w:hAnsi="Calibri" w:hint="eastAsia"/>
          <w:lang w:eastAsia="zh-CN"/>
        </w:rPr>
        <w:t>易方达如意盈越3个月持有期混合型基金中基金（FOF）</w:t>
      </w:r>
      <w:r>
        <w:rPr>
          <w:rStyle w:val="da"/>
          <w:rFonts w:ascii="宋体" w:hAnsi="Calibri" w:hint="eastAsia"/>
          <w:highlight w:val="white"/>
          <w:lang w:eastAsia="zh-CN"/>
        </w:rPr>
        <w:t>注册的批复》（证监许可[</w:t>
      </w:r>
      <w:r w:rsidR="007D0AC0">
        <w:rPr>
          <w:rStyle w:val="da"/>
          <w:rFonts w:ascii="宋体" w:hAnsi="Calibri"/>
          <w:highlight w:val="white"/>
          <w:lang w:eastAsia="zh-CN"/>
        </w:rPr>
        <w:t>202</w:t>
      </w:r>
      <w:r w:rsidR="007D0AC0">
        <w:rPr>
          <w:rStyle w:val="da"/>
          <w:rFonts w:ascii="宋体" w:hAnsi="Calibri" w:hint="eastAsia"/>
          <w:highlight w:val="white"/>
          <w:lang w:eastAsia="zh-CN"/>
        </w:rPr>
        <w:t>6</w:t>
      </w:r>
      <w:r>
        <w:rPr>
          <w:rStyle w:val="da"/>
          <w:rFonts w:ascii="宋体" w:hAnsi="Calibri" w:hint="eastAsia"/>
          <w:highlight w:val="white"/>
          <w:lang w:eastAsia="zh-CN"/>
        </w:rPr>
        <w:t>]</w:t>
      </w:r>
      <w:r w:rsidR="007D0AC0">
        <w:rPr>
          <w:rStyle w:val="da"/>
          <w:rFonts w:ascii="宋体" w:hAnsi="Calibri" w:hint="eastAsia"/>
          <w:highlight w:val="white"/>
          <w:lang w:eastAsia="zh-CN"/>
        </w:rPr>
        <w:t>1589</w:t>
      </w:r>
      <w:r>
        <w:rPr>
          <w:rStyle w:val="da"/>
          <w:rFonts w:ascii="宋体" w:hAnsi="Calibri" w:hint="eastAsia"/>
          <w:highlight w:val="white"/>
          <w:lang w:eastAsia="zh-CN"/>
        </w:rPr>
        <w:t>号）注册。</w:t>
      </w:r>
    </w:p>
    <w:p w:rsidR="005C6370" w:rsidP="00A24D29" w14:paraId="67919DAC" w14:textId="77777777">
      <w:pPr>
        <w:spacing w:line="360" w:lineRule="auto"/>
        <w:ind w:firstLine="420"/>
        <w:contextualSpacing/>
        <w:rPr>
          <w:rStyle w:val="da"/>
          <w:rFonts w:ascii="宋体" w:hAnsi="Calibri"/>
          <w:lang w:eastAsia="zh-CN"/>
        </w:rPr>
      </w:pPr>
      <w:bookmarkStart w:id="1788" w:name="_Toc332373487"/>
      <w:bookmarkStart w:id="1789" w:name="_Toc332373490"/>
      <w:r>
        <w:rPr>
          <w:rStyle w:val="da"/>
          <w:rFonts w:ascii="宋体" w:hAnsi="Calibri" w:hint="eastAsia"/>
          <w:highlight w:val="white"/>
          <w:lang w:eastAsia="zh-CN"/>
        </w:rPr>
        <w:t>一、基金的类别</w:t>
      </w:r>
      <w:bookmarkEnd w:id="1788"/>
    </w:p>
    <w:p w:rsidR="005C6370" w:rsidP="00A24D29" w14:paraId="585ACDD0" w14:textId="77777777">
      <w:pPr>
        <w:spacing w:line="360" w:lineRule="auto"/>
        <w:ind w:firstLine="420"/>
        <w:contextualSpacing/>
        <w:rPr>
          <w:rStyle w:val="da"/>
          <w:rFonts w:ascii="宋体" w:hAnsi="Calibri"/>
          <w:lang w:eastAsia="zh-CN"/>
        </w:rPr>
      </w:pPr>
      <w:r>
        <w:rPr>
          <w:rStyle w:val="da"/>
          <w:rFonts w:ascii="宋体" w:hAnsi="Calibri"/>
          <w:lang w:eastAsia="zh-CN"/>
        </w:rPr>
        <w:t>混合型基金中基金（FOF）</w:t>
      </w:r>
    </w:p>
    <w:p w:rsidR="005C6370" w:rsidP="00A24D29" w14:paraId="2E9687D8" w14:textId="77777777">
      <w:pPr>
        <w:spacing w:line="360" w:lineRule="auto"/>
        <w:ind w:firstLine="420"/>
        <w:contextualSpacing/>
        <w:rPr>
          <w:rStyle w:val="da"/>
          <w:rFonts w:ascii="宋体" w:hAnsi="Calibri"/>
          <w:lang w:eastAsia="zh-CN"/>
        </w:rPr>
      </w:pPr>
      <w:bookmarkStart w:id="1790" w:name="_Toc332373488"/>
      <w:r>
        <w:rPr>
          <w:rStyle w:val="da"/>
          <w:rFonts w:ascii="宋体" w:hAnsi="Calibri" w:hint="eastAsia"/>
          <w:highlight w:val="white"/>
          <w:lang w:eastAsia="zh-CN"/>
        </w:rPr>
        <w:t>二、基金的运作方式</w:t>
      </w:r>
      <w:bookmarkEnd w:id="1790"/>
    </w:p>
    <w:p w:rsidR="005C6370" w:rsidP="00A24D29" w14:paraId="5FE636CB" w14:textId="77777777">
      <w:pPr>
        <w:spacing w:line="360" w:lineRule="auto"/>
        <w:ind w:firstLine="420"/>
        <w:contextualSpacing/>
        <w:rPr>
          <w:rStyle w:val="da"/>
          <w:rFonts w:ascii="宋体" w:hAnsi="Calibri"/>
          <w:lang w:eastAsia="zh-CN"/>
        </w:rPr>
      </w:pPr>
      <w:r>
        <w:rPr>
          <w:rStyle w:val="da"/>
          <w:rFonts w:ascii="宋体" w:hAnsi="Calibri"/>
          <w:lang w:eastAsia="zh-CN"/>
        </w:rPr>
        <w:t>契约型开放式</w:t>
      </w:r>
    </w:p>
    <w:p w:rsidR="005C6370" w:rsidP="00A24D29" w14:paraId="1DD0F4F9" w14:textId="77777777">
      <w:pPr>
        <w:spacing w:line="360" w:lineRule="auto"/>
        <w:ind w:firstLine="420"/>
        <w:contextualSpacing/>
        <w:rPr>
          <w:rStyle w:val="da"/>
          <w:rFonts w:ascii="宋体" w:hAnsi="Calibri"/>
          <w:lang w:eastAsia="zh-CN"/>
        </w:rPr>
      </w:pPr>
      <w:r>
        <w:rPr>
          <w:rStyle w:val="da"/>
          <w:rFonts w:ascii="宋体" w:hAnsi="Calibri"/>
          <w:lang w:eastAsia="zh-CN"/>
        </w:rPr>
        <w:t>本基金对于每份基金份额设定3个月（一个月按30天计算，下同）最短持有期限，投资者认购或申购基金份额后，自基金合同生效日或申购确认日至赎回确认日不得少于3个月。</w:t>
      </w:r>
    </w:p>
    <w:p w:rsidR="005C6370" w:rsidP="00A24D29" w14:paraId="7452A528" w14:textId="77777777">
      <w:pPr>
        <w:spacing w:line="360" w:lineRule="auto"/>
        <w:ind w:firstLine="420"/>
        <w:contextualSpacing/>
        <w:rPr>
          <w:rStyle w:val="da"/>
          <w:rFonts w:ascii="宋体" w:hAnsi="Calibri"/>
          <w:lang w:eastAsia="zh-CN"/>
        </w:rPr>
      </w:pPr>
      <w:r>
        <w:rPr>
          <w:rStyle w:val="da"/>
          <w:rFonts w:ascii="宋体" w:hAnsi="Calibri"/>
          <w:lang w:eastAsia="zh-CN"/>
        </w:rPr>
        <w:t>1、对于每份认购份额的最短持有期起始日，指基金合同生效日；对于每份申购份额的最短持有期起始日，指该基金份额申购确认日。</w:t>
      </w:r>
    </w:p>
    <w:p w:rsidR="005C6370" w:rsidP="00A24D29" w14:paraId="2196F249" w14:textId="77777777">
      <w:pPr>
        <w:spacing w:line="360" w:lineRule="auto"/>
        <w:ind w:firstLine="420"/>
        <w:contextualSpacing/>
        <w:rPr>
          <w:rStyle w:val="da"/>
          <w:rFonts w:ascii="宋体" w:hAnsi="Calibri"/>
          <w:lang w:eastAsia="zh-CN"/>
        </w:rPr>
      </w:pPr>
      <w:r>
        <w:rPr>
          <w:rStyle w:val="da"/>
          <w:rFonts w:ascii="宋体" w:hAnsi="Calibri"/>
          <w:lang w:eastAsia="zh-CN"/>
        </w:rPr>
        <w:t>对于每份认购份额，最短持有期为基金合同生效日起的3个月（一个月按30天计算，下同）；对于每份申购份额，最短持有期为申购确认日起的3个月。对于每份基金份额，在最短持有期内不得办理赎回确认。即对每份基金份额，当持有时间小于3个月，无法确认赎回；当持有时间大于等于3个月，可以确认赎回。最短持有期的最后一日为最短持有期到期日。</w:t>
      </w:r>
    </w:p>
    <w:p w:rsidR="005C6370" w:rsidP="00A24D29" w14:paraId="36D98CA6" w14:textId="77777777">
      <w:pPr>
        <w:spacing w:line="360" w:lineRule="auto"/>
        <w:ind w:firstLine="420"/>
        <w:contextualSpacing/>
        <w:rPr>
          <w:rStyle w:val="da"/>
          <w:rFonts w:ascii="宋体" w:hAnsi="Calibri"/>
          <w:lang w:eastAsia="zh-CN"/>
        </w:rPr>
      </w:pPr>
      <w:r>
        <w:rPr>
          <w:rStyle w:val="da"/>
          <w:rFonts w:ascii="宋体" w:hAnsi="Calibri"/>
          <w:lang w:eastAsia="zh-CN"/>
        </w:rPr>
        <w:t>2、每份基金份额自最短持有期到期日的下一工作日（含该日）起可办理赎回确认。</w:t>
      </w:r>
    </w:p>
    <w:p w:rsidR="005C6370" w:rsidP="00A24D29" w14:paraId="52F583A3" w14:textId="77777777">
      <w:pPr>
        <w:spacing w:line="360" w:lineRule="auto"/>
        <w:ind w:firstLine="420"/>
        <w:contextualSpacing/>
        <w:rPr>
          <w:rStyle w:val="da"/>
          <w:rFonts w:ascii="宋体" w:hAnsi="Calibri"/>
          <w:lang w:eastAsia="zh-CN"/>
        </w:rPr>
      </w:pPr>
      <w:r>
        <w:rPr>
          <w:rStyle w:val="da"/>
          <w:rFonts w:ascii="宋体" w:hAnsi="Calibri"/>
          <w:lang w:eastAsia="zh-CN"/>
        </w:rPr>
        <w:t>在基金开始办理赎回业务、且基金份额最短持有期到期日之后（不含该日），基金管理人可按照招募说明书的约定为基金份额持有人办理赎回确认事宜。</w:t>
      </w:r>
    </w:p>
    <w:p w:rsidR="005C6370" w:rsidP="00A24D29" w14:paraId="2FC7DB0F" w14:textId="77777777">
      <w:pPr>
        <w:spacing w:line="360" w:lineRule="auto"/>
        <w:ind w:firstLine="420"/>
        <w:contextualSpacing/>
        <w:rPr>
          <w:rStyle w:val="da"/>
          <w:rFonts w:ascii="宋体" w:hAnsi="Calibri"/>
          <w:lang w:eastAsia="zh-CN"/>
        </w:rPr>
      </w:pPr>
      <w:bookmarkStart w:id="1791" w:name="_Toc332373489"/>
      <w:r>
        <w:rPr>
          <w:rStyle w:val="da"/>
          <w:rFonts w:ascii="宋体" w:hAnsi="Calibri" w:hint="eastAsia"/>
          <w:highlight w:val="white"/>
          <w:lang w:eastAsia="zh-CN"/>
        </w:rPr>
        <w:t>三、基金存续期</w:t>
      </w:r>
      <w:bookmarkEnd w:id="1791"/>
    </w:p>
    <w:p w:rsidR="005C6370" w:rsidP="00A24D29" w14:paraId="212B95EF" w14:textId="77777777">
      <w:pPr>
        <w:spacing w:line="360" w:lineRule="auto"/>
        <w:ind w:firstLine="420"/>
        <w:contextualSpacing/>
        <w:rPr>
          <w:rStyle w:val="da"/>
          <w:rFonts w:ascii="宋体" w:hAnsi="Calibri"/>
          <w:lang w:eastAsia="zh-CN"/>
        </w:rPr>
      </w:pPr>
      <w:r>
        <w:rPr>
          <w:rStyle w:val="da"/>
          <w:rFonts w:ascii="宋体" w:hAnsi="Calibri" w:hint="eastAsia"/>
          <w:lang w:eastAsia="zh-CN"/>
        </w:rPr>
        <w:t>不定期</w:t>
      </w:r>
    </w:p>
    <w:p w:rsidR="005C6370" w:rsidP="00A24D29" w14:paraId="2023B03E"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四、募集期限</w:t>
      </w:r>
      <w:bookmarkEnd w:id="1789"/>
    </w:p>
    <w:p w:rsidR="005C6370" w:rsidP="00A24D29" w14:paraId="142CF9C4"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自</w:t>
      </w:r>
      <w:r>
        <w:rPr>
          <w:rStyle w:val="da"/>
          <w:rFonts w:ascii="宋体" w:hAnsi="Calibri"/>
          <w:highlight w:val="white"/>
          <w:lang w:eastAsia="zh-CN"/>
        </w:rPr>
        <w:t>基金份额发售</w:t>
      </w:r>
      <w:r>
        <w:rPr>
          <w:rStyle w:val="da"/>
          <w:rFonts w:ascii="宋体" w:hAnsi="Calibri" w:hint="eastAsia"/>
          <w:highlight w:val="white"/>
          <w:lang w:eastAsia="zh-CN"/>
        </w:rPr>
        <w:t>之日起最长不得超过3个月，具体发售时间见基金份额发售公告。</w:t>
      </w:r>
    </w:p>
    <w:p w:rsidR="005C6370" w:rsidP="00A24D29" w14:paraId="1C76935F" w14:textId="77777777">
      <w:pPr>
        <w:spacing w:line="360" w:lineRule="auto"/>
        <w:ind w:firstLine="420"/>
        <w:contextualSpacing/>
        <w:rPr>
          <w:rStyle w:val="da"/>
          <w:rFonts w:ascii="宋体" w:hAnsi="Calibri"/>
          <w:lang w:eastAsia="zh-CN"/>
        </w:rPr>
      </w:pPr>
      <w:bookmarkStart w:id="1792" w:name="_Toc332373491"/>
      <w:r>
        <w:rPr>
          <w:rStyle w:val="da"/>
          <w:rFonts w:ascii="宋体" w:hAnsi="Calibri" w:hint="eastAsia"/>
          <w:highlight w:val="white"/>
          <w:lang w:eastAsia="zh-CN"/>
        </w:rPr>
        <w:t>五、募集对象</w:t>
      </w:r>
      <w:bookmarkEnd w:id="1792"/>
    </w:p>
    <w:p w:rsidR="005C6370" w:rsidP="00A24D29" w14:paraId="0C005BB6" w14:textId="77777777">
      <w:pPr>
        <w:spacing w:line="360" w:lineRule="auto"/>
        <w:ind w:firstLine="420"/>
        <w:contextualSpacing/>
        <w:rPr>
          <w:rFonts w:ascii="宋体" w:hAnsi="Calibri"/>
          <w:bCs/>
          <w:lang w:eastAsia="zh-CN"/>
        </w:rPr>
      </w:pPr>
      <w:r>
        <w:rPr>
          <w:rFonts w:ascii="宋体" w:hAnsi="Calibri" w:hint="eastAsia"/>
          <w:bCs/>
          <w:highlight w:val="white"/>
          <w:lang w:eastAsia="zh-CN"/>
        </w:rPr>
        <w:t>符合法律法规规定的可投资于证券投资基金的个人投资者、机构投资者、合格境外投资者以及法律法规或中国证监会允许购买证券投资基金的其他投资人。</w:t>
      </w:r>
    </w:p>
    <w:p w:rsidR="005C6370" w:rsidP="00A24D29" w14:paraId="04CB1170" w14:textId="77777777">
      <w:pPr>
        <w:spacing w:line="360" w:lineRule="auto"/>
        <w:ind w:firstLine="420"/>
        <w:contextualSpacing/>
        <w:rPr>
          <w:rStyle w:val="da"/>
          <w:rFonts w:ascii="宋体" w:hAnsi="Calibri"/>
          <w:lang w:eastAsia="zh-CN"/>
        </w:rPr>
      </w:pPr>
      <w:bookmarkStart w:id="1793" w:name="_Toc332373492"/>
      <w:r>
        <w:rPr>
          <w:rStyle w:val="da"/>
          <w:rFonts w:ascii="宋体" w:hAnsi="Calibri" w:hint="eastAsia"/>
          <w:highlight w:val="white"/>
          <w:lang w:eastAsia="zh-CN"/>
        </w:rPr>
        <w:t>六、募集方式及场所</w:t>
      </w:r>
      <w:bookmarkEnd w:id="1793"/>
    </w:p>
    <w:p w:rsidR="005C6370" w:rsidP="00A24D29" w14:paraId="7D68B1A0" w14:textId="77777777">
      <w:pPr>
        <w:spacing w:line="360" w:lineRule="auto"/>
        <w:ind w:firstLine="422"/>
        <w:contextualSpacing/>
        <w:rPr>
          <w:rStyle w:val="da"/>
          <w:rFonts w:ascii="宋体" w:hAnsi="Calibri"/>
          <w:lang w:eastAsia="zh-CN"/>
        </w:rPr>
      </w:pPr>
      <w:r>
        <w:rPr>
          <w:rStyle w:val="da"/>
          <w:rFonts w:ascii="宋体" w:hAnsi="Calibri" w:hint="eastAsia"/>
          <w:highlight w:val="white"/>
          <w:lang w:eastAsia="zh-CN"/>
        </w:rPr>
        <w:t>本基金通过各销售机构的基金销售网点公开发售，销售机构具体名单及联系方式见基金份额发售公告，基金管理人可根据情况变更或增减销售机构并在基金管理人网站公示。</w:t>
      </w:r>
    </w:p>
    <w:p w:rsidR="005C6370" w:rsidP="00A24D29" w14:paraId="34735351" w14:textId="77777777">
      <w:pPr>
        <w:spacing w:line="360" w:lineRule="auto"/>
        <w:ind w:firstLine="422"/>
        <w:contextualSpacing/>
        <w:rPr>
          <w:rStyle w:val="da"/>
          <w:rFonts w:ascii="宋体" w:hAnsi="Calibri"/>
          <w:b/>
          <w:i/>
          <w:lang w:eastAsia="zh-CN"/>
        </w:rPr>
      </w:pPr>
      <w:r>
        <w:rPr>
          <w:rStyle w:val="da"/>
          <w:rFonts w:ascii="宋体" w:hAnsi="Calibri" w:hint="eastAsia"/>
          <w:highlight w:val="white"/>
          <w:lang w:eastAsia="zh-CN"/>
        </w:rPr>
        <w:t>本基金具体发售方案以基金份额发售公告为准，请投资人就募集和认购的具体事宜仔细阅读基金份额发售公告</w:t>
      </w:r>
      <w:r>
        <w:rPr>
          <w:rStyle w:val="da"/>
          <w:rFonts w:ascii="宋体" w:hAnsi="Calibri"/>
          <w:b/>
          <w:i/>
          <w:highlight w:val="white"/>
          <w:lang w:eastAsia="zh-CN"/>
        </w:rPr>
        <w:t>。</w:t>
      </w:r>
    </w:p>
    <w:p w:rsidR="005C6370" w:rsidP="00A24D29" w14:paraId="47501E92" w14:textId="77777777">
      <w:pPr>
        <w:spacing w:line="360" w:lineRule="auto"/>
        <w:ind w:firstLine="420"/>
        <w:contextualSpacing/>
        <w:rPr>
          <w:rStyle w:val="da"/>
          <w:rFonts w:ascii="宋体" w:hAnsi="Calibri"/>
          <w:lang w:eastAsia="zh-CN"/>
        </w:rPr>
      </w:pPr>
      <w:bookmarkStart w:id="1794" w:name="_Toc332373493"/>
      <w:r>
        <w:rPr>
          <w:rStyle w:val="da"/>
          <w:rFonts w:ascii="宋体" w:hAnsi="Calibri" w:hint="eastAsia"/>
          <w:highlight w:val="white"/>
          <w:lang w:eastAsia="zh-CN"/>
        </w:rPr>
        <w:t>七、认购安排</w:t>
      </w:r>
      <w:bookmarkEnd w:id="1794"/>
    </w:p>
    <w:p w:rsidR="005C6370" w:rsidP="00A24D29" w14:paraId="67B1A034"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1、认购时间</w:t>
      </w:r>
    </w:p>
    <w:p w:rsidR="005C6370" w:rsidP="00A24D29" w14:paraId="245BCA93" w14:textId="77777777">
      <w:pPr>
        <w:spacing w:line="360" w:lineRule="auto"/>
        <w:ind w:firstLine="420"/>
        <w:contextualSpacing/>
        <w:rPr>
          <w:rStyle w:val="da"/>
          <w:rFonts w:ascii="宋体" w:hAnsi="Calibri"/>
          <w:lang w:eastAsia="zh-CN"/>
        </w:rPr>
      </w:pPr>
      <w:r>
        <w:rPr>
          <w:rFonts w:ascii="宋体" w:hAnsi="Calibri" w:hint="eastAsia"/>
          <w:szCs w:val="21"/>
          <w:highlight w:val="white"/>
          <w:lang w:eastAsia="zh-CN"/>
        </w:rPr>
        <w:t>认购的具体业务办理时间由基金管理人依据相关法律法规、基金合同确定并公告。</w:t>
      </w:r>
    </w:p>
    <w:p w:rsidR="005C6370" w:rsidP="00A24D29" w14:paraId="70774184"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2、募集规模上限</w:t>
      </w:r>
    </w:p>
    <w:p w:rsidR="005C6370" w:rsidP="00A24D29" w14:paraId="2A19562C"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本基金可设置首次募集规模上限，具体募集上限及规模控制的方案详见基金份额发售公告或其他公告。若本基金设置首次募集规模上限，基金合同生效后不受此募集规模的限制。</w:t>
      </w:r>
    </w:p>
    <w:p w:rsidR="005C6370" w:rsidP="00A24D29" w14:paraId="290B9B25"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 xml:space="preserve">3、认购数量限制 </w:t>
      </w:r>
    </w:p>
    <w:p w:rsidR="005C6370" w:rsidP="00A24D29" w14:paraId="3D4BA705"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 xml:space="preserve">（1）本基金采用金额认购方式。 </w:t>
      </w:r>
    </w:p>
    <w:p w:rsidR="005C6370" w:rsidP="00A24D29" w14:paraId="1A5336B9"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（2）投资人认购基金份额采用全额缴款的认购方式。投资人认购时，需按销售机构规定的方式全额缴款。</w:t>
      </w:r>
    </w:p>
    <w:p w:rsidR="005C6370" w:rsidP="00A24D29" w14:paraId="05670AC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（3）投资人在募集期内可以多次认购基金份额，</w:t>
      </w:r>
      <w:r>
        <w:rPr>
          <w:rFonts w:ascii="宋体" w:hAnsi="Calibri" w:cs="宋体"/>
          <w:color w:val="000000"/>
          <w:highlight w:val="white"/>
          <w:lang w:eastAsia="zh-CN"/>
        </w:rPr>
        <w:t>登记机构一旦确认认购份额，将不再办理撤销</w:t>
      </w:r>
      <w:r>
        <w:rPr>
          <w:rStyle w:val="da"/>
          <w:rFonts w:ascii="宋体" w:hAnsi="Calibri"/>
          <w:highlight w:val="white"/>
          <w:lang w:eastAsia="zh-CN"/>
        </w:rPr>
        <w:t>。</w:t>
      </w:r>
    </w:p>
    <w:p w:rsidR="005C6370" w:rsidP="00A24D29" w14:paraId="5D148D1E"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w:t>
      </w:r>
      <w:r>
        <w:rPr>
          <w:rStyle w:val="da"/>
          <w:rFonts w:ascii="宋体" w:hAnsi="Calibri"/>
          <w:highlight w:val="white"/>
          <w:lang w:eastAsia="zh-CN"/>
        </w:rPr>
        <w:t>4</w:t>
      </w:r>
      <w:r>
        <w:rPr>
          <w:rStyle w:val="da"/>
          <w:rFonts w:ascii="宋体" w:hAnsi="Calibri" w:hint="eastAsia"/>
          <w:highlight w:val="white"/>
          <w:lang w:eastAsia="zh-CN"/>
        </w:rPr>
        <w:t>）在基金募集期内，除基金份额发售公告另有规定，投资人通过非直销销售机构或本公司</w:t>
      </w:r>
      <w:r>
        <w:rPr>
          <w:rFonts w:ascii="宋体" w:hAnsi="Calibri" w:hint="eastAsia"/>
          <w:szCs w:val="21"/>
          <w:highlight w:val="white"/>
          <w:lang w:eastAsia="zh-CN"/>
        </w:rPr>
        <w:t>网上直销系统</w:t>
      </w:r>
      <w:r>
        <w:rPr>
          <w:rStyle w:val="da"/>
          <w:rFonts w:ascii="宋体" w:hAnsi="Calibri" w:hint="eastAsia"/>
          <w:highlight w:val="white"/>
          <w:lang w:eastAsia="zh-CN"/>
        </w:rPr>
        <w:t>首次认购的单笔最低限额为人民币1元，追加认购单笔最低限额为人民币1元；投资人通过本公司直销中心首次认购的单笔最低限额为人民币50,000元，追加认购单笔最低限额是人民币1,000元。在符合法律法规规定的前提下，各销售机构对最低认购限额及交易级差有其他规定的，需要同时遵循该销售机构的相关规定。（以上金额均含认购费）。</w:t>
      </w:r>
    </w:p>
    <w:p w:rsidR="005C6370" w:rsidP="00A24D29" w14:paraId="78768D2A"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（5）基金募集期间单个投资人的累计认购规模没有限制。但对于可能导致单一投资者持有基金份额的比例达到或者超过</w:t>
      </w:r>
      <w:r>
        <w:rPr>
          <w:rStyle w:val="da"/>
          <w:rFonts w:ascii="宋体" w:hAnsi="Calibri"/>
          <w:highlight w:val="white"/>
          <w:lang w:eastAsia="zh-CN"/>
        </w:rPr>
        <w:t>50%</w:t>
      </w:r>
      <w:r>
        <w:rPr>
          <w:rStyle w:val="da"/>
          <w:rFonts w:ascii="宋体" w:hAnsi="Calibri" w:hint="eastAsia"/>
          <w:highlight w:val="white"/>
          <w:lang w:eastAsia="zh-CN"/>
        </w:rPr>
        <w:t>，或者变相规避</w:t>
      </w:r>
      <w:r>
        <w:rPr>
          <w:rStyle w:val="da"/>
          <w:rFonts w:ascii="宋体" w:hAnsi="Calibri"/>
          <w:highlight w:val="white"/>
          <w:lang w:eastAsia="zh-CN"/>
        </w:rPr>
        <w:t>50%</w:t>
      </w:r>
      <w:r>
        <w:rPr>
          <w:rStyle w:val="da"/>
          <w:rFonts w:ascii="宋体" w:hAnsi="Calibri" w:hint="eastAsia"/>
          <w:highlight w:val="white"/>
          <w:lang w:eastAsia="zh-CN"/>
        </w:rPr>
        <w:t xml:space="preserve">集中度的情形，基金管理人有权采取控制措施。 </w:t>
      </w:r>
    </w:p>
    <w:p w:rsidR="005C6370" w:rsidP="00A24D29" w14:paraId="77127938"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 xml:space="preserve">4、募集期利息的处理方式 </w:t>
      </w:r>
    </w:p>
    <w:p w:rsidR="005C6370" w:rsidP="00A24D29" w14:paraId="1AC14804"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有效认购款项在募集期间产生的利息将折算为基金份额归基金份额持有人所有，其中利息转份额的数额以登记机构的记录为准。</w:t>
      </w:r>
    </w:p>
    <w:p w:rsidR="005C6370" w:rsidP="00A24D29" w14:paraId="03F47FDF"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5、基金份额的认购费用及认购份额的计算公式</w:t>
      </w:r>
    </w:p>
    <w:p w:rsidR="005C6370" w:rsidP="00A24D29" w14:paraId="55DA4D40"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 xml:space="preserve">（1）认购费率 </w:t>
      </w:r>
    </w:p>
    <w:p w:rsidR="005C6370" w:rsidP="00A24D29" w14:paraId="32D275C7"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本基金</w:t>
      </w:r>
      <w:r>
        <w:rPr>
          <w:rStyle w:val="da"/>
          <w:rFonts w:ascii="宋体" w:hAnsi="Calibri" w:cs="宋体"/>
          <w:highlight w:val="white"/>
          <w:lang w:eastAsia="zh-CN"/>
        </w:rPr>
        <w:t>A</w:t>
      </w:r>
      <w:r>
        <w:rPr>
          <w:rStyle w:val="da"/>
          <w:rFonts w:ascii="宋体" w:hAnsi="Calibri" w:cs="宋体" w:hint="eastAsia"/>
          <w:highlight w:val="white"/>
          <w:lang w:eastAsia="zh-CN"/>
        </w:rPr>
        <w:t>类基金份额在认购时</w:t>
      </w:r>
      <w:r>
        <w:rPr>
          <w:rStyle w:val="da"/>
          <w:rFonts w:ascii="宋体" w:hAnsi="宋体" w:cs="宋体" w:hint="eastAsia"/>
          <w:highlight w:val="white"/>
          <w:lang w:eastAsia="zh-CN"/>
        </w:rPr>
        <w:t>按规定</w:t>
      </w:r>
      <w:r>
        <w:rPr>
          <w:rStyle w:val="da"/>
          <w:rFonts w:ascii="宋体" w:hAnsi="Calibri" w:cs="宋体" w:hint="eastAsia"/>
          <w:highlight w:val="white"/>
          <w:lang w:eastAsia="zh-CN"/>
        </w:rPr>
        <w:t>收取基金认购费用</w:t>
      </w:r>
      <w:r>
        <w:rPr>
          <w:rFonts w:ascii="宋体" w:hAnsi="Calibri" w:cs="宋体"/>
          <w:color w:val="000000"/>
          <w:highlight w:val="white"/>
          <w:lang w:eastAsia="zh-CN"/>
        </w:rPr>
        <w:t>。本基金C类基金份额不收取认购费用，在投资者持有期间</w:t>
      </w:r>
      <w:r>
        <w:rPr>
          <w:rFonts w:ascii="宋体" w:hAnsi="宋体" w:cs="宋体"/>
          <w:color w:val="000000"/>
          <w:highlight w:val="white"/>
          <w:lang w:eastAsia="zh-CN"/>
        </w:rPr>
        <w:t>计提销售服务费</w:t>
      </w:r>
      <w:r>
        <w:rPr>
          <w:rFonts w:ascii="宋体" w:hAnsi="宋体" w:cs="宋体" w:hint="eastAsia"/>
          <w:color w:val="000000"/>
          <w:highlight w:val="white"/>
          <w:lang w:eastAsia="zh-CN"/>
        </w:rPr>
        <w:t>并按规定收取或返还</w:t>
      </w:r>
      <w:r>
        <w:rPr>
          <w:rStyle w:val="da"/>
          <w:rFonts w:ascii="宋体" w:hAnsi="Calibri" w:hint="eastAsia"/>
          <w:highlight w:val="white"/>
          <w:lang w:eastAsia="zh-CN"/>
        </w:rPr>
        <w:t>。</w:t>
      </w:r>
    </w:p>
    <w:tbl>
      <w:tblPr>
        <w:tblW w:w="6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63"/>
        <w:gridCol w:w="2977"/>
      </w:tblGrid>
      <w:tr w14:paraId="3EA125AE" w14:textId="77777777">
        <w:tblPrEx>
          <w:tblW w:w="6940" w:type="dxa"/>
          <w:jc w:val="center"/>
          <w:tblLayout w:type="fixed"/>
          <w:tblLook w:val="04A0"/>
        </w:tblPrEx>
        <w:trPr>
          <w:trHeight w:val="299"/>
          <w:jc w:val="center"/>
        </w:trPr>
        <w:tc>
          <w:tcPr>
            <w:tcW w:w="3963" w:type="dxa"/>
            <w:tcBorders>
              <w:top w:val="single" w:sz="4" w:space="0" w:color="auto"/>
              <w:left w:val="single" w:sz="4" w:space="0" w:color="auto"/>
              <w:bottom w:val="single" w:sz="4" w:space="0" w:color="auto"/>
              <w:right w:val="single" w:sz="4" w:space="0" w:color="auto"/>
            </w:tcBorders>
          </w:tcPr>
          <w:p w:rsidR="005C6370" w:rsidP="00A24D29" w14:paraId="4EFD31DA" w14:textId="77777777">
            <w:pPr>
              <w:spacing w:line="360" w:lineRule="auto"/>
              <w:contextualSpacing/>
              <w:jc w:val="center"/>
              <w:rPr>
                <w:rFonts w:ascii="宋体" w:hAnsi="Calibri"/>
                <w:lang w:eastAsia="zh-CN"/>
              </w:rPr>
            </w:pPr>
            <w:r>
              <w:rPr>
                <w:rFonts w:ascii="宋体" w:hAnsi="Calibri"/>
                <w:highlight w:val="white"/>
                <w:lang w:eastAsia="zh-CN"/>
              </w:rPr>
              <w:t>认购申请金额M（元）（含认购费）</w:t>
            </w:r>
          </w:p>
        </w:tc>
        <w:tc>
          <w:tcPr>
            <w:tcW w:w="2977" w:type="dxa"/>
            <w:tcBorders>
              <w:top w:val="single" w:sz="4" w:space="0" w:color="auto"/>
              <w:left w:val="single" w:sz="4" w:space="0" w:color="auto"/>
              <w:bottom w:val="single" w:sz="4" w:space="0" w:color="auto"/>
              <w:right w:val="single" w:sz="4" w:space="0" w:color="auto"/>
            </w:tcBorders>
          </w:tcPr>
          <w:p w:rsidR="005C6370" w:rsidP="00A24D29" w14:paraId="626E5AE0" w14:textId="77777777">
            <w:pPr>
              <w:spacing w:line="360" w:lineRule="auto"/>
              <w:contextualSpacing/>
              <w:jc w:val="center"/>
              <w:rPr>
                <w:rFonts w:ascii="宋体" w:hAnsi="Calibri"/>
                <w:lang w:eastAsia="zh-CN"/>
              </w:rPr>
            </w:pPr>
            <w:r>
              <w:rPr>
                <w:rStyle w:val="da"/>
                <w:rFonts w:ascii="宋体" w:hAnsi="Calibri"/>
                <w:highlight w:val="white"/>
                <w:lang w:eastAsia="zh-CN"/>
              </w:rPr>
              <w:t>A</w:t>
            </w:r>
            <w:r>
              <w:rPr>
                <w:rStyle w:val="da"/>
                <w:rFonts w:ascii="宋体" w:hAnsi="Calibri" w:hint="eastAsia"/>
                <w:highlight w:val="white"/>
                <w:lang w:eastAsia="zh-CN"/>
              </w:rPr>
              <w:t>类基金份额</w:t>
            </w:r>
            <w:r>
              <w:rPr>
                <w:rFonts w:ascii="宋体" w:hAnsi="Calibri"/>
                <w:highlight w:val="white"/>
                <w:lang w:eastAsia="zh-CN"/>
              </w:rPr>
              <w:t>认购费率</w:t>
            </w:r>
          </w:p>
        </w:tc>
      </w:tr>
      <w:tr w14:paraId="0B2A2C97" w14:textId="77777777">
        <w:tblPrEx>
          <w:tblW w:w="6940" w:type="dxa"/>
          <w:jc w:val="center"/>
          <w:tblLayout w:type="fixed"/>
          <w:tblLook w:val="04A0"/>
        </w:tblPrEx>
        <w:trPr>
          <w:trHeight w:val="360"/>
          <w:jc w:val="center"/>
        </w:trPr>
        <w:tc>
          <w:tcPr>
            <w:tcW w:w="3963" w:type="dxa"/>
          </w:tcPr>
          <w:p w:rsidR="005C6370" w:rsidP="00A24D29" w14:paraId="472F6A0A" w14:textId="77777777">
            <w:pPr>
              <w:spacing w:line="360" w:lineRule="auto"/>
              <w:contextualSpacing/>
              <w:jc w:val="center"/>
              <w:rPr>
                <w:rFonts w:ascii="宋体" w:hAnsi="Calibri"/>
              </w:rPr>
            </w:pPr>
            <w:r>
              <w:rPr>
                <w:rFonts w:ascii="宋体" w:hAnsi="Calibri" w:cs="方正仿宋简体" w:hint="eastAsia"/>
                <w:bCs/>
                <w:iCs/>
              </w:rPr>
              <w:t>M&lt;500万</w:t>
            </w:r>
          </w:p>
        </w:tc>
        <w:tc>
          <w:tcPr>
            <w:tcW w:w="2977" w:type="dxa"/>
          </w:tcPr>
          <w:p w:rsidR="005C6370" w:rsidP="00A24D29" w14:paraId="0103D5B5" w14:textId="77777777">
            <w:pPr>
              <w:spacing w:line="360" w:lineRule="auto"/>
              <w:contextualSpacing/>
              <w:jc w:val="center"/>
              <w:rPr>
                <w:rFonts w:ascii="宋体" w:hAnsi="Calibri"/>
              </w:rPr>
            </w:pPr>
            <w:r>
              <w:rPr>
                <w:rFonts w:ascii="宋体" w:hAnsi="Calibri" w:cs="方正仿宋简体" w:hint="eastAsia"/>
                <w:bCs/>
                <w:iCs/>
              </w:rPr>
              <w:t>0.50%</w:t>
            </w:r>
          </w:p>
        </w:tc>
      </w:tr>
      <w:tr w14:paraId="08C0A056" w14:textId="77777777">
        <w:tblPrEx>
          <w:tblW w:w="6940" w:type="dxa"/>
          <w:jc w:val="center"/>
          <w:tblLayout w:type="fixed"/>
          <w:tblLook w:val="04A0"/>
        </w:tblPrEx>
        <w:trPr>
          <w:trHeight w:val="360"/>
          <w:jc w:val="center"/>
        </w:trPr>
        <w:tc>
          <w:tcPr>
            <w:tcW w:w="3963" w:type="dxa"/>
          </w:tcPr>
          <w:p w:rsidR="005C6370" w:rsidP="00A24D29" w14:paraId="6BFD5A4C" w14:textId="77777777">
            <w:pPr>
              <w:spacing w:line="360" w:lineRule="auto"/>
              <w:contextualSpacing/>
              <w:jc w:val="center"/>
              <w:rPr>
                <w:rFonts w:ascii="宋体" w:hAnsi="Calibri"/>
              </w:rPr>
            </w:pPr>
            <w:r>
              <w:rPr>
                <w:rFonts w:ascii="宋体" w:hAnsi="Calibri" w:cs="方正仿宋简体" w:hint="eastAsia"/>
                <w:bCs/>
                <w:iCs/>
              </w:rPr>
              <w:t>M≥500万</w:t>
            </w:r>
          </w:p>
        </w:tc>
        <w:tc>
          <w:tcPr>
            <w:tcW w:w="2977" w:type="dxa"/>
          </w:tcPr>
          <w:p w:rsidR="005C6370" w:rsidP="00A24D29" w14:paraId="717DF8D9" w14:textId="77777777">
            <w:pPr>
              <w:spacing w:line="360" w:lineRule="auto"/>
              <w:contextualSpacing/>
              <w:jc w:val="center"/>
              <w:rPr>
                <w:rFonts w:ascii="宋体" w:hAnsi="Calibri"/>
              </w:rPr>
            </w:pPr>
            <w:r>
              <w:rPr>
                <w:rFonts w:ascii="宋体" w:hAnsi="Calibri" w:cs="方正仿宋简体" w:hint="eastAsia"/>
                <w:bCs/>
                <w:iCs/>
              </w:rPr>
              <w:t>按笔收取， 1000.00元/笔</w:t>
            </w:r>
          </w:p>
        </w:tc>
      </w:tr>
    </w:tbl>
    <w:p w:rsidR="005C6370" w:rsidP="00A24D29" w14:paraId="60D3AE5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1）投资者通过基金管理人或其基金销售子公司认购本基金A类基金份额，不收取认购费用。</w:t>
      </w:r>
    </w:p>
    <w:p w:rsidR="005C6370" w:rsidP="00A24D29" w14:paraId="33D39100" w14:textId="77777777">
      <w:pPr>
        <w:spacing w:line="360" w:lineRule="auto"/>
        <w:ind w:firstLine="420"/>
        <w:contextualSpacing/>
        <w:rPr>
          <w:rFonts w:ascii="宋体" w:hAnsi="Calibri"/>
          <w:lang w:eastAsia="zh-CN"/>
        </w:rPr>
      </w:pPr>
      <w:r>
        <w:rPr>
          <w:rStyle w:val="da"/>
          <w:rFonts w:ascii="宋体" w:hAnsi="Calibri" w:hint="eastAsia"/>
          <w:highlight w:val="white"/>
          <w:lang w:eastAsia="zh-CN"/>
        </w:rPr>
        <w:t>2）投资者通过其他销售机构认购本基金A类基金份额的认购费率见上表。</w:t>
      </w:r>
    </w:p>
    <w:p w:rsidR="005C6370" w:rsidP="00A24D29" w14:paraId="566E8796" w14:textId="77777777">
      <w:pPr>
        <w:spacing w:line="360" w:lineRule="auto"/>
        <w:ind w:firstLine="420"/>
        <w:contextualSpacing/>
        <w:rPr>
          <w:rFonts w:ascii="宋体" w:hAnsi="Calibri"/>
          <w:lang w:eastAsia="zh-CN"/>
        </w:rPr>
      </w:pPr>
      <w:r>
        <w:rPr>
          <w:rStyle w:val="da"/>
          <w:rFonts w:ascii="宋体" w:hAnsi="Calibri" w:hint="eastAsia"/>
          <w:highlight w:val="white"/>
          <w:lang w:eastAsia="zh-CN"/>
        </w:rPr>
        <w:t>募集期投资者可以多次认购本基金，</w:t>
      </w:r>
      <w:r>
        <w:rPr>
          <w:rStyle w:val="da"/>
          <w:rFonts w:ascii="宋体" w:hAnsi="Calibri"/>
          <w:highlight w:val="white"/>
          <w:lang w:eastAsia="zh-CN"/>
        </w:rPr>
        <w:t>A类基金份额</w:t>
      </w:r>
      <w:r>
        <w:rPr>
          <w:rStyle w:val="da"/>
          <w:rFonts w:ascii="宋体" w:hAnsi="Calibri" w:hint="eastAsia"/>
          <w:highlight w:val="white"/>
          <w:lang w:eastAsia="zh-CN"/>
        </w:rPr>
        <w:t>认购费用按每笔</w:t>
      </w:r>
      <w:r>
        <w:rPr>
          <w:rStyle w:val="da"/>
          <w:rFonts w:ascii="宋体" w:hAnsi="Calibri"/>
          <w:highlight w:val="white"/>
          <w:lang w:eastAsia="zh-CN"/>
        </w:rPr>
        <w:t>A类基金份额</w:t>
      </w:r>
      <w:r>
        <w:rPr>
          <w:rStyle w:val="da"/>
          <w:rFonts w:ascii="宋体" w:hAnsi="Calibri" w:hint="eastAsia"/>
          <w:highlight w:val="white"/>
          <w:lang w:eastAsia="zh-CN"/>
        </w:rPr>
        <w:t>认购申请单独计算。</w:t>
      </w:r>
    </w:p>
    <w:p w:rsidR="005C6370" w:rsidP="00A24D29" w14:paraId="6954767B" w14:textId="77777777">
      <w:pPr>
        <w:spacing w:line="360" w:lineRule="auto"/>
        <w:ind w:firstLine="420"/>
        <w:contextualSpacing/>
        <w:rPr>
          <w:rFonts w:ascii="宋体" w:hAnsi="Calibri"/>
          <w:lang w:eastAsia="zh-CN"/>
        </w:rPr>
      </w:pPr>
      <w:r>
        <w:rPr>
          <w:rFonts w:ascii="宋体" w:hAnsi="Calibri" w:hint="eastAsia"/>
          <w:highlight w:val="white"/>
          <w:lang w:eastAsia="zh-CN"/>
        </w:rPr>
        <w:t>本基金</w:t>
      </w:r>
      <w:r>
        <w:rPr>
          <w:rStyle w:val="da"/>
          <w:rFonts w:ascii="宋体" w:hAnsi="Calibri"/>
          <w:highlight w:val="white"/>
          <w:lang w:eastAsia="zh-CN"/>
        </w:rPr>
        <w:t>A</w:t>
      </w:r>
      <w:r>
        <w:rPr>
          <w:rStyle w:val="da"/>
          <w:rFonts w:ascii="宋体" w:hAnsi="Calibri" w:hint="eastAsia"/>
          <w:highlight w:val="white"/>
          <w:lang w:eastAsia="zh-CN"/>
        </w:rPr>
        <w:t>类基金份额按规定收取</w:t>
      </w:r>
      <w:r>
        <w:rPr>
          <w:rFonts w:ascii="宋体" w:hAnsi="Calibri" w:hint="eastAsia"/>
          <w:highlight w:val="white"/>
          <w:lang w:eastAsia="zh-CN"/>
        </w:rPr>
        <w:t>的认购费用由认购该类基金份额的投资人承担</w:t>
      </w:r>
      <w:r>
        <w:rPr>
          <w:rFonts w:ascii="宋体" w:hAnsi="Calibri" w:cs="宋体" w:hint="eastAsia"/>
          <w:szCs w:val="21"/>
          <w:highlight w:val="white"/>
          <w:lang w:eastAsia="zh-CN"/>
        </w:rPr>
        <w:t>，主要用于本基金的市场推广、销售等募集期间发生的各项费用</w:t>
      </w:r>
      <w:r>
        <w:rPr>
          <w:rFonts w:ascii="宋体" w:hAnsi="Calibri" w:hint="eastAsia"/>
          <w:highlight w:val="white"/>
          <w:lang w:eastAsia="zh-CN"/>
        </w:rPr>
        <w:t xml:space="preserve">。 </w:t>
      </w:r>
    </w:p>
    <w:p w:rsidR="005C6370" w:rsidP="00A24D29" w14:paraId="68524996" w14:textId="77777777">
      <w:pPr>
        <w:spacing w:line="360" w:lineRule="auto"/>
        <w:ind w:firstLine="420"/>
        <w:contextualSpacing/>
        <w:rPr>
          <w:rStyle w:val="CommentReference"/>
          <w:rFonts w:ascii="宋体" w:hAnsi="Calibri"/>
          <w:lang w:eastAsia="zh-CN"/>
        </w:rPr>
      </w:pPr>
      <w:r>
        <w:rPr>
          <w:rFonts w:ascii="宋体" w:hAnsi="Calibri" w:hint="eastAsia"/>
          <w:szCs w:val="21"/>
          <w:highlight w:val="white"/>
          <w:lang w:eastAsia="zh-CN"/>
        </w:rPr>
        <w:t>本基金C类基金份额不收取认购费用</w:t>
      </w:r>
      <w:r>
        <w:rPr>
          <w:rFonts w:ascii="宋体" w:hAnsi="Calibri" w:cs="宋体"/>
          <w:color w:val="000000"/>
          <w:szCs w:val="21"/>
          <w:highlight w:val="white"/>
          <w:lang w:eastAsia="zh-CN"/>
        </w:rPr>
        <w:t>，在投资者持有期间</w:t>
      </w:r>
      <w:r>
        <w:rPr>
          <w:rFonts w:ascii="宋体" w:hAnsi="宋体" w:cs="宋体"/>
          <w:color w:val="000000"/>
          <w:highlight w:val="white"/>
          <w:lang w:eastAsia="zh-CN"/>
        </w:rPr>
        <w:t>计提</w:t>
      </w:r>
      <w:r>
        <w:rPr>
          <w:rFonts w:ascii="宋体" w:hAnsi="宋体" w:cs="宋体"/>
          <w:color w:val="000000"/>
          <w:szCs w:val="21"/>
          <w:highlight w:val="white"/>
          <w:lang w:eastAsia="zh-CN"/>
        </w:rPr>
        <w:t>销售服务费</w:t>
      </w:r>
      <w:r>
        <w:rPr>
          <w:rFonts w:ascii="宋体" w:hAnsi="宋体" w:cs="宋体" w:hint="eastAsia"/>
          <w:color w:val="000000"/>
          <w:highlight w:val="white"/>
          <w:lang w:eastAsia="zh-CN"/>
        </w:rPr>
        <w:t>并按规定收取或返还</w:t>
      </w:r>
      <w:r>
        <w:rPr>
          <w:rFonts w:ascii="宋体" w:hAnsi="Calibri"/>
          <w:szCs w:val="21"/>
          <w:highlight w:val="white"/>
          <w:lang w:eastAsia="zh-CN"/>
        </w:rPr>
        <w:t>。</w:t>
      </w:r>
    </w:p>
    <w:p w:rsidR="005C6370" w:rsidP="00A24D29" w14:paraId="37DDF7D4" w14:textId="77777777">
      <w:pPr>
        <w:spacing w:line="360" w:lineRule="auto"/>
        <w:ind w:firstLine="420"/>
        <w:contextualSpacing/>
        <w:rPr>
          <w:rFonts w:ascii="宋体" w:hAnsi="Calibri"/>
          <w:lang w:eastAsia="zh-CN"/>
        </w:rPr>
      </w:pPr>
      <w:r>
        <w:rPr>
          <w:rStyle w:val="CommentReference"/>
          <w:rFonts w:ascii="宋体" w:hAnsi="Calibri"/>
          <w:highlight w:val="white"/>
          <w:lang w:eastAsia="zh-CN"/>
        </w:rPr>
        <w:t>本基金暂不开通基金管理人及其基金销售子公司销售本基金C类基金份额，若日后开通，将另行公告。</w:t>
      </w:r>
    </w:p>
    <w:p w:rsidR="005C6370" w:rsidP="00A24D29" w14:paraId="59794EEA" w14:textId="77777777">
      <w:pPr>
        <w:spacing w:line="360" w:lineRule="auto"/>
        <w:ind w:firstLine="420"/>
        <w:contextualSpacing/>
        <w:rPr>
          <w:rFonts w:ascii="宋体" w:hAnsi="Calibri"/>
          <w:lang w:eastAsia="zh-CN"/>
        </w:rPr>
      </w:pPr>
      <w:r>
        <w:rPr>
          <w:rFonts w:ascii="宋体" w:hAnsi="Calibri"/>
          <w:highlight w:val="white"/>
          <w:lang w:eastAsia="zh-CN"/>
        </w:rPr>
        <w:t>（2）认购份额的计算</w:t>
      </w:r>
    </w:p>
    <w:p w:rsidR="005C6370" w:rsidP="00A24D29" w14:paraId="1DD54B1D" w14:textId="77777777">
      <w:pPr>
        <w:spacing w:line="360" w:lineRule="auto"/>
        <w:ind w:firstLine="420" w:firstLineChars="200"/>
        <w:contextualSpacing/>
        <w:rPr>
          <w:rFonts w:ascii="宋体" w:hAnsi="Calibri"/>
          <w:lang w:eastAsia="zh-CN"/>
        </w:rPr>
      </w:pPr>
      <w:r>
        <w:rPr>
          <w:rFonts w:ascii="宋体" w:hAnsi="Calibri"/>
          <w:highlight w:val="white"/>
          <w:lang w:eastAsia="zh-CN"/>
        </w:rPr>
        <w:t>a.</w:t>
      </w:r>
      <w:r>
        <w:rPr>
          <w:rFonts w:ascii="宋体" w:hAnsi="Calibri" w:hint="eastAsia"/>
          <w:highlight w:val="white"/>
          <w:lang w:eastAsia="zh-CN"/>
        </w:rPr>
        <w:t>若投资人</w:t>
      </w:r>
      <w:r>
        <w:rPr>
          <w:rFonts w:ascii="宋体" w:hAnsi="宋体" w:cs="宋体" w:hint="eastAsia"/>
          <w:szCs w:val="21"/>
          <w:highlight w:val="white"/>
          <w:lang w:eastAsia="zh-CN"/>
        </w:rPr>
        <w:t>通过除</w:t>
      </w:r>
      <w:r>
        <w:rPr>
          <w:rFonts w:hint="eastAsia"/>
          <w:highlight w:val="white"/>
          <w:lang w:eastAsia="zh-CN"/>
        </w:rPr>
        <w:t>基金</w:t>
      </w:r>
      <w:r>
        <w:rPr>
          <w:highlight w:val="white"/>
          <w:lang w:eastAsia="zh-CN"/>
        </w:rPr>
        <w:t>管理人及</w:t>
      </w:r>
      <w:r>
        <w:rPr>
          <w:rFonts w:hint="eastAsia"/>
          <w:highlight w:val="white"/>
          <w:lang w:eastAsia="zh-CN"/>
        </w:rPr>
        <w:t>其</w:t>
      </w:r>
      <w:r>
        <w:rPr>
          <w:highlight w:val="white"/>
          <w:lang w:eastAsia="zh-CN"/>
        </w:rPr>
        <w:t>基金销售子公司以外的销售机构</w:t>
      </w:r>
      <w:r>
        <w:rPr>
          <w:rFonts w:ascii="宋体" w:hAnsi="Calibri" w:hint="eastAsia"/>
          <w:highlight w:val="white"/>
          <w:lang w:eastAsia="zh-CN"/>
        </w:rPr>
        <w:t>认购本基金</w:t>
      </w:r>
      <w:r>
        <w:rPr>
          <w:rFonts w:ascii="宋体" w:hAnsi="Calibri"/>
          <w:highlight w:val="white"/>
          <w:lang w:eastAsia="zh-CN"/>
        </w:rPr>
        <w:t>A</w:t>
      </w:r>
      <w:r>
        <w:rPr>
          <w:rFonts w:ascii="宋体" w:hAnsi="Calibri" w:hint="eastAsia"/>
          <w:highlight w:val="white"/>
          <w:lang w:eastAsia="zh-CN"/>
        </w:rPr>
        <w:t>类基金份额，则认购份额的计算公式为：</w:t>
      </w:r>
    </w:p>
    <w:p w:rsidR="005C6370" w:rsidP="00A24D29" w14:paraId="1AAF64CA" w14:textId="77777777">
      <w:pPr>
        <w:spacing w:line="360" w:lineRule="auto"/>
        <w:ind w:firstLine="420" w:firstLineChars="200"/>
        <w:contextualSpacing/>
        <w:rPr>
          <w:rFonts w:ascii="宋体" w:hAnsi="Calibri"/>
          <w:lang w:eastAsia="zh-CN"/>
        </w:rPr>
      </w:pPr>
      <w:r>
        <w:rPr>
          <w:rFonts w:ascii="宋体" w:hAnsi="Calibri"/>
          <w:highlight w:val="white"/>
          <w:lang w:eastAsia="zh-CN"/>
        </w:rPr>
        <w:t xml:space="preserve">净认购金额=认购金额/（1+认购费率） </w:t>
      </w:r>
    </w:p>
    <w:p w:rsidR="005C6370" w:rsidP="00A24D29" w14:paraId="55BA5746" w14:textId="77777777">
      <w:pPr>
        <w:spacing w:line="360" w:lineRule="auto"/>
        <w:ind w:firstLine="420" w:firstLineChars="200"/>
        <w:contextualSpacing/>
        <w:rPr>
          <w:rFonts w:ascii="宋体" w:hAnsi="Calibri"/>
          <w:lang w:eastAsia="zh-CN"/>
        </w:rPr>
      </w:pPr>
      <w:r>
        <w:rPr>
          <w:rFonts w:ascii="宋体" w:hAnsi="Calibri" w:hint="eastAsia"/>
          <w:highlight w:val="white"/>
          <w:lang w:eastAsia="zh-CN"/>
        </w:rPr>
        <w:t>（注：对于认购金额在</w:t>
      </w:r>
      <w:r>
        <w:rPr>
          <w:rFonts w:ascii="宋体" w:hAnsi="Calibri"/>
          <w:highlight w:val="white"/>
          <w:lang w:eastAsia="zh-CN"/>
        </w:rPr>
        <w:t>500</w:t>
      </w:r>
      <w:r>
        <w:rPr>
          <w:rFonts w:ascii="宋体" w:hAnsi="Calibri" w:hint="eastAsia"/>
          <w:highlight w:val="white"/>
          <w:lang w:eastAsia="zh-CN"/>
        </w:rPr>
        <w:t>万元（含）以上适用固定金额认购费的认购，净认购金额</w:t>
      </w:r>
      <w:r>
        <w:rPr>
          <w:rFonts w:ascii="宋体" w:hAnsi="Calibri"/>
          <w:highlight w:val="white"/>
          <w:lang w:eastAsia="zh-CN"/>
        </w:rPr>
        <w:t>=</w:t>
      </w:r>
      <w:r>
        <w:rPr>
          <w:rFonts w:ascii="宋体" w:hAnsi="Calibri" w:hint="eastAsia"/>
          <w:highlight w:val="white"/>
          <w:lang w:eastAsia="zh-CN"/>
        </w:rPr>
        <w:t>认购金额－固定认购费金额）</w:t>
      </w:r>
    </w:p>
    <w:p w:rsidR="005C6370" w:rsidP="00A24D29" w14:paraId="68B2F39E" w14:textId="77777777">
      <w:pPr>
        <w:spacing w:line="360" w:lineRule="auto"/>
        <w:ind w:firstLine="420" w:firstLineChars="200"/>
        <w:contextualSpacing/>
        <w:rPr>
          <w:rFonts w:ascii="宋体" w:hAnsi="Calibri"/>
          <w:lang w:eastAsia="zh-CN"/>
        </w:rPr>
      </w:pPr>
      <w:r>
        <w:rPr>
          <w:rFonts w:ascii="宋体" w:hAnsi="Calibri" w:hint="eastAsia"/>
          <w:highlight w:val="white"/>
          <w:lang w:eastAsia="zh-CN"/>
        </w:rPr>
        <w:t>认购费用</w:t>
      </w:r>
      <w:r>
        <w:rPr>
          <w:rFonts w:ascii="宋体" w:hAnsi="Calibri"/>
          <w:highlight w:val="white"/>
          <w:lang w:eastAsia="zh-CN"/>
        </w:rPr>
        <w:t>=</w:t>
      </w:r>
      <w:r>
        <w:rPr>
          <w:rFonts w:ascii="宋体" w:hAnsi="Calibri" w:hint="eastAsia"/>
          <w:highlight w:val="white"/>
          <w:lang w:eastAsia="zh-CN"/>
        </w:rPr>
        <w:t>认购金额</w:t>
      </w:r>
      <w:r>
        <w:rPr>
          <w:rFonts w:ascii="宋体" w:hAnsi="Calibri"/>
          <w:highlight w:val="white"/>
          <w:lang w:eastAsia="zh-CN"/>
        </w:rPr>
        <w:t>-</w:t>
      </w:r>
      <w:r>
        <w:rPr>
          <w:rFonts w:ascii="宋体" w:hAnsi="Calibri" w:hint="eastAsia"/>
          <w:highlight w:val="white"/>
          <w:lang w:eastAsia="zh-CN"/>
        </w:rPr>
        <w:t>净认购金额</w:t>
      </w:r>
      <w:r>
        <w:rPr>
          <w:rFonts w:ascii="宋体" w:hAnsi="Calibri"/>
          <w:highlight w:val="white"/>
          <w:lang w:eastAsia="zh-CN"/>
        </w:rPr>
        <w:t xml:space="preserve"> </w:t>
      </w:r>
    </w:p>
    <w:p w:rsidR="005C6370" w:rsidP="00A24D29" w14:paraId="3438D069" w14:textId="77777777">
      <w:pPr>
        <w:spacing w:line="360" w:lineRule="auto"/>
        <w:ind w:firstLine="420" w:firstLineChars="200"/>
        <w:contextualSpacing/>
        <w:rPr>
          <w:rFonts w:ascii="宋体" w:hAnsi="Calibri"/>
          <w:lang w:eastAsia="zh-CN"/>
        </w:rPr>
      </w:pPr>
      <w:r>
        <w:rPr>
          <w:rFonts w:ascii="宋体" w:hAnsi="Calibri" w:hint="eastAsia"/>
          <w:highlight w:val="white"/>
          <w:lang w:eastAsia="zh-CN"/>
        </w:rPr>
        <w:t>认购份额</w:t>
      </w:r>
      <w:r>
        <w:rPr>
          <w:rFonts w:ascii="宋体" w:hAnsi="Calibri"/>
          <w:highlight w:val="white"/>
          <w:lang w:eastAsia="zh-CN"/>
        </w:rPr>
        <w:t>=</w:t>
      </w:r>
      <w:r>
        <w:rPr>
          <w:rFonts w:ascii="宋体" w:hAnsi="Calibri" w:hint="eastAsia"/>
          <w:highlight w:val="white"/>
          <w:lang w:eastAsia="zh-CN"/>
        </w:rPr>
        <w:t>（净认购金额</w:t>
      </w:r>
      <w:r>
        <w:rPr>
          <w:rFonts w:ascii="宋体" w:hAnsi="Calibri"/>
          <w:highlight w:val="white"/>
          <w:lang w:eastAsia="zh-CN"/>
        </w:rPr>
        <w:t>+</w:t>
      </w:r>
      <w:r>
        <w:rPr>
          <w:rFonts w:ascii="宋体" w:hAnsi="Calibri" w:hint="eastAsia"/>
          <w:highlight w:val="white"/>
          <w:lang w:eastAsia="zh-CN"/>
        </w:rPr>
        <w:t>认购利息）</w:t>
      </w:r>
      <w:r>
        <w:rPr>
          <w:rFonts w:ascii="宋体" w:hAnsi="Calibri"/>
          <w:highlight w:val="white"/>
          <w:lang w:eastAsia="zh-CN"/>
        </w:rPr>
        <w:t>/</w:t>
      </w:r>
      <w:r>
        <w:rPr>
          <w:rFonts w:ascii="宋体" w:hAnsi="Calibri" w:hint="eastAsia"/>
          <w:highlight w:val="white"/>
          <w:lang w:eastAsia="zh-CN"/>
        </w:rPr>
        <w:t>基金份额面值</w:t>
      </w:r>
      <w:r>
        <w:rPr>
          <w:rFonts w:ascii="宋体" w:hAnsi="Calibri"/>
          <w:highlight w:val="white"/>
          <w:lang w:eastAsia="zh-CN"/>
        </w:rPr>
        <w:t xml:space="preserve"> </w:t>
      </w:r>
    </w:p>
    <w:p w:rsidR="005C6370" w:rsidP="00A24D29" w14:paraId="02A02816" w14:textId="77777777">
      <w:pPr>
        <w:spacing w:line="360" w:lineRule="auto"/>
        <w:ind w:firstLine="420" w:firstLineChars="200"/>
        <w:contextualSpacing/>
        <w:rPr>
          <w:rFonts w:ascii="宋体" w:hAnsi="Calibri"/>
          <w:lang w:eastAsia="zh-CN"/>
        </w:rPr>
      </w:pPr>
      <w:r>
        <w:rPr>
          <w:rFonts w:ascii="宋体" w:hAnsi="Calibri" w:hint="eastAsia"/>
          <w:highlight w:val="white"/>
          <w:lang w:eastAsia="zh-CN"/>
        </w:rPr>
        <w:t>例一：某投资人</w:t>
      </w:r>
      <w:r>
        <w:rPr>
          <w:rFonts w:ascii="宋体" w:hAnsi="宋体" w:cs="宋体" w:hint="eastAsia"/>
          <w:szCs w:val="21"/>
          <w:highlight w:val="white"/>
          <w:lang w:eastAsia="zh-CN"/>
        </w:rPr>
        <w:t>通过除</w:t>
      </w:r>
      <w:r>
        <w:rPr>
          <w:rFonts w:hint="eastAsia"/>
          <w:highlight w:val="white"/>
          <w:lang w:eastAsia="zh-CN"/>
        </w:rPr>
        <w:t>基金</w:t>
      </w:r>
      <w:r>
        <w:rPr>
          <w:highlight w:val="white"/>
          <w:lang w:eastAsia="zh-CN"/>
        </w:rPr>
        <w:t>管理人及</w:t>
      </w:r>
      <w:r>
        <w:rPr>
          <w:rFonts w:hint="eastAsia"/>
          <w:highlight w:val="white"/>
          <w:lang w:eastAsia="zh-CN"/>
        </w:rPr>
        <w:t>其</w:t>
      </w:r>
      <w:r>
        <w:rPr>
          <w:highlight w:val="white"/>
          <w:lang w:eastAsia="zh-CN"/>
        </w:rPr>
        <w:t>基金销售子公司以外的销售机构</w:t>
      </w:r>
      <w:r>
        <w:rPr>
          <w:rFonts w:ascii="宋体" w:hAnsi="Calibri" w:hint="eastAsia"/>
          <w:highlight w:val="white"/>
          <w:lang w:eastAsia="zh-CN"/>
        </w:rPr>
        <w:t>认购本基金</w:t>
      </w:r>
      <w:r>
        <w:rPr>
          <w:rFonts w:ascii="宋体" w:hAnsi="Calibri"/>
          <w:highlight w:val="white"/>
          <w:lang w:eastAsia="zh-CN"/>
        </w:rPr>
        <w:t>A</w:t>
      </w:r>
      <w:r>
        <w:rPr>
          <w:rFonts w:ascii="宋体" w:hAnsi="Calibri" w:hint="eastAsia"/>
          <w:highlight w:val="white"/>
          <w:lang w:eastAsia="zh-CN"/>
        </w:rPr>
        <w:t>类基金份额</w:t>
      </w:r>
      <w:r>
        <w:rPr>
          <w:rFonts w:ascii="宋体" w:hAnsi="Calibri"/>
          <w:highlight w:val="white"/>
          <w:lang w:eastAsia="zh-CN"/>
        </w:rPr>
        <w:t>100,000</w:t>
      </w:r>
      <w:r>
        <w:rPr>
          <w:rFonts w:ascii="宋体" w:hAnsi="Calibri" w:hint="eastAsia"/>
          <w:highlight w:val="white"/>
          <w:lang w:eastAsia="zh-CN"/>
        </w:rPr>
        <w:t>元，认购费率为</w:t>
      </w:r>
      <w:r>
        <w:rPr>
          <w:rFonts w:ascii="宋体" w:hAnsi="Calibri"/>
          <w:highlight w:val="white"/>
          <w:lang w:eastAsia="zh-CN"/>
        </w:rPr>
        <w:t>0.50</w:t>
      </w:r>
      <w:r>
        <w:rPr>
          <w:rFonts w:ascii="宋体" w:hAnsi="Calibri" w:hint="eastAsia"/>
          <w:highlight w:val="white"/>
          <w:lang w:eastAsia="zh-CN"/>
        </w:rPr>
        <w:t>%，假定该笔有效认购申请金额募集期产生的利息为</w:t>
      </w:r>
      <w:r>
        <w:rPr>
          <w:rFonts w:ascii="宋体" w:hAnsi="Calibri"/>
          <w:highlight w:val="white"/>
          <w:lang w:eastAsia="zh-CN"/>
        </w:rPr>
        <w:t>50</w:t>
      </w:r>
      <w:r>
        <w:rPr>
          <w:rFonts w:ascii="宋体" w:hAnsi="Calibri" w:hint="eastAsia"/>
          <w:highlight w:val="white"/>
          <w:lang w:eastAsia="zh-CN"/>
        </w:rPr>
        <w:t>元，则可认购</w:t>
      </w:r>
      <w:r>
        <w:rPr>
          <w:rFonts w:ascii="宋体" w:hAnsi="Calibri"/>
          <w:szCs w:val="21"/>
          <w:highlight w:val="white"/>
          <w:lang w:eastAsia="zh-CN"/>
        </w:rPr>
        <w:t>A</w:t>
      </w:r>
      <w:r>
        <w:rPr>
          <w:rFonts w:ascii="宋体" w:hAnsi="Calibri" w:hint="eastAsia"/>
          <w:szCs w:val="21"/>
          <w:highlight w:val="white"/>
          <w:lang w:eastAsia="zh-CN"/>
        </w:rPr>
        <w:t>类基金份额</w:t>
      </w:r>
      <w:r>
        <w:rPr>
          <w:rFonts w:ascii="宋体" w:hAnsi="Calibri" w:hint="eastAsia"/>
          <w:highlight w:val="white"/>
          <w:lang w:eastAsia="zh-CN"/>
        </w:rPr>
        <w:t xml:space="preserve">为： </w:t>
      </w:r>
    </w:p>
    <w:p w:rsidR="005C6370" w:rsidP="00A24D29" w14:paraId="552E8299"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净认购金额＝100,000/（1＋</w:t>
      </w:r>
      <w:r>
        <w:rPr>
          <w:rFonts w:ascii="宋体" w:hAnsi="Calibri"/>
          <w:highlight w:val="white"/>
          <w:lang w:eastAsia="zh-CN"/>
        </w:rPr>
        <w:t>0.50</w:t>
      </w:r>
      <w:r>
        <w:rPr>
          <w:rFonts w:ascii="宋体" w:hAnsi="Calibri" w:hint="eastAsia"/>
          <w:highlight w:val="white"/>
          <w:lang w:eastAsia="zh-CN"/>
        </w:rPr>
        <w:t>%</w:t>
      </w:r>
      <w:r>
        <w:rPr>
          <w:rFonts w:ascii="宋体" w:hAnsi="Calibri" w:hint="eastAsia"/>
          <w:szCs w:val="21"/>
          <w:highlight w:val="white"/>
          <w:lang w:eastAsia="zh-CN"/>
        </w:rPr>
        <w:t>）＝</w:t>
      </w:r>
      <w:r>
        <w:rPr>
          <w:rFonts w:ascii="宋体" w:hAnsi="Calibri"/>
          <w:szCs w:val="21"/>
          <w:highlight w:val="white"/>
          <w:lang w:eastAsia="zh-CN"/>
        </w:rPr>
        <w:t>99,502.49</w:t>
      </w:r>
      <w:r>
        <w:rPr>
          <w:rFonts w:ascii="宋体" w:hAnsi="Calibri" w:hint="eastAsia"/>
          <w:szCs w:val="21"/>
          <w:highlight w:val="white"/>
          <w:lang w:eastAsia="zh-CN"/>
        </w:rPr>
        <w:t xml:space="preserve">元 </w:t>
      </w:r>
    </w:p>
    <w:p w:rsidR="005C6370" w:rsidP="00A24D29" w14:paraId="745500AC"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认购费用＝100,000-</w:t>
      </w:r>
      <w:r>
        <w:rPr>
          <w:rFonts w:ascii="宋体" w:hAnsi="Calibri"/>
          <w:szCs w:val="21"/>
          <w:highlight w:val="white"/>
          <w:lang w:eastAsia="zh-CN"/>
        </w:rPr>
        <w:t>99,502.49</w:t>
      </w:r>
      <w:r>
        <w:rPr>
          <w:rFonts w:ascii="宋体" w:hAnsi="Calibri" w:hint="eastAsia"/>
          <w:szCs w:val="21"/>
          <w:highlight w:val="white"/>
          <w:lang w:eastAsia="zh-CN"/>
        </w:rPr>
        <w:t>＝</w:t>
      </w:r>
      <w:r>
        <w:rPr>
          <w:rFonts w:ascii="宋体" w:hAnsi="Calibri"/>
          <w:szCs w:val="21"/>
          <w:highlight w:val="white"/>
          <w:lang w:eastAsia="zh-CN"/>
        </w:rPr>
        <w:t>497.51</w:t>
      </w:r>
      <w:r>
        <w:rPr>
          <w:rFonts w:ascii="宋体" w:hAnsi="Calibri" w:hint="eastAsia"/>
          <w:szCs w:val="21"/>
          <w:highlight w:val="white"/>
          <w:lang w:eastAsia="zh-CN"/>
        </w:rPr>
        <w:t xml:space="preserve">元 </w:t>
      </w:r>
    </w:p>
    <w:p w:rsidR="005C6370" w:rsidP="00A24D29" w14:paraId="7C07B633" w14:textId="77777777">
      <w:pPr>
        <w:spacing w:line="360" w:lineRule="auto"/>
        <w:ind w:firstLine="420" w:firstLineChars="200"/>
        <w:contextualSpacing/>
        <w:rPr>
          <w:rFonts w:ascii="宋体" w:hAnsi="Calibri"/>
          <w:lang w:eastAsia="zh-CN"/>
        </w:rPr>
      </w:pPr>
      <w:r>
        <w:rPr>
          <w:rFonts w:ascii="宋体" w:hAnsi="Calibri" w:hint="eastAsia"/>
          <w:szCs w:val="21"/>
          <w:highlight w:val="white"/>
          <w:lang w:eastAsia="zh-CN"/>
        </w:rPr>
        <w:t>认购份额＝（</w:t>
      </w:r>
      <w:r>
        <w:rPr>
          <w:rFonts w:ascii="宋体" w:hAnsi="Calibri"/>
          <w:szCs w:val="21"/>
          <w:highlight w:val="white"/>
          <w:lang w:eastAsia="zh-CN"/>
        </w:rPr>
        <w:t>99,502.49</w:t>
      </w:r>
      <w:r>
        <w:rPr>
          <w:rFonts w:ascii="宋体" w:hAnsi="Calibri" w:hint="eastAsia"/>
          <w:szCs w:val="21"/>
          <w:highlight w:val="white"/>
          <w:lang w:eastAsia="zh-CN"/>
        </w:rPr>
        <w:t>＋50）/1.00＝</w:t>
      </w:r>
      <w:r>
        <w:rPr>
          <w:rFonts w:ascii="宋体" w:hAnsi="Calibri"/>
          <w:szCs w:val="21"/>
          <w:highlight w:val="white"/>
          <w:lang w:eastAsia="zh-CN"/>
        </w:rPr>
        <w:t>99,552.49</w:t>
      </w:r>
      <w:r>
        <w:rPr>
          <w:rFonts w:ascii="宋体" w:hAnsi="Calibri" w:hint="eastAsia"/>
          <w:szCs w:val="21"/>
          <w:highlight w:val="white"/>
          <w:lang w:eastAsia="zh-CN"/>
        </w:rPr>
        <w:t>份</w:t>
      </w:r>
    </w:p>
    <w:p w:rsidR="005C6370" w:rsidP="00A24D29" w14:paraId="4EE5BC23" w14:textId="77777777">
      <w:pPr>
        <w:spacing w:line="360" w:lineRule="auto"/>
        <w:ind w:firstLine="420" w:firstLineChars="200"/>
        <w:contextualSpacing/>
        <w:rPr>
          <w:rFonts w:ascii="宋体" w:hAnsi="Calibri"/>
          <w:lang w:eastAsia="zh-CN"/>
        </w:rPr>
      </w:pPr>
      <w:r>
        <w:rPr>
          <w:rFonts w:ascii="宋体" w:hAnsi="Calibri" w:hint="eastAsia"/>
          <w:highlight w:val="white"/>
          <w:lang w:eastAsia="zh-CN"/>
        </w:rPr>
        <w:t>即：该投资人</w:t>
      </w:r>
      <w:r>
        <w:rPr>
          <w:rFonts w:ascii="宋体" w:hAnsi="宋体" w:cs="宋体" w:hint="eastAsia"/>
          <w:szCs w:val="21"/>
          <w:highlight w:val="white"/>
          <w:lang w:eastAsia="zh-CN"/>
        </w:rPr>
        <w:t>通过除</w:t>
      </w:r>
      <w:r>
        <w:rPr>
          <w:rFonts w:hint="eastAsia"/>
          <w:highlight w:val="white"/>
          <w:lang w:eastAsia="zh-CN"/>
        </w:rPr>
        <w:t>基金</w:t>
      </w:r>
      <w:r>
        <w:rPr>
          <w:highlight w:val="white"/>
          <w:lang w:eastAsia="zh-CN"/>
        </w:rPr>
        <w:t>管理人及</w:t>
      </w:r>
      <w:r>
        <w:rPr>
          <w:rFonts w:hint="eastAsia"/>
          <w:highlight w:val="white"/>
          <w:lang w:eastAsia="zh-CN"/>
        </w:rPr>
        <w:t>其</w:t>
      </w:r>
      <w:r>
        <w:rPr>
          <w:highlight w:val="white"/>
          <w:lang w:eastAsia="zh-CN"/>
        </w:rPr>
        <w:t>基金销售子公司以外的销售机构</w:t>
      </w:r>
      <w:r>
        <w:rPr>
          <w:rFonts w:ascii="宋体" w:hAnsi="Calibri" w:hint="eastAsia"/>
          <w:highlight w:val="white"/>
          <w:lang w:eastAsia="zh-CN"/>
        </w:rPr>
        <w:t>投资</w:t>
      </w:r>
      <w:r>
        <w:rPr>
          <w:rFonts w:ascii="宋体" w:hAnsi="Calibri"/>
          <w:highlight w:val="white"/>
          <w:lang w:eastAsia="zh-CN"/>
        </w:rPr>
        <w:t>100,000</w:t>
      </w:r>
      <w:r>
        <w:rPr>
          <w:rFonts w:ascii="宋体" w:hAnsi="Calibri" w:hint="eastAsia"/>
          <w:highlight w:val="white"/>
          <w:lang w:eastAsia="zh-CN"/>
        </w:rPr>
        <w:t>元认购本基金</w:t>
      </w:r>
      <w:r>
        <w:rPr>
          <w:rFonts w:ascii="宋体" w:hAnsi="Calibri"/>
          <w:szCs w:val="21"/>
          <w:highlight w:val="white"/>
          <w:lang w:eastAsia="zh-CN"/>
        </w:rPr>
        <w:t>A</w:t>
      </w:r>
      <w:r>
        <w:rPr>
          <w:rFonts w:ascii="宋体" w:hAnsi="Calibri" w:hint="eastAsia"/>
          <w:szCs w:val="21"/>
          <w:highlight w:val="white"/>
          <w:lang w:eastAsia="zh-CN"/>
        </w:rPr>
        <w:t>类基金份额</w:t>
      </w:r>
      <w:r>
        <w:rPr>
          <w:rFonts w:ascii="宋体" w:hAnsi="Calibri" w:hint="eastAsia"/>
          <w:highlight w:val="white"/>
          <w:lang w:eastAsia="zh-CN"/>
        </w:rPr>
        <w:t>，假定该笔有效认购申请金额募集期产生的利息为</w:t>
      </w:r>
      <w:r>
        <w:rPr>
          <w:rFonts w:ascii="宋体" w:hAnsi="Calibri"/>
          <w:highlight w:val="white"/>
          <w:lang w:eastAsia="zh-CN"/>
        </w:rPr>
        <w:t>50</w:t>
      </w:r>
      <w:r>
        <w:rPr>
          <w:rFonts w:ascii="宋体" w:hAnsi="Calibri" w:hint="eastAsia"/>
          <w:highlight w:val="white"/>
          <w:lang w:eastAsia="zh-CN"/>
        </w:rPr>
        <w:t>元，可得到</w:t>
      </w:r>
      <w:r>
        <w:rPr>
          <w:rFonts w:ascii="宋体" w:hAnsi="Calibri"/>
          <w:szCs w:val="21"/>
          <w:highlight w:val="white"/>
          <w:lang w:eastAsia="zh-CN"/>
        </w:rPr>
        <w:t>99,552.49</w:t>
      </w:r>
      <w:r>
        <w:rPr>
          <w:rFonts w:ascii="宋体" w:hAnsi="Calibri" w:hint="eastAsia"/>
          <w:highlight w:val="white"/>
          <w:lang w:eastAsia="zh-CN"/>
        </w:rPr>
        <w:t>份A类基金份额。</w:t>
      </w:r>
    </w:p>
    <w:p w:rsidR="005C6370" w:rsidP="00A24D29" w14:paraId="5E6F5D0F" w14:textId="77777777">
      <w:pPr>
        <w:spacing w:line="360" w:lineRule="auto"/>
        <w:ind w:firstLine="420" w:firstLineChars="200"/>
        <w:contextualSpacing/>
        <w:rPr>
          <w:rFonts w:ascii="宋体" w:hAnsi="Calibri"/>
          <w:lang w:eastAsia="zh-CN"/>
        </w:rPr>
      </w:pPr>
      <w:r>
        <w:rPr>
          <w:rFonts w:ascii="宋体" w:hAnsi="Calibri"/>
          <w:highlight w:val="white"/>
          <w:lang w:eastAsia="zh-CN"/>
        </w:rPr>
        <w:t>b.</w:t>
      </w:r>
      <w:r>
        <w:rPr>
          <w:rFonts w:ascii="宋体" w:hAnsi="Calibri" w:hint="eastAsia"/>
          <w:highlight w:val="white"/>
          <w:lang w:eastAsia="zh-CN"/>
        </w:rPr>
        <w:t>若投资人选择认购本基金</w:t>
      </w:r>
      <w:r>
        <w:rPr>
          <w:rFonts w:ascii="宋体" w:hAnsi="Calibri"/>
          <w:highlight w:val="white"/>
          <w:lang w:eastAsia="zh-CN"/>
        </w:rPr>
        <w:t>C</w:t>
      </w:r>
      <w:r>
        <w:rPr>
          <w:rFonts w:ascii="宋体" w:hAnsi="Calibri" w:hint="eastAsia"/>
          <w:highlight w:val="white"/>
          <w:lang w:eastAsia="zh-CN"/>
        </w:rPr>
        <w:t>类基金份额，</w:t>
      </w:r>
      <w:r>
        <w:rPr>
          <w:rFonts w:ascii="宋体" w:hAnsi="Calibri" w:hint="eastAsia"/>
          <w:szCs w:val="21"/>
          <w:highlight w:val="white"/>
          <w:lang w:eastAsia="zh-CN"/>
        </w:rPr>
        <w:t>或者通过基金管理人或其基金销售子公司认购本基金A类基金份额，</w:t>
      </w:r>
      <w:r>
        <w:rPr>
          <w:rFonts w:ascii="宋体" w:hAnsi="Calibri" w:hint="eastAsia"/>
          <w:highlight w:val="white"/>
          <w:lang w:eastAsia="zh-CN"/>
        </w:rPr>
        <w:t>则认购份额的计算公式为：</w:t>
      </w:r>
    </w:p>
    <w:p w:rsidR="005C6370" w:rsidP="00A24D29" w14:paraId="7151FA30" w14:textId="77777777">
      <w:pPr>
        <w:spacing w:line="360" w:lineRule="auto"/>
        <w:ind w:firstLine="420" w:firstLineChars="200"/>
        <w:contextualSpacing/>
        <w:rPr>
          <w:rFonts w:ascii="宋体" w:hAnsi="Calibri"/>
          <w:lang w:eastAsia="zh-CN"/>
        </w:rPr>
      </w:pPr>
      <w:r>
        <w:rPr>
          <w:rFonts w:ascii="宋体" w:hAnsi="Calibri" w:hint="eastAsia"/>
          <w:highlight w:val="white"/>
          <w:lang w:eastAsia="zh-CN"/>
        </w:rPr>
        <w:t>认购份额</w:t>
      </w:r>
      <w:r>
        <w:rPr>
          <w:rFonts w:ascii="宋体" w:hAnsi="Calibri"/>
          <w:highlight w:val="white"/>
          <w:lang w:eastAsia="zh-CN"/>
        </w:rPr>
        <w:t xml:space="preserve">=(认购金额+认购利息)/基金份额面值 </w:t>
      </w:r>
    </w:p>
    <w:p w:rsidR="005C6370" w:rsidP="00A24D29" w14:paraId="70F7F94C" w14:textId="77777777">
      <w:pPr>
        <w:spacing w:line="360" w:lineRule="auto"/>
        <w:ind w:firstLine="420" w:firstLineChars="200"/>
        <w:contextualSpacing/>
        <w:rPr>
          <w:rFonts w:ascii="宋体" w:hAnsi="Calibri"/>
          <w:lang w:eastAsia="zh-CN"/>
        </w:rPr>
      </w:pPr>
      <w:r>
        <w:rPr>
          <w:rFonts w:ascii="宋体" w:hAnsi="Calibri" w:hint="eastAsia"/>
          <w:highlight w:val="white"/>
          <w:lang w:eastAsia="zh-CN"/>
        </w:rPr>
        <w:t>例二：</w:t>
      </w:r>
      <w:r>
        <w:rPr>
          <w:rFonts w:ascii="宋体" w:hAnsi="Calibri"/>
          <w:szCs w:val="21"/>
          <w:highlight w:val="white"/>
          <w:lang w:eastAsia="zh-CN"/>
        </w:rPr>
        <w:t>某投资人</w:t>
      </w:r>
      <w:r>
        <w:rPr>
          <w:rFonts w:ascii="宋体" w:hAnsi="Calibri" w:hint="eastAsia"/>
          <w:szCs w:val="21"/>
          <w:highlight w:val="white"/>
          <w:lang w:eastAsia="zh-CN"/>
        </w:rPr>
        <w:t>认购</w:t>
      </w:r>
      <w:r>
        <w:rPr>
          <w:rFonts w:ascii="宋体" w:hAnsi="Calibri"/>
          <w:szCs w:val="21"/>
          <w:highlight w:val="white"/>
          <w:lang w:eastAsia="zh-CN"/>
        </w:rPr>
        <w:t>本基金C类</w:t>
      </w:r>
      <w:r>
        <w:rPr>
          <w:rFonts w:ascii="宋体" w:hAnsi="Calibri" w:hint="eastAsia"/>
          <w:szCs w:val="21"/>
          <w:highlight w:val="white"/>
          <w:lang w:eastAsia="zh-CN"/>
        </w:rPr>
        <w:t>基金</w:t>
      </w:r>
      <w:r>
        <w:rPr>
          <w:rFonts w:ascii="宋体" w:hAnsi="Calibri"/>
          <w:szCs w:val="21"/>
          <w:highlight w:val="white"/>
          <w:lang w:eastAsia="zh-CN"/>
        </w:rPr>
        <w:t>份额100,000元，假定该笔有效认购申请金额募集期产生的利息为50元，则可认购C类基金份额为</w:t>
      </w:r>
      <w:r>
        <w:rPr>
          <w:rFonts w:ascii="宋体" w:hAnsi="Calibri" w:hint="eastAsia"/>
          <w:highlight w:val="white"/>
          <w:lang w:eastAsia="zh-CN"/>
        </w:rPr>
        <w:t>：</w:t>
      </w:r>
      <w:r>
        <w:rPr>
          <w:rFonts w:ascii="宋体" w:hAnsi="Calibri"/>
          <w:highlight w:val="white"/>
          <w:lang w:eastAsia="zh-CN"/>
        </w:rPr>
        <w:t xml:space="preserve"> </w:t>
      </w:r>
    </w:p>
    <w:p w:rsidR="005C6370" w:rsidP="00A24D29" w14:paraId="7423CE2B" w14:textId="77777777">
      <w:pPr>
        <w:spacing w:line="360" w:lineRule="auto"/>
        <w:ind w:firstLine="420" w:firstLineChars="200"/>
        <w:contextualSpacing/>
        <w:rPr>
          <w:rFonts w:ascii="宋体" w:hAnsi="Calibri"/>
          <w:lang w:eastAsia="zh-CN"/>
        </w:rPr>
      </w:pPr>
      <w:r>
        <w:rPr>
          <w:rFonts w:ascii="宋体" w:hAnsi="Calibri" w:hint="eastAsia"/>
          <w:highlight w:val="white"/>
          <w:lang w:eastAsia="zh-CN"/>
        </w:rPr>
        <w:t>认购份额＝</w:t>
      </w:r>
      <w:r>
        <w:rPr>
          <w:rFonts w:ascii="宋体" w:hAnsi="Calibri"/>
          <w:highlight w:val="white"/>
          <w:lang w:eastAsia="zh-CN"/>
        </w:rPr>
        <w:t>(100,000</w:t>
      </w:r>
      <w:r>
        <w:rPr>
          <w:rFonts w:ascii="宋体" w:hAnsi="Calibri" w:hint="eastAsia"/>
          <w:highlight w:val="white"/>
          <w:lang w:eastAsia="zh-CN"/>
        </w:rPr>
        <w:t>＋</w:t>
      </w:r>
      <w:r>
        <w:rPr>
          <w:rFonts w:ascii="宋体" w:hAnsi="Calibri"/>
          <w:highlight w:val="white"/>
          <w:lang w:eastAsia="zh-CN"/>
        </w:rPr>
        <w:t>50)/1.00</w:t>
      </w:r>
      <w:r>
        <w:rPr>
          <w:rFonts w:ascii="宋体" w:hAnsi="Calibri" w:hint="eastAsia"/>
          <w:highlight w:val="white"/>
          <w:lang w:eastAsia="zh-CN"/>
        </w:rPr>
        <w:t>＝</w:t>
      </w:r>
      <w:r>
        <w:rPr>
          <w:rFonts w:ascii="宋体" w:hAnsi="Calibri"/>
          <w:highlight w:val="white"/>
          <w:lang w:eastAsia="zh-CN"/>
        </w:rPr>
        <w:t>100,050.00</w:t>
      </w:r>
      <w:r>
        <w:rPr>
          <w:rFonts w:ascii="宋体" w:hAnsi="Calibri" w:hint="eastAsia"/>
          <w:highlight w:val="white"/>
          <w:lang w:eastAsia="zh-CN"/>
        </w:rPr>
        <w:t>份</w:t>
      </w:r>
      <w:r>
        <w:rPr>
          <w:rFonts w:ascii="宋体" w:hAnsi="Calibri"/>
          <w:highlight w:val="white"/>
          <w:lang w:eastAsia="zh-CN"/>
        </w:rPr>
        <w:t xml:space="preserve"> </w:t>
      </w:r>
    </w:p>
    <w:p w:rsidR="005C6370" w:rsidP="00A24D29" w14:paraId="1CA947AD" w14:textId="77777777">
      <w:pPr>
        <w:spacing w:line="360" w:lineRule="auto"/>
        <w:ind w:firstLine="420"/>
        <w:contextualSpacing/>
        <w:rPr>
          <w:rFonts w:ascii="宋体" w:hAnsi="Calibri"/>
          <w:lang w:eastAsia="zh-CN"/>
        </w:rPr>
      </w:pPr>
      <w:r>
        <w:rPr>
          <w:rFonts w:ascii="宋体" w:hAnsi="Calibri" w:hint="eastAsia"/>
          <w:highlight w:val="white"/>
          <w:lang w:eastAsia="zh-CN"/>
        </w:rPr>
        <w:t>即：</w:t>
      </w:r>
      <w:r>
        <w:rPr>
          <w:rFonts w:ascii="宋体" w:hAnsi="Calibri"/>
          <w:szCs w:val="21"/>
          <w:highlight w:val="white"/>
          <w:lang w:eastAsia="zh-CN"/>
        </w:rPr>
        <w:t>该投资人投资100,000元认购本基金C类</w:t>
      </w:r>
      <w:r>
        <w:rPr>
          <w:rFonts w:ascii="宋体" w:hAnsi="Calibri" w:hint="eastAsia"/>
          <w:szCs w:val="21"/>
          <w:highlight w:val="white"/>
          <w:lang w:eastAsia="zh-CN"/>
        </w:rPr>
        <w:t>基金</w:t>
      </w:r>
      <w:r>
        <w:rPr>
          <w:rFonts w:ascii="宋体" w:hAnsi="Calibri"/>
          <w:szCs w:val="21"/>
          <w:highlight w:val="white"/>
          <w:lang w:eastAsia="zh-CN"/>
        </w:rPr>
        <w:t>份额，假定该笔有效认购申请金额募集期产生的利息为50元，可得到100,050.00份C类基金份额</w:t>
      </w:r>
      <w:r>
        <w:rPr>
          <w:rFonts w:ascii="宋体" w:hAnsi="Calibri" w:hint="eastAsia"/>
          <w:highlight w:val="white"/>
          <w:lang w:eastAsia="zh-CN"/>
        </w:rPr>
        <w:t>。</w:t>
      </w:r>
    </w:p>
    <w:p w:rsidR="005C6370" w:rsidP="00A24D29" w14:paraId="252F7BA9" w14:textId="77777777">
      <w:pPr>
        <w:spacing w:line="360" w:lineRule="auto"/>
        <w:ind w:firstLine="420"/>
        <w:contextualSpacing/>
        <w:rPr>
          <w:rFonts w:ascii="宋体" w:hAnsi="Calibri"/>
          <w:lang w:eastAsia="zh-CN"/>
        </w:rPr>
      </w:pPr>
      <w:r>
        <w:rPr>
          <w:rFonts w:ascii="宋体" w:hAnsi="Calibri"/>
          <w:highlight w:val="white"/>
          <w:lang w:eastAsia="zh-CN"/>
        </w:rPr>
        <w:t>（3）认购份额的计算中涉及金额的计算结果均以人民币元为单位，四舍五入，保留小数点后2位；认购份数采取四舍五入的方法保留小数点后2位，由此产生的误差计入基金财产。认购费用不属于基金资产。</w:t>
      </w:r>
    </w:p>
    <w:p w:rsidR="005C6370" w:rsidP="00A24D29" w14:paraId="29A7C4A2"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 xml:space="preserve">6、认购的确认 </w:t>
      </w:r>
    </w:p>
    <w:p w:rsidR="005C6370" w:rsidP="00A24D29" w14:paraId="242F4435"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当日（T日）在规定时间内提交的申请，投资人通常可在T+2日后（包括该日）到基金销售网点查询交易情况。销售机构对投资人认购申请的受理并不表示对该申请的成功确认，而仅代表</w:t>
      </w:r>
      <w:r>
        <w:rPr>
          <w:rFonts w:ascii="宋体" w:hAnsi="Calibri" w:hint="eastAsia"/>
          <w:szCs w:val="21"/>
          <w:highlight w:val="white"/>
          <w:lang w:eastAsia="zh-CN"/>
        </w:rPr>
        <w:t>销售机构</w:t>
      </w:r>
      <w:r>
        <w:rPr>
          <w:rFonts w:ascii="宋体" w:hAnsi="Calibri"/>
          <w:szCs w:val="21"/>
          <w:highlight w:val="white"/>
          <w:lang w:eastAsia="zh-CN"/>
        </w:rPr>
        <w:t>确实收到了认购申请。申请是否有效应以基金登记机构的确认登记为准。</w:t>
      </w:r>
    </w:p>
    <w:p w:rsidR="005C6370" w:rsidP="00A24D29" w14:paraId="4458786D"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 xml:space="preserve">投资人开户和认购所需提交的文件和办理的具体程序，请参阅基金份额发售公告。 </w:t>
      </w:r>
    </w:p>
    <w:p w:rsidR="005C6370" w:rsidP="00A24D29" w14:paraId="1110B8E7" w14:textId="77777777">
      <w:pPr>
        <w:spacing w:line="360" w:lineRule="auto"/>
        <w:ind w:firstLine="420"/>
        <w:contextualSpacing/>
        <w:rPr>
          <w:rStyle w:val="da"/>
          <w:rFonts w:ascii="宋体" w:hAnsi="Calibri"/>
          <w:lang w:eastAsia="zh-CN"/>
        </w:rPr>
      </w:pPr>
      <w:bookmarkStart w:id="1795" w:name="_Toc332373494"/>
      <w:r>
        <w:rPr>
          <w:rStyle w:val="da"/>
          <w:rFonts w:ascii="宋体" w:hAnsi="Calibri" w:hint="eastAsia"/>
          <w:highlight w:val="white"/>
          <w:lang w:eastAsia="zh-CN"/>
        </w:rPr>
        <w:t>八、募集期间的资金存放和费用</w:t>
      </w:r>
      <w:bookmarkEnd w:id="1795"/>
    </w:p>
    <w:p w:rsidR="005C6370" w:rsidP="00A24D29" w14:paraId="49923E73" w14:textId="77777777">
      <w:pPr>
        <w:spacing w:line="360" w:lineRule="auto"/>
        <w:ind w:firstLine="420"/>
        <w:contextualSpacing/>
        <w:rPr>
          <w:rFonts w:ascii="宋体" w:hAnsi="Calibri"/>
          <w:lang w:eastAsia="zh-CN"/>
        </w:rPr>
      </w:pPr>
      <w:r>
        <w:rPr>
          <w:rFonts w:ascii="宋体" w:hAnsi="Calibri" w:hint="eastAsia"/>
          <w:highlight w:val="white"/>
          <w:lang w:eastAsia="zh-CN"/>
        </w:rPr>
        <w:t>本基金募集期间募集的资金存入专门账户，在基金募集行为结束前，任何人不得动用。基金募集期间的信息披露费用、会计师费、律师费以及其他费用，不得从基金财产中列支。</w:t>
      </w:r>
    </w:p>
    <w:p w:rsidR="005C6370" w:rsidP="00A24D29" w14:paraId="0A729507" w14:textId="77777777">
      <w:pPr>
        <w:spacing w:line="360" w:lineRule="auto"/>
        <w:ind w:firstLine="420"/>
        <w:contextualSpacing/>
        <w:rPr>
          <w:rFonts w:ascii="宋体" w:hAnsi="Calibri"/>
          <w:lang w:eastAsia="zh-CN"/>
        </w:rPr>
      </w:pPr>
    </w:p>
    <w:p w:rsidR="005C6370" w:rsidP="00A24D29" w14:paraId="68CBD973" w14:textId="77777777">
      <w:pPr>
        <w:pStyle w:val="Heading1"/>
        <w:pageBreakBefore/>
        <w:spacing w:before="317" w:after="317" w:line="360" w:lineRule="auto"/>
        <w:ind w:firstLine="640"/>
        <w:contextualSpacing/>
        <w:rPr>
          <w:rFonts w:ascii="宋体" w:eastAsia="宋体" w:hAnsi="Calibri"/>
          <w:bCs/>
          <w:sz w:val="30"/>
          <w:szCs w:val="30"/>
        </w:rPr>
      </w:pPr>
      <w:bookmarkStart w:id="1796" w:name="_Toc332373495"/>
      <w:bookmarkStart w:id="1797" w:name="_Toc121776971"/>
      <w:r>
        <w:rPr>
          <w:rFonts w:ascii="宋体" w:eastAsia="宋体" w:hAnsi="Calibri" w:hint="eastAsia"/>
          <w:bCs/>
          <w:sz w:val="30"/>
          <w:szCs w:val="30"/>
          <w:highlight w:val="white"/>
        </w:rPr>
        <w:t>第</w:t>
      </w:r>
      <w:r>
        <w:rPr>
          <w:rFonts w:ascii="宋体" w:eastAsia="宋体" w:hAnsi="Calibri"/>
          <w:bCs/>
          <w:sz w:val="30"/>
          <w:szCs w:val="30"/>
          <w:highlight w:val="white"/>
        </w:rPr>
        <w:t>八</w:t>
      </w:r>
      <w:r>
        <w:rPr>
          <w:rFonts w:ascii="宋体" w:eastAsia="宋体" w:hAnsi="Calibri" w:hint="eastAsia"/>
          <w:bCs/>
          <w:sz w:val="30"/>
          <w:szCs w:val="30"/>
          <w:highlight w:val="white"/>
        </w:rPr>
        <w:t>部分 基金合同的生效</w:t>
      </w:r>
      <w:bookmarkEnd w:id="1796"/>
      <w:bookmarkEnd w:id="1797"/>
    </w:p>
    <w:p w:rsidR="005C6370" w:rsidP="00A24D29" w14:paraId="6F61FB8C"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一、基金备案的条件</w:t>
      </w:r>
    </w:p>
    <w:p w:rsidR="005C6370" w:rsidP="00A24D29" w14:paraId="1CFC23D8"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本基金自基金份额发售之日起3个月内，在基金募集份额总额不少于2亿份，基金募集金额不少于2亿元人民币且基金认购人数不少于200人的条件下，基金募集期届满或基金管理人依据法律法规及招募说明书可以决定停止基金发售，并在10日内聘请法定验资机构验资。基金管理人自收到验资报告之日起10日内，向中国证监会办理基金备案手续。</w:t>
      </w:r>
    </w:p>
    <w:p w:rsidR="005C6370" w:rsidP="00A24D29" w14:paraId="0FF7E439"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rsidR="005C6370" w:rsidP="00A24D29" w14:paraId="33FB0E83"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二、基金合同不能生效时募集资金的处理方式</w:t>
      </w:r>
    </w:p>
    <w:p w:rsidR="005C6370" w:rsidP="00A24D29" w14:paraId="41688D15"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如果募集期限届满，未满足基金备案条件，基金管理人应当承担下列责任：</w:t>
      </w:r>
    </w:p>
    <w:p w:rsidR="005C6370" w:rsidP="00A24D29" w14:paraId="62F9422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1、以其固有财产承担因募集行为而产生的债务和费用；</w:t>
      </w:r>
    </w:p>
    <w:p w:rsidR="005C6370" w:rsidP="00A24D29" w14:paraId="0F6AF496"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2、在基金募集期限届满后30日内返还投资者已缴纳的款项，并加计银行同期活期存款利息；</w:t>
      </w:r>
    </w:p>
    <w:p w:rsidR="005C6370" w:rsidP="00A24D29" w14:paraId="1535D6FE"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3、如基金募集失败，基金管理人、基金托管人及销售机构不得请求报酬。基金管理人、基金托管人和销售机构为基金募集支付之一切费用应由各方各自承担。</w:t>
      </w:r>
    </w:p>
    <w:p w:rsidR="005C6370" w:rsidP="00A24D29" w14:paraId="4D85801A"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三、基金存续期内的基金份额持有人数量和资产规模</w:t>
      </w:r>
    </w:p>
    <w:p w:rsidR="005C6370" w:rsidP="00A24D29" w14:paraId="15903745"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p w:rsidR="005C6370" w:rsidP="00A24D29" w14:paraId="58A51307"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法律法规或中国证监会另有规定时，从其规定。</w:t>
      </w:r>
    </w:p>
    <w:p w:rsidR="005C6370" w:rsidP="00A24D29" w14:paraId="4FD7DFE3" w14:textId="77777777">
      <w:pPr>
        <w:spacing w:line="360" w:lineRule="auto"/>
        <w:ind w:firstLine="420"/>
        <w:contextualSpacing/>
        <w:rPr>
          <w:rFonts w:ascii="宋体" w:hAnsi="Calibri"/>
          <w:szCs w:val="21"/>
          <w:lang w:eastAsia="zh-CN"/>
        </w:rPr>
      </w:pPr>
    </w:p>
    <w:p w:rsidR="005C6370" w:rsidP="00A24D29" w14:paraId="27B4FA55" w14:textId="77777777">
      <w:pPr>
        <w:spacing w:line="360" w:lineRule="auto"/>
        <w:contextualSpacing/>
        <w:rPr>
          <w:rFonts w:ascii="宋体" w:hAnsi="Calibri"/>
          <w:lang w:eastAsia="zh-CN"/>
        </w:rPr>
      </w:pPr>
    </w:p>
    <w:p w:rsidR="005C6370" w:rsidP="00A24D29" w14:paraId="64F453D0" w14:textId="77777777">
      <w:pPr>
        <w:pStyle w:val="Heading1"/>
        <w:pageBreakBefore/>
        <w:spacing w:before="317" w:after="317" w:line="360" w:lineRule="auto"/>
        <w:ind w:firstLine="0"/>
        <w:contextualSpacing/>
        <w:rPr>
          <w:rFonts w:ascii="宋体" w:eastAsia="宋体" w:hAnsi="Calibri"/>
          <w:bCs/>
          <w:sz w:val="30"/>
          <w:szCs w:val="30"/>
          <w:lang w:eastAsia="zh-CN"/>
        </w:rPr>
      </w:pPr>
      <w:bookmarkStart w:id="1798" w:name="_Toc332373499"/>
      <w:bookmarkStart w:id="1799" w:name="_Toc121776972"/>
      <w:r>
        <w:rPr>
          <w:rFonts w:ascii="宋体" w:eastAsia="宋体" w:hAnsi="Calibri" w:hint="eastAsia"/>
          <w:bCs/>
          <w:sz w:val="30"/>
          <w:szCs w:val="30"/>
          <w:highlight w:val="white"/>
          <w:lang w:eastAsia="zh-CN"/>
        </w:rPr>
        <w:t>第</w:t>
      </w:r>
      <w:r>
        <w:rPr>
          <w:rFonts w:ascii="宋体" w:eastAsia="宋体" w:hAnsi="Calibri"/>
          <w:sz w:val="30"/>
          <w:szCs w:val="30"/>
          <w:highlight w:val="white"/>
          <w:lang w:eastAsia="zh-CN"/>
        </w:rPr>
        <w:t>九</w:t>
      </w:r>
      <w:r>
        <w:rPr>
          <w:rFonts w:ascii="宋体" w:eastAsia="宋体" w:hAnsi="Calibri" w:hint="eastAsia"/>
          <w:bCs/>
          <w:sz w:val="30"/>
          <w:szCs w:val="30"/>
          <w:highlight w:val="white"/>
          <w:lang w:eastAsia="zh-CN"/>
        </w:rPr>
        <w:t>部分 基金份额的申购、赎回</w:t>
      </w:r>
      <w:bookmarkEnd w:id="1798"/>
      <w:bookmarkEnd w:id="1799"/>
    </w:p>
    <w:p w:rsidR="005C6370" w:rsidP="00A24D29" w14:paraId="0C40309A" w14:textId="77777777">
      <w:pPr>
        <w:spacing w:line="360" w:lineRule="auto"/>
        <w:ind w:firstLine="420"/>
        <w:contextualSpacing/>
        <w:rPr>
          <w:rStyle w:val="da"/>
          <w:rFonts w:ascii="宋体" w:eastAsia="黑体" w:hAnsi="Calibri"/>
          <w:sz w:val="32"/>
          <w:szCs w:val="21"/>
          <w:lang w:eastAsia="zh-CN"/>
        </w:rPr>
      </w:pPr>
      <w:bookmarkStart w:id="1800" w:name="_Toc332373500"/>
      <w:r>
        <w:rPr>
          <w:rStyle w:val="da"/>
          <w:rFonts w:ascii="宋体" w:hAnsi="Calibri" w:hint="eastAsia"/>
          <w:szCs w:val="21"/>
          <w:highlight w:val="white"/>
          <w:lang w:eastAsia="zh-CN"/>
        </w:rPr>
        <w:t>一、基金投资人范围</w:t>
      </w:r>
      <w:bookmarkEnd w:id="1800"/>
    </w:p>
    <w:p w:rsidR="005C6370" w:rsidP="00A24D29" w14:paraId="159535DA" w14:textId="77777777">
      <w:pPr>
        <w:spacing w:line="360" w:lineRule="auto"/>
        <w:ind w:firstLine="424"/>
        <w:contextualSpacing/>
        <w:rPr>
          <w:rFonts w:ascii="宋体" w:hAnsi="Calibri"/>
          <w:szCs w:val="21"/>
          <w:lang w:eastAsia="zh-CN"/>
        </w:rPr>
      </w:pPr>
      <w:r>
        <w:rPr>
          <w:rFonts w:ascii="宋体" w:hAnsi="Calibri" w:hint="eastAsia"/>
          <w:bCs/>
          <w:szCs w:val="21"/>
          <w:highlight w:val="white"/>
          <w:lang w:eastAsia="zh-CN"/>
        </w:rPr>
        <w:t>符合法律法规规定的可投资于证券投资基金的个人投资者、机构投资者、合格境外投资者以及法律法规或中国证监会允许购买证券投资基金的其他投资人。</w:t>
      </w:r>
    </w:p>
    <w:p w:rsidR="005C6370" w:rsidP="00A24D29" w14:paraId="183F9EA0" w14:textId="77777777">
      <w:pPr>
        <w:spacing w:line="360" w:lineRule="auto"/>
        <w:ind w:firstLine="420"/>
        <w:contextualSpacing/>
        <w:rPr>
          <w:rStyle w:val="da"/>
          <w:rFonts w:ascii="宋体" w:hAnsi="Calibri"/>
          <w:lang w:eastAsia="zh-CN"/>
        </w:rPr>
      </w:pPr>
      <w:bookmarkStart w:id="1801" w:name="_Toc332373501"/>
      <w:r>
        <w:rPr>
          <w:rStyle w:val="da"/>
          <w:rFonts w:ascii="宋体" w:hAnsi="Calibri" w:hint="eastAsia"/>
          <w:highlight w:val="white"/>
          <w:lang w:eastAsia="zh-CN"/>
        </w:rPr>
        <w:t>二、申购与赎回的场所</w:t>
      </w:r>
      <w:bookmarkEnd w:id="1801"/>
    </w:p>
    <w:p w:rsidR="005C6370" w:rsidP="00A24D29" w14:paraId="5BB51CF7" w14:textId="77777777">
      <w:pPr>
        <w:spacing w:line="360" w:lineRule="auto"/>
        <w:ind w:firstLine="420"/>
        <w:contextualSpacing/>
        <w:rPr>
          <w:rFonts w:ascii="宋体" w:hAnsi="Calibri"/>
          <w:bCs/>
          <w:lang w:eastAsia="zh-CN"/>
        </w:rPr>
      </w:pPr>
      <w:r>
        <w:rPr>
          <w:rFonts w:ascii="宋体" w:hAnsi="Calibri"/>
          <w:bCs/>
          <w:highlight w:val="white"/>
          <w:lang w:eastAsia="zh-CN"/>
        </w:rPr>
        <w:t>本基金的申购与赎回将通过销售机构进行。基金管理人可根据情况变更或增减销售机构，并在基金管理人网站公示。基金投资者应当在销售机构办理基金销售业务的营业场所或按销售机构提供的其他方式办理基金份额的申购与赎回。</w:t>
      </w:r>
    </w:p>
    <w:p w:rsidR="005C6370" w:rsidP="00A24D29" w14:paraId="4E251C73" w14:textId="77777777">
      <w:pPr>
        <w:spacing w:line="360" w:lineRule="auto"/>
        <w:ind w:firstLine="420"/>
        <w:contextualSpacing/>
        <w:rPr>
          <w:rFonts w:ascii="宋体" w:hAnsi="Calibri"/>
          <w:bCs/>
          <w:lang w:eastAsia="zh-CN"/>
        </w:rPr>
      </w:pPr>
      <w:r>
        <w:rPr>
          <w:rFonts w:ascii="宋体" w:hAnsi="Calibri"/>
          <w:bCs/>
          <w:highlight w:val="white"/>
          <w:lang w:eastAsia="zh-CN"/>
        </w:rPr>
        <w:t>本基金不同类别份额的申购、赎回的销售机构可能不同，具体详见基金管理人网站公示。</w:t>
      </w:r>
    </w:p>
    <w:p w:rsidR="005C6370" w:rsidP="00A24D29" w14:paraId="00C15720" w14:textId="77777777">
      <w:pPr>
        <w:spacing w:line="360" w:lineRule="auto"/>
        <w:ind w:firstLine="420"/>
        <w:contextualSpacing/>
        <w:rPr>
          <w:rStyle w:val="da"/>
          <w:rFonts w:ascii="宋体" w:hAnsi="Calibri"/>
          <w:szCs w:val="21"/>
          <w:lang w:eastAsia="zh-CN"/>
        </w:rPr>
      </w:pPr>
      <w:bookmarkStart w:id="1802" w:name="_Toc332373502"/>
      <w:r>
        <w:rPr>
          <w:rStyle w:val="da"/>
          <w:rFonts w:ascii="宋体" w:hAnsi="Calibri" w:hint="eastAsia"/>
          <w:szCs w:val="21"/>
          <w:highlight w:val="white"/>
          <w:lang w:eastAsia="zh-CN"/>
        </w:rPr>
        <w:t>三、申购与赎回办理的开放日及时间</w:t>
      </w:r>
      <w:bookmarkEnd w:id="1802"/>
    </w:p>
    <w:p w:rsidR="005C6370" w:rsidP="00A24D29" w14:paraId="143816F5" w14:textId="77777777">
      <w:pPr>
        <w:spacing w:line="360" w:lineRule="auto"/>
        <w:ind w:firstLine="420"/>
        <w:contextualSpacing/>
        <w:rPr>
          <w:rStyle w:val="da"/>
          <w:rFonts w:ascii="宋体" w:hAnsi="Calibri"/>
          <w:szCs w:val="21"/>
          <w:lang w:eastAsia="zh-CN"/>
        </w:rPr>
      </w:pPr>
      <w:r>
        <w:rPr>
          <w:rStyle w:val="da"/>
          <w:rFonts w:ascii="宋体" w:hAnsi="Calibri" w:hint="eastAsia"/>
          <w:szCs w:val="21"/>
          <w:highlight w:val="white"/>
          <w:lang w:eastAsia="zh-CN"/>
        </w:rPr>
        <w:t>1、开放日及开放时间</w:t>
      </w:r>
    </w:p>
    <w:p w:rsidR="005C6370" w:rsidP="00A24D29" w14:paraId="46D56E8D" w14:textId="77777777">
      <w:pPr>
        <w:spacing w:line="360" w:lineRule="auto"/>
        <w:ind w:firstLine="420"/>
        <w:contextualSpacing/>
        <w:rPr>
          <w:rStyle w:val="da"/>
          <w:rFonts w:ascii="宋体" w:hAnsi="Calibri"/>
          <w:szCs w:val="21"/>
          <w:lang w:eastAsia="zh-CN"/>
        </w:rPr>
      </w:pPr>
      <w:r>
        <w:rPr>
          <w:rStyle w:val="da"/>
          <w:rFonts w:ascii="宋体" w:hAnsi="Calibri" w:hint="eastAsia"/>
          <w:szCs w:val="21"/>
          <w:highlight w:val="white"/>
          <w:lang w:eastAsia="zh-CN"/>
        </w:rPr>
        <w:t>投资人在开放日办理基金份额的申购和赎回，本基金的开放日为上海证券交易所、深圳证券交易所的交易日，但基金管理人根据法律法规、中国证监会的要求或基金合同的规定公告暂停申购、赎回时除外。开放日的具体业务办理时间见相关公告。</w:t>
      </w:r>
    </w:p>
    <w:p w:rsidR="005C6370" w:rsidP="00A24D29" w14:paraId="04FEE963" w14:textId="77777777">
      <w:pPr>
        <w:spacing w:line="360" w:lineRule="auto"/>
        <w:ind w:firstLine="420"/>
        <w:contextualSpacing/>
        <w:rPr>
          <w:rStyle w:val="da"/>
          <w:rFonts w:ascii="宋体" w:hAnsi="Calibri"/>
          <w:szCs w:val="21"/>
          <w:lang w:eastAsia="zh-CN"/>
        </w:rPr>
      </w:pPr>
      <w:r>
        <w:rPr>
          <w:rStyle w:val="da"/>
          <w:rFonts w:ascii="宋体" w:hAnsi="Calibri" w:hint="eastAsia"/>
          <w:szCs w:val="21"/>
          <w:highlight w:val="white"/>
          <w:lang w:eastAsia="zh-CN"/>
        </w:rPr>
        <w:t>基金合同生效后，若出现新的证券交易市场、证券交易所交易时间变更、其他特殊情况或根据业务需要，基金管理人将视情况对前述开放日及开放时间进行相应的调整，但应在实施前依照《信息披露办法》的有关规定在规定媒介上公告。</w:t>
      </w:r>
    </w:p>
    <w:p w:rsidR="005C6370" w:rsidP="00A24D29" w14:paraId="424C21C7" w14:textId="77777777">
      <w:pPr>
        <w:spacing w:line="360" w:lineRule="auto"/>
        <w:ind w:firstLine="420"/>
        <w:contextualSpacing/>
        <w:rPr>
          <w:rStyle w:val="da"/>
          <w:rFonts w:ascii="宋体" w:hAnsi="Calibri"/>
          <w:szCs w:val="21"/>
          <w:lang w:eastAsia="zh-CN"/>
        </w:rPr>
      </w:pPr>
      <w:r>
        <w:rPr>
          <w:rStyle w:val="da"/>
          <w:rFonts w:ascii="宋体" w:hAnsi="Calibri" w:hint="eastAsia"/>
          <w:szCs w:val="21"/>
          <w:highlight w:val="white"/>
          <w:lang w:eastAsia="zh-CN"/>
        </w:rPr>
        <w:t>2、申购、赎回开始日及业务办理时间</w:t>
      </w:r>
    </w:p>
    <w:p w:rsidR="005C6370" w:rsidP="00A24D29" w14:paraId="7DB8AC93" w14:textId="77777777">
      <w:pPr>
        <w:spacing w:line="360" w:lineRule="auto"/>
        <w:ind w:firstLine="420"/>
        <w:contextualSpacing/>
        <w:rPr>
          <w:rStyle w:val="da"/>
          <w:rFonts w:ascii="宋体" w:hAnsi="Calibri"/>
          <w:szCs w:val="21"/>
          <w:lang w:eastAsia="zh-CN"/>
        </w:rPr>
      </w:pPr>
      <w:r>
        <w:rPr>
          <w:rStyle w:val="da"/>
          <w:rFonts w:ascii="宋体" w:hAnsi="Calibri" w:hint="eastAsia"/>
          <w:szCs w:val="21"/>
          <w:highlight w:val="white"/>
          <w:lang w:eastAsia="zh-CN"/>
        </w:rPr>
        <w:t>基金管理人可根据实际情况依法决定本基金开始办理申购的具体日期，具体业务办理时间在申购开始公告中规定。</w:t>
      </w:r>
    </w:p>
    <w:p w:rsidR="005C6370" w:rsidP="00A24D29" w14:paraId="30C18913" w14:textId="77777777">
      <w:pPr>
        <w:spacing w:line="360" w:lineRule="auto"/>
        <w:ind w:firstLine="420"/>
        <w:contextualSpacing/>
        <w:rPr>
          <w:rStyle w:val="da"/>
          <w:rFonts w:ascii="宋体" w:hAnsi="Calibri"/>
          <w:szCs w:val="21"/>
          <w:lang w:eastAsia="zh-CN"/>
        </w:rPr>
      </w:pPr>
      <w:r>
        <w:rPr>
          <w:rStyle w:val="da"/>
          <w:rFonts w:ascii="宋体" w:hAnsi="Calibri" w:hint="eastAsia"/>
          <w:szCs w:val="21"/>
          <w:highlight w:val="white"/>
          <w:lang w:eastAsia="zh-CN"/>
        </w:rPr>
        <w:t>本基金对投资者申购的每份基金份额设定3个月（一个月按30天计算，下同）最短持有期限，在最短持有期限内，基金管理人对投资者的相应基金份额不办理赎回确认。即对于每份基金份额，当持有时间小于3个月，无法确认赎回；当持有时间大于等于3个月，可以确认赎回。最短持有期的最后一日为最短持有期到期日。对于每份基金份额，基金管理人仅在最短持有期到期日之后（不含该日）为基金份额持有人办理相应基金份额的赎回确认。</w:t>
      </w:r>
    </w:p>
    <w:p w:rsidR="005C6370" w:rsidP="00A24D29" w14:paraId="0BB4798B" w14:textId="77777777">
      <w:pPr>
        <w:spacing w:line="360" w:lineRule="auto"/>
        <w:ind w:firstLine="420"/>
        <w:contextualSpacing/>
        <w:rPr>
          <w:rStyle w:val="da"/>
          <w:rFonts w:ascii="宋体" w:hAnsi="Calibri"/>
          <w:szCs w:val="21"/>
          <w:lang w:eastAsia="zh-CN"/>
        </w:rPr>
      </w:pPr>
      <w:r>
        <w:rPr>
          <w:rStyle w:val="da"/>
          <w:rFonts w:ascii="宋体" w:hAnsi="Calibri" w:hint="eastAsia"/>
          <w:szCs w:val="21"/>
          <w:highlight w:val="white"/>
          <w:lang w:eastAsia="zh-CN"/>
        </w:rPr>
        <w:t>基金管理人自认购份额的3个月最短持有期到期日（即基金合同生效日起3个月的届满之日）之后（不含该日）开始办理赎回确认。</w:t>
      </w:r>
    </w:p>
    <w:p w:rsidR="005C6370" w:rsidP="00A24D29" w14:paraId="25A78298" w14:textId="77777777">
      <w:pPr>
        <w:spacing w:line="360" w:lineRule="auto"/>
        <w:ind w:firstLine="420"/>
        <w:contextualSpacing/>
        <w:rPr>
          <w:rStyle w:val="da"/>
          <w:rFonts w:ascii="宋体" w:hAnsi="Calibri"/>
          <w:szCs w:val="21"/>
          <w:lang w:eastAsia="zh-CN"/>
        </w:rPr>
      </w:pPr>
      <w:r>
        <w:rPr>
          <w:rStyle w:val="da"/>
          <w:rFonts w:ascii="宋体" w:hAnsi="Calibri" w:hint="eastAsia"/>
          <w:szCs w:val="21"/>
          <w:highlight w:val="white"/>
          <w:lang w:eastAsia="zh-CN"/>
        </w:rPr>
        <w:t>在确定申购开始与赎回开始时间后，基金管理人应在申购、赎回开放前依照《信息披露办法》的有关规定在规定媒介上公告申购、赎回的开始时间，每份基金份额自最短持有期到期日的下一工作日（含该日）起可办理赎回确认。</w:t>
      </w:r>
    </w:p>
    <w:p w:rsidR="005C6370" w:rsidP="00A24D29" w14:paraId="2649C46E" w14:textId="77777777">
      <w:pPr>
        <w:spacing w:line="360" w:lineRule="auto"/>
        <w:ind w:firstLine="420"/>
        <w:contextualSpacing/>
        <w:rPr>
          <w:rStyle w:val="da"/>
          <w:rFonts w:ascii="宋体" w:hAnsi="Calibri"/>
          <w:szCs w:val="21"/>
          <w:lang w:eastAsia="zh-CN"/>
        </w:rPr>
      </w:pPr>
      <w:r>
        <w:rPr>
          <w:rStyle w:val="da"/>
          <w:rFonts w:ascii="宋体" w:hAnsi="Calibri" w:hint="eastAsia"/>
          <w:szCs w:val="21"/>
          <w:highlight w:val="white"/>
          <w:lang w:eastAsia="zh-CN"/>
        </w:rPr>
        <w:t>基金管理人不得在基金合同约定之外的日期或者时间办理基金份额的申购、赎回。投资人在基金合同约定之外的日期和时间提出申购、赎回申请且登记机构确认接受的，其基金份额申购、赎回价格为下一开放日基金份额申购、赎回的价格。</w:t>
      </w:r>
    </w:p>
    <w:p w:rsidR="005C6370" w:rsidP="00A24D29" w14:paraId="7701872D" w14:textId="77777777">
      <w:pPr>
        <w:spacing w:line="360" w:lineRule="auto"/>
        <w:ind w:firstLine="420"/>
        <w:contextualSpacing/>
        <w:rPr>
          <w:rFonts w:ascii="宋体" w:hAnsi="Calibri"/>
          <w:bCs/>
          <w:sz w:val="24"/>
          <w:lang w:eastAsia="zh-CN"/>
        </w:rPr>
      </w:pPr>
      <w:bookmarkStart w:id="1803" w:name="_Toc332373503"/>
      <w:r>
        <w:rPr>
          <w:rStyle w:val="da"/>
          <w:rFonts w:ascii="宋体" w:hAnsi="Calibri" w:hint="eastAsia"/>
          <w:szCs w:val="21"/>
          <w:highlight w:val="white"/>
          <w:lang w:eastAsia="zh-CN"/>
        </w:rPr>
        <w:t>四、</w:t>
      </w:r>
      <w:r>
        <w:rPr>
          <w:rStyle w:val="da"/>
          <w:rFonts w:ascii="宋体" w:hAnsi="Calibri"/>
          <w:szCs w:val="21"/>
          <w:highlight w:val="white"/>
          <w:lang w:eastAsia="zh-CN"/>
        </w:rPr>
        <w:t>申购与赎回的原则</w:t>
      </w:r>
      <w:bookmarkEnd w:id="1803"/>
    </w:p>
    <w:p w:rsidR="005C6370" w:rsidP="00A24D29" w14:paraId="10ABB3AD"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w:t>
      </w:r>
      <w:r>
        <w:rPr>
          <w:rFonts w:ascii="宋体" w:hAnsi="Calibri"/>
          <w:bCs/>
          <w:szCs w:val="21"/>
          <w:highlight w:val="white"/>
          <w:lang w:eastAsia="zh-CN"/>
        </w:rPr>
        <w:t>“</w:t>
      </w:r>
      <w:r>
        <w:rPr>
          <w:rFonts w:ascii="宋体" w:hAnsi="Calibri"/>
          <w:bCs/>
          <w:szCs w:val="21"/>
          <w:highlight w:val="white"/>
          <w:lang w:eastAsia="zh-CN"/>
        </w:rPr>
        <w:t>未知价</w:t>
      </w:r>
      <w:r>
        <w:rPr>
          <w:rFonts w:ascii="宋体" w:hAnsi="Calibri"/>
          <w:bCs/>
          <w:szCs w:val="21"/>
          <w:highlight w:val="white"/>
          <w:lang w:eastAsia="zh-CN"/>
        </w:rPr>
        <w:t>”</w:t>
      </w:r>
      <w:r>
        <w:rPr>
          <w:rFonts w:ascii="宋体" w:hAnsi="Calibri"/>
          <w:bCs/>
          <w:szCs w:val="21"/>
          <w:highlight w:val="white"/>
          <w:lang w:eastAsia="zh-CN"/>
        </w:rPr>
        <w:t>原则，即申购、赎回价格以申请当日的对应份额类别的基金份额净值为基准进行计算；</w:t>
      </w:r>
    </w:p>
    <w:p w:rsidR="005C6370" w:rsidP="00A24D29" w14:paraId="26189DBC"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w:t>
      </w:r>
      <w:r>
        <w:rPr>
          <w:rFonts w:ascii="宋体" w:hAnsi="Calibri"/>
          <w:bCs/>
          <w:szCs w:val="21"/>
          <w:highlight w:val="white"/>
          <w:lang w:eastAsia="zh-CN"/>
        </w:rPr>
        <w:t>“</w:t>
      </w:r>
      <w:r>
        <w:rPr>
          <w:rFonts w:ascii="宋体" w:hAnsi="Calibri"/>
          <w:bCs/>
          <w:szCs w:val="21"/>
          <w:highlight w:val="white"/>
          <w:lang w:eastAsia="zh-CN"/>
        </w:rPr>
        <w:t>金额申购、份额赎回</w:t>
      </w:r>
      <w:r>
        <w:rPr>
          <w:rFonts w:ascii="宋体" w:hAnsi="Calibri"/>
          <w:bCs/>
          <w:szCs w:val="21"/>
          <w:highlight w:val="white"/>
          <w:lang w:eastAsia="zh-CN"/>
        </w:rPr>
        <w:t>”</w:t>
      </w:r>
      <w:r>
        <w:rPr>
          <w:rFonts w:ascii="宋体" w:hAnsi="Calibri"/>
          <w:bCs/>
          <w:szCs w:val="21"/>
          <w:highlight w:val="white"/>
          <w:lang w:eastAsia="zh-CN"/>
        </w:rPr>
        <w:t>原则，即申购以金额申请，赎回以份额申请；</w:t>
      </w:r>
    </w:p>
    <w:p w:rsidR="005C6370" w:rsidP="00A24D29" w14:paraId="1967FD61"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3、当日的申购与赎回申请可以在基金管理人规定的时间以内撤销；</w:t>
      </w:r>
    </w:p>
    <w:p w:rsidR="005C6370" w:rsidP="00A24D29" w14:paraId="45704209"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4、基金份额持有人赎回时，除指定赎回外，基金管理人按先进先出的原则，对该持有人账户在该销售机构托管的基金份额进行处理，即先确认的份额先赎回，后确认的份额后赎回；</w:t>
      </w:r>
    </w:p>
    <w:p w:rsidR="005C6370" w:rsidP="00A24D29" w14:paraId="7EA23E4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5、办理申购、赎回业务时，应当遵循基金份额持有人利益优先原则，确保投资者的合法权益不受损害并得到公平对待。</w:t>
      </w:r>
    </w:p>
    <w:p w:rsidR="005C6370" w:rsidP="00A24D29" w14:paraId="313B9F3B"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基金管理人可在不违反法律法规的情况下，对上述原则进行调整。基金管理人必须在新规则开始实施前依照《信息披露办法》的有关规定在规定媒介上公告。</w:t>
      </w:r>
    </w:p>
    <w:p w:rsidR="005C6370" w:rsidP="00A24D29" w14:paraId="57585CE5" w14:textId="77777777">
      <w:pPr>
        <w:spacing w:line="360" w:lineRule="auto"/>
        <w:ind w:firstLine="420"/>
        <w:contextualSpacing/>
        <w:rPr>
          <w:rStyle w:val="da"/>
          <w:rFonts w:ascii="宋体" w:hAnsi="Calibri"/>
          <w:szCs w:val="21"/>
          <w:lang w:eastAsia="zh-CN"/>
        </w:rPr>
      </w:pPr>
      <w:r>
        <w:rPr>
          <w:rStyle w:val="da"/>
          <w:rFonts w:ascii="宋体" w:hAnsi="Calibri" w:hint="eastAsia"/>
          <w:szCs w:val="21"/>
          <w:highlight w:val="white"/>
          <w:lang w:eastAsia="zh-CN"/>
        </w:rPr>
        <w:t>五、申购与赎回的程序</w:t>
      </w:r>
    </w:p>
    <w:p w:rsidR="005C6370" w:rsidP="00A24D29" w14:paraId="73F09B73"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1、申购和赎回的申请方式</w:t>
      </w:r>
    </w:p>
    <w:p w:rsidR="005C6370" w:rsidP="00A24D29" w14:paraId="708877F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投资人必须根据销售机构规定的程序，在开放日的具体业务办理时间内提出申购或赎回的申请。</w:t>
      </w:r>
    </w:p>
    <w:p w:rsidR="005C6370" w:rsidP="00A24D29" w14:paraId="3E6E71C8"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投资人在提交申购申请时须按销售机构规定的方式备足申购资金，投资人在提交赎回申请时须持有足够的基金份额余额，否则所提交的申购、赎回申请不成立。</w:t>
      </w:r>
    </w:p>
    <w:p w:rsidR="005C6370" w:rsidP="00A24D29" w14:paraId="2E0FCAAB"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投资人办理申购、赎回等业务时应提交的文件和办理手续、办理时间、处理规则等在遵守基金合同和本招募说明书规定的前提下，以各销售机构的具体规定为准。</w:t>
      </w:r>
    </w:p>
    <w:p w:rsidR="005C6370" w:rsidP="00A24D29" w14:paraId="2EDEC0C3"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2、申购和赎回申请的确认</w:t>
      </w:r>
    </w:p>
    <w:p w:rsidR="005C6370" w:rsidP="00A24D29" w14:paraId="3295CCFC"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基金管理人应以交易时间结束前受理有效申购和赎回申请的当天作为申购或赎回申请日（T日），在正常情况下，本基金登记机构在T+3日内对该交易的有效性进行确认。T日提交的有效申请，投资人应在T+</w:t>
      </w:r>
      <w:r>
        <w:rPr>
          <w:rFonts w:ascii="宋体" w:hAnsi="Calibri"/>
          <w:bCs/>
          <w:szCs w:val="21"/>
          <w:highlight w:val="white"/>
          <w:lang w:eastAsia="zh-CN"/>
        </w:rPr>
        <w:t>4</w:t>
      </w:r>
      <w:r>
        <w:rPr>
          <w:rFonts w:ascii="宋体" w:hAnsi="Calibri" w:hint="eastAsia"/>
          <w:bCs/>
          <w:szCs w:val="21"/>
          <w:highlight w:val="white"/>
          <w:lang w:eastAsia="zh-CN"/>
        </w:rPr>
        <w:t>日后（包括该日）</w:t>
      </w:r>
      <w:r>
        <w:rPr>
          <w:rFonts w:ascii="宋体" w:hAnsi="Calibri"/>
          <w:bCs/>
          <w:szCs w:val="21"/>
          <w:highlight w:val="white"/>
          <w:lang w:eastAsia="zh-CN"/>
        </w:rPr>
        <w:t>到销售网点柜台或以销售机构规定的其他方式查询申请的确认情况。若申购不成功，则申购款项本金退还给投资人。</w:t>
      </w:r>
    </w:p>
    <w:p w:rsidR="005C6370" w:rsidP="00A24D29" w14:paraId="37E5B8B6" w14:textId="77777777">
      <w:pPr>
        <w:spacing w:line="360" w:lineRule="auto"/>
        <w:ind w:firstLine="420"/>
        <w:contextualSpacing/>
        <w:rPr>
          <w:rFonts w:ascii="宋体" w:hAnsi="Calibri"/>
          <w:szCs w:val="21"/>
          <w:lang w:eastAsia="zh-CN"/>
        </w:rPr>
      </w:pPr>
      <w:r>
        <w:rPr>
          <w:rFonts w:ascii="宋体" w:hAnsi="Calibri" w:hint="eastAsia"/>
          <w:bCs/>
          <w:szCs w:val="21"/>
          <w:highlight w:val="white"/>
          <w:lang w:eastAsia="zh-CN"/>
        </w:rPr>
        <w:t>销售机构对申购、赎回申请的受理并不代表该申请一定成功，而仅代表销售机构确实接收到申购、赎回申请。申购、赎回的确认以登记机构的确认结果为准。对于申请的确认情况，投资人应及时查询并妥善行使合法权利。</w:t>
      </w:r>
    </w:p>
    <w:p w:rsidR="005C6370" w:rsidP="00A24D29" w14:paraId="02EBFDCE"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在不违反法律法规的前提下，登记机构可根据《业务规则》，对上述业务办理时间进行调整，本基金管理人将于开始实施前按照有关规定予以公告。</w:t>
      </w:r>
    </w:p>
    <w:p w:rsidR="005C6370" w:rsidP="00A24D29" w14:paraId="32747997"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3、申购和赎回的款项支付</w:t>
      </w:r>
    </w:p>
    <w:p w:rsidR="005C6370" w:rsidP="00A24D29" w14:paraId="396960B6"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申购采用全额缴款方式，若申购资金在规定时间内未全额到账则申购不成功。若申购不成功或无效，基金管理人或基金管理人指定的非直销销售机构将投资人已缴付的申购款项本金退还给投资人。</w:t>
      </w:r>
    </w:p>
    <w:p w:rsidR="005C6370" w:rsidP="00A24D29" w14:paraId="1AB00235" w14:textId="77777777">
      <w:pPr>
        <w:spacing w:line="360" w:lineRule="auto"/>
        <w:ind w:firstLine="420"/>
        <w:contextualSpacing/>
        <w:rPr>
          <w:rStyle w:val="da"/>
          <w:rFonts w:ascii="宋体" w:hAnsi="Calibri"/>
          <w:szCs w:val="21"/>
          <w:lang w:eastAsia="zh-CN"/>
        </w:rPr>
      </w:pPr>
      <w:r>
        <w:rPr>
          <w:rFonts w:ascii="宋体" w:hAnsi="Calibri" w:hint="eastAsia"/>
          <w:szCs w:val="21"/>
          <w:highlight w:val="white"/>
          <w:lang w:eastAsia="zh-CN"/>
        </w:rPr>
        <w:t>基金份额持有人递交赎回申请，赎回成立；登记机构确认赎回时，赎回生效。投资者赎回申请生效后，基金管理人将在</w:t>
      </w:r>
      <w:r>
        <w:rPr>
          <w:rFonts w:ascii="宋体" w:hAnsi="Calibri"/>
          <w:szCs w:val="21"/>
          <w:highlight w:val="white"/>
          <w:lang w:eastAsia="zh-CN"/>
        </w:rPr>
        <w:t>T＋</w:t>
      </w:r>
      <w:r>
        <w:rPr>
          <w:rFonts w:ascii="宋体" w:hAnsi="Calibri" w:hint="eastAsia"/>
          <w:szCs w:val="21"/>
          <w:highlight w:val="white"/>
          <w:lang w:eastAsia="zh-CN"/>
        </w:rPr>
        <w:t>10日（包括该日）</w:t>
      </w:r>
      <w:r>
        <w:rPr>
          <w:rFonts w:ascii="宋体" w:hAnsi="Calibri"/>
          <w:szCs w:val="21"/>
          <w:highlight w:val="white"/>
          <w:lang w:eastAsia="zh-CN"/>
        </w:rPr>
        <w:t>内支付赎回款项。</w:t>
      </w:r>
      <w:r>
        <w:rPr>
          <w:rStyle w:val="da"/>
          <w:rFonts w:ascii="宋体" w:hAnsi="Calibri" w:hint="eastAsia"/>
          <w:szCs w:val="21"/>
          <w:highlight w:val="white"/>
          <w:lang w:eastAsia="zh-CN"/>
        </w:rPr>
        <w:t>如遇国家外汇管理局相关规定有变更或本基金境外投资主要市场的交易清算规则有变更、基金境外投资主要市场及外汇市场休市或暂停交易、港股通非交收日导致延迟交收、登记公司系统故障、交易所或交易市场数据传输延迟、通讯系统故障、银行数据交换系统故障或其它非基金管理人及基金托管人所能控制的因素影响业务处理流程，则赎回款项的支付时间可相应顺延。在发生巨额赎回或基金合同载明的其他暂停赎回或延缓支付赎回款项的情形时，款项的支付办法参照基金合同有关条款处理。</w:t>
      </w:r>
    </w:p>
    <w:p w:rsidR="005C6370" w:rsidP="00A24D29" w14:paraId="6D5167CB" w14:textId="77777777">
      <w:pPr>
        <w:spacing w:line="360" w:lineRule="auto"/>
        <w:ind w:firstLine="420"/>
        <w:contextualSpacing/>
        <w:rPr>
          <w:rStyle w:val="da"/>
          <w:rFonts w:ascii="宋体" w:hAnsi="Calibri"/>
          <w:szCs w:val="21"/>
          <w:lang w:eastAsia="zh-CN"/>
        </w:rPr>
      </w:pPr>
      <w:bookmarkStart w:id="1804" w:name="_Toc332373505"/>
      <w:r>
        <w:rPr>
          <w:rStyle w:val="da"/>
          <w:rFonts w:ascii="宋体" w:hAnsi="Calibri" w:hint="eastAsia"/>
          <w:szCs w:val="21"/>
          <w:highlight w:val="white"/>
          <w:lang w:eastAsia="zh-CN"/>
        </w:rPr>
        <w:t>六、申购与赎回的数额限制</w:t>
      </w:r>
      <w:bookmarkEnd w:id="1804"/>
    </w:p>
    <w:p w:rsidR="005C6370" w:rsidP="00A24D29" w14:paraId="6707CDF4"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 xml:space="preserve">1、申购金额的限制 </w:t>
      </w:r>
    </w:p>
    <w:p w:rsidR="005C6370" w:rsidP="00A24D29" w14:paraId="3175098B"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投资人通过非直销销售机构或本公司网上直销系统首次申购的单笔最低</w:t>
      </w:r>
      <w:r>
        <w:rPr>
          <w:rFonts w:ascii="宋体" w:hAnsi="Calibri"/>
          <w:szCs w:val="21"/>
          <w:highlight w:val="white"/>
          <w:lang w:eastAsia="zh-CN"/>
        </w:rPr>
        <w:t>限额</w:t>
      </w:r>
      <w:r>
        <w:rPr>
          <w:rFonts w:ascii="宋体" w:hAnsi="Calibri" w:hint="eastAsia"/>
          <w:szCs w:val="21"/>
          <w:highlight w:val="white"/>
          <w:lang w:eastAsia="zh-CN"/>
        </w:rPr>
        <w:t>为人民币1元，追加申购单笔最低</w:t>
      </w:r>
      <w:r>
        <w:rPr>
          <w:rFonts w:ascii="宋体" w:hAnsi="Calibri"/>
          <w:szCs w:val="21"/>
          <w:highlight w:val="white"/>
          <w:lang w:eastAsia="zh-CN"/>
        </w:rPr>
        <w:t>限额</w:t>
      </w:r>
      <w:r>
        <w:rPr>
          <w:rFonts w:ascii="宋体" w:hAnsi="Calibri" w:hint="eastAsia"/>
          <w:szCs w:val="21"/>
          <w:highlight w:val="white"/>
          <w:lang w:eastAsia="zh-CN"/>
        </w:rPr>
        <w:t>为人民币1元；投资人通过本公司直销中心首次申购的单笔最低</w:t>
      </w:r>
      <w:r>
        <w:rPr>
          <w:rFonts w:ascii="宋体" w:hAnsi="Calibri"/>
          <w:szCs w:val="21"/>
          <w:highlight w:val="white"/>
          <w:lang w:eastAsia="zh-CN"/>
        </w:rPr>
        <w:t>限额</w:t>
      </w:r>
      <w:r>
        <w:rPr>
          <w:rFonts w:ascii="宋体" w:hAnsi="Calibri" w:hint="eastAsia"/>
          <w:szCs w:val="21"/>
          <w:highlight w:val="white"/>
          <w:lang w:eastAsia="zh-CN"/>
        </w:rPr>
        <w:t>为人民币50,000元，追加申购单笔最低</w:t>
      </w:r>
      <w:r>
        <w:rPr>
          <w:rFonts w:ascii="宋体" w:hAnsi="Calibri"/>
          <w:szCs w:val="21"/>
          <w:highlight w:val="white"/>
          <w:lang w:eastAsia="zh-CN"/>
        </w:rPr>
        <w:t>限额</w:t>
      </w:r>
      <w:r>
        <w:rPr>
          <w:rFonts w:ascii="宋体" w:hAnsi="Calibri" w:hint="eastAsia"/>
          <w:szCs w:val="21"/>
          <w:highlight w:val="white"/>
          <w:lang w:eastAsia="zh-CN"/>
        </w:rPr>
        <w:t>是人民币1,000元。</w:t>
      </w:r>
      <w:r>
        <w:rPr>
          <w:rStyle w:val="da"/>
          <w:rFonts w:ascii="宋体" w:hAnsi="Calibri" w:hint="eastAsia"/>
          <w:highlight w:val="white"/>
          <w:lang w:eastAsia="zh-CN"/>
        </w:rPr>
        <w:t>在符合法律法规规定的前提下，</w:t>
      </w:r>
      <w:r>
        <w:rPr>
          <w:rFonts w:ascii="宋体" w:hAnsi="Calibri" w:hint="eastAsia"/>
          <w:szCs w:val="21"/>
          <w:highlight w:val="white"/>
          <w:lang w:eastAsia="zh-CN"/>
        </w:rPr>
        <w:t>各销售机构对申购</w:t>
      </w:r>
      <w:r>
        <w:rPr>
          <w:rFonts w:ascii="宋体" w:hAnsi="Calibri"/>
          <w:szCs w:val="21"/>
          <w:highlight w:val="white"/>
          <w:lang w:eastAsia="zh-CN"/>
        </w:rPr>
        <w:t>限额</w:t>
      </w:r>
      <w:r>
        <w:rPr>
          <w:rFonts w:ascii="宋体" w:hAnsi="Calibri" w:hint="eastAsia"/>
          <w:szCs w:val="21"/>
          <w:highlight w:val="white"/>
          <w:lang w:eastAsia="zh-CN"/>
        </w:rPr>
        <w:t>及交易级差有其他规定的，需同时遵循该销售机构的相关规定。</w:t>
      </w:r>
      <w:r>
        <w:rPr>
          <w:rFonts w:ascii="宋体" w:hAnsi="Calibri"/>
          <w:szCs w:val="21"/>
          <w:highlight w:val="white"/>
          <w:lang w:eastAsia="zh-CN"/>
        </w:rPr>
        <w:t>（以上金额</w:t>
      </w:r>
      <w:r>
        <w:rPr>
          <w:rFonts w:ascii="宋体" w:hAnsi="Calibri" w:hint="eastAsia"/>
          <w:szCs w:val="21"/>
          <w:highlight w:val="white"/>
          <w:lang w:eastAsia="zh-CN"/>
        </w:rPr>
        <w:t>均</w:t>
      </w:r>
      <w:r>
        <w:rPr>
          <w:rFonts w:ascii="宋体" w:hAnsi="Calibri"/>
          <w:szCs w:val="21"/>
          <w:highlight w:val="white"/>
          <w:lang w:eastAsia="zh-CN"/>
        </w:rPr>
        <w:t>含</w:t>
      </w:r>
      <w:r>
        <w:rPr>
          <w:rFonts w:ascii="宋体" w:hAnsi="Calibri" w:hint="eastAsia"/>
          <w:szCs w:val="21"/>
          <w:highlight w:val="white"/>
          <w:lang w:eastAsia="zh-CN"/>
        </w:rPr>
        <w:t>申</w:t>
      </w:r>
      <w:r>
        <w:rPr>
          <w:rFonts w:ascii="宋体" w:hAnsi="Calibri"/>
          <w:szCs w:val="21"/>
          <w:highlight w:val="white"/>
          <w:lang w:eastAsia="zh-CN"/>
        </w:rPr>
        <w:t>购费）</w:t>
      </w:r>
      <w:r>
        <w:rPr>
          <w:rFonts w:ascii="宋体" w:hAnsi="Calibri" w:hint="eastAsia"/>
          <w:szCs w:val="21"/>
          <w:highlight w:val="white"/>
          <w:lang w:eastAsia="zh-CN"/>
        </w:rPr>
        <w:t>。</w:t>
      </w:r>
    </w:p>
    <w:p w:rsidR="005C6370" w:rsidP="00A24D29" w14:paraId="71FBF5A8"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投资人将当期分配的基金收益转购基金份额或采用定期定额投资计划时，不受最低申购金额的限制。</w:t>
      </w:r>
    </w:p>
    <w:p w:rsidR="005C6370" w:rsidP="00A24D29" w14:paraId="6A0C17E7"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投资人可多次申购，一般情况下本基金对单个投资人累计持有份额不设上限限制。但对于可能导致单一投资者持有基金份额的比例达到或者超过</w:t>
      </w:r>
      <w:r>
        <w:rPr>
          <w:rFonts w:ascii="宋体" w:hAnsi="Calibri"/>
          <w:szCs w:val="21"/>
          <w:highlight w:val="white"/>
          <w:lang w:eastAsia="zh-CN"/>
        </w:rPr>
        <w:t>50%，或者变相规避50%集中度的情形，基金管理人有权采取控制措施。</w:t>
      </w:r>
      <w:r>
        <w:rPr>
          <w:rFonts w:ascii="宋体" w:hAnsi="Calibri" w:hint="eastAsia"/>
          <w:szCs w:val="21"/>
          <w:highlight w:val="white"/>
          <w:lang w:eastAsia="zh-CN"/>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w:t>
      </w:r>
      <w:r w:rsidR="002650A2">
        <w:rPr>
          <w:rFonts w:ascii="宋体" w:hAnsi="Calibri" w:hint="eastAsia"/>
          <w:szCs w:val="21"/>
          <w:highlight w:val="white"/>
          <w:lang w:eastAsia="zh-CN"/>
        </w:rPr>
        <w:t>，</w:t>
      </w:r>
      <w:r>
        <w:rPr>
          <w:rFonts w:ascii="宋体" w:hAnsi="Calibri"/>
          <w:szCs w:val="21"/>
          <w:highlight w:val="white"/>
          <w:lang w:eastAsia="zh-CN"/>
        </w:rPr>
        <w:t>具体请参见相关公告</w:t>
      </w:r>
      <w:r>
        <w:rPr>
          <w:rFonts w:ascii="宋体" w:hAnsi="Calibri" w:hint="eastAsia"/>
          <w:szCs w:val="21"/>
          <w:highlight w:val="white"/>
          <w:lang w:eastAsia="zh-CN"/>
        </w:rPr>
        <w:t>。法律法规、中国证监会另有规定的除外。</w:t>
      </w:r>
    </w:p>
    <w:p w:rsidR="005C6370" w:rsidP="00A24D29" w14:paraId="6CFDEC15"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2、赎回份额的限制</w:t>
      </w:r>
    </w:p>
    <w:p w:rsidR="005C6370" w:rsidP="00A24D29" w14:paraId="6456C26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投资人可将其全部或部分基金份额赎回。每类基金份额单笔赎回或转换不得少于1份（如该账户在该销售机构托管的该类基金份额余额不足1份，则必须一次性赎回或转出该类基金份额全部份额）；若某笔赎回将导致投资人在该销售机构托管的该类基金份额余额不足1份时，基金管理人有权将投资人在该销售机构托管的该类基金份额剩余份额一次性全部赎回。在符合法律法规规定的前提下，各销售机构对赎回份额限制有其他规定的，需同时遵循该销售机构的相关规定。</w:t>
      </w:r>
    </w:p>
    <w:p w:rsidR="005C6370" w:rsidP="00A24D29" w14:paraId="6F6E103C"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基金管理人可以根据市场情况，在不违反法律法规的情况下，调整上述规定申购金额和赎回份额的数量限制，或者新增基金规模控制措施。基金管理人必须在调整前依照《信息披露办法》的有关规定在规定媒介上公告。</w:t>
      </w:r>
    </w:p>
    <w:p w:rsidR="005C6370" w:rsidP="00A24D29" w14:paraId="6C71CDEC" w14:textId="77777777">
      <w:pPr>
        <w:spacing w:line="360" w:lineRule="auto"/>
        <w:ind w:firstLine="420"/>
        <w:contextualSpacing/>
        <w:rPr>
          <w:rStyle w:val="da"/>
          <w:rFonts w:ascii="宋体" w:hAnsi="Calibri"/>
          <w:szCs w:val="21"/>
          <w:lang w:eastAsia="zh-CN"/>
        </w:rPr>
      </w:pPr>
      <w:bookmarkStart w:id="1805" w:name="_Toc332373506"/>
      <w:r>
        <w:rPr>
          <w:rStyle w:val="da"/>
          <w:rFonts w:ascii="宋体" w:hAnsi="Calibri" w:hint="eastAsia"/>
          <w:szCs w:val="21"/>
          <w:highlight w:val="white"/>
          <w:lang w:eastAsia="zh-CN"/>
        </w:rPr>
        <w:t>七、基金的申购费和赎回费</w:t>
      </w:r>
      <w:bookmarkEnd w:id="1805"/>
    </w:p>
    <w:p w:rsidR="005C6370" w:rsidP="00A24D29" w14:paraId="64F5C7F3" w14:textId="77777777">
      <w:pPr>
        <w:spacing w:line="360" w:lineRule="auto"/>
        <w:ind w:firstLine="420"/>
        <w:contextualSpacing/>
        <w:rPr>
          <w:rFonts w:ascii="宋体" w:hAnsi="Calibri"/>
          <w:szCs w:val="21"/>
        </w:rPr>
      </w:pPr>
      <w:r>
        <w:rPr>
          <w:rFonts w:ascii="宋体" w:hAnsi="Calibri" w:cs="宋体" w:hint="eastAsia"/>
          <w:szCs w:val="21"/>
          <w:highlight w:val="white"/>
          <w:lang w:eastAsia="zh-CN"/>
        </w:rPr>
        <w:t>1、</w:t>
      </w:r>
      <w:r>
        <w:rPr>
          <w:rFonts w:ascii="宋体" w:hAnsi="Calibri" w:cs="宋体" w:hint="eastAsia"/>
          <w:bCs/>
          <w:szCs w:val="21"/>
          <w:highlight w:val="white"/>
          <w:lang w:eastAsia="zh-CN"/>
        </w:rPr>
        <w:t>本基金</w:t>
      </w:r>
      <w:r>
        <w:rPr>
          <w:rFonts w:ascii="宋体" w:hAnsi="Calibri" w:cs="宋体"/>
          <w:bCs/>
          <w:szCs w:val="21"/>
          <w:highlight w:val="white"/>
          <w:lang w:eastAsia="zh-CN"/>
        </w:rPr>
        <w:t>A类基金份额</w:t>
      </w:r>
      <w:r>
        <w:rPr>
          <w:rFonts w:ascii="宋体" w:hAnsi="Calibri" w:cs="宋体" w:hint="eastAsia"/>
          <w:bCs/>
          <w:szCs w:val="21"/>
          <w:highlight w:val="white"/>
          <w:lang w:eastAsia="zh-CN"/>
        </w:rPr>
        <w:t>按规定收取的</w:t>
      </w:r>
      <w:r>
        <w:rPr>
          <w:rFonts w:ascii="宋体" w:hAnsi="Calibri" w:cs="宋体"/>
          <w:bCs/>
          <w:szCs w:val="21"/>
          <w:highlight w:val="white"/>
          <w:lang w:eastAsia="zh-CN"/>
        </w:rPr>
        <w:t>申购费用由</w:t>
      </w:r>
      <w:r>
        <w:rPr>
          <w:rFonts w:ascii="宋体" w:hAnsi="Calibri" w:cs="宋体" w:hint="eastAsia"/>
          <w:bCs/>
          <w:szCs w:val="21"/>
          <w:highlight w:val="white"/>
          <w:lang w:eastAsia="zh-CN"/>
        </w:rPr>
        <w:t>申购</w:t>
      </w:r>
      <w:r>
        <w:rPr>
          <w:rFonts w:ascii="宋体" w:hAnsi="Calibri" w:cs="宋体" w:hint="eastAsia"/>
          <w:highlight w:val="white"/>
          <w:lang w:eastAsia="zh-CN"/>
        </w:rPr>
        <w:t>该类</w:t>
      </w:r>
      <w:r>
        <w:rPr>
          <w:rFonts w:ascii="宋体" w:hAnsi="Calibri" w:cs="宋体" w:hint="eastAsia"/>
          <w:bCs/>
          <w:szCs w:val="21"/>
          <w:highlight w:val="white"/>
          <w:lang w:eastAsia="zh-CN"/>
        </w:rPr>
        <w:t>基金份额的</w:t>
      </w:r>
      <w:r>
        <w:rPr>
          <w:rFonts w:ascii="宋体" w:hAnsi="Calibri" w:cs="宋体"/>
          <w:bCs/>
          <w:szCs w:val="21"/>
          <w:highlight w:val="white"/>
          <w:lang w:eastAsia="zh-CN"/>
        </w:rPr>
        <w:t>投资人承担</w:t>
      </w:r>
      <w:r>
        <w:rPr>
          <w:rFonts w:ascii="宋体" w:hAnsi="Calibri" w:cs="宋体" w:hint="eastAsia"/>
          <w:szCs w:val="21"/>
          <w:highlight w:val="white"/>
          <w:lang w:eastAsia="zh-CN"/>
        </w:rPr>
        <w:t>，</w:t>
      </w:r>
      <w:r>
        <w:rPr>
          <w:rFonts w:ascii="宋体" w:hAnsi="Calibri" w:cs="宋体"/>
          <w:szCs w:val="21"/>
          <w:highlight w:val="white"/>
          <w:lang w:eastAsia="zh-CN"/>
        </w:rPr>
        <w:t>不列入基金财产，主要用于本基金的市场推广、销售等各项费用。C类基金份额不收取申购费</w:t>
      </w:r>
      <w:r>
        <w:rPr>
          <w:rFonts w:ascii="宋体" w:hAnsi="Calibri" w:cs="宋体"/>
          <w:color w:val="000000"/>
          <w:highlight w:val="white"/>
          <w:lang w:eastAsia="zh-CN"/>
        </w:rPr>
        <w:t>，在投资者持有期间</w:t>
      </w:r>
      <w:r>
        <w:rPr>
          <w:rFonts w:ascii="宋体" w:hAnsi="宋体" w:cs="宋体"/>
          <w:color w:val="000000"/>
          <w:highlight w:val="white"/>
          <w:lang w:eastAsia="zh-CN"/>
        </w:rPr>
        <w:t>计提销售服务费</w:t>
      </w:r>
      <w:r>
        <w:rPr>
          <w:rFonts w:ascii="宋体" w:hAnsi="宋体" w:cs="宋体" w:hint="eastAsia"/>
          <w:color w:val="000000"/>
          <w:highlight w:val="white"/>
          <w:lang w:eastAsia="zh-CN"/>
        </w:rPr>
        <w:t>并按规定收取或返还</w:t>
      </w:r>
      <w:r>
        <w:rPr>
          <w:rFonts w:ascii="宋体" w:hAnsi="Calibri" w:cs="宋体"/>
          <w:szCs w:val="21"/>
          <w:highlight w:val="white"/>
          <w:lang w:eastAsia="zh-CN"/>
        </w:rPr>
        <w:t>。</w:t>
      </w:r>
      <w:r>
        <w:rPr>
          <w:rFonts w:ascii="宋体" w:hAnsi="Calibri" w:cs="宋体"/>
          <w:szCs w:val="21"/>
          <w:highlight w:val="white"/>
        </w:rPr>
        <w:t>赎回费用由基金赎回人承担。</w:t>
      </w:r>
    </w:p>
    <w:p w:rsidR="005C6370" w:rsidP="00A24D29" w14:paraId="4404A0CD" w14:textId="77777777">
      <w:pPr>
        <w:spacing w:line="360" w:lineRule="auto"/>
        <w:ind w:firstLine="420"/>
        <w:contextualSpacing/>
        <w:rPr>
          <w:rFonts w:ascii="宋体" w:hAnsi="Calibri"/>
        </w:rPr>
      </w:pPr>
      <w:r>
        <w:rPr>
          <w:rFonts w:ascii="宋体" w:hAnsi="Calibri" w:hint="eastAsia"/>
          <w:szCs w:val="21"/>
          <w:highlight w:val="white"/>
        </w:rPr>
        <w:t>2、申购费率</w:t>
      </w:r>
    </w:p>
    <w:tbl>
      <w:tblPr>
        <w:tblW w:w="7574" w:type="dxa"/>
        <w:jc w:val="center"/>
        <w:tblLayout w:type="fixed"/>
        <w:tblLook w:val="04A0"/>
      </w:tblPr>
      <w:tblGrid>
        <w:gridCol w:w="3794"/>
        <w:gridCol w:w="3780"/>
      </w:tblGrid>
      <w:tr w14:paraId="2227670B" w14:textId="77777777">
        <w:tblPrEx>
          <w:tblW w:w="7574" w:type="dxa"/>
          <w:jc w:val="center"/>
          <w:tblLayout w:type="fixed"/>
          <w:tblLook w:val="04A0"/>
        </w:tblPrEx>
        <w:trPr>
          <w:trHeight w:val="525"/>
          <w:jc w:val="center"/>
        </w:trPr>
        <w:tc>
          <w:tcPr>
            <w:tcW w:w="3794" w:type="dxa"/>
            <w:tcBorders>
              <w:top w:val="single" w:sz="8" w:space="0" w:color="auto"/>
              <w:left w:val="single" w:sz="8" w:space="0" w:color="auto"/>
              <w:bottom w:val="single" w:sz="8" w:space="0" w:color="auto"/>
              <w:right w:val="single" w:sz="8" w:space="0" w:color="auto"/>
            </w:tcBorders>
            <w:shd w:val="clear" w:color="auto" w:fill="auto"/>
          </w:tcPr>
          <w:p w:rsidR="005C6370" w:rsidP="00A24D29" w14:paraId="0099A50E" w14:textId="77777777">
            <w:pPr>
              <w:widowControl/>
              <w:spacing w:line="360" w:lineRule="auto"/>
              <w:contextualSpacing/>
              <w:jc w:val="center"/>
              <w:rPr>
                <w:rFonts w:ascii="宋体" w:hAnsi="Calibri"/>
                <w:bCs/>
                <w:szCs w:val="21"/>
                <w:lang w:eastAsia="zh-CN"/>
              </w:rPr>
            </w:pPr>
            <w:r>
              <w:rPr>
                <w:rFonts w:ascii="宋体" w:hAnsi="Calibri"/>
                <w:bCs/>
                <w:szCs w:val="21"/>
                <w:highlight w:val="white"/>
                <w:lang w:eastAsia="zh-CN"/>
              </w:rPr>
              <w:t>申购</w:t>
            </w:r>
            <w:r>
              <w:rPr>
                <w:rFonts w:ascii="宋体" w:hAnsi="Calibri"/>
                <w:highlight w:val="white"/>
                <w:lang w:eastAsia="zh-CN"/>
              </w:rPr>
              <w:t>确认</w:t>
            </w:r>
            <w:r>
              <w:rPr>
                <w:rFonts w:ascii="宋体" w:hAnsi="Calibri"/>
                <w:bCs/>
                <w:szCs w:val="21"/>
                <w:highlight w:val="white"/>
                <w:lang w:eastAsia="zh-CN"/>
              </w:rPr>
              <w:t>金额M（元）（含申购费）</w:t>
            </w:r>
          </w:p>
        </w:tc>
        <w:tc>
          <w:tcPr>
            <w:tcW w:w="3780" w:type="dxa"/>
            <w:tcBorders>
              <w:top w:val="single" w:sz="8" w:space="0" w:color="auto"/>
              <w:left w:val="nil"/>
              <w:bottom w:val="single" w:sz="8" w:space="0" w:color="auto"/>
              <w:right w:val="single" w:sz="8" w:space="0" w:color="auto"/>
            </w:tcBorders>
            <w:shd w:val="clear" w:color="auto" w:fill="auto"/>
          </w:tcPr>
          <w:p w:rsidR="005C6370" w:rsidP="00A24D29" w14:paraId="215DAFA1" w14:textId="77777777">
            <w:pPr>
              <w:widowControl/>
              <w:spacing w:line="360" w:lineRule="auto"/>
              <w:contextualSpacing/>
              <w:jc w:val="center"/>
              <w:rPr>
                <w:rFonts w:ascii="宋体" w:hAnsi="Calibri"/>
                <w:bCs/>
                <w:szCs w:val="21"/>
                <w:lang w:eastAsia="zh-CN"/>
              </w:rPr>
            </w:pPr>
            <w:r>
              <w:rPr>
                <w:rStyle w:val="da"/>
                <w:rFonts w:ascii="宋体" w:hAnsi="Calibri" w:hint="eastAsia"/>
                <w:highlight w:val="white"/>
                <w:lang w:eastAsia="zh-CN"/>
              </w:rPr>
              <w:t>A类基金份额</w:t>
            </w:r>
            <w:r>
              <w:rPr>
                <w:rFonts w:ascii="宋体" w:hAnsi="Calibri"/>
                <w:bCs/>
                <w:szCs w:val="21"/>
                <w:highlight w:val="white"/>
                <w:lang w:eastAsia="zh-CN"/>
              </w:rPr>
              <w:t>申购费率</w:t>
            </w:r>
          </w:p>
        </w:tc>
      </w:tr>
      <w:tr w14:paraId="5D7D04CE" w14:textId="77777777">
        <w:tblPrEx>
          <w:tblW w:w="7574" w:type="dxa"/>
          <w:jc w:val="center"/>
          <w:tblLayout w:type="fixed"/>
          <w:tblLook w:val="04A0"/>
        </w:tblPrEx>
        <w:trPr>
          <w:trHeight w:val="360"/>
          <w:jc w:val="center"/>
        </w:trPr>
        <w:tc>
          <w:tcPr>
            <w:tcW w:w="3794" w:type="dxa"/>
            <w:tcBorders>
              <w:top w:val="nil"/>
              <w:left w:val="single" w:sz="8" w:space="0" w:color="auto"/>
              <w:bottom w:val="single" w:sz="8" w:space="0" w:color="auto"/>
              <w:right w:val="single" w:sz="8" w:space="0" w:color="auto"/>
            </w:tcBorders>
            <w:shd w:val="clear" w:color="auto" w:fill="auto"/>
          </w:tcPr>
          <w:p w:rsidR="005C6370" w:rsidP="00A24D29" w14:paraId="5CA8CEC6" w14:textId="77777777">
            <w:pPr>
              <w:widowControl/>
              <w:spacing w:line="360" w:lineRule="auto"/>
              <w:contextualSpacing/>
              <w:jc w:val="center"/>
              <w:rPr>
                <w:rFonts w:ascii="宋体" w:hAnsi="Calibri"/>
                <w:szCs w:val="21"/>
              </w:rPr>
            </w:pPr>
            <w:r>
              <w:rPr>
                <w:rFonts w:ascii="宋体" w:hAnsi="Calibri" w:cs="方正仿宋简体" w:hint="eastAsia"/>
                <w:bCs/>
                <w:iCs/>
              </w:rPr>
              <w:t>M&lt;500万</w:t>
            </w:r>
          </w:p>
        </w:tc>
        <w:tc>
          <w:tcPr>
            <w:tcW w:w="3780" w:type="dxa"/>
            <w:tcBorders>
              <w:top w:val="nil"/>
              <w:left w:val="nil"/>
              <w:bottom w:val="single" w:sz="8" w:space="0" w:color="auto"/>
              <w:right w:val="single" w:sz="8" w:space="0" w:color="auto"/>
            </w:tcBorders>
            <w:shd w:val="clear" w:color="auto" w:fill="auto"/>
          </w:tcPr>
          <w:p w:rsidR="005C6370" w:rsidP="00A24D29" w14:paraId="531165D9" w14:textId="77777777">
            <w:pPr>
              <w:widowControl/>
              <w:spacing w:line="360" w:lineRule="auto"/>
              <w:contextualSpacing/>
              <w:jc w:val="center"/>
              <w:rPr>
                <w:rFonts w:ascii="宋体" w:hAnsi="Calibri"/>
                <w:szCs w:val="21"/>
              </w:rPr>
            </w:pPr>
            <w:r>
              <w:rPr>
                <w:rFonts w:ascii="宋体" w:hAnsi="Calibri" w:cs="方正仿宋简体" w:hint="eastAsia"/>
                <w:bCs/>
                <w:iCs/>
              </w:rPr>
              <w:t>0.50%</w:t>
            </w:r>
          </w:p>
        </w:tc>
      </w:tr>
      <w:tr w14:paraId="7A677C8E" w14:textId="77777777">
        <w:tblPrEx>
          <w:tblW w:w="7574" w:type="dxa"/>
          <w:jc w:val="center"/>
          <w:tblLayout w:type="fixed"/>
          <w:tblLook w:val="04A0"/>
        </w:tblPrEx>
        <w:trPr>
          <w:trHeight w:val="360"/>
          <w:jc w:val="center"/>
        </w:trPr>
        <w:tc>
          <w:tcPr>
            <w:tcW w:w="3794" w:type="dxa"/>
            <w:tcBorders>
              <w:top w:val="nil"/>
              <w:left w:val="single" w:sz="8" w:space="0" w:color="auto"/>
              <w:bottom w:val="single" w:sz="8" w:space="0" w:color="auto"/>
              <w:right w:val="single" w:sz="8" w:space="0" w:color="auto"/>
            </w:tcBorders>
            <w:shd w:val="clear" w:color="auto" w:fill="auto"/>
          </w:tcPr>
          <w:p w:rsidR="005C6370" w:rsidP="00A24D29" w14:paraId="202E3DE9" w14:textId="77777777">
            <w:pPr>
              <w:widowControl/>
              <w:spacing w:line="360" w:lineRule="auto"/>
              <w:contextualSpacing/>
              <w:jc w:val="center"/>
              <w:rPr>
                <w:rFonts w:ascii="宋体" w:hAnsi="Calibri"/>
                <w:szCs w:val="21"/>
              </w:rPr>
            </w:pPr>
            <w:r>
              <w:rPr>
                <w:rFonts w:ascii="宋体" w:hAnsi="Calibri" w:cs="方正仿宋简体" w:hint="eastAsia"/>
                <w:bCs/>
                <w:iCs/>
              </w:rPr>
              <w:t>M≥500万</w:t>
            </w:r>
          </w:p>
        </w:tc>
        <w:tc>
          <w:tcPr>
            <w:tcW w:w="3780" w:type="dxa"/>
            <w:tcBorders>
              <w:top w:val="nil"/>
              <w:left w:val="nil"/>
              <w:bottom w:val="single" w:sz="8" w:space="0" w:color="auto"/>
              <w:right w:val="single" w:sz="8" w:space="0" w:color="auto"/>
            </w:tcBorders>
            <w:shd w:val="clear" w:color="auto" w:fill="auto"/>
          </w:tcPr>
          <w:p w:rsidR="005C6370" w:rsidP="00A24D29" w14:paraId="2909DCC7" w14:textId="77777777">
            <w:pPr>
              <w:widowControl/>
              <w:spacing w:line="360" w:lineRule="auto"/>
              <w:contextualSpacing/>
              <w:jc w:val="center"/>
              <w:rPr>
                <w:rFonts w:ascii="宋体" w:hAnsi="Calibri"/>
                <w:szCs w:val="21"/>
              </w:rPr>
            </w:pPr>
            <w:r>
              <w:rPr>
                <w:rFonts w:ascii="宋体" w:hAnsi="Calibri" w:cs="方正仿宋简体" w:hint="eastAsia"/>
                <w:bCs/>
                <w:iCs/>
              </w:rPr>
              <w:t>按笔收取， 1000.00元/笔</w:t>
            </w:r>
          </w:p>
        </w:tc>
      </w:tr>
    </w:tbl>
    <w:p w:rsidR="005C6370" w:rsidP="00A24D29" w14:paraId="6F22519D"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（1）投资者通过基金管理人或其基金销售子公司申购本基金A类基金份额，不收取申购费用。</w:t>
      </w:r>
    </w:p>
    <w:p w:rsidR="005C6370" w:rsidP="00A24D29" w14:paraId="12A1E1F5" w14:textId="77777777">
      <w:pPr>
        <w:spacing w:line="360" w:lineRule="auto"/>
        <w:ind w:firstLine="420"/>
        <w:contextualSpacing/>
        <w:rPr>
          <w:rFonts w:ascii="宋体" w:hAnsi="Calibri"/>
          <w:szCs w:val="21"/>
          <w:lang w:eastAsia="zh-CN"/>
        </w:rPr>
      </w:pPr>
      <w:r>
        <w:rPr>
          <w:rStyle w:val="da"/>
          <w:rFonts w:ascii="宋体" w:hAnsi="Calibri" w:hint="eastAsia"/>
          <w:highlight w:val="white"/>
          <w:lang w:eastAsia="zh-CN"/>
        </w:rPr>
        <w:t>（2）投资者通过其他销售机构申购本基金A类基金份额的申购费率见上表。</w:t>
      </w:r>
    </w:p>
    <w:p w:rsidR="005C6370" w:rsidP="00A24D29" w14:paraId="67663976"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在申购费按金额分档的情况下，如果投资者多次申购</w:t>
      </w:r>
      <w:r>
        <w:rPr>
          <w:rStyle w:val="da"/>
          <w:rFonts w:ascii="宋体" w:hAnsi="Calibri" w:hint="eastAsia"/>
          <w:highlight w:val="white"/>
          <w:lang w:eastAsia="zh-CN"/>
        </w:rPr>
        <w:t>A类基金份额</w:t>
      </w:r>
      <w:r>
        <w:rPr>
          <w:rFonts w:ascii="宋体" w:hAnsi="Calibri" w:hint="eastAsia"/>
          <w:szCs w:val="21"/>
          <w:highlight w:val="white"/>
          <w:lang w:eastAsia="zh-CN"/>
        </w:rPr>
        <w:t>，申购费适用单笔申购金额所对应的费率。</w:t>
      </w:r>
    </w:p>
    <w:p w:rsidR="005C6370" w:rsidP="00A24D29" w14:paraId="57B74C51"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本基金C类基金份额不收取申购费用</w:t>
      </w:r>
      <w:r>
        <w:rPr>
          <w:rFonts w:ascii="宋体" w:hAnsi="Calibri" w:cs="宋体"/>
          <w:color w:val="000000"/>
          <w:highlight w:val="white"/>
          <w:lang w:eastAsia="zh-CN"/>
        </w:rPr>
        <w:t>，在投资者持有期间</w:t>
      </w:r>
      <w:r>
        <w:rPr>
          <w:rFonts w:ascii="宋体" w:hAnsi="Calibri" w:cs="宋体" w:hint="eastAsia"/>
          <w:color w:val="000000"/>
          <w:highlight w:val="white"/>
          <w:lang w:eastAsia="zh-CN"/>
        </w:rPr>
        <w:t>计提销售服务费</w:t>
      </w:r>
      <w:r>
        <w:rPr>
          <w:rFonts w:ascii="宋体" w:hAnsi="宋体" w:cs="宋体" w:hint="eastAsia"/>
          <w:color w:val="000000"/>
          <w:highlight w:val="white"/>
          <w:lang w:eastAsia="zh-CN"/>
        </w:rPr>
        <w:t>并按规定收取或返还</w:t>
      </w:r>
      <w:r>
        <w:rPr>
          <w:rFonts w:ascii="宋体" w:hAnsi="Calibri"/>
          <w:szCs w:val="21"/>
          <w:highlight w:val="white"/>
          <w:lang w:eastAsia="zh-CN"/>
        </w:rPr>
        <w:t>。</w:t>
      </w:r>
    </w:p>
    <w:p w:rsidR="005C6370" w:rsidP="00A24D29" w14:paraId="2DF7A135"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本基金暂不开通基金管理人及其基金销售子公司销售本基金C类基金份额，若日后开通，将另行公告。</w:t>
      </w:r>
    </w:p>
    <w:p w:rsidR="005C6370" w:rsidP="00A24D29" w14:paraId="0FF049AB" w14:textId="77777777">
      <w:pPr>
        <w:spacing w:line="360" w:lineRule="auto"/>
        <w:ind w:firstLine="420"/>
        <w:contextualSpacing/>
        <w:rPr>
          <w:rFonts w:ascii="宋体" w:hAnsi="Calibri"/>
          <w:szCs w:val="21"/>
          <w:lang w:eastAsia="zh-CN"/>
        </w:rPr>
      </w:pPr>
      <w:bookmarkStart w:id="1806" w:name="_Toc332373507"/>
      <w:r>
        <w:rPr>
          <w:rFonts w:ascii="宋体" w:hAnsi="Calibri" w:hint="eastAsia"/>
          <w:szCs w:val="21"/>
          <w:highlight w:val="white"/>
          <w:lang w:eastAsia="zh-CN"/>
        </w:rPr>
        <w:t>3、赎回费率</w:t>
      </w:r>
    </w:p>
    <w:p w:rsidR="005C6370" w:rsidP="00A24D29" w14:paraId="1046EFAE" w14:textId="77777777">
      <w:pPr>
        <w:spacing w:line="360" w:lineRule="auto"/>
        <w:ind w:firstLine="420"/>
        <w:contextualSpacing/>
        <w:rPr>
          <w:rFonts w:ascii="宋体" w:hAnsi="Calibri"/>
          <w:lang w:eastAsia="zh-CN"/>
        </w:rPr>
      </w:pPr>
      <w:r>
        <w:rPr>
          <w:rFonts w:ascii="宋体" w:hAnsi="Calibri"/>
          <w:highlight w:val="white"/>
          <w:lang w:eastAsia="zh-CN"/>
        </w:rPr>
        <w:t>本基金对投资者认购或申购的每份基金份额设定</w:t>
      </w:r>
      <w:r>
        <w:rPr>
          <w:rFonts w:ascii="宋体" w:hAnsi="Calibri" w:hint="eastAsia"/>
          <w:lang w:eastAsia="zh-CN"/>
        </w:rPr>
        <w:t>3个月</w:t>
      </w:r>
      <w:r>
        <w:rPr>
          <w:rFonts w:ascii="宋体" w:hAnsi="Calibri" w:hint="eastAsia"/>
          <w:highlight w:val="white"/>
          <w:lang w:eastAsia="zh-CN"/>
        </w:rPr>
        <w:t>（</w:t>
      </w:r>
      <w:r>
        <w:rPr>
          <w:rFonts w:ascii="宋体" w:hAnsi="Calibri" w:hint="eastAsia"/>
          <w:lang w:eastAsia="zh-CN"/>
        </w:rPr>
        <w:t>一个月按30天计算</w:t>
      </w:r>
      <w:r>
        <w:rPr>
          <w:rFonts w:ascii="宋体" w:hAnsi="Calibri" w:hint="eastAsia"/>
          <w:highlight w:val="white"/>
          <w:lang w:eastAsia="zh-CN"/>
        </w:rPr>
        <w:t>）</w:t>
      </w:r>
      <w:r>
        <w:rPr>
          <w:rFonts w:ascii="宋体" w:hAnsi="Calibri"/>
          <w:highlight w:val="white"/>
          <w:lang w:eastAsia="zh-CN"/>
        </w:rPr>
        <w:t>最短持有期限，基金份额持有人在满足最短持有期限的情况下方可赎回。</w:t>
      </w:r>
    </w:p>
    <w:p w:rsidR="005C6370" w:rsidP="00A24D29" w14:paraId="0C658F6D" w14:textId="77777777">
      <w:pPr>
        <w:spacing w:line="360" w:lineRule="auto"/>
        <w:ind w:firstLine="420"/>
        <w:contextualSpacing/>
        <w:rPr>
          <w:rFonts w:ascii="宋体" w:hAnsi="Calibri"/>
          <w:lang w:eastAsia="zh-CN"/>
        </w:rPr>
      </w:pPr>
      <w:r>
        <w:rPr>
          <w:rFonts w:ascii="宋体" w:hAnsi="Calibri"/>
          <w:highlight w:val="white"/>
          <w:lang w:eastAsia="zh-CN"/>
        </w:rPr>
        <w:t>本基金赎回费率见下表：</w:t>
      </w:r>
    </w:p>
    <w:tbl>
      <w:tblPr>
        <w:tblStyle w:val="TableGrid"/>
        <w:tblW w:w="8608" w:type="dxa"/>
        <w:tblLayout w:type="fixed"/>
        <w:tblLook w:val="04A0"/>
      </w:tblPr>
      <w:tblGrid>
        <w:gridCol w:w="4304"/>
        <w:gridCol w:w="4304"/>
      </w:tblGrid>
      <w:tr w14:paraId="1C73D043" w14:textId="77777777">
        <w:tblPrEx>
          <w:tblW w:w="8608" w:type="dxa"/>
          <w:tblLayout w:type="fixed"/>
          <w:tblLook w:val="04A0"/>
        </w:tblPrEx>
        <w:trPr>
          <w:trHeight w:val="424"/>
        </w:trPr>
        <w:tc>
          <w:tcPr>
            <w:tcW w:w="430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5C6370" w:rsidP="00A24D29" w14:paraId="2F3BF854" w14:textId="77777777">
            <w:pPr>
              <w:spacing w:line="360" w:lineRule="auto"/>
              <w:contextualSpacing/>
              <w:jc w:val="center"/>
              <w:rPr>
                <w:rFonts w:ascii="宋体" w:hAnsi="宋体" w:cs="宋体" w:hint="eastAsia"/>
                <w:szCs w:val="21"/>
              </w:rPr>
            </w:pPr>
            <w:r>
              <w:rPr>
                <w:rFonts w:ascii="宋体" w:hAnsi="宋体" w:cs="宋体"/>
                <w:color w:val="000000"/>
                <w:highlight w:val="white"/>
              </w:rPr>
              <w:t>持有时间（天）</w:t>
            </w:r>
          </w:p>
        </w:tc>
        <w:tc>
          <w:tcPr>
            <w:tcW w:w="4304" w:type="dxa"/>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tcPr>
          <w:p w:rsidR="005C6370" w:rsidP="00A24D29" w14:paraId="2AB27D0B" w14:textId="77777777">
            <w:pPr>
              <w:spacing w:line="360" w:lineRule="auto"/>
              <w:contextualSpacing/>
              <w:jc w:val="center"/>
              <w:rPr>
                <w:rFonts w:ascii="宋体" w:hAnsi="宋体" w:cs="宋体" w:hint="eastAsia"/>
                <w:szCs w:val="21"/>
                <w:lang w:eastAsia="zh-CN"/>
              </w:rPr>
            </w:pPr>
            <w:r>
              <w:rPr>
                <w:rFonts w:ascii="宋体" w:hAnsi="宋体" w:cs="宋体"/>
                <w:color w:val="000000"/>
                <w:highlight w:val="white"/>
                <w:lang w:eastAsia="zh-CN"/>
              </w:rPr>
              <w:t>A 类/C 类基金份额赎回费率</w:t>
            </w:r>
          </w:p>
        </w:tc>
      </w:tr>
      <w:tr w14:paraId="28F33546" w14:textId="77777777">
        <w:tblPrEx>
          <w:tblW w:w="8608" w:type="dxa"/>
          <w:tblLayout w:type="fixed"/>
          <w:tblLook w:val="04A0"/>
        </w:tblPrEx>
        <w:trPr>
          <w:trHeight w:val="424"/>
        </w:trPr>
        <w:tc>
          <w:tcPr>
            <w:tcW w:w="4304"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C6370" w:rsidP="00A24D29" w14:paraId="220955D6" w14:textId="77777777">
            <w:pPr>
              <w:spacing w:line="360" w:lineRule="auto"/>
              <w:contextualSpacing/>
              <w:jc w:val="center"/>
              <w:rPr>
                <w:rFonts w:ascii="宋体" w:hAnsi="宋体" w:cs="宋体" w:hint="eastAsia"/>
                <w:szCs w:val="21"/>
              </w:rPr>
            </w:pPr>
            <w:r>
              <w:rPr>
                <w:rFonts w:ascii="宋体" w:hAnsi="宋体" w:cs="宋体"/>
                <w:color w:val="000000"/>
                <w:highlight w:val="white"/>
              </w:rPr>
              <w:t>90-179</w:t>
            </w:r>
          </w:p>
        </w:tc>
        <w:tc>
          <w:tcPr>
            <w:tcW w:w="4304" w:type="dxa"/>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tcPr>
          <w:p w:rsidR="005C6370" w:rsidP="00A24D29" w14:paraId="5B2EAEC2" w14:textId="77777777">
            <w:pPr>
              <w:spacing w:line="360" w:lineRule="auto"/>
              <w:contextualSpacing/>
              <w:jc w:val="center"/>
              <w:rPr>
                <w:rFonts w:ascii="宋体" w:hAnsi="宋体" w:cs="宋体" w:hint="eastAsia"/>
                <w:szCs w:val="21"/>
              </w:rPr>
            </w:pPr>
            <w:r>
              <w:rPr>
                <w:rFonts w:ascii="宋体" w:hAnsi="宋体" w:cs="宋体"/>
                <w:color w:val="000000"/>
                <w:highlight w:val="white"/>
              </w:rPr>
              <w:t>0.5%</w:t>
            </w:r>
          </w:p>
        </w:tc>
      </w:tr>
      <w:tr w14:paraId="6CEA727B" w14:textId="77777777">
        <w:tblPrEx>
          <w:tblW w:w="8608" w:type="dxa"/>
          <w:tblLayout w:type="fixed"/>
          <w:tblLook w:val="04A0"/>
        </w:tblPrEx>
        <w:trPr>
          <w:trHeight w:val="424"/>
        </w:trPr>
        <w:tc>
          <w:tcPr>
            <w:tcW w:w="4304"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C6370" w:rsidP="00A24D29" w14:paraId="154F8E62" w14:textId="77777777">
            <w:pPr>
              <w:spacing w:line="360" w:lineRule="auto"/>
              <w:contextualSpacing/>
              <w:jc w:val="center"/>
              <w:rPr>
                <w:rFonts w:ascii="宋体" w:hAnsi="宋体" w:cs="宋体" w:hint="eastAsia"/>
                <w:szCs w:val="21"/>
              </w:rPr>
            </w:pPr>
            <w:r>
              <w:rPr>
                <w:rFonts w:ascii="宋体" w:hAnsi="宋体" w:cs="宋体"/>
                <w:color w:val="000000"/>
                <w:highlight w:val="white"/>
              </w:rPr>
              <w:t>180及以上</w:t>
            </w:r>
          </w:p>
        </w:tc>
        <w:tc>
          <w:tcPr>
            <w:tcW w:w="4304" w:type="dxa"/>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tcPr>
          <w:p w:rsidR="005C6370" w:rsidP="00A24D29" w14:paraId="2815F1D0" w14:textId="77777777">
            <w:pPr>
              <w:spacing w:line="360" w:lineRule="auto"/>
              <w:contextualSpacing/>
              <w:jc w:val="center"/>
              <w:rPr>
                <w:rFonts w:ascii="宋体" w:hAnsi="宋体" w:cs="宋体" w:hint="eastAsia"/>
                <w:szCs w:val="21"/>
              </w:rPr>
            </w:pPr>
            <w:r>
              <w:rPr>
                <w:rFonts w:ascii="宋体" w:hAnsi="宋体" w:cs="宋体"/>
                <w:color w:val="000000"/>
                <w:highlight w:val="white"/>
              </w:rPr>
              <w:t>0%</w:t>
            </w:r>
          </w:p>
        </w:tc>
      </w:tr>
    </w:tbl>
    <w:p w:rsidR="005C6370" w:rsidP="00A24D29" w14:paraId="7936C22E" w14:textId="77777777">
      <w:pPr>
        <w:spacing w:line="360" w:lineRule="auto"/>
        <w:ind w:firstLine="420"/>
        <w:contextualSpacing/>
        <w:rPr>
          <w:rFonts w:ascii="宋体" w:hAnsi="Calibri"/>
          <w:lang w:eastAsia="zh-CN"/>
        </w:rPr>
      </w:pPr>
      <w:r>
        <w:rPr>
          <w:rFonts w:ascii="宋体" w:hAnsi="Calibri"/>
          <w:highlight w:val="white"/>
          <w:lang w:eastAsia="zh-CN"/>
        </w:rPr>
        <w:t>投资者可将其持有的全部或部分A类/C类基金份额赎回。赎回费用由赎回基金份额的基金份额持有人承担，在基金份额持有人赎回基金份额时收取，赎回费用全额计入基金财产。</w:t>
      </w:r>
    </w:p>
    <w:p w:rsidR="005C6370" w:rsidP="00A24D29" w14:paraId="44C45553" w14:textId="77777777">
      <w:pPr>
        <w:spacing w:line="360" w:lineRule="auto"/>
        <w:ind w:firstLine="420"/>
        <w:contextualSpacing/>
        <w:rPr>
          <w:rFonts w:ascii="宋体" w:hAnsi="Calibri"/>
          <w:lang w:eastAsia="zh-CN"/>
        </w:rPr>
      </w:pPr>
      <w:r>
        <w:rPr>
          <w:rFonts w:ascii="宋体" w:hAnsi="Calibri" w:hint="eastAsia"/>
          <w:highlight w:val="white"/>
          <w:lang w:eastAsia="zh-CN"/>
        </w:rPr>
        <w:t>对于每份认购份额，持有期自基金合同生效日至该基金份额赎回确认日（不含该日）；对于每份申购份额，持有期自该基金份额申购确认日至赎回确认日（不含该日）。</w:t>
      </w:r>
    </w:p>
    <w:p w:rsidR="005C6370" w:rsidP="00A24D29" w14:paraId="3B0A194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4、基金管理人可以在基金合同规定的范围内调整申购费率</w:t>
      </w:r>
      <w:r>
        <w:rPr>
          <w:rFonts w:ascii="宋体" w:hAnsi="Calibri" w:hint="eastAsia"/>
          <w:szCs w:val="21"/>
          <w:highlight w:val="white"/>
          <w:lang w:eastAsia="zh-CN"/>
        </w:rPr>
        <w:t>或变更收费方式，调整后的申购费率</w:t>
      </w:r>
      <w:r>
        <w:rPr>
          <w:rFonts w:ascii="宋体" w:hAnsi="Calibri" w:hint="eastAsia"/>
          <w:szCs w:val="21"/>
          <w:highlight w:val="white"/>
          <w:lang w:eastAsia="zh-CN"/>
        </w:rPr>
        <w:t>或变更的收费方式在更新的《招募说明书》中列示。上述费率或收费方式如发生变更，基金管理人最迟应于新的费率或收费方式实施前依照《信息披露办法》的有关规定在</w:t>
      </w:r>
      <w:r>
        <w:rPr>
          <w:rFonts w:ascii="宋体" w:hAnsi="Calibri"/>
          <w:szCs w:val="21"/>
          <w:highlight w:val="white"/>
          <w:lang w:eastAsia="zh-CN"/>
        </w:rPr>
        <w:t>规</w:t>
      </w:r>
      <w:r>
        <w:rPr>
          <w:rFonts w:ascii="宋体" w:hAnsi="Calibri" w:hint="eastAsia"/>
          <w:szCs w:val="21"/>
          <w:highlight w:val="white"/>
          <w:lang w:eastAsia="zh-CN"/>
        </w:rPr>
        <w:t>定媒介上公告。</w:t>
      </w:r>
    </w:p>
    <w:p w:rsidR="005C6370" w:rsidP="00A24D29" w14:paraId="0D79C278"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基金管理人可以在不违反法律法规规定及基金合同约定的情况下根据市场情况制定基金促销计划，针对基金投资者定期和不定期地开展基金促销活动。</w:t>
      </w:r>
      <w:r>
        <w:rPr>
          <w:rFonts w:ascii="宋体" w:hAnsi="Calibri" w:hint="eastAsia"/>
          <w:szCs w:val="21"/>
          <w:highlight w:val="white"/>
          <w:lang w:eastAsia="zh-CN"/>
        </w:rPr>
        <w:t>在基金促销活动期间，基金管理人可以适当调低基金销售费率，或开展有差别的费率优惠活动</w:t>
      </w:r>
      <w:r>
        <w:rPr>
          <w:rFonts w:ascii="宋体" w:hAnsi="Calibri" w:hint="eastAsia"/>
          <w:bCs/>
          <w:szCs w:val="21"/>
          <w:highlight w:val="white"/>
          <w:lang w:eastAsia="zh-CN"/>
        </w:rPr>
        <w:t>。</w:t>
      </w:r>
    </w:p>
    <w:p w:rsidR="005C6370" w:rsidP="00A24D29" w14:paraId="1326361C"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八、申购和赎回的数额和价格</w:t>
      </w:r>
      <w:bookmarkEnd w:id="1806"/>
    </w:p>
    <w:p w:rsidR="005C6370" w:rsidP="00A24D29" w14:paraId="3BF692B5"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 xml:space="preserve">1、申购和赎回数额、余额的处理方式 </w:t>
      </w:r>
    </w:p>
    <w:p w:rsidR="005C6370" w:rsidP="00A24D29" w14:paraId="7D670EFB"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（1）申购的有效份额为按实际确认的申购金额在扣除相应的费用后，以申购当日该类基金份额</w:t>
      </w:r>
      <w:r>
        <w:rPr>
          <w:rFonts w:ascii="宋体" w:hAnsi="Calibri" w:hint="eastAsia"/>
          <w:szCs w:val="21"/>
          <w:highlight w:val="white"/>
          <w:lang w:eastAsia="zh-CN"/>
        </w:rPr>
        <w:t>的基金份额</w:t>
      </w:r>
      <w:r>
        <w:rPr>
          <w:rFonts w:ascii="宋体" w:hAnsi="Calibri"/>
          <w:szCs w:val="21"/>
          <w:highlight w:val="white"/>
          <w:lang w:eastAsia="zh-CN"/>
        </w:rPr>
        <w:t>净值为基准计算。申购涉及金额、份额的计算结果保留到小数点后两位，小数点后两位以后的部分四舍五入，由此产生的误差计入基金财产。</w:t>
      </w:r>
    </w:p>
    <w:p w:rsidR="005C6370" w:rsidP="00A24D29" w14:paraId="75B69C3B"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（2）赎回金额的处理方式：赎回金额为按实际确认的有效赎回份额乘以申请当日该类基金份额</w:t>
      </w:r>
      <w:r>
        <w:rPr>
          <w:rFonts w:ascii="宋体" w:hAnsi="Calibri" w:hint="eastAsia"/>
          <w:szCs w:val="21"/>
          <w:highlight w:val="white"/>
          <w:lang w:eastAsia="zh-CN"/>
        </w:rPr>
        <w:t>的基金份额</w:t>
      </w:r>
      <w:r>
        <w:rPr>
          <w:rFonts w:ascii="宋体" w:hAnsi="Calibri"/>
          <w:szCs w:val="21"/>
          <w:highlight w:val="white"/>
          <w:lang w:eastAsia="zh-CN"/>
        </w:rPr>
        <w:t>净值为基准并扣除相应的费用</w:t>
      </w:r>
      <w:r>
        <w:rPr>
          <w:rFonts w:ascii="宋体" w:hAnsi="宋体" w:cs="宋体"/>
          <w:color w:val="000000"/>
          <w:highlight w:val="white"/>
          <w:lang w:eastAsia="zh-CN"/>
        </w:rPr>
        <w:t>，再加上</w:t>
      </w:r>
      <w:r>
        <w:rPr>
          <w:rFonts w:ascii="宋体" w:hAnsi="宋体" w:cs="宋体" w:hint="eastAsia"/>
          <w:color w:val="000000"/>
          <w:highlight w:val="white"/>
          <w:lang w:eastAsia="zh-CN"/>
        </w:rPr>
        <w:t>返还的销售服务费（如有）</w:t>
      </w:r>
      <w:r>
        <w:rPr>
          <w:rFonts w:ascii="宋体" w:hAnsi="Calibri"/>
          <w:szCs w:val="21"/>
          <w:highlight w:val="white"/>
          <w:lang w:eastAsia="zh-CN"/>
        </w:rPr>
        <w:t xml:space="preserve">，赎回费用、赎回金额的单位为人民币元，计算结果保留到小数点后两位，小数点后两位以后的部分四舍五入，由此产生的误差计入基金财产。 </w:t>
      </w:r>
    </w:p>
    <w:p w:rsidR="005C6370" w:rsidP="00A24D29" w14:paraId="799476BF" w14:textId="77777777">
      <w:pPr>
        <w:spacing w:line="360" w:lineRule="auto"/>
        <w:ind w:firstLine="420"/>
        <w:contextualSpacing/>
        <w:rPr>
          <w:rFonts w:ascii="宋体" w:hAnsi="Calibri"/>
          <w:szCs w:val="21"/>
          <w:lang w:eastAsia="zh-CN"/>
        </w:rPr>
      </w:pPr>
      <w:bookmarkStart w:id="1807" w:name="_Toc332373508"/>
      <w:r>
        <w:rPr>
          <w:rFonts w:ascii="宋体" w:hAnsi="Calibri"/>
          <w:szCs w:val="21"/>
          <w:highlight w:val="white"/>
          <w:lang w:eastAsia="zh-CN"/>
        </w:rPr>
        <w:t>2、申购份额的计算</w:t>
      </w:r>
      <w:bookmarkEnd w:id="1807"/>
      <w:r>
        <w:rPr>
          <w:rFonts w:ascii="宋体" w:hAnsi="Calibri"/>
          <w:szCs w:val="21"/>
          <w:highlight w:val="white"/>
          <w:lang w:eastAsia="zh-CN"/>
        </w:rPr>
        <w:t xml:space="preserve"> </w:t>
      </w:r>
    </w:p>
    <w:p w:rsidR="005C6370" w:rsidP="00A24D29" w14:paraId="4F9C6C34" w14:textId="77777777">
      <w:pPr>
        <w:spacing w:line="360" w:lineRule="auto"/>
        <w:ind w:firstLine="420" w:firstLineChars="200"/>
        <w:contextualSpacing/>
        <w:rPr>
          <w:rFonts w:ascii="宋体" w:hAnsi="Calibri"/>
          <w:szCs w:val="21"/>
          <w:lang w:eastAsia="zh-CN"/>
        </w:rPr>
      </w:pPr>
      <w:r>
        <w:rPr>
          <w:rFonts w:ascii="宋体" w:hAnsi="Calibri"/>
          <w:szCs w:val="21"/>
          <w:highlight w:val="white"/>
          <w:lang w:eastAsia="zh-CN"/>
        </w:rPr>
        <w:t>（1）若投资人</w:t>
      </w:r>
      <w:r>
        <w:rPr>
          <w:rFonts w:ascii="宋体" w:hAnsi="宋体" w:cs="宋体" w:hint="eastAsia"/>
          <w:szCs w:val="21"/>
          <w:highlight w:val="white"/>
          <w:lang w:eastAsia="zh-CN"/>
        </w:rPr>
        <w:t>通过除</w:t>
      </w:r>
      <w:r>
        <w:rPr>
          <w:rFonts w:hint="eastAsia"/>
          <w:highlight w:val="white"/>
          <w:lang w:eastAsia="zh-CN"/>
        </w:rPr>
        <w:t>基金</w:t>
      </w:r>
      <w:r>
        <w:rPr>
          <w:highlight w:val="white"/>
          <w:lang w:eastAsia="zh-CN"/>
        </w:rPr>
        <w:t>管理人及其基金销售子公司以外的销售机构</w:t>
      </w:r>
      <w:r>
        <w:rPr>
          <w:rFonts w:ascii="宋体" w:hAnsi="宋体" w:cs="宋体"/>
          <w:szCs w:val="21"/>
          <w:highlight w:val="white"/>
          <w:lang w:eastAsia="zh-CN"/>
        </w:rPr>
        <w:t>申购</w:t>
      </w:r>
      <w:r>
        <w:rPr>
          <w:rFonts w:ascii="宋体" w:hAnsi="Calibri"/>
          <w:szCs w:val="21"/>
          <w:highlight w:val="white"/>
          <w:lang w:eastAsia="zh-CN"/>
        </w:rPr>
        <w:t>A类基金份额，则申购份额的计算公式如下：</w:t>
      </w:r>
    </w:p>
    <w:p w:rsidR="005C6370" w:rsidP="00A24D29" w14:paraId="3EEFF99B" w14:textId="77777777">
      <w:pPr>
        <w:spacing w:line="360" w:lineRule="auto"/>
        <w:ind w:firstLine="420" w:firstLineChars="200"/>
        <w:contextualSpacing/>
        <w:rPr>
          <w:rFonts w:ascii="宋体" w:hAnsi="Calibri"/>
          <w:szCs w:val="21"/>
          <w:lang w:eastAsia="zh-CN"/>
        </w:rPr>
      </w:pPr>
      <w:r>
        <w:rPr>
          <w:rFonts w:ascii="宋体" w:hAnsi="Calibri"/>
          <w:szCs w:val="21"/>
          <w:highlight w:val="white"/>
          <w:lang w:eastAsia="zh-CN"/>
        </w:rPr>
        <w:t xml:space="preserve">净申购金额=申购金额/（1+申购费率） </w:t>
      </w:r>
    </w:p>
    <w:p w:rsidR="005C6370" w:rsidP="00A24D29" w14:paraId="17478CAC" w14:textId="77777777">
      <w:pPr>
        <w:spacing w:line="360" w:lineRule="auto"/>
        <w:ind w:firstLine="420" w:firstLineChars="200"/>
        <w:contextualSpacing/>
        <w:rPr>
          <w:rFonts w:ascii="宋体" w:hAnsi="Calibri"/>
          <w:szCs w:val="21"/>
          <w:lang w:eastAsia="zh-CN"/>
        </w:rPr>
      </w:pPr>
      <w:r>
        <w:rPr>
          <w:rFonts w:ascii="宋体" w:hAnsi="Calibri"/>
          <w:szCs w:val="21"/>
          <w:highlight w:val="white"/>
          <w:lang w:eastAsia="zh-CN"/>
        </w:rPr>
        <w:t>（注：对于500万（含）以上适用固定金额申购费的申购，净申购金额＝申购金额－固定申购费金额）</w:t>
      </w:r>
    </w:p>
    <w:p w:rsidR="005C6370" w:rsidP="00A24D29" w14:paraId="2EEC6266" w14:textId="77777777">
      <w:pPr>
        <w:spacing w:line="360" w:lineRule="auto"/>
        <w:ind w:firstLine="420" w:firstLineChars="200"/>
        <w:contextualSpacing/>
        <w:rPr>
          <w:rFonts w:ascii="宋体" w:hAnsi="Calibri"/>
          <w:szCs w:val="21"/>
          <w:lang w:eastAsia="zh-CN"/>
        </w:rPr>
      </w:pPr>
      <w:r>
        <w:rPr>
          <w:rFonts w:ascii="宋体" w:hAnsi="Calibri"/>
          <w:szCs w:val="21"/>
          <w:highlight w:val="white"/>
          <w:lang w:eastAsia="zh-CN"/>
        </w:rPr>
        <w:t xml:space="preserve">申购费用=申购金额-净申购金额 </w:t>
      </w:r>
    </w:p>
    <w:p w:rsidR="005C6370" w:rsidP="00A24D29" w14:paraId="3D87BA92" w14:textId="77777777">
      <w:pPr>
        <w:spacing w:line="360" w:lineRule="auto"/>
        <w:ind w:firstLine="420" w:firstLineChars="200"/>
        <w:contextualSpacing/>
        <w:rPr>
          <w:rFonts w:ascii="宋体" w:hAnsi="Calibri"/>
          <w:szCs w:val="21"/>
          <w:lang w:eastAsia="zh-CN"/>
        </w:rPr>
      </w:pPr>
      <w:r>
        <w:rPr>
          <w:rFonts w:ascii="宋体" w:hAnsi="Calibri"/>
          <w:szCs w:val="21"/>
          <w:highlight w:val="white"/>
          <w:lang w:eastAsia="zh-CN"/>
        </w:rPr>
        <w:t>申购份额=净申购金额/T日A类基金份额的基金份额净值</w:t>
      </w:r>
    </w:p>
    <w:p w:rsidR="005C6370" w:rsidP="00A24D29" w14:paraId="1B0D52E0"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 xml:space="preserve">例一：某投资人通过除基金管理人及其基金销售子公司以外的销售机构申购100,000元本基金A类基金份额，申购费率为0.50%，假设申购当日A类基金份额的基金份额净值为1.0400元，则其可得到的申购份额为： </w:t>
      </w:r>
      <w:r>
        <w:rPr>
          <w:rFonts w:ascii="宋体" w:hAnsi="Calibri"/>
          <w:szCs w:val="21"/>
          <w:highlight w:val="white"/>
          <w:lang w:eastAsia="zh-CN"/>
        </w:rPr>
        <w:t xml:space="preserve"> </w:t>
      </w:r>
    </w:p>
    <w:p w:rsidR="005C6370" w:rsidP="00A24D29" w14:paraId="69311B10"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净申购金额</w:t>
      </w:r>
      <w:r>
        <w:rPr>
          <w:rFonts w:ascii="宋体" w:hAnsi="Calibri"/>
          <w:szCs w:val="21"/>
          <w:highlight w:val="white"/>
          <w:lang w:eastAsia="zh-CN"/>
        </w:rPr>
        <w:t>=100,000/</w:t>
      </w:r>
      <w:r>
        <w:rPr>
          <w:rFonts w:ascii="宋体" w:hAnsi="Calibri" w:hint="eastAsia"/>
          <w:szCs w:val="21"/>
          <w:highlight w:val="white"/>
          <w:lang w:eastAsia="zh-CN"/>
        </w:rPr>
        <w:t>（</w:t>
      </w:r>
      <w:r>
        <w:rPr>
          <w:rFonts w:ascii="宋体" w:hAnsi="Calibri"/>
          <w:szCs w:val="21"/>
          <w:highlight w:val="white"/>
          <w:lang w:eastAsia="zh-CN"/>
        </w:rPr>
        <w:t>1+0.50%</w:t>
      </w:r>
      <w:r>
        <w:rPr>
          <w:rFonts w:ascii="宋体" w:hAnsi="Calibri" w:hint="eastAsia"/>
          <w:szCs w:val="21"/>
          <w:highlight w:val="white"/>
          <w:lang w:eastAsia="zh-CN"/>
        </w:rPr>
        <w:t>）</w:t>
      </w:r>
      <w:r>
        <w:rPr>
          <w:rFonts w:ascii="宋体" w:hAnsi="Calibri"/>
          <w:szCs w:val="21"/>
          <w:highlight w:val="white"/>
          <w:lang w:eastAsia="zh-CN"/>
        </w:rPr>
        <w:t>=99,502.49</w:t>
      </w:r>
      <w:r>
        <w:rPr>
          <w:rFonts w:ascii="宋体" w:hAnsi="Calibri" w:hint="eastAsia"/>
          <w:szCs w:val="21"/>
          <w:highlight w:val="white"/>
          <w:lang w:eastAsia="zh-CN"/>
        </w:rPr>
        <w:t>元</w:t>
      </w:r>
      <w:r>
        <w:rPr>
          <w:rFonts w:ascii="宋体" w:hAnsi="Calibri"/>
          <w:szCs w:val="21"/>
          <w:highlight w:val="white"/>
          <w:lang w:eastAsia="zh-CN"/>
        </w:rPr>
        <w:t xml:space="preserve"> </w:t>
      </w:r>
    </w:p>
    <w:p w:rsidR="005C6370" w:rsidP="00A24D29" w14:paraId="1BE81DCA"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申购费用</w:t>
      </w:r>
      <w:r>
        <w:rPr>
          <w:rFonts w:ascii="宋体" w:hAnsi="Calibri"/>
          <w:szCs w:val="21"/>
          <w:highlight w:val="white"/>
          <w:lang w:eastAsia="zh-CN"/>
        </w:rPr>
        <w:t>=100,000-99,502.49=497.51</w:t>
      </w:r>
      <w:r>
        <w:rPr>
          <w:rFonts w:ascii="宋体" w:hAnsi="Calibri" w:hint="eastAsia"/>
          <w:szCs w:val="21"/>
          <w:highlight w:val="white"/>
          <w:lang w:eastAsia="zh-CN"/>
        </w:rPr>
        <w:t>元</w:t>
      </w:r>
      <w:r>
        <w:rPr>
          <w:rFonts w:ascii="宋体" w:hAnsi="Calibri"/>
          <w:szCs w:val="21"/>
          <w:highlight w:val="white"/>
          <w:lang w:eastAsia="zh-CN"/>
        </w:rPr>
        <w:t xml:space="preserve"> </w:t>
      </w:r>
    </w:p>
    <w:p w:rsidR="005C6370" w:rsidP="00A24D29" w14:paraId="32CB9438"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申购份额</w:t>
      </w:r>
      <w:r>
        <w:rPr>
          <w:rFonts w:ascii="宋体" w:hAnsi="Calibri"/>
          <w:szCs w:val="21"/>
          <w:highlight w:val="white"/>
          <w:lang w:eastAsia="zh-CN"/>
        </w:rPr>
        <w:t>=99,502.49/1.0400=95,675.47</w:t>
      </w:r>
      <w:r>
        <w:rPr>
          <w:rFonts w:ascii="宋体" w:hAnsi="Calibri" w:hint="eastAsia"/>
          <w:szCs w:val="21"/>
          <w:highlight w:val="white"/>
          <w:lang w:eastAsia="zh-CN"/>
        </w:rPr>
        <w:t>份</w:t>
      </w:r>
    </w:p>
    <w:p w:rsidR="005C6370" w:rsidP="00A24D29" w14:paraId="4701E6E9" w14:textId="77777777">
      <w:pPr>
        <w:spacing w:line="360" w:lineRule="auto"/>
        <w:ind w:firstLine="420" w:firstLineChars="200"/>
        <w:contextualSpacing/>
        <w:rPr>
          <w:lang w:eastAsia="zh-CN"/>
        </w:rPr>
      </w:pPr>
      <w:r>
        <w:rPr>
          <w:rFonts w:ascii="宋体" w:hAnsi="Calibri"/>
          <w:szCs w:val="21"/>
          <w:highlight w:val="white"/>
          <w:lang w:eastAsia="zh-CN"/>
        </w:rPr>
        <w:t>（2）若投资人申购本基金C类基金份额，或者通过基金管理人或其基金销售子公司申购本基金A类基金份额，则申购份额的计算公式如下：</w:t>
      </w:r>
    </w:p>
    <w:p w:rsidR="005C6370" w:rsidP="00A24D29" w14:paraId="2F0445D2" w14:textId="77777777">
      <w:pPr>
        <w:spacing w:line="360" w:lineRule="auto"/>
        <w:ind w:firstLine="420" w:firstLineChars="200"/>
        <w:contextualSpacing/>
        <w:rPr>
          <w:lang w:eastAsia="zh-CN"/>
        </w:rPr>
      </w:pPr>
      <w:r>
        <w:rPr>
          <w:rFonts w:ascii="宋体" w:hAnsi="Calibri"/>
          <w:szCs w:val="21"/>
          <w:highlight w:val="white"/>
          <w:lang w:eastAsia="zh-CN"/>
        </w:rPr>
        <w:t xml:space="preserve">申购份额=申购金额/T日对应份额类别的基金份额净值 </w:t>
      </w:r>
    </w:p>
    <w:p w:rsidR="005C6370" w:rsidP="00A24D29" w14:paraId="51F76693" w14:textId="77777777">
      <w:pPr>
        <w:spacing w:line="360" w:lineRule="auto"/>
        <w:ind w:firstLine="420" w:firstLineChars="200"/>
        <w:contextualSpacing/>
        <w:rPr>
          <w:lang w:eastAsia="zh-CN"/>
        </w:rPr>
      </w:pPr>
      <w:r>
        <w:rPr>
          <w:rFonts w:ascii="宋体" w:hAnsi="Calibri"/>
          <w:szCs w:val="21"/>
          <w:highlight w:val="white"/>
          <w:lang w:eastAsia="zh-CN"/>
        </w:rPr>
        <w:t xml:space="preserve">例二：某投资人申购100,000元本基金C类基金份额，假设申购当日C类基金份额的基金份额净值为1.0400元，则其可得到的申购份额为：  </w:t>
      </w:r>
    </w:p>
    <w:p w:rsidR="005C6370" w:rsidP="00A24D29" w14:paraId="1B26F4B7" w14:textId="77777777">
      <w:pPr>
        <w:spacing w:line="360" w:lineRule="auto"/>
        <w:ind w:firstLine="420" w:firstLineChars="200"/>
        <w:contextualSpacing/>
        <w:rPr>
          <w:rFonts w:ascii="宋体" w:hAnsi="Calibri"/>
          <w:szCs w:val="21"/>
          <w:lang w:eastAsia="zh-CN"/>
        </w:rPr>
      </w:pPr>
      <w:r>
        <w:rPr>
          <w:rFonts w:ascii="宋体" w:hAnsi="Calibri"/>
          <w:szCs w:val="21"/>
          <w:highlight w:val="white"/>
          <w:lang w:eastAsia="zh-CN"/>
        </w:rPr>
        <w:t>申购份额=100,000/1.0400=96,153.85份</w:t>
      </w:r>
    </w:p>
    <w:p w:rsidR="005C6370" w:rsidP="00A24D29" w14:paraId="4086C5C1" w14:textId="77777777">
      <w:pPr>
        <w:spacing w:line="360" w:lineRule="auto"/>
        <w:ind w:firstLine="420" w:firstLineChars="200"/>
        <w:contextualSpacing/>
        <w:rPr>
          <w:rFonts w:ascii="宋体" w:hAnsi="Calibri"/>
          <w:szCs w:val="21"/>
          <w:lang w:eastAsia="zh-CN"/>
        </w:rPr>
      </w:pPr>
      <w:r>
        <w:rPr>
          <w:rFonts w:ascii="宋体" w:hAnsi="Calibri"/>
          <w:szCs w:val="21"/>
          <w:highlight w:val="white"/>
          <w:lang w:eastAsia="zh-CN"/>
        </w:rPr>
        <w:t xml:space="preserve">3、赎回金额的计算 </w:t>
      </w:r>
    </w:p>
    <w:p w:rsidR="005C6370" w:rsidP="00A24D29" w14:paraId="0D5D5C93" w14:textId="77777777">
      <w:pPr>
        <w:spacing w:line="360" w:lineRule="auto"/>
        <w:ind w:firstLine="420" w:firstLineChars="200"/>
        <w:contextualSpacing/>
        <w:rPr>
          <w:rFonts w:ascii="宋体" w:hAnsi="Calibri"/>
          <w:szCs w:val="21"/>
          <w:lang w:eastAsia="zh-CN"/>
        </w:rPr>
      </w:pPr>
      <w:r>
        <w:rPr>
          <w:rFonts w:ascii="宋体" w:hAnsi="Calibri"/>
          <w:szCs w:val="21"/>
          <w:highlight w:val="white"/>
          <w:lang w:eastAsia="zh-CN"/>
        </w:rPr>
        <w:t xml:space="preserve">赎回金额的计算方法如下： </w:t>
      </w:r>
    </w:p>
    <w:p w:rsidR="005C6370" w:rsidP="00A24D29" w14:paraId="51B5369D" w14:textId="77777777">
      <w:pPr>
        <w:spacing w:line="360" w:lineRule="auto"/>
        <w:ind w:firstLine="420" w:firstLineChars="200"/>
        <w:contextualSpacing/>
        <w:rPr>
          <w:rFonts w:ascii="宋体" w:hAnsi="Calibri"/>
          <w:szCs w:val="21"/>
          <w:lang w:eastAsia="zh-CN"/>
        </w:rPr>
      </w:pPr>
      <w:r>
        <w:rPr>
          <w:rFonts w:ascii="宋体" w:hAnsi="Calibri"/>
          <w:szCs w:val="21"/>
          <w:highlight w:val="white"/>
          <w:lang w:eastAsia="zh-CN"/>
        </w:rPr>
        <w:t>赎回费用=赎回份额</w:t>
      </w:r>
      <w:r>
        <w:rPr>
          <w:rFonts w:ascii="宋体" w:hAnsi="Calibri"/>
          <w:szCs w:val="21"/>
          <w:highlight w:val="white"/>
          <w:lang w:eastAsia="zh-CN"/>
        </w:rPr>
        <w:t>×</w:t>
      </w:r>
      <w:r>
        <w:rPr>
          <w:rFonts w:ascii="宋体" w:hAnsi="Calibri"/>
          <w:szCs w:val="21"/>
          <w:highlight w:val="white"/>
          <w:lang w:eastAsia="zh-CN"/>
        </w:rPr>
        <w:t>T日</w:t>
      </w:r>
      <w:r>
        <w:rPr>
          <w:rFonts w:ascii="宋体" w:hAnsi="Calibri" w:hint="eastAsia"/>
          <w:szCs w:val="21"/>
          <w:highlight w:val="white"/>
          <w:lang w:eastAsia="zh-CN"/>
        </w:rPr>
        <w:t>该类基金份额的</w:t>
      </w:r>
      <w:r>
        <w:rPr>
          <w:rFonts w:ascii="宋体" w:hAnsi="Calibri"/>
          <w:szCs w:val="21"/>
          <w:highlight w:val="white"/>
          <w:lang w:eastAsia="zh-CN"/>
        </w:rPr>
        <w:t>基金份额净值</w:t>
      </w:r>
      <w:r>
        <w:rPr>
          <w:rFonts w:ascii="宋体" w:hAnsi="Calibri"/>
          <w:szCs w:val="21"/>
          <w:highlight w:val="white"/>
          <w:lang w:eastAsia="zh-CN"/>
        </w:rPr>
        <w:t>×</w:t>
      </w:r>
      <w:r>
        <w:rPr>
          <w:rFonts w:ascii="宋体" w:hAnsi="Calibri" w:hint="eastAsia"/>
          <w:szCs w:val="21"/>
          <w:highlight w:val="white"/>
          <w:lang w:eastAsia="zh-CN"/>
        </w:rPr>
        <w:t>该类基金份额的</w:t>
      </w:r>
      <w:r>
        <w:rPr>
          <w:rFonts w:ascii="宋体" w:hAnsi="Calibri"/>
          <w:szCs w:val="21"/>
          <w:highlight w:val="white"/>
          <w:lang w:eastAsia="zh-CN"/>
        </w:rPr>
        <w:t xml:space="preserve">赎回费率 </w:t>
      </w:r>
    </w:p>
    <w:p w:rsidR="005C6370" w:rsidP="00A24D29" w14:paraId="2FFCFC41" w14:textId="77777777">
      <w:pPr>
        <w:spacing w:line="360" w:lineRule="auto"/>
        <w:ind w:firstLine="420" w:firstLineChars="200"/>
        <w:contextualSpacing/>
        <w:rPr>
          <w:rFonts w:ascii="宋体" w:hAnsi="宋体" w:cs="宋体" w:hint="eastAsia"/>
          <w:color w:val="000000"/>
          <w:lang w:eastAsia="zh-CN"/>
        </w:rPr>
      </w:pPr>
      <w:r>
        <w:rPr>
          <w:rFonts w:ascii="宋体" w:hAnsi="Calibri"/>
          <w:szCs w:val="21"/>
          <w:highlight w:val="white"/>
          <w:lang w:eastAsia="zh-CN"/>
        </w:rPr>
        <w:t>赎回金额=赎回份额</w:t>
      </w:r>
      <w:r>
        <w:rPr>
          <w:rFonts w:ascii="宋体" w:hAnsi="Calibri"/>
          <w:szCs w:val="21"/>
          <w:highlight w:val="white"/>
          <w:lang w:eastAsia="zh-CN"/>
        </w:rPr>
        <w:t>×</w:t>
      </w:r>
      <w:r>
        <w:rPr>
          <w:rFonts w:ascii="宋体" w:hAnsi="Calibri"/>
          <w:szCs w:val="21"/>
          <w:highlight w:val="white"/>
          <w:lang w:eastAsia="zh-CN"/>
        </w:rPr>
        <w:t>T日</w:t>
      </w:r>
      <w:r>
        <w:rPr>
          <w:rFonts w:ascii="宋体" w:hAnsi="Calibri" w:hint="eastAsia"/>
          <w:szCs w:val="21"/>
          <w:highlight w:val="white"/>
          <w:lang w:eastAsia="zh-CN"/>
        </w:rPr>
        <w:t>该类基金份额的</w:t>
      </w:r>
      <w:r>
        <w:rPr>
          <w:rFonts w:ascii="宋体" w:hAnsi="Calibri"/>
          <w:szCs w:val="21"/>
          <w:highlight w:val="white"/>
          <w:lang w:eastAsia="zh-CN"/>
        </w:rPr>
        <w:t>基金份额净值-赎回费用</w:t>
      </w:r>
      <w:r>
        <w:rPr>
          <w:rFonts w:ascii="宋体" w:hAnsi="宋体" w:cs="宋体" w:hint="eastAsia"/>
          <w:color w:val="000000"/>
          <w:highlight w:val="white"/>
          <w:lang w:eastAsia="zh-CN"/>
        </w:rPr>
        <w:t>+返还投资者的销售服务费（如有）</w:t>
      </w:r>
    </w:p>
    <w:p w:rsidR="005C6370" w:rsidP="00A24D29" w14:paraId="17660D93" w14:textId="77777777">
      <w:pPr>
        <w:spacing w:line="360" w:lineRule="auto"/>
        <w:ind w:firstLine="420" w:firstLineChars="200"/>
        <w:contextualSpacing/>
        <w:rPr>
          <w:rFonts w:ascii="宋体" w:hAnsi="Calibri"/>
          <w:szCs w:val="21"/>
          <w:lang w:eastAsia="zh-CN"/>
        </w:rPr>
      </w:pPr>
      <w:r>
        <w:rPr>
          <w:rFonts w:ascii="宋体" w:hAnsi="宋体" w:cs="宋体"/>
          <w:color w:val="000000"/>
          <w:highlight w:val="white"/>
          <w:lang w:eastAsia="zh-CN"/>
        </w:rPr>
        <w:t xml:space="preserve">该笔赎回是否涉及返还销售服务费的具体安排详见本招募说明书“基金的费用与税收”部分。 </w:t>
      </w:r>
      <w:r>
        <w:rPr>
          <w:rFonts w:ascii="宋体" w:hAnsi="Calibri"/>
          <w:szCs w:val="21"/>
          <w:highlight w:val="white"/>
          <w:lang w:eastAsia="zh-CN"/>
        </w:rPr>
        <w:t xml:space="preserve"> </w:t>
      </w:r>
    </w:p>
    <w:p w:rsidR="005C6370" w:rsidP="00A24D29" w14:paraId="41239093" w14:textId="77777777">
      <w:pPr>
        <w:spacing w:line="360" w:lineRule="auto"/>
        <w:ind w:firstLine="420" w:firstLineChars="200"/>
        <w:contextualSpacing/>
        <w:rPr>
          <w:lang w:eastAsia="zh-CN"/>
        </w:rPr>
      </w:pPr>
      <w:r>
        <w:rPr>
          <w:rFonts w:ascii="宋体" w:hAnsi="Calibri" w:hint="eastAsia"/>
          <w:szCs w:val="21"/>
          <w:highlight w:val="white"/>
          <w:lang w:eastAsia="zh-CN"/>
        </w:rPr>
        <w:t>例三：某投资人赎回10,000份本基金A类基金份额，假设该笔份额持有期限为60天，由于持有期限尚未达到最短持有期限（90天），基金管理人会对投资人的赎回申请做赎回失败处理。</w:t>
      </w:r>
    </w:p>
    <w:p w:rsidR="005C6370" w:rsidP="00A24D29" w14:paraId="0C6E3EE2" w14:textId="77777777">
      <w:pPr>
        <w:spacing w:line="360" w:lineRule="auto"/>
        <w:ind w:firstLine="420" w:firstLineChars="200"/>
        <w:contextualSpacing/>
        <w:rPr>
          <w:lang w:eastAsia="zh-CN"/>
        </w:rPr>
      </w:pPr>
      <w:r>
        <w:rPr>
          <w:rFonts w:ascii="宋体" w:hAnsi="Calibri" w:hint="eastAsia"/>
          <w:szCs w:val="21"/>
          <w:highlight w:val="white"/>
          <w:lang w:eastAsia="zh-CN"/>
        </w:rPr>
        <w:t>例四：某投资人赎回10,000份本基金A类基金份额，假设该笔份额持有期限为100 天，持有期限已达到最短持有期限（90天），对应的赎回费率为0.5%，假设赎回当日A 类基金份额的基金份额净值是1.0160元，则其可得到的赎回金额为：</w:t>
      </w:r>
    </w:p>
    <w:p w:rsidR="005C6370" w:rsidP="00A24D29" w14:paraId="7C6F11A8" w14:textId="77777777">
      <w:pPr>
        <w:spacing w:line="360" w:lineRule="auto"/>
        <w:ind w:firstLine="420" w:firstLineChars="200"/>
        <w:contextualSpacing/>
        <w:rPr>
          <w:lang w:eastAsia="zh-CN"/>
        </w:rPr>
      </w:pPr>
      <w:r>
        <w:rPr>
          <w:rFonts w:ascii="宋体" w:hAnsi="Calibri" w:hint="eastAsia"/>
          <w:szCs w:val="21"/>
          <w:highlight w:val="white"/>
          <w:lang w:eastAsia="zh-CN"/>
        </w:rPr>
        <w:t>赎回费用 = 10,000×1.0160×0.5% ＝ 50.80 元</w:t>
      </w:r>
    </w:p>
    <w:p w:rsidR="005C6370" w:rsidP="00A24D29" w14:paraId="4C0544A7" w14:textId="77777777">
      <w:pPr>
        <w:spacing w:line="360" w:lineRule="auto"/>
        <w:ind w:firstLine="420" w:firstLineChars="200"/>
        <w:contextualSpacing/>
        <w:rPr>
          <w:lang w:eastAsia="zh-CN"/>
        </w:rPr>
      </w:pPr>
      <w:r>
        <w:rPr>
          <w:rFonts w:ascii="宋体" w:hAnsi="Calibri" w:hint="eastAsia"/>
          <w:szCs w:val="21"/>
          <w:highlight w:val="white"/>
          <w:lang w:eastAsia="zh-CN"/>
        </w:rPr>
        <w:t xml:space="preserve">赎回金额 = 10,000×1.0160-50.80 ＝ 10,109.20 元 </w:t>
      </w:r>
    </w:p>
    <w:p w:rsidR="005C6370" w:rsidP="00A24D29" w14:paraId="0127A6CB" w14:textId="77777777">
      <w:pPr>
        <w:spacing w:line="360" w:lineRule="auto"/>
        <w:ind w:firstLine="420" w:firstLineChars="200"/>
        <w:contextualSpacing/>
        <w:rPr>
          <w:rFonts w:ascii="宋体" w:hAnsi="Calibri"/>
          <w:szCs w:val="21"/>
          <w:lang w:eastAsia="zh-CN"/>
        </w:rPr>
      </w:pPr>
      <w:r>
        <w:rPr>
          <w:rFonts w:ascii="宋体" w:hAnsi="Calibri"/>
          <w:szCs w:val="21"/>
          <w:highlight w:val="white"/>
          <w:lang w:eastAsia="zh-CN"/>
        </w:rPr>
        <w:t xml:space="preserve">4、基金份额净值的计算公式 </w:t>
      </w:r>
    </w:p>
    <w:p w:rsidR="005C6370" w:rsidP="00A24D29" w14:paraId="69367157" w14:textId="77777777">
      <w:pPr>
        <w:spacing w:line="360" w:lineRule="auto"/>
        <w:ind w:firstLine="422"/>
        <w:contextualSpacing/>
        <w:rPr>
          <w:rFonts w:ascii="宋体" w:hAnsi="Calibri"/>
          <w:szCs w:val="21"/>
          <w:lang w:eastAsia="zh-CN"/>
        </w:rPr>
      </w:pPr>
      <w:r>
        <w:rPr>
          <w:rFonts w:ascii="宋体" w:hAnsi="Calibri"/>
          <w:szCs w:val="21"/>
          <w:highlight w:val="white"/>
          <w:lang w:eastAsia="zh-CN"/>
        </w:rPr>
        <w:t>计算日</w:t>
      </w:r>
      <w:r>
        <w:rPr>
          <w:rFonts w:ascii="宋体" w:hAnsi="Calibri" w:hint="eastAsia"/>
          <w:szCs w:val="21"/>
          <w:highlight w:val="white"/>
          <w:lang w:eastAsia="zh-CN"/>
        </w:rPr>
        <w:t>该类基金份额的</w:t>
      </w:r>
      <w:r>
        <w:rPr>
          <w:rFonts w:ascii="宋体" w:hAnsi="Calibri"/>
          <w:szCs w:val="21"/>
          <w:highlight w:val="white"/>
          <w:lang w:eastAsia="zh-CN"/>
        </w:rPr>
        <w:t>基金份额净值=计算日</w:t>
      </w:r>
      <w:r>
        <w:rPr>
          <w:rFonts w:ascii="宋体" w:hAnsi="Calibri" w:hint="eastAsia"/>
          <w:szCs w:val="21"/>
          <w:highlight w:val="white"/>
          <w:lang w:eastAsia="zh-CN"/>
        </w:rPr>
        <w:t>该类基金份额的</w:t>
      </w:r>
      <w:r>
        <w:rPr>
          <w:rFonts w:ascii="宋体" w:hAnsi="Calibri"/>
          <w:szCs w:val="21"/>
          <w:highlight w:val="white"/>
          <w:lang w:eastAsia="zh-CN"/>
        </w:rPr>
        <w:t>基金资产净值/计算日</w:t>
      </w:r>
      <w:r>
        <w:rPr>
          <w:rFonts w:ascii="宋体" w:hAnsi="Calibri" w:hint="eastAsia"/>
          <w:szCs w:val="21"/>
          <w:highlight w:val="white"/>
          <w:lang w:eastAsia="zh-CN"/>
        </w:rPr>
        <w:t>该类</w:t>
      </w:r>
      <w:r>
        <w:rPr>
          <w:rFonts w:ascii="宋体" w:hAnsi="Calibri"/>
          <w:szCs w:val="21"/>
          <w:highlight w:val="white"/>
          <w:lang w:eastAsia="zh-CN"/>
        </w:rPr>
        <w:t>基金</w:t>
      </w:r>
      <w:r>
        <w:rPr>
          <w:rFonts w:ascii="宋体" w:hAnsi="Calibri" w:hint="eastAsia"/>
          <w:szCs w:val="21"/>
          <w:highlight w:val="white"/>
          <w:lang w:eastAsia="zh-CN"/>
        </w:rPr>
        <w:t>份额</w:t>
      </w:r>
      <w:r>
        <w:rPr>
          <w:rFonts w:ascii="宋体" w:hAnsi="Calibri"/>
          <w:szCs w:val="21"/>
          <w:highlight w:val="white"/>
          <w:lang w:eastAsia="zh-CN"/>
        </w:rPr>
        <w:t>总份额</w:t>
      </w:r>
    </w:p>
    <w:p w:rsidR="005C6370" w:rsidP="00A24D29" w14:paraId="68A70E44"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本基金各类基金份额净值的计算，保留到小数点后4位，小数点后第5位四舍五入，由此产生的收益或损失由基金财产承担。遇特殊情况，经履行适当程序，可以适当延迟计算或公告。</w:t>
      </w:r>
    </w:p>
    <w:p w:rsidR="005C6370" w:rsidP="00A24D29" w14:paraId="6BDB2F13" w14:textId="77777777">
      <w:pPr>
        <w:spacing w:line="360" w:lineRule="auto"/>
        <w:ind w:firstLine="420"/>
        <w:contextualSpacing/>
        <w:rPr>
          <w:rStyle w:val="da"/>
          <w:rFonts w:ascii="宋体" w:hAnsi="Calibri"/>
          <w:lang w:eastAsia="zh-CN"/>
        </w:rPr>
      </w:pPr>
      <w:bookmarkStart w:id="1808" w:name="_Toc332373510"/>
      <w:r>
        <w:rPr>
          <w:rStyle w:val="da"/>
          <w:rFonts w:ascii="宋体" w:hAnsi="Calibri" w:hint="eastAsia"/>
          <w:highlight w:val="white"/>
          <w:lang w:eastAsia="zh-CN"/>
        </w:rPr>
        <w:t>九、申购和赎回的登记</w:t>
      </w:r>
    </w:p>
    <w:p w:rsidR="005C6370" w:rsidP="00A24D29" w14:paraId="52A9ED14" w14:textId="77777777">
      <w:pPr>
        <w:spacing w:line="360" w:lineRule="auto"/>
        <w:ind w:firstLine="422"/>
        <w:contextualSpacing/>
        <w:rPr>
          <w:rStyle w:val="da"/>
          <w:rFonts w:ascii="宋体" w:hAnsi="Calibri"/>
          <w:lang w:eastAsia="zh-CN"/>
        </w:rPr>
      </w:pPr>
      <w:r>
        <w:rPr>
          <w:rStyle w:val="da"/>
          <w:rFonts w:ascii="宋体" w:hAnsi="Calibri" w:hint="eastAsia"/>
          <w:highlight w:val="white"/>
          <w:lang w:eastAsia="zh-CN"/>
        </w:rPr>
        <w:t>正常情况下，投资者</w:t>
      </w:r>
      <w:r>
        <w:rPr>
          <w:rStyle w:val="da"/>
          <w:rFonts w:ascii="宋体" w:hAnsi="Calibri"/>
          <w:highlight w:val="white"/>
          <w:lang w:eastAsia="zh-CN"/>
        </w:rPr>
        <w:t>T</w:t>
      </w:r>
      <w:r>
        <w:rPr>
          <w:rStyle w:val="da"/>
          <w:rFonts w:ascii="宋体" w:hAnsi="Calibri" w:hint="eastAsia"/>
          <w:highlight w:val="white"/>
          <w:lang w:eastAsia="zh-CN"/>
        </w:rPr>
        <w:t>日申购基金成功后，登记机构在</w:t>
      </w:r>
      <w:r>
        <w:rPr>
          <w:rStyle w:val="da"/>
          <w:rFonts w:ascii="宋体" w:hAnsi="Calibri"/>
          <w:highlight w:val="white"/>
          <w:lang w:eastAsia="zh-CN"/>
        </w:rPr>
        <w:t>T+3</w:t>
      </w:r>
      <w:r>
        <w:rPr>
          <w:rStyle w:val="da"/>
          <w:rFonts w:ascii="宋体" w:hAnsi="Calibri" w:hint="eastAsia"/>
          <w:highlight w:val="white"/>
          <w:lang w:eastAsia="zh-CN"/>
        </w:rPr>
        <w:t>日为投资者增加权益并办理登记手续。</w:t>
      </w:r>
    </w:p>
    <w:p w:rsidR="005C6370" w:rsidP="00A24D29" w14:paraId="5BF8F7CC" w14:textId="77777777">
      <w:pPr>
        <w:spacing w:line="360" w:lineRule="auto"/>
        <w:ind w:firstLine="422"/>
        <w:contextualSpacing/>
        <w:rPr>
          <w:rStyle w:val="da"/>
          <w:rFonts w:ascii="宋体" w:hAnsi="Calibri"/>
          <w:lang w:eastAsia="zh-CN"/>
        </w:rPr>
      </w:pPr>
      <w:r>
        <w:rPr>
          <w:rStyle w:val="da"/>
          <w:rFonts w:ascii="宋体" w:hAnsi="Calibri" w:hint="eastAsia"/>
          <w:highlight w:val="white"/>
          <w:lang w:eastAsia="zh-CN"/>
        </w:rPr>
        <w:t>基金份额持有人</w:t>
      </w:r>
      <w:r>
        <w:rPr>
          <w:rStyle w:val="da"/>
          <w:rFonts w:ascii="宋体" w:hAnsi="Calibri"/>
          <w:highlight w:val="white"/>
          <w:lang w:eastAsia="zh-CN"/>
        </w:rPr>
        <w:t>T</w:t>
      </w:r>
      <w:r>
        <w:rPr>
          <w:rStyle w:val="da"/>
          <w:rFonts w:ascii="宋体" w:hAnsi="Calibri" w:hint="eastAsia"/>
          <w:highlight w:val="white"/>
          <w:lang w:eastAsia="zh-CN"/>
        </w:rPr>
        <w:t>日赎回基金成功后，正常情况下，登记机构在</w:t>
      </w:r>
      <w:r>
        <w:rPr>
          <w:rStyle w:val="da"/>
          <w:rFonts w:ascii="宋体" w:hAnsi="Calibri"/>
          <w:highlight w:val="white"/>
          <w:lang w:eastAsia="zh-CN"/>
        </w:rPr>
        <w:t>T+3</w:t>
      </w:r>
      <w:r>
        <w:rPr>
          <w:rStyle w:val="da"/>
          <w:rFonts w:ascii="宋体" w:hAnsi="Calibri" w:hint="eastAsia"/>
          <w:highlight w:val="white"/>
          <w:lang w:eastAsia="zh-CN"/>
        </w:rPr>
        <w:t>日为其办理扣除权益的登记手续。</w:t>
      </w:r>
    </w:p>
    <w:p w:rsidR="005C6370" w:rsidP="00A24D29" w14:paraId="79473DA6" w14:textId="77777777">
      <w:pPr>
        <w:spacing w:line="360" w:lineRule="auto"/>
        <w:ind w:firstLine="422"/>
        <w:contextualSpacing/>
        <w:rPr>
          <w:rStyle w:val="da"/>
          <w:rFonts w:ascii="宋体" w:hAnsi="Calibri"/>
          <w:lang w:eastAsia="zh-CN"/>
        </w:rPr>
      </w:pPr>
      <w:r>
        <w:rPr>
          <w:rStyle w:val="da"/>
          <w:rFonts w:ascii="宋体" w:hAnsi="Calibri" w:hint="eastAsia"/>
          <w:highlight w:val="white"/>
          <w:lang w:eastAsia="zh-CN"/>
        </w:rPr>
        <w:t>在不违反法律法规的前提下，登记机构可以对上述登记办理时间进行调整，基金管理人应于开始实施前依照《信息披露办法》的有关规定在规定媒介上公告。</w:t>
      </w:r>
      <w:bookmarkEnd w:id="1808"/>
    </w:p>
    <w:p w:rsidR="005C6370" w:rsidP="00A24D29" w14:paraId="3D1502C4"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十、拒绝或暂停申购的情形</w:t>
      </w:r>
    </w:p>
    <w:p w:rsidR="005C6370" w:rsidP="00A24D29" w14:paraId="6A17DD9C"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发生下列情况时，基金管理人可拒绝或暂停接受投资人的某一类或多类份额申购申请：</w:t>
      </w:r>
    </w:p>
    <w:p w:rsidR="005C6370" w:rsidP="00A24D29" w14:paraId="309DA3A8"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1、因不可抗力导致基金无法正常运作。</w:t>
      </w:r>
    </w:p>
    <w:p w:rsidR="005C6370" w:rsidP="00A24D29" w14:paraId="2A9C32C8"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2、发生基金合同规定的暂停基金资产估值情况时。</w:t>
      </w:r>
    </w:p>
    <w:p w:rsidR="005C6370" w:rsidP="00A24D29" w14:paraId="4554F8D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3、基金进行交易的主要证券交易市场交易时间非正常停市。</w:t>
      </w:r>
    </w:p>
    <w:p w:rsidR="005C6370" w:rsidP="00A24D29" w14:paraId="67DA8C25"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4、基金管理人认为接受某笔或某些申购申请可能会影响或损害现有基金份额持有人利益时。</w:t>
      </w:r>
    </w:p>
    <w:p w:rsidR="005C6370" w:rsidP="00A24D29" w14:paraId="463F4AF2"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5、基金资产规模过大，使基金管理人无法找到合适的投资品种，或其他可能对基金业绩产生负面影响，或基金管理人认定的其他损害现有基金份额持有人利益的情形。</w:t>
      </w:r>
    </w:p>
    <w:p w:rsidR="005C6370" w:rsidP="00A24D29" w14:paraId="052B0826"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6、基金管理人、基金托管人、登记机构、销售机构、支付结算机构等因异常情况导致基金销售系统、基金销售支付结算系统、基金登记系统、基金会计系统等无法正常运行。</w:t>
      </w:r>
    </w:p>
    <w:p w:rsidR="005C6370" w:rsidP="00A24D29" w14:paraId="5EE4524D"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7、所投资的基金暂停估值，导致基金管理人无法计算估值日基金资产净值。</w:t>
      </w:r>
    </w:p>
    <w:p w:rsidR="005C6370" w:rsidP="00A24D29" w14:paraId="78362C29"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8、占相当比例的被投资基金暂停申购、停牌。</w:t>
      </w:r>
    </w:p>
    <w:p w:rsidR="005C6370" w:rsidP="00A24D29" w14:paraId="51491914"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9、基金管理人接受某笔或者某些申购申请有可能导致单一投资者持有基金份额的比例达到或者超过50%，或者变相规避50%集中度的情形。</w:t>
      </w:r>
    </w:p>
    <w:p w:rsidR="005C6370" w:rsidP="00A24D29" w14:paraId="7C53FB97"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10、当一笔新的申购申请被确认成功，使本基金总规模超过基金管理人规定的本基金总规模上限时；或使本基金单日申购金额或净申购比例超过基金管理人规定的当日申购金额或净申购比例上限时；或该投资人累计持有的份额超过单个投资人累计持有的份额上限时；或该投资人当日申购金额超过单个投资人单日或单笔申购金额上限时。</w:t>
      </w:r>
    </w:p>
    <w:p w:rsidR="005C6370" w:rsidP="00A24D29" w14:paraId="3CE7BC34"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11、当前一估值日基金资产净值50%以上的资产出现无可参考的活跃市场价格且采用估值技术仍导致公允价值存在重大不确定性时，经与基金托管人协商确认后，基金管理人应当暂停接受基金申购申请。</w:t>
      </w:r>
    </w:p>
    <w:p w:rsidR="005C6370" w:rsidP="00A24D29" w14:paraId="212BE38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12、法律法规规定或中国证监会认定的其他情形。</w:t>
      </w:r>
    </w:p>
    <w:p w:rsidR="005C6370" w:rsidP="00A24D29" w14:paraId="2BC51E5E"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发生上述第1、2、3、5、6、7、8、10、11、12项情形且基金管理人决定暂停接受投资人申购申请时，基金管理人应当根据有关规定在规定媒介上刊登暂停申购公告。如果投资人的申购申请被拒绝，被拒绝的申购款项本金将退还给投资人。在暂停申购的情况消除时，基金管理人应及时恢复申购业务的办理。</w:t>
      </w:r>
    </w:p>
    <w:p w:rsidR="005C6370" w:rsidP="00A24D29" w14:paraId="442AD1F1"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十一、暂停赎回或延缓支付赎回款项的情形</w:t>
      </w:r>
    </w:p>
    <w:p w:rsidR="005C6370" w:rsidP="00A24D29" w14:paraId="39C4E391"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发生下列情形时，基金管理人可暂停接受投资人的某一类或多类份额赎回申请或延缓支付赎回款项：</w:t>
      </w:r>
    </w:p>
    <w:p w:rsidR="005C6370" w:rsidP="00A24D29" w14:paraId="515B036C"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1、因不可抗力导致基金管理人不能支付赎回款项。</w:t>
      </w:r>
    </w:p>
    <w:p w:rsidR="005C6370" w:rsidP="00A24D29" w14:paraId="2B9F2698"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2、发生基金合同规定的暂停基金资产估值情况时。</w:t>
      </w:r>
    </w:p>
    <w:p w:rsidR="005C6370" w:rsidP="00A24D29" w14:paraId="13985F5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3、基金进行交易的主要证券交易市场交易时间非正常停市。</w:t>
      </w:r>
    </w:p>
    <w:p w:rsidR="005C6370" w:rsidP="00A24D29" w14:paraId="578DBF47"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4、连续两个或两个以上开放日发生巨额赎回。</w:t>
      </w:r>
    </w:p>
    <w:p w:rsidR="005C6370" w:rsidP="00A24D29" w14:paraId="73EFF59C"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5、发生继续接受赎回申请将损害现有基金份额持有人利益的情形时，基金管理人可暂停接受基金份额持有人的赎回申请。</w:t>
      </w:r>
    </w:p>
    <w:p w:rsidR="005C6370" w:rsidP="00A24D29" w14:paraId="57AE5450"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6、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rsidR="005C6370" w:rsidP="00A24D29" w14:paraId="55E5579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7、当占基金相当比例的投资品种因暂停赎回、停牌、延缓支付赎回款或其它原因导致无法变现，导致基金管理人不能出售或评估基金资产。</w:t>
      </w:r>
    </w:p>
    <w:p w:rsidR="005C6370" w:rsidP="00A24D29" w14:paraId="5A5EA747"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8、本基金的资产组合中的重要部分发生暂停交易或其他重大事件，继续接受赎回可能会影响或损害基金份额持有人利益时。</w:t>
      </w:r>
    </w:p>
    <w:p w:rsidR="005C6370" w:rsidP="00A24D29" w14:paraId="7C44440D"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9、所投资的基金暂停估值，导致基金管理人无法计算估值日基金资产净值。</w:t>
      </w:r>
    </w:p>
    <w:p w:rsidR="005C6370" w:rsidP="00A24D29" w14:paraId="61F3B130"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10、法律法规规定或中国证监会认定的其他情形。</w:t>
      </w:r>
    </w:p>
    <w:p w:rsidR="005C6370" w:rsidP="00A24D29" w14:paraId="5CE1720D"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发生上述情形之一且基金管理人决定暂停赎回或延缓支付赎回款项时，基金管理人应按规定报中国证监会备案。若出现上述第4项所述情形，按基金合同的相关条款处理。基金份额持有人在申请赎回时可事先选择将当日可能未获受理部分予以撤销。在暂停赎回的情况消除时，基金管理人应及时恢复赎回业务的办理。</w:t>
      </w:r>
    </w:p>
    <w:p w:rsidR="005C6370" w:rsidP="00A24D29" w14:paraId="4FE140FA"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十二、巨额赎回的情形及处理方式</w:t>
      </w:r>
    </w:p>
    <w:p w:rsidR="005C6370" w:rsidP="00A24D29" w14:paraId="0F869203"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1、巨额赎回的认定</w:t>
      </w:r>
    </w:p>
    <w:p w:rsidR="005C6370" w:rsidP="00A24D29" w14:paraId="389C32BD"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rsidR="005C6370" w:rsidP="00A24D29" w14:paraId="5B535899"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2、巨额赎回的处理方式</w:t>
      </w:r>
    </w:p>
    <w:p w:rsidR="005C6370" w:rsidP="00A24D29" w14:paraId="277ABA8D"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当基金出现巨额赎回时，基金管理人可以根据基金当时的资产组合状况决定全额赎回、部分延期赎回或暂停赎回。</w:t>
      </w:r>
    </w:p>
    <w:p w:rsidR="005C6370" w:rsidP="00A24D29" w14:paraId="2A538C50"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（1）全额赎回：当基金管理人认为有能力支付投资人的全部赎回申请时，按正常赎回程序执行。</w:t>
      </w:r>
    </w:p>
    <w:p w:rsidR="005C6370" w:rsidP="00A24D29" w14:paraId="623AB1C7"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rsidR="005C6370" w:rsidP="00A24D29" w14:paraId="00C2FB89"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若本基金发生巨额赎回且单个基金份额持有人的赎回申请超过上一开放日基金总份额10%的，基金管理人有权对该单个基金份额持有人超出该比例的赎回申请实施延期办理；对该单个基金份额持有人剩余赎回申请，基金管理人可以根据前款</w:t>
      </w:r>
      <w:r>
        <w:rPr>
          <w:rStyle w:val="da"/>
          <w:rFonts w:ascii="宋体" w:hAnsi="Calibri"/>
          <w:highlight w:val="white"/>
          <w:lang w:eastAsia="zh-CN"/>
        </w:rPr>
        <w:t>“</w:t>
      </w:r>
      <w:r>
        <w:rPr>
          <w:rStyle w:val="da"/>
          <w:rFonts w:ascii="宋体" w:hAnsi="Calibri"/>
          <w:highlight w:val="white"/>
          <w:lang w:eastAsia="zh-CN"/>
        </w:rPr>
        <w:t>（1）全额赎回</w:t>
      </w:r>
      <w:r>
        <w:rPr>
          <w:rStyle w:val="da"/>
          <w:rFonts w:ascii="宋体" w:hAnsi="Calibri"/>
          <w:highlight w:val="white"/>
          <w:lang w:eastAsia="zh-CN"/>
        </w:rPr>
        <w:t>”</w:t>
      </w:r>
      <w:r>
        <w:rPr>
          <w:rStyle w:val="da"/>
          <w:rFonts w:ascii="宋体" w:hAnsi="Calibri"/>
          <w:highlight w:val="white"/>
          <w:lang w:eastAsia="zh-CN"/>
        </w:rPr>
        <w:t>或</w:t>
      </w:r>
      <w:r>
        <w:rPr>
          <w:rStyle w:val="da"/>
          <w:rFonts w:ascii="宋体" w:hAnsi="Calibri"/>
          <w:highlight w:val="white"/>
          <w:lang w:eastAsia="zh-CN"/>
        </w:rPr>
        <w:t>“</w:t>
      </w:r>
      <w:r>
        <w:rPr>
          <w:rStyle w:val="da"/>
          <w:rFonts w:ascii="宋体" w:hAnsi="Calibri"/>
          <w:highlight w:val="white"/>
          <w:lang w:eastAsia="zh-CN"/>
        </w:rPr>
        <w:t>（2）部分延期赎回</w:t>
      </w:r>
      <w:r>
        <w:rPr>
          <w:rStyle w:val="da"/>
          <w:rFonts w:ascii="宋体" w:hAnsi="Calibri"/>
          <w:highlight w:val="white"/>
          <w:lang w:eastAsia="zh-CN"/>
        </w:rPr>
        <w:t>”</w:t>
      </w:r>
      <w:r>
        <w:rPr>
          <w:rStyle w:val="da"/>
          <w:rFonts w:ascii="宋体" w:hAnsi="Calibri"/>
          <w:highlight w:val="white"/>
          <w:lang w:eastAsia="zh-CN"/>
        </w:rPr>
        <w:t>约定的方式与其他账户的赎回申请一并办理。</w:t>
      </w:r>
    </w:p>
    <w:p w:rsidR="005C6370" w:rsidP="00A24D29" w14:paraId="53385AE2"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暂停赎回：连续2个开放日以上（含本数）发生巨额赎回，如基金管理人认为有必要，可暂停接受基金的赎回申请；已经接受的赎回申请可以延缓支付赎回款项，但不得超过20个工作日，并应当在规定媒介上进行公告。</w:t>
      </w:r>
    </w:p>
    <w:p w:rsidR="005C6370" w:rsidP="00A24D29" w14:paraId="34037F13"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3、巨额赎回的公告</w:t>
      </w:r>
    </w:p>
    <w:p w:rsidR="005C6370" w:rsidP="00A24D29" w14:paraId="052EBB38"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当发生上述巨额赎回并延期办理时，基金管理人应当通过邮寄、传真或者招募说明书规定的其他方式在3个交易日内通知基金份额持有人，说明有关处理方法，并在2日内在规定媒介上刊登公告。</w:t>
      </w:r>
    </w:p>
    <w:p w:rsidR="005C6370" w:rsidP="00A24D29" w14:paraId="6CD11979"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十三、暂停申购或赎回的公告和重新开放申购或赎回的公告</w:t>
      </w:r>
    </w:p>
    <w:p w:rsidR="005C6370" w:rsidP="00A24D29" w14:paraId="2CCB37C3"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1、发生上述暂停申购或赎回情况的，基金管理人应在规定期限内在规定媒介上刊登暂停公告。</w:t>
      </w:r>
    </w:p>
    <w:p w:rsidR="005C6370" w:rsidP="00A24D29" w14:paraId="0B26F09C"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rsidR="005C6370" w:rsidP="00A24D29" w14:paraId="6FE9500F" w14:textId="77777777">
      <w:pPr>
        <w:spacing w:line="360" w:lineRule="auto"/>
        <w:ind w:firstLine="420"/>
        <w:contextualSpacing/>
        <w:rPr>
          <w:rStyle w:val="da"/>
          <w:rFonts w:ascii="宋体" w:hAnsi="Calibri"/>
          <w:lang w:eastAsia="zh-CN"/>
        </w:rPr>
      </w:pPr>
      <w:bookmarkStart w:id="1809" w:name="_Hlt70481650"/>
      <w:bookmarkEnd w:id="1809"/>
      <w:r>
        <w:rPr>
          <w:rStyle w:val="da"/>
          <w:rFonts w:ascii="宋体" w:hAnsi="Calibri" w:hint="eastAsia"/>
          <w:highlight w:val="white"/>
          <w:lang w:eastAsia="zh-CN"/>
        </w:rPr>
        <w:t>十四、基金份额折算</w:t>
      </w:r>
    </w:p>
    <w:p w:rsidR="005C6370" w:rsidP="00A24D29" w14:paraId="64B142E9"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在对基金份额持有人利益无实质不利影响的前提下，基金管理人经与基金托管人协商一致，可对基金份额进行折算，不需召开基金份额持有人大会审议。</w:t>
      </w:r>
    </w:p>
    <w:p w:rsidR="005C6370" w:rsidP="00A24D29" w14:paraId="7F60E166"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十五、实施侧袋机制期间本基金的申购与赎回</w:t>
      </w:r>
    </w:p>
    <w:p w:rsidR="005C6370" w:rsidP="00A24D29" w14:paraId="42B3F074" w14:textId="77777777">
      <w:pPr>
        <w:spacing w:line="360" w:lineRule="auto"/>
        <w:ind w:firstLine="420"/>
        <w:contextualSpacing/>
        <w:rPr>
          <w:rFonts w:ascii="宋体" w:hAnsi="Calibri"/>
          <w:szCs w:val="21"/>
          <w:lang w:eastAsia="zh-CN"/>
        </w:rPr>
      </w:pPr>
      <w:r>
        <w:rPr>
          <w:rStyle w:val="da"/>
          <w:rFonts w:ascii="宋体" w:hAnsi="Calibri" w:hint="eastAsia"/>
          <w:highlight w:val="white"/>
          <w:lang w:eastAsia="zh-CN"/>
        </w:rPr>
        <w:t>本基金实施侧袋机制的，本基金的申购和赎回安排详见本招募说明书“侧袋机制”部分的规定或相关公告。</w:t>
      </w:r>
    </w:p>
    <w:p w:rsidR="005C6370" w:rsidP="00A24D29" w14:paraId="0C1C6949" w14:textId="77777777">
      <w:pPr>
        <w:widowControl/>
        <w:contextualSpacing/>
        <w:jc w:val="left"/>
        <w:rPr>
          <w:rFonts w:ascii="宋体" w:hAnsi="Calibri"/>
          <w:sz w:val="30"/>
          <w:szCs w:val="32"/>
          <w:lang w:eastAsia="zh-CN"/>
        </w:rPr>
      </w:pPr>
      <w:r>
        <w:rPr>
          <w:rFonts w:ascii="宋体" w:hAnsi="Calibri"/>
          <w:sz w:val="30"/>
          <w:highlight w:val="white"/>
          <w:lang w:eastAsia="zh-CN"/>
        </w:rPr>
        <w:br w:type="page"/>
      </w:r>
    </w:p>
    <w:p w:rsidR="005C6370" w:rsidP="00A24D29" w14:paraId="38FFD283" w14:textId="77777777">
      <w:pPr>
        <w:pStyle w:val="Heading1"/>
        <w:spacing w:before="317" w:after="317" w:line="320" w:lineRule="exact"/>
        <w:ind w:firstLine="600"/>
        <w:contextualSpacing/>
        <w:rPr>
          <w:rFonts w:ascii="宋体" w:eastAsia="宋体" w:hAnsi="Calibri"/>
          <w:sz w:val="30"/>
          <w:lang w:eastAsia="zh-CN"/>
        </w:rPr>
      </w:pPr>
      <w:bookmarkStart w:id="1810" w:name="_Toc121776973"/>
      <w:r>
        <w:rPr>
          <w:rFonts w:ascii="宋体" w:eastAsia="宋体" w:hAnsi="Calibri"/>
          <w:sz w:val="30"/>
          <w:highlight w:val="white"/>
          <w:lang w:eastAsia="zh-CN"/>
        </w:rPr>
        <w:t>第</w:t>
      </w:r>
      <w:r>
        <w:rPr>
          <w:rFonts w:ascii="宋体" w:eastAsia="宋体" w:hAnsi="Calibri" w:hint="eastAsia"/>
          <w:sz w:val="30"/>
          <w:highlight w:val="white"/>
          <w:lang w:eastAsia="zh-CN"/>
        </w:rPr>
        <w:t>十</w:t>
      </w:r>
      <w:r>
        <w:rPr>
          <w:rFonts w:ascii="宋体" w:eastAsia="宋体" w:hAnsi="Calibri"/>
          <w:sz w:val="30"/>
          <w:highlight w:val="white"/>
          <w:lang w:eastAsia="zh-CN"/>
        </w:rPr>
        <w:t xml:space="preserve">部分 </w:t>
      </w:r>
      <w:r>
        <w:rPr>
          <w:rFonts w:ascii="宋体" w:eastAsia="宋体" w:hAnsi="Calibri" w:hint="eastAsia"/>
          <w:sz w:val="30"/>
          <w:highlight w:val="white"/>
          <w:lang w:eastAsia="zh-CN"/>
        </w:rPr>
        <w:t>基金转换和定期定额投资计划</w:t>
      </w:r>
      <w:bookmarkEnd w:id="1810"/>
    </w:p>
    <w:p w:rsidR="005C6370" w:rsidP="00A24D29" w14:paraId="493BBFE2" w14:textId="77777777">
      <w:pPr>
        <w:spacing w:line="360" w:lineRule="auto"/>
        <w:ind w:firstLine="420"/>
        <w:contextualSpacing/>
        <w:rPr>
          <w:rStyle w:val="da"/>
          <w:rFonts w:ascii="宋体" w:eastAsia="黑体" w:hAnsi="Calibri"/>
          <w:sz w:val="32"/>
          <w:szCs w:val="32"/>
          <w:lang w:eastAsia="zh-CN"/>
        </w:rPr>
      </w:pPr>
      <w:bookmarkStart w:id="1811" w:name="_Toc332373517"/>
      <w:r>
        <w:rPr>
          <w:rStyle w:val="da"/>
          <w:rFonts w:ascii="宋体" w:hAnsi="Calibri" w:hint="eastAsia"/>
          <w:highlight w:val="white"/>
          <w:lang w:eastAsia="zh-CN"/>
        </w:rPr>
        <w:t>一、基金转换</w:t>
      </w:r>
      <w:bookmarkEnd w:id="1811"/>
    </w:p>
    <w:p w:rsidR="005C6370" w:rsidP="00A24D29" w14:paraId="143D2835"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管理人可以根据相关法律法规以及基金合同的规定决定开办基金转换业务，基金转换可以收取一定的转换费，相关规则由基金管理人届时根据相关法律法规及基金合同的规定制定并公告，并提前告知基金托管人与相关机构。</w:t>
      </w:r>
    </w:p>
    <w:p w:rsidR="005C6370" w:rsidP="00A24D29" w14:paraId="093C2A56"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二、定期定额投资计划</w:t>
      </w:r>
    </w:p>
    <w:p w:rsidR="005C6370" w:rsidP="00A24D29" w14:paraId="6430D7BE"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管理人可利用非直销销售机构网点和本公司网上直销系统为投资者提供定期定额投资的服务（本公司网上直销系统的定期定额投资服务目前仅对个人投资者开通），具体实施方法见有关公告。投资人在办理定期定额投资计划时可自行约定每期扣款金额，每期扣款金额必须不低于基金管理人在相关公告或更新的招募说明书中所规定的定期定额投资计划最低申购金额。</w:t>
      </w:r>
    </w:p>
    <w:p w:rsidR="005C6370" w:rsidP="00A24D29" w14:paraId="40D17E32" w14:textId="77777777">
      <w:pPr>
        <w:spacing w:before="100" w:beforeAutospacing="1" w:after="100" w:afterAutospacing="1" w:line="360" w:lineRule="auto"/>
        <w:ind w:firstLine="420"/>
        <w:contextualSpacing/>
        <w:rPr>
          <w:rFonts w:ascii="宋体" w:hAnsi="Calibri"/>
          <w:szCs w:val="21"/>
          <w:lang w:eastAsia="zh-CN"/>
        </w:rPr>
      </w:pPr>
    </w:p>
    <w:p w:rsidR="005C6370" w:rsidP="00A24D29" w14:paraId="3FE32CC4" w14:textId="77777777">
      <w:pPr>
        <w:pStyle w:val="Heading1"/>
        <w:spacing w:before="317" w:after="317" w:line="320" w:lineRule="exact"/>
        <w:ind w:firstLine="600"/>
        <w:contextualSpacing/>
        <w:rPr>
          <w:rFonts w:ascii="宋体" w:eastAsia="宋体" w:hAnsi="Calibri"/>
          <w:bCs/>
          <w:sz w:val="28"/>
          <w:szCs w:val="44"/>
          <w:lang w:eastAsia="zh-CN"/>
        </w:rPr>
      </w:pPr>
      <w:r>
        <w:rPr>
          <w:rFonts w:ascii="宋体" w:eastAsia="宋体" w:hAnsi="Calibri" w:hint="eastAsia"/>
          <w:sz w:val="30"/>
          <w:highlight w:val="white"/>
          <w:lang w:eastAsia="zh-CN"/>
        </w:rPr>
        <w:br w:type="column"/>
      </w:r>
      <w:bookmarkStart w:id="1812" w:name="_Toc332373519"/>
      <w:bookmarkStart w:id="1813" w:name="_Toc121776974"/>
      <w:r>
        <w:rPr>
          <w:rFonts w:ascii="宋体" w:eastAsia="宋体" w:hAnsi="Calibri" w:hint="eastAsia"/>
          <w:sz w:val="30"/>
          <w:highlight w:val="white"/>
          <w:lang w:eastAsia="zh-CN"/>
        </w:rPr>
        <w:t>第十</w:t>
      </w:r>
      <w:r>
        <w:rPr>
          <w:rFonts w:ascii="宋体" w:eastAsia="宋体" w:hAnsi="Calibri"/>
          <w:sz w:val="30"/>
          <w:highlight w:val="white"/>
          <w:lang w:eastAsia="zh-CN"/>
        </w:rPr>
        <w:t>一</w:t>
      </w:r>
      <w:r>
        <w:rPr>
          <w:rFonts w:ascii="宋体" w:eastAsia="宋体" w:hAnsi="Calibri" w:hint="eastAsia"/>
          <w:sz w:val="30"/>
          <w:highlight w:val="white"/>
          <w:lang w:eastAsia="zh-CN"/>
        </w:rPr>
        <w:t>部分 基金的转托管、质押、非交易过户、冻结与解冻</w:t>
      </w:r>
      <w:bookmarkEnd w:id="1812"/>
      <w:bookmarkEnd w:id="1813"/>
    </w:p>
    <w:p w:rsidR="005C6370" w:rsidP="00A24D29" w14:paraId="09392490" w14:textId="77777777">
      <w:pPr>
        <w:spacing w:line="360" w:lineRule="auto"/>
        <w:ind w:firstLine="420"/>
        <w:contextualSpacing/>
        <w:rPr>
          <w:rStyle w:val="da"/>
          <w:rFonts w:ascii="宋体" w:eastAsia="黑体" w:hAnsi="Calibri"/>
          <w:sz w:val="32"/>
          <w:szCs w:val="32"/>
          <w:lang w:eastAsia="zh-CN"/>
        </w:rPr>
      </w:pPr>
      <w:bookmarkStart w:id="1814" w:name="_Toc332373520"/>
      <w:r>
        <w:rPr>
          <w:rStyle w:val="da"/>
          <w:rFonts w:ascii="宋体" w:hAnsi="Calibri" w:hint="eastAsia"/>
          <w:highlight w:val="white"/>
          <w:lang w:eastAsia="zh-CN"/>
        </w:rPr>
        <w:t>一、基金的转托管</w:t>
      </w:r>
      <w:bookmarkEnd w:id="1814"/>
    </w:p>
    <w:p w:rsidR="005C6370" w:rsidP="00A24D29" w14:paraId="703C551E"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基金份额持有人可办理已持有基金份额在不同销售机构之间的转托管，基金销售机构可以按照规定的标准收取转托管费。</w:t>
      </w:r>
    </w:p>
    <w:p w:rsidR="005C6370" w:rsidP="00A24D29" w14:paraId="559A5190" w14:textId="77777777">
      <w:pPr>
        <w:spacing w:line="360" w:lineRule="auto"/>
        <w:ind w:firstLine="422"/>
        <w:contextualSpacing/>
        <w:rPr>
          <w:rStyle w:val="da"/>
          <w:rFonts w:ascii="宋体" w:hAnsi="Calibri"/>
          <w:lang w:eastAsia="zh-CN"/>
        </w:rPr>
      </w:pPr>
      <w:r>
        <w:rPr>
          <w:rStyle w:val="da"/>
          <w:rFonts w:ascii="宋体" w:hAnsi="Calibri" w:hint="eastAsia"/>
          <w:highlight w:val="white"/>
          <w:lang w:eastAsia="zh-CN"/>
        </w:rPr>
        <w:t>具体办理方法参照《业务规则》的有关规定以及各销售机构的业务规则。</w:t>
      </w:r>
    </w:p>
    <w:p w:rsidR="005C6370" w:rsidP="00A24D29" w14:paraId="1C37F049"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二、基金份额的质押</w:t>
      </w:r>
    </w:p>
    <w:p w:rsidR="005C6370" w:rsidP="00A24D29" w14:paraId="2909D45F"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在条件许可的情况下，基金登记机构可依据相关法律法规及其业务规则，办理基金份额质押业务，并可收取一定的手续费。</w:t>
      </w:r>
    </w:p>
    <w:p w:rsidR="005C6370" w:rsidP="00A24D29" w14:paraId="79250EA9" w14:textId="77777777">
      <w:pPr>
        <w:spacing w:line="360" w:lineRule="auto"/>
        <w:ind w:firstLine="420"/>
        <w:contextualSpacing/>
        <w:rPr>
          <w:rStyle w:val="da"/>
          <w:rFonts w:ascii="宋体" w:hAnsi="Calibri"/>
          <w:lang w:eastAsia="zh-CN"/>
        </w:rPr>
      </w:pPr>
      <w:bookmarkStart w:id="1815" w:name="_Toc332373521"/>
      <w:r>
        <w:rPr>
          <w:rStyle w:val="da"/>
          <w:rFonts w:ascii="宋体" w:hAnsi="Calibri" w:hint="eastAsia"/>
          <w:highlight w:val="white"/>
          <w:lang w:eastAsia="zh-CN"/>
        </w:rPr>
        <w:t>三、基金的非交易过户</w:t>
      </w:r>
      <w:bookmarkEnd w:id="1815"/>
    </w:p>
    <w:p w:rsidR="005C6370" w:rsidP="00A24D29" w14:paraId="1DB0548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rsidR="005C6370" w:rsidP="00A24D29" w14:paraId="10A828BF"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rsidR="005C6370" w:rsidP="00A24D29" w14:paraId="1E2FEF78" w14:textId="77777777">
      <w:pPr>
        <w:spacing w:line="360" w:lineRule="auto"/>
        <w:ind w:firstLine="420"/>
        <w:contextualSpacing/>
        <w:rPr>
          <w:rStyle w:val="da"/>
          <w:rFonts w:ascii="宋体" w:hAnsi="Calibri"/>
          <w:lang w:eastAsia="zh-CN"/>
        </w:rPr>
      </w:pPr>
      <w:bookmarkStart w:id="1816" w:name="_Toc332373522"/>
      <w:r>
        <w:rPr>
          <w:rStyle w:val="da"/>
          <w:rFonts w:ascii="宋体" w:hAnsi="Calibri" w:hint="eastAsia"/>
          <w:highlight w:val="white"/>
          <w:lang w:eastAsia="zh-CN"/>
        </w:rPr>
        <w:t>四、基金的冻结与解冻</w:t>
      </w:r>
      <w:bookmarkEnd w:id="1816"/>
    </w:p>
    <w:p w:rsidR="005C6370" w:rsidP="00A24D29" w14:paraId="30029E65"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基金登记机构只受理国家有权机关依法要求的基金份额的冻结与解冻，以及登记机构认可、符合法律法规的其他情况下的冻结与解冻。</w:t>
      </w:r>
    </w:p>
    <w:p w:rsidR="005C6370" w:rsidP="00A24D29" w14:paraId="6F834D53" w14:textId="77777777">
      <w:pPr>
        <w:pStyle w:val="Heading1"/>
        <w:spacing w:before="317" w:after="317" w:line="320" w:lineRule="exact"/>
        <w:ind w:firstLine="640"/>
        <w:contextualSpacing/>
        <w:rPr>
          <w:rFonts w:ascii="宋体" w:eastAsia="宋体" w:hAnsi="Calibri"/>
          <w:sz w:val="30"/>
          <w:szCs w:val="30"/>
          <w:lang w:eastAsia="zh-CN"/>
        </w:rPr>
      </w:pPr>
      <w:r>
        <w:rPr>
          <w:rFonts w:ascii="宋体" w:eastAsia="宋体" w:hAnsi="Calibri" w:hint="eastAsia"/>
          <w:highlight w:val="white"/>
          <w:lang w:eastAsia="zh-CN"/>
        </w:rPr>
        <w:br w:type="column"/>
      </w:r>
      <w:bookmarkStart w:id="1817" w:name="_Toc332373523"/>
      <w:bookmarkStart w:id="1818" w:name="_Toc121776975"/>
      <w:r>
        <w:rPr>
          <w:rFonts w:ascii="宋体" w:eastAsia="宋体" w:hAnsi="Calibri" w:hint="eastAsia"/>
          <w:sz w:val="30"/>
          <w:szCs w:val="30"/>
          <w:highlight w:val="white"/>
          <w:lang w:eastAsia="zh-CN"/>
        </w:rPr>
        <w:t>第十二部分 基金的投资</w:t>
      </w:r>
      <w:bookmarkEnd w:id="1817"/>
      <w:bookmarkEnd w:id="1818"/>
    </w:p>
    <w:p w:rsidR="005C6370" w:rsidP="00A24D29" w14:paraId="1B3A51AE" w14:textId="77777777">
      <w:pPr>
        <w:spacing w:line="360" w:lineRule="auto"/>
        <w:ind w:firstLine="420"/>
        <w:contextualSpacing/>
        <w:rPr>
          <w:rStyle w:val="da"/>
          <w:rFonts w:ascii="宋体" w:eastAsia="黑体" w:hAnsi="Calibri"/>
          <w:sz w:val="32"/>
          <w:szCs w:val="32"/>
          <w:lang w:eastAsia="zh-CN"/>
        </w:rPr>
      </w:pPr>
      <w:bookmarkStart w:id="1819" w:name="_Toc332373524"/>
      <w:r>
        <w:rPr>
          <w:rStyle w:val="da"/>
          <w:rFonts w:ascii="宋体" w:hAnsi="Calibri" w:hint="eastAsia"/>
          <w:highlight w:val="white"/>
          <w:lang w:eastAsia="zh-CN"/>
        </w:rPr>
        <w:t>一、投资目标</w:t>
      </w:r>
      <w:bookmarkEnd w:id="1819"/>
    </w:p>
    <w:p w:rsidR="005C6370" w:rsidP="00A24D29" w14:paraId="275C42AD" w14:textId="77777777">
      <w:pPr>
        <w:spacing w:line="360" w:lineRule="auto"/>
        <w:ind w:firstLine="420"/>
        <w:contextualSpacing/>
        <w:rPr>
          <w:rStyle w:val="da"/>
          <w:rFonts w:ascii="宋体" w:hAnsi="Calibri"/>
          <w:lang w:eastAsia="zh-CN"/>
        </w:rPr>
      </w:pPr>
      <w:bookmarkStart w:id="1820" w:name="_Toc332373525"/>
      <w:r>
        <w:rPr>
          <w:rStyle w:val="da"/>
          <w:rFonts w:ascii="宋体" w:hAnsi="Calibri"/>
          <w:lang w:eastAsia="zh-CN"/>
        </w:rPr>
        <w:t>通过大类资产的合理配置及基金精选，在控制整体风险的前提下，力争实现资产的长期稳健增值。</w:t>
      </w:r>
    </w:p>
    <w:p w:rsidR="005C6370" w:rsidP="00A24D29" w14:paraId="19769EBF"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二、投资范围</w:t>
      </w:r>
      <w:bookmarkEnd w:id="1820"/>
    </w:p>
    <w:p w:rsidR="005C6370" w:rsidP="00A24D29" w14:paraId="76B4CC31" w14:textId="77777777">
      <w:pPr>
        <w:widowControl/>
        <w:spacing w:line="360" w:lineRule="auto"/>
        <w:ind w:firstLine="420"/>
        <w:contextualSpacing/>
        <w:rPr>
          <w:rStyle w:val="da"/>
          <w:rFonts w:ascii="宋体" w:hAnsi="Calibri"/>
          <w:lang w:eastAsia="zh-CN"/>
        </w:rPr>
      </w:pPr>
      <w:bookmarkStart w:id="1821" w:name="_Toc359426195"/>
      <w:bookmarkStart w:id="1822" w:name="_Toc332373526"/>
      <w:r>
        <w:rPr>
          <w:rStyle w:val="da"/>
          <w:rFonts w:ascii="宋体" w:hAnsi="Calibri"/>
          <w:lang w:eastAsia="zh-CN"/>
        </w:rPr>
        <w:t>本基金的投资范围包括经中国证监会依法核准或注册的基金（含QDII基金及香港互认基金、公开募集不动产投资信托基金（以下简称</w:t>
      </w:r>
      <w:r>
        <w:rPr>
          <w:rStyle w:val="da"/>
          <w:rFonts w:ascii="宋体" w:hAnsi="Calibri"/>
          <w:lang w:eastAsia="zh-CN"/>
        </w:rPr>
        <w:t>“</w:t>
      </w:r>
      <w:r>
        <w:rPr>
          <w:rStyle w:val="da"/>
          <w:rFonts w:ascii="宋体" w:hAnsi="Calibri"/>
          <w:lang w:eastAsia="zh-CN"/>
        </w:rPr>
        <w:t>公募REITs</w:t>
      </w:r>
      <w:r>
        <w:rPr>
          <w:rStyle w:val="da"/>
          <w:rFonts w:ascii="宋体" w:hAnsi="Calibri"/>
          <w:lang w:eastAsia="zh-CN"/>
        </w:rPr>
        <w:t>”</w:t>
      </w:r>
      <w:r>
        <w:rPr>
          <w:rStyle w:val="da"/>
          <w:rFonts w:ascii="宋体" w:hAnsi="Calibri"/>
          <w:lang w:eastAsia="zh-CN"/>
        </w:rPr>
        <w:t>）、商品基金（包括商品期货基金和黄金ETF等））、国内依法发行上市的股票（包括创业板、科创板及其他依法发行上市的股票、存托凭证）、内地与香港股票市场交易互联互通机制允许买卖的香港证券市场股票和交易型开放式基金（以下分别简称</w:t>
      </w:r>
      <w:r>
        <w:rPr>
          <w:rStyle w:val="da"/>
          <w:rFonts w:ascii="宋体" w:hAnsi="Calibri"/>
          <w:lang w:eastAsia="zh-CN"/>
        </w:rPr>
        <w:t>“</w:t>
      </w:r>
      <w:r>
        <w:rPr>
          <w:rStyle w:val="da"/>
          <w:rFonts w:ascii="宋体" w:hAnsi="Calibri"/>
          <w:lang w:eastAsia="zh-CN"/>
        </w:rPr>
        <w:t>港股通股票</w:t>
      </w:r>
      <w:r>
        <w:rPr>
          <w:rStyle w:val="da"/>
          <w:rFonts w:ascii="宋体" w:hAnsi="Calibri"/>
          <w:lang w:eastAsia="zh-CN"/>
        </w:rPr>
        <w:t>”</w:t>
      </w:r>
      <w:r>
        <w:rPr>
          <w:rStyle w:val="da"/>
          <w:rFonts w:ascii="宋体" w:hAnsi="Calibri"/>
          <w:lang w:eastAsia="zh-CN"/>
        </w:rPr>
        <w:t>、</w:t>
      </w:r>
      <w:r>
        <w:rPr>
          <w:rStyle w:val="da"/>
          <w:rFonts w:ascii="宋体" w:hAnsi="Calibri"/>
          <w:lang w:eastAsia="zh-CN"/>
        </w:rPr>
        <w:t>“</w:t>
      </w:r>
      <w:r>
        <w:rPr>
          <w:rStyle w:val="da"/>
          <w:rFonts w:ascii="宋体" w:hAnsi="Calibri"/>
          <w:lang w:eastAsia="zh-CN"/>
        </w:rPr>
        <w:t>港股通ETF</w:t>
      </w:r>
      <w:r>
        <w:rPr>
          <w:rStyle w:val="da"/>
          <w:rFonts w:ascii="宋体" w:hAnsi="Calibri"/>
          <w:lang w:eastAsia="zh-CN"/>
        </w:rPr>
        <w:t>”</w:t>
      </w:r>
      <w:r>
        <w:rPr>
          <w:rStyle w:val="da"/>
          <w:rFonts w:ascii="宋体" w:hAnsi="Calibri"/>
          <w:lang w:eastAsia="zh-CN"/>
        </w:rPr>
        <w:t>）、国内依法发行上市的债券（包括国债、央行票据、地方政府债、金融债、企业债、公司债、次级债、中期票据、短期融资券、超短期融资券、政府支持机构债券、可转换债券、可交换债券等）、资产支持证券、债券回购、银行存款、同业存单、货币市场工具及法律法规或中国证监会允许基金投资的其他金融工具。</w:t>
      </w:r>
    </w:p>
    <w:p w:rsidR="005C6370" w:rsidP="00A24D29" w14:paraId="110A6698" w14:textId="77777777">
      <w:pPr>
        <w:widowControl/>
        <w:spacing w:line="360" w:lineRule="auto"/>
        <w:ind w:firstLine="420"/>
        <w:contextualSpacing/>
        <w:rPr>
          <w:rStyle w:val="da"/>
          <w:rFonts w:ascii="宋体" w:hAnsi="Calibri"/>
          <w:lang w:eastAsia="zh-CN"/>
        </w:rPr>
      </w:pPr>
      <w:r>
        <w:rPr>
          <w:rStyle w:val="da"/>
          <w:rFonts w:ascii="宋体" w:hAnsi="Calibri"/>
          <w:lang w:eastAsia="zh-CN"/>
        </w:rPr>
        <w:t>如法律法规或监管机构以后允许基金投资其他品种，基金管理人在履行适当程序后，本基金可以将其纳入投资范围。</w:t>
      </w:r>
    </w:p>
    <w:p w:rsidR="005C6370" w:rsidP="00A24D29" w14:paraId="570E932F"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基金的投资组合比例为：</w:t>
      </w:r>
      <w:r>
        <w:rPr>
          <w:rStyle w:val="da"/>
          <w:rFonts w:ascii="宋体" w:hAnsi="Calibri"/>
          <w:lang w:eastAsia="zh-CN"/>
        </w:rPr>
        <w:t>本基金投资于经中国证监会依法核准或注册基金的资产不低于基金资产的80%，权益类资产占基金资产的比例为5%</w:t>
      </w:r>
      <w:r>
        <w:rPr>
          <w:rStyle w:val="da"/>
          <w:rFonts w:ascii="宋体" w:hAnsi="Calibri"/>
          <w:lang w:eastAsia="zh-CN"/>
        </w:rPr>
        <w:t>—</w:t>
      </w:r>
      <w:r>
        <w:rPr>
          <w:rStyle w:val="da"/>
          <w:rFonts w:ascii="宋体" w:hAnsi="Calibri"/>
          <w:lang w:eastAsia="zh-CN"/>
        </w:rPr>
        <w:t>30%</w:t>
      </w:r>
      <w:r>
        <w:rPr>
          <w:rStyle w:val="da"/>
          <w:rFonts w:ascii="宋体" w:hAnsi="Calibri" w:hint="eastAsia"/>
          <w:lang w:eastAsia="zh-CN"/>
        </w:rPr>
        <w:t>（其中，本基金投资于境内股票、股票型基金、权益类混合型基金的资产合计不低于基金资产的5%）</w:t>
      </w:r>
      <w:r>
        <w:rPr>
          <w:rStyle w:val="da"/>
          <w:rFonts w:ascii="宋体" w:hAnsi="Calibri"/>
          <w:lang w:eastAsia="zh-CN"/>
        </w:rPr>
        <w:t>，投资于港股通股票的资产不超过股票资产的50%，投资于QDII基金、香港互认基金的资产合计不超过基金资产的20%，投资于商品基金（含商品期货基金和黄金ETF等）的资产合计不超过基金资产的10%；保持不低于基金资产净值5％的现金或者到期日在一年以内的政府债券，其中现金不包括结算备付金、存出保证金和应收申购款等。</w:t>
      </w:r>
      <w:bookmarkEnd w:id="1821"/>
    </w:p>
    <w:p w:rsidR="005C6370" w:rsidP="00A24D29" w14:paraId="6531543A" w14:textId="77777777">
      <w:pPr>
        <w:spacing w:line="360" w:lineRule="auto"/>
        <w:ind w:firstLine="420"/>
        <w:contextualSpacing/>
        <w:rPr>
          <w:rStyle w:val="da"/>
          <w:rFonts w:ascii="宋体" w:hAnsi="Calibri"/>
          <w:lang w:eastAsia="zh-CN"/>
        </w:rPr>
      </w:pPr>
      <w:r>
        <w:rPr>
          <w:rStyle w:val="da"/>
          <w:rFonts w:ascii="宋体" w:hAnsi="Calibri"/>
          <w:lang w:eastAsia="zh-CN"/>
        </w:rPr>
        <w:t>权益类资产包括股票、股票型基金以及权益类混合型基金。权益类混合型基金指至少满足以下一条标准的混合型基金：（1）基金合同约定投资股票资产占基金资产的比例不低于60%；（2）基金最近4期季度报告中披露的股票资产占基金资产的比例均不低于60%。</w:t>
      </w:r>
    </w:p>
    <w:p w:rsidR="005C6370" w:rsidP="00A24D29" w14:paraId="3079335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三、投资策略</w:t>
      </w:r>
      <w:bookmarkEnd w:id="1822"/>
    </w:p>
    <w:p w:rsidR="005C6370" w:rsidP="00A24D29" w14:paraId="34B2D377" w14:textId="77777777">
      <w:pPr>
        <w:spacing w:line="360" w:lineRule="auto"/>
        <w:ind w:firstLine="420"/>
        <w:contextualSpacing/>
        <w:rPr>
          <w:rStyle w:val="da"/>
          <w:rFonts w:ascii="宋体" w:hAnsi="Calibri"/>
          <w:lang w:eastAsia="zh-CN"/>
        </w:rPr>
      </w:pPr>
      <w:bookmarkStart w:id="1823" w:name="_Toc332373530"/>
      <w:bookmarkStart w:id="1824" w:name="question3"/>
      <w:r>
        <w:rPr>
          <w:rStyle w:val="da"/>
          <w:rFonts w:ascii="宋体" w:hAnsi="Calibri"/>
          <w:lang w:eastAsia="zh-CN"/>
        </w:rPr>
        <w:t>本基金将秉承稳健的投资风格，严格控制投资组合风险，力争为投资者获得长期投资回报。</w:t>
      </w:r>
    </w:p>
    <w:p w:rsidR="005C6370" w:rsidP="00A24D29" w14:paraId="4B674DAD" w14:textId="77777777">
      <w:pPr>
        <w:spacing w:line="360" w:lineRule="auto"/>
        <w:ind w:firstLine="420"/>
        <w:contextualSpacing/>
        <w:rPr>
          <w:rStyle w:val="da"/>
          <w:rFonts w:ascii="宋体" w:hAnsi="Calibri"/>
          <w:lang w:eastAsia="zh-CN"/>
        </w:rPr>
      </w:pPr>
      <w:r>
        <w:rPr>
          <w:rStyle w:val="da"/>
          <w:rFonts w:ascii="宋体" w:hAnsi="Calibri"/>
          <w:lang w:eastAsia="zh-CN"/>
        </w:rPr>
        <w:t>本基金的主要投资策略包括资产配置策略、基金筛选策略、基金配置策略。</w:t>
      </w:r>
    </w:p>
    <w:p w:rsidR="005C6370" w:rsidP="00A24D29" w14:paraId="551BD0B2" w14:textId="77777777">
      <w:pPr>
        <w:spacing w:line="360" w:lineRule="auto"/>
        <w:ind w:firstLine="420"/>
        <w:contextualSpacing/>
        <w:rPr>
          <w:rStyle w:val="da"/>
          <w:rFonts w:ascii="宋体" w:hAnsi="Calibri"/>
          <w:lang w:eastAsia="zh-CN"/>
        </w:rPr>
      </w:pPr>
      <w:r>
        <w:rPr>
          <w:rStyle w:val="da"/>
          <w:rFonts w:ascii="宋体" w:hAnsi="Calibri"/>
          <w:lang w:eastAsia="zh-CN"/>
        </w:rPr>
        <w:t>1、资产配置策略</w:t>
      </w:r>
    </w:p>
    <w:p w:rsidR="005C6370" w:rsidP="00A24D29" w14:paraId="27221741" w14:textId="77777777">
      <w:pPr>
        <w:spacing w:line="360" w:lineRule="auto"/>
        <w:ind w:firstLine="420"/>
        <w:contextualSpacing/>
        <w:rPr>
          <w:rStyle w:val="da"/>
          <w:rFonts w:ascii="宋体" w:hAnsi="Calibri"/>
          <w:lang w:eastAsia="zh-CN"/>
        </w:rPr>
      </w:pPr>
      <w:r>
        <w:rPr>
          <w:rStyle w:val="da"/>
          <w:rFonts w:ascii="宋体" w:hAnsi="Calibri"/>
          <w:lang w:eastAsia="zh-CN"/>
        </w:rPr>
        <w:t>本基金的长期资产配置将以固定收益类资产为主，在此基础上，基金管理人将通过定性分析和定量分析相结合的方式对未来市场环境进行预测和判断，确定基金资产在权益类资产、商品基金和固定收益类资产间的配置比例，并随着各类资产风险收益特征的相对变化，动态调整组合中各类资产的配置比例。</w:t>
      </w:r>
    </w:p>
    <w:p w:rsidR="005C6370" w:rsidP="00A24D29" w14:paraId="61E2E33D" w14:textId="77777777">
      <w:pPr>
        <w:spacing w:line="360" w:lineRule="auto"/>
        <w:ind w:firstLine="420"/>
        <w:contextualSpacing/>
        <w:rPr>
          <w:rStyle w:val="da"/>
          <w:rFonts w:ascii="宋体" w:hAnsi="Calibri"/>
          <w:lang w:eastAsia="zh-CN"/>
        </w:rPr>
      </w:pPr>
      <w:r>
        <w:rPr>
          <w:rStyle w:val="da"/>
          <w:rFonts w:ascii="宋体" w:hAnsi="Calibri"/>
          <w:lang w:eastAsia="zh-CN"/>
        </w:rPr>
        <w:t>2、基金筛选策略</w:t>
      </w:r>
    </w:p>
    <w:p w:rsidR="005C6370" w:rsidP="00A24D29" w14:paraId="58349811" w14:textId="77777777">
      <w:pPr>
        <w:spacing w:line="360" w:lineRule="auto"/>
        <w:ind w:firstLine="420"/>
        <w:contextualSpacing/>
        <w:rPr>
          <w:rStyle w:val="da"/>
          <w:rFonts w:ascii="宋体" w:hAnsi="Calibri"/>
          <w:lang w:eastAsia="zh-CN"/>
        </w:rPr>
      </w:pPr>
      <w:r>
        <w:rPr>
          <w:rStyle w:val="da"/>
          <w:rFonts w:ascii="宋体" w:hAnsi="Calibri"/>
          <w:lang w:eastAsia="zh-CN"/>
        </w:rPr>
        <w:t>基金筛选策略是基金配置策略的基础，本基金所投资的全部基金都应是通过基金筛选策略选择出的标的基金。</w:t>
      </w:r>
    </w:p>
    <w:p w:rsidR="005C6370" w:rsidP="00A24D29" w14:paraId="74BA9625" w14:textId="77777777">
      <w:pPr>
        <w:spacing w:line="360" w:lineRule="auto"/>
        <w:ind w:firstLine="420"/>
        <w:contextualSpacing/>
        <w:rPr>
          <w:rStyle w:val="da"/>
          <w:rFonts w:ascii="宋体" w:hAnsi="Calibri"/>
          <w:lang w:eastAsia="zh-CN"/>
        </w:rPr>
      </w:pPr>
      <w:r>
        <w:rPr>
          <w:rStyle w:val="da"/>
          <w:rFonts w:ascii="宋体" w:hAnsi="Calibri"/>
          <w:lang w:eastAsia="zh-CN"/>
        </w:rPr>
        <w:t>对被动型基金和主动型基金将使用不同的筛选方法。</w:t>
      </w:r>
    </w:p>
    <w:p w:rsidR="005C6370" w:rsidP="00A24D29" w14:paraId="351EFEB5" w14:textId="77777777">
      <w:pPr>
        <w:spacing w:line="360" w:lineRule="auto"/>
        <w:ind w:firstLine="420"/>
        <w:contextualSpacing/>
        <w:rPr>
          <w:rStyle w:val="da"/>
          <w:rFonts w:ascii="宋体" w:hAnsi="Calibri"/>
          <w:lang w:eastAsia="zh-CN"/>
        </w:rPr>
      </w:pPr>
      <w:r>
        <w:rPr>
          <w:rStyle w:val="da"/>
          <w:rFonts w:ascii="宋体" w:hAnsi="Calibri"/>
          <w:lang w:eastAsia="zh-CN"/>
        </w:rPr>
        <w:t>（1）被动型基金筛选策略</w:t>
      </w:r>
    </w:p>
    <w:p w:rsidR="005C6370" w:rsidP="00A24D29" w14:paraId="011E2393" w14:textId="77777777">
      <w:pPr>
        <w:spacing w:line="360" w:lineRule="auto"/>
        <w:ind w:firstLine="420"/>
        <w:contextualSpacing/>
        <w:rPr>
          <w:rStyle w:val="da"/>
          <w:rFonts w:ascii="宋体" w:hAnsi="Calibri"/>
          <w:lang w:eastAsia="zh-CN"/>
        </w:rPr>
      </w:pPr>
      <w:r>
        <w:rPr>
          <w:rStyle w:val="da"/>
          <w:rFonts w:ascii="宋体" w:hAnsi="Calibri"/>
          <w:lang w:eastAsia="zh-CN"/>
        </w:rPr>
        <w:t>本基金所界定的被动型基金包括跟踪某一指数表现、某一价格或价格指数表现的基金。</w:t>
      </w:r>
    </w:p>
    <w:p w:rsidR="005C6370" w:rsidP="00A24D29" w14:paraId="7C476C41" w14:textId="77777777">
      <w:pPr>
        <w:spacing w:line="360" w:lineRule="auto"/>
        <w:ind w:firstLine="420"/>
        <w:contextualSpacing/>
        <w:rPr>
          <w:rStyle w:val="da"/>
          <w:rFonts w:ascii="宋体" w:hAnsi="Calibri"/>
          <w:lang w:eastAsia="zh-CN"/>
        </w:rPr>
      </w:pPr>
      <w:r>
        <w:rPr>
          <w:rStyle w:val="da"/>
          <w:rFonts w:ascii="宋体" w:hAnsi="Calibri"/>
          <w:lang w:eastAsia="zh-CN"/>
        </w:rPr>
        <w:t>对于被动型基金，本基金将综合考虑运作时间、基金规模、流动性、跟踪误差以及费率水平等指标，筛选出跟踪误差较小、流动性较好、运作平稳、费率水平合理的被动型基金纳入标的基金池。</w:t>
      </w:r>
    </w:p>
    <w:p w:rsidR="005C6370" w:rsidP="00A24D29" w14:paraId="5B11001C" w14:textId="77777777">
      <w:pPr>
        <w:spacing w:line="360" w:lineRule="auto"/>
        <w:ind w:firstLine="420"/>
        <w:contextualSpacing/>
        <w:rPr>
          <w:rStyle w:val="da"/>
          <w:rFonts w:ascii="宋体" w:hAnsi="Calibri"/>
          <w:lang w:eastAsia="zh-CN"/>
        </w:rPr>
      </w:pPr>
      <w:r>
        <w:rPr>
          <w:rStyle w:val="da"/>
          <w:rFonts w:ascii="宋体" w:hAnsi="Calibri"/>
          <w:lang w:eastAsia="zh-CN"/>
        </w:rPr>
        <w:t>（2）主动型基金筛选策略</w:t>
      </w:r>
    </w:p>
    <w:p w:rsidR="005C6370" w:rsidP="00A24D29" w14:paraId="363E1959" w14:textId="77777777">
      <w:pPr>
        <w:spacing w:line="360" w:lineRule="auto"/>
        <w:ind w:firstLine="420"/>
        <w:contextualSpacing/>
        <w:rPr>
          <w:rStyle w:val="da"/>
          <w:rFonts w:ascii="宋体" w:hAnsi="Calibri"/>
          <w:lang w:eastAsia="zh-CN"/>
        </w:rPr>
      </w:pPr>
      <w:r>
        <w:rPr>
          <w:rStyle w:val="da"/>
          <w:rFonts w:ascii="宋体" w:hAnsi="Calibri"/>
          <w:lang w:eastAsia="zh-CN"/>
        </w:rPr>
        <w:t>本基金所界定的主动型基金是指除前述所界定的被动型基金外的全部基金。</w:t>
      </w:r>
    </w:p>
    <w:p w:rsidR="005C6370" w:rsidP="00A24D29" w14:paraId="075F49BF" w14:textId="77777777">
      <w:pPr>
        <w:spacing w:line="360" w:lineRule="auto"/>
        <w:ind w:firstLine="420"/>
        <w:contextualSpacing/>
        <w:rPr>
          <w:rStyle w:val="da"/>
          <w:rFonts w:ascii="宋体" w:hAnsi="Calibri"/>
          <w:lang w:eastAsia="zh-CN"/>
        </w:rPr>
      </w:pPr>
      <w:r>
        <w:rPr>
          <w:rStyle w:val="da"/>
          <w:rFonts w:ascii="宋体" w:hAnsi="Calibri"/>
          <w:lang w:eastAsia="zh-CN"/>
        </w:rPr>
        <w:t>主动型基金主要采用基金定量评价、基金定性评价等方法筛选标的基金。</w:t>
      </w:r>
    </w:p>
    <w:p w:rsidR="005C6370" w:rsidP="00A24D29" w14:paraId="6D9CD2C4" w14:textId="77777777">
      <w:pPr>
        <w:spacing w:line="360" w:lineRule="auto"/>
        <w:ind w:firstLine="420"/>
        <w:contextualSpacing/>
        <w:rPr>
          <w:rStyle w:val="da"/>
          <w:rFonts w:ascii="宋体" w:hAnsi="Calibri"/>
          <w:lang w:eastAsia="zh-CN"/>
        </w:rPr>
      </w:pPr>
      <w:r>
        <w:rPr>
          <w:rStyle w:val="da"/>
          <w:rFonts w:ascii="宋体" w:hAnsi="Calibri"/>
          <w:lang w:eastAsia="zh-CN"/>
        </w:rPr>
        <w:t>1）基金定量评价</w:t>
      </w:r>
    </w:p>
    <w:p w:rsidR="005C6370" w:rsidP="00A24D29" w14:paraId="344E93C1" w14:textId="77777777">
      <w:pPr>
        <w:spacing w:line="360" w:lineRule="auto"/>
        <w:ind w:firstLine="420"/>
        <w:contextualSpacing/>
        <w:rPr>
          <w:rStyle w:val="da"/>
          <w:rFonts w:ascii="宋体" w:hAnsi="Calibri"/>
          <w:lang w:eastAsia="zh-CN"/>
        </w:rPr>
      </w:pPr>
      <w:r>
        <w:rPr>
          <w:rStyle w:val="da"/>
          <w:rFonts w:ascii="宋体" w:hAnsi="Calibri"/>
          <w:lang w:eastAsia="zh-CN"/>
        </w:rPr>
        <w:t>基金管理人从多个维度对主动型基金进行定量评价。结合主动型基金公开披露的数据，本基金将利用基金定量评价体系对基金的基本情况和投资业绩、基金经理的投资行为和投资能力等方面进行评估，得到量化评价结果。</w:t>
      </w:r>
    </w:p>
    <w:p w:rsidR="005C6370" w:rsidP="00A24D29" w14:paraId="458711FA" w14:textId="77777777">
      <w:pPr>
        <w:spacing w:line="360" w:lineRule="auto"/>
        <w:ind w:firstLine="420"/>
        <w:contextualSpacing/>
        <w:rPr>
          <w:rStyle w:val="da"/>
          <w:rFonts w:ascii="宋体" w:hAnsi="Calibri"/>
          <w:lang w:eastAsia="zh-CN"/>
        </w:rPr>
      </w:pPr>
      <w:r>
        <w:rPr>
          <w:rStyle w:val="da"/>
          <w:rFonts w:ascii="宋体" w:hAnsi="Calibri"/>
          <w:lang w:eastAsia="zh-CN"/>
        </w:rPr>
        <w:t>2）基金定性评价</w:t>
      </w:r>
    </w:p>
    <w:p w:rsidR="005C6370" w:rsidP="00A24D29" w14:paraId="69C98CDE" w14:textId="77777777">
      <w:pPr>
        <w:spacing w:line="360" w:lineRule="auto"/>
        <w:ind w:firstLine="420"/>
        <w:contextualSpacing/>
        <w:rPr>
          <w:rStyle w:val="da"/>
          <w:rFonts w:ascii="宋体" w:hAnsi="Calibri"/>
          <w:lang w:eastAsia="zh-CN"/>
        </w:rPr>
      </w:pPr>
      <w:r>
        <w:rPr>
          <w:rStyle w:val="da"/>
          <w:rFonts w:ascii="宋体" w:hAnsi="Calibri"/>
          <w:lang w:eastAsia="zh-CN"/>
        </w:rPr>
        <w:t>除了基金定量评价外，本基金还将关注以下因素，对基金进行定性评价，包括但不限于基金公司的经营情况、管理情况、风险管理体系，基金经理的从业背景、投资框架、投资理念、投资策略、投资风格、组合管理方法和风险控制等。</w:t>
      </w:r>
    </w:p>
    <w:p w:rsidR="005C6370" w:rsidP="00A24D29" w14:paraId="742E13CF" w14:textId="77777777">
      <w:pPr>
        <w:spacing w:line="360" w:lineRule="auto"/>
        <w:ind w:firstLine="420"/>
        <w:contextualSpacing/>
        <w:rPr>
          <w:rStyle w:val="da"/>
          <w:rFonts w:ascii="宋体" w:hAnsi="Calibri"/>
          <w:lang w:eastAsia="zh-CN"/>
        </w:rPr>
      </w:pPr>
      <w:r>
        <w:rPr>
          <w:rStyle w:val="da"/>
          <w:rFonts w:ascii="宋体" w:hAnsi="Calibri"/>
          <w:lang w:eastAsia="zh-CN"/>
        </w:rPr>
        <w:t>3）公募REITs投资策略</w:t>
      </w:r>
    </w:p>
    <w:p w:rsidR="005C6370" w:rsidP="00A24D29" w14:paraId="26BAF35F" w14:textId="77777777">
      <w:pPr>
        <w:spacing w:line="360" w:lineRule="auto"/>
        <w:ind w:firstLine="420"/>
        <w:contextualSpacing/>
        <w:rPr>
          <w:rStyle w:val="da"/>
          <w:rFonts w:ascii="宋体" w:hAnsi="Calibri"/>
          <w:lang w:eastAsia="zh-CN"/>
        </w:rPr>
      </w:pPr>
      <w:r>
        <w:rPr>
          <w:rStyle w:val="da"/>
          <w:rFonts w:ascii="宋体" w:hAnsi="Calibri"/>
          <w:lang w:eastAsia="zh-CN"/>
        </w:rPr>
        <w:t>本基金可投资公募REITs。本基金将综合考量宏观经济运行情况、基金资产配置策略、底层资产运营情况、流动性及估值水平等因素，对公募REITs的投资价值进行深入研究，精选出具有较高投资价值的公募REITs进行投资。本基金根据投资策略需要或市场环境变化，可选择将部分基金资产投资于公募REITs，但本基金并非必然投资公募REITs。</w:t>
      </w:r>
    </w:p>
    <w:p w:rsidR="005C6370" w:rsidP="00A24D29" w14:paraId="6D17510F" w14:textId="77777777">
      <w:pPr>
        <w:spacing w:line="360" w:lineRule="auto"/>
        <w:ind w:firstLine="420"/>
        <w:contextualSpacing/>
        <w:rPr>
          <w:rStyle w:val="da"/>
          <w:rFonts w:ascii="宋体" w:hAnsi="Calibri"/>
          <w:lang w:eastAsia="zh-CN"/>
        </w:rPr>
      </w:pPr>
      <w:r>
        <w:rPr>
          <w:rStyle w:val="da"/>
          <w:rFonts w:ascii="宋体" w:hAnsi="Calibri"/>
          <w:lang w:eastAsia="zh-CN"/>
        </w:rPr>
        <w:t>通过上述分析，本基金将筛选出投资风格相对稳定，投资价值相对较高的主动型基金纳入标的基金池。</w:t>
      </w:r>
    </w:p>
    <w:p w:rsidR="005C6370" w:rsidP="00A24D29" w14:paraId="328DAC94" w14:textId="77777777">
      <w:pPr>
        <w:spacing w:line="360" w:lineRule="auto"/>
        <w:ind w:firstLine="420"/>
        <w:contextualSpacing/>
        <w:rPr>
          <w:rStyle w:val="da"/>
          <w:rFonts w:ascii="宋体" w:hAnsi="Calibri"/>
          <w:lang w:eastAsia="zh-CN"/>
        </w:rPr>
      </w:pPr>
      <w:r>
        <w:rPr>
          <w:rStyle w:val="da"/>
          <w:rFonts w:ascii="宋体" w:hAnsi="Calibri"/>
          <w:lang w:eastAsia="zh-CN"/>
        </w:rPr>
        <w:t>本基金将结合市场行情、基金的定期报告等对标的基金池进行动态调整。</w:t>
      </w:r>
    </w:p>
    <w:p w:rsidR="005C6370" w:rsidP="00A24D29" w14:paraId="002274A0" w14:textId="77777777">
      <w:pPr>
        <w:spacing w:line="360" w:lineRule="auto"/>
        <w:ind w:firstLine="420"/>
        <w:contextualSpacing/>
        <w:rPr>
          <w:rStyle w:val="da"/>
          <w:rFonts w:ascii="宋体" w:hAnsi="Calibri"/>
          <w:lang w:eastAsia="zh-CN"/>
        </w:rPr>
      </w:pPr>
      <w:r>
        <w:rPr>
          <w:rStyle w:val="da"/>
          <w:rFonts w:ascii="宋体" w:hAnsi="Calibri"/>
          <w:lang w:eastAsia="zh-CN"/>
        </w:rPr>
        <w:t>3、基金配置策略</w:t>
      </w:r>
    </w:p>
    <w:p w:rsidR="005C6370" w:rsidP="00A24D29" w14:paraId="44E0BCD8" w14:textId="77777777">
      <w:pPr>
        <w:spacing w:line="360" w:lineRule="auto"/>
        <w:ind w:firstLine="420"/>
        <w:contextualSpacing/>
        <w:rPr>
          <w:rStyle w:val="da"/>
          <w:rFonts w:ascii="宋体" w:hAnsi="Calibri"/>
          <w:lang w:eastAsia="zh-CN"/>
        </w:rPr>
      </w:pPr>
      <w:r>
        <w:rPr>
          <w:rStyle w:val="da"/>
          <w:rFonts w:ascii="宋体" w:hAnsi="Calibri"/>
          <w:lang w:eastAsia="zh-CN"/>
        </w:rPr>
        <w:t>在通过资产配置策略获得目标资产配置比例、通过基金筛选策略获得标的基金池后，本基金将通过基金配置策略完成具体的基金组合构建。本基金将通过公开披露的数据和信息估算拟投资基金的最新资产配置比例，根据目标资产配置比例的要求以及对未来市场走势的研判，确定最终的基金配置组合。</w:t>
      </w:r>
    </w:p>
    <w:p w:rsidR="005C6370" w:rsidP="00A24D29" w14:paraId="7CB99670" w14:textId="77777777">
      <w:pPr>
        <w:spacing w:line="360" w:lineRule="auto"/>
        <w:ind w:firstLine="420"/>
        <w:contextualSpacing/>
        <w:rPr>
          <w:rStyle w:val="da"/>
          <w:rFonts w:ascii="宋体" w:hAnsi="Calibri"/>
          <w:lang w:eastAsia="zh-CN"/>
        </w:rPr>
      </w:pPr>
      <w:r>
        <w:rPr>
          <w:rStyle w:val="da"/>
          <w:rFonts w:ascii="宋体" w:hAnsi="Calibri"/>
          <w:lang w:eastAsia="zh-CN"/>
        </w:rPr>
        <w:t>投资管理过程中，本基金将结合市场行情等对基金组合进行动态调整。</w:t>
      </w:r>
    </w:p>
    <w:p w:rsidR="005C6370" w:rsidP="00A24D29" w14:paraId="76CD4B75" w14:textId="77777777">
      <w:pPr>
        <w:spacing w:line="360" w:lineRule="auto"/>
        <w:ind w:firstLine="420"/>
        <w:contextualSpacing/>
        <w:rPr>
          <w:rStyle w:val="da"/>
          <w:rFonts w:ascii="宋体" w:hAnsi="Calibri"/>
          <w:lang w:eastAsia="zh-CN"/>
        </w:rPr>
      </w:pPr>
      <w:r>
        <w:rPr>
          <w:rStyle w:val="da"/>
          <w:rFonts w:ascii="宋体" w:hAnsi="Calibri"/>
          <w:lang w:eastAsia="zh-CN"/>
        </w:rPr>
        <w:t>在上述基金配置策略的实施过程中，本基金可投资于基金管理人、基金管理人关联方所管理的其他基金。</w:t>
      </w:r>
    </w:p>
    <w:p w:rsidR="005C6370" w:rsidP="00A24D29" w14:paraId="3CD4C29D" w14:textId="77777777">
      <w:pPr>
        <w:spacing w:line="360" w:lineRule="auto"/>
        <w:ind w:firstLine="420"/>
        <w:contextualSpacing/>
        <w:rPr>
          <w:rStyle w:val="da"/>
          <w:rFonts w:ascii="宋体" w:hAnsi="Calibri"/>
          <w:lang w:eastAsia="zh-CN"/>
        </w:rPr>
      </w:pPr>
      <w:r>
        <w:rPr>
          <w:rStyle w:val="da"/>
          <w:rFonts w:ascii="宋体" w:hAnsi="Calibri"/>
          <w:lang w:eastAsia="zh-CN"/>
        </w:rPr>
        <w:t>4、股票及债券投资策略</w:t>
      </w:r>
    </w:p>
    <w:p w:rsidR="005C6370" w:rsidP="00A24D29" w14:paraId="493AC54B" w14:textId="77777777">
      <w:pPr>
        <w:spacing w:line="360" w:lineRule="auto"/>
        <w:ind w:firstLine="420"/>
        <w:contextualSpacing/>
        <w:rPr>
          <w:rStyle w:val="da"/>
          <w:rFonts w:ascii="宋体" w:hAnsi="Calibri"/>
          <w:lang w:eastAsia="zh-CN"/>
        </w:rPr>
      </w:pPr>
      <w:r>
        <w:rPr>
          <w:rStyle w:val="da"/>
          <w:rFonts w:ascii="宋体" w:hAnsi="Calibri"/>
          <w:lang w:eastAsia="zh-CN"/>
        </w:rPr>
        <w:t>本基金可适度参与股票（含港股通股票）、债券投资，以便更好实现基金的投资目标。在股票投资方面，本基金主要对股票的投资价值进行深入研究，从而精选出具有较高投资价值的个股；在债券投资方面，本基金将密切跟踪市场动态变化，选择合适的投资机会，在保持流动性的基础上，通过有效利用基金资产来追求基金的长期稳定增值。</w:t>
      </w:r>
    </w:p>
    <w:p w:rsidR="005C6370" w:rsidP="00A24D29" w14:paraId="6EAFBA4A" w14:textId="77777777">
      <w:pPr>
        <w:spacing w:line="360" w:lineRule="auto"/>
        <w:ind w:firstLine="420"/>
        <w:contextualSpacing/>
        <w:rPr>
          <w:rStyle w:val="da"/>
          <w:rFonts w:ascii="宋体" w:hAnsi="Calibri"/>
          <w:lang w:eastAsia="zh-CN"/>
        </w:rPr>
      </w:pPr>
      <w:r>
        <w:rPr>
          <w:rStyle w:val="da"/>
          <w:rFonts w:ascii="宋体" w:hAnsi="Calibri"/>
          <w:lang w:eastAsia="zh-CN"/>
        </w:rPr>
        <w:t>本基金可根据投资策略需要或不同配置地市场环境的变化，选择将部分基金资产投资于港股或选择不将基金资产投资于港股，基金资产并非必然投资港股。</w:t>
      </w:r>
    </w:p>
    <w:p w:rsidR="005C6370" w:rsidP="00A24D29" w14:paraId="668AA63C" w14:textId="77777777">
      <w:pPr>
        <w:spacing w:line="360" w:lineRule="auto"/>
        <w:ind w:firstLine="420"/>
        <w:contextualSpacing/>
        <w:rPr>
          <w:rStyle w:val="da"/>
          <w:rFonts w:ascii="宋体" w:hAnsi="Calibri"/>
          <w:lang w:eastAsia="zh-CN"/>
        </w:rPr>
      </w:pPr>
      <w:r>
        <w:rPr>
          <w:rStyle w:val="da"/>
          <w:rFonts w:ascii="宋体" w:hAnsi="Calibri"/>
          <w:lang w:eastAsia="zh-CN"/>
        </w:rPr>
        <w:t>5、存托凭证投资策略</w:t>
      </w:r>
    </w:p>
    <w:p w:rsidR="005C6370" w:rsidP="00A24D29" w14:paraId="701847A7" w14:textId="77777777">
      <w:pPr>
        <w:spacing w:line="360" w:lineRule="auto"/>
        <w:ind w:firstLine="420"/>
        <w:contextualSpacing/>
        <w:rPr>
          <w:rStyle w:val="da"/>
          <w:rFonts w:ascii="宋体" w:hAnsi="Calibri"/>
          <w:lang w:eastAsia="zh-CN"/>
        </w:rPr>
      </w:pPr>
      <w:r>
        <w:rPr>
          <w:rStyle w:val="da"/>
          <w:rFonts w:ascii="宋体" w:hAnsi="Calibri"/>
          <w:lang w:eastAsia="zh-CN"/>
        </w:rPr>
        <w:t>本基金投资存托凭证的策略依照上述股票投资策略执行。</w:t>
      </w:r>
    </w:p>
    <w:p w:rsidR="005C6370" w:rsidP="00A24D29" w14:paraId="6E81B52C" w14:textId="77777777">
      <w:pPr>
        <w:spacing w:line="360" w:lineRule="auto"/>
        <w:ind w:firstLine="420"/>
        <w:contextualSpacing/>
        <w:rPr>
          <w:rStyle w:val="da"/>
          <w:rFonts w:ascii="宋体" w:hAnsi="Calibri"/>
          <w:lang w:eastAsia="zh-CN"/>
        </w:rPr>
      </w:pPr>
      <w:r>
        <w:rPr>
          <w:rStyle w:val="da"/>
          <w:rFonts w:ascii="宋体" w:hAnsi="Calibri"/>
          <w:lang w:eastAsia="zh-CN"/>
        </w:rPr>
        <w:t>6、资产支持证券投资策略</w:t>
      </w:r>
    </w:p>
    <w:p w:rsidR="005C6370" w:rsidP="00A24D29" w14:paraId="01103B38" w14:textId="77777777">
      <w:pPr>
        <w:spacing w:line="360" w:lineRule="auto"/>
        <w:ind w:firstLine="420"/>
        <w:contextualSpacing/>
        <w:rPr>
          <w:rStyle w:val="da"/>
          <w:rFonts w:ascii="宋体" w:hAnsi="Calibri"/>
          <w:lang w:eastAsia="zh-CN"/>
        </w:rPr>
      </w:pPr>
      <w:r>
        <w:rPr>
          <w:rStyle w:val="da"/>
          <w:rFonts w:ascii="宋体" w:hAnsi="Calibri"/>
          <w:lang w:eastAsia="zh-CN"/>
        </w:rPr>
        <w:t>本基金可在综合考虑预期收益率、信用风险、流动性等因素的基础上，选择投资价值较高的资产支持证券进行投资。</w:t>
      </w:r>
    </w:p>
    <w:p w:rsidR="005C6370" w:rsidP="00A24D29" w14:paraId="66BC8BEA" w14:textId="77777777">
      <w:pPr>
        <w:spacing w:line="360" w:lineRule="auto"/>
        <w:ind w:firstLine="420"/>
        <w:contextualSpacing/>
        <w:rPr>
          <w:rStyle w:val="da"/>
          <w:rFonts w:ascii="宋体" w:hAnsi="Calibri"/>
          <w:lang w:eastAsia="zh-CN"/>
        </w:rPr>
      </w:pPr>
      <w:r>
        <w:rPr>
          <w:rStyle w:val="da"/>
          <w:rFonts w:ascii="宋体" w:hAnsi="Calibri"/>
          <w:lang w:eastAsia="zh-CN"/>
        </w:rPr>
        <w:t>7、未来，随着市场的发展和基金管理运作的需要，基金管理人可以在不改变投资目标的前提下，遵循法律法规的规定，在履行适当程序后相应调整或更新投资策略，并在招募说明书更新中公告。</w:t>
      </w:r>
    </w:p>
    <w:p w:rsidR="005C6370" w:rsidP="00A24D29" w14:paraId="6A506F2A"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四、业绩比较基准</w:t>
      </w:r>
      <w:bookmarkEnd w:id="1823"/>
      <w:r>
        <w:rPr>
          <w:rStyle w:val="da"/>
          <w:rFonts w:ascii="宋体" w:hAnsi="Calibri" w:hint="eastAsia"/>
          <w:highlight w:val="white"/>
          <w:lang w:eastAsia="zh-CN"/>
        </w:rPr>
        <w:t xml:space="preserve"> </w:t>
      </w:r>
      <w:bookmarkEnd w:id="1824"/>
    </w:p>
    <w:p w:rsidR="005C6370" w:rsidP="00A24D29" w14:paraId="2AC59DCA" w14:textId="77777777">
      <w:pPr>
        <w:spacing w:line="360" w:lineRule="auto"/>
        <w:ind w:firstLine="420"/>
        <w:contextualSpacing/>
        <w:rPr>
          <w:rStyle w:val="da"/>
          <w:rFonts w:ascii="宋体" w:hAnsi="Calibri"/>
          <w:lang w:eastAsia="zh-CN"/>
        </w:rPr>
      </w:pPr>
      <w:bookmarkStart w:id="1825" w:name="_Toc332373531"/>
      <w:r>
        <w:rPr>
          <w:rStyle w:val="da"/>
          <w:rFonts w:ascii="宋体" w:hAnsi="Calibri" w:hint="eastAsia"/>
          <w:highlight w:val="white"/>
          <w:lang w:eastAsia="zh-CN"/>
        </w:rPr>
        <w:t>本基金业绩比较基准为：</w:t>
      </w:r>
      <w:r>
        <w:rPr>
          <w:rStyle w:val="da"/>
          <w:rFonts w:ascii="宋体" w:hAnsi="Calibri" w:hint="eastAsia"/>
          <w:lang w:eastAsia="zh-CN"/>
        </w:rPr>
        <w:t>中证债券型基金指数收益率×85%+中证偏股型基金指数收益率×10%+活期存款基准利率×5%</w:t>
      </w:r>
      <w:r>
        <w:rPr>
          <w:rStyle w:val="da"/>
          <w:rFonts w:ascii="宋体" w:hAnsi="Calibri" w:hint="eastAsia"/>
          <w:highlight w:val="white"/>
          <w:lang w:eastAsia="zh-CN"/>
        </w:rPr>
        <w:t>。</w:t>
      </w:r>
    </w:p>
    <w:p w:rsidR="005C6370" w:rsidP="00A24D29" w14:paraId="7A4307B3" w14:textId="77777777">
      <w:pPr>
        <w:spacing w:line="360" w:lineRule="auto"/>
        <w:ind w:firstLine="420"/>
        <w:contextualSpacing/>
        <w:rPr>
          <w:rStyle w:val="da"/>
          <w:rFonts w:ascii="宋体" w:hAnsi="Calibri"/>
          <w:lang w:eastAsia="zh-CN"/>
        </w:rPr>
      </w:pPr>
      <w:r>
        <w:rPr>
          <w:rStyle w:val="da"/>
          <w:rFonts w:ascii="宋体" w:hAnsi="Calibri"/>
          <w:lang w:eastAsia="zh-CN"/>
        </w:rPr>
        <w:t>1、业绩比较基准设定的原因</w:t>
      </w:r>
    </w:p>
    <w:p w:rsidR="005C6370" w:rsidP="00A24D29" w14:paraId="788B5C81" w14:textId="77777777">
      <w:pPr>
        <w:spacing w:line="360" w:lineRule="auto"/>
        <w:ind w:firstLine="420"/>
        <w:contextualSpacing/>
        <w:rPr>
          <w:rStyle w:val="da"/>
          <w:rFonts w:ascii="宋体" w:hAnsi="Calibri"/>
          <w:lang w:eastAsia="zh-CN"/>
        </w:rPr>
      </w:pPr>
      <w:r>
        <w:rPr>
          <w:rStyle w:val="da"/>
          <w:rFonts w:ascii="宋体" w:hAnsi="Calibri"/>
          <w:lang w:eastAsia="zh-CN"/>
        </w:rPr>
        <w:t>（1）基于基金投资范围以及预期投资的主要资产类别（固定收益类基金、债券等固定收益类资产；权益类基金、股票等权益类资产；现金类资产等），本基金相应选取与之匹配的债券型基金指数、偏股型基金指数与活期存款基准利率作为基准要素。同时基于基金投资于经中国证监会依法核准或注册基金的资产不低于基金资产的80%，权益类资产占基金资产的比例为</w:t>
      </w:r>
      <w:r w:rsidRPr="007228A2">
        <w:rPr>
          <w:rStyle w:val="da"/>
          <w:rFonts w:ascii="宋体" w:hAnsi="Calibri"/>
          <w:szCs w:val="21"/>
          <w:lang w:eastAsia="zh-CN"/>
        </w:rPr>
        <w:t>5%</w:t>
      </w:r>
      <w:r w:rsidRPr="007228A2">
        <w:rPr>
          <w:rStyle w:val="da"/>
          <w:rFonts w:ascii="宋体" w:hAnsi="Calibri"/>
          <w:szCs w:val="21"/>
          <w:lang w:eastAsia="zh-CN"/>
        </w:rPr>
        <w:t>—</w:t>
      </w:r>
      <w:r w:rsidRPr="007228A2">
        <w:rPr>
          <w:rStyle w:val="da"/>
          <w:rFonts w:ascii="宋体" w:hAnsi="Calibri"/>
          <w:szCs w:val="21"/>
          <w:lang w:eastAsia="zh-CN"/>
        </w:rPr>
        <w:t>30%（</w:t>
      </w:r>
      <w:r w:rsidRPr="00A24D29">
        <w:rPr>
          <w:rFonts w:ascii="宋体" w:hAnsi="Calibri" w:cs="Times New Roman" w:hint="eastAsia"/>
          <w:szCs w:val="21"/>
          <w:lang w:eastAsia="zh-CN" w:bidi="en-US"/>
        </w:rPr>
        <w:t>其中，本基金投资于境内股票、股票型基金、权益类混合型基金的资产合计不低于基金资产的5%，投资于港股通股票的资产不超过股票资产的50%</w:t>
      </w:r>
      <w:r w:rsidRPr="007228A2">
        <w:rPr>
          <w:rStyle w:val="da"/>
          <w:rFonts w:ascii="宋体" w:hAnsi="Calibri"/>
          <w:szCs w:val="21"/>
          <w:lang w:eastAsia="zh-CN"/>
        </w:rPr>
        <w:t>）等投资比例限</w:t>
      </w:r>
      <w:r>
        <w:rPr>
          <w:rStyle w:val="da"/>
          <w:rFonts w:ascii="宋体" w:hAnsi="Calibri"/>
          <w:lang w:eastAsia="zh-CN"/>
        </w:rPr>
        <w:t>制，以及预期的资产配置比例中枢，本基金将固定收益类资产、权益类资产、现金类资产所对应的基准要素权重分别设置为85%、10%和5%。</w:t>
      </w:r>
    </w:p>
    <w:p w:rsidR="005C6370" w:rsidP="00A24D29" w14:paraId="1568B215" w14:textId="77777777">
      <w:pPr>
        <w:spacing w:line="360" w:lineRule="auto"/>
        <w:ind w:firstLine="420"/>
        <w:contextualSpacing/>
        <w:rPr>
          <w:rStyle w:val="da"/>
          <w:rFonts w:ascii="宋体" w:hAnsi="Calibri"/>
          <w:lang w:eastAsia="zh-CN"/>
        </w:rPr>
      </w:pPr>
      <w:r>
        <w:rPr>
          <w:rStyle w:val="da"/>
          <w:rFonts w:ascii="宋体" w:hAnsi="Calibri"/>
          <w:lang w:eastAsia="zh-CN"/>
        </w:rPr>
        <w:t>（2）基于本基金的投资目标、投资范围和投资策略，本基金的长期资产配置将以固定收益类资产为主，通过对被动型基金和主动型基金使用不同的筛选方法，选择优质固定收益类基金；同时本基金将密切跟踪市场动态变化，选择合适的投资机会，在保持流动性的基础上，适度参与债券投资。综合考虑基准指数与产品定位、投资策略的匹配度，以及基准指数的表征性、认可度，本基金选取中证债券型基金指数作为固定收益类资产的业绩比较基准要素。</w:t>
      </w:r>
    </w:p>
    <w:p w:rsidR="005C6370" w:rsidP="00A24D29" w14:paraId="6C8494C9" w14:textId="77777777">
      <w:pPr>
        <w:spacing w:line="360" w:lineRule="auto"/>
        <w:ind w:firstLine="420"/>
        <w:contextualSpacing/>
        <w:rPr>
          <w:rStyle w:val="da"/>
          <w:rFonts w:ascii="宋体" w:hAnsi="Calibri"/>
          <w:lang w:eastAsia="zh-CN"/>
        </w:rPr>
      </w:pPr>
      <w:r>
        <w:rPr>
          <w:rStyle w:val="da"/>
          <w:rFonts w:ascii="宋体" w:hAnsi="Calibri"/>
          <w:lang w:eastAsia="zh-CN"/>
        </w:rPr>
        <w:t>中证债券型基金指数样本由中证开放式基金指数样本中的债券型基金组成，</w:t>
      </w:r>
      <w:r w:rsidRPr="003D3A17" w:rsidR="003D3A17">
        <w:rPr>
          <w:rStyle w:val="da"/>
          <w:rFonts w:ascii="宋体" w:hAnsi="Calibri" w:hint="eastAsia"/>
          <w:lang w:eastAsia="zh-CN"/>
        </w:rPr>
        <w:t>以反映内地债券型基金的整体走势</w:t>
      </w:r>
      <w:r>
        <w:rPr>
          <w:rStyle w:val="da"/>
          <w:rFonts w:ascii="宋体" w:hAnsi="Calibri"/>
          <w:lang w:eastAsia="zh-CN"/>
        </w:rPr>
        <w:t>。指数样本覆盖各类债券型基金，代表性强，适合作为本基金固定收益类资产的业绩比较基准要素。</w:t>
      </w:r>
    </w:p>
    <w:p w:rsidR="005C6370" w:rsidP="00A24D29" w14:paraId="354CD5F6" w14:textId="77777777">
      <w:pPr>
        <w:spacing w:line="360" w:lineRule="auto"/>
        <w:ind w:firstLine="420"/>
        <w:contextualSpacing/>
        <w:rPr>
          <w:rStyle w:val="da"/>
          <w:rFonts w:ascii="宋体" w:hAnsi="Calibri"/>
          <w:lang w:eastAsia="zh-CN"/>
        </w:rPr>
      </w:pPr>
      <w:r>
        <w:rPr>
          <w:rStyle w:val="da"/>
          <w:rFonts w:ascii="宋体" w:hAnsi="Calibri"/>
          <w:lang w:eastAsia="zh-CN"/>
        </w:rPr>
        <w:t>（3）基于本基金的投资目标、投资范围和投资策略，本基金将依托资产配置策略，适度配置权益类资产，通过对被动型基金和主动型基金使用不同的筛选方法，选择优质的权益类基金进行投资；同时本基金将对股票的投资价值进行深入研究，精选出具有较高投资价值的个股，适度参与股票投资。综合考虑基准指数与产品定位、投资策略的匹配度，以及基准指数的表征性、认可度，本基金选取中证偏股型基金指数作为权益类资产的业绩比较基准要素。</w:t>
      </w:r>
    </w:p>
    <w:p w:rsidR="005C6370" w:rsidP="00A24D29" w14:paraId="5FB90A6B" w14:textId="77777777">
      <w:pPr>
        <w:spacing w:line="360" w:lineRule="auto"/>
        <w:ind w:firstLine="420"/>
        <w:contextualSpacing/>
        <w:rPr>
          <w:rStyle w:val="da"/>
          <w:rFonts w:ascii="宋体" w:hAnsi="Calibri"/>
          <w:lang w:eastAsia="zh-CN"/>
        </w:rPr>
      </w:pPr>
      <w:r w:rsidRPr="00D55AFE">
        <w:rPr>
          <w:rFonts w:ascii="宋体" w:hAnsi="Calibri" w:hint="eastAsia"/>
          <w:lang w:eastAsia="zh-CN"/>
        </w:rPr>
        <w:t>中证偏股型基金指数选取内地上市的所有股票型基金以及混合型基金中以股票为主要投资对象的基金作为样本，采用净值规模加权，以反映所有偏股型开放式证券投资基金的整体走势</w:t>
      </w:r>
      <w:r w:rsidR="00952691">
        <w:rPr>
          <w:rStyle w:val="da"/>
          <w:rFonts w:ascii="宋体" w:hAnsi="Calibri"/>
          <w:lang w:eastAsia="zh-CN"/>
        </w:rPr>
        <w:t>。指数样本覆盖股票及偏股型基金，代表性强，适合作为本基金权益类资产的业绩比较基准要素。</w:t>
      </w:r>
    </w:p>
    <w:p w:rsidR="005C6370" w:rsidP="00A24D29" w14:paraId="58D192B8" w14:textId="77777777">
      <w:pPr>
        <w:spacing w:line="360" w:lineRule="auto"/>
        <w:ind w:firstLine="420"/>
        <w:contextualSpacing/>
        <w:rPr>
          <w:rStyle w:val="da"/>
          <w:rFonts w:ascii="宋体" w:hAnsi="Calibri"/>
          <w:lang w:eastAsia="zh-CN"/>
        </w:rPr>
      </w:pPr>
      <w:r>
        <w:rPr>
          <w:rStyle w:val="da"/>
          <w:rFonts w:ascii="宋体" w:hAnsi="Calibri"/>
          <w:lang w:eastAsia="zh-CN"/>
        </w:rPr>
        <w:t>（4）本基金将保持不低于基金资产净值5％的现金或者到期日在一年以内的政府债券。活期存款基准利率具有较强的权威性和市场影响力，适合作为本基金现金类资产的业绩比较基准要素。</w:t>
      </w:r>
    </w:p>
    <w:p w:rsidR="005C6370" w:rsidP="00A24D29" w14:paraId="7AF6939A" w14:textId="77777777">
      <w:pPr>
        <w:spacing w:line="360" w:lineRule="auto"/>
        <w:ind w:firstLine="420"/>
        <w:contextualSpacing/>
        <w:rPr>
          <w:rStyle w:val="da"/>
          <w:rFonts w:ascii="宋体" w:hAnsi="Calibri"/>
          <w:lang w:eastAsia="zh-CN"/>
        </w:rPr>
      </w:pPr>
      <w:r>
        <w:rPr>
          <w:rStyle w:val="da"/>
          <w:rFonts w:ascii="宋体" w:hAnsi="Calibri"/>
          <w:lang w:eastAsia="zh-CN"/>
        </w:rPr>
        <w:t>综上，本基金选取的业绩比较基准与基金投资目标、投资范围、投资策略、投资比例限制相匹配。</w:t>
      </w:r>
    </w:p>
    <w:p w:rsidR="005C6370" w:rsidP="00A24D29" w14:paraId="60897753" w14:textId="77777777">
      <w:pPr>
        <w:spacing w:line="360" w:lineRule="auto"/>
        <w:ind w:firstLine="420"/>
        <w:contextualSpacing/>
        <w:rPr>
          <w:rStyle w:val="da"/>
          <w:rFonts w:ascii="宋体" w:hAnsi="Calibri"/>
          <w:lang w:eastAsia="zh-CN"/>
        </w:rPr>
      </w:pPr>
      <w:r>
        <w:rPr>
          <w:rStyle w:val="da"/>
          <w:rFonts w:ascii="宋体" w:hAnsi="Calibri"/>
          <w:lang w:eastAsia="zh-CN"/>
        </w:rPr>
        <w:t>2、业绩比较基准要素的基本信息</w:t>
      </w:r>
    </w:p>
    <w:p w:rsidR="005C6370" w:rsidP="00A24D29" w14:paraId="14B39913" w14:textId="77777777">
      <w:pPr>
        <w:spacing w:line="360" w:lineRule="auto"/>
        <w:ind w:firstLine="420"/>
        <w:contextualSpacing/>
        <w:rPr>
          <w:rStyle w:val="da"/>
          <w:rFonts w:ascii="宋体" w:hAnsi="Calibri"/>
        </w:rPr>
      </w:pPr>
      <w:r>
        <w:rPr>
          <w:rStyle w:val="da"/>
          <w:rFonts w:ascii="宋体" w:hAnsi="Calibri"/>
        </w:rPr>
        <w:t>中证债券型基金指数由中证指数有限公司编制发布，指数代码为H11023</w:t>
      </w:r>
      <w:r w:rsidR="002650A2">
        <w:rPr>
          <w:rStyle w:val="da"/>
          <w:rFonts w:ascii="宋体" w:hAnsi="Calibri" w:hint="eastAsia"/>
          <w:lang w:eastAsia="zh-CN"/>
        </w:rPr>
        <w:t>，</w:t>
      </w:r>
      <w:r>
        <w:rPr>
          <w:rStyle w:val="da"/>
          <w:rFonts w:ascii="宋体" w:hAnsi="Calibri"/>
        </w:rPr>
        <w:t>指数具体信息详见中证指数有限公司网站，网址：www.csindex.com.cn。</w:t>
      </w:r>
    </w:p>
    <w:p w:rsidR="005C6370" w:rsidP="00A24D29" w14:paraId="49043349" w14:textId="77777777">
      <w:pPr>
        <w:spacing w:line="360" w:lineRule="auto"/>
        <w:ind w:firstLine="420"/>
        <w:contextualSpacing/>
        <w:rPr>
          <w:rStyle w:val="da"/>
          <w:rFonts w:ascii="宋体" w:hAnsi="Calibri"/>
        </w:rPr>
      </w:pPr>
      <w:r>
        <w:rPr>
          <w:rStyle w:val="da"/>
          <w:rFonts w:ascii="宋体" w:hAnsi="Calibri"/>
        </w:rPr>
        <w:t>中证偏股型基金指数由中证指数有限公司编制发布，指数代码为930950</w:t>
      </w:r>
      <w:r w:rsidR="002650A2">
        <w:rPr>
          <w:rStyle w:val="da"/>
          <w:rFonts w:ascii="宋体" w:hAnsi="Calibri" w:hint="eastAsia"/>
          <w:lang w:eastAsia="zh-CN"/>
        </w:rPr>
        <w:t>，</w:t>
      </w:r>
      <w:r>
        <w:rPr>
          <w:rStyle w:val="da"/>
          <w:rFonts w:ascii="宋体" w:hAnsi="Calibri"/>
        </w:rPr>
        <w:t>指数具体信息详见中证指数有限公司网站，网址：www.csindex.com.cn。</w:t>
      </w:r>
    </w:p>
    <w:p w:rsidR="005C6370" w:rsidP="00A24D29" w14:paraId="41305900" w14:textId="77777777">
      <w:pPr>
        <w:spacing w:line="360" w:lineRule="auto"/>
        <w:ind w:firstLine="420"/>
        <w:contextualSpacing/>
        <w:rPr>
          <w:rStyle w:val="da"/>
          <w:rFonts w:ascii="宋体" w:hAnsi="Calibri"/>
        </w:rPr>
      </w:pPr>
      <w:r>
        <w:rPr>
          <w:rStyle w:val="da"/>
          <w:rFonts w:ascii="宋体" w:hAnsi="Calibri"/>
        </w:rPr>
        <w:t>活期存款基准利率由中国人民银行公布，具体信息详见中国人民银行网站，网址：www.pbc.gov.cn。</w:t>
      </w:r>
    </w:p>
    <w:p w:rsidR="005C6370" w:rsidP="00A24D29" w14:paraId="76D33AE6" w14:textId="77777777">
      <w:pPr>
        <w:spacing w:line="360" w:lineRule="auto"/>
        <w:ind w:firstLine="420"/>
        <w:contextualSpacing/>
        <w:rPr>
          <w:rStyle w:val="da"/>
          <w:rFonts w:ascii="宋体" w:hAnsi="Calibri"/>
          <w:lang w:eastAsia="zh-CN"/>
        </w:rPr>
      </w:pPr>
      <w:r>
        <w:rPr>
          <w:rStyle w:val="da"/>
          <w:rFonts w:ascii="宋体" w:hAnsi="Calibri"/>
          <w:lang w:eastAsia="zh-CN"/>
        </w:rPr>
        <w:t>3、业绩比较基准的计算方法</w:t>
      </w:r>
    </w:p>
    <w:p w:rsidR="005C6370" w:rsidP="00A24D29" w14:paraId="20878AF5" w14:textId="77777777">
      <w:pPr>
        <w:spacing w:line="360" w:lineRule="auto"/>
        <w:ind w:firstLine="420"/>
        <w:contextualSpacing/>
        <w:rPr>
          <w:rStyle w:val="da"/>
          <w:rFonts w:ascii="宋体" w:hAnsi="Calibri"/>
          <w:lang w:eastAsia="zh-CN"/>
        </w:rPr>
      </w:pPr>
      <w:r>
        <w:rPr>
          <w:rStyle w:val="da"/>
          <w:rFonts w:ascii="宋体" w:hAnsi="Calibri"/>
          <w:lang w:eastAsia="zh-CN"/>
        </w:rPr>
        <w:t>本基金业绩比较基准收益率的计算方法以每日收益率为基础，以时间加权为计算原则。本基金先分别计算业绩比较基准中中证债券型基金指数、中证偏股型基金指数、活期存款基准利率的每日收益率，再按照预设权重比例计算当日组合要素基准的日收益率，最后通过每日连乘的方式计算业绩比较基准收益率。</w:t>
      </w:r>
    </w:p>
    <w:p w:rsidR="005C6370" w:rsidP="00A24D29" w14:paraId="0AEAA728" w14:textId="77777777">
      <w:pPr>
        <w:spacing w:line="360" w:lineRule="auto"/>
        <w:ind w:firstLine="420"/>
        <w:contextualSpacing/>
        <w:rPr>
          <w:rStyle w:val="da"/>
          <w:rFonts w:ascii="宋体" w:hAnsi="Calibri"/>
          <w:lang w:eastAsia="zh-CN"/>
        </w:rPr>
      </w:pPr>
      <w:r>
        <w:rPr>
          <w:rStyle w:val="da"/>
          <w:rFonts w:ascii="宋体" w:hAnsi="Calibri"/>
          <w:lang w:eastAsia="zh-CN"/>
        </w:rPr>
        <w:t>4、管理投资偏离业绩比较基准的定性或定量方法</w:t>
      </w:r>
    </w:p>
    <w:p w:rsidR="005C6370" w:rsidP="00A24D29" w14:paraId="671B6E50" w14:textId="77777777">
      <w:pPr>
        <w:spacing w:line="360" w:lineRule="auto"/>
        <w:ind w:firstLine="420"/>
        <w:contextualSpacing/>
        <w:rPr>
          <w:rStyle w:val="da"/>
          <w:rFonts w:ascii="宋体" w:hAnsi="Calibri"/>
          <w:lang w:eastAsia="zh-CN"/>
        </w:rPr>
      </w:pPr>
      <w:r>
        <w:rPr>
          <w:rStyle w:val="da"/>
          <w:rFonts w:ascii="宋体" w:hAnsi="Calibri"/>
          <w:lang w:eastAsia="zh-CN"/>
        </w:rPr>
        <w:t>本基金管理人对基金实际投资与业绩比较基准的偏离情况进行动态跟踪与监测评估，监测指标主要包括超额收益、大类资产配置比例等，以更好管理基金实际投资与业绩比较基准的偏离情况，从而在控制整体风险的前提下，力争实现资产的长期稳健增值。</w:t>
      </w:r>
    </w:p>
    <w:p w:rsidR="005C6370" w:rsidP="00A24D29" w14:paraId="2263E987" w14:textId="77777777">
      <w:pPr>
        <w:spacing w:line="360" w:lineRule="auto"/>
        <w:ind w:firstLine="420"/>
        <w:contextualSpacing/>
        <w:rPr>
          <w:rStyle w:val="da"/>
          <w:rFonts w:ascii="宋体" w:hAnsi="Calibri"/>
          <w:lang w:eastAsia="zh-CN"/>
        </w:rPr>
      </w:pPr>
      <w:r>
        <w:rPr>
          <w:rStyle w:val="da"/>
          <w:rFonts w:ascii="宋体" w:hAnsi="Calibri"/>
          <w:lang w:eastAsia="zh-CN"/>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rsidR="005C6370" w:rsidP="00A24D29" w14:paraId="6E029A2F" w14:textId="77777777">
      <w:pPr>
        <w:spacing w:line="360" w:lineRule="auto"/>
        <w:ind w:firstLine="420"/>
        <w:contextualSpacing/>
        <w:rPr>
          <w:rStyle w:val="da"/>
          <w:rFonts w:ascii="宋体" w:hAnsi="Calibri"/>
          <w:lang w:eastAsia="zh-CN"/>
        </w:rPr>
      </w:pPr>
      <w:r>
        <w:rPr>
          <w:rStyle w:val="da"/>
          <w:rFonts w:ascii="宋体" w:hAnsi="Calibri"/>
          <w:lang w:eastAsia="zh-CN"/>
        </w:rPr>
        <w:t>5、未来可能变更业绩比较基准的情况和程序</w:t>
      </w:r>
    </w:p>
    <w:p w:rsidR="005C6370" w:rsidP="00A24D29" w14:paraId="74E1FB7A" w14:textId="77777777">
      <w:pPr>
        <w:spacing w:line="360" w:lineRule="auto"/>
        <w:ind w:firstLine="420"/>
        <w:contextualSpacing/>
        <w:rPr>
          <w:rStyle w:val="da"/>
          <w:rFonts w:ascii="宋体" w:hAnsi="Calibri"/>
          <w:lang w:eastAsia="zh-CN"/>
        </w:rPr>
      </w:pPr>
      <w:r>
        <w:rPr>
          <w:rStyle w:val="da"/>
          <w:rFonts w:ascii="宋体" w:hAnsi="Calibri"/>
          <w:lang w:eastAsia="zh-CN"/>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rsidR="005C6370" w:rsidP="00A24D29" w14:paraId="1C7961A5" w14:textId="77777777">
      <w:pPr>
        <w:spacing w:line="360" w:lineRule="auto"/>
        <w:ind w:firstLine="420"/>
        <w:contextualSpacing/>
        <w:rPr>
          <w:rStyle w:val="da"/>
          <w:rFonts w:ascii="宋体" w:hAnsi="Calibri"/>
          <w:lang w:eastAsia="zh-CN"/>
        </w:rPr>
      </w:pPr>
      <w:r>
        <w:rPr>
          <w:rStyle w:val="da"/>
          <w:rFonts w:ascii="宋体" w:hAnsi="Calibri"/>
          <w:lang w:eastAsia="zh-CN"/>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rsidR="005C6370" w:rsidP="00A24D29" w14:paraId="77A3C730" w14:textId="77777777">
      <w:pPr>
        <w:spacing w:line="360" w:lineRule="auto"/>
        <w:ind w:firstLine="420"/>
        <w:contextualSpacing/>
        <w:rPr>
          <w:rStyle w:val="da"/>
          <w:rFonts w:ascii="宋体" w:hAnsi="Calibri"/>
          <w:lang w:eastAsia="zh-CN"/>
        </w:rPr>
      </w:pPr>
      <w:r>
        <w:rPr>
          <w:rStyle w:val="da"/>
          <w:rFonts w:ascii="宋体" w:hAnsi="Calibri"/>
          <w:lang w:eastAsia="zh-CN"/>
        </w:rPr>
        <w:t>（2）调整业绩比较基准的要素权重、更换相同或相近特征的要素等，使新业绩比较基准代表性更强，且符合相关法律法规规定的；</w:t>
      </w:r>
    </w:p>
    <w:p w:rsidR="005C6370" w:rsidP="00A24D29" w14:paraId="611D6AE1" w14:textId="77777777">
      <w:pPr>
        <w:spacing w:line="360" w:lineRule="auto"/>
        <w:ind w:firstLine="420"/>
        <w:contextualSpacing/>
        <w:rPr>
          <w:rStyle w:val="da"/>
          <w:rFonts w:ascii="宋体" w:hAnsi="Calibri"/>
          <w:lang w:eastAsia="zh-CN"/>
        </w:rPr>
      </w:pPr>
      <w:r>
        <w:rPr>
          <w:rStyle w:val="da"/>
          <w:rFonts w:ascii="宋体" w:hAnsi="Calibri"/>
          <w:lang w:eastAsia="zh-CN"/>
        </w:rPr>
        <w:t>（3）中国证监会认可的其他情形。</w:t>
      </w:r>
    </w:p>
    <w:p w:rsidR="005C6370" w:rsidP="00A24D29" w14:paraId="409A300D" w14:textId="77777777">
      <w:pPr>
        <w:spacing w:line="360" w:lineRule="auto"/>
        <w:ind w:firstLine="420"/>
        <w:contextualSpacing/>
        <w:rPr>
          <w:rStyle w:val="da"/>
          <w:rFonts w:ascii="宋体" w:hAnsi="Calibri"/>
          <w:lang w:eastAsia="zh-CN"/>
        </w:rPr>
      </w:pPr>
      <w:r>
        <w:rPr>
          <w:rStyle w:val="da"/>
          <w:rFonts w:ascii="宋体" w:hAnsi="Calibri"/>
          <w:lang w:eastAsia="zh-CN"/>
        </w:rPr>
        <w:t>业绩比较基准变更涉及以下情形的，基金管理人应当按照规定履行变更注册、召开基金份额持有人大会等程序，法律法规、中国证监会另有规定的除外：</w:t>
      </w:r>
    </w:p>
    <w:p w:rsidR="005C6370" w:rsidP="00A24D29" w14:paraId="7632354A" w14:textId="77777777">
      <w:pPr>
        <w:spacing w:line="360" w:lineRule="auto"/>
        <w:ind w:firstLine="420"/>
        <w:contextualSpacing/>
        <w:rPr>
          <w:rStyle w:val="da"/>
          <w:rFonts w:ascii="宋体" w:hAnsi="Calibri"/>
          <w:lang w:eastAsia="zh-CN"/>
        </w:rPr>
      </w:pPr>
      <w:r>
        <w:rPr>
          <w:rStyle w:val="da"/>
          <w:rFonts w:ascii="宋体" w:hAnsi="Calibri"/>
          <w:lang w:eastAsia="zh-CN"/>
        </w:rPr>
        <w:t>（1）基金投资目标、投资范围、投资策略、投资比例等拟进行重大调整，并变更业绩比较基准的；</w:t>
      </w:r>
    </w:p>
    <w:p w:rsidR="005C6370" w:rsidP="00A24D29" w14:paraId="7F335E87" w14:textId="77777777">
      <w:pPr>
        <w:spacing w:line="360" w:lineRule="auto"/>
        <w:ind w:firstLine="420"/>
        <w:contextualSpacing/>
        <w:rPr>
          <w:rStyle w:val="da"/>
          <w:rFonts w:ascii="宋体" w:hAnsi="Calibri"/>
          <w:lang w:eastAsia="zh-CN"/>
        </w:rPr>
      </w:pPr>
      <w:r>
        <w:rPr>
          <w:rStyle w:val="da"/>
          <w:rFonts w:ascii="宋体" w:hAnsi="Calibri"/>
          <w:lang w:eastAsia="zh-CN"/>
        </w:rPr>
        <w:t>（2）其他对基金份额持有人利益产生重大实质性影响的情形。</w:t>
      </w:r>
    </w:p>
    <w:p w:rsidR="005C6370" w:rsidP="00A24D29" w14:paraId="70BE4A9D"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五、风险收益特征</w:t>
      </w:r>
      <w:bookmarkEnd w:id="1825"/>
    </w:p>
    <w:p w:rsidR="005C6370" w:rsidP="00A24D29" w14:paraId="4F4166B0" w14:textId="77777777">
      <w:pPr>
        <w:spacing w:line="360" w:lineRule="auto"/>
        <w:ind w:firstLine="420"/>
        <w:contextualSpacing/>
        <w:rPr>
          <w:rStyle w:val="da"/>
          <w:rFonts w:ascii="宋体" w:hAnsi="Calibri"/>
          <w:lang w:eastAsia="zh-CN"/>
        </w:rPr>
      </w:pPr>
      <w:bookmarkStart w:id="1826" w:name="_Toc332373533"/>
      <w:r>
        <w:rPr>
          <w:rStyle w:val="da"/>
          <w:rFonts w:ascii="宋体" w:hAnsi="Calibri" w:hint="eastAsia"/>
          <w:lang w:eastAsia="zh-CN"/>
        </w:rPr>
        <w:t>本基金为混合型基金中基金（FOF），理论上其预期风险与预期收益水平低于股票型基金、股票型基金中基金（FOF），高于债券型基金、债券型基金中基金（FOF）、货币市场基金和货币型基金中基金（FOF）</w:t>
      </w:r>
      <w:r>
        <w:rPr>
          <w:rFonts w:ascii="宋体" w:hAnsi="Calibri" w:hint="eastAsia"/>
          <w:bCs/>
          <w:szCs w:val="21"/>
          <w:highlight w:val="white"/>
          <w:lang w:eastAsia="zh-CN"/>
        </w:rPr>
        <w:t>。</w:t>
      </w:r>
    </w:p>
    <w:p w:rsidR="005C6370" w:rsidP="00A24D29" w14:paraId="1B0D5F4E" w14:textId="77777777">
      <w:pPr>
        <w:spacing w:line="360" w:lineRule="auto"/>
        <w:ind w:firstLine="420"/>
        <w:contextualSpacing/>
        <w:rPr>
          <w:rStyle w:val="da"/>
          <w:rFonts w:ascii="宋体" w:hAnsi="Calibri"/>
          <w:lang w:eastAsia="zh-CN"/>
        </w:rPr>
      </w:pPr>
      <w:r>
        <w:rPr>
          <w:rStyle w:val="da"/>
          <w:rFonts w:ascii="宋体" w:hAnsi="Calibri" w:hint="eastAsia"/>
          <w:lang w:eastAsia="zh-CN"/>
        </w:rPr>
        <w:t>本基金可通过内地与香港股票市场交易互联互通机制投资于香港证券市场，除了需要承担市场波动风险等一般投资风险之外，本基金还面临汇率风险、投资于香港证券市场的风险、以及通过内地与香港股票市场交易互联互通机制投资的风险等特有风险。本基金通过内地与香港股票市场交易互联互通机制投资的风险详见招募说明书。</w:t>
      </w:r>
    </w:p>
    <w:p w:rsidR="005C6370" w:rsidP="00A24D29" w14:paraId="6B0E065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六、投资禁止行为与限制</w:t>
      </w:r>
      <w:bookmarkEnd w:id="1826"/>
    </w:p>
    <w:p w:rsidR="005C6370" w:rsidP="00A24D29" w14:paraId="1416B4C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1、禁止行为</w:t>
      </w:r>
    </w:p>
    <w:p w:rsidR="005C6370" w:rsidP="00A24D29" w14:paraId="46227A3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为维护基金份额持有人的合法权益，基金财产不得用于下列投资或者活动：</w:t>
      </w:r>
    </w:p>
    <w:p w:rsidR="005C6370" w:rsidP="00A24D29" w14:paraId="33B802E6"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（1）承销证券；</w:t>
      </w:r>
    </w:p>
    <w:p w:rsidR="005C6370" w:rsidP="00A24D29" w14:paraId="355406C0"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（2）违反规定向他人贷款或者提供担保；</w:t>
      </w:r>
    </w:p>
    <w:p w:rsidR="005C6370" w:rsidP="00A24D29" w14:paraId="7393BB61"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（3）从事承担无限责任的投资；</w:t>
      </w:r>
    </w:p>
    <w:p w:rsidR="005C6370" w:rsidP="00A24D29" w14:paraId="05886AF5"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（4）向其基金管理人、基金托管人出资；</w:t>
      </w:r>
    </w:p>
    <w:p w:rsidR="005C6370" w:rsidP="00A24D29" w14:paraId="5D7BF01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（5）从事内幕交易、操纵证券交易价格及其他不正当的证券交易活动；</w:t>
      </w:r>
    </w:p>
    <w:p w:rsidR="005C6370" w:rsidP="00A24D29" w14:paraId="76B5F625"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（6）法律、行政法规和中国证监会规定禁止的其他活动。</w:t>
      </w:r>
    </w:p>
    <w:p w:rsidR="005C6370" w:rsidP="00A24D29" w14:paraId="3DB0E33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2、投资组合限制</w:t>
      </w:r>
    </w:p>
    <w:p w:rsidR="005C6370" w:rsidP="00A24D29" w14:paraId="4608FBCF"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基金的投资组合应遵循以下限制：</w:t>
      </w:r>
    </w:p>
    <w:p w:rsidR="005C6370" w:rsidP="00A24D29" w14:paraId="61B11DB2"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（1）本基金投资于经中国证监会依法核准或注册基金的资产不低于基金资产的80%，权益类资产占基金资产的比例为5%—30%</w:t>
      </w:r>
      <w:r>
        <w:rPr>
          <w:rStyle w:val="da"/>
          <w:rFonts w:ascii="宋体" w:hAnsi="Calibri" w:hint="eastAsia"/>
          <w:lang w:eastAsia="zh-CN"/>
        </w:rPr>
        <w:t>（其中，本基金投资于境内股票、股票型基金、权益类混合型基金的资产合计不低于基金资产的5%）</w:t>
      </w:r>
      <w:r>
        <w:rPr>
          <w:rStyle w:val="da"/>
          <w:rFonts w:ascii="宋体" w:hAnsi="Calibri" w:hint="eastAsia"/>
          <w:highlight w:val="white"/>
          <w:lang w:eastAsia="zh-CN"/>
        </w:rPr>
        <w:t>，投资于港股通股票的资产不超过股票资产的50%，投资于QDII基金、香港互认基金的资产合计不超过基金资产的20%，投资于商品基金（含商品期货基金和黄金ETF等）的资产合计不超过基金资产的10%；</w:t>
      </w:r>
    </w:p>
    <w:p w:rsidR="005C6370" w:rsidP="00A24D29" w14:paraId="62CD2C46"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（2）本基金持有单只基金的市值，不高于本基金资产净值的20%，且不得持有其他基金中基金；</w:t>
      </w:r>
    </w:p>
    <w:p w:rsidR="005C6370" w:rsidP="00A24D29" w14:paraId="742867DF"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（3）本基金管理人管理的全部基金中基金（ETF联接基金除外）持有单只基金不得超过被投资基金净资产的20%，被投资基金净资产规模以最近定期报告披露的规模为准；</w:t>
      </w:r>
    </w:p>
    <w:p w:rsidR="005C6370" w:rsidP="00A24D29" w14:paraId="4D25CC2C"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（4）本基金投资于封闭运作基金、定期开放基金等流通受限基金的资产合计不得超过基金资产净值的10%；</w:t>
      </w:r>
    </w:p>
    <w:p w:rsidR="005C6370" w:rsidP="00A24D29" w14:paraId="3E169F0F"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（5）本基金所投资基金的运作期限不得少于1年、最近定期报告披露的基金净资产应当不低于1亿元；</w:t>
      </w:r>
    </w:p>
    <w:p w:rsidR="005C6370" w:rsidP="00A24D29" w14:paraId="04E0CB95"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（6）本基金可投资于QDII基金及香港互认基金，不得持有具有复杂、衍生品性质的基金份额，包括分级基金和中国证监会认定的其他基金份额；</w:t>
      </w:r>
    </w:p>
    <w:p w:rsidR="005C6370" w:rsidP="00A24D29" w14:paraId="3EEED165"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（7）保持不低于基金资产净值5％的现金或者到期日在一年以内的政府债券，其中现金不包括结算备付金、存出保证金和应收申购款等；</w:t>
      </w:r>
    </w:p>
    <w:p w:rsidR="005C6370" w:rsidP="00A24D29" w14:paraId="6AE3E75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（8）本基金持有一家公司发行的证券（同一家公司在内地和香港同时上市的A+H股合计计算），其市值不超过基金资产净值的10％；</w:t>
      </w:r>
    </w:p>
    <w:p w:rsidR="005C6370" w:rsidP="00A24D29" w14:paraId="442F7BD4"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9）本基金管理人管理的全部基金持有一家公司发行的证券（同一家公司在内地和香港同时上市的A+H股合计计算），不超过该证券的10％，完全按照有关指数的构成比例进行证券投资的基金品种可以不受此条款规定的比例限制；</w:t>
      </w:r>
    </w:p>
    <w:p w:rsidR="005C6370" w:rsidP="00A24D29" w14:paraId="6CAE51E6"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（10）本基金投资于同一原始权益人的各类资产支持证券的比例，不得超过基金资产净值的10％；</w:t>
      </w:r>
    </w:p>
    <w:p w:rsidR="005C6370" w:rsidP="00A24D29" w14:paraId="7688D53E"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（11）本基金持有的全部资产支持证券，其市值不得超过基金资产净值的20％；</w:t>
      </w:r>
    </w:p>
    <w:p w:rsidR="005C6370" w:rsidP="00A24D29" w14:paraId="7A69B2EA"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（12）本基金持有的同一(指同一信用级别)资产支持证券的比例，不得超过该资产支持证券规模的10％；</w:t>
      </w:r>
    </w:p>
    <w:p w:rsidR="005C6370" w:rsidP="00A24D29" w14:paraId="4401C3E7"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（13）本基金管理人管理的全部基金投资于同一原始权益人的各类资产支持证券，不得超过其各类资产支持证券合计规模的10％；</w:t>
      </w:r>
    </w:p>
    <w:p w:rsidR="005C6370" w:rsidP="00A24D29" w14:paraId="12C5495E"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（14）本基金应投资于信用级别评级为BBB以上(含BBB)的资产支持证券。基金持有资产支持证券期间，如果其信用等级下降、不再符合投资标准，应在评级报告发布之日起3个月内予以全部卖出；</w:t>
      </w:r>
    </w:p>
    <w:p w:rsidR="005C6370" w:rsidP="00A24D29" w14:paraId="359C4376"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（15）基金财产参与股票发行申购，本基金所申报的金额不超过本基金的总资产，本基金所申报的股票数量不超过拟发行股票公司本次发行股票的总量；</w:t>
      </w:r>
    </w:p>
    <w:p w:rsidR="005C6370" w:rsidP="00A24D29" w14:paraId="46D4D511"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16）本基金管理人管理的全部开放式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rsidR="005C6370" w:rsidP="00A24D29" w14:paraId="6DFEC6CA"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17）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rsidR="005C6370" w:rsidP="00A24D29" w14:paraId="621D168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（18）本基金与私募类证券资管产品及中国证监会认定的其他主体为交易对手开展逆回购交易的，可接受质押品的资质要求应当与基金合同约定的投资范围保持一致；</w:t>
      </w:r>
    </w:p>
    <w:p w:rsidR="005C6370" w:rsidP="00A24D29" w14:paraId="10F5856C"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（19）本基金资产总值不超过基金资产净值的140%；</w:t>
      </w:r>
    </w:p>
    <w:p w:rsidR="005C6370" w:rsidP="00A24D29" w14:paraId="360C2DF1"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（20）本基金投资于货币市场基金的资产不得超过基金资产的15%；</w:t>
      </w:r>
    </w:p>
    <w:p w:rsidR="005C6370" w:rsidP="00A24D29" w14:paraId="0C4B48C0"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（21）基金管理人运用基金中基金财产投资于股票、债券等金融工具的，投资品种和比例应当符合基金中基金的投资目标和投资策略；</w:t>
      </w:r>
    </w:p>
    <w:p w:rsidR="005C6370" w:rsidP="00A24D29" w14:paraId="3F32AB31"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（22）本基金投资存托凭证的比例限制依照境内上市交易的股票执行，与境内上市交易的股票合并计算；</w:t>
      </w:r>
    </w:p>
    <w:p w:rsidR="005C6370" w:rsidP="00A24D29" w14:paraId="15DE4E8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（23）法律法规及中国证监会规定的和《基金合同》约定的其他投资限制。</w:t>
      </w:r>
    </w:p>
    <w:p w:rsidR="005C6370" w:rsidP="00A24D29" w14:paraId="0C77F8E0"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因证券市场波动、证券发行人合并、基金规模变动等基金管理人之外的因素致使基金投资比例不符合上述（1）、（4）、（5）、（8）-（13）、（16）、（19）-（23）项规定投资比例的，基金管理人应当在被投资证券或基金可交易或可赎回之日起10个交易日内进行调整，致使基金投资比例不符合上述（2）、（3）项规定投资比例的，基金管理人应当在被投资基金可交易或可赎回之日起20个交易日内进行调整，但中国证监会规定的特殊情形除外。法律法规或监管部门另有规定的，届时按最新规定执行。</w:t>
      </w:r>
    </w:p>
    <w:p w:rsidR="005C6370" w:rsidP="00A24D29" w14:paraId="71935CB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rsidR="005C6370" w:rsidP="00A24D29" w14:paraId="3D582920"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w:t>
      </w:r>
      <w:r>
        <w:rPr>
          <w:rStyle w:val="da"/>
          <w:rFonts w:ascii="宋体" w:hAnsi="Calibri" w:hint="eastAsia"/>
          <w:highlight w:val="white"/>
          <w:lang w:eastAsia="zh-CN"/>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本基金投资基金管理人及基金管理人关联方管理基金的情况，不属于前述重大关联交易，但是应当按照法律法规或监管规定的要求履行信息披露义务。</w:t>
      </w:r>
    </w:p>
    <w:p w:rsidR="005C6370" w:rsidP="00A24D29" w14:paraId="7A2E9241"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4</w:t>
      </w:r>
      <w:r>
        <w:rPr>
          <w:rStyle w:val="da"/>
          <w:rFonts w:ascii="宋体" w:hAnsi="Calibri" w:hint="eastAsia"/>
          <w:highlight w:val="white"/>
          <w:lang w:eastAsia="zh-CN"/>
        </w:rPr>
        <w:t>、法律法规或监管部门取消上述组合限制、禁止行为规定或从事关联交易的条件和要求，本基金可不受相关限制。法律法规或监管部门对上述组合限制、禁止行为规定或从事关联交易的条件和要求进行变更的，本基金可以变更后的规定为准。经与基金托管人协商一致，基金管理人可依据法律法规或监管部门规定直接对基金合同进行变更</w:t>
      </w:r>
      <w:r>
        <w:rPr>
          <w:rStyle w:val="da"/>
          <w:rFonts w:ascii="宋体" w:hAnsi="Calibri" w:hint="eastAsia"/>
          <w:highlight w:val="white"/>
          <w:lang w:eastAsia="zh-CN"/>
        </w:rPr>
        <w:t>。</w:t>
      </w:r>
    </w:p>
    <w:p w:rsidR="005C6370" w:rsidP="00A24D29" w14:paraId="67ADBB7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七、基金管理人代表基金行使相关权利的处理原则及方法</w:t>
      </w:r>
    </w:p>
    <w:p w:rsidR="005C6370" w:rsidP="00A24D29" w14:paraId="0EFD2417"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 xml:space="preserve">1、基金管理人按照国家有关规定代表本基金独立行使相关权利，保护本基金基金份额持有人的利益；  </w:t>
      </w:r>
    </w:p>
    <w:p w:rsidR="005C6370" w:rsidP="00A24D29" w14:paraId="205E3CC1"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 xml:space="preserve">2、不谋求对上市公司的控股； </w:t>
      </w:r>
    </w:p>
    <w:p w:rsidR="005C6370" w:rsidP="00A24D29" w14:paraId="5A4D8D01"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 xml:space="preserve">3、有利于基金财产的安全与增值； </w:t>
      </w:r>
    </w:p>
    <w:p w:rsidR="005C6370" w:rsidP="00A24D29" w14:paraId="6C2757D8"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4、不通过关联交易为自身、雇员、授权代理人或任何存在利害关系的第三人牟取任何不当利益。</w:t>
      </w:r>
    </w:p>
    <w:p w:rsidR="005C6370" w:rsidP="00A24D29" w14:paraId="3C61FCA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八、侧袋机制的实施和投资运作安排</w:t>
      </w:r>
    </w:p>
    <w:p w:rsidR="005C6370" w:rsidP="00A24D29" w14:paraId="16270810"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rsidR="005C6370" w:rsidP="00A24D29" w14:paraId="726CFC6A"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侧袋机制实施期间，本部分约定的投资组合比例、投资策略、组合限制、业绩比较基准、风险收益特征等约定仅适用于主袋账户。</w:t>
      </w:r>
    </w:p>
    <w:p w:rsidR="005C6370" w:rsidP="00A24D29" w14:paraId="5A1C6DF6"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侧袋账户的实施条件、实施程序、运作安排、投资安排、特定资产的处置变现和支付等对投资者权益有重大影响的事项，详见本招募说明书“侧袋机制”部分的规定。</w:t>
      </w:r>
    </w:p>
    <w:p w:rsidR="005C6370" w:rsidP="00A24D29" w14:paraId="0FB34F29" w14:textId="77777777">
      <w:pPr>
        <w:spacing w:line="360" w:lineRule="auto"/>
        <w:ind w:firstLine="422"/>
        <w:contextualSpacing/>
        <w:rPr>
          <w:rFonts w:ascii="宋体" w:hAnsi="Calibri"/>
          <w:b/>
          <w:i/>
          <w:szCs w:val="21"/>
          <w:lang w:eastAsia="zh-CN"/>
        </w:rPr>
      </w:pPr>
    </w:p>
    <w:p w:rsidR="005C6370" w:rsidP="00A24D29" w14:paraId="6CF094BC" w14:textId="77777777">
      <w:pPr>
        <w:widowControl/>
        <w:contextualSpacing/>
        <w:jc w:val="left"/>
        <w:rPr>
          <w:rFonts w:ascii="宋体" w:hAnsi="Calibri"/>
          <w:b/>
          <w:i/>
          <w:szCs w:val="21"/>
          <w:lang w:eastAsia="zh-CN"/>
        </w:rPr>
      </w:pPr>
      <w:r>
        <w:rPr>
          <w:rFonts w:ascii="宋体" w:hAnsi="Calibri"/>
          <w:b/>
          <w:i/>
          <w:szCs w:val="21"/>
          <w:highlight w:val="white"/>
          <w:lang w:eastAsia="zh-CN"/>
        </w:rPr>
        <w:br w:type="page"/>
      </w:r>
    </w:p>
    <w:p w:rsidR="005C6370" w:rsidP="00A24D29" w14:paraId="6486DD04" w14:textId="77777777">
      <w:pPr>
        <w:pStyle w:val="Heading1"/>
        <w:spacing w:before="240" w:after="240" w:line="320" w:lineRule="exact"/>
        <w:ind w:firstLine="600"/>
        <w:contextualSpacing/>
        <w:rPr>
          <w:rFonts w:ascii="宋体" w:eastAsia="宋体" w:hAnsi="Calibri"/>
          <w:sz w:val="30"/>
          <w:lang w:eastAsia="zh-CN"/>
        </w:rPr>
      </w:pPr>
      <w:bookmarkStart w:id="1827" w:name="_Toc462322577"/>
      <w:bookmarkStart w:id="1828" w:name="_Toc95900545"/>
      <w:bookmarkStart w:id="1829" w:name="_Toc76457658"/>
      <w:bookmarkStart w:id="1830" w:name="_Toc121776976"/>
      <w:r>
        <w:rPr>
          <w:rFonts w:ascii="宋体" w:eastAsia="宋体" w:hAnsi="Calibri" w:hint="eastAsia"/>
          <w:sz w:val="30"/>
          <w:highlight w:val="white"/>
          <w:lang w:eastAsia="zh-CN"/>
        </w:rPr>
        <w:t>第十三部分 本基金投资于基金管理人所管理基金的原则及方法</w:t>
      </w:r>
      <w:bookmarkEnd w:id="1827"/>
      <w:bookmarkEnd w:id="1828"/>
      <w:bookmarkEnd w:id="1829"/>
      <w:bookmarkEnd w:id="1830"/>
    </w:p>
    <w:p w:rsidR="005C6370" w:rsidP="00A24D29" w14:paraId="24D9D1E0" w14:textId="77777777">
      <w:pPr>
        <w:spacing w:before="50"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一、投资原则</w:t>
      </w:r>
    </w:p>
    <w:p w:rsidR="005C6370" w:rsidP="00A24D29" w14:paraId="535535AC" w14:textId="77777777">
      <w:pPr>
        <w:spacing w:before="50" w:line="360" w:lineRule="auto"/>
        <w:ind w:firstLine="420" w:firstLineChars="200"/>
        <w:contextualSpacing/>
        <w:rPr>
          <w:rFonts w:ascii="宋体" w:hAnsi="Calibri"/>
          <w:bCs/>
          <w:szCs w:val="21"/>
          <w:lang w:eastAsia="zh-CN"/>
        </w:rPr>
      </w:pPr>
      <w:r>
        <w:rPr>
          <w:rFonts w:ascii="宋体" w:hAnsi="Calibri" w:hint="eastAsia"/>
          <w:bCs/>
          <w:szCs w:val="21"/>
          <w:highlight w:val="white"/>
          <w:lang w:eastAsia="zh-CN"/>
        </w:rPr>
        <w:t>1、公平对待所有可投资标的，防范利益冲突。</w:t>
      </w:r>
    </w:p>
    <w:p w:rsidR="005C6370" w:rsidP="00A24D29" w14:paraId="06F8E346" w14:textId="77777777">
      <w:pPr>
        <w:spacing w:before="50" w:line="360" w:lineRule="auto"/>
        <w:ind w:firstLine="420" w:firstLineChars="200"/>
        <w:contextualSpacing/>
        <w:rPr>
          <w:rFonts w:ascii="宋体" w:hAnsi="Calibri"/>
          <w:bCs/>
          <w:szCs w:val="21"/>
          <w:lang w:eastAsia="zh-CN"/>
        </w:rPr>
      </w:pPr>
      <w:r>
        <w:rPr>
          <w:rFonts w:ascii="宋体" w:hAnsi="Calibri" w:hint="eastAsia"/>
          <w:bCs/>
          <w:szCs w:val="21"/>
          <w:highlight w:val="white"/>
          <w:lang w:eastAsia="zh-CN"/>
        </w:rPr>
        <w:t>2、在类似条件下，追求投资成本最小化。</w:t>
      </w:r>
    </w:p>
    <w:p w:rsidR="005C6370" w:rsidP="00A24D29" w14:paraId="1533BB77" w14:textId="77777777">
      <w:pPr>
        <w:spacing w:before="50" w:line="360" w:lineRule="auto"/>
        <w:ind w:firstLine="420" w:firstLineChars="200"/>
        <w:contextualSpacing/>
        <w:rPr>
          <w:rFonts w:ascii="宋体" w:hAnsi="Calibri"/>
          <w:bCs/>
          <w:szCs w:val="21"/>
          <w:lang w:eastAsia="zh-CN"/>
        </w:rPr>
      </w:pPr>
      <w:r>
        <w:rPr>
          <w:rFonts w:ascii="宋体" w:hAnsi="Calibri" w:hint="eastAsia"/>
          <w:bCs/>
          <w:szCs w:val="21"/>
          <w:highlight w:val="white"/>
          <w:lang w:eastAsia="zh-CN"/>
        </w:rPr>
        <w:t>二、投资方法</w:t>
      </w:r>
    </w:p>
    <w:p w:rsidR="005C6370" w:rsidP="00A24D29" w14:paraId="7CAB7F32" w14:textId="77777777">
      <w:pPr>
        <w:spacing w:before="50" w:line="360" w:lineRule="auto"/>
        <w:ind w:firstLine="420" w:firstLineChars="200"/>
        <w:contextualSpacing/>
        <w:rPr>
          <w:rFonts w:ascii="宋体" w:hAnsi="Calibri"/>
          <w:bCs/>
          <w:szCs w:val="21"/>
          <w:lang w:eastAsia="zh-CN"/>
        </w:rPr>
      </w:pPr>
      <w:r>
        <w:rPr>
          <w:rFonts w:ascii="宋体" w:hAnsi="Calibri" w:hint="eastAsia"/>
          <w:bCs/>
          <w:szCs w:val="21"/>
          <w:highlight w:val="white"/>
          <w:lang w:eastAsia="zh-CN"/>
        </w:rPr>
        <w:t>本基金的投资范围涵盖全市场的基金品种，将依据本招募说明书“基金的投资”之“投资策略”约定的投资策略，采用客观、公平的评价方法进行标的池的构建以及可投资基金的筛选，本基金管理人所管理的基金一并进入上述评价体系。</w:t>
      </w:r>
    </w:p>
    <w:p w:rsidR="005C6370" w:rsidP="00A24D29" w14:paraId="5A3B9F7E" w14:textId="77777777">
      <w:pPr>
        <w:spacing w:before="50" w:line="360" w:lineRule="auto"/>
        <w:ind w:firstLine="420" w:firstLineChars="200"/>
        <w:contextualSpacing/>
        <w:rPr>
          <w:rFonts w:ascii="宋体" w:hAnsi="Calibri"/>
          <w:bCs/>
          <w:szCs w:val="21"/>
          <w:lang w:eastAsia="zh-CN"/>
        </w:rPr>
      </w:pPr>
      <w:r>
        <w:rPr>
          <w:rFonts w:ascii="宋体" w:hAnsi="Calibri" w:hint="eastAsia"/>
          <w:bCs/>
          <w:szCs w:val="21"/>
          <w:highlight w:val="white"/>
          <w:lang w:eastAsia="zh-CN"/>
        </w:rPr>
        <w:t>在投资过程中，本基金的主要投资策略包括资产配置策略、基金筛选策略、基金配置策略。其中，资产配置策略通过定性分析和定量分析相结合的方式对未来市场环境进行预测和判断，确定基金资产在权益类资产和固定收益类资产间的分配比例；基金筛选策略通过全方位的定量和定性分析筛选出符合基金管理人要求的标的基金；基金配置策略则结合公开披露的信息估算拟投资基金的最新的资产配置比例和短期的风格定位，通过优化求解的方法，得到匹配资产配置比例的最优基金组合。</w:t>
      </w:r>
    </w:p>
    <w:p w:rsidR="005C6370" w:rsidP="00A24D29" w14:paraId="3C628834" w14:textId="77777777">
      <w:pPr>
        <w:spacing w:before="50" w:line="360" w:lineRule="auto"/>
        <w:ind w:firstLine="420" w:firstLineChars="200"/>
        <w:contextualSpacing/>
        <w:rPr>
          <w:rFonts w:ascii="宋体" w:hAnsi="Calibri"/>
          <w:bCs/>
          <w:szCs w:val="21"/>
          <w:lang w:eastAsia="zh-CN"/>
        </w:rPr>
      </w:pPr>
      <w:r>
        <w:rPr>
          <w:rFonts w:ascii="宋体" w:hAnsi="Calibri" w:hint="eastAsia"/>
          <w:bCs/>
          <w:szCs w:val="21"/>
          <w:highlight w:val="white"/>
          <w:lang w:eastAsia="zh-CN"/>
        </w:rPr>
        <w:t>三、基金的评价筛选流程</w:t>
      </w:r>
    </w:p>
    <w:p w:rsidR="005C6370" w:rsidP="00A24D29" w14:paraId="2B100E28" w14:textId="77777777">
      <w:pPr>
        <w:spacing w:before="50" w:line="360" w:lineRule="auto"/>
        <w:ind w:firstLine="420" w:firstLineChars="200"/>
        <w:contextualSpacing/>
        <w:rPr>
          <w:rFonts w:ascii="宋体" w:hAnsi="Calibri"/>
          <w:bCs/>
          <w:szCs w:val="21"/>
          <w:lang w:eastAsia="zh-CN"/>
        </w:rPr>
      </w:pPr>
      <w:r>
        <w:rPr>
          <w:rFonts w:ascii="宋体" w:hAnsi="Calibri" w:hint="eastAsia"/>
          <w:bCs/>
          <w:szCs w:val="21"/>
          <w:highlight w:val="white"/>
          <w:lang w:eastAsia="zh-CN"/>
        </w:rPr>
        <w:t>1、基金评价方法</w:t>
      </w:r>
    </w:p>
    <w:p w:rsidR="005C6370" w:rsidP="00A24D29" w14:paraId="21FBD127" w14:textId="77777777">
      <w:pPr>
        <w:spacing w:before="50" w:line="360" w:lineRule="auto"/>
        <w:ind w:firstLine="420" w:firstLineChars="200"/>
        <w:contextualSpacing/>
        <w:rPr>
          <w:rFonts w:ascii="宋体" w:hAnsi="Calibri"/>
          <w:bCs/>
          <w:szCs w:val="21"/>
          <w:lang w:eastAsia="zh-CN"/>
        </w:rPr>
      </w:pPr>
      <w:r>
        <w:rPr>
          <w:rFonts w:ascii="宋体" w:hAnsi="Calibri" w:hint="eastAsia"/>
          <w:bCs/>
          <w:szCs w:val="21"/>
          <w:highlight w:val="white"/>
          <w:lang w:eastAsia="zh-CN"/>
        </w:rPr>
        <w:t>在上述基金评价过程中，本基金将建立投资决策委员会审批制度，主要针对基金评价过程中的如下事项进行讨论决策：</w:t>
      </w:r>
    </w:p>
    <w:p w:rsidR="005C6370" w:rsidP="00A24D29" w14:paraId="5493769F" w14:textId="77777777">
      <w:pPr>
        <w:spacing w:before="50" w:line="360" w:lineRule="auto"/>
        <w:ind w:firstLine="420" w:firstLineChars="200"/>
        <w:contextualSpacing/>
        <w:rPr>
          <w:rFonts w:ascii="宋体" w:hAnsi="Calibri"/>
          <w:bCs/>
          <w:szCs w:val="21"/>
          <w:lang w:eastAsia="zh-CN"/>
        </w:rPr>
      </w:pPr>
      <w:r>
        <w:rPr>
          <w:rFonts w:ascii="宋体" w:hAnsi="Calibri" w:hint="eastAsia"/>
          <w:bCs/>
          <w:szCs w:val="21"/>
          <w:highlight w:val="white"/>
          <w:lang w:eastAsia="zh-CN"/>
        </w:rPr>
        <w:t>（1）针对被动型基金与主动型基金，设定不同的评价指标体系。</w:t>
      </w:r>
    </w:p>
    <w:p w:rsidR="005C6370" w:rsidP="00A24D29" w14:paraId="383A871B" w14:textId="77777777">
      <w:pPr>
        <w:spacing w:before="50" w:line="360" w:lineRule="auto"/>
        <w:ind w:firstLine="420" w:firstLineChars="200"/>
        <w:contextualSpacing/>
        <w:rPr>
          <w:rFonts w:ascii="宋体" w:hAnsi="Calibri"/>
          <w:bCs/>
          <w:szCs w:val="21"/>
          <w:lang w:eastAsia="zh-CN"/>
        </w:rPr>
      </w:pPr>
      <w:r>
        <w:rPr>
          <w:rFonts w:ascii="宋体" w:hAnsi="Calibri" w:hint="eastAsia"/>
          <w:bCs/>
          <w:szCs w:val="21"/>
          <w:highlight w:val="white"/>
          <w:lang w:eastAsia="zh-CN"/>
        </w:rPr>
        <w:t>（2）对于被动型基金，本基金将综合考虑运作时间、基金规模、流动性、跟踪误差以及费率水平等指标，</w:t>
      </w:r>
      <w:r>
        <w:rPr>
          <w:rStyle w:val="da"/>
          <w:rFonts w:ascii="宋体" w:hAnsi="Calibri" w:hint="eastAsia"/>
          <w:highlight w:val="white"/>
          <w:lang w:eastAsia="zh-CN"/>
        </w:rPr>
        <w:t>筛选出跟踪误差较小、流动性较好、运作平稳、费率水平合理的被动型基金纳入标的基金池</w:t>
      </w:r>
      <w:r>
        <w:rPr>
          <w:rFonts w:ascii="宋体" w:hAnsi="Calibri" w:hint="eastAsia"/>
          <w:bCs/>
          <w:szCs w:val="21"/>
          <w:highlight w:val="white"/>
          <w:lang w:eastAsia="zh-CN"/>
        </w:rPr>
        <w:t>。</w:t>
      </w:r>
    </w:p>
    <w:p w:rsidR="005C6370" w:rsidP="00A24D29" w14:paraId="385DEC61" w14:textId="77777777">
      <w:pPr>
        <w:spacing w:before="50" w:line="360" w:lineRule="auto"/>
        <w:ind w:firstLine="420" w:firstLineChars="200"/>
        <w:contextualSpacing/>
        <w:rPr>
          <w:rFonts w:ascii="宋体" w:hAnsi="Calibri"/>
          <w:bCs/>
          <w:szCs w:val="21"/>
          <w:lang w:eastAsia="zh-CN"/>
        </w:rPr>
      </w:pPr>
      <w:r>
        <w:rPr>
          <w:rFonts w:ascii="宋体" w:hAnsi="Calibri" w:hint="eastAsia"/>
          <w:bCs/>
          <w:szCs w:val="21"/>
          <w:highlight w:val="white"/>
          <w:lang w:eastAsia="zh-CN"/>
        </w:rPr>
        <w:t>（3）对于主动型基金，将采用基金定量评价、基金定性评价相结合的方法筛选标的基金。</w:t>
      </w:r>
    </w:p>
    <w:p w:rsidR="005C6370" w:rsidP="00A24D29" w14:paraId="0642095A" w14:textId="77777777">
      <w:pPr>
        <w:spacing w:line="360" w:lineRule="auto"/>
        <w:ind w:firstLine="420" w:firstLineChars="200"/>
        <w:contextualSpacing/>
        <w:rPr>
          <w:rFonts w:ascii="宋体" w:hAnsi="Calibri"/>
          <w:bCs/>
          <w:szCs w:val="21"/>
          <w:lang w:eastAsia="zh-CN"/>
        </w:rPr>
      </w:pPr>
      <w:r>
        <w:rPr>
          <w:rFonts w:ascii="宋体" w:hAnsi="Calibri" w:hint="eastAsia"/>
          <w:bCs/>
          <w:szCs w:val="21"/>
          <w:highlight w:val="white"/>
          <w:lang w:eastAsia="zh-CN"/>
        </w:rPr>
        <w:t>（4）根据市场情况，定期或不定期对上述指标以及权重进行调整。</w:t>
      </w:r>
    </w:p>
    <w:p w:rsidR="005C6370" w:rsidP="00A24D29" w14:paraId="2E6D7972" w14:textId="77777777">
      <w:pPr>
        <w:spacing w:line="360" w:lineRule="auto"/>
        <w:ind w:firstLine="420" w:firstLineChars="200"/>
        <w:contextualSpacing/>
        <w:rPr>
          <w:rFonts w:ascii="宋体" w:hAnsi="Calibri"/>
          <w:bCs/>
          <w:szCs w:val="21"/>
          <w:lang w:eastAsia="zh-CN"/>
        </w:rPr>
      </w:pPr>
      <w:r>
        <w:rPr>
          <w:rFonts w:ascii="宋体" w:hAnsi="Calibri" w:hint="eastAsia"/>
          <w:bCs/>
          <w:szCs w:val="21"/>
          <w:highlight w:val="white"/>
          <w:lang w:eastAsia="zh-CN"/>
        </w:rPr>
        <w:t>2、基金筛选</w:t>
      </w:r>
    </w:p>
    <w:p w:rsidR="005C6370" w:rsidP="00A24D29" w14:paraId="38D8C349" w14:textId="77777777">
      <w:pPr>
        <w:spacing w:line="360" w:lineRule="auto"/>
        <w:ind w:firstLine="420" w:firstLineChars="200"/>
        <w:contextualSpacing/>
        <w:rPr>
          <w:rFonts w:ascii="宋体" w:hAnsi="Calibri"/>
          <w:bCs/>
          <w:szCs w:val="21"/>
          <w:lang w:eastAsia="zh-CN"/>
        </w:rPr>
      </w:pPr>
      <w:r>
        <w:rPr>
          <w:rFonts w:ascii="宋体" w:hAnsi="Calibri" w:hint="eastAsia"/>
          <w:bCs/>
          <w:szCs w:val="21"/>
          <w:highlight w:val="white"/>
          <w:lang w:eastAsia="zh-CN"/>
        </w:rPr>
        <w:t>基金经理根据投资决策委员会审议并确定的基金评价方法、指标和体系，从全市场相关基金品种（包含基金管理人管理基金）中进行筛选。在通过资产配置策略获得目标资产配置比例、通过基金筛选策略获得标的基金池后，通过公开披露的数据和信息估算拟投资基金的最新资产配置比例，根据目标资产配置比例的要求以及对未来市场走势的研判，确定最终的基金配置组合。</w:t>
      </w:r>
    </w:p>
    <w:p w:rsidR="005C6370" w:rsidP="00A24D29" w14:paraId="6EC89C30" w14:textId="77777777">
      <w:pPr>
        <w:spacing w:line="360" w:lineRule="auto"/>
        <w:ind w:firstLine="420" w:firstLineChars="200"/>
        <w:contextualSpacing/>
        <w:rPr>
          <w:rFonts w:ascii="宋体" w:hAnsi="Calibri"/>
          <w:bCs/>
          <w:szCs w:val="21"/>
          <w:lang w:eastAsia="zh-CN"/>
        </w:rPr>
      </w:pPr>
      <w:r>
        <w:rPr>
          <w:rFonts w:ascii="宋体" w:hAnsi="Calibri" w:hint="eastAsia"/>
          <w:bCs/>
          <w:szCs w:val="21"/>
          <w:highlight w:val="white"/>
          <w:lang w:eastAsia="zh-CN"/>
        </w:rPr>
        <w:t>3、管理人所管理基金的投资</w:t>
      </w:r>
    </w:p>
    <w:p w:rsidR="005C6370" w:rsidP="00A24D29" w14:paraId="211CC105" w14:textId="77777777">
      <w:pPr>
        <w:spacing w:line="360" w:lineRule="auto"/>
        <w:ind w:firstLine="420" w:firstLineChars="200"/>
        <w:contextualSpacing/>
        <w:rPr>
          <w:rFonts w:ascii="宋体" w:hAnsi="Calibri"/>
          <w:bCs/>
          <w:szCs w:val="21"/>
          <w:lang w:eastAsia="zh-CN"/>
        </w:rPr>
      </w:pPr>
      <w:r>
        <w:rPr>
          <w:rFonts w:ascii="宋体" w:hAnsi="Calibri" w:hint="eastAsia"/>
          <w:bCs/>
          <w:szCs w:val="21"/>
          <w:highlight w:val="white"/>
          <w:lang w:eastAsia="zh-CN"/>
        </w:rPr>
        <w:t>本基金管理人所管理基金将一并进入上述基金评价以及筛选流程，共同参与基金的评价与筛选。</w:t>
      </w:r>
    </w:p>
    <w:p w:rsidR="005C6370" w:rsidP="00A24D29" w14:paraId="67259FBA" w14:textId="77777777">
      <w:pPr>
        <w:spacing w:line="360" w:lineRule="auto"/>
        <w:ind w:firstLine="422"/>
        <w:contextualSpacing/>
        <w:rPr>
          <w:rFonts w:ascii="宋体" w:hAnsi="Calibri"/>
          <w:bCs/>
          <w:szCs w:val="21"/>
          <w:lang w:eastAsia="zh-CN"/>
        </w:rPr>
      </w:pPr>
      <w:r>
        <w:rPr>
          <w:rFonts w:ascii="宋体" w:hAnsi="Calibri" w:hint="eastAsia"/>
          <w:bCs/>
          <w:szCs w:val="21"/>
          <w:highlight w:val="white"/>
          <w:lang w:eastAsia="zh-CN"/>
        </w:rPr>
        <w:t>在最终配置对象的配置比例上，本基金将依据投资策略“基金配置策略”中的相关方法进行确定，并严格按照法律法规的要求进行配置比例控制。</w:t>
      </w:r>
    </w:p>
    <w:p w:rsidR="005C6370" w:rsidP="00A24D29" w14:paraId="296D8447" w14:textId="77777777">
      <w:pPr>
        <w:spacing w:line="360" w:lineRule="auto"/>
        <w:ind w:firstLine="422"/>
        <w:contextualSpacing/>
        <w:rPr>
          <w:rFonts w:ascii="宋体" w:hAnsi="Calibri"/>
          <w:bCs/>
          <w:szCs w:val="21"/>
          <w:lang w:eastAsia="zh-CN"/>
        </w:rPr>
      </w:pPr>
    </w:p>
    <w:p w:rsidR="005C6370" w:rsidP="00A24D29" w14:paraId="69786C3C" w14:textId="77777777">
      <w:pPr>
        <w:spacing w:line="360" w:lineRule="auto"/>
        <w:ind w:firstLine="422"/>
        <w:contextualSpacing/>
        <w:rPr>
          <w:rFonts w:ascii="宋体" w:hAnsi="Calibri"/>
          <w:b/>
          <w:i/>
          <w:szCs w:val="21"/>
          <w:lang w:eastAsia="zh-CN"/>
        </w:rPr>
      </w:pPr>
    </w:p>
    <w:p w:rsidR="005C6370" w:rsidP="00A24D29" w14:paraId="4BDD2ED6" w14:textId="77777777">
      <w:pPr>
        <w:pStyle w:val="Heading1"/>
        <w:spacing w:before="317" w:after="317" w:line="360" w:lineRule="auto"/>
        <w:ind w:firstLine="420"/>
        <w:contextualSpacing/>
        <w:rPr>
          <w:rFonts w:ascii="宋体" w:eastAsia="宋体" w:hAnsi="Calibri"/>
          <w:sz w:val="30"/>
          <w:lang w:eastAsia="zh-CN"/>
        </w:rPr>
      </w:pPr>
      <w:r>
        <w:rPr>
          <w:rFonts w:ascii="宋体" w:eastAsia="宋体" w:hAnsi="Calibri" w:hint="eastAsia"/>
          <w:sz w:val="21"/>
          <w:szCs w:val="21"/>
          <w:highlight w:val="white"/>
          <w:lang w:eastAsia="zh-CN"/>
        </w:rPr>
        <w:br w:type="page"/>
      </w:r>
      <w:bookmarkStart w:id="1831" w:name="_Toc332373538"/>
      <w:bookmarkStart w:id="1832" w:name="_Toc121776977"/>
      <w:r>
        <w:rPr>
          <w:rFonts w:ascii="宋体" w:eastAsia="宋体" w:hAnsi="Calibri" w:hint="eastAsia"/>
          <w:sz w:val="30"/>
          <w:highlight w:val="white"/>
          <w:lang w:eastAsia="zh-CN"/>
        </w:rPr>
        <w:t>第十四部分 基金的财产</w:t>
      </w:r>
      <w:bookmarkEnd w:id="1831"/>
      <w:bookmarkEnd w:id="1832"/>
    </w:p>
    <w:p w:rsidR="005C6370" w:rsidP="00A24D29" w14:paraId="7F5A96F0" w14:textId="77777777">
      <w:pPr>
        <w:spacing w:line="360" w:lineRule="auto"/>
        <w:ind w:firstLine="420"/>
        <w:contextualSpacing/>
        <w:rPr>
          <w:rStyle w:val="da"/>
          <w:rFonts w:ascii="宋体" w:eastAsia="黑体" w:hAnsi="Calibri"/>
          <w:sz w:val="32"/>
          <w:szCs w:val="32"/>
          <w:lang w:eastAsia="zh-CN"/>
        </w:rPr>
      </w:pPr>
      <w:r>
        <w:rPr>
          <w:rStyle w:val="da"/>
          <w:rFonts w:ascii="宋体" w:hAnsi="Calibri" w:hint="eastAsia"/>
          <w:highlight w:val="white"/>
          <w:lang w:eastAsia="zh-CN"/>
        </w:rPr>
        <w:t>一、基金资产总值</w:t>
      </w:r>
    </w:p>
    <w:p w:rsidR="005C6370" w:rsidP="00A24D29" w14:paraId="515D752A"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基金资产总值是指购买的各类证券及票据价值、基金份额、银行存款本息和基金应收的申购基金款以及其他投资所形成的价值总和。</w:t>
      </w:r>
    </w:p>
    <w:p w:rsidR="005C6370" w:rsidP="00A24D29" w14:paraId="0964AF64"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二、基金资产净值</w:t>
      </w:r>
    </w:p>
    <w:p w:rsidR="005C6370" w:rsidP="00A24D29" w14:paraId="76A94EB7"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基金资产净值是指基金资产总值减去基金负债后的价值。</w:t>
      </w:r>
    </w:p>
    <w:p w:rsidR="005C6370" w:rsidP="00A24D29" w14:paraId="583DB5F2"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三、基金财产的账户</w:t>
      </w:r>
    </w:p>
    <w:p w:rsidR="005C6370" w:rsidP="00A24D29" w14:paraId="5279DB4E"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p>
    <w:p w:rsidR="005C6370" w:rsidP="00A24D29" w14:paraId="27DF29BC"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四、基金财产的保管和处分</w:t>
      </w:r>
    </w:p>
    <w:p w:rsidR="005C6370" w:rsidP="00A24D29" w14:paraId="3750E870"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本基金财产独立于基金管理人、基金托管人和基金销售机构的财产，并由基金托管人保管。基金管理人、基金托管人不得将基金财产归入其固有财产。基金管理人、基金托管人因基金财产的管理、运用或者其他情形而取得的财产和收益，归入基金财产。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rsidR="005C6370" w:rsidP="00A24D29" w14:paraId="35F1F40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rsidR="005C6370" w:rsidP="00A24D29" w14:paraId="1E2C1E4B" w14:textId="77777777">
      <w:pPr>
        <w:spacing w:line="360" w:lineRule="auto"/>
        <w:ind w:firstLine="420"/>
        <w:contextualSpacing/>
        <w:rPr>
          <w:rStyle w:val="da"/>
          <w:rFonts w:ascii="宋体" w:hAnsi="Calibri"/>
          <w:lang w:eastAsia="zh-CN"/>
        </w:rPr>
      </w:pPr>
    </w:p>
    <w:p w:rsidR="005C6370" w:rsidP="00A24D29" w14:paraId="1D92E3FD" w14:textId="77777777">
      <w:pPr>
        <w:widowControl/>
        <w:contextualSpacing/>
        <w:jc w:val="left"/>
        <w:rPr>
          <w:rFonts w:ascii="宋体" w:hAnsi="Calibri"/>
          <w:sz w:val="30"/>
          <w:szCs w:val="32"/>
          <w:lang w:eastAsia="zh-CN"/>
        </w:rPr>
      </w:pPr>
      <w:bookmarkStart w:id="1833" w:name="_Hlt88900062"/>
      <w:bookmarkStart w:id="1834" w:name="_Hlt88841837"/>
      <w:bookmarkStart w:id="1835" w:name="_Toc332373543"/>
      <w:bookmarkEnd w:id="1833"/>
      <w:bookmarkEnd w:id="1834"/>
      <w:r>
        <w:rPr>
          <w:rFonts w:ascii="宋体" w:hAnsi="Calibri"/>
          <w:sz w:val="30"/>
          <w:highlight w:val="white"/>
          <w:lang w:eastAsia="zh-CN"/>
        </w:rPr>
        <w:br w:type="page"/>
      </w:r>
    </w:p>
    <w:p w:rsidR="005C6370" w:rsidP="00A24D29" w14:paraId="274111FD" w14:textId="77777777">
      <w:pPr>
        <w:pStyle w:val="Heading1"/>
        <w:spacing w:before="317" w:after="317" w:line="360" w:lineRule="auto"/>
        <w:ind w:firstLine="600"/>
        <w:contextualSpacing/>
        <w:rPr>
          <w:rFonts w:ascii="宋体" w:eastAsia="宋体" w:hAnsi="Calibri"/>
          <w:sz w:val="30"/>
          <w:lang w:eastAsia="zh-CN"/>
        </w:rPr>
      </w:pPr>
      <w:bookmarkStart w:id="1836" w:name="_Toc121776978"/>
      <w:r>
        <w:rPr>
          <w:rFonts w:ascii="宋体" w:eastAsia="宋体" w:hAnsi="Calibri"/>
          <w:sz w:val="30"/>
          <w:highlight w:val="white"/>
          <w:lang w:eastAsia="zh-CN"/>
        </w:rPr>
        <w:t>第十</w:t>
      </w:r>
      <w:r>
        <w:rPr>
          <w:rFonts w:ascii="宋体" w:eastAsia="宋体" w:hAnsi="Calibri" w:hint="eastAsia"/>
          <w:sz w:val="30"/>
          <w:highlight w:val="white"/>
          <w:lang w:eastAsia="zh-CN"/>
        </w:rPr>
        <w:t>五</w:t>
      </w:r>
      <w:r>
        <w:rPr>
          <w:rFonts w:ascii="宋体" w:eastAsia="宋体" w:hAnsi="Calibri"/>
          <w:sz w:val="30"/>
          <w:highlight w:val="white"/>
          <w:lang w:eastAsia="zh-CN"/>
        </w:rPr>
        <w:t>部分</w:t>
      </w:r>
      <w:r>
        <w:rPr>
          <w:rFonts w:ascii="宋体" w:eastAsia="宋体" w:hAnsi="Calibri" w:hint="eastAsia"/>
          <w:sz w:val="30"/>
          <w:highlight w:val="white"/>
          <w:lang w:eastAsia="zh-CN"/>
        </w:rPr>
        <w:t xml:space="preserve"> 基金资产的估值</w:t>
      </w:r>
      <w:bookmarkEnd w:id="1835"/>
      <w:bookmarkEnd w:id="1836"/>
    </w:p>
    <w:p w:rsidR="005C6370" w:rsidP="00A24D29" w14:paraId="065BEFC7" w14:textId="77777777">
      <w:pPr>
        <w:spacing w:line="360" w:lineRule="auto"/>
        <w:ind w:firstLine="420"/>
        <w:contextualSpacing/>
        <w:rPr>
          <w:rStyle w:val="da"/>
          <w:rFonts w:ascii="宋体" w:eastAsia="黑体" w:hAnsi="Calibri"/>
          <w:sz w:val="32"/>
          <w:szCs w:val="32"/>
          <w:lang w:eastAsia="zh-CN"/>
        </w:rPr>
      </w:pPr>
      <w:r>
        <w:rPr>
          <w:rStyle w:val="da"/>
          <w:rFonts w:ascii="宋体" w:hAnsi="Calibri" w:hint="eastAsia"/>
          <w:highlight w:val="white"/>
          <w:lang w:eastAsia="zh-CN"/>
        </w:rPr>
        <w:t>一、估值日</w:t>
      </w:r>
    </w:p>
    <w:p w:rsidR="005C6370" w:rsidP="00A24D29" w14:paraId="100A691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本基金的估值日为本基金相关的证券交易场所的交易日以及国家法律法规规定需要对外披露基金净值的非交易日。</w:t>
      </w:r>
    </w:p>
    <w:p w:rsidR="005C6370" w:rsidP="00A24D29" w14:paraId="7A6EF30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二、估值对象</w:t>
      </w:r>
    </w:p>
    <w:p w:rsidR="005C6370" w:rsidP="00A24D29" w14:paraId="0D6EDCB8"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基金所拥有的证券投资基金、股票、债券和银行存款本息、应收款项、其它投资等资产及负债。</w:t>
      </w:r>
    </w:p>
    <w:p w:rsidR="005C6370" w:rsidP="00A24D29" w14:paraId="71162BB9"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三、估值原则</w:t>
      </w:r>
    </w:p>
    <w:p w:rsidR="005C6370" w:rsidP="00A24D29" w14:paraId="7A9850D7"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基金管理人在确定相关金融资产和金融负债的公允价值时，应符合《企业会计准则》、监管部门有关规定。</w:t>
      </w:r>
    </w:p>
    <w:p w:rsidR="005C6370" w:rsidP="00A24D29" w14:paraId="40623307"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rsidR="005C6370" w:rsidP="00A24D29" w14:paraId="124C752D"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rsidR="005C6370" w:rsidP="00A24D29" w14:paraId="1A380CD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rsidR="005C6370" w:rsidP="00A24D29" w14:paraId="7350CD72"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（三）如经济环境发生重大变化或证券发行人发生影响证券价格的重大事件，使潜在估值调整对前一估值日的基金资产净值的影响在0.25%以上的，应对估值进行调整并确定公允价值。</w:t>
      </w:r>
    </w:p>
    <w:p w:rsidR="005C6370" w:rsidP="00A24D29" w14:paraId="7DE68399"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四、估值方法</w:t>
      </w:r>
    </w:p>
    <w:p w:rsidR="005C6370" w:rsidP="00A24D29" w14:paraId="0F538816"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rsidR="005C6370" w:rsidP="00A24D29" w14:paraId="12985F14"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2、处于未上市期间的有价证券应区分如下情况处理：</w:t>
      </w:r>
    </w:p>
    <w:p w:rsidR="005C6370" w:rsidP="00A24D29" w14:paraId="7A8446BF"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（1）送股、转增股、配股和公开增发的新股，按估值日在证券交易所挂牌的同一股票的估值方法估值；该日无交易的，以最近一日的市价（收盘价）估值；</w:t>
      </w:r>
    </w:p>
    <w:p w:rsidR="005C6370" w:rsidP="00A24D29" w14:paraId="3F9B0E57"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（2）首次公开发行未上市的股票，采用估值技术确定公允价值；</w:t>
      </w:r>
    </w:p>
    <w:p w:rsidR="005C6370" w:rsidP="00A24D29" w14:paraId="3A81EA4F"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rsidR="005C6370" w:rsidP="00A24D29" w14:paraId="2506B636"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3、对于已上市或已挂牌转让的不含权固定收益品种，选取估值日第三方估值基准服务机构提供的相应品种当日的估值全价进行估值。</w:t>
      </w:r>
    </w:p>
    <w:p w:rsidR="005C6370" w:rsidP="00A24D29" w14:paraId="0D890379"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4、对于已上市或已挂牌转让的含权固定收益品种，选取估值日第三方估值基准服务机构提供的相应品种当日的唯一估值全价或推荐估值全价进行估值。</w:t>
      </w:r>
    </w:p>
    <w:p w:rsidR="005C6370" w:rsidP="00A24D29" w14:paraId="5C56E1DE"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对于含投资者回售权的固定收益品种，行使回售权的，在回售登记日至实际收款日期间选取第三方估值基准服务机构提供的相应品种的唯一估值全价或推荐估值全价进行估值。回售登记期截止日（含当日）后未行使回售权的按照长待偿期所对应的价格进行估值。</w:t>
      </w:r>
    </w:p>
    <w:p w:rsidR="005C6370" w:rsidP="00A24D29" w14:paraId="0C23E23C"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5、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rsidR="005C6370" w:rsidP="00A24D29" w14:paraId="57AAD071"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6、对于未上市或未挂牌转让且不存在活跃市场的固定收益品种，采用在当前情况下适用并且有足够可利用数据和其他信息支持的估值技术确定其公允价值。</w:t>
      </w:r>
    </w:p>
    <w:p w:rsidR="005C6370" w:rsidP="00A24D29" w14:paraId="4F0B652D"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7、对于交易所上市的ETF基金、境内上市定期开放式基金、封闭式基金，按估值日的收盘价估值；若估值日无交易，且最近交易日后市场环境未发生重大变化，按最近交易日的收盘价估值；如最近交易日后市场环境发生了重大变化的，可使用最新的基金份额净值为基础或参考类似投资品种的现行市价及重大变化因素调整最近交易市价，确定公允价值。当基金管理人认为所投资基金按上述条款进行估值存在不公允时，应与托管人协商一致采用合理的估值技术或估值标准确定其公允价值；</w:t>
      </w:r>
    </w:p>
    <w:p w:rsidR="005C6370" w:rsidP="00A24D29" w14:paraId="03355F4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8、对于交易所上市的境内上市开放式基金（LOF），按估值日的份额净值估值；境内上市交易型货币市场基金，如披露份额净值，则按估值日的份额净值估值；如披露万份（百份）收益，则按前一估值日后至估值日期间（含节假日）的万份（百份）收益计提估值日基金收益；以基金份额净值估值的，若与本基金估值频率一致但未公布估值日基金份额净值，按其最近公布的基金份额净值为基础估值。</w:t>
      </w:r>
    </w:p>
    <w:p w:rsidR="005C6370" w:rsidP="00A24D29" w14:paraId="319581F6"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9、非上市基金的估值：境内非货币市场基金，按估值日的份额净值估值；若与本基金估值频率一致但未公布估值日基金份额净值，按其最近公布的基金份额净值为基础估值。境内货币市场基金，按前一估值日后至估值日期间（含节假日）的万份收益计提估值日基金收益。</w:t>
      </w:r>
    </w:p>
    <w:p w:rsidR="005C6370" w:rsidP="00A24D29" w14:paraId="4FA7794F"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10、本基金投资存托凭证的估值核算，依照境内上市交易的股票执行。</w:t>
      </w:r>
    </w:p>
    <w:p w:rsidR="005C6370" w:rsidP="00A24D29" w14:paraId="66E5AC5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11、汇率</w:t>
      </w:r>
    </w:p>
    <w:p w:rsidR="005C6370" w:rsidP="00A24D29" w14:paraId="1412050A"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如本基金投资股票市场交易互联互通机制允许买卖的境外证券市场上市的股票、E</w:t>
      </w:r>
      <w:r>
        <w:rPr>
          <w:rStyle w:val="da"/>
          <w:rFonts w:ascii="宋体" w:hAnsi="Calibri"/>
          <w:highlight w:val="white"/>
          <w:lang w:eastAsia="zh-CN"/>
        </w:rPr>
        <w:t>TF</w:t>
      </w:r>
      <w:r>
        <w:rPr>
          <w:rStyle w:val="da"/>
          <w:rFonts w:ascii="宋体" w:hAnsi="Calibri" w:hint="eastAsia"/>
          <w:highlight w:val="white"/>
          <w:lang w:eastAsia="zh-CN"/>
        </w:rPr>
        <w:t>，涉及相关货币对人民币汇率的，届时根据相关法律法规及监管机构的要求确定汇率来源，如法律法规及监管机构无相关规定，基金管理人与基金托管人协商一致后确定本基金的估值汇率来源。</w:t>
      </w:r>
    </w:p>
    <w:p w:rsidR="005C6370" w:rsidP="00A24D29" w14:paraId="12580C47"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12、税收</w:t>
      </w:r>
    </w:p>
    <w:p w:rsidR="005C6370" w:rsidP="00A24D29" w14:paraId="56DBC9BF"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对于按照中国法律法规和基金投资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rsidR="005C6370" w:rsidP="00A24D29" w14:paraId="48D788F1"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13、如有充分理由表明按上述方法进行估值不能客观反映其公允价值的，基金管理人可根据具体情况与基金托管人商定后，按最能反映公允价值的价格估值。</w:t>
      </w:r>
    </w:p>
    <w:p w:rsidR="005C6370" w:rsidP="00A24D29" w14:paraId="0FAD5640"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14、当发生大额申购或赎回情形时，基金管理人可以采用摆动定价机制，以确保基金估值的公平性。</w:t>
      </w:r>
    </w:p>
    <w:p w:rsidR="005C6370" w:rsidP="00A24D29" w14:paraId="07D2A0C8"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15、相关法律法规以及监管部门有强制规定的，从其规定。如有新增事项，按国家最新规定估值。</w:t>
      </w:r>
    </w:p>
    <w:p w:rsidR="005C6370" w:rsidP="00A24D29" w14:paraId="366ECFBB"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如基金管理人或基金托管人发现基金估值违反基金合同订明的估值方法、程序及相关法律法规的规定或者未能充分维护基金份额持有人利益时，应立即通知对方，共同查明原因，双方协商解决。</w:t>
      </w:r>
    </w:p>
    <w:p w:rsidR="005C6370" w:rsidP="00A24D29" w14:paraId="5423FFD1"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rsidR="005C6370" w:rsidP="00A24D29" w14:paraId="0419C853"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五、估值程序</w:t>
      </w:r>
    </w:p>
    <w:p w:rsidR="005C6370" w:rsidP="00A24D29" w14:paraId="6C26D1FF"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基金份额净值是按照估值日基金资产净值除以当日基金份额的余额数量计算，精确到0.0001元，小数点后第5位四舍五入。基金管理人可以设立大额赎回情形下的净值精度应急调整机制。国家另有规定的，从其规定。</w:t>
      </w:r>
    </w:p>
    <w:p w:rsidR="005C6370" w:rsidP="00A24D29" w14:paraId="2853062B"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每个估值日后的两个工作日内计算该估值日的基金资产净值及基金份额净值，并按规定公告。</w:t>
      </w:r>
    </w:p>
    <w:p w:rsidR="005C6370" w:rsidP="00A24D29" w14:paraId="14207411"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基金管理人应每个估值日后的两个工作日内对该估值日的基金资产进行估值。但基金管理人根据法律法规或基金合同的规定暂停估值时除外。基金管理人每个估值日后的两个工作日内对该估值日的基金资产进行估值后，将基金份额净值结果发送基金托管人，经基金托管人复核无误后，由基金管理人按规定对外公布。</w:t>
      </w:r>
    </w:p>
    <w:p w:rsidR="005C6370" w:rsidP="00A24D29" w14:paraId="3C117EDA"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六、估值错误的处理</w:t>
      </w:r>
    </w:p>
    <w:p w:rsidR="005C6370" w:rsidP="00A24D29" w14:paraId="063C4066"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基金管理人和基金托管人将采取必要、适当、合理的措施确保基金资产估值的准确性、及时性。当基金份额净值小数点后4位以内（含第4位）发生估值错误时，视为基金份额净值错误。</w:t>
      </w:r>
    </w:p>
    <w:p w:rsidR="005C6370" w:rsidP="00A24D29" w14:paraId="507F3C4E"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基金合同的当事人应按照以下约定处理：</w:t>
      </w:r>
    </w:p>
    <w:p w:rsidR="005C6370" w:rsidP="00A24D29" w14:paraId="3C395F77"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1、估值错误类型</w:t>
      </w:r>
    </w:p>
    <w:p w:rsidR="005C6370" w:rsidP="00A24D29" w14:paraId="00103DFD"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本基金运作过程中，如果由于基金管理人或基金托管人、或登记机构、或销售机构、或投资人自身的过错造成估值错误，导致其他当事人遭受损失的，过错的责任人应当对由于该估值错误遭受损失当事人（</w:t>
      </w:r>
      <w:r>
        <w:rPr>
          <w:rStyle w:val="da"/>
          <w:rFonts w:ascii="宋体" w:hAnsi="Calibri"/>
          <w:highlight w:val="white"/>
          <w:lang w:eastAsia="zh-CN"/>
        </w:rPr>
        <w:t>“</w:t>
      </w:r>
      <w:r>
        <w:rPr>
          <w:rStyle w:val="da"/>
          <w:rFonts w:ascii="宋体" w:hAnsi="Calibri"/>
          <w:highlight w:val="white"/>
          <w:lang w:eastAsia="zh-CN"/>
        </w:rPr>
        <w:t>受损方</w:t>
      </w:r>
      <w:r>
        <w:rPr>
          <w:rStyle w:val="da"/>
          <w:rFonts w:ascii="宋体" w:hAnsi="Calibri"/>
          <w:highlight w:val="white"/>
          <w:lang w:eastAsia="zh-CN"/>
        </w:rPr>
        <w:t>”</w:t>
      </w:r>
      <w:r>
        <w:rPr>
          <w:rStyle w:val="da"/>
          <w:rFonts w:ascii="宋体" w:hAnsi="Calibri"/>
          <w:highlight w:val="white"/>
          <w:lang w:eastAsia="zh-CN"/>
        </w:rPr>
        <w:t>）的直接损失按下述</w:t>
      </w:r>
      <w:r>
        <w:rPr>
          <w:rStyle w:val="da"/>
          <w:rFonts w:ascii="宋体" w:hAnsi="Calibri"/>
          <w:highlight w:val="white"/>
          <w:lang w:eastAsia="zh-CN"/>
        </w:rPr>
        <w:t>“</w:t>
      </w:r>
      <w:r>
        <w:rPr>
          <w:rStyle w:val="da"/>
          <w:rFonts w:ascii="宋体" w:hAnsi="Calibri"/>
          <w:highlight w:val="white"/>
          <w:lang w:eastAsia="zh-CN"/>
        </w:rPr>
        <w:t>估值错误处理原则</w:t>
      </w:r>
      <w:r>
        <w:rPr>
          <w:rStyle w:val="da"/>
          <w:rFonts w:ascii="宋体" w:hAnsi="Calibri"/>
          <w:highlight w:val="white"/>
          <w:lang w:eastAsia="zh-CN"/>
        </w:rPr>
        <w:t>”</w:t>
      </w:r>
      <w:r>
        <w:rPr>
          <w:rStyle w:val="da"/>
          <w:rFonts w:ascii="宋体" w:hAnsi="Calibri"/>
          <w:highlight w:val="white"/>
          <w:lang w:eastAsia="zh-CN"/>
        </w:rPr>
        <w:t>给予赔偿，承担赔偿责任。</w:t>
      </w:r>
    </w:p>
    <w:p w:rsidR="005C6370" w:rsidP="00A24D29" w14:paraId="0A26B9A7"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上述估值错误的主要类型包括但不限于：资料申报差错、数据传输差错、数据计算差错、系统故障差错、下达指令差错等。</w:t>
      </w:r>
    </w:p>
    <w:p w:rsidR="005C6370" w:rsidP="00A24D29" w14:paraId="0AACEBA1"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2、估值错误处理原则</w:t>
      </w:r>
    </w:p>
    <w:p w:rsidR="005C6370" w:rsidP="00A24D29" w14:paraId="26D823D9"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rsidR="005C6370" w:rsidP="00A24D29" w14:paraId="4CE4117E"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（2）估值错误的责任方对有关当事人的直接损失负责，不对间接损失负责，并且仅对估值错误的有关直接当事人负责，不对第三方负责。</w:t>
      </w:r>
    </w:p>
    <w:p w:rsidR="005C6370" w:rsidP="00A24D29" w14:paraId="647FF858"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（3）因估值错误而获得不当得利的当事人负有及时返还不当得利的义务。但估值错误责任方仍应对估值错误负责。如果由于获得不当得利的当事人不返还或不全部返还不当得利造成其他当事人的利益损失（</w:t>
      </w:r>
      <w:r>
        <w:rPr>
          <w:rStyle w:val="da"/>
          <w:rFonts w:ascii="宋体" w:hAnsi="Calibri"/>
          <w:highlight w:val="white"/>
          <w:lang w:eastAsia="zh-CN"/>
        </w:rPr>
        <w:t>“</w:t>
      </w:r>
      <w:r>
        <w:rPr>
          <w:rStyle w:val="da"/>
          <w:rFonts w:ascii="宋体" w:hAnsi="Calibri"/>
          <w:highlight w:val="white"/>
          <w:lang w:eastAsia="zh-CN"/>
        </w:rPr>
        <w:t>受损方</w:t>
      </w:r>
      <w:r>
        <w:rPr>
          <w:rStyle w:val="da"/>
          <w:rFonts w:ascii="宋体" w:hAnsi="Calibri"/>
          <w:highlight w:val="white"/>
          <w:lang w:eastAsia="zh-CN"/>
        </w:rPr>
        <w:t>”</w:t>
      </w:r>
      <w:r>
        <w:rPr>
          <w:rStyle w:val="da"/>
          <w:rFonts w:ascii="宋体" w:hAnsi="Calibri"/>
          <w:highlight w:val="white"/>
          <w:lang w:eastAsia="zh-CN"/>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rsidR="005C6370" w:rsidP="00A24D29" w14:paraId="1C67458D"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（4）估值错误调整采用尽量恢复至假设未发生估值错误的正确情形的方式。</w:t>
      </w:r>
    </w:p>
    <w:p w:rsidR="005C6370" w:rsidP="00A24D29" w14:paraId="40E3F62F"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3、估值错误处理程序</w:t>
      </w:r>
    </w:p>
    <w:p w:rsidR="005C6370" w:rsidP="00A24D29" w14:paraId="04683940"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估值错误被发现后，有关的当事人应当及时进行处理，处理的程序如下：</w:t>
      </w:r>
    </w:p>
    <w:p w:rsidR="005C6370" w:rsidP="00A24D29" w14:paraId="2D690D5D"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（1）查明估值错误发生的原因，列明所有的当事人，并根据估值错误发生的原因确定估值错误的责任方；</w:t>
      </w:r>
    </w:p>
    <w:p w:rsidR="005C6370" w:rsidP="00A24D29" w14:paraId="32327CB5"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（2）根据估值错误处理原则或当事人协商的方法对因估值错误造成的损失进行评估；</w:t>
      </w:r>
    </w:p>
    <w:p w:rsidR="005C6370" w:rsidP="00A24D29" w14:paraId="55E6F003"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（3）根据估值错误处理原则或当事人协商的方法由估值错误的责任方进行更正和赔偿损失；</w:t>
      </w:r>
    </w:p>
    <w:p w:rsidR="005C6370" w:rsidP="00A24D29" w14:paraId="17928F24"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（4）根据估值错误处理的方法，需要修改基金登记机构交易数据的，由基金登记机构进行更正，并就估值错误的更正向有关当事人进行确认。</w:t>
      </w:r>
    </w:p>
    <w:p w:rsidR="005C6370" w:rsidP="00A24D29" w14:paraId="6C8A08B4"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4、基金份额净值估值错误处理的方法如下：</w:t>
      </w:r>
    </w:p>
    <w:p w:rsidR="005C6370" w:rsidP="00A24D29" w14:paraId="067CDD2D"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（1）基金份额净值计算出现错误时，基金管理人应当立即予以纠正，通报基金托管人，并采取合理的措施防止损失进一步扩大。</w:t>
      </w:r>
    </w:p>
    <w:p w:rsidR="005C6370" w:rsidP="00A24D29" w14:paraId="7F3DBD84"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（2）错误偏差达到基金份额净值的0.25%时，基金管理人应当通报基金托管人并报中国证监会备案；错误偏差达到基金份额净值的0.5%时，基金管理人应当公告，并报中国证监会备案。</w:t>
      </w:r>
    </w:p>
    <w:p w:rsidR="005C6370" w:rsidP="00A24D29" w14:paraId="7E9C7DAA"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（3）前述内容如法律法规或监管机关另有规定的，从其规定处理。</w:t>
      </w:r>
    </w:p>
    <w:p w:rsidR="005C6370" w:rsidP="00A24D29" w14:paraId="548DE7C1"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七、暂停估值的情形</w:t>
      </w:r>
    </w:p>
    <w:p w:rsidR="005C6370" w:rsidP="00A24D29" w14:paraId="6300C0D6"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1、基金投资所涉及的证券交易市场遇法定节假日或因其他原因暂停营业时；</w:t>
      </w:r>
    </w:p>
    <w:p w:rsidR="005C6370" w:rsidP="00A24D29" w14:paraId="2EF2B6E6"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2、因不可抗力致使基金管理人、基金托管人无法准确评估基金资产价值时；</w:t>
      </w:r>
    </w:p>
    <w:p w:rsidR="005C6370" w:rsidP="00A24D29" w14:paraId="305F5146"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3、占相当比例的被投资基金暂停估值；</w:t>
      </w:r>
    </w:p>
    <w:p w:rsidR="005C6370" w:rsidP="00A24D29" w14:paraId="53BDBB5A"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4、当特定资产占前一估值日基金资产净值50%以上的，经与基金托管人协商确认后，基金管理人应当暂停估值；</w:t>
      </w:r>
    </w:p>
    <w:p w:rsidR="005C6370" w:rsidP="00A24D29" w14:paraId="30C94C21"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5、中国证监会和基金合同认定的其它情形。</w:t>
      </w:r>
    </w:p>
    <w:p w:rsidR="005C6370" w:rsidP="00A24D29" w14:paraId="357A5F10"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八、基金净值的确认</w:t>
      </w:r>
    </w:p>
    <w:p w:rsidR="005C6370" w:rsidP="00A24D29" w14:paraId="329DB0D2"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用于基金信息披露的基金资产净值和基金份额净值由基金管理人负责计算，基金托管人负责进行复核。基金管理人应于每个估值日后的两个工作日内计算该估值日的基金资产净值和基金份额净值并发送给基金托管人。基金托管人对净值计算结果复核确认后发送给基金管理人，由基金管理人按规定对基金净值予以公布。</w:t>
      </w:r>
    </w:p>
    <w:p w:rsidR="005C6370" w:rsidP="00A24D29" w14:paraId="6695311E"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九、特殊情况的处理</w:t>
      </w:r>
    </w:p>
    <w:p w:rsidR="005C6370" w:rsidP="00A24D29" w14:paraId="048A3B05"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1、基金管理人或基金托管人按估值方法的第13项进行估值时，所造成的误差不作为基金资产估值错误处理。</w:t>
      </w:r>
    </w:p>
    <w:p w:rsidR="005C6370" w:rsidP="00A24D29" w14:paraId="4606F09A"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由于不可抗力，或证券交易所、登记结算机构及存款银行等第三方机构发送的数据错误，或国家会计政策变更、市场规则变更等非基金管理人与基金托管人原因，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rsidR="005C6370" w:rsidP="00A24D29" w14:paraId="13493038"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十、实施侧袋机制期间的基金资产估值</w:t>
      </w:r>
    </w:p>
    <w:p w:rsidR="005C6370" w:rsidP="00A24D29" w14:paraId="79CB99E0"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本基金实施侧袋机制的，应根据本部分的约定对主袋账户资产进行估值并披露主袋账户的基金资产净值和份额净值，暂停披露侧袋账户份额净值。</w:t>
      </w:r>
    </w:p>
    <w:p w:rsidR="005C6370" w:rsidP="00A24D29" w14:paraId="12DB15CC" w14:textId="77777777">
      <w:pPr>
        <w:spacing w:line="360" w:lineRule="auto"/>
        <w:ind w:firstLine="420"/>
        <w:contextualSpacing/>
        <w:rPr>
          <w:rStyle w:val="da"/>
          <w:rFonts w:ascii="宋体" w:hAnsi="Calibri"/>
          <w:lang w:eastAsia="zh-CN"/>
        </w:rPr>
      </w:pPr>
    </w:p>
    <w:p w:rsidR="005C6370" w:rsidP="00A24D29" w14:paraId="79DFEA7A" w14:textId="77777777">
      <w:pPr>
        <w:pStyle w:val="Heading1"/>
        <w:spacing w:before="317" w:after="317" w:line="360" w:lineRule="auto"/>
        <w:ind w:firstLine="420"/>
        <w:contextualSpacing/>
        <w:rPr>
          <w:rFonts w:ascii="宋体" w:eastAsia="宋体" w:hAnsi="Calibri"/>
          <w:bCs/>
        </w:rPr>
      </w:pPr>
      <w:r>
        <w:rPr>
          <w:rFonts w:ascii="宋体" w:eastAsia="宋体" w:hAnsi="Calibri"/>
          <w:sz w:val="21"/>
          <w:szCs w:val="21"/>
          <w:highlight w:val="white"/>
          <w:lang w:eastAsia="zh-CN"/>
        </w:rPr>
        <w:br w:type="page"/>
      </w:r>
      <w:bookmarkStart w:id="1837" w:name="_Toc121776979"/>
      <w:r>
        <w:rPr>
          <w:rFonts w:ascii="宋体" w:eastAsia="宋体" w:hAnsi="Calibri"/>
          <w:sz w:val="30"/>
          <w:highlight w:val="white"/>
        </w:rPr>
        <w:t>第</w:t>
      </w:r>
      <w:r>
        <w:rPr>
          <w:rFonts w:ascii="宋体" w:eastAsia="宋体" w:hAnsi="Calibri" w:hint="eastAsia"/>
          <w:sz w:val="30"/>
          <w:highlight w:val="white"/>
        </w:rPr>
        <w:t>十</w:t>
      </w:r>
      <w:bookmarkStart w:id="1838" w:name="_Toc332373553"/>
      <w:r>
        <w:rPr>
          <w:rFonts w:ascii="宋体" w:eastAsia="宋体" w:hAnsi="Calibri" w:hint="eastAsia"/>
          <w:sz w:val="30"/>
          <w:highlight w:val="white"/>
        </w:rPr>
        <w:t>六部分 基金的收益分配</w:t>
      </w:r>
      <w:bookmarkEnd w:id="1837"/>
      <w:bookmarkEnd w:id="1838"/>
    </w:p>
    <w:p w:rsidR="005C6370" w:rsidP="00A24D29" w14:paraId="1E335371" w14:textId="77777777">
      <w:pPr>
        <w:spacing w:line="360" w:lineRule="auto"/>
        <w:ind w:firstLine="420"/>
        <w:contextualSpacing/>
        <w:rPr>
          <w:rStyle w:val="da"/>
          <w:rFonts w:ascii="宋体" w:eastAsia="黑体" w:hAnsi="Calibri"/>
          <w:sz w:val="32"/>
          <w:szCs w:val="32"/>
          <w:lang w:eastAsia="zh-CN"/>
        </w:rPr>
      </w:pPr>
      <w:r>
        <w:rPr>
          <w:rStyle w:val="da"/>
          <w:rFonts w:ascii="宋体" w:hAnsi="Calibri" w:hint="eastAsia"/>
          <w:highlight w:val="white"/>
          <w:lang w:eastAsia="zh-CN"/>
        </w:rPr>
        <w:t>一、基金利润的构成</w:t>
      </w:r>
    </w:p>
    <w:p w:rsidR="005C6370" w:rsidP="00A24D29" w14:paraId="3214D91D"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基金利润指基金利息收入、投资收益、公允价值变动收益和其他收入扣除相关费用后的余额，基金已实现收益指基金利润减去公允价值变动收益后的余额。</w:t>
      </w:r>
    </w:p>
    <w:p w:rsidR="005C6370" w:rsidP="00A24D29" w14:paraId="64D9F6D0"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二、基金可供分配利润</w:t>
      </w:r>
    </w:p>
    <w:p w:rsidR="005C6370" w:rsidP="00A24D29" w14:paraId="18DE7C21"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基金可供分配利润指截至收益分配基准日基金未分配利润与未分配利润中已实现收益的孰低数。</w:t>
      </w:r>
    </w:p>
    <w:p w:rsidR="005C6370" w:rsidP="00A24D29" w14:paraId="2A4CCD6A"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三、基金收益分配原则</w:t>
      </w:r>
    </w:p>
    <w:p w:rsidR="005C6370" w:rsidP="00A24D29" w14:paraId="5F7123AA"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1、在符合有关基金分红条件的前提下，基金管理人可以根据实际情况进行收益分配，具体分配方案以公告为准，若《基金合同》生效不满3个月可不进行收益分配；</w:t>
      </w:r>
    </w:p>
    <w:p w:rsidR="005C6370" w:rsidP="00A24D29" w14:paraId="12720787"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2、本基金收益分配方式分两种：现金分红与红利再投资，投资者可选择现金红利或将现金红利自动转为对应类别的基金份额进行再投资；若投资者不选择，本基金默认的收益分配方式是现金分红；</w:t>
      </w:r>
    </w:p>
    <w:p w:rsidR="005C6370" w:rsidP="00A24D29" w14:paraId="3B97868F"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3、基金收益分配后基金份额净值不能低于面值；即基金收益分配基准日的基金份额净值减去每单位基金份额收益分配金额后不能低于面值；</w:t>
      </w:r>
    </w:p>
    <w:p w:rsidR="005C6370" w:rsidP="00A24D29" w14:paraId="3F11DE7C"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4、本基金各基金份额类别在费用收取上不同，其对应的可分配收益可能有所不同。同一类别的每一基金份额享有同等分配权；</w:t>
      </w:r>
    </w:p>
    <w:p w:rsidR="005C6370" w:rsidP="00A24D29" w14:paraId="2B912047"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5、对于收益分配方式为红利再投资的基金份额，每份基金份额（原份额）所获得的红利再投资份额的持有期限，按该原份额的持有期限计算；</w:t>
      </w:r>
    </w:p>
    <w:p w:rsidR="005C6370" w:rsidP="00A24D29" w14:paraId="7990067A"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6、在对基金份额持有人利益无实质不利影响的前提下，基金管理人可调整基金收益的分配原则和支付方式，不需召开基金份额持有人大会审议；</w:t>
      </w:r>
    </w:p>
    <w:p w:rsidR="005C6370" w:rsidP="00A24D29" w14:paraId="2555697D"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7、法律法规或监管机关另有规定的，从其规定。</w:t>
      </w:r>
    </w:p>
    <w:p w:rsidR="005C6370" w:rsidP="00A24D29" w14:paraId="58BC9AEE"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四、收益分配方案</w:t>
      </w:r>
    </w:p>
    <w:p w:rsidR="005C6370" w:rsidP="00A24D29" w14:paraId="569070F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基金收益分配方案中应载明截止收益分配基准日的可供分配利润、基金收益分配对象、分配时间、分配数额、分配方式等内容。</w:t>
      </w:r>
    </w:p>
    <w:p w:rsidR="005C6370" w:rsidP="00A24D29" w14:paraId="7E4B22D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五、收益分配方案的确定、公告与实施</w:t>
      </w:r>
    </w:p>
    <w:p w:rsidR="005C6370" w:rsidP="00A24D29" w14:paraId="2383EA19"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本基金收益分配方案由基金管理人拟定，并由基金托管人复核，在2日内在规定媒介公告。</w:t>
      </w:r>
    </w:p>
    <w:p w:rsidR="005C6370" w:rsidP="00A24D29" w14:paraId="16B874DC"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六、基金收益分配中发生的费用</w:t>
      </w:r>
    </w:p>
    <w:p w:rsidR="005C6370" w:rsidP="00A24D29" w14:paraId="3D67E31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基金收益分配时所发生的银行转账或其他手续费用由投资者自行承担。当投资者的现金红利小于一定金额，不足以支付银行转账或其他手续费用时，基金登记机构可将基金份额持有人的现金红利自动转为对应类别的基金份额。红利再投资的计算方法，依照《业务规则》执行。</w:t>
      </w:r>
    </w:p>
    <w:p w:rsidR="005C6370" w:rsidP="00A24D29" w14:paraId="55804BB6"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七、实施侧袋机制期间的收益分配</w:t>
      </w:r>
    </w:p>
    <w:p w:rsidR="005C6370" w:rsidP="00A24D29" w14:paraId="35E57B35"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本基金实施侧袋机制的，侧袋账户不进行收益分配。</w:t>
      </w:r>
    </w:p>
    <w:p w:rsidR="005C6370" w:rsidP="00A24D29" w14:paraId="3FB45DEC" w14:textId="77777777">
      <w:pPr>
        <w:spacing w:line="360" w:lineRule="auto"/>
        <w:ind w:firstLine="420"/>
        <w:contextualSpacing/>
        <w:rPr>
          <w:rFonts w:ascii="宋体" w:hAnsi="Calibri"/>
          <w:szCs w:val="21"/>
          <w:lang w:eastAsia="zh-CN"/>
        </w:rPr>
      </w:pPr>
      <w:r>
        <w:rPr>
          <w:rStyle w:val="da"/>
          <w:rFonts w:ascii="宋体" w:hAnsi="Calibri"/>
          <w:highlight w:val="white"/>
          <w:lang w:eastAsia="zh-CN"/>
        </w:rPr>
        <w:br w:type="page"/>
      </w:r>
    </w:p>
    <w:p w:rsidR="005C6370" w:rsidP="00A24D29" w14:paraId="0583ED05" w14:textId="77777777">
      <w:pPr>
        <w:pStyle w:val="Heading1"/>
        <w:spacing w:before="317" w:after="317" w:line="360" w:lineRule="auto"/>
        <w:ind w:firstLine="600"/>
        <w:contextualSpacing/>
        <w:rPr>
          <w:rFonts w:ascii="宋体" w:eastAsia="宋体" w:hAnsi="Calibri"/>
          <w:sz w:val="30"/>
          <w:lang w:eastAsia="zh-CN"/>
        </w:rPr>
      </w:pPr>
      <w:bookmarkStart w:id="1839" w:name="_Toc121776980"/>
      <w:r>
        <w:rPr>
          <w:rFonts w:ascii="宋体" w:eastAsia="宋体" w:hAnsi="Calibri" w:hint="eastAsia"/>
          <w:sz w:val="30"/>
          <w:highlight w:val="white"/>
          <w:lang w:eastAsia="zh-CN"/>
        </w:rPr>
        <w:t>第十</w:t>
      </w:r>
      <w:bookmarkStart w:id="1840" w:name="_Toc332373560"/>
      <w:r>
        <w:rPr>
          <w:rFonts w:ascii="宋体" w:eastAsia="宋体" w:hAnsi="Calibri" w:hint="eastAsia"/>
          <w:sz w:val="30"/>
          <w:highlight w:val="white"/>
          <w:lang w:eastAsia="zh-CN"/>
        </w:rPr>
        <w:t>七部分 基金的费用与税收</w:t>
      </w:r>
      <w:bookmarkEnd w:id="1839"/>
      <w:bookmarkEnd w:id="1840"/>
    </w:p>
    <w:p w:rsidR="005C6370" w:rsidP="00A24D29" w14:paraId="31289AD4" w14:textId="77777777">
      <w:pPr>
        <w:spacing w:line="360" w:lineRule="auto"/>
        <w:ind w:firstLine="420"/>
        <w:contextualSpacing/>
        <w:rPr>
          <w:rStyle w:val="da"/>
          <w:rFonts w:ascii="宋体" w:eastAsia="黑体" w:hAnsi="Calibri"/>
          <w:sz w:val="32"/>
          <w:szCs w:val="32"/>
          <w:lang w:eastAsia="zh-CN"/>
        </w:rPr>
      </w:pPr>
      <w:r>
        <w:rPr>
          <w:rStyle w:val="da"/>
          <w:rFonts w:ascii="宋体" w:hAnsi="Calibri" w:hint="eastAsia"/>
          <w:highlight w:val="white"/>
          <w:lang w:eastAsia="zh-CN"/>
        </w:rPr>
        <w:t>一、基金费用的种类</w:t>
      </w:r>
    </w:p>
    <w:p w:rsidR="005C6370" w:rsidP="00A24D29" w14:paraId="7DC891D3"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1、基金管理人的管理费；</w:t>
      </w:r>
    </w:p>
    <w:p w:rsidR="005C6370" w:rsidP="00A24D29" w14:paraId="128F518D"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2、基金托管人的托管费；</w:t>
      </w:r>
    </w:p>
    <w:p w:rsidR="005C6370" w:rsidP="00A24D29" w14:paraId="1F38587B"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3、销售服务费；</w:t>
      </w:r>
    </w:p>
    <w:p w:rsidR="005C6370" w:rsidP="00A24D29" w14:paraId="4FA71A62"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4、《基金合同》生效后与基金相关的信息披露费用；</w:t>
      </w:r>
    </w:p>
    <w:p w:rsidR="005C6370" w:rsidP="00A24D29" w14:paraId="58AC082D"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5、《基金合同》生效后与基金相关的会计师费、律师费、诉讼费和仲裁费；</w:t>
      </w:r>
    </w:p>
    <w:p w:rsidR="005C6370" w:rsidP="00A24D29" w14:paraId="5AC299BC"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6、基金份额持有人大会费用；</w:t>
      </w:r>
    </w:p>
    <w:p w:rsidR="005C6370" w:rsidP="00A24D29" w14:paraId="7690B702"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7、基金的证券交易费用、基金投资其他基金产生的相关费用；</w:t>
      </w:r>
    </w:p>
    <w:p w:rsidR="005C6370" w:rsidP="00A24D29" w14:paraId="28C9AF47"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8、基金的银行汇划费用；</w:t>
      </w:r>
    </w:p>
    <w:p w:rsidR="005C6370" w:rsidP="00A24D29" w14:paraId="5C5611D4"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9、证券账户开户费用、银行账户维护费用；</w:t>
      </w:r>
    </w:p>
    <w:p w:rsidR="005C6370" w:rsidP="00A24D29" w14:paraId="6CF6E674"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10、因投资内地与香港股票市场交易互联互通机制允许买卖的香港证券市场股票和交易型开放式基金而产生的各项合理费用；</w:t>
      </w:r>
    </w:p>
    <w:p w:rsidR="005C6370" w:rsidP="00A24D29" w14:paraId="56F3D452"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11、按照国家有关规定和《基金合同》约定，可以在基金财产中列支的其他费用。</w:t>
      </w:r>
    </w:p>
    <w:p w:rsidR="005C6370" w:rsidP="00A24D29" w14:paraId="63252215"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二、基金费用计提方法、计提标准和支付方式</w:t>
      </w:r>
    </w:p>
    <w:p w:rsidR="005C6370" w:rsidP="00A24D29" w14:paraId="229966BB"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1、基金管理人的管理费</w:t>
      </w:r>
    </w:p>
    <w:p w:rsidR="005C6370" w:rsidP="00A24D29" w14:paraId="7206EB5F"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本基金投资于本基金管理人所管理的基金的部分不收取管理费。本基金管理费按前一日基金资产净值扣除前一日所持有本基金管理人管理的其他基金公允价值后的余额（若为负数，则取0）的0.60%年费率计提。管理费的计算方法如下：</w:t>
      </w:r>
    </w:p>
    <w:p w:rsidR="005C6370" w:rsidP="00A24D29" w14:paraId="0E809ABE"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H＝E</w:t>
      </w:r>
      <w:r>
        <w:rPr>
          <w:rStyle w:val="da"/>
          <w:rFonts w:ascii="宋体" w:hAnsi="Calibri"/>
          <w:highlight w:val="white"/>
          <w:lang w:eastAsia="zh-CN"/>
        </w:rPr>
        <w:t>×</w:t>
      </w:r>
      <w:r>
        <w:rPr>
          <w:rStyle w:val="da"/>
          <w:rFonts w:ascii="宋体" w:hAnsi="Calibri"/>
          <w:highlight w:val="white"/>
          <w:lang w:eastAsia="zh-CN"/>
        </w:rPr>
        <w:t>0.60%</w:t>
      </w:r>
      <w:r>
        <w:rPr>
          <w:rStyle w:val="da"/>
          <w:rFonts w:ascii="宋体" w:hAnsi="Calibri"/>
          <w:highlight w:val="white"/>
          <w:lang w:eastAsia="zh-CN"/>
        </w:rPr>
        <w:t>÷</w:t>
      </w:r>
      <w:r>
        <w:rPr>
          <w:rStyle w:val="da"/>
          <w:rFonts w:ascii="宋体" w:hAnsi="Calibri"/>
          <w:highlight w:val="white"/>
          <w:lang w:eastAsia="zh-CN"/>
        </w:rPr>
        <w:t>当年天数</w:t>
      </w:r>
    </w:p>
    <w:p w:rsidR="005C6370" w:rsidP="00A24D29" w14:paraId="76BD2EFB"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H为每日应计提的基金管理费</w:t>
      </w:r>
    </w:p>
    <w:p w:rsidR="005C6370" w:rsidP="00A24D29" w14:paraId="52C049B8"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E为前一日的基金资产净值扣除前一日所持有的基金管理人管理的其他基金公允价值后的余额，若为负数，则E取0</w:t>
      </w:r>
    </w:p>
    <w:p w:rsidR="005C6370" w:rsidP="00A24D29" w14:paraId="35D8FF78"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基金管理费每日计提，逐日累计至每月月末，按月支付，由基金托管人根据与基金管理人核对一致的财务数据，自动在次月初3个工作日内按照指定的账户路径进行资金支付。若遇法定节假日、休息日或不可抗力致使无法按时支付的，支付日期顺延。</w:t>
      </w:r>
    </w:p>
    <w:p w:rsidR="005C6370" w:rsidP="00A24D29" w14:paraId="60CD8073"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2、基金托管人的托管费</w:t>
      </w:r>
    </w:p>
    <w:p w:rsidR="005C6370" w:rsidP="00A24D29" w14:paraId="46C59E28"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本基金投资于本基金托管人所托管的基金的部分不收取托管费。本基金托管费按前一日基金资产净值扣除前一日所持有本基金托管人托管的其他基金公允价值后的余额（若为负数，则取0）的0.15%年费率计提。托管费的计算方法如下：</w:t>
      </w:r>
    </w:p>
    <w:p w:rsidR="005C6370" w:rsidP="00A24D29" w14:paraId="26515154"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H＝E</w:t>
      </w:r>
      <w:r>
        <w:rPr>
          <w:rStyle w:val="da"/>
          <w:rFonts w:ascii="宋体" w:hAnsi="Calibri"/>
          <w:highlight w:val="white"/>
          <w:lang w:eastAsia="zh-CN"/>
        </w:rPr>
        <w:t>×</w:t>
      </w:r>
      <w:r>
        <w:rPr>
          <w:rStyle w:val="da"/>
          <w:rFonts w:ascii="宋体" w:hAnsi="Calibri"/>
          <w:highlight w:val="white"/>
          <w:lang w:eastAsia="zh-CN"/>
        </w:rPr>
        <w:t>0.15%</w:t>
      </w:r>
      <w:r>
        <w:rPr>
          <w:rStyle w:val="da"/>
          <w:rFonts w:ascii="宋体" w:hAnsi="Calibri"/>
          <w:highlight w:val="white"/>
          <w:lang w:eastAsia="zh-CN"/>
        </w:rPr>
        <w:t>÷</w:t>
      </w:r>
      <w:r>
        <w:rPr>
          <w:rStyle w:val="da"/>
          <w:rFonts w:ascii="宋体" w:hAnsi="Calibri"/>
          <w:highlight w:val="white"/>
          <w:lang w:eastAsia="zh-CN"/>
        </w:rPr>
        <w:t>当年天数</w:t>
      </w:r>
    </w:p>
    <w:p w:rsidR="005C6370" w:rsidP="00A24D29" w14:paraId="18A9D378"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H为每日应计提的基金托管费</w:t>
      </w:r>
    </w:p>
    <w:p w:rsidR="005C6370" w:rsidP="00A24D29" w14:paraId="46224ECD"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E为前一日的基金资产净值扣除前一日所持有的基金托管人托管的其他基金公允价值后的余额，若为负数，则E取0</w:t>
      </w:r>
    </w:p>
    <w:p w:rsidR="005C6370" w:rsidP="00A24D29" w14:paraId="2D35EEC2"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基金托管费每日计提，逐日累计至每月月末，按月支付，由基金托管人根据与基金管理人核对一致的财务数据，自动在次月初3个工作日内按照指定的账户路径进行资金支付，基金管理人无需再出具资金划拨指令。若遇法定节假日、休息日或不可抗力致使无法按时支付的，支付日期顺延。</w:t>
      </w:r>
    </w:p>
    <w:p w:rsidR="005C6370" w:rsidP="00A24D29" w14:paraId="09154B9E"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3、销售服务费</w:t>
      </w:r>
    </w:p>
    <w:p w:rsidR="005C6370" w:rsidP="00A24D29" w14:paraId="11029649"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本基金A类基金份额不收取销售服务费，C类基金份额的销售服务费年费率为0.</w:t>
      </w:r>
      <w:r>
        <w:rPr>
          <w:rStyle w:val="da"/>
          <w:rFonts w:ascii="宋体" w:hAnsi="Calibri" w:hint="eastAsia"/>
          <w:highlight w:val="white"/>
          <w:lang w:eastAsia="zh-CN"/>
        </w:rPr>
        <w:t>4</w:t>
      </w:r>
      <w:r>
        <w:rPr>
          <w:rStyle w:val="da"/>
          <w:rFonts w:ascii="宋体" w:hAnsi="Calibri"/>
          <w:highlight w:val="white"/>
          <w:lang w:eastAsia="zh-CN"/>
        </w:rPr>
        <w:t>0</w:t>
      </w:r>
      <w:r>
        <w:rPr>
          <w:rStyle w:val="da"/>
          <w:rFonts w:ascii="宋体" w:hAnsi="Calibri"/>
          <w:highlight w:val="white"/>
          <w:lang w:eastAsia="zh-CN"/>
        </w:rPr>
        <w:t>%，按前一日C类基金资产净值的0.</w:t>
      </w:r>
      <w:r>
        <w:rPr>
          <w:rStyle w:val="da"/>
          <w:rFonts w:ascii="宋体" w:hAnsi="Calibri" w:hint="eastAsia"/>
          <w:highlight w:val="white"/>
          <w:lang w:eastAsia="zh-CN"/>
        </w:rPr>
        <w:t>4</w:t>
      </w:r>
      <w:r>
        <w:rPr>
          <w:rStyle w:val="da"/>
          <w:rFonts w:ascii="宋体" w:hAnsi="Calibri"/>
          <w:highlight w:val="white"/>
          <w:lang w:eastAsia="zh-CN"/>
        </w:rPr>
        <w:t>0</w:t>
      </w:r>
      <w:r>
        <w:rPr>
          <w:rStyle w:val="da"/>
          <w:rFonts w:ascii="宋体" w:hAnsi="Calibri"/>
          <w:highlight w:val="white"/>
          <w:lang w:eastAsia="zh-CN"/>
        </w:rPr>
        <w:t>%年费率计提。</w:t>
      </w:r>
    </w:p>
    <w:p w:rsidR="005C6370" w:rsidP="00A24D29" w14:paraId="2B4C369A"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销售服务费的计算方法如下：</w:t>
      </w:r>
    </w:p>
    <w:p w:rsidR="005C6370" w:rsidP="00A24D29" w14:paraId="25D781BF"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H＝E</w:t>
      </w:r>
      <w:r>
        <w:rPr>
          <w:rStyle w:val="da"/>
          <w:rFonts w:ascii="宋体" w:hAnsi="Calibri"/>
          <w:highlight w:val="white"/>
          <w:lang w:eastAsia="zh-CN"/>
        </w:rPr>
        <w:t>×</w:t>
      </w:r>
      <w:r>
        <w:rPr>
          <w:rStyle w:val="da"/>
          <w:rFonts w:ascii="宋体" w:hAnsi="Calibri"/>
          <w:highlight w:val="white"/>
          <w:lang w:eastAsia="zh-CN"/>
        </w:rPr>
        <w:t>0.</w:t>
      </w:r>
      <w:r>
        <w:rPr>
          <w:rStyle w:val="da"/>
          <w:rFonts w:ascii="宋体" w:hAnsi="Calibri" w:hint="eastAsia"/>
          <w:highlight w:val="white"/>
          <w:lang w:eastAsia="zh-CN"/>
        </w:rPr>
        <w:t>4</w:t>
      </w:r>
      <w:r>
        <w:rPr>
          <w:rStyle w:val="da"/>
          <w:rFonts w:ascii="宋体" w:hAnsi="Calibri"/>
          <w:highlight w:val="white"/>
          <w:lang w:eastAsia="zh-CN"/>
        </w:rPr>
        <w:t>0</w:t>
      </w:r>
      <w:r>
        <w:rPr>
          <w:rStyle w:val="da"/>
          <w:rFonts w:ascii="宋体" w:hAnsi="Calibri"/>
          <w:highlight w:val="white"/>
          <w:lang w:eastAsia="zh-CN"/>
        </w:rPr>
        <w:t>%</w:t>
      </w:r>
      <w:r>
        <w:rPr>
          <w:rStyle w:val="da"/>
          <w:rFonts w:ascii="宋体" w:hAnsi="Calibri"/>
          <w:highlight w:val="white"/>
          <w:lang w:eastAsia="zh-CN"/>
        </w:rPr>
        <w:t>÷</w:t>
      </w:r>
      <w:r>
        <w:rPr>
          <w:rStyle w:val="da"/>
          <w:rFonts w:ascii="宋体" w:hAnsi="Calibri"/>
          <w:highlight w:val="white"/>
          <w:lang w:eastAsia="zh-CN"/>
        </w:rPr>
        <w:t>当年天数</w:t>
      </w:r>
    </w:p>
    <w:p w:rsidR="005C6370" w:rsidP="00A24D29" w14:paraId="57994105"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H为C类基金份额每日应计提的销售服务费</w:t>
      </w:r>
    </w:p>
    <w:p w:rsidR="005C6370" w:rsidP="00A24D29" w14:paraId="2D604558"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E为C类基金份额前一日基金资产净值</w:t>
      </w:r>
    </w:p>
    <w:p w:rsidR="005C6370" w:rsidP="00A24D29" w14:paraId="6151035A"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基金销售服务费每日计提。</w:t>
      </w:r>
    </w:p>
    <w:p w:rsidR="005C6370" w:rsidP="00A24D29" w14:paraId="7BFA9159"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（1）通过基金管理人或其基金销售子公司投资的C类基金份额</w:t>
      </w:r>
    </w:p>
    <w:p w:rsidR="005C6370" w:rsidP="00A24D29" w14:paraId="56A6F49F"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对于基金份额计提的销售服务费，在投资者赎回基金份额或基金合同终止时，随赎回款（或清算款）一并返还给投资者；对于转换转出业务，销售服务费将作为转换转出份额对应的款项一并划转至转换转入的基金。</w:t>
      </w:r>
    </w:p>
    <w:p w:rsidR="005C6370" w:rsidP="00A24D29" w14:paraId="5E036A2D"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（2）通过其他销售机构投资的C类基金份额</w:t>
      </w:r>
    </w:p>
    <w:p w:rsidR="005C6370" w:rsidP="00A24D29" w14:paraId="440D2833"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对于投资者持续持有期限不超过一年（即365天，下同）的基金份额计提的销售服务费，由基金托管人自动在次月初3个工作日内按照指定的账户路径进行资金支付。若遇法定节假日、休息日或不可抗力致使无法按时支付的，支付日期顺延。</w:t>
      </w:r>
    </w:p>
    <w:p w:rsidR="005C6370" w:rsidP="00A24D29" w14:paraId="47CBFCED"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对于持续持有期限超过一年的基金份额继续计提的销售服务费，在投资者赎回基金份额或基金合同终止时，随赎回款（或清算款）一并返还给投资者；对于转换转出业务，销售服务费将作为转换转出份额对应的款项一并划转至转换转入的基金。</w:t>
      </w:r>
    </w:p>
    <w:p w:rsidR="005C6370" w:rsidP="00A24D29" w14:paraId="77B2E61D"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销售服务费计提后按规定收取或返还投资者的金额以登记机构的计算结果为准。</w:t>
      </w:r>
    </w:p>
    <w:p w:rsidR="005C6370" w:rsidP="00A24D29" w14:paraId="2532D475"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上述</w:t>
      </w:r>
      <w:r>
        <w:rPr>
          <w:rStyle w:val="da"/>
          <w:rFonts w:ascii="宋体" w:hAnsi="Calibri"/>
          <w:highlight w:val="white"/>
          <w:lang w:eastAsia="zh-CN"/>
        </w:rPr>
        <w:t>“</w:t>
      </w:r>
      <w:r>
        <w:rPr>
          <w:rStyle w:val="da"/>
          <w:rFonts w:ascii="宋体" w:hAnsi="Calibri"/>
          <w:highlight w:val="white"/>
          <w:lang w:eastAsia="zh-CN"/>
        </w:rPr>
        <w:t>一、基金费用的种类</w:t>
      </w:r>
      <w:r>
        <w:rPr>
          <w:rStyle w:val="da"/>
          <w:rFonts w:ascii="宋体" w:hAnsi="Calibri"/>
          <w:highlight w:val="white"/>
          <w:lang w:eastAsia="zh-CN"/>
        </w:rPr>
        <w:t>”</w:t>
      </w:r>
      <w:r>
        <w:rPr>
          <w:rStyle w:val="da"/>
          <w:rFonts w:ascii="宋体" w:hAnsi="Calibri"/>
          <w:highlight w:val="white"/>
          <w:lang w:eastAsia="zh-CN"/>
        </w:rPr>
        <w:t>中第4－11项费用，根据有关法规及相应协议规定，按费用实际支出金额列入当期费用，由基金托管人从基金财产中支付。</w:t>
      </w:r>
    </w:p>
    <w:p w:rsidR="005C6370" w:rsidP="00A24D29" w14:paraId="2A0D51F7"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三、基金管理人运用基金中基金财产申购自身管理的基金的（ETF除外），应当通过直销渠道申购且不得收取申购费、赎回费（按照相关法规、基金招募说明书约定应当收取，并记入基金财产的赎回费用除外）、销售服务费等销售费用。基金管理人通过其基金销售子公司申购自身管理的基金的，按照本条要求执行。法律法规或监管机关另有规定的，从其规定。</w:t>
      </w:r>
    </w:p>
    <w:p w:rsidR="005C6370" w:rsidP="00A24D29" w14:paraId="5C0E32D1"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四、不列入基金费用的项目</w:t>
      </w:r>
    </w:p>
    <w:p w:rsidR="005C6370" w:rsidP="00A24D29" w14:paraId="27C05DB6"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下列费用不列入基金费用：</w:t>
      </w:r>
    </w:p>
    <w:p w:rsidR="005C6370" w:rsidP="00A24D29" w14:paraId="19D7C42B"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1、基金管理人和基金托管人因未履行或未完全履行义务导致的费用支出或基金财产的损失；</w:t>
      </w:r>
    </w:p>
    <w:p w:rsidR="005C6370" w:rsidP="00A24D29" w14:paraId="058D702E"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2、基金管理人和基金托管人处理与基金运作无关的事项发生的费用；</w:t>
      </w:r>
    </w:p>
    <w:p w:rsidR="005C6370" w:rsidP="00A24D29" w14:paraId="1E153DED"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3、《基金合同》生效前的相关费用；</w:t>
      </w:r>
    </w:p>
    <w:p w:rsidR="005C6370" w:rsidP="00A24D29" w14:paraId="2FF55CD4"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4、其他根据相关法律法规及中国证监会的有关规定不得列入基金费用的项目。</w:t>
      </w:r>
    </w:p>
    <w:p w:rsidR="005C6370" w:rsidP="00A24D29" w14:paraId="72F6FF8A" w14:textId="77777777">
      <w:pPr>
        <w:spacing w:line="360" w:lineRule="auto"/>
        <w:ind w:firstLine="420"/>
        <w:contextualSpacing/>
        <w:rPr>
          <w:rStyle w:val="da"/>
          <w:rFonts w:ascii="宋体" w:hAnsi="Calibri"/>
          <w:lang w:eastAsia="zh-CN"/>
        </w:rPr>
      </w:pPr>
      <w:bookmarkStart w:id="1841" w:name="_Hlt88827255"/>
      <w:bookmarkStart w:id="1842" w:name="_Toc332373564"/>
      <w:bookmarkEnd w:id="1841"/>
      <w:r>
        <w:rPr>
          <w:rStyle w:val="da"/>
          <w:rFonts w:ascii="宋体" w:hAnsi="Calibri" w:hint="eastAsia"/>
          <w:highlight w:val="white"/>
          <w:lang w:eastAsia="zh-CN"/>
        </w:rPr>
        <w:t>五、实施侧袋机制期间的基金费用</w:t>
      </w:r>
    </w:p>
    <w:p w:rsidR="005C6370" w:rsidP="00A24D29" w14:paraId="08B638C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本基金实施侧袋机制的，与侧袋账户有关的费用可以从侧袋账户中列支，但应待侧袋账户资产变现后方可列支，有关费用可酌情收取或减免，但不得收取管理费。</w:t>
      </w:r>
    </w:p>
    <w:p w:rsidR="005C6370" w:rsidP="00A24D29" w14:paraId="51AC4C68"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六、与基金销售有关的费用</w:t>
      </w:r>
    </w:p>
    <w:p w:rsidR="005C6370" w:rsidP="00A24D29" w14:paraId="59FC1B21"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1</w:t>
      </w:r>
      <w:r>
        <w:rPr>
          <w:rStyle w:val="da"/>
          <w:rFonts w:ascii="宋体" w:hAnsi="Calibri" w:hint="eastAsia"/>
          <w:highlight w:val="white"/>
          <w:lang w:eastAsia="zh-CN"/>
        </w:rPr>
        <w:t>、本基金认购费的费率水平、计算公式、收取方式和使用方式请详见本招募说明书“基金的募集安排”中“认购安排”中的相关规定。</w:t>
      </w:r>
    </w:p>
    <w:p w:rsidR="005C6370" w:rsidP="00A24D29" w14:paraId="37A9A9AA" w14:textId="77777777">
      <w:pPr>
        <w:spacing w:line="360" w:lineRule="auto"/>
        <w:ind w:firstLine="420"/>
        <w:contextualSpacing/>
        <w:rPr>
          <w:rStyle w:val="da"/>
          <w:rFonts w:ascii="宋体" w:hAnsi="Calibri"/>
          <w:lang w:eastAsia="zh-CN"/>
        </w:rPr>
      </w:pPr>
      <w:r>
        <w:rPr>
          <w:rStyle w:val="da"/>
          <w:rFonts w:ascii="宋体" w:hAnsi="Calibri"/>
          <w:highlight w:val="white"/>
          <w:lang w:eastAsia="zh-CN"/>
        </w:rPr>
        <w:t>2</w:t>
      </w:r>
      <w:r>
        <w:rPr>
          <w:rStyle w:val="da"/>
          <w:rFonts w:ascii="宋体" w:hAnsi="Calibri" w:hint="eastAsia"/>
          <w:highlight w:val="white"/>
          <w:lang w:eastAsia="zh-CN"/>
        </w:rPr>
        <w:t>、本基金申购费、赎回费的费率水平、计算公式、收取方式和使用方式请详见本招募说明书“基金份额的申购、赎回”中的“基金的申购费和赎回费”与“申购和赎回的数额和价格”中的相关规定。</w:t>
      </w:r>
    </w:p>
    <w:p w:rsidR="005C6370" w:rsidP="00A24D29" w14:paraId="02DEAF16"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七、基金税收</w:t>
      </w:r>
    </w:p>
    <w:p w:rsidR="005C6370" w:rsidP="00A24D29" w14:paraId="33EF87AE"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本基金运作过程中涉及的各纳税主体，其纳税义务按国家税收法律、法规执行。基金财产投资的相关税收，由基金份额持有人承担，基金管理人或者其他扣缴义务人按照国家有关税收征收的规定代扣代缴。</w:t>
      </w:r>
    </w:p>
    <w:p w:rsidR="005C6370" w:rsidP="00A24D29" w14:paraId="0734E9E5"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本基金在投资和运作过程中如发生增值税等应税行为，相应的增值税、附加税费以及可能涉及的税收滞纳金等由基金财产承担，届时基金管理人可通过本基金托管账户直接缴付，或划付至基金管理人账户并由基金管理人按照相关规定申报缴纳。如果基金管理人先行垫付上述增值税等税费的，基金管理人有权从基金财产中划扣抵偿。本基金清算后若基金管理人被税务机关要求补缴上述税费及可能涉及的滞纳金等，基金管理人有权向投资人就相关金额进行追偿。</w:t>
      </w:r>
    </w:p>
    <w:bookmarkEnd w:id="1842"/>
    <w:p w:rsidR="005C6370" w:rsidP="00A24D29" w14:paraId="13FDABD8" w14:textId="77777777">
      <w:pPr>
        <w:spacing w:line="360" w:lineRule="auto"/>
        <w:ind w:firstLine="420"/>
        <w:contextualSpacing/>
        <w:rPr>
          <w:rFonts w:ascii="宋体" w:hAnsi="Calibri"/>
          <w:bCs/>
          <w:szCs w:val="21"/>
          <w:lang w:eastAsia="zh-CN"/>
        </w:rPr>
      </w:pPr>
    </w:p>
    <w:p w:rsidR="005C6370" w:rsidP="00A24D29" w14:paraId="05B6330C" w14:textId="77777777">
      <w:pPr>
        <w:widowControl/>
        <w:contextualSpacing/>
        <w:jc w:val="left"/>
        <w:rPr>
          <w:rFonts w:ascii="宋体" w:hAnsi="Calibri"/>
          <w:sz w:val="30"/>
          <w:szCs w:val="32"/>
          <w:lang w:eastAsia="zh-CN"/>
        </w:rPr>
      </w:pPr>
      <w:r>
        <w:rPr>
          <w:rFonts w:ascii="宋体" w:hAnsi="Calibri"/>
          <w:sz w:val="30"/>
          <w:highlight w:val="white"/>
          <w:lang w:eastAsia="zh-CN"/>
        </w:rPr>
        <w:br w:type="page"/>
      </w:r>
    </w:p>
    <w:p w:rsidR="005C6370" w:rsidP="00A24D29" w14:paraId="39D101F7" w14:textId="77777777">
      <w:pPr>
        <w:pStyle w:val="Heading1"/>
        <w:spacing w:before="317" w:after="317" w:line="360" w:lineRule="auto"/>
        <w:ind w:firstLine="600"/>
        <w:contextualSpacing/>
        <w:rPr>
          <w:rFonts w:ascii="宋体" w:eastAsia="宋体" w:hAnsi="Calibri"/>
          <w:bCs/>
          <w:lang w:eastAsia="zh-CN"/>
        </w:rPr>
      </w:pPr>
      <w:bookmarkStart w:id="1843" w:name="_Toc121776981"/>
      <w:r>
        <w:rPr>
          <w:rFonts w:ascii="宋体" w:eastAsia="宋体" w:hAnsi="Calibri" w:hint="eastAsia"/>
          <w:sz w:val="30"/>
          <w:highlight w:val="white"/>
          <w:lang w:eastAsia="zh-CN"/>
        </w:rPr>
        <w:t>第十</w:t>
      </w:r>
      <w:bookmarkStart w:id="1844" w:name="_Toc332373566"/>
      <w:r>
        <w:rPr>
          <w:rFonts w:ascii="宋体" w:eastAsia="宋体" w:hAnsi="Calibri" w:hint="eastAsia"/>
          <w:sz w:val="30"/>
          <w:highlight w:val="white"/>
          <w:lang w:eastAsia="zh-CN"/>
        </w:rPr>
        <w:t>八部分 基金的会计与审计</w:t>
      </w:r>
      <w:bookmarkEnd w:id="1843"/>
      <w:bookmarkEnd w:id="1844"/>
    </w:p>
    <w:p w:rsidR="005C6370" w:rsidP="00A24D29" w14:paraId="224539D3"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一、基金会计政策</w:t>
      </w:r>
    </w:p>
    <w:p w:rsidR="005C6370" w:rsidP="00A24D29" w14:paraId="54C80601"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1、基金管理人为本基金的基金会计责任方；</w:t>
      </w:r>
    </w:p>
    <w:p w:rsidR="005C6370" w:rsidP="00A24D29" w14:paraId="189B309A"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2、基金的会计年度为公历年度的1月1日至12月31日；基金首次募集的会计年度按如下原则：如果《基金合同》生效少于2个月，可以并入下一个会计年度；</w:t>
      </w:r>
    </w:p>
    <w:p w:rsidR="005C6370" w:rsidP="00A24D29" w14:paraId="14A44E6D"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3、基金核算以人民币为记账本位币，以人民币元为记账单位；</w:t>
      </w:r>
    </w:p>
    <w:p w:rsidR="005C6370" w:rsidP="00A24D29" w14:paraId="7E617433"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4、会计制度执行国家有关会计制度；</w:t>
      </w:r>
    </w:p>
    <w:p w:rsidR="005C6370" w:rsidP="00A24D29" w14:paraId="7BB3C91A"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5、本基金独立建账、独立核算；</w:t>
      </w:r>
    </w:p>
    <w:p w:rsidR="005C6370" w:rsidP="00A24D29" w14:paraId="3B36DEF6"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6、基金管理人及基金托管人各自保留完整的会计账目、凭证并进行日常的会计核算，按照有关规定编制基金会计报表；</w:t>
      </w:r>
    </w:p>
    <w:p w:rsidR="005C6370" w:rsidP="00A24D29" w14:paraId="4314483A"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7、基金托管人每月与基金管理人就基金的会计核算、报表编制等进行核对确认。</w:t>
      </w:r>
    </w:p>
    <w:p w:rsidR="005C6370" w:rsidP="00A24D29" w14:paraId="7C23B022"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二、基金的年度审计</w:t>
      </w:r>
    </w:p>
    <w:p w:rsidR="005C6370" w:rsidP="00A24D29" w14:paraId="00290B1B"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1、基金管理人聘请与基金管理人、基金托管人相互独立的符合《证券法》规定的会计师事务所及其注册会计师对本基金的年度财务报表进行审计。</w:t>
      </w:r>
    </w:p>
    <w:p w:rsidR="005C6370" w:rsidP="00A24D29" w14:paraId="419BBCF0"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2、会计师事务所更换经办注册会计师，应事先征得基金管理人同意。</w:t>
      </w:r>
    </w:p>
    <w:p w:rsidR="005C6370" w:rsidP="00A24D29" w14:paraId="0EAC0A86"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3、基金管理人认为有充足理由更换会计师事务所，须通报基金托管人。更换会计师事务所需在2日内在规定媒介公告。</w:t>
      </w:r>
    </w:p>
    <w:p w:rsidR="005C6370" w:rsidP="00A24D29" w14:paraId="791C758B" w14:textId="77777777">
      <w:pPr>
        <w:pStyle w:val="Heading1"/>
        <w:spacing w:before="317" w:after="317" w:line="360" w:lineRule="auto"/>
        <w:ind w:firstLine="420"/>
        <w:contextualSpacing/>
        <w:rPr>
          <w:rFonts w:ascii="宋体" w:eastAsia="宋体" w:hAnsi="Calibri"/>
          <w:sz w:val="30"/>
        </w:rPr>
      </w:pPr>
      <w:bookmarkStart w:id="1845" w:name="_Hlt4221115"/>
      <w:bookmarkEnd w:id="1845"/>
      <w:r>
        <w:rPr>
          <w:rFonts w:ascii="宋体" w:eastAsia="宋体" w:hAnsi="Calibri"/>
          <w:sz w:val="21"/>
          <w:szCs w:val="21"/>
          <w:highlight w:val="white"/>
          <w:lang w:eastAsia="zh-CN"/>
        </w:rPr>
        <w:br w:type="column"/>
      </w:r>
      <w:bookmarkStart w:id="1846" w:name="_Toc121776982"/>
      <w:r>
        <w:rPr>
          <w:rFonts w:ascii="宋体" w:eastAsia="宋体" w:hAnsi="Calibri"/>
          <w:sz w:val="30"/>
          <w:highlight w:val="white"/>
        </w:rPr>
        <w:t>第</w:t>
      </w:r>
      <w:r>
        <w:rPr>
          <w:rFonts w:ascii="宋体" w:eastAsia="宋体" w:hAnsi="Calibri" w:hint="eastAsia"/>
          <w:sz w:val="30"/>
          <w:highlight w:val="white"/>
        </w:rPr>
        <w:t>十</w:t>
      </w:r>
      <w:bookmarkStart w:id="1847" w:name="_Toc332373569"/>
      <w:r>
        <w:rPr>
          <w:rFonts w:ascii="宋体" w:eastAsia="宋体" w:hAnsi="Calibri" w:hint="eastAsia"/>
          <w:sz w:val="30"/>
          <w:highlight w:val="white"/>
        </w:rPr>
        <w:t>九部分 基金的信息披露</w:t>
      </w:r>
      <w:bookmarkEnd w:id="1846"/>
      <w:bookmarkEnd w:id="1847"/>
    </w:p>
    <w:p w:rsidR="005C6370" w:rsidP="00A24D29" w14:paraId="53D63E8B"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一、本基金的信息披露应符合《基金法》《运作办法》《信息披露办法》《流动性风险管理规定》《基金合同》及其他有关规定。相关法律法规关于信息披露的披露内容、披露方式、披露时间、登载媒介、报备方式等规定发生变化时，本基金从其最新规定。</w:t>
      </w:r>
    </w:p>
    <w:p w:rsidR="005C6370" w:rsidP="00A24D29" w14:paraId="5D2A4DCF"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二、信息披露义务人</w:t>
      </w:r>
    </w:p>
    <w:p w:rsidR="005C6370" w:rsidP="00A24D29" w14:paraId="3AF7ECF2"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本基金信息披露义务人包括基金管理人、基金托管人、召集基金份额持有人大会的基金份额持有人等法律、行政法规和中国证监会规定的自然人、法人和非法人组织。</w:t>
      </w:r>
    </w:p>
    <w:p w:rsidR="005C6370" w:rsidP="00A24D29" w14:paraId="5449C539"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本基金信息披露义务人以保护基金份额持有人利益为根本出发点，按照法律法规和中国证监会的规定披露基金信息，并保证所披露信息的真实性、准确性、完整性、及时性、简明性和易得性。</w:t>
      </w:r>
    </w:p>
    <w:p w:rsidR="005C6370" w:rsidP="00A24D29" w14:paraId="2D1FF639"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本基金信息披露义务人应当在中国证监会规定时间内，将应予披露的基金信息通过规定媒介披露，并保证基金投资者能够按照《基金合同》约定的时间和方式查阅或者复制公开披露的信息资料。</w:t>
      </w:r>
    </w:p>
    <w:p w:rsidR="005C6370" w:rsidP="00A24D29" w14:paraId="3E35AC5E"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三、本基金信息披露义务人承诺公开披露的基金信息，不得有下列行为：</w:t>
      </w:r>
    </w:p>
    <w:p w:rsidR="005C6370" w:rsidP="00A24D29" w14:paraId="2C226CD0"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1、虚假记载、误导性陈述或者重大遗漏；</w:t>
      </w:r>
    </w:p>
    <w:p w:rsidR="005C6370" w:rsidP="00A24D29" w14:paraId="3FB53929"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2、对证券投资业绩进行预测；</w:t>
      </w:r>
    </w:p>
    <w:p w:rsidR="005C6370" w:rsidP="00A24D29" w14:paraId="265EAC51"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3、违规承诺收益或者承担损失；</w:t>
      </w:r>
    </w:p>
    <w:p w:rsidR="005C6370" w:rsidP="00A24D29" w14:paraId="190571C6"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4、诋毁其他基金管理人、基金托管人或者基金销售机构；</w:t>
      </w:r>
    </w:p>
    <w:p w:rsidR="005C6370" w:rsidP="00A24D29" w14:paraId="00EA8450"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5、登载任何自然人、法人和非法人组织的祝贺性、恭维性或推荐性的文字；</w:t>
      </w:r>
    </w:p>
    <w:p w:rsidR="005C6370" w:rsidP="00A24D29" w14:paraId="3FE29A33"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6、中国证监会禁止的其他行为。</w:t>
      </w:r>
    </w:p>
    <w:p w:rsidR="005C6370" w:rsidP="00A24D29" w14:paraId="734265A6"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四、本基金公开披露的信息应采用中文文本。如同时采用外文文本的，基金信息披露义务人应保证不同文本的内容一致。不同文本之间发生歧义的，以中文文本为准。</w:t>
      </w:r>
    </w:p>
    <w:p w:rsidR="005C6370" w:rsidP="00A24D29" w14:paraId="554295C7"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本基金公开披露的信息采用阿拉伯数字；除特别说明外，货币单位为人民币元。</w:t>
      </w:r>
    </w:p>
    <w:p w:rsidR="005C6370" w:rsidP="00A24D29" w14:paraId="7678D286"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五、公开披露的基金信息</w:t>
      </w:r>
    </w:p>
    <w:p w:rsidR="005C6370" w:rsidP="00A24D29" w14:paraId="143159B7"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公开披露的基金信息包括：</w:t>
      </w:r>
    </w:p>
    <w:p w:rsidR="005C6370" w:rsidP="00A24D29" w14:paraId="444B7ED9"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（一）基金招募说明书、《基金合同》、基金托管协议、基金产品资料概要</w:t>
      </w:r>
    </w:p>
    <w:p w:rsidR="005C6370" w:rsidP="00A24D29" w14:paraId="1F4E1B9B"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1、《基金合同》是界定《基金合同》当事人的各项权利、义务关系，明确基金份额持有人大会召开的规则及具体程序，说明基金产品的特性等涉及基金投资者重大利益的事项的法律文件。</w:t>
      </w:r>
    </w:p>
    <w:p w:rsidR="005C6370" w:rsidP="00A24D29" w14:paraId="1285DBCF"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rsidR="005C6370" w:rsidP="00A24D29" w14:paraId="344E4727"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3、基金托管协议是界定基金托管人和基金管理人在基金财产保管及基金运作监督等活动中的权利、义务关系的法律文件。</w:t>
      </w:r>
    </w:p>
    <w:p w:rsidR="005C6370" w:rsidP="00A24D29" w14:paraId="3A0C6A6D"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rsidR="005C6370" w:rsidP="00A24D29" w14:paraId="095BA77A"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rsidR="005C6370" w:rsidP="00A24D29" w14:paraId="1C349890"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（二）基金份额发售公告</w:t>
      </w:r>
    </w:p>
    <w:p w:rsidR="005C6370" w:rsidP="00A24D29" w14:paraId="28CD8A5B"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基金管理人应当就基金份额发售的具体事宜编制基金份额发售公告，并在披露招募说明书的当日登载于规定媒介上。</w:t>
      </w:r>
    </w:p>
    <w:p w:rsidR="005C6370" w:rsidP="00A24D29" w14:paraId="704187D1" w14:textId="77777777">
      <w:pPr>
        <w:spacing w:line="360" w:lineRule="auto"/>
        <w:ind w:firstLine="420"/>
        <w:contextualSpacing/>
        <w:rPr>
          <w:rFonts w:ascii="宋体" w:hAnsi="Calibri"/>
          <w:bCs/>
          <w:szCs w:val="21"/>
        </w:rPr>
      </w:pPr>
      <w:r>
        <w:rPr>
          <w:rFonts w:ascii="宋体" w:hAnsi="Calibri" w:hint="eastAsia"/>
          <w:bCs/>
          <w:szCs w:val="21"/>
          <w:highlight w:val="white"/>
        </w:rPr>
        <w:t>（三）《基金合同》生效公告</w:t>
      </w:r>
    </w:p>
    <w:p w:rsidR="005C6370" w:rsidP="00A24D29" w14:paraId="1D045710"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基金管理人应当在收到中国证监会确认文件的次日在规定媒介上登载《基金合同》生效公告。</w:t>
      </w:r>
    </w:p>
    <w:p w:rsidR="005C6370" w:rsidP="00A24D29" w14:paraId="4A8CB749"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（四）基金净值信息</w:t>
      </w:r>
    </w:p>
    <w:p w:rsidR="005C6370" w:rsidP="00A24D29" w14:paraId="13604762"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《基金合同》生效后，在开始办理基金份额申购或者赎回前，基金管理人应当至少每周在规定网站披露一次基金份额净值和基金份额累计净值。</w:t>
      </w:r>
    </w:p>
    <w:p w:rsidR="005C6370" w:rsidP="00A24D29" w14:paraId="6F9F4899"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在开始办理基金份额申购或者赎回后，基金管理人应当在T+3日内（T日为开放日），通过规定网站、基金销售机构网站或者营业网点披露开放日的基金份额净值和基金份额累计净值。</w:t>
      </w:r>
    </w:p>
    <w:p w:rsidR="005C6370" w:rsidP="00A24D29" w14:paraId="4CB11928"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基金管理人应当在不晚于半年度和年度最后一日的三个工作日内，在规定网站披露半年度和年度最后一日的基金份额净值和基金份额累计净值。</w:t>
      </w:r>
    </w:p>
    <w:p w:rsidR="005C6370" w:rsidP="00A24D29" w14:paraId="411EEBDF"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（五）基金份额申购、赎回价格</w:t>
      </w:r>
    </w:p>
    <w:p w:rsidR="005C6370" w:rsidP="00A24D29" w14:paraId="5A4BA9C5"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基金管理人应当在《基金合同》、招募说明书等信息披露文件上载明基金份额申购、赎回价格的计算方式及有关申购、赎回费率，并保证投资者能够在基金销售机构网站或营业网点查阅或者复制前述信息资料。</w:t>
      </w:r>
    </w:p>
    <w:p w:rsidR="005C6370" w:rsidP="00A24D29" w14:paraId="23BCC9A7"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（六）基金定期报告，包括基金年度报告、基金中期报告和基金季度报告</w:t>
      </w:r>
    </w:p>
    <w:p w:rsidR="005C6370" w:rsidP="00A24D29" w14:paraId="1C90D267"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管理人应当在每年结束之日起三个月内，编制完成基金年度报告，将年度报告登载在规定网站上，并将年度报告提示性公告登载在规定报刊上。基金年度报告中的财务会计报告应当经过符合《证券法》规定的会计师事务所审计。</w:t>
      </w:r>
    </w:p>
    <w:p w:rsidR="005C6370" w:rsidP="00A24D29" w14:paraId="7AE47EE0"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基金管理人应当在上半年结束之日起两个月内，编制完成基金中期报告，将中期报告登载在规定网站上，并将中期报告提示性公告登载在规定报刊上。</w:t>
      </w:r>
    </w:p>
    <w:p w:rsidR="005C6370" w:rsidP="00A24D29" w14:paraId="2AE43FD4"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基金管理人应当在季度结束之日起15个工作日内，编制完成基金季度报告，将季度报告登载在规定网站上，并将季度报告提示性公告登载在规定报刊上。</w:t>
      </w:r>
    </w:p>
    <w:p w:rsidR="005C6370" w:rsidP="00A24D29" w14:paraId="11716396"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《基金合同》生效不足2个月的，基金管理人可以不编制当期季度报告、中期报告或者年度报告。</w:t>
      </w:r>
    </w:p>
    <w:p w:rsidR="005C6370" w:rsidP="00A24D29" w14:paraId="4606347A"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rsidR="005C6370" w:rsidP="00A24D29" w14:paraId="771814FE"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基金管理人应当在基金年度报告和中期报告中披露基金组合资产情况及其流动性风险分析等。</w:t>
      </w:r>
    </w:p>
    <w:p w:rsidR="005C6370" w:rsidP="00A24D29" w14:paraId="71EA4AF5"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（七）临时报告</w:t>
      </w:r>
    </w:p>
    <w:p w:rsidR="005C6370" w:rsidP="00A24D29" w14:paraId="444A8E6B"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本基金发生重大事件，有关信息披露义务人应当在2日内编制临时报告书，并登载在规定报刊和规定网站上。</w:t>
      </w:r>
    </w:p>
    <w:p w:rsidR="005C6370" w:rsidP="00A24D29" w14:paraId="7B466A9F"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前款所称重大事件，是指可能对基金份额持有人权益或者基金份额的价格产生重大影响的下列事件：</w:t>
      </w:r>
    </w:p>
    <w:p w:rsidR="005C6370" w:rsidP="00A24D29" w14:paraId="5775481A"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1、基金份额持有人大会的召开及决定的事项；</w:t>
      </w:r>
    </w:p>
    <w:p w:rsidR="005C6370" w:rsidP="00A24D29" w14:paraId="495BEE7A"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2、基金合同终止、基金清算；</w:t>
      </w:r>
    </w:p>
    <w:p w:rsidR="005C6370" w:rsidP="00A24D29" w14:paraId="66D8A0C6"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3、转换基金运作方式、基金合并；</w:t>
      </w:r>
    </w:p>
    <w:p w:rsidR="005C6370" w:rsidP="00A24D29" w14:paraId="1F9CBFB2"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4、更换基金管理人、基金托管人、基金份额登记机构，基金改聘会计师事务所；</w:t>
      </w:r>
    </w:p>
    <w:p w:rsidR="005C6370" w:rsidP="00A24D29" w14:paraId="5B72DB7D"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5、基金管理人委托基金服务机构代为办理基金的份额登记、核算、估值等事项，基金托管人委托基金服务机构代为办理基金的核算、估值、复核等事项；</w:t>
      </w:r>
    </w:p>
    <w:p w:rsidR="005C6370" w:rsidP="00A24D29" w14:paraId="605B43B8"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6、基金管理人、基金托管人的法定名称、住所发生变更；</w:t>
      </w:r>
    </w:p>
    <w:p w:rsidR="005C6370" w:rsidP="00A24D29" w14:paraId="2841C69B"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7、基金管理公司变更持有百分之五以上股权的股东、基金管理人的实际控制人变更；</w:t>
      </w:r>
    </w:p>
    <w:p w:rsidR="005C6370" w:rsidP="00A24D29" w14:paraId="7E6CFD33"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8、基金募集期延长或提前结束募集；</w:t>
      </w:r>
    </w:p>
    <w:p w:rsidR="005C6370" w:rsidP="00A24D29" w14:paraId="363A8603"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9、基金管理人的高级管理人员、基金经理和基金托管人专门基金托管部门负责人发生变动；</w:t>
      </w:r>
    </w:p>
    <w:p w:rsidR="005C6370" w:rsidP="00A24D29" w14:paraId="7E33FDEC"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10、基金管理人的董事在最近12个月内变更超过百分之五十，基金管理人、基金托管人专门基金托管部门的主要业务人员在最近12个月内变动超过百分之三十；</w:t>
      </w:r>
    </w:p>
    <w:p w:rsidR="005C6370" w:rsidP="00A24D29" w14:paraId="2BA148F6"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11、涉及基金财产、基金管理业务、基金托管业务的诉讼或仲裁；</w:t>
      </w:r>
    </w:p>
    <w:p w:rsidR="005C6370" w:rsidP="00A24D29" w14:paraId="6578D384"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12、基金管理人或其高级管理人员、基金经理因基金管理业务相关行为受到重大行政处罚、刑事处罚，基金托管人或其专门基金托管部门负责人因基金托管业务相关行为受到重大行政处罚、刑事处罚；</w:t>
      </w:r>
    </w:p>
    <w:p w:rsidR="005C6370" w:rsidP="00A24D29" w14:paraId="67575A19"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13、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rsidR="005C6370" w:rsidP="00A24D29" w14:paraId="1D28678C"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14、基金收益分配事项；</w:t>
      </w:r>
    </w:p>
    <w:p w:rsidR="005C6370" w:rsidP="00A24D29" w14:paraId="32192001"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15、管理费、托管费、销售服务费、申购费、赎回费等费用计提标准、计提方式和费率发生变更；</w:t>
      </w:r>
    </w:p>
    <w:p w:rsidR="005C6370" w:rsidP="00A24D29" w14:paraId="08ED9E68"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16、基金份额净值计价错误达基金份额净值百分之零点五；</w:t>
      </w:r>
    </w:p>
    <w:p w:rsidR="005C6370" w:rsidP="00A24D29" w14:paraId="1EE2BFAB"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17、本基金开始办理申购、赎回；</w:t>
      </w:r>
    </w:p>
    <w:p w:rsidR="005C6370" w:rsidP="00A24D29" w14:paraId="7BDFCC53"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18、本基金发生巨额赎回并延期办理；</w:t>
      </w:r>
    </w:p>
    <w:p w:rsidR="005C6370" w:rsidP="00A24D29" w14:paraId="53AE77C0"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19、本基金连续发生巨额赎回并暂停接受赎回申请或延缓支付赎回款项；</w:t>
      </w:r>
    </w:p>
    <w:p w:rsidR="005C6370" w:rsidP="00A24D29" w14:paraId="6734D44B"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20、本基金暂停接受申购、赎回申请或重新接受申购、赎回申请；</w:t>
      </w:r>
    </w:p>
    <w:p w:rsidR="005C6370" w:rsidP="00A24D29" w14:paraId="70C12F63"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21、调整基金份额类别的设置；</w:t>
      </w:r>
    </w:p>
    <w:p w:rsidR="005C6370" w:rsidP="00A24D29" w14:paraId="3E43E99E"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22、基金推出新业务或服务；</w:t>
      </w:r>
    </w:p>
    <w:p w:rsidR="005C6370" w:rsidP="00A24D29" w14:paraId="4E662797"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23、发生涉及基金申购、赎回事项调整或潜在影响投资者赎回等重大事项时；</w:t>
      </w:r>
    </w:p>
    <w:p w:rsidR="005C6370" w:rsidP="00A24D29" w14:paraId="4009B9DA"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24、基金管理人采用摆动定价机制进行估值；</w:t>
      </w:r>
    </w:p>
    <w:p w:rsidR="005C6370" w:rsidP="00A24D29" w14:paraId="36875439"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25、基金信息披露义务人认为可能对基金份额持有人权益或者基金份额的价格产生重大影响的其他事项或中国证监会规定的其他事项。</w:t>
      </w:r>
    </w:p>
    <w:p w:rsidR="005C6370" w:rsidP="00A24D29" w14:paraId="00B6CEA0"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（八）澄清公告</w:t>
      </w:r>
    </w:p>
    <w:p w:rsidR="005C6370" w:rsidP="00A24D29" w14:paraId="00218148"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在基金合同期限内，任何公共媒体中出现的或者在市场上流传的消息可能对基金份额价格产生误导性影响或者引起较大波动，以及可能损害基金份额持有人权益的，相关信息披露义务人知悉后应当立即对该消息进行公开澄清。</w:t>
      </w:r>
    </w:p>
    <w:p w:rsidR="005C6370" w:rsidP="00A24D29" w14:paraId="206960A1"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（九）清算报告</w:t>
      </w:r>
    </w:p>
    <w:p w:rsidR="005C6370" w:rsidP="00A24D29" w14:paraId="05ACCBAE"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基金合同终止的，基金管理人应当依法组织基金财产清算小组对基金财产进行清算并作出清算报告。基金财产清算小组应当将清算报告登载在规定网站上，并将清算报告提示性公告登载在规定报刊上。</w:t>
      </w:r>
    </w:p>
    <w:p w:rsidR="005C6370" w:rsidP="00A24D29" w14:paraId="510E8F5A"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（十）基金份额持有人大会决议</w:t>
      </w:r>
    </w:p>
    <w:p w:rsidR="005C6370" w:rsidP="00A24D29" w14:paraId="369E51ED"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基金份额持有人大会决定的事项，应当依法报中国证监会备案，并予以公告。</w:t>
      </w:r>
    </w:p>
    <w:p w:rsidR="005C6370" w:rsidP="00A24D29" w14:paraId="72B9CFF4"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（十一）实施侧袋机制期间的信息披露</w:t>
      </w:r>
    </w:p>
    <w:p w:rsidR="005C6370" w:rsidP="00A24D29" w14:paraId="5D6BC231"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本基金实施侧袋机制的，相关信息披露义务人应当根据法律法规、基金合同和招募说明书的规定进行信息披露，详见本招募说明书“侧袋机制”部分的规定。</w:t>
      </w:r>
    </w:p>
    <w:p w:rsidR="005C6370" w:rsidP="00A24D29" w14:paraId="0A05CA10" w14:textId="77777777">
      <w:pPr>
        <w:spacing w:line="360" w:lineRule="auto"/>
        <w:ind w:firstLine="420"/>
        <w:contextualSpacing/>
        <w:rPr>
          <w:rFonts w:ascii="宋体" w:hAnsi="Calibri"/>
          <w:sz w:val="24"/>
          <w:lang w:eastAsia="zh-CN"/>
        </w:rPr>
      </w:pPr>
      <w:r>
        <w:rPr>
          <w:rFonts w:ascii="宋体" w:hAnsi="Calibri" w:hint="eastAsia"/>
          <w:bCs/>
          <w:szCs w:val="21"/>
          <w:highlight w:val="white"/>
          <w:lang w:eastAsia="zh-CN"/>
        </w:rPr>
        <w:t>（十二）基金管理人在定期报告和招募说明书等文件中设立专门章节披露所持有基金以下相关情况，并揭示相关风险：</w:t>
      </w:r>
    </w:p>
    <w:p w:rsidR="005C6370" w:rsidP="00A24D29" w14:paraId="1B258FBF" w14:textId="77777777">
      <w:pPr>
        <w:spacing w:line="360" w:lineRule="auto"/>
        <w:ind w:firstLine="420"/>
        <w:contextualSpacing/>
        <w:rPr>
          <w:rFonts w:ascii="宋体" w:hAnsi="Calibri"/>
          <w:sz w:val="24"/>
          <w:lang w:eastAsia="zh-CN"/>
        </w:rPr>
      </w:pPr>
      <w:r>
        <w:rPr>
          <w:rFonts w:ascii="宋体" w:hAnsi="Calibri" w:hint="eastAsia"/>
          <w:bCs/>
          <w:szCs w:val="21"/>
          <w:highlight w:val="white"/>
          <w:lang w:eastAsia="zh-CN"/>
        </w:rPr>
        <w:t>1、投资策略、持仓情况、损益情况、净值披露时间等；</w:t>
      </w:r>
    </w:p>
    <w:p w:rsidR="005C6370" w:rsidP="00A24D29" w14:paraId="0B085441" w14:textId="77777777">
      <w:pPr>
        <w:spacing w:line="360" w:lineRule="auto"/>
        <w:ind w:firstLine="420"/>
        <w:contextualSpacing/>
        <w:rPr>
          <w:rFonts w:ascii="宋体" w:hAnsi="Calibri"/>
          <w:sz w:val="24"/>
          <w:lang w:eastAsia="zh-CN"/>
        </w:rPr>
      </w:pPr>
      <w:r>
        <w:rPr>
          <w:rFonts w:ascii="宋体" w:hAnsi="Calibri" w:hint="eastAsia"/>
          <w:bCs/>
          <w:szCs w:val="21"/>
          <w:highlight w:val="white"/>
          <w:lang w:eastAsia="zh-CN"/>
        </w:rPr>
        <w:t>2、交易及持有基金产生的费用，包括申购费、赎回费、销售服务费、管理费、托管费等，招募说明书中应当列明计算方法并举例说明；</w:t>
      </w:r>
    </w:p>
    <w:p w:rsidR="005C6370" w:rsidP="00A24D29" w14:paraId="5994E820" w14:textId="77777777">
      <w:pPr>
        <w:spacing w:line="360" w:lineRule="auto"/>
        <w:ind w:firstLine="420"/>
        <w:contextualSpacing/>
        <w:rPr>
          <w:rFonts w:ascii="宋体" w:hAnsi="Calibri"/>
          <w:sz w:val="24"/>
          <w:lang w:eastAsia="zh-CN"/>
        </w:rPr>
      </w:pPr>
      <w:r>
        <w:rPr>
          <w:rFonts w:ascii="宋体" w:hAnsi="Calibri" w:hint="eastAsia"/>
          <w:bCs/>
          <w:szCs w:val="21"/>
          <w:highlight w:val="white"/>
          <w:lang w:eastAsia="zh-CN"/>
        </w:rPr>
        <w:t>3、本基金持有的基金发生的重大影响事件，如转换运作方式、与其他基金合并、终止基金合同以及召开基金份额持有人大会等；</w:t>
      </w:r>
    </w:p>
    <w:p w:rsidR="005C6370" w:rsidP="00A24D29" w14:paraId="4099FB67" w14:textId="77777777">
      <w:pPr>
        <w:spacing w:line="360" w:lineRule="auto"/>
        <w:ind w:firstLine="420"/>
        <w:contextualSpacing/>
        <w:rPr>
          <w:rFonts w:ascii="宋体" w:hAnsi="Calibri"/>
          <w:sz w:val="24"/>
          <w:lang w:eastAsia="zh-CN"/>
        </w:rPr>
      </w:pPr>
      <w:r>
        <w:rPr>
          <w:rFonts w:ascii="宋体" w:hAnsi="Calibri" w:hint="eastAsia"/>
          <w:bCs/>
          <w:szCs w:val="21"/>
          <w:highlight w:val="white"/>
          <w:lang w:eastAsia="zh-CN"/>
        </w:rPr>
        <w:t>4、本基金投资于基金管理人以及基金管理人关联方所管理基金的情况。</w:t>
      </w:r>
    </w:p>
    <w:p w:rsidR="005C6370" w:rsidP="00A24D29" w14:paraId="6E4E67D8" w14:textId="77777777">
      <w:pPr>
        <w:spacing w:line="360" w:lineRule="auto"/>
        <w:ind w:firstLine="420"/>
        <w:contextualSpacing/>
        <w:rPr>
          <w:rFonts w:ascii="宋体" w:hAnsi="Calibri"/>
          <w:sz w:val="24"/>
          <w:lang w:eastAsia="zh-CN"/>
        </w:rPr>
      </w:pPr>
      <w:r>
        <w:rPr>
          <w:rFonts w:ascii="宋体" w:hAnsi="Calibri" w:hint="eastAsia"/>
          <w:bCs/>
          <w:szCs w:val="21"/>
          <w:highlight w:val="white"/>
          <w:lang w:eastAsia="zh-CN"/>
        </w:rPr>
        <w:t>（十三）中国证监会规定的其他信息</w:t>
      </w:r>
    </w:p>
    <w:p w:rsidR="005C6370" w:rsidP="00A24D29" w14:paraId="50F2C9F8" w14:textId="77777777">
      <w:pPr>
        <w:spacing w:line="360" w:lineRule="auto"/>
        <w:ind w:firstLine="420"/>
        <w:contextualSpacing/>
        <w:rPr>
          <w:rFonts w:ascii="宋体" w:hAnsi="Calibri"/>
          <w:sz w:val="24"/>
          <w:lang w:eastAsia="zh-CN"/>
        </w:rPr>
      </w:pPr>
      <w:r>
        <w:rPr>
          <w:rFonts w:ascii="宋体" w:hAnsi="Calibri" w:hint="eastAsia"/>
          <w:bCs/>
          <w:szCs w:val="21"/>
          <w:highlight w:val="white"/>
          <w:lang w:eastAsia="zh-CN"/>
        </w:rPr>
        <w:t>若本基金投资资产支持证券、港股通股票、港股通ETF，基金管理人将按相关法律法规要求进行披露。</w:t>
      </w:r>
    </w:p>
    <w:p w:rsidR="005C6370" w:rsidP="00A24D29" w14:paraId="0D3B1CB8" w14:textId="77777777">
      <w:pPr>
        <w:spacing w:line="360" w:lineRule="auto"/>
        <w:ind w:firstLine="420"/>
        <w:contextualSpacing/>
        <w:rPr>
          <w:rFonts w:ascii="宋体" w:hAnsi="Calibri"/>
          <w:sz w:val="24"/>
          <w:lang w:eastAsia="zh-CN"/>
        </w:rPr>
      </w:pPr>
      <w:r>
        <w:rPr>
          <w:rFonts w:ascii="宋体" w:hAnsi="Calibri" w:hint="eastAsia"/>
          <w:bCs/>
          <w:szCs w:val="21"/>
          <w:highlight w:val="white"/>
          <w:lang w:eastAsia="zh-CN"/>
        </w:rPr>
        <w:t>当相关法律法规关于上述信息披露的规定发生变化时，基金管理人将按最新规定进行信息披露。</w:t>
      </w:r>
    </w:p>
    <w:p w:rsidR="005C6370" w:rsidP="00A24D29" w14:paraId="2FC9685B" w14:textId="77777777">
      <w:pPr>
        <w:spacing w:line="360" w:lineRule="auto"/>
        <w:ind w:firstLine="420"/>
        <w:contextualSpacing/>
        <w:rPr>
          <w:rFonts w:ascii="宋体" w:hAnsi="Calibri"/>
          <w:sz w:val="24"/>
          <w:lang w:eastAsia="zh-CN"/>
        </w:rPr>
      </w:pPr>
      <w:r>
        <w:rPr>
          <w:rFonts w:ascii="宋体" w:hAnsi="Calibri" w:hint="eastAsia"/>
          <w:bCs/>
          <w:szCs w:val="21"/>
          <w:highlight w:val="white"/>
          <w:lang w:eastAsia="zh-CN"/>
        </w:rPr>
        <w:t>六、信息披露事务管理</w:t>
      </w:r>
    </w:p>
    <w:p w:rsidR="005C6370" w:rsidP="00A24D29" w14:paraId="5CB536A9" w14:textId="77777777">
      <w:pPr>
        <w:spacing w:line="360" w:lineRule="auto"/>
        <w:ind w:firstLine="420"/>
        <w:contextualSpacing/>
        <w:rPr>
          <w:rFonts w:ascii="宋体" w:hAnsi="Calibri"/>
          <w:sz w:val="24"/>
          <w:lang w:eastAsia="zh-CN"/>
        </w:rPr>
      </w:pPr>
      <w:r>
        <w:rPr>
          <w:rFonts w:ascii="宋体" w:hAnsi="Calibri" w:hint="eastAsia"/>
          <w:bCs/>
          <w:szCs w:val="21"/>
          <w:highlight w:val="white"/>
          <w:lang w:eastAsia="zh-CN"/>
        </w:rPr>
        <w:t>基金管理人、基金托管人应当建立健全信息披露管理制度，指定专门部门及高级管理人员负责管理信息披露事务。</w:t>
      </w:r>
    </w:p>
    <w:p w:rsidR="005C6370" w:rsidP="00A24D29" w14:paraId="2EFED5CD" w14:textId="77777777">
      <w:pPr>
        <w:spacing w:line="360" w:lineRule="auto"/>
        <w:ind w:firstLine="420"/>
        <w:contextualSpacing/>
        <w:rPr>
          <w:rFonts w:ascii="宋体" w:hAnsi="Calibri"/>
          <w:sz w:val="24"/>
          <w:lang w:eastAsia="zh-CN"/>
        </w:rPr>
      </w:pPr>
      <w:r>
        <w:rPr>
          <w:rFonts w:ascii="宋体" w:hAnsi="Calibri" w:hint="eastAsia"/>
          <w:bCs/>
          <w:szCs w:val="21"/>
          <w:highlight w:val="white"/>
          <w:lang w:eastAsia="zh-CN"/>
        </w:rPr>
        <w:t>基金信息披露义务人公开披露基金信息，应当符合中国证监会相关基金信息披露内容与格式准则等法规的规定。</w:t>
      </w:r>
    </w:p>
    <w:p w:rsidR="005C6370" w:rsidP="00A24D29" w14:paraId="015CDC3D" w14:textId="77777777">
      <w:pPr>
        <w:spacing w:line="360" w:lineRule="auto"/>
        <w:ind w:firstLine="420"/>
        <w:contextualSpacing/>
        <w:rPr>
          <w:rFonts w:ascii="宋体" w:hAnsi="Calibri"/>
          <w:sz w:val="24"/>
          <w:lang w:eastAsia="zh-CN"/>
        </w:rPr>
      </w:pPr>
      <w:r>
        <w:rPr>
          <w:rFonts w:ascii="宋体" w:hAnsi="Calibri" w:hint="eastAsia"/>
          <w:bCs/>
          <w:szCs w:val="21"/>
          <w:highlight w:val="white"/>
          <w:lang w:eastAsia="zh-CN"/>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公开披露的相关基金信息进行复核、审查，并向基金管理人进行书面或电子确认。</w:t>
      </w:r>
    </w:p>
    <w:p w:rsidR="005C6370" w:rsidP="00A24D29" w14:paraId="6279BD91" w14:textId="77777777">
      <w:pPr>
        <w:spacing w:line="360" w:lineRule="auto"/>
        <w:ind w:firstLine="420"/>
        <w:contextualSpacing/>
        <w:rPr>
          <w:rFonts w:ascii="宋体" w:hAnsi="Calibri"/>
          <w:sz w:val="24"/>
          <w:lang w:eastAsia="zh-CN"/>
        </w:rPr>
      </w:pPr>
      <w:r>
        <w:rPr>
          <w:rFonts w:ascii="宋体" w:hAnsi="Calibri" w:hint="eastAsia"/>
          <w:bCs/>
          <w:szCs w:val="21"/>
          <w:highlight w:val="white"/>
          <w:lang w:eastAsia="zh-CN"/>
        </w:rPr>
        <w:t>基金管理人、基金托管人应当在规定报刊中选择一家报刊披露本基金信息。基金管理人、基金托管人应当向中国证监会基金电子披露网站报送拟披露的基金信息，并保证相关报送信息的真实、准确、完整、及时。</w:t>
      </w:r>
    </w:p>
    <w:p w:rsidR="005C6370" w:rsidP="00A24D29" w14:paraId="736A405C" w14:textId="77777777">
      <w:pPr>
        <w:spacing w:line="360" w:lineRule="auto"/>
        <w:ind w:firstLine="420"/>
        <w:contextualSpacing/>
        <w:rPr>
          <w:rFonts w:ascii="宋体" w:hAnsi="Calibri"/>
          <w:sz w:val="24"/>
          <w:lang w:eastAsia="zh-CN"/>
        </w:rPr>
      </w:pPr>
      <w:r>
        <w:rPr>
          <w:rFonts w:ascii="宋体" w:hAnsi="Calibri" w:hint="eastAsia"/>
          <w:bCs/>
          <w:szCs w:val="21"/>
          <w:highlight w:val="white"/>
          <w:lang w:eastAsia="zh-CN"/>
        </w:rPr>
        <w:t>基金管理人、基金托管人除依法在规定媒介上披露信息外，还可以根据需要在其他公共媒介披露信息，但是其他公共媒介不得早于规定媒介披露信息，并且在不同媒介上披露同一信息的内容应当一致。</w:t>
      </w:r>
    </w:p>
    <w:p w:rsidR="005C6370" w:rsidP="00A24D29" w14:paraId="4E34092D" w14:textId="77777777">
      <w:pPr>
        <w:spacing w:line="360" w:lineRule="auto"/>
        <w:ind w:firstLine="420"/>
        <w:contextualSpacing/>
        <w:rPr>
          <w:rFonts w:ascii="宋体" w:hAnsi="Calibri"/>
          <w:sz w:val="24"/>
          <w:lang w:eastAsia="zh-CN"/>
        </w:rPr>
      </w:pPr>
      <w:r>
        <w:rPr>
          <w:rFonts w:ascii="宋体" w:hAnsi="Calibri" w:hint="eastAsia"/>
          <w:bCs/>
          <w:szCs w:val="21"/>
          <w:highlight w:val="white"/>
          <w:lang w:eastAsia="zh-CN"/>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rsidR="005C6370" w:rsidP="00A24D29" w14:paraId="3D50D1A6" w14:textId="77777777">
      <w:pPr>
        <w:spacing w:line="360" w:lineRule="auto"/>
        <w:ind w:firstLine="420"/>
        <w:contextualSpacing/>
        <w:rPr>
          <w:rFonts w:ascii="宋体" w:hAnsi="Calibri"/>
          <w:sz w:val="24"/>
          <w:lang w:eastAsia="zh-CN"/>
        </w:rPr>
      </w:pPr>
      <w:r>
        <w:rPr>
          <w:rFonts w:ascii="宋体" w:hAnsi="Calibri" w:hint="eastAsia"/>
          <w:bCs/>
          <w:szCs w:val="21"/>
          <w:highlight w:val="white"/>
          <w:lang w:eastAsia="zh-CN"/>
        </w:rPr>
        <w:t>七、信息披露文件的存放与查阅</w:t>
      </w:r>
    </w:p>
    <w:p w:rsidR="005C6370" w:rsidP="00A24D29" w14:paraId="6087A006" w14:textId="77777777">
      <w:pPr>
        <w:spacing w:line="360" w:lineRule="auto"/>
        <w:ind w:firstLine="420"/>
        <w:contextualSpacing/>
        <w:rPr>
          <w:rFonts w:ascii="宋体" w:hAnsi="Calibri"/>
          <w:sz w:val="24"/>
          <w:lang w:eastAsia="zh-CN"/>
        </w:rPr>
      </w:pPr>
      <w:r>
        <w:rPr>
          <w:rFonts w:ascii="宋体" w:hAnsi="Calibri" w:hint="eastAsia"/>
          <w:bCs/>
          <w:szCs w:val="21"/>
          <w:highlight w:val="white"/>
          <w:lang w:eastAsia="zh-CN"/>
        </w:rPr>
        <w:t>依法必须披露的信息发布后，基金管理人、基金托管人应当按照相关法律法规规定将信息置备于公司办公场所，供社会公众查阅、复制。</w:t>
      </w:r>
    </w:p>
    <w:p w:rsidR="005C6370" w:rsidP="00A24D29" w14:paraId="4E12F466" w14:textId="77777777">
      <w:pPr>
        <w:widowControl/>
        <w:contextualSpacing/>
        <w:jc w:val="left"/>
        <w:rPr>
          <w:rFonts w:ascii="宋体" w:hAnsi="Calibri"/>
          <w:szCs w:val="21"/>
          <w:lang w:eastAsia="zh-CN"/>
        </w:rPr>
      </w:pPr>
      <w:r>
        <w:rPr>
          <w:rFonts w:ascii="宋体" w:hAnsi="Calibri"/>
          <w:szCs w:val="21"/>
          <w:highlight w:val="white"/>
          <w:lang w:eastAsia="zh-CN"/>
        </w:rPr>
        <w:br w:type="page"/>
      </w:r>
    </w:p>
    <w:p w:rsidR="005C6370" w:rsidP="00A24D29" w14:paraId="4836CE50" w14:textId="77777777">
      <w:pPr>
        <w:pStyle w:val="Heading1"/>
        <w:spacing w:before="240" w:after="240" w:line="360" w:lineRule="auto"/>
        <w:ind w:firstLine="600"/>
        <w:contextualSpacing/>
        <w:rPr>
          <w:rFonts w:ascii="宋体" w:eastAsia="宋体" w:hAnsi="Calibri"/>
        </w:rPr>
      </w:pPr>
      <w:bookmarkStart w:id="1848" w:name="_Toc121776983"/>
      <w:r>
        <w:rPr>
          <w:rFonts w:ascii="宋体" w:eastAsia="宋体" w:hAnsi="Calibri" w:hint="eastAsia"/>
          <w:sz w:val="30"/>
          <w:highlight w:val="white"/>
        </w:rPr>
        <w:t xml:space="preserve">第二十部分 </w:t>
      </w:r>
      <w:r>
        <w:rPr>
          <w:rFonts w:ascii="宋体" w:eastAsia="宋体" w:hAnsi="Calibri"/>
          <w:sz w:val="30"/>
          <w:highlight w:val="white"/>
        </w:rPr>
        <w:t>基金持有其他基金的信息披</w:t>
      </w:r>
      <w:r>
        <w:rPr>
          <w:rFonts w:ascii="宋体" w:eastAsia="宋体" w:hAnsi="Calibri" w:hint="eastAsia"/>
          <w:sz w:val="30"/>
          <w:highlight w:val="white"/>
        </w:rPr>
        <w:t>露</w:t>
      </w:r>
      <w:bookmarkEnd w:id="1848"/>
    </w:p>
    <w:p w:rsidR="005C6370" w:rsidP="00A24D29" w14:paraId="7995A40F"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一、本基金持有基金的相关情况</w:t>
      </w:r>
    </w:p>
    <w:p w:rsidR="005C6370" w:rsidP="00A24D29" w14:paraId="7CC3BAD9"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本基金应当在定期报告和招募说明书等文件中披露所持有基金的基本情况，包括该基金的投资政策、持仓情况、损益情况、净值披露时间、交易及持有基金产生的费用情况、持有的基金发生的重大影响事件、投资于管理人以及管理人关联方所管理基金的情况等。</w:t>
      </w:r>
    </w:p>
    <w:p w:rsidR="005C6370" w:rsidP="00A24D29" w14:paraId="7BE40A25"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二、本基金交易及持有其他基金产生的费用</w:t>
      </w:r>
    </w:p>
    <w:p w:rsidR="005C6370" w:rsidP="00A24D29" w14:paraId="76661C42" w14:textId="77777777">
      <w:pPr>
        <w:spacing w:line="360" w:lineRule="auto"/>
        <w:ind w:firstLine="420"/>
        <w:contextualSpacing/>
        <w:rPr>
          <w:rFonts w:ascii="宋体" w:hAnsi="Calibri"/>
          <w:szCs w:val="21"/>
          <w:lang w:eastAsia="zh-CN"/>
        </w:rPr>
      </w:pPr>
      <w:r>
        <w:rPr>
          <w:rFonts w:ascii="宋体" w:hAnsi="Calibri"/>
          <w:color w:val="000000"/>
          <w:szCs w:val="21"/>
          <w:highlight w:val="white"/>
          <w:lang w:eastAsia="zh-CN"/>
        </w:rPr>
        <w:t>1</w:t>
      </w:r>
      <w:r>
        <w:rPr>
          <w:rFonts w:ascii="宋体" w:hAnsi="Calibri" w:cs="宋体"/>
          <w:color w:val="000000"/>
          <w:szCs w:val="21"/>
          <w:highlight w:val="white"/>
          <w:lang w:eastAsia="zh-CN"/>
        </w:rPr>
        <w:t>、本基金交易及持有其他基金产生的费用种类</w:t>
      </w:r>
    </w:p>
    <w:p w:rsidR="005C6370" w:rsidP="00A24D29" w14:paraId="465702B1"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w:t>
      </w:r>
      <w:r>
        <w:rPr>
          <w:rFonts w:ascii="宋体" w:hAnsi="Calibri"/>
          <w:color w:val="000000"/>
          <w:szCs w:val="21"/>
          <w:highlight w:val="white"/>
          <w:lang w:eastAsia="zh-CN"/>
        </w:rPr>
        <w:t>1</w:t>
      </w:r>
      <w:r>
        <w:rPr>
          <w:rFonts w:ascii="宋体" w:hAnsi="Calibri" w:cs="宋体"/>
          <w:color w:val="000000"/>
          <w:szCs w:val="21"/>
          <w:highlight w:val="white"/>
          <w:lang w:eastAsia="zh-CN"/>
        </w:rPr>
        <w:t>）本基金申购其他基金的申购费；</w:t>
      </w:r>
    </w:p>
    <w:p w:rsidR="005C6370" w:rsidP="00A24D29" w14:paraId="130F1DBD"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w:t>
      </w:r>
      <w:r>
        <w:rPr>
          <w:rFonts w:ascii="宋体" w:hAnsi="Calibri"/>
          <w:color w:val="000000"/>
          <w:szCs w:val="21"/>
          <w:highlight w:val="white"/>
          <w:lang w:eastAsia="zh-CN"/>
        </w:rPr>
        <w:t>2</w:t>
      </w:r>
      <w:r>
        <w:rPr>
          <w:rFonts w:ascii="宋体" w:hAnsi="Calibri" w:cs="宋体"/>
          <w:color w:val="000000"/>
          <w:szCs w:val="21"/>
          <w:highlight w:val="white"/>
          <w:lang w:eastAsia="zh-CN"/>
        </w:rPr>
        <w:t>）本基金赎回其他基金的赎回费；</w:t>
      </w:r>
    </w:p>
    <w:p w:rsidR="005C6370" w:rsidP="00A24D29" w14:paraId="45F4A28B"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w:t>
      </w:r>
      <w:r>
        <w:rPr>
          <w:rFonts w:ascii="宋体" w:hAnsi="Calibri"/>
          <w:color w:val="000000"/>
          <w:szCs w:val="21"/>
          <w:highlight w:val="white"/>
          <w:lang w:eastAsia="zh-CN"/>
        </w:rPr>
        <w:t>3</w:t>
      </w:r>
      <w:r>
        <w:rPr>
          <w:rFonts w:ascii="宋体" w:hAnsi="Calibri" w:cs="宋体"/>
          <w:color w:val="000000"/>
          <w:szCs w:val="21"/>
          <w:highlight w:val="white"/>
          <w:lang w:eastAsia="zh-CN"/>
        </w:rPr>
        <w:t>）本基金持有其他基金产生的销售服务费；</w:t>
      </w:r>
    </w:p>
    <w:p w:rsidR="005C6370" w:rsidP="00A24D29" w14:paraId="550C81E4"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w:t>
      </w:r>
      <w:r>
        <w:rPr>
          <w:rFonts w:ascii="宋体" w:hAnsi="Calibri"/>
          <w:color w:val="000000"/>
          <w:szCs w:val="21"/>
          <w:highlight w:val="white"/>
          <w:lang w:eastAsia="zh-CN"/>
        </w:rPr>
        <w:t>4</w:t>
      </w:r>
      <w:r>
        <w:rPr>
          <w:rFonts w:ascii="宋体" w:hAnsi="Calibri" w:cs="宋体"/>
          <w:color w:val="000000"/>
          <w:szCs w:val="21"/>
          <w:highlight w:val="white"/>
          <w:lang w:eastAsia="zh-CN"/>
        </w:rPr>
        <w:t>）本基金持有其他基金产生的管理费；</w:t>
      </w:r>
    </w:p>
    <w:p w:rsidR="005C6370" w:rsidP="00A24D29" w14:paraId="5BDFE809"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w:t>
      </w:r>
      <w:r>
        <w:rPr>
          <w:rFonts w:ascii="宋体" w:hAnsi="Calibri"/>
          <w:color w:val="000000"/>
          <w:szCs w:val="21"/>
          <w:highlight w:val="white"/>
          <w:lang w:eastAsia="zh-CN"/>
        </w:rPr>
        <w:t>5</w:t>
      </w:r>
      <w:r>
        <w:rPr>
          <w:rFonts w:ascii="宋体" w:hAnsi="Calibri" w:cs="宋体"/>
          <w:color w:val="000000"/>
          <w:szCs w:val="21"/>
          <w:highlight w:val="white"/>
          <w:lang w:eastAsia="zh-CN"/>
        </w:rPr>
        <w:t>）本基金持有其他基金产生的托管费；</w:t>
      </w:r>
    </w:p>
    <w:p w:rsidR="005C6370" w:rsidP="00A24D29" w14:paraId="37D583CD"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w:t>
      </w:r>
      <w:r>
        <w:rPr>
          <w:rFonts w:ascii="宋体" w:hAnsi="Calibri"/>
          <w:color w:val="000000"/>
          <w:szCs w:val="21"/>
          <w:highlight w:val="white"/>
          <w:lang w:eastAsia="zh-CN"/>
        </w:rPr>
        <w:t>6</w:t>
      </w:r>
      <w:r>
        <w:rPr>
          <w:rFonts w:ascii="宋体" w:hAnsi="Calibri" w:cs="宋体"/>
          <w:color w:val="000000"/>
          <w:szCs w:val="21"/>
          <w:highlight w:val="white"/>
          <w:lang w:eastAsia="zh-CN"/>
        </w:rPr>
        <w:t>）本基金通过场内交易其他基金产生的交易费用；</w:t>
      </w:r>
    </w:p>
    <w:p w:rsidR="005C6370" w:rsidP="00A24D29" w14:paraId="152E23D8"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w:t>
      </w:r>
      <w:r>
        <w:rPr>
          <w:rFonts w:ascii="宋体" w:hAnsi="Calibri"/>
          <w:color w:val="000000"/>
          <w:szCs w:val="21"/>
          <w:highlight w:val="white"/>
          <w:lang w:eastAsia="zh-CN"/>
        </w:rPr>
        <w:t>7</w:t>
      </w:r>
      <w:r>
        <w:rPr>
          <w:rFonts w:ascii="宋体" w:hAnsi="Calibri" w:cs="宋体"/>
          <w:color w:val="000000"/>
          <w:szCs w:val="21"/>
          <w:highlight w:val="white"/>
          <w:lang w:eastAsia="zh-CN"/>
        </w:rPr>
        <w:t>）按照法律法规或监管部门的有关规定和所持有基金的《基金合同》的约定，在所持有的基金的财产中列支的其他费用。</w:t>
      </w:r>
    </w:p>
    <w:p w:rsidR="005C6370" w:rsidP="00A24D29" w14:paraId="2621DD2D"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本基金交易及持有其他基金的具体费用种类、费率标准、计算规则及保留位数等事项，以所交易及持有的其他基金的基金合同、招募说明书、相关公告等文件为准。</w:t>
      </w:r>
    </w:p>
    <w:p w:rsidR="005C6370" w:rsidP="00A24D29" w14:paraId="7C2EDAAA" w14:textId="77777777">
      <w:pPr>
        <w:spacing w:line="360" w:lineRule="auto"/>
        <w:ind w:firstLine="420"/>
        <w:contextualSpacing/>
        <w:rPr>
          <w:rFonts w:ascii="宋体" w:hAnsi="Calibri"/>
          <w:szCs w:val="21"/>
          <w:lang w:eastAsia="zh-CN"/>
        </w:rPr>
      </w:pPr>
      <w:r>
        <w:rPr>
          <w:rFonts w:ascii="宋体" w:hAnsi="Calibri"/>
          <w:color w:val="000000"/>
          <w:szCs w:val="21"/>
          <w:highlight w:val="white"/>
          <w:lang w:eastAsia="zh-CN"/>
        </w:rPr>
        <w:t>2</w:t>
      </w:r>
      <w:r>
        <w:rPr>
          <w:rFonts w:ascii="宋体" w:hAnsi="Calibri" w:cs="宋体"/>
          <w:color w:val="000000"/>
          <w:szCs w:val="21"/>
          <w:highlight w:val="white"/>
          <w:lang w:eastAsia="zh-CN"/>
        </w:rPr>
        <w:t>、本基金交易及持有其他基金产生的费用的计算方法及举例说明</w:t>
      </w:r>
    </w:p>
    <w:p w:rsidR="005C6370" w:rsidP="00A24D29" w14:paraId="2C87AB5D"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w:t>
      </w:r>
      <w:r>
        <w:rPr>
          <w:rFonts w:ascii="宋体" w:hAnsi="Calibri"/>
          <w:color w:val="000000"/>
          <w:szCs w:val="21"/>
          <w:highlight w:val="white"/>
          <w:lang w:eastAsia="zh-CN"/>
        </w:rPr>
        <w:t>1</w:t>
      </w:r>
      <w:r>
        <w:rPr>
          <w:rFonts w:ascii="宋体" w:hAnsi="Calibri" w:cs="宋体"/>
          <w:color w:val="000000"/>
          <w:szCs w:val="21"/>
          <w:highlight w:val="white"/>
          <w:lang w:eastAsia="zh-CN"/>
        </w:rPr>
        <w:t>）本基金申购其他基金的申购费的计算方法</w:t>
      </w:r>
    </w:p>
    <w:p w:rsidR="005C6370" w:rsidP="00A24D29" w14:paraId="6BC5CF25" w14:textId="77777777">
      <w:pPr>
        <w:spacing w:line="360" w:lineRule="auto"/>
        <w:ind w:firstLine="420"/>
        <w:contextualSpacing/>
        <w:rPr>
          <w:rFonts w:ascii="宋体" w:hAnsi="Calibri"/>
          <w:szCs w:val="21"/>
          <w:lang w:eastAsia="zh-CN"/>
        </w:rPr>
      </w:pPr>
      <w:r>
        <w:rPr>
          <w:rFonts w:ascii="宋体" w:hAnsi="Calibri"/>
          <w:color w:val="000000"/>
          <w:szCs w:val="21"/>
          <w:highlight w:val="white"/>
          <w:lang w:eastAsia="zh-CN"/>
        </w:rPr>
        <w:t>1</w:t>
      </w:r>
      <w:r>
        <w:rPr>
          <w:rFonts w:ascii="宋体" w:hAnsi="Calibri" w:cs="宋体"/>
          <w:color w:val="000000"/>
          <w:szCs w:val="21"/>
          <w:highlight w:val="white"/>
          <w:lang w:eastAsia="zh-CN"/>
        </w:rPr>
        <w:t>）本基金申购本基金管理人管理的基金（</w:t>
      </w:r>
      <w:r>
        <w:rPr>
          <w:rFonts w:ascii="宋体" w:hAnsi="Calibri"/>
          <w:color w:val="000000"/>
          <w:szCs w:val="21"/>
          <w:highlight w:val="white"/>
          <w:lang w:eastAsia="zh-CN"/>
        </w:rPr>
        <w:t>ETF</w:t>
      </w:r>
      <w:r>
        <w:rPr>
          <w:rFonts w:ascii="宋体" w:hAnsi="Calibri" w:cs="宋体"/>
          <w:color w:val="000000"/>
          <w:szCs w:val="21"/>
          <w:highlight w:val="white"/>
          <w:lang w:eastAsia="zh-CN"/>
        </w:rPr>
        <w:t>除外），应当通过基金管理人直销渠道申购且不收取申购费。基金管理人通过其基金销售子公司申购自身管理的基金的，按照本条要求执行。法律法规或监管机关另有规定的，从其规定。</w:t>
      </w:r>
    </w:p>
    <w:p w:rsidR="005C6370" w:rsidP="00A24D29" w14:paraId="1EA8BFC5" w14:textId="77777777">
      <w:pPr>
        <w:spacing w:line="360" w:lineRule="auto"/>
        <w:ind w:firstLine="420"/>
        <w:contextualSpacing/>
        <w:rPr>
          <w:rFonts w:ascii="宋体" w:hAnsi="Calibri"/>
          <w:szCs w:val="21"/>
          <w:lang w:eastAsia="zh-CN"/>
        </w:rPr>
      </w:pPr>
      <w:r>
        <w:rPr>
          <w:rFonts w:ascii="宋体" w:hAnsi="Calibri"/>
          <w:color w:val="000000"/>
          <w:szCs w:val="21"/>
          <w:highlight w:val="white"/>
          <w:lang w:eastAsia="zh-CN"/>
        </w:rPr>
        <w:t>2</w:t>
      </w:r>
      <w:r>
        <w:rPr>
          <w:rFonts w:ascii="宋体" w:hAnsi="Calibri" w:cs="宋体"/>
          <w:color w:val="000000"/>
          <w:szCs w:val="21"/>
          <w:highlight w:val="white"/>
          <w:lang w:eastAsia="zh-CN"/>
        </w:rPr>
        <w:t>）本基金申购非本基金管理人管理的基金，本基金</w:t>
      </w:r>
      <w:r>
        <w:rPr>
          <w:rFonts w:ascii="宋体" w:hAnsi="Calibri" w:cs="宋体" w:hint="eastAsia"/>
          <w:color w:val="000000"/>
          <w:szCs w:val="21"/>
          <w:highlight w:val="white"/>
          <w:lang w:eastAsia="zh-CN"/>
        </w:rPr>
        <w:t>按规定</w:t>
      </w:r>
      <w:r>
        <w:rPr>
          <w:rFonts w:ascii="宋体" w:hAnsi="Calibri" w:cs="宋体"/>
          <w:color w:val="000000"/>
          <w:szCs w:val="21"/>
          <w:highlight w:val="white"/>
          <w:lang w:eastAsia="zh-CN"/>
        </w:rPr>
        <w:t>所需支付的申购费的计算方法应遵循被投资基金招募说明书的规定。</w:t>
      </w:r>
      <w:r w:rsidRPr="002F2B5C" w:rsidR="002F2B5C">
        <w:rPr>
          <w:rFonts w:ascii="宋体" w:hAnsi="Calibri" w:cs="宋体" w:hint="eastAsia"/>
          <w:color w:val="000000"/>
          <w:szCs w:val="21"/>
          <w:lang w:eastAsia="zh-CN"/>
        </w:rPr>
        <w:t>以本基金通过被投资基金管理人及其基金销售子公司以外的销售机构申购前端收费的被投基金为例</w:t>
      </w:r>
      <w:r>
        <w:rPr>
          <w:rFonts w:ascii="宋体" w:hAnsi="Calibri" w:cs="宋体"/>
          <w:color w:val="000000"/>
          <w:szCs w:val="21"/>
          <w:highlight w:val="white"/>
          <w:lang w:eastAsia="zh-CN"/>
        </w:rPr>
        <w:t>，申购费及申购份额计算方法及举例如下：</w:t>
      </w:r>
    </w:p>
    <w:p w:rsidR="005C6370" w:rsidP="00A24D29" w14:paraId="4AD1AFD3"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①</w:t>
      </w:r>
      <w:r>
        <w:rPr>
          <w:rFonts w:ascii="宋体" w:hAnsi="Calibri" w:cs="宋体"/>
          <w:color w:val="000000"/>
          <w:szCs w:val="21"/>
          <w:highlight w:val="white"/>
          <w:lang w:eastAsia="zh-CN"/>
        </w:rPr>
        <w:t>当被投资基金的申购费用适用比例费率时，申购费用及申购份额的计算方法如下：</w:t>
      </w:r>
    </w:p>
    <w:p w:rsidR="005C6370" w:rsidP="00A24D29" w14:paraId="69530186"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净申购金额</w:t>
      </w:r>
      <w:r>
        <w:rPr>
          <w:rFonts w:ascii="宋体" w:hAnsi="Calibri"/>
          <w:color w:val="000000"/>
          <w:szCs w:val="21"/>
          <w:highlight w:val="white"/>
          <w:lang w:eastAsia="zh-CN"/>
        </w:rPr>
        <w:t>=</w:t>
      </w:r>
      <w:r>
        <w:rPr>
          <w:rFonts w:ascii="宋体" w:hAnsi="Calibri" w:cs="宋体"/>
          <w:color w:val="000000"/>
          <w:szCs w:val="21"/>
          <w:highlight w:val="white"/>
          <w:lang w:eastAsia="zh-CN"/>
        </w:rPr>
        <w:t>申购金额</w:t>
      </w:r>
      <w:r>
        <w:rPr>
          <w:rFonts w:ascii="宋体" w:hAnsi="Calibri"/>
          <w:color w:val="000000"/>
          <w:szCs w:val="21"/>
          <w:highlight w:val="white"/>
          <w:lang w:eastAsia="zh-CN"/>
        </w:rPr>
        <w:t>/</w:t>
      </w:r>
      <w:r>
        <w:rPr>
          <w:rFonts w:ascii="宋体" w:hAnsi="Calibri" w:cs="宋体"/>
          <w:color w:val="000000"/>
          <w:szCs w:val="21"/>
          <w:highlight w:val="white"/>
          <w:lang w:eastAsia="zh-CN"/>
        </w:rPr>
        <w:t>（</w:t>
      </w:r>
      <w:r>
        <w:rPr>
          <w:rFonts w:ascii="宋体" w:hAnsi="Calibri"/>
          <w:color w:val="000000"/>
          <w:szCs w:val="21"/>
          <w:highlight w:val="white"/>
          <w:lang w:eastAsia="zh-CN"/>
        </w:rPr>
        <w:t>1+</w:t>
      </w:r>
      <w:r>
        <w:rPr>
          <w:rFonts w:ascii="宋体" w:hAnsi="Calibri" w:cs="宋体"/>
          <w:color w:val="000000"/>
          <w:szCs w:val="21"/>
          <w:highlight w:val="white"/>
          <w:lang w:eastAsia="zh-CN"/>
        </w:rPr>
        <w:t>申购费率）</w:t>
      </w:r>
    </w:p>
    <w:p w:rsidR="005C6370" w:rsidP="00A24D29" w14:paraId="306E63A6"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申购费用</w:t>
      </w:r>
      <w:r>
        <w:rPr>
          <w:rFonts w:ascii="宋体" w:hAnsi="Calibri"/>
          <w:color w:val="000000"/>
          <w:szCs w:val="21"/>
          <w:highlight w:val="white"/>
          <w:lang w:eastAsia="zh-CN"/>
        </w:rPr>
        <w:t>=</w:t>
      </w:r>
      <w:r>
        <w:rPr>
          <w:rFonts w:ascii="宋体" w:hAnsi="Calibri" w:cs="宋体"/>
          <w:color w:val="000000"/>
          <w:szCs w:val="21"/>
          <w:highlight w:val="white"/>
          <w:lang w:eastAsia="zh-CN"/>
        </w:rPr>
        <w:t>申购金额</w:t>
      </w:r>
      <w:r>
        <w:rPr>
          <w:rFonts w:ascii="宋体" w:hAnsi="Calibri"/>
          <w:color w:val="000000"/>
          <w:szCs w:val="21"/>
          <w:highlight w:val="white"/>
          <w:lang w:eastAsia="zh-CN"/>
        </w:rPr>
        <w:t>-</w:t>
      </w:r>
      <w:r>
        <w:rPr>
          <w:rFonts w:ascii="宋体" w:hAnsi="Calibri" w:cs="宋体"/>
          <w:color w:val="000000"/>
          <w:szCs w:val="21"/>
          <w:highlight w:val="white"/>
          <w:lang w:eastAsia="zh-CN"/>
        </w:rPr>
        <w:t>净申购金额</w:t>
      </w:r>
    </w:p>
    <w:p w:rsidR="005C6370" w:rsidP="00A24D29" w14:paraId="15F19559" w14:textId="77777777">
      <w:pPr>
        <w:spacing w:line="360" w:lineRule="auto"/>
        <w:ind w:firstLine="420"/>
        <w:contextualSpacing/>
        <w:rPr>
          <w:rFonts w:ascii="宋体" w:hAnsi="Calibri" w:cs="宋体"/>
          <w:color w:val="000000"/>
          <w:szCs w:val="21"/>
          <w:lang w:eastAsia="zh-CN"/>
        </w:rPr>
      </w:pPr>
      <w:r>
        <w:rPr>
          <w:rFonts w:ascii="宋体" w:hAnsi="Calibri" w:cs="宋体"/>
          <w:color w:val="000000"/>
          <w:szCs w:val="21"/>
          <w:highlight w:val="white"/>
          <w:lang w:eastAsia="zh-CN"/>
        </w:rPr>
        <w:t>申购份额</w:t>
      </w:r>
      <w:r>
        <w:rPr>
          <w:rFonts w:ascii="宋体" w:hAnsi="Calibri"/>
          <w:color w:val="000000"/>
          <w:szCs w:val="21"/>
          <w:highlight w:val="white"/>
          <w:lang w:eastAsia="zh-CN"/>
        </w:rPr>
        <w:t>=</w:t>
      </w:r>
      <w:r>
        <w:rPr>
          <w:rFonts w:ascii="宋体" w:hAnsi="Calibri" w:cs="宋体"/>
          <w:color w:val="000000"/>
          <w:szCs w:val="21"/>
          <w:highlight w:val="white"/>
          <w:lang w:eastAsia="zh-CN"/>
        </w:rPr>
        <w:t>净申购金额</w:t>
      </w:r>
      <w:r>
        <w:rPr>
          <w:rFonts w:ascii="宋体" w:hAnsi="Calibri"/>
          <w:color w:val="000000"/>
          <w:szCs w:val="21"/>
          <w:highlight w:val="white"/>
          <w:lang w:eastAsia="zh-CN"/>
        </w:rPr>
        <w:t>/T</w:t>
      </w:r>
      <w:r>
        <w:rPr>
          <w:rFonts w:ascii="宋体" w:hAnsi="Calibri" w:cs="宋体"/>
          <w:color w:val="000000"/>
          <w:szCs w:val="21"/>
          <w:highlight w:val="white"/>
          <w:lang w:eastAsia="zh-CN"/>
        </w:rPr>
        <w:t>日该类基金份额的基金份额净值</w:t>
      </w:r>
    </w:p>
    <w:p w:rsidR="005C6370" w:rsidP="00A24D29" w14:paraId="6FFB3A17"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②</w:t>
      </w:r>
      <w:r>
        <w:rPr>
          <w:rFonts w:ascii="宋体" w:hAnsi="Calibri" w:cs="宋体"/>
          <w:color w:val="000000"/>
          <w:szCs w:val="21"/>
          <w:highlight w:val="white"/>
          <w:lang w:eastAsia="zh-CN"/>
        </w:rPr>
        <w:t>当被投资基金的申购费用适用固定金额时，申购费用及申购份额的计算方法如下：</w:t>
      </w:r>
    </w:p>
    <w:p w:rsidR="005C6370" w:rsidP="00A24D29" w14:paraId="13F07E7E"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净申购金额＝申购金额－固定申购费金额</w:t>
      </w:r>
    </w:p>
    <w:p w:rsidR="005C6370" w:rsidP="00A24D29" w14:paraId="0C315E40"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申购份额</w:t>
      </w:r>
      <w:r>
        <w:rPr>
          <w:rFonts w:ascii="宋体" w:hAnsi="Calibri"/>
          <w:color w:val="000000"/>
          <w:szCs w:val="21"/>
          <w:highlight w:val="white"/>
          <w:lang w:eastAsia="zh-CN"/>
        </w:rPr>
        <w:t>=</w:t>
      </w:r>
      <w:r>
        <w:rPr>
          <w:rFonts w:ascii="宋体" w:hAnsi="Calibri" w:cs="宋体"/>
          <w:color w:val="000000"/>
          <w:szCs w:val="21"/>
          <w:highlight w:val="white"/>
          <w:lang w:eastAsia="zh-CN"/>
        </w:rPr>
        <w:t>净申购金额</w:t>
      </w:r>
      <w:r>
        <w:rPr>
          <w:rFonts w:ascii="宋体" w:hAnsi="Calibri"/>
          <w:color w:val="000000"/>
          <w:szCs w:val="21"/>
          <w:highlight w:val="white"/>
          <w:lang w:eastAsia="zh-CN"/>
        </w:rPr>
        <w:t>/T</w:t>
      </w:r>
      <w:r>
        <w:rPr>
          <w:rFonts w:ascii="宋体" w:hAnsi="Calibri" w:cs="宋体"/>
          <w:color w:val="000000"/>
          <w:szCs w:val="21"/>
          <w:highlight w:val="white"/>
          <w:lang w:eastAsia="zh-CN"/>
        </w:rPr>
        <w:t>日该类基金份额的基金份额净值</w:t>
      </w:r>
    </w:p>
    <w:p w:rsidR="005C6370" w:rsidP="00A24D29" w14:paraId="5CF972BF"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例一：假设非本基金管理人管理的</w:t>
      </w:r>
      <w:r>
        <w:rPr>
          <w:rFonts w:ascii="宋体" w:hAnsi="Calibri"/>
          <w:color w:val="000000"/>
          <w:szCs w:val="21"/>
          <w:highlight w:val="white"/>
          <w:lang w:eastAsia="zh-CN"/>
        </w:rPr>
        <w:t>F</w:t>
      </w:r>
      <w:r>
        <w:rPr>
          <w:rFonts w:ascii="宋体" w:hAnsi="Calibri" w:cs="宋体"/>
          <w:color w:val="000000"/>
          <w:szCs w:val="21"/>
          <w:highlight w:val="white"/>
          <w:lang w:eastAsia="zh-CN"/>
        </w:rPr>
        <w:t>基金收取前端申购费，该基金的申购费费率结构如下表所示：</w:t>
      </w:r>
    </w:p>
    <w:tbl>
      <w:tblPr>
        <w:tblStyle w:val="TableGrid"/>
        <w:tblW w:w="755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794"/>
        <w:gridCol w:w="3760"/>
      </w:tblGrid>
      <w:tr w14:paraId="017834B6" w14:textId="77777777">
        <w:tblPrEx>
          <w:tblW w:w="7554" w:type="dxa"/>
          <w:jc w:val="center"/>
          <w:tblLayout w:type="fixed"/>
          <w:tblLook w:val="04A0"/>
        </w:tblPrEx>
        <w:trPr>
          <w:trHeight w:val="525"/>
          <w:jc w:val="center"/>
        </w:trPr>
        <w:tc>
          <w:tcPr>
            <w:tcW w:w="37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5C6370" w:rsidP="00A24D29" w14:paraId="68B3FDC0" w14:textId="77777777">
            <w:pPr>
              <w:spacing w:line="360" w:lineRule="auto"/>
              <w:contextualSpacing/>
              <w:jc w:val="center"/>
              <w:rPr>
                <w:rFonts w:ascii="宋体" w:hAnsi="Calibri"/>
                <w:szCs w:val="21"/>
                <w:lang w:eastAsia="zh-CN"/>
              </w:rPr>
            </w:pPr>
            <w:r>
              <w:rPr>
                <w:rFonts w:ascii="宋体" w:hAnsi="Calibri" w:cs="宋体"/>
                <w:color w:val="000000"/>
                <w:szCs w:val="21"/>
                <w:highlight w:val="white"/>
                <w:lang w:eastAsia="zh-CN"/>
              </w:rPr>
              <w:t>申购金额</w:t>
            </w:r>
            <w:r>
              <w:rPr>
                <w:rFonts w:ascii="宋体" w:hAnsi="Calibri"/>
                <w:color w:val="000000"/>
                <w:szCs w:val="21"/>
                <w:highlight w:val="white"/>
                <w:lang w:eastAsia="zh-CN"/>
              </w:rPr>
              <w:t>M</w:t>
            </w:r>
            <w:r>
              <w:rPr>
                <w:rFonts w:ascii="宋体" w:hAnsi="Calibri" w:cs="宋体"/>
                <w:color w:val="000000"/>
                <w:szCs w:val="21"/>
                <w:highlight w:val="white"/>
                <w:lang w:eastAsia="zh-CN"/>
              </w:rPr>
              <w:t>（元）（含申购费）</w:t>
            </w:r>
          </w:p>
        </w:tc>
        <w:tc>
          <w:tcPr>
            <w:tcW w:w="376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5C6370" w:rsidP="00A24D29" w14:paraId="5C1A8BF6" w14:textId="77777777">
            <w:pPr>
              <w:spacing w:line="360" w:lineRule="auto"/>
              <w:contextualSpacing/>
              <w:jc w:val="center"/>
              <w:rPr>
                <w:rFonts w:ascii="宋体" w:hAnsi="Calibri"/>
                <w:szCs w:val="21"/>
              </w:rPr>
            </w:pPr>
            <w:r>
              <w:rPr>
                <w:rFonts w:ascii="宋体" w:hAnsi="Calibri" w:cs="宋体"/>
                <w:color w:val="000000"/>
                <w:szCs w:val="21"/>
                <w:highlight w:val="white"/>
              </w:rPr>
              <w:t>申购费率</w:t>
            </w:r>
          </w:p>
        </w:tc>
      </w:tr>
      <w:tr w14:paraId="2F987A32" w14:textId="77777777">
        <w:tblPrEx>
          <w:tblW w:w="7554" w:type="dxa"/>
          <w:jc w:val="center"/>
          <w:tblLayout w:type="fixed"/>
          <w:tblLook w:val="04A0"/>
        </w:tblPrEx>
        <w:trPr>
          <w:trHeight w:val="300"/>
          <w:jc w:val="center"/>
        </w:trPr>
        <w:tc>
          <w:tcPr>
            <w:tcW w:w="379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C6370" w:rsidP="00A24D29" w14:paraId="7B8AE382" w14:textId="77777777">
            <w:pPr>
              <w:spacing w:line="360" w:lineRule="auto"/>
              <w:contextualSpacing/>
              <w:jc w:val="center"/>
              <w:rPr>
                <w:rFonts w:ascii="宋体" w:hAnsi="Calibri"/>
                <w:szCs w:val="21"/>
              </w:rPr>
            </w:pPr>
            <w:r>
              <w:rPr>
                <w:rFonts w:ascii="宋体" w:hAnsi="Calibri"/>
                <w:color w:val="000000"/>
                <w:szCs w:val="21"/>
                <w:highlight w:val="white"/>
              </w:rPr>
              <w:t>M</w:t>
            </w:r>
            <w:r>
              <w:rPr>
                <w:rFonts w:ascii="宋体" w:hAnsi="Calibri" w:cs="宋体"/>
                <w:color w:val="000000"/>
                <w:szCs w:val="21"/>
                <w:highlight w:val="white"/>
              </w:rPr>
              <w:t>＜</w:t>
            </w:r>
            <w:r>
              <w:rPr>
                <w:rFonts w:ascii="宋体" w:hAnsi="Calibri"/>
                <w:color w:val="000000"/>
                <w:szCs w:val="21"/>
                <w:highlight w:val="white"/>
              </w:rPr>
              <w:t>100</w:t>
            </w:r>
            <w:r>
              <w:rPr>
                <w:rFonts w:ascii="宋体" w:hAnsi="Calibri" w:cs="宋体"/>
                <w:color w:val="000000"/>
                <w:szCs w:val="21"/>
                <w:highlight w:val="white"/>
              </w:rPr>
              <w:t>万</w:t>
            </w:r>
          </w:p>
        </w:tc>
        <w:tc>
          <w:tcPr>
            <w:tcW w:w="3760" w:type="dxa"/>
            <w:tcBorders>
              <w:top w:val="nil"/>
              <w:left w:val="nil"/>
              <w:bottom w:val="single" w:sz="8" w:space="0" w:color="000000"/>
              <w:right w:val="single" w:sz="8" w:space="0" w:color="000000"/>
            </w:tcBorders>
            <w:tcMar>
              <w:top w:w="0" w:type="dxa"/>
              <w:left w:w="108" w:type="dxa"/>
              <w:bottom w:w="0" w:type="dxa"/>
              <w:right w:w="108" w:type="dxa"/>
            </w:tcMar>
          </w:tcPr>
          <w:p w:rsidR="005C6370" w:rsidP="00A24D29" w14:paraId="1A46F7AD" w14:textId="77777777">
            <w:pPr>
              <w:spacing w:line="360" w:lineRule="auto"/>
              <w:contextualSpacing/>
              <w:jc w:val="center"/>
              <w:rPr>
                <w:rFonts w:ascii="宋体" w:hAnsi="Calibri"/>
                <w:szCs w:val="21"/>
              </w:rPr>
            </w:pPr>
            <w:r>
              <w:rPr>
                <w:rFonts w:ascii="宋体" w:hAnsi="Calibri"/>
                <w:color w:val="000000"/>
                <w:szCs w:val="21"/>
                <w:highlight w:val="white"/>
              </w:rPr>
              <w:t>0.50%</w:t>
            </w:r>
          </w:p>
        </w:tc>
      </w:tr>
      <w:tr w14:paraId="43B9EFC3" w14:textId="77777777">
        <w:tblPrEx>
          <w:tblW w:w="7554" w:type="dxa"/>
          <w:jc w:val="center"/>
          <w:tblLayout w:type="fixed"/>
          <w:tblLook w:val="04A0"/>
        </w:tblPrEx>
        <w:trPr>
          <w:trHeight w:val="300"/>
          <w:jc w:val="center"/>
        </w:trPr>
        <w:tc>
          <w:tcPr>
            <w:tcW w:w="379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C6370" w:rsidP="00A24D29" w14:paraId="07949B8C" w14:textId="77777777">
            <w:pPr>
              <w:spacing w:line="360" w:lineRule="auto"/>
              <w:contextualSpacing/>
              <w:jc w:val="center"/>
              <w:rPr>
                <w:rFonts w:ascii="宋体" w:hAnsi="Calibri"/>
                <w:szCs w:val="21"/>
              </w:rPr>
            </w:pPr>
            <w:r>
              <w:rPr>
                <w:rFonts w:ascii="宋体" w:hAnsi="Calibri"/>
                <w:color w:val="000000"/>
                <w:szCs w:val="21"/>
                <w:highlight w:val="white"/>
              </w:rPr>
              <w:t>100</w:t>
            </w:r>
            <w:r>
              <w:rPr>
                <w:rFonts w:ascii="宋体" w:hAnsi="Calibri" w:cs="宋体"/>
                <w:color w:val="000000"/>
                <w:szCs w:val="21"/>
                <w:highlight w:val="white"/>
              </w:rPr>
              <w:t>万</w:t>
            </w:r>
            <w:r>
              <w:rPr>
                <w:rFonts w:ascii="宋体" w:hAnsi="Calibri" w:cs="宋体"/>
                <w:color w:val="000000"/>
                <w:szCs w:val="21"/>
                <w:highlight w:val="white"/>
              </w:rPr>
              <w:t>≤</w:t>
            </w:r>
            <w:r>
              <w:rPr>
                <w:rFonts w:ascii="宋体" w:hAnsi="Calibri"/>
                <w:color w:val="000000"/>
                <w:szCs w:val="21"/>
                <w:highlight w:val="white"/>
              </w:rPr>
              <w:t>M</w:t>
            </w:r>
            <w:r>
              <w:rPr>
                <w:rFonts w:ascii="宋体" w:hAnsi="Calibri" w:cs="宋体"/>
                <w:color w:val="000000"/>
                <w:szCs w:val="21"/>
                <w:highlight w:val="white"/>
              </w:rPr>
              <w:t>＜</w:t>
            </w:r>
            <w:r>
              <w:rPr>
                <w:rFonts w:ascii="宋体" w:hAnsi="Calibri"/>
                <w:color w:val="000000"/>
                <w:szCs w:val="21"/>
                <w:highlight w:val="white"/>
              </w:rPr>
              <w:t>500</w:t>
            </w:r>
            <w:r>
              <w:rPr>
                <w:rFonts w:ascii="宋体" w:hAnsi="Calibri" w:cs="宋体"/>
                <w:color w:val="000000"/>
                <w:szCs w:val="21"/>
                <w:highlight w:val="white"/>
              </w:rPr>
              <w:t>万</w:t>
            </w:r>
          </w:p>
        </w:tc>
        <w:tc>
          <w:tcPr>
            <w:tcW w:w="3760" w:type="dxa"/>
            <w:tcBorders>
              <w:top w:val="nil"/>
              <w:left w:val="nil"/>
              <w:bottom w:val="single" w:sz="8" w:space="0" w:color="000000"/>
              <w:right w:val="single" w:sz="8" w:space="0" w:color="000000"/>
            </w:tcBorders>
            <w:tcMar>
              <w:top w:w="0" w:type="dxa"/>
              <w:left w:w="108" w:type="dxa"/>
              <w:bottom w:w="0" w:type="dxa"/>
              <w:right w:w="108" w:type="dxa"/>
            </w:tcMar>
          </w:tcPr>
          <w:p w:rsidR="005C6370" w:rsidP="00A24D29" w14:paraId="6B1FF2FE" w14:textId="77777777">
            <w:pPr>
              <w:spacing w:line="360" w:lineRule="auto"/>
              <w:contextualSpacing/>
              <w:jc w:val="center"/>
              <w:rPr>
                <w:rFonts w:ascii="宋体" w:hAnsi="Calibri"/>
                <w:szCs w:val="21"/>
              </w:rPr>
            </w:pPr>
            <w:r>
              <w:rPr>
                <w:rFonts w:ascii="宋体" w:hAnsi="Calibri"/>
                <w:color w:val="000000"/>
                <w:szCs w:val="21"/>
                <w:highlight w:val="white"/>
              </w:rPr>
              <w:t>0.30%</w:t>
            </w:r>
          </w:p>
        </w:tc>
      </w:tr>
      <w:tr w14:paraId="476BA2FD" w14:textId="77777777">
        <w:tblPrEx>
          <w:tblW w:w="7554" w:type="dxa"/>
          <w:jc w:val="center"/>
          <w:tblLayout w:type="fixed"/>
          <w:tblLook w:val="04A0"/>
        </w:tblPrEx>
        <w:trPr>
          <w:trHeight w:val="300"/>
          <w:jc w:val="center"/>
        </w:trPr>
        <w:tc>
          <w:tcPr>
            <w:tcW w:w="379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5C6370" w:rsidP="00A24D29" w14:paraId="4F2FDE7C" w14:textId="77777777">
            <w:pPr>
              <w:spacing w:line="360" w:lineRule="auto"/>
              <w:contextualSpacing/>
              <w:jc w:val="center"/>
              <w:rPr>
                <w:rFonts w:ascii="宋体" w:hAnsi="Calibri"/>
                <w:szCs w:val="21"/>
              </w:rPr>
            </w:pPr>
            <w:r>
              <w:rPr>
                <w:rFonts w:ascii="宋体" w:hAnsi="Calibri"/>
                <w:color w:val="000000"/>
                <w:szCs w:val="21"/>
                <w:highlight w:val="white"/>
              </w:rPr>
              <w:t>M</w:t>
            </w:r>
            <w:r>
              <w:rPr>
                <w:rFonts w:ascii="宋体" w:hAnsi="Calibri" w:cs="宋体"/>
                <w:color w:val="000000"/>
                <w:szCs w:val="21"/>
                <w:highlight w:val="white"/>
              </w:rPr>
              <w:t>≥</w:t>
            </w:r>
            <w:r>
              <w:rPr>
                <w:rFonts w:ascii="宋体" w:hAnsi="Calibri"/>
                <w:color w:val="000000"/>
                <w:szCs w:val="21"/>
                <w:highlight w:val="white"/>
              </w:rPr>
              <w:t>500</w:t>
            </w:r>
            <w:r>
              <w:rPr>
                <w:rFonts w:ascii="宋体" w:hAnsi="Calibri" w:cs="宋体"/>
                <w:color w:val="000000"/>
                <w:szCs w:val="21"/>
                <w:highlight w:val="white"/>
              </w:rPr>
              <w:t>万</w:t>
            </w:r>
          </w:p>
        </w:tc>
        <w:tc>
          <w:tcPr>
            <w:tcW w:w="3760" w:type="dxa"/>
            <w:tcBorders>
              <w:top w:val="nil"/>
              <w:left w:val="nil"/>
              <w:bottom w:val="single" w:sz="8" w:space="0" w:color="000000"/>
              <w:right w:val="single" w:sz="8" w:space="0" w:color="000000"/>
            </w:tcBorders>
            <w:tcMar>
              <w:top w:w="0" w:type="dxa"/>
              <w:left w:w="108" w:type="dxa"/>
              <w:bottom w:w="0" w:type="dxa"/>
              <w:right w:w="108" w:type="dxa"/>
            </w:tcMar>
          </w:tcPr>
          <w:p w:rsidR="005C6370" w:rsidP="00A24D29" w14:paraId="7A77224B" w14:textId="77777777">
            <w:pPr>
              <w:spacing w:line="360" w:lineRule="auto"/>
              <w:contextualSpacing/>
              <w:jc w:val="center"/>
              <w:rPr>
                <w:rFonts w:ascii="宋体" w:hAnsi="Calibri"/>
                <w:szCs w:val="21"/>
              </w:rPr>
            </w:pPr>
            <w:r>
              <w:rPr>
                <w:rFonts w:ascii="宋体" w:hAnsi="Calibri"/>
                <w:color w:val="000000"/>
                <w:szCs w:val="21"/>
                <w:highlight w:val="white"/>
              </w:rPr>
              <w:t>1,000</w:t>
            </w:r>
            <w:r>
              <w:rPr>
                <w:rFonts w:ascii="宋体" w:hAnsi="Calibri" w:cs="宋体"/>
                <w:color w:val="000000"/>
                <w:szCs w:val="21"/>
                <w:highlight w:val="white"/>
              </w:rPr>
              <w:t>元</w:t>
            </w:r>
            <w:r>
              <w:rPr>
                <w:rFonts w:ascii="宋体" w:hAnsi="Calibri"/>
                <w:color w:val="000000"/>
                <w:szCs w:val="21"/>
                <w:highlight w:val="white"/>
              </w:rPr>
              <w:t>/</w:t>
            </w:r>
            <w:r>
              <w:rPr>
                <w:rFonts w:ascii="宋体" w:hAnsi="Calibri" w:cs="宋体"/>
                <w:color w:val="000000"/>
                <w:szCs w:val="21"/>
                <w:highlight w:val="white"/>
              </w:rPr>
              <w:t>笔</w:t>
            </w:r>
          </w:p>
        </w:tc>
      </w:tr>
    </w:tbl>
    <w:p w:rsidR="005C6370" w:rsidP="00A24D29" w14:paraId="0758949D"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①</w:t>
      </w:r>
      <w:r>
        <w:rPr>
          <w:rFonts w:ascii="宋体" w:hAnsi="Calibri" w:cs="宋体"/>
          <w:color w:val="000000"/>
          <w:szCs w:val="21"/>
          <w:highlight w:val="white"/>
          <w:lang w:eastAsia="zh-CN"/>
        </w:rPr>
        <w:t>假设本基金拟以1,000,000.00元通过除F基金管理人及其基金销售子公司以外的销售机构申购F基金，且该申购申请被全额确认，申购当日F基金的基金份额净值为1.0400元，则该笔申购产生的申购费用及申购份额计算如下：</w:t>
      </w:r>
    </w:p>
    <w:p w:rsidR="005C6370" w:rsidP="00A24D29" w14:paraId="6C49F032"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净申购金额</w:t>
      </w:r>
      <w:r>
        <w:rPr>
          <w:rFonts w:ascii="宋体" w:hAnsi="Calibri"/>
          <w:color w:val="000000"/>
          <w:szCs w:val="21"/>
          <w:highlight w:val="white"/>
          <w:lang w:eastAsia="zh-CN"/>
        </w:rPr>
        <w:t>=1,000,000.00/(1+0.30%)=997,008.97</w:t>
      </w:r>
      <w:r>
        <w:rPr>
          <w:rFonts w:ascii="宋体" w:hAnsi="Calibri" w:cs="宋体"/>
          <w:color w:val="000000"/>
          <w:szCs w:val="21"/>
          <w:highlight w:val="white"/>
          <w:lang w:eastAsia="zh-CN"/>
        </w:rPr>
        <w:t>元</w:t>
      </w:r>
    </w:p>
    <w:p w:rsidR="005C6370" w:rsidP="00A24D29" w14:paraId="6B90B1F6"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申购费用</w:t>
      </w:r>
      <w:r>
        <w:rPr>
          <w:rFonts w:ascii="宋体" w:hAnsi="Calibri"/>
          <w:color w:val="000000"/>
          <w:szCs w:val="21"/>
          <w:highlight w:val="white"/>
          <w:lang w:eastAsia="zh-CN"/>
        </w:rPr>
        <w:t>=1,000,000.00-997,008.97=2,991.03</w:t>
      </w:r>
      <w:r>
        <w:rPr>
          <w:rFonts w:ascii="宋体" w:hAnsi="Calibri" w:cs="宋体"/>
          <w:color w:val="000000"/>
          <w:szCs w:val="21"/>
          <w:highlight w:val="white"/>
          <w:lang w:eastAsia="zh-CN"/>
        </w:rPr>
        <w:t>元</w:t>
      </w:r>
    </w:p>
    <w:p w:rsidR="005C6370" w:rsidP="00A24D29" w14:paraId="290817B0"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申购份额</w:t>
      </w:r>
      <w:r>
        <w:rPr>
          <w:rFonts w:ascii="宋体" w:hAnsi="Calibri"/>
          <w:color w:val="000000"/>
          <w:szCs w:val="21"/>
          <w:highlight w:val="white"/>
          <w:lang w:eastAsia="zh-CN"/>
        </w:rPr>
        <w:t>=997,008.97/1.0400=958,662.47</w:t>
      </w:r>
      <w:r>
        <w:rPr>
          <w:rFonts w:ascii="宋体" w:hAnsi="Calibri" w:cs="宋体"/>
          <w:color w:val="000000"/>
          <w:szCs w:val="21"/>
          <w:highlight w:val="white"/>
          <w:lang w:eastAsia="zh-CN"/>
        </w:rPr>
        <w:t>份</w:t>
      </w:r>
    </w:p>
    <w:p w:rsidR="005C6370" w:rsidP="00A24D29" w14:paraId="36819560"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②</w:t>
      </w:r>
      <w:r>
        <w:rPr>
          <w:rFonts w:ascii="宋体" w:hAnsi="Calibri" w:cs="宋体"/>
          <w:color w:val="000000"/>
          <w:szCs w:val="21"/>
          <w:highlight w:val="white"/>
          <w:lang w:eastAsia="zh-CN"/>
        </w:rPr>
        <w:t>假设本基金拟以5,000,000.00元通过除F基金管理人及其基金销售子公司以外的销售机构申购F基金且该申购申请被全额确认，申购当日F基金的基金份额净值为1.0400元，则该笔申购产生的申购费用及申购份额计算如下：</w:t>
      </w:r>
    </w:p>
    <w:p w:rsidR="005C6370" w:rsidP="00A24D29" w14:paraId="244C66EF"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申购费用</w:t>
      </w:r>
      <w:r>
        <w:rPr>
          <w:rFonts w:ascii="宋体" w:hAnsi="Calibri"/>
          <w:color w:val="000000"/>
          <w:szCs w:val="21"/>
          <w:highlight w:val="white"/>
          <w:lang w:eastAsia="zh-CN"/>
        </w:rPr>
        <w:t>=1,000.00</w:t>
      </w:r>
      <w:r>
        <w:rPr>
          <w:rFonts w:ascii="宋体" w:hAnsi="Calibri" w:cs="宋体"/>
          <w:color w:val="000000"/>
          <w:szCs w:val="21"/>
          <w:highlight w:val="white"/>
          <w:lang w:eastAsia="zh-CN"/>
        </w:rPr>
        <w:t>元</w:t>
      </w:r>
    </w:p>
    <w:p w:rsidR="005C6370" w:rsidP="00A24D29" w14:paraId="2215973F"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净申购金额</w:t>
      </w:r>
      <w:r>
        <w:rPr>
          <w:rFonts w:ascii="宋体" w:hAnsi="Calibri"/>
          <w:color w:val="000000"/>
          <w:szCs w:val="21"/>
          <w:highlight w:val="white"/>
          <w:lang w:eastAsia="zh-CN"/>
        </w:rPr>
        <w:t>=5,000,000.00-1,000.00=4,999,000.00</w:t>
      </w:r>
      <w:r>
        <w:rPr>
          <w:rFonts w:ascii="宋体" w:hAnsi="Calibri" w:cs="宋体"/>
          <w:color w:val="000000"/>
          <w:szCs w:val="21"/>
          <w:highlight w:val="white"/>
          <w:lang w:eastAsia="zh-CN"/>
        </w:rPr>
        <w:t>元</w:t>
      </w:r>
    </w:p>
    <w:p w:rsidR="005C6370" w:rsidP="00A24D29" w14:paraId="31581D1C"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申购份额</w:t>
      </w:r>
      <w:r>
        <w:rPr>
          <w:rFonts w:ascii="宋体" w:hAnsi="Calibri"/>
          <w:color w:val="000000"/>
          <w:szCs w:val="21"/>
          <w:highlight w:val="white"/>
          <w:lang w:eastAsia="zh-CN"/>
        </w:rPr>
        <w:t>=4,999,000.00/1.0400=4,806,730.77</w:t>
      </w:r>
      <w:r>
        <w:rPr>
          <w:rFonts w:ascii="宋体" w:hAnsi="Calibri" w:cs="宋体"/>
          <w:color w:val="000000"/>
          <w:szCs w:val="21"/>
          <w:highlight w:val="white"/>
          <w:lang w:eastAsia="zh-CN"/>
        </w:rPr>
        <w:t>份</w:t>
      </w:r>
    </w:p>
    <w:p w:rsidR="005C6370" w:rsidP="00A24D29" w14:paraId="1C61911E"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w:t>
      </w:r>
      <w:r>
        <w:rPr>
          <w:rFonts w:ascii="宋体" w:hAnsi="Calibri"/>
          <w:color w:val="000000"/>
          <w:szCs w:val="21"/>
          <w:highlight w:val="white"/>
          <w:lang w:eastAsia="zh-CN"/>
        </w:rPr>
        <w:t>2</w:t>
      </w:r>
      <w:r>
        <w:rPr>
          <w:rFonts w:ascii="宋体" w:hAnsi="Calibri" w:cs="宋体"/>
          <w:color w:val="000000"/>
          <w:szCs w:val="21"/>
          <w:highlight w:val="white"/>
          <w:lang w:eastAsia="zh-CN"/>
        </w:rPr>
        <w:t>）本基金赎回其他基金的赎回费的计算方法</w:t>
      </w:r>
    </w:p>
    <w:p w:rsidR="005C6370" w:rsidP="00A24D29" w14:paraId="6608EC7C" w14:textId="77777777">
      <w:pPr>
        <w:spacing w:line="360" w:lineRule="auto"/>
        <w:ind w:firstLine="420"/>
        <w:contextualSpacing/>
        <w:rPr>
          <w:rFonts w:ascii="宋体" w:hAnsi="Calibri"/>
          <w:szCs w:val="21"/>
          <w:lang w:eastAsia="zh-CN"/>
        </w:rPr>
      </w:pPr>
      <w:r>
        <w:rPr>
          <w:rFonts w:ascii="宋体" w:hAnsi="Calibri"/>
          <w:color w:val="000000"/>
          <w:szCs w:val="21"/>
          <w:highlight w:val="white"/>
          <w:lang w:eastAsia="zh-CN"/>
        </w:rPr>
        <w:t>1</w:t>
      </w:r>
      <w:r>
        <w:rPr>
          <w:rFonts w:ascii="宋体" w:hAnsi="Calibri" w:cs="宋体"/>
          <w:color w:val="000000"/>
          <w:szCs w:val="21"/>
          <w:highlight w:val="white"/>
          <w:lang w:eastAsia="zh-CN"/>
        </w:rPr>
        <w:t>）本基金赎回所持有的本基金管理人管理的基金（</w:t>
      </w:r>
      <w:r>
        <w:rPr>
          <w:rFonts w:ascii="宋体" w:hAnsi="Calibri"/>
          <w:color w:val="000000"/>
          <w:szCs w:val="21"/>
          <w:highlight w:val="white"/>
          <w:lang w:eastAsia="zh-CN"/>
        </w:rPr>
        <w:t>ETF</w:t>
      </w:r>
      <w:r>
        <w:rPr>
          <w:rFonts w:ascii="宋体" w:hAnsi="Calibri" w:cs="宋体"/>
          <w:color w:val="000000"/>
          <w:szCs w:val="21"/>
          <w:highlight w:val="white"/>
          <w:lang w:eastAsia="zh-CN"/>
        </w:rPr>
        <w:t>除外）不收取赎回费（按照相关法规、所持有基金的招募说明书约定应当收取，并记入基金财产的赎回费用除外）。</w:t>
      </w:r>
    </w:p>
    <w:p w:rsidR="005C6370" w:rsidP="00A24D29" w14:paraId="7F6540E9" w14:textId="77777777">
      <w:pPr>
        <w:spacing w:line="360" w:lineRule="auto"/>
        <w:ind w:firstLine="420"/>
        <w:contextualSpacing/>
        <w:rPr>
          <w:rFonts w:ascii="宋体" w:hAnsi="Calibri"/>
          <w:szCs w:val="21"/>
          <w:lang w:eastAsia="zh-CN"/>
        </w:rPr>
      </w:pPr>
      <w:r>
        <w:rPr>
          <w:rFonts w:ascii="宋体" w:hAnsi="Calibri"/>
          <w:color w:val="000000"/>
          <w:szCs w:val="21"/>
          <w:highlight w:val="white"/>
          <w:lang w:eastAsia="zh-CN"/>
        </w:rPr>
        <w:t>2</w:t>
      </w:r>
      <w:r>
        <w:rPr>
          <w:rFonts w:ascii="宋体" w:hAnsi="Calibri" w:cs="宋体"/>
          <w:color w:val="000000"/>
          <w:szCs w:val="21"/>
          <w:highlight w:val="white"/>
          <w:lang w:eastAsia="zh-CN"/>
        </w:rPr>
        <w:t>）本基金赎回非本基金管理人管理的基金，本基金所需支付的赎回费的计算方法应遵循被投资基金招募说明书的规定。以被赎回基金为前端收费基金为例，赎回费及赎回金额计算方法及举例如下：</w:t>
      </w:r>
    </w:p>
    <w:p w:rsidR="005C6370" w:rsidP="00A24D29" w14:paraId="6A78321D"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赎回费用</w:t>
      </w:r>
      <w:r>
        <w:rPr>
          <w:rFonts w:ascii="宋体" w:hAnsi="Calibri"/>
          <w:color w:val="000000"/>
          <w:szCs w:val="21"/>
          <w:highlight w:val="white"/>
          <w:lang w:eastAsia="zh-CN"/>
        </w:rPr>
        <w:t>=</w:t>
      </w:r>
      <w:r>
        <w:rPr>
          <w:rFonts w:ascii="宋体" w:hAnsi="Calibri" w:cs="宋体"/>
          <w:color w:val="000000"/>
          <w:szCs w:val="21"/>
          <w:highlight w:val="white"/>
          <w:lang w:eastAsia="zh-CN"/>
        </w:rPr>
        <w:t>赎回份额</w:t>
      </w:r>
      <w:r>
        <w:rPr>
          <w:rFonts w:ascii="宋体" w:hAnsi="Calibri"/>
          <w:color w:val="000000"/>
          <w:szCs w:val="21"/>
          <w:highlight w:val="white"/>
          <w:lang w:eastAsia="zh-CN"/>
        </w:rPr>
        <w:t>×</w:t>
      </w:r>
      <w:r>
        <w:rPr>
          <w:rFonts w:ascii="宋体" w:hAnsi="Calibri"/>
          <w:color w:val="000000"/>
          <w:szCs w:val="21"/>
          <w:highlight w:val="white"/>
          <w:lang w:eastAsia="zh-CN"/>
        </w:rPr>
        <w:t>T</w:t>
      </w:r>
      <w:r>
        <w:rPr>
          <w:rFonts w:ascii="宋体" w:hAnsi="Calibri" w:cs="宋体"/>
          <w:color w:val="000000"/>
          <w:szCs w:val="21"/>
          <w:highlight w:val="white"/>
          <w:lang w:eastAsia="zh-CN"/>
        </w:rPr>
        <w:t>日该类份额的基金份额净值</w:t>
      </w:r>
      <w:r>
        <w:rPr>
          <w:rFonts w:ascii="宋体" w:hAnsi="Calibri"/>
          <w:color w:val="000000"/>
          <w:szCs w:val="21"/>
          <w:highlight w:val="white"/>
          <w:lang w:eastAsia="zh-CN"/>
        </w:rPr>
        <w:t>×</w:t>
      </w:r>
      <w:r>
        <w:rPr>
          <w:rFonts w:ascii="宋体" w:hAnsi="Calibri" w:cs="宋体"/>
          <w:color w:val="000000"/>
          <w:szCs w:val="21"/>
          <w:highlight w:val="white"/>
          <w:lang w:eastAsia="zh-CN"/>
        </w:rPr>
        <w:t>该类份额的赎回费率</w:t>
      </w:r>
    </w:p>
    <w:p w:rsidR="005C6370" w:rsidP="00A24D29" w14:paraId="20276BF6"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赎回金额</w:t>
      </w:r>
      <w:r>
        <w:rPr>
          <w:rFonts w:ascii="宋体" w:hAnsi="Calibri"/>
          <w:color w:val="000000"/>
          <w:szCs w:val="21"/>
          <w:highlight w:val="white"/>
          <w:lang w:eastAsia="zh-CN"/>
        </w:rPr>
        <w:t>=</w:t>
      </w:r>
      <w:r>
        <w:rPr>
          <w:rFonts w:ascii="宋体" w:hAnsi="Calibri" w:cs="宋体"/>
          <w:color w:val="000000"/>
          <w:szCs w:val="21"/>
          <w:highlight w:val="white"/>
          <w:lang w:eastAsia="zh-CN"/>
        </w:rPr>
        <w:t>赎回份额</w:t>
      </w:r>
      <w:r>
        <w:rPr>
          <w:rFonts w:ascii="宋体" w:hAnsi="Calibri"/>
          <w:color w:val="000000"/>
          <w:szCs w:val="21"/>
          <w:highlight w:val="white"/>
          <w:lang w:eastAsia="zh-CN"/>
        </w:rPr>
        <w:t>×</w:t>
      </w:r>
      <w:r>
        <w:rPr>
          <w:rFonts w:ascii="宋体" w:hAnsi="Calibri"/>
          <w:color w:val="000000"/>
          <w:szCs w:val="21"/>
          <w:highlight w:val="white"/>
          <w:lang w:eastAsia="zh-CN"/>
        </w:rPr>
        <w:t>T</w:t>
      </w:r>
      <w:r>
        <w:rPr>
          <w:rFonts w:ascii="宋体" w:hAnsi="Calibri" w:cs="宋体"/>
          <w:color w:val="000000"/>
          <w:szCs w:val="21"/>
          <w:highlight w:val="white"/>
          <w:lang w:eastAsia="zh-CN"/>
        </w:rPr>
        <w:t>日该类份额的基金份额净值</w:t>
      </w:r>
      <w:r>
        <w:rPr>
          <w:rFonts w:ascii="宋体" w:hAnsi="Calibri"/>
          <w:color w:val="000000"/>
          <w:szCs w:val="21"/>
          <w:highlight w:val="white"/>
          <w:lang w:eastAsia="zh-CN"/>
        </w:rPr>
        <w:t>-</w:t>
      </w:r>
      <w:r>
        <w:rPr>
          <w:rFonts w:ascii="宋体" w:hAnsi="Calibri" w:cs="宋体"/>
          <w:color w:val="000000"/>
          <w:szCs w:val="21"/>
          <w:highlight w:val="white"/>
          <w:lang w:eastAsia="zh-CN"/>
        </w:rPr>
        <w:t>赎回费用</w:t>
      </w:r>
    </w:p>
    <w:p w:rsidR="005C6370" w:rsidP="00A24D29" w14:paraId="236585A6"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例二：假设本基金拟赎回</w:t>
      </w:r>
      <w:r>
        <w:rPr>
          <w:rFonts w:ascii="宋体" w:hAnsi="Calibri"/>
          <w:color w:val="000000"/>
          <w:szCs w:val="21"/>
          <w:highlight w:val="white"/>
          <w:lang w:eastAsia="zh-CN"/>
        </w:rPr>
        <w:t>10,000.00</w:t>
      </w:r>
      <w:r>
        <w:rPr>
          <w:rFonts w:ascii="宋体" w:hAnsi="Calibri" w:cs="宋体"/>
          <w:color w:val="000000"/>
          <w:szCs w:val="21"/>
          <w:highlight w:val="white"/>
          <w:lang w:eastAsia="zh-CN"/>
        </w:rPr>
        <w:t>份非本基金管理人管理的</w:t>
      </w:r>
      <w:r>
        <w:rPr>
          <w:rFonts w:ascii="宋体" w:hAnsi="Calibri"/>
          <w:color w:val="000000"/>
          <w:szCs w:val="21"/>
          <w:highlight w:val="white"/>
          <w:lang w:eastAsia="zh-CN"/>
        </w:rPr>
        <w:t>F</w:t>
      </w:r>
      <w:r>
        <w:rPr>
          <w:rFonts w:ascii="宋体" w:hAnsi="Calibri" w:cs="宋体"/>
          <w:color w:val="000000"/>
          <w:szCs w:val="21"/>
          <w:highlight w:val="white"/>
          <w:lang w:eastAsia="zh-CN"/>
        </w:rPr>
        <w:t>基金，该基金的赎回费费率结构如下表所示。</w:t>
      </w:r>
    </w:p>
    <w:tbl>
      <w:tblPr>
        <w:tblStyle w:val="TableGrid"/>
        <w:tblW w:w="485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449"/>
        <w:gridCol w:w="2409"/>
      </w:tblGrid>
      <w:tr w14:paraId="555055D3" w14:textId="77777777">
        <w:tblPrEx>
          <w:tblW w:w="4858" w:type="dxa"/>
          <w:jc w:val="center"/>
          <w:tblLayout w:type="fixed"/>
          <w:tblLook w:val="04A0"/>
        </w:tblPrEx>
        <w:trPr>
          <w:trHeight w:val="462"/>
          <w:jc w:val="center"/>
        </w:trPr>
        <w:tc>
          <w:tcPr>
            <w:tcW w:w="244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5C6370" w:rsidP="00A24D29" w14:paraId="08C4FD83" w14:textId="77777777">
            <w:pPr>
              <w:spacing w:line="360" w:lineRule="auto"/>
              <w:contextualSpacing/>
              <w:jc w:val="center"/>
              <w:rPr>
                <w:rFonts w:ascii="宋体" w:hAnsi="Calibri"/>
                <w:szCs w:val="21"/>
              </w:rPr>
            </w:pPr>
            <w:r>
              <w:rPr>
                <w:rFonts w:ascii="宋体" w:hAnsi="Calibri" w:cs="宋体"/>
                <w:color w:val="000000"/>
                <w:szCs w:val="21"/>
                <w:highlight w:val="white"/>
              </w:rPr>
              <w:t>持有时间（天）</w:t>
            </w:r>
          </w:p>
        </w:tc>
        <w:tc>
          <w:tcPr>
            <w:tcW w:w="240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5C6370" w:rsidP="00A24D29" w14:paraId="083E33A7" w14:textId="77777777">
            <w:pPr>
              <w:spacing w:line="360" w:lineRule="auto"/>
              <w:contextualSpacing/>
              <w:jc w:val="center"/>
              <w:rPr>
                <w:rFonts w:ascii="宋体" w:hAnsi="Calibri"/>
                <w:szCs w:val="21"/>
              </w:rPr>
            </w:pPr>
            <w:r>
              <w:rPr>
                <w:rFonts w:ascii="宋体" w:hAnsi="Calibri" w:cs="宋体"/>
                <w:color w:val="000000"/>
                <w:szCs w:val="21"/>
                <w:highlight w:val="white"/>
              </w:rPr>
              <w:t>赎回费率</w:t>
            </w:r>
          </w:p>
        </w:tc>
      </w:tr>
      <w:tr w14:paraId="2F68E14A" w14:textId="77777777">
        <w:tblPrEx>
          <w:tblW w:w="4858" w:type="dxa"/>
          <w:jc w:val="center"/>
          <w:tblLayout w:type="fixed"/>
          <w:tblLook w:val="04A0"/>
        </w:tblPrEx>
        <w:trPr>
          <w:trHeight w:val="462"/>
          <w:jc w:val="center"/>
        </w:trPr>
        <w:tc>
          <w:tcPr>
            <w:tcW w:w="2449"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5C6370" w:rsidP="00A24D29" w14:paraId="05F9566C" w14:textId="77777777">
            <w:pPr>
              <w:spacing w:line="360" w:lineRule="auto"/>
              <w:contextualSpacing/>
              <w:jc w:val="center"/>
              <w:rPr>
                <w:rFonts w:ascii="宋体" w:hAnsi="Calibri"/>
                <w:szCs w:val="21"/>
              </w:rPr>
            </w:pPr>
            <w:r>
              <w:rPr>
                <w:rFonts w:ascii="宋体" w:hAnsi="Calibri"/>
                <w:color w:val="000000"/>
                <w:szCs w:val="21"/>
                <w:highlight w:val="white"/>
              </w:rPr>
              <w:t>0-6</w:t>
            </w:r>
          </w:p>
        </w:tc>
        <w:tc>
          <w:tcPr>
            <w:tcW w:w="240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5C6370" w:rsidP="00A24D29" w14:paraId="49752DBF" w14:textId="77777777">
            <w:pPr>
              <w:spacing w:line="360" w:lineRule="auto"/>
              <w:contextualSpacing/>
              <w:jc w:val="center"/>
              <w:rPr>
                <w:rFonts w:ascii="宋体" w:hAnsi="Calibri"/>
                <w:szCs w:val="21"/>
              </w:rPr>
            </w:pPr>
            <w:r>
              <w:rPr>
                <w:rFonts w:ascii="宋体" w:hAnsi="Calibri"/>
                <w:color w:val="000000"/>
                <w:szCs w:val="21"/>
                <w:highlight w:val="white"/>
              </w:rPr>
              <w:t>1.5%</w:t>
            </w:r>
          </w:p>
        </w:tc>
      </w:tr>
      <w:tr w14:paraId="3C2F9F7D" w14:textId="77777777">
        <w:tblPrEx>
          <w:tblW w:w="4858" w:type="dxa"/>
          <w:jc w:val="center"/>
          <w:tblLayout w:type="fixed"/>
          <w:tblLook w:val="04A0"/>
        </w:tblPrEx>
        <w:trPr>
          <w:trHeight w:val="474"/>
          <w:jc w:val="center"/>
        </w:trPr>
        <w:tc>
          <w:tcPr>
            <w:tcW w:w="2449"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5C6370" w:rsidP="00A24D29" w14:paraId="659792BF" w14:textId="77777777">
            <w:pPr>
              <w:spacing w:line="360" w:lineRule="auto"/>
              <w:contextualSpacing/>
              <w:jc w:val="center"/>
              <w:rPr>
                <w:rFonts w:ascii="宋体" w:hAnsi="Calibri"/>
                <w:szCs w:val="21"/>
              </w:rPr>
            </w:pPr>
            <w:r>
              <w:rPr>
                <w:rFonts w:ascii="宋体" w:hAnsi="Calibri"/>
                <w:color w:val="000000"/>
                <w:szCs w:val="21"/>
                <w:highlight w:val="white"/>
              </w:rPr>
              <w:t>7-29</w:t>
            </w:r>
          </w:p>
        </w:tc>
        <w:tc>
          <w:tcPr>
            <w:tcW w:w="240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5C6370" w:rsidP="00A24D29" w14:paraId="02E59271" w14:textId="77777777">
            <w:pPr>
              <w:spacing w:line="360" w:lineRule="auto"/>
              <w:contextualSpacing/>
              <w:jc w:val="center"/>
              <w:rPr>
                <w:rFonts w:ascii="宋体" w:hAnsi="Calibri"/>
                <w:szCs w:val="21"/>
              </w:rPr>
            </w:pPr>
            <w:r>
              <w:rPr>
                <w:rFonts w:ascii="宋体" w:hAnsi="Calibri"/>
                <w:color w:val="000000"/>
                <w:szCs w:val="21"/>
                <w:highlight w:val="white"/>
              </w:rPr>
              <w:t>1.0%</w:t>
            </w:r>
          </w:p>
        </w:tc>
      </w:tr>
      <w:tr w14:paraId="0EBE0741" w14:textId="77777777">
        <w:tblPrEx>
          <w:tblW w:w="4858" w:type="dxa"/>
          <w:jc w:val="center"/>
          <w:tblLayout w:type="fixed"/>
          <w:tblLook w:val="04A0"/>
        </w:tblPrEx>
        <w:trPr>
          <w:trHeight w:val="462"/>
          <w:jc w:val="center"/>
        </w:trPr>
        <w:tc>
          <w:tcPr>
            <w:tcW w:w="2449"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5C6370" w:rsidP="00A24D29" w14:paraId="0A065F39" w14:textId="77777777">
            <w:pPr>
              <w:spacing w:line="360" w:lineRule="auto"/>
              <w:contextualSpacing/>
              <w:jc w:val="center"/>
              <w:rPr>
                <w:rFonts w:ascii="宋体" w:hAnsi="Calibri"/>
                <w:szCs w:val="21"/>
              </w:rPr>
            </w:pPr>
            <w:r>
              <w:rPr>
                <w:rFonts w:ascii="宋体" w:hAnsi="Calibri"/>
                <w:color w:val="000000"/>
                <w:szCs w:val="21"/>
                <w:highlight w:val="white"/>
              </w:rPr>
              <w:t>30-364</w:t>
            </w:r>
          </w:p>
        </w:tc>
        <w:tc>
          <w:tcPr>
            <w:tcW w:w="240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5C6370" w:rsidP="00A24D29" w14:paraId="317FCBE6" w14:textId="77777777">
            <w:pPr>
              <w:spacing w:line="360" w:lineRule="auto"/>
              <w:contextualSpacing/>
              <w:jc w:val="center"/>
              <w:rPr>
                <w:rFonts w:ascii="宋体" w:hAnsi="Calibri"/>
                <w:szCs w:val="21"/>
              </w:rPr>
            </w:pPr>
            <w:r>
              <w:rPr>
                <w:rFonts w:ascii="宋体" w:hAnsi="Calibri"/>
                <w:color w:val="000000"/>
                <w:szCs w:val="21"/>
                <w:highlight w:val="white"/>
              </w:rPr>
              <w:t>0.5%</w:t>
            </w:r>
          </w:p>
        </w:tc>
      </w:tr>
      <w:tr w14:paraId="49933CD6" w14:textId="77777777">
        <w:tblPrEx>
          <w:tblW w:w="4858" w:type="dxa"/>
          <w:jc w:val="center"/>
          <w:tblLayout w:type="fixed"/>
          <w:tblLook w:val="04A0"/>
        </w:tblPrEx>
        <w:trPr>
          <w:trHeight w:val="474"/>
          <w:jc w:val="center"/>
        </w:trPr>
        <w:tc>
          <w:tcPr>
            <w:tcW w:w="2449"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5C6370" w:rsidP="00A24D29" w14:paraId="2B291425" w14:textId="77777777">
            <w:pPr>
              <w:spacing w:line="360" w:lineRule="auto"/>
              <w:contextualSpacing/>
              <w:jc w:val="center"/>
              <w:rPr>
                <w:rFonts w:ascii="宋体" w:hAnsi="Calibri"/>
                <w:szCs w:val="21"/>
              </w:rPr>
            </w:pPr>
            <w:r>
              <w:rPr>
                <w:rFonts w:ascii="宋体" w:hAnsi="Calibri"/>
                <w:color w:val="000000"/>
                <w:szCs w:val="21"/>
                <w:highlight w:val="white"/>
              </w:rPr>
              <w:t>365-729</w:t>
            </w:r>
          </w:p>
        </w:tc>
        <w:tc>
          <w:tcPr>
            <w:tcW w:w="240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5C6370" w:rsidP="00A24D29" w14:paraId="61F68683" w14:textId="77777777">
            <w:pPr>
              <w:spacing w:line="360" w:lineRule="auto"/>
              <w:contextualSpacing/>
              <w:jc w:val="center"/>
              <w:rPr>
                <w:rFonts w:ascii="宋体" w:hAnsi="Calibri"/>
                <w:szCs w:val="21"/>
              </w:rPr>
            </w:pPr>
            <w:r>
              <w:rPr>
                <w:rFonts w:ascii="宋体" w:hAnsi="Calibri"/>
                <w:color w:val="000000"/>
                <w:szCs w:val="21"/>
                <w:highlight w:val="white"/>
              </w:rPr>
              <w:t>0.25%</w:t>
            </w:r>
          </w:p>
        </w:tc>
      </w:tr>
      <w:tr w14:paraId="624A1F43" w14:textId="77777777">
        <w:tblPrEx>
          <w:tblW w:w="4858" w:type="dxa"/>
          <w:jc w:val="center"/>
          <w:tblLayout w:type="fixed"/>
          <w:tblLook w:val="04A0"/>
        </w:tblPrEx>
        <w:trPr>
          <w:trHeight w:val="474"/>
          <w:jc w:val="center"/>
        </w:trPr>
        <w:tc>
          <w:tcPr>
            <w:tcW w:w="2449"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5C6370" w:rsidP="00A24D29" w14:paraId="3091B123" w14:textId="77777777">
            <w:pPr>
              <w:spacing w:line="360" w:lineRule="auto"/>
              <w:contextualSpacing/>
              <w:jc w:val="center"/>
              <w:rPr>
                <w:rFonts w:ascii="宋体" w:hAnsi="Calibri"/>
                <w:szCs w:val="21"/>
              </w:rPr>
            </w:pPr>
            <w:r>
              <w:rPr>
                <w:rFonts w:ascii="宋体" w:hAnsi="Calibri"/>
                <w:color w:val="000000"/>
                <w:szCs w:val="21"/>
                <w:highlight w:val="white"/>
              </w:rPr>
              <w:t>730</w:t>
            </w:r>
            <w:r>
              <w:rPr>
                <w:rFonts w:ascii="宋体" w:hAnsi="Calibri" w:cs="宋体"/>
                <w:color w:val="000000"/>
                <w:szCs w:val="21"/>
                <w:highlight w:val="white"/>
              </w:rPr>
              <w:t>及以上</w:t>
            </w:r>
          </w:p>
        </w:tc>
        <w:tc>
          <w:tcPr>
            <w:tcW w:w="240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5C6370" w:rsidP="00A24D29" w14:paraId="60456BEC" w14:textId="77777777">
            <w:pPr>
              <w:spacing w:line="360" w:lineRule="auto"/>
              <w:contextualSpacing/>
              <w:jc w:val="center"/>
              <w:rPr>
                <w:rFonts w:ascii="宋体" w:hAnsi="Calibri"/>
                <w:szCs w:val="21"/>
              </w:rPr>
            </w:pPr>
            <w:r>
              <w:rPr>
                <w:rFonts w:ascii="宋体" w:hAnsi="Calibri"/>
                <w:color w:val="000000"/>
                <w:szCs w:val="21"/>
                <w:highlight w:val="white"/>
              </w:rPr>
              <w:t>0%</w:t>
            </w:r>
          </w:p>
        </w:tc>
      </w:tr>
    </w:tbl>
    <w:p w:rsidR="005C6370" w:rsidP="00A24D29" w14:paraId="509E4812"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假设本基金持有F基金100天，赎回当日基金份额净值为1.0160元，则该笔赎回产生的赎回费及净赎回金额计算如下：</w:t>
      </w:r>
    </w:p>
    <w:p w:rsidR="005C6370" w:rsidP="00A24D29" w14:paraId="633FC89B"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赎回费用=10,000</w:t>
      </w:r>
      <w:r>
        <w:rPr>
          <w:rFonts w:ascii="宋体" w:hAnsi="Calibri" w:cs="宋体"/>
          <w:color w:val="000000"/>
          <w:szCs w:val="21"/>
          <w:highlight w:val="white"/>
          <w:lang w:eastAsia="zh-CN"/>
        </w:rPr>
        <w:t>×</w:t>
      </w:r>
      <w:r>
        <w:rPr>
          <w:rFonts w:ascii="宋体" w:hAnsi="Calibri" w:cs="宋体"/>
          <w:color w:val="000000"/>
          <w:szCs w:val="21"/>
          <w:highlight w:val="white"/>
          <w:lang w:eastAsia="zh-CN"/>
        </w:rPr>
        <w:t>1.0160</w:t>
      </w:r>
      <w:r>
        <w:rPr>
          <w:rFonts w:ascii="宋体" w:hAnsi="Calibri" w:cs="宋体"/>
          <w:color w:val="000000"/>
          <w:szCs w:val="21"/>
          <w:highlight w:val="white"/>
          <w:lang w:eastAsia="zh-CN"/>
        </w:rPr>
        <w:t>×</w:t>
      </w:r>
      <w:r>
        <w:rPr>
          <w:rFonts w:ascii="宋体" w:hAnsi="Calibri" w:cs="宋体"/>
          <w:color w:val="000000"/>
          <w:szCs w:val="21"/>
          <w:highlight w:val="white"/>
          <w:lang w:eastAsia="zh-CN"/>
        </w:rPr>
        <w:t>0.5%＝50.80元</w:t>
      </w:r>
    </w:p>
    <w:p w:rsidR="005C6370" w:rsidP="00A24D29" w14:paraId="20FFDBFF"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赎回金额=10,000</w:t>
      </w:r>
      <w:r>
        <w:rPr>
          <w:rFonts w:ascii="宋体" w:hAnsi="Calibri" w:cs="宋体"/>
          <w:color w:val="000000"/>
          <w:szCs w:val="21"/>
          <w:highlight w:val="white"/>
          <w:lang w:eastAsia="zh-CN"/>
        </w:rPr>
        <w:t>×</w:t>
      </w:r>
      <w:r>
        <w:rPr>
          <w:rFonts w:ascii="宋体" w:hAnsi="Calibri" w:cs="宋体"/>
          <w:color w:val="000000"/>
          <w:szCs w:val="21"/>
          <w:highlight w:val="white"/>
          <w:lang w:eastAsia="zh-CN"/>
        </w:rPr>
        <w:t>1.0160-50.80＝10,109.20元</w:t>
      </w:r>
    </w:p>
    <w:p w:rsidR="005C6370" w:rsidP="00A24D29" w14:paraId="12A77884"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（3）本基金持有其他基金产生的销售服务费</w:t>
      </w:r>
    </w:p>
    <w:p w:rsidR="005C6370" w:rsidP="00A24D29" w14:paraId="3DC7203E"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1）本基金持有本基金管理人管理的基金（ETF除外），所持有的基金份额不得收取销售服务费。</w:t>
      </w:r>
    </w:p>
    <w:p w:rsidR="005C6370" w:rsidP="00A24D29" w14:paraId="1B2CBE85"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2）本基金持有非本基金管理人管理的基金产生的销售服务费按照被投资基金基金合同约定作为费用计入被投资基金的基金份额净值，本基金</w:t>
      </w:r>
      <w:r>
        <w:rPr>
          <w:rFonts w:ascii="宋体" w:hAnsi="Calibri" w:cs="宋体" w:hint="eastAsia"/>
          <w:color w:val="000000"/>
          <w:szCs w:val="21"/>
          <w:highlight w:val="white"/>
          <w:lang w:eastAsia="zh-CN"/>
        </w:rPr>
        <w:t>按规定</w:t>
      </w:r>
      <w:r>
        <w:rPr>
          <w:rFonts w:ascii="宋体" w:hAnsi="Calibri" w:cs="宋体"/>
          <w:color w:val="000000"/>
          <w:szCs w:val="21"/>
          <w:highlight w:val="white"/>
          <w:lang w:eastAsia="zh-CN"/>
        </w:rPr>
        <w:t>所需承担的销售服务费的计算方法如下：</w:t>
      </w:r>
    </w:p>
    <w:p w:rsidR="005C6370" w:rsidP="00A24D29" w14:paraId="1E95BF8C"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持有被投资基金当日产生的销售服务费</w:t>
      </w:r>
      <w:r>
        <w:rPr>
          <w:rFonts w:ascii="宋体" w:hAnsi="Calibri" w:cs="宋体" w:hint="eastAsia"/>
          <w:color w:val="000000"/>
          <w:szCs w:val="21"/>
          <w:highlight w:val="white"/>
          <w:lang w:eastAsia="zh-CN"/>
        </w:rPr>
        <w:t>（如有）</w:t>
      </w:r>
      <w:r>
        <w:rPr>
          <w:rFonts w:ascii="宋体" w:hAnsi="Calibri" w:cs="宋体"/>
          <w:color w:val="000000"/>
          <w:szCs w:val="21"/>
          <w:highlight w:val="white"/>
          <w:lang w:eastAsia="zh-CN"/>
        </w:rPr>
        <w:t>=持有被投资基金的基金份额总数</w:t>
      </w:r>
      <w:r>
        <w:rPr>
          <w:rFonts w:ascii="宋体" w:hAnsi="Calibri" w:cs="宋体"/>
          <w:color w:val="000000"/>
          <w:szCs w:val="21"/>
          <w:highlight w:val="white"/>
          <w:lang w:eastAsia="zh-CN"/>
        </w:rPr>
        <w:t>×</w:t>
      </w:r>
      <w:r>
        <w:rPr>
          <w:rFonts w:ascii="宋体" w:hAnsi="Calibri" w:cs="宋体"/>
          <w:color w:val="000000"/>
          <w:szCs w:val="21"/>
          <w:highlight w:val="white"/>
          <w:lang w:eastAsia="zh-CN"/>
        </w:rPr>
        <w:t>被投资基金前一日的基金份额净值</w:t>
      </w:r>
      <w:r>
        <w:rPr>
          <w:rFonts w:ascii="宋体" w:hAnsi="Calibri" w:cs="宋体"/>
          <w:color w:val="000000"/>
          <w:szCs w:val="21"/>
          <w:highlight w:val="white"/>
          <w:lang w:eastAsia="zh-CN"/>
        </w:rPr>
        <w:t>×</w:t>
      </w:r>
      <w:r>
        <w:rPr>
          <w:rFonts w:ascii="宋体" w:hAnsi="Calibri" w:cs="宋体"/>
          <w:color w:val="000000"/>
          <w:szCs w:val="21"/>
          <w:highlight w:val="white"/>
          <w:lang w:eastAsia="zh-CN"/>
        </w:rPr>
        <w:t>被投资基金年销售服务费率</w:t>
      </w:r>
      <w:r>
        <w:rPr>
          <w:rFonts w:ascii="宋体" w:hAnsi="Calibri" w:cs="宋体"/>
          <w:color w:val="000000"/>
          <w:szCs w:val="21"/>
          <w:highlight w:val="white"/>
          <w:lang w:eastAsia="zh-CN"/>
        </w:rPr>
        <w:t>÷</w:t>
      </w:r>
      <w:r>
        <w:rPr>
          <w:rFonts w:ascii="宋体" w:hAnsi="Calibri" w:cs="宋体"/>
          <w:color w:val="000000"/>
          <w:szCs w:val="21"/>
          <w:highlight w:val="white"/>
          <w:lang w:eastAsia="zh-CN"/>
        </w:rPr>
        <w:t>当年天数</w:t>
      </w:r>
    </w:p>
    <w:p w:rsidR="005C6370" w:rsidP="00A24D29" w14:paraId="71E21F6B"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例三：假设本基金通过</w:t>
      </w:r>
      <w:r w:rsidR="00F42967">
        <w:rPr>
          <w:rFonts w:ascii="宋体" w:hAnsi="Calibri" w:cs="宋体" w:hint="eastAsia"/>
          <w:color w:val="000000"/>
          <w:szCs w:val="21"/>
          <w:highlight w:val="white"/>
          <w:lang w:eastAsia="zh-CN"/>
        </w:rPr>
        <w:t>除</w:t>
      </w:r>
      <w:r>
        <w:rPr>
          <w:rFonts w:ascii="宋体" w:hAnsi="Calibri" w:cs="宋体"/>
          <w:color w:val="000000"/>
          <w:szCs w:val="21"/>
          <w:highlight w:val="white"/>
          <w:lang w:eastAsia="zh-CN"/>
        </w:rPr>
        <w:t>F基金管理人及其基金销售子公司以外的销售机构持有10,000,000.00份非本基金管理人管理的F基金，该基金的年销售服务费率为0.4%，持续持有期限不超过365天,前一日F基金的基金份额净值为1.0400元，当年天数为365天，则T日本基金持有F基金产生的销售服务费计算如下：</w:t>
      </w:r>
    </w:p>
    <w:p w:rsidR="005C6370" w:rsidP="00A24D29" w14:paraId="0ADC499B" w14:textId="77777777">
      <w:pPr>
        <w:spacing w:line="360" w:lineRule="auto"/>
        <w:ind w:firstLine="420"/>
        <w:contextualSpacing/>
        <w:rPr>
          <w:rFonts w:ascii="宋体" w:hAnsi="Calibri"/>
          <w:szCs w:val="21"/>
          <w:lang w:eastAsia="zh-CN"/>
        </w:rPr>
      </w:pPr>
      <w:r>
        <w:rPr>
          <w:rFonts w:ascii="宋体" w:hAnsi="Calibri"/>
          <w:color w:val="000000"/>
          <w:szCs w:val="21"/>
          <w:highlight w:val="white"/>
          <w:lang w:eastAsia="zh-CN"/>
        </w:rPr>
        <w:t>T</w:t>
      </w:r>
      <w:r>
        <w:rPr>
          <w:rFonts w:ascii="宋体" w:hAnsi="Calibri" w:cs="宋体"/>
          <w:color w:val="000000"/>
          <w:szCs w:val="21"/>
          <w:highlight w:val="white"/>
          <w:lang w:eastAsia="zh-CN"/>
        </w:rPr>
        <w:t>日持有</w:t>
      </w:r>
      <w:r>
        <w:rPr>
          <w:rFonts w:ascii="宋体" w:hAnsi="Calibri"/>
          <w:color w:val="000000"/>
          <w:szCs w:val="21"/>
          <w:highlight w:val="white"/>
          <w:lang w:eastAsia="zh-CN"/>
        </w:rPr>
        <w:t>F</w:t>
      </w:r>
      <w:r>
        <w:rPr>
          <w:rFonts w:ascii="宋体" w:hAnsi="Calibri" w:cs="宋体"/>
          <w:color w:val="000000"/>
          <w:szCs w:val="21"/>
          <w:highlight w:val="white"/>
          <w:lang w:eastAsia="zh-CN"/>
        </w:rPr>
        <w:t>基金产生的销售服务费</w:t>
      </w:r>
      <w:r>
        <w:rPr>
          <w:rFonts w:ascii="宋体" w:hAnsi="Calibri"/>
          <w:color w:val="000000"/>
          <w:szCs w:val="21"/>
          <w:highlight w:val="white"/>
          <w:lang w:eastAsia="zh-CN"/>
        </w:rPr>
        <w:t>=10,000,000.00</w:t>
      </w:r>
      <w:r>
        <w:rPr>
          <w:rFonts w:ascii="宋体" w:hAnsi="Calibri"/>
          <w:color w:val="000000"/>
          <w:szCs w:val="21"/>
          <w:highlight w:val="white"/>
          <w:lang w:eastAsia="zh-CN"/>
        </w:rPr>
        <w:t>×</w:t>
      </w:r>
      <w:r>
        <w:rPr>
          <w:rFonts w:ascii="宋体" w:hAnsi="Calibri"/>
          <w:color w:val="000000"/>
          <w:szCs w:val="21"/>
          <w:highlight w:val="white"/>
          <w:lang w:eastAsia="zh-CN"/>
        </w:rPr>
        <w:t>1.0400</w:t>
      </w:r>
      <w:r>
        <w:rPr>
          <w:rFonts w:ascii="宋体" w:hAnsi="Calibri"/>
          <w:color w:val="000000"/>
          <w:szCs w:val="21"/>
          <w:highlight w:val="white"/>
          <w:lang w:eastAsia="zh-CN"/>
        </w:rPr>
        <w:t>×</w:t>
      </w:r>
      <w:r>
        <w:rPr>
          <w:rFonts w:ascii="宋体" w:hAnsi="Calibri"/>
          <w:color w:val="000000"/>
          <w:szCs w:val="21"/>
          <w:highlight w:val="white"/>
          <w:lang w:eastAsia="zh-CN"/>
        </w:rPr>
        <w:t>0.4%</w:t>
      </w:r>
      <w:r>
        <w:rPr>
          <w:rFonts w:ascii="宋体" w:hAnsi="Calibri" w:cs="宋体"/>
          <w:color w:val="000000"/>
          <w:szCs w:val="21"/>
          <w:highlight w:val="white"/>
          <w:lang w:eastAsia="zh-CN"/>
        </w:rPr>
        <w:t>÷</w:t>
      </w:r>
      <w:r>
        <w:rPr>
          <w:rFonts w:ascii="宋体" w:hAnsi="Calibri"/>
          <w:color w:val="000000"/>
          <w:szCs w:val="21"/>
          <w:highlight w:val="white"/>
          <w:lang w:eastAsia="zh-CN"/>
        </w:rPr>
        <w:t>365=113.97</w:t>
      </w:r>
      <w:r>
        <w:rPr>
          <w:rFonts w:ascii="宋体" w:hAnsi="Calibri" w:cs="宋体"/>
          <w:color w:val="000000"/>
          <w:szCs w:val="21"/>
          <w:highlight w:val="white"/>
          <w:lang w:eastAsia="zh-CN"/>
        </w:rPr>
        <w:t>元</w:t>
      </w:r>
    </w:p>
    <w:p w:rsidR="005C6370" w:rsidP="00A24D29" w14:paraId="40006AFE"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（4）本基金持有其他基金产生的管理费</w:t>
      </w:r>
    </w:p>
    <w:p w:rsidR="005C6370" w:rsidP="00A24D29" w14:paraId="6B156824"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1）本基金持有其他基金产生的管理费（包括本基金管理人管理以及非本基金管理人管理的其他基金的管理费）按照被投资基金基金合同约定从被投资基金基金资产中提取，作为费用计入被投资基金的基金份额净值。计算方法及举例如下：</w:t>
      </w:r>
    </w:p>
    <w:p w:rsidR="005C6370" w:rsidP="00A24D29" w14:paraId="2F490D10"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持有被投资基金当日产生的管理费=持有被投资基金的基金份额总数</w:t>
      </w:r>
      <w:r>
        <w:rPr>
          <w:rFonts w:ascii="宋体" w:hAnsi="Calibri" w:cs="宋体"/>
          <w:color w:val="000000"/>
          <w:szCs w:val="21"/>
          <w:highlight w:val="white"/>
          <w:lang w:eastAsia="zh-CN"/>
        </w:rPr>
        <w:t>×</w:t>
      </w:r>
      <w:r>
        <w:rPr>
          <w:rFonts w:ascii="宋体" w:hAnsi="Calibri" w:cs="宋体"/>
          <w:color w:val="000000"/>
          <w:szCs w:val="21"/>
          <w:highlight w:val="white"/>
          <w:lang w:eastAsia="zh-CN"/>
        </w:rPr>
        <w:t>被投资基金前一日的基金份额净值</w:t>
      </w:r>
      <w:r>
        <w:rPr>
          <w:rFonts w:ascii="宋体" w:hAnsi="Calibri" w:cs="宋体"/>
          <w:color w:val="000000"/>
          <w:szCs w:val="21"/>
          <w:highlight w:val="white"/>
          <w:lang w:eastAsia="zh-CN"/>
        </w:rPr>
        <w:t>×</w:t>
      </w:r>
      <w:r>
        <w:rPr>
          <w:rFonts w:ascii="宋体" w:hAnsi="Calibri" w:cs="宋体"/>
          <w:color w:val="000000"/>
          <w:szCs w:val="21"/>
          <w:highlight w:val="white"/>
          <w:lang w:eastAsia="zh-CN"/>
        </w:rPr>
        <w:t>被投资基金年管理费率</w:t>
      </w:r>
      <w:r>
        <w:rPr>
          <w:rFonts w:ascii="宋体" w:hAnsi="Calibri" w:cs="宋体"/>
          <w:color w:val="000000"/>
          <w:szCs w:val="21"/>
          <w:highlight w:val="white"/>
          <w:lang w:eastAsia="zh-CN"/>
        </w:rPr>
        <w:t>÷</w:t>
      </w:r>
      <w:r>
        <w:rPr>
          <w:rFonts w:ascii="宋体" w:hAnsi="Calibri" w:cs="宋体"/>
          <w:color w:val="000000"/>
          <w:szCs w:val="21"/>
          <w:highlight w:val="white"/>
          <w:lang w:eastAsia="zh-CN"/>
        </w:rPr>
        <w:t>当年天数</w:t>
      </w:r>
    </w:p>
    <w:p w:rsidR="005C6370" w:rsidP="00A24D29" w14:paraId="2086EC84"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例四：假设本基金持有</w:t>
      </w:r>
      <w:r>
        <w:rPr>
          <w:rFonts w:ascii="宋体" w:hAnsi="Calibri"/>
          <w:color w:val="000000"/>
          <w:szCs w:val="21"/>
          <w:highlight w:val="white"/>
          <w:lang w:eastAsia="zh-CN"/>
        </w:rPr>
        <w:t>10,000,000.00</w:t>
      </w:r>
      <w:r>
        <w:rPr>
          <w:rFonts w:ascii="宋体" w:hAnsi="Calibri" w:cs="宋体"/>
          <w:color w:val="000000"/>
          <w:szCs w:val="21"/>
          <w:highlight w:val="white"/>
          <w:lang w:eastAsia="zh-CN"/>
        </w:rPr>
        <w:t>份本基金管理人管理的</w:t>
      </w:r>
      <w:r>
        <w:rPr>
          <w:rFonts w:ascii="宋体" w:hAnsi="Calibri"/>
          <w:color w:val="000000"/>
          <w:szCs w:val="21"/>
          <w:highlight w:val="white"/>
          <w:lang w:eastAsia="zh-CN"/>
        </w:rPr>
        <w:t>E</w:t>
      </w:r>
      <w:r>
        <w:rPr>
          <w:rFonts w:ascii="宋体" w:hAnsi="Calibri" w:cs="宋体"/>
          <w:color w:val="000000"/>
          <w:szCs w:val="21"/>
          <w:highlight w:val="white"/>
          <w:lang w:eastAsia="zh-CN"/>
        </w:rPr>
        <w:t>基金，该基金的年管理费率为</w:t>
      </w:r>
      <w:r>
        <w:rPr>
          <w:rFonts w:ascii="宋体" w:hAnsi="Calibri"/>
          <w:color w:val="000000"/>
          <w:szCs w:val="21"/>
          <w:highlight w:val="white"/>
          <w:lang w:eastAsia="zh-CN"/>
        </w:rPr>
        <w:t>0.8%</w:t>
      </w:r>
      <w:r>
        <w:rPr>
          <w:rFonts w:ascii="宋体" w:hAnsi="Calibri" w:cs="宋体"/>
          <w:color w:val="000000"/>
          <w:szCs w:val="21"/>
          <w:highlight w:val="white"/>
          <w:lang w:eastAsia="zh-CN"/>
        </w:rPr>
        <w:t>，前一日</w:t>
      </w:r>
      <w:r>
        <w:rPr>
          <w:rFonts w:ascii="宋体" w:hAnsi="Calibri"/>
          <w:color w:val="000000"/>
          <w:szCs w:val="21"/>
          <w:highlight w:val="white"/>
          <w:lang w:eastAsia="zh-CN"/>
        </w:rPr>
        <w:t>E</w:t>
      </w:r>
      <w:r>
        <w:rPr>
          <w:rFonts w:ascii="宋体" w:hAnsi="Calibri" w:cs="宋体"/>
          <w:color w:val="000000"/>
          <w:szCs w:val="21"/>
          <w:highlight w:val="white"/>
          <w:lang w:eastAsia="zh-CN"/>
        </w:rPr>
        <w:t>基金的基金份额净值为</w:t>
      </w:r>
      <w:r>
        <w:rPr>
          <w:rFonts w:ascii="宋体" w:hAnsi="Calibri"/>
          <w:color w:val="000000"/>
          <w:szCs w:val="21"/>
          <w:highlight w:val="white"/>
          <w:lang w:eastAsia="zh-CN"/>
        </w:rPr>
        <w:t>1.0400</w:t>
      </w:r>
      <w:r>
        <w:rPr>
          <w:rFonts w:ascii="宋体" w:hAnsi="Calibri" w:cs="宋体"/>
          <w:color w:val="000000"/>
          <w:szCs w:val="21"/>
          <w:highlight w:val="white"/>
          <w:lang w:eastAsia="zh-CN"/>
        </w:rPr>
        <w:t>元，当年天数为</w:t>
      </w:r>
      <w:r>
        <w:rPr>
          <w:rFonts w:ascii="宋体" w:hAnsi="Calibri"/>
          <w:color w:val="000000"/>
          <w:szCs w:val="21"/>
          <w:highlight w:val="white"/>
          <w:lang w:eastAsia="zh-CN"/>
        </w:rPr>
        <w:t>365</w:t>
      </w:r>
      <w:r>
        <w:rPr>
          <w:rFonts w:ascii="宋体" w:hAnsi="Calibri" w:cs="宋体"/>
          <w:color w:val="000000"/>
          <w:szCs w:val="21"/>
          <w:highlight w:val="white"/>
          <w:lang w:eastAsia="zh-CN"/>
        </w:rPr>
        <w:t>天，则</w:t>
      </w:r>
      <w:r>
        <w:rPr>
          <w:rFonts w:ascii="宋体" w:hAnsi="Calibri"/>
          <w:color w:val="000000"/>
          <w:szCs w:val="21"/>
          <w:highlight w:val="white"/>
          <w:lang w:eastAsia="zh-CN"/>
        </w:rPr>
        <w:t>T</w:t>
      </w:r>
      <w:r>
        <w:rPr>
          <w:rFonts w:ascii="宋体" w:hAnsi="Calibri" w:cs="宋体"/>
          <w:color w:val="000000"/>
          <w:szCs w:val="21"/>
          <w:highlight w:val="white"/>
          <w:lang w:eastAsia="zh-CN"/>
        </w:rPr>
        <w:t>日本基金持有</w:t>
      </w:r>
      <w:r>
        <w:rPr>
          <w:rFonts w:ascii="宋体" w:hAnsi="Calibri"/>
          <w:color w:val="000000"/>
          <w:szCs w:val="21"/>
          <w:highlight w:val="white"/>
          <w:lang w:eastAsia="zh-CN"/>
        </w:rPr>
        <w:t>E</w:t>
      </w:r>
      <w:r>
        <w:rPr>
          <w:rFonts w:ascii="宋体" w:hAnsi="Calibri" w:cs="宋体"/>
          <w:color w:val="000000"/>
          <w:szCs w:val="21"/>
          <w:highlight w:val="white"/>
          <w:lang w:eastAsia="zh-CN"/>
        </w:rPr>
        <w:t>基金产生的管理费计算如下：</w:t>
      </w:r>
    </w:p>
    <w:p w:rsidR="005C6370" w:rsidP="00A24D29" w14:paraId="732C454A" w14:textId="77777777">
      <w:pPr>
        <w:spacing w:line="360" w:lineRule="auto"/>
        <w:ind w:firstLine="420"/>
        <w:contextualSpacing/>
        <w:rPr>
          <w:rFonts w:ascii="宋体" w:hAnsi="Calibri"/>
          <w:szCs w:val="21"/>
          <w:lang w:eastAsia="zh-CN"/>
        </w:rPr>
      </w:pPr>
      <w:r>
        <w:rPr>
          <w:rFonts w:ascii="宋体" w:hAnsi="Calibri"/>
          <w:color w:val="000000"/>
          <w:szCs w:val="21"/>
          <w:highlight w:val="white"/>
          <w:lang w:eastAsia="zh-CN"/>
        </w:rPr>
        <w:t>T</w:t>
      </w:r>
      <w:r>
        <w:rPr>
          <w:rFonts w:ascii="宋体" w:hAnsi="Calibri" w:cs="宋体"/>
          <w:color w:val="000000"/>
          <w:szCs w:val="21"/>
          <w:highlight w:val="white"/>
          <w:lang w:eastAsia="zh-CN"/>
        </w:rPr>
        <w:t>日持有</w:t>
      </w:r>
      <w:r>
        <w:rPr>
          <w:rFonts w:ascii="宋体" w:hAnsi="Calibri"/>
          <w:color w:val="000000"/>
          <w:szCs w:val="21"/>
          <w:highlight w:val="white"/>
          <w:lang w:eastAsia="zh-CN"/>
        </w:rPr>
        <w:t>E</w:t>
      </w:r>
      <w:r>
        <w:rPr>
          <w:rFonts w:ascii="宋体" w:hAnsi="Calibri" w:cs="宋体"/>
          <w:color w:val="000000"/>
          <w:szCs w:val="21"/>
          <w:highlight w:val="white"/>
          <w:lang w:eastAsia="zh-CN"/>
        </w:rPr>
        <w:t>基金产生的管理费</w:t>
      </w:r>
      <w:r>
        <w:rPr>
          <w:rFonts w:ascii="宋体" w:hAnsi="Calibri"/>
          <w:color w:val="000000"/>
          <w:szCs w:val="21"/>
          <w:highlight w:val="white"/>
          <w:lang w:eastAsia="zh-CN"/>
        </w:rPr>
        <w:t>=10,000,000.00</w:t>
      </w:r>
      <w:r>
        <w:rPr>
          <w:rFonts w:ascii="宋体" w:hAnsi="Calibri"/>
          <w:color w:val="000000"/>
          <w:szCs w:val="21"/>
          <w:highlight w:val="white"/>
          <w:lang w:eastAsia="zh-CN"/>
        </w:rPr>
        <w:t>×</w:t>
      </w:r>
      <w:r>
        <w:rPr>
          <w:rFonts w:ascii="宋体" w:hAnsi="Calibri"/>
          <w:color w:val="000000"/>
          <w:szCs w:val="21"/>
          <w:highlight w:val="white"/>
          <w:lang w:eastAsia="zh-CN"/>
        </w:rPr>
        <w:t>1.0400</w:t>
      </w:r>
      <w:r>
        <w:rPr>
          <w:rFonts w:ascii="宋体" w:hAnsi="Calibri"/>
          <w:color w:val="000000"/>
          <w:szCs w:val="21"/>
          <w:highlight w:val="white"/>
          <w:lang w:eastAsia="zh-CN"/>
        </w:rPr>
        <w:t>×</w:t>
      </w:r>
      <w:r>
        <w:rPr>
          <w:rFonts w:ascii="宋体" w:hAnsi="Calibri"/>
          <w:color w:val="000000"/>
          <w:szCs w:val="21"/>
          <w:highlight w:val="white"/>
          <w:lang w:eastAsia="zh-CN"/>
        </w:rPr>
        <w:t>0.8%</w:t>
      </w:r>
      <w:r>
        <w:rPr>
          <w:rFonts w:ascii="宋体" w:hAnsi="Calibri" w:cs="宋体"/>
          <w:color w:val="000000"/>
          <w:szCs w:val="21"/>
          <w:highlight w:val="white"/>
          <w:lang w:eastAsia="zh-CN"/>
        </w:rPr>
        <w:t>÷</w:t>
      </w:r>
      <w:r>
        <w:rPr>
          <w:rFonts w:ascii="宋体" w:hAnsi="Calibri"/>
          <w:color w:val="000000"/>
          <w:szCs w:val="21"/>
          <w:highlight w:val="white"/>
          <w:lang w:eastAsia="zh-CN"/>
        </w:rPr>
        <w:t>365=227.95</w:t>
      </w:r>
      <w:r>
        <w:rPr>
          <w:rFonts w:ascii="宋体" w:hAnsi="Calibri" w:cs="宋体"/>
          <w:color w:val="000000"/>
          <w:szCs w:val="21"/>
          <w:highlight w:val="white"/>
          <w:lang w:eastAsia="zh-CN"/>
        </w:rPr>
        <w:t>元</w:t>
      </w:r>
    </w:p>
    <w:p w:rsidR="005C6370" w:rsidP="00A24D29" w14:paraId="046B10B6" w14:textId="77777777">
      <w:pPr>
        <w:spacing w:line="360" w:lineRule="auto"/>
        <w:ind w:firstLine="420"/>
        <w:contextualSpacing/>
        <w:rPr>
          <w:rFonts w:ascii="宋体" w:hAnsi="Calibri"/>
          <w:szCs w:val="21"/>
          <w:lang w:eastAsia="zh-CN"/>
        </w:rPr>
      </w:pPr>
      <w:r>
        <w:rPr>
          <w:rFonts w:ascii="宋体" w:hAnsi="Calibri"/>
          <w:color w:val="000000"/>
          <w:szCs w:val="21"/>
          <w:highlight w:val="white"/>
          <w:lang w:eastAsia="zh-CN"/>
        </w:rPr>
        <w:t>2</w:t>
      </w:r>
      <w:r>
        <w:rPr>
          <w:rFonts w:ascii="宋体" w:hAnsi="Calibri" w:cs="宋体"/>
          <w:color w:val="000000"/>
          <w:szCs w:val="21"/>
          <w:highlight w:val="white"/>
          <w:lang w:eastAsia="zh-CN"/>
        </w:rPr>
        <w:t>）本基金投资于本基金管理人所管理的基金部分不收取基金中基金的管理费，本基金管理费按前一日基金资产净值扣除前一日所持有本基金管理人管理的其他基金公允价值后的余额（若为负数，则取</w:t>
      </w:r>
      <w:r>
        <w:rPr>
          <w:rFonts w:ascii="宋体" w:hAnsi="Calibri"/>
          <w:color w:val="000000"/>
          <w:szCs w:val="21"/>
          <w:highlight w:val="white"/>
          <w:lang w:eastAsia="zh-CN"/>
        </w:rPr>
        <w:t>0</w:t>
      </w:r>
      <w:r>
        <w:rPr>
          <w:rFonts w:ascii="宋体" w:hAnsi="Calibri" w:cs="宋体"/>
          <w:color w:val="000000"/>
          <w:szCs w:val="21"/>
          <w:highlight w:val="white"/>
          <w:lang w:eastAsia="zh-CN"/>
        </w:rPr>
        <w:t>）的</w:t>
      </w:r>
      <w:r>
        <w:rPr>
          <w:rFonts w:ascii="宋体" w:hAnsi="Calibri" w:hint="eastAsia"/>
          <w:color w:val="000000"/>
          <w:szCs w:val="21"/>
          <w:lang w:eastAsia="zh-CN"/>
        </w:rPr>
        <w:t>0.60%</w:t>
      </w:r>
      <w:r>
        <w:rPr>
          <w:rFonts w:ascii="宋体" w:hAnsi="Calibri" w:cs="宋体"/>
          <w:color w:val="000000"/>
          <w:szCs w:val="21"/>
          <w:highlight w:val="white"/>
          <w:lang w:eastAsia="zh-CN"/>
        </w:rPr>
        <w:t>年费率计提，计算方法和举例如下：</w:t>
      </w:r>
    </w:p>
    <w:p w:rsidR="005C6370" w:rsidP="00A24D29" w14:paraId="1A6CCE17"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本基金每日应收取的管理费</w:t>
      </w:r>
      <w:r>
        <w:rPr>
          <w:rFonts w:ascii="宋体" w:hAnsi="Calibri"/>
          <w:color w:val="000000"/>
          <w:szCs w:val="21"/>
          <w:highlight w:val="white"/>
          <w:lang w:eastAsia="zh-CN"/>
        </w:rPr>
        <w:t>=</w:t>
      </w:r>
      <w:r>
        <w:rPr>
          <w:rFonts w:ascii="宋体" w:hAnsi="Calibri" w:cs="宋体"/>
          <w:color w:val="000000"/>
          <w:szCs w:val="21"/>
          <w:highlight w:val="white"/>
          <w:lang w:eastAsia="zh-CN"/>
        </w:rPr>
        <w:t>前一日基金资产净值扣除前一日所持有本基金管理人管理的其他基金公允价值后的余额（若为负数，则取</w:t>
      </w:r>
      <w:r>
        <w:rPr>
          <w:rFonts w:ascii="宋体" w:hAnsi="Calibri"/>
          <w:color w:val="000000"/>
          <w:szCs w:val="21"/>
          <w:highlight w:val="white"/>
          <w:lang w:eastAsia="zh-CN"/>
        </w:rPr>
        <w:t>0</w:t>
      </w:r>
      <w:r>
        <w:rPr>
          <w:rFonts w:ascii="宋体" w:hAnsi="Calibri" w:cs="宋体"/>
          <w:color w:val="000000"/>
          <w:szCs w:val="21"/>
          <w:highlight w:val="white"/>
          <w:lang w:eastAsia="zh-CN"/>
        </w:rPr>
        <w:t>）</w:t>
      </w:r>
      <w:r>
        <w:rPr>
          <w:rFonts w:ascii="宋体" w:hAnsi="Calibri"/>
          <w:color w:val="000000"/>
          <w:szCs w:val="21"/>
          <w:highlight w:val="white"/>
          <w:lang w:eastAsia="zh-CN"/>
        </w:rPr>
        <w:t>×</w:t>
      </w:r>
      <w:r>
        <w:rPr>
          <w:rFonts w:ascii="宋体" w:hAnsi="Calibri" w:cs="宋体"/>
          <w:color w:val="000000"/>
          <w:szCs w:val="21"/>
          <w:highlight w:val="white"/>
          <w:lang w:eastAsia="zh-CN"/>
        </w:rPr>
        <w:t>本基金年管理费率</w:t>
      </w:r>
      <w:r>
        <w:rPr>
          <w:rFonts w:ascii="宋体" w:hAnsi="Calibri" w:cs="宋体"/>
          <w:color w:val="000000"/>
          <w:szCs w:val="21"/>
          <w:highlight w:val="white"/>
          <w:lang w:eastAsia="zh-CN"/>
        </w:rPr>
        <w:t>÷</w:t>
      </w:r>
      <w:r>
        <w:rPr>
          <w:rFonts w:ascii="宋体" w:hAnsi="Calibri" w:cs="宋体"/>
          <w:color w:val="000000"/>
          <w:szCs w:val="21"/>
          <w:highlight w:val="white"/>
          <w:lang w:eastAsia="zh-CN"/>
        </w:rPr>
        <w:t>当年天数</w:t>
      </w:r>
    </w:p>
    <w:p w:rsidR="005C6370" w:rsidP="00A24D29" w14:paraId="5B2B1621"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例五：假设本基金前一日基金资产净值为</w:t>
      </w:r>
      <w:r>
        <w:rPr>
          <w:rFonts w:ascii="宋体" w:hAnsi="Calibri"/>
          <w:color w:val="000000"/>
          <w:szCs w:val="21"/>
          <w:highlight w:val="white"/>
          <w:lang w:eastAsia="zh-CN"/>
        </w:rPr>
        <w:t>1,000,000,000.00</w:t>
      </w:r>
      <w:r>
        <w:rPr>
          <w:rFonts w:ascii="宋体" w:hAnsi="Calibri" w:cs="宋体"/>
          <w:color w:val="000000"/>
          <w:szCs w:val="21"/>
          <w:highlight w:val="white"/>
          <w:lang w:eastAsia="zh-CN"/>
        </w:rPr>
        <w:t>元，所持有的本基金管理人管理的基金所对应的基金资产净值为</w:t>
      </w:r>
      <w:r>
        <w:rPr>
          <w:rFonts w:ascii="宋体" w:hAnsi="Calibri"/>
          <w:color w:val="000000"/>
          <w:szCs w:val="21"/>
          <w:highlight w:val="white"/>
          <w:lang w:eastAsia="zh-CN"/>
        </w:rPr>
        <w:t>200,000,000.00</w:t>
      </w:r>
      <w:r>
        <w:rPr>
          <w:rFonts w:ascii="宋体" w:hAnsi="Calibri" w:cs="宋体"/>
          <w:color w:val="000000"/>
          <w:szCs w:val="21"/>
          <w:highlight w:val="white"/>
          <w:lang w:eastAsia="zh-CN"/>
        </w:rPr>
        <w:t>元，本基金的年管理费率为</w:t>
      </w:r>
      <w:r>
        <w:rPr>
          <w:rFonts w:ascii="宋体" w:hAnsi="Calibri" w:hint="eastAsia"/>
          <w:color w:val="000000"/>
          <w:szCs w:val="21"/>
          <w:lang w:eastAsia="zh-CN"/>
        </w:rPr>
        <w:t>0.60%</w:t>
      </w:r>
      <w:r>
        <w:rPr>
          <w:rFonts w:ascii="宋体" w:hAnsi="Calibri" w:cs="宋体"/>
          <w:color w:val="000000"/>
          <w:szCs w:val="21"/>
          <w:highlight w:val="white"/>
          <w:lang w:eastAsia="zh-CN"/>
        </w:rPr>
        <w:t>，当年天数为</w:t>
      </w:r>
      <w:r>
        <w:rPr>
          <w:rFonts w:ascii="宋体" w:hAnsi="Calibri"/>
          <w:color w:val="000000"/>
          <w:szCs w:val="21"/>
          <w:highlight w:val="white"/>
          <w:lang w:eastAsia="zh-CN"/>
        </w:rPr>
        <w:t>365</w:t>
      </w:r>
      <w:r>
        <w:rPr>
          <w:rFonts w:ascii="宋体" w:hAnsi="Calibri" w:cs="宋体"/>
          <w:color w:val="000000"/>
          <w:szCs w:val="21"/>
          <w:highlight w:val="white"/>
          <w:lang w:eastAsia="zh-CN"/>
        </w:rPr>
        <w:t>天，则</w:t>
      </w:r>
      <w:r>
        <w:rPr>
          <w:rFonts w:ascii="宋体" w:hAnsi="Calibri"/>
          <w:color w:val="000000"/>
          <w:szCs w:val="21"/>
          <w:highlight w:val="white"/>
          <w:lang w:eastAsia="zh-CN"/>
        </w:rPr>
        <w:t>T</w:t>
      </w:r>
      <w:r>
        <w:rPr>
          <w:rFonts w:ascii="宋体" w:hAnsi="Calibri" w:cs="宋体"/>
          <w:color w:val="000000"/>
          <w:szCs w:val="21"/>
          <w:highlight w:val="white"/>
          <w:lang w:eastAsia="zh-CN"/>
        </w:rPr>
        <w:t>日本基金收取的管理费计算如下：</w:t>
      </w:r>
    </w:p>
    <w:p w:rsidR="005C6370" w:rsidP="00A24D29" w14:paraId="1EFCDEA9" w14:textId="77777777">
      <w:pPr>
        <w:spacing w:line="360" w:lineRule="auto"/>
        <w:ind w:firstLine="420"/>
        <w:contextualSpacing/>
        <w:rPr>
          <w:rFonts w:ascii="宋体" w:hAnsi="Calibri"/>
          <w:szCs w:val="21"/>
          <w:lang w:eastAsia="zh-CN"/>
        </w:rPr>
      </w:pPr>
      <w:r>
        <w:rPr>
          <w:rFonts w:ascii="宋体" w:hAnsi="Calibri"/>
          <w:color w:val="000000"/>
          <w:szCs w:val="21"/>
          <w:highlight w:val="white"/>
          <w:lang w:eastAsia="zh-CN"/>
        </w:rPr>
        <w:t>T</w:t>
      </w:r>
      <w:r>
        <w:rPr>
          <w:rFonts w:ascii="宋体" w:hAnsi="Calibri" w:cs="宋体"/>
          <w:color w:val="000000"/>
          <w:szCs w:val="21"/>
          <w:highlight w:val="white"/>
          <w:lang w:eastAsia="zh-CN"/>
        </w:rPr>
        <w:t>日本基金收取的管理费</w:t>
      </w:r>
      <w:r>
        <w:rPr>
          <w:rFonts w:ascii="宋体" w:hAnsi="Calibri"/>
          <w:color w:val="000000"/>
          <w:szCs w:val="21"/>
          <w:highlight w:val="white"/>
          <w:lang w:eastAsia="zh-CN"/>
        </w:rPr>
        <w:t>=</w:t>
      </w:r>
      <w:r>
        <w:rPr>
          <w:rFonts w:ascii="宋体" w:hAnsi="Calibri" w:cs="宋体"/>
          <w:color w:val="000000"/>
          <w:szCs w:val="21"/>
          <w:highlight w:val="white"/>
          <w:lang w:eastAsia="zh-CN"/>
        </w:rPr>
        <w:t>（</w:t>
      </w:r>
      <w:r>
        <w:rPr>
          <w:rFonts w:ascii="宋体" w:hAnsi="Calibri"/>
          <w:color w:val="000000"/>
          <w:szCs w:val="21"/>
          <w:highlight w:val="white"/>
          <w:lang w:eastAsia="zh-CN"/>
        </w:rPr>
        <w:t>1,000,000,000.00-200,000,000.00</w:t>
      </w:r>
      <w:r>
        <w:rPr>
          <w:rFonts w:ascii="宋体" w:hAnsi="Calibri" w:cs="宋体"/>
          <w:color w:val="000000"/>
          <w:szCs w:val="21"/>
          <w:highlight w:val="white"/>
          <w:lang w:eastAsia="zh-CN"/>
        </w:rPr>
        <w:t>）</w:t>
      </w:r>
      <w:r>
        <w:rPr>
          <w:rFonts w:ascii="宋体" w:hAnsi="Calibri"/>
          <w:color w:val="000000"/>
          <w:szCs w:val="21"/>
          <w:highlight w:val="white"/>
          <w:lang w:eastAsia="zh-CN"/>
        </w:rPr>
        <w:t>×</w:t>
      </w:r>
      <w:r>
        <w:rPr>
          <w:rFonts w:ascii="宋体" w:hAnsi="Calibri" w:hint="eastAsia"/>
          <w:color w:val="000000"/>
          <w:szCs w:val="21"/>
          <w:lang w:eastAsia="zh-CN"/>
        </w:rPr>
        <w:t>0.60%</w:t>
      </w:r>
      <w:r>
        <w:rPr>
          <w:rFonts w:ascii="宋体" w:hAnsi="Calibri" w:cs="宋体"/>
          <w:color w:val="000000"/>
          <w:szCs w:val="21"/>
          <w:highlight w:val="white"/>
          <w:lang w:eastAsia="zh-CN"/>
        </w:rPr>
        <w:t>÷</w:t>
      </w:r>
      <w:r>
        <w:rPr>
          <w:rFonts w:ascii="宋体" w:hAnsi="Calibri"/>
          <w:color w:val="000000"/>
          <w:szCs w:val="21"/>
          <w:highlight w:val="white"/>
          <w:lang w:eastAsia="zh-CN"/>
        </w:rPr>
        <w:t>365=13,150.68</w:t>
      </w:r>
      <w:r>
        <w:rPr>
          <w:rFonts w:ascii="宋体" w:hAnsi="Calibri" w:cs="宋体"/>
          <w:color w:val="000000"/>
          <w:szCs w:val="21"/>
          <w:highlight w:val="white"/>
          <w:lang w:eastAsia="zh-CN"/>
        </w:rPr>
        <w:t>元</w:t>
      </w:r>
    </w:p>
    <w:p w:rsidR="005C6370" w:rsidP="00A24D29" w14:paraId="65F6B7BC"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w:t>
      </w:r>
      <w:r>
        <w:rPr>
          <w:rFonts w:ascii="宋体" w:hAnsi="Calibri"/>
          <w:color w:val="000000"/>
          <w:szCs w:val="21"/>
          <w:highlight w:val="white"/>
          <w:lang w:eastAsia="zh-CN"/>
        </w:rPr>
        <w:t>5</w:t>
      </w:r>
      <w:r>
        <w:rPr>
          <w:rFonts w:ascii="宋体" w:hAnsi="Calibri" w:cs="宋体"/>
          <w:color w:val="000000"/>
          <w:szCs w:val="21"/>
          <w:highlight w:val="white"/>
          <w:lang w:eastAsia="zh-CN"/>
        </w:rPr>
        <w:t>）本基金持有其他基金产生的托管费</w:t>
      </w:r>
    </w:p>
    <w:p w:rsidR="005C6370" w:rsidP="00A24D29" w14:paraId="44F385EE" w14:textId="77777777">
      <w:pPr>
        <w:spacing w:line="360" w:lineRule="auto"/>
        <w:ind w:firstLine="420"/>
        <w:contextualSpacing/>
        <w:rPr>
          <w:rFonts w:ascii="宋体" w:hAnsi="Calibri"/>
          <w:szCs w:val="21"/>
          <w:lang w:eastAsia="zh-CN"/>
        </w:rPr>
      </w:pPr>
      <w:r>
        <w:rPr>
          <w:rFonts w:ascii="宋体" w:hAnsi="Calibri"/>
          <w:color w:val="000000"/>
          <w:szCs w:val="21"/>
          <w:highlight w:val="white"/>
          <w:lang w:eastAsia="zh-CN"/>
        </w:rPr>
        <w:t>1</w:t>
      </w:r>
      <w:r>
        <w:rPr>
          <w:rFonts w:ascii="宋体" w:hAnsi="Calibri" w:cs="宋体"/>
          <w:color w:val="000000"/>
          <w:szCs w:val="21"/>
          <w:highlight w:val="white"/>
          <w:lang w:eastAsia="zh-CN"/>
        </w:rPr>
        <w:t>）本基金持有其他基金产生的托管费（包括本基金托管人托管以及非本基金托管人托管的其他基金的托管费）按照被投资基金基金合同约定从被投资基金基金资产中提取，作为费用计入被投资基金的基金份额净值。计算方法及举例如下：持有被投资基金当日产生的托管费</w:t>
      </w:r>
      <w:r>
        <w:rPr>
          <w:rFonts w:ascii="宋体" w:hAnsi="Calibri"/>
          <w:color w:val="000000"/>
          <w:szCs w:val="21"/>
          <w:highlight w:val="white"/>
          <w:lang w:eastAsia="zh-CN"/>
        </w:rPr>
        <w:t>=</w:t>
      </w:r>
      <w:r>
        <w:rPr>
          <w:rFonts w:ascii="宋体" w:hAnsi="Calibri" w:cs="宋体"/>
          <w:color w:val="000000"/>
          <w:szCs w:val="21"/>
          <w:highlight w:val="white"/>
          <w:lang w:eastAsia="zh-CN"/>
        </w:rPr>
        <w:t>持有被投资基金的基金份额总数</w:t>
      </w:r>
      <w:r>
        <w:rPr>
          <w:rFonts w:ascii="宋体" w:hAnsi="Calibri"/>
          <w:color w:val="000000"/>
          <w:szCs w:val="21"/>
          <w:highlight w:val="white"/>
          <w:lang w:eastAsia="zh-CN"/>
        </w:rPr>
        <w:t>×</w:t>
      </w:r>
      <w:r>
        <w:rPr>
          <w:rFonts w:ascii="宋体" w:hAnsi="Calibri" w:cs="宋体"/>
          <w:color w:val="000000"/>
          <w:szCs w:val="21"/>
          <w:highlight w:val="white"/>
          <w:lang w:eastAsia="zh-CN"/>
        </w:rPr>
        <w:t>被投资基金前一日的基金份额净值</w:t>
      </w:r>
      <w:r>
        <w:rPr>
          <w:rFonts w:ascii="宋体" w:hAnsi="Calibri"/>
          <w:color w:val="000000"/>
          <w:szCs w:val="21"/>
          <w:highlight w:val="white"/>
          <w:lang w:eastAsia="zh-CN"/>
        </w:rPr>
        <w:t>×</w:t>
      </w:r>
      <w:r>
        <w:rPr>
          <w:rFonts w:ascii="宋体" w:hAnsi="Calibri" w:cs="宋体"/>
          <w:color w:val="000000"/>
          <w:szCs w:val="21"/>
          <w:highlight w:val="white"/>
          <w:lang w:eastAsia="zh-CN"/>
        </w:rPr>
        <w:t>被投资基金年托管费率</w:t>
      </w:r>
      <w:r>
        <w:rPr>
          <w:rFonts w:ascii="宋体" w:hAnsi="Calibri" w:cs="宋体"/>
          <w:color w:val="000000"/>
          <w:szCs w:val="21"/>
          <w:highlight w:val="white"/>
          <w:lang w:eastAsia="zh-CN"/>
        </w:rPr>
        <w:t>÷</w:t>
      </w:r>
      <w:r>
        <w:rPr>
          <w:rFonts w:ascii="宋体" w:hAnsi="Calibri" w:cs="宋体"/>
          <w:color w:val="000000"/>
          <w:szCs w:val="21"/>
          <w:highlight w:val="white"/>
          <w:lang w:eastAsia="zh-CN"/>
        </w:rPr>
        <w:t>当年天数</w:t>
      </w:r>
    </w:p>
    <w:p w:rsidR="005C6370" w:rsidP="00A24D29" w14:paraId="4D65E51C"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例六：假设本基金持有</w:t>
      </w:r>
      <w:r>
        <w:rPr>
          <w:rFonts w:ascii="宋体" w:hAnsi="Calibri"/>
          <w:color w:val="000000"/>
          <w:szCs w:val="21"/>
          <w:highlight w:val="white"/>
          <w:lang w:eastAsia="zh-CN"/>
        </w:rPr>
        <w:t>10,000,000.00</w:t>
      </w:r>
      <w:r>
        <w:rPr>
          <w:rFonts w:ascii="宋体" w:hAnsi="Calibri" w:cs="宋体"/>
          <w:color w:val="000000"/>
          <w:szCs w:val="21"/>
          <w:highlight w:val="white"/>
          <w:lang w:eastAsia="zh-CN"/>
        </w:rPr>
        <w:t>份的</w:t>
      </w:r>
      <w:r>
        <w:rPr>
          <w:rFonts w:ascii="宋体" w:hAnsi="Calibri"/>
          <w:color w:val="000000"/>
          <w:szCs w:val="21"/>
          <w:highlight w:val="white"/>
          <w:lang w:eastAsia="zh-CN"/>
        </w:rPr>
        <w:t>E</w:t>
      </w:r>
      <w:r>
        <w:rPr>
          <w:rFonts w:ascii="宋体" w:hAnsi="Calibri" w:cs="宋体"/>
          <w:color w:val="000000"/>
          <w:szCs w:val="21"/>
          <w:highlight w:val="white"/>
          <w:lang w:eastAsia="zh-CN"/>
        </w:rPr>
        <w:t>基金，该基金的年托管费率为</w:t>
      </w:r>
      <w:r>
        <w:rPr>
          <w:rFonts w:ascii="宋体" w:hAnsi="Calibri"/>
          <w:color w:val="000000"/>
          <w:szCs w:val="21"/>
          <w:highlight w:val="white"/>
          <w:lang w:eastAsia="zh-CN"/>
        </w:rPr>
        <w:t>0.10%</w:t>
      </w:r>
      <w:r>
        <w:rPr>
          <w:rFonts w:ascii="宋体" w:hAnsi="Calibri" w:cs="宋体"/>
          <w:color w:val="000000"/>
          <w:szCs w:val="21"/>
          <w:highlight w:val="white"/>
          <w:lang w:eastAsia="zh-CN"/>
        </w:rPr>
        <w:t>，前一日</w:t>
      </w:r>
      <w:r>
        <w:rPr>
          <w:rFonts w:ascii="宋体" w:hAnsi="Calibri"/>
          <w:color w:val="000000"/>
          <w:szCs w:val="21"/>
          <w:highlight w:val="white"/>
          <w:lang w:eastAsia="zh-CN"/>
        </w:rPr>
        <w:t>E</w:t>
      </w:r>
      <w:r>
        <w:rPr>
          <w:rFonts w:ascii="宋体" w:hAnsi="Calibri" w:cs="宋体"/>
          <w:color w:val="000000"/>
          <w:szCs w:val="21"/>
          <w:highlight w:val="white"/>
          <w:lang w:eastAsia="zh-CN"/>
        </w:rPr>
        <w:t>基金的基金份额净值为</w:t>
      </w:r>
      <w:r>
        <w:rPr>
          <w:rFonts w:ascii="宋体" w:hAnsi="Calibri"/>
          <w:color w:val="000000"/>
          <w:szCs w:val="21"/>
          <w:highlight w:val="white"/>
          <w:lang w:eastAsia="zh-CN"/>
        </w:rPr>
        <w:t>1.0400</w:t>
      </w:r>
      <w:r>
        <w:rPr>
          <w:rFonts w:ascii="宋体" w:hAnsi="Calibri" w:cs="宋体"/>
          <w:color w:val="000000"/>
          <w:szCs w:val="21"/>
          <w:highlight w:val="white"/>
          <w:lang w:eastAsia="zh-CN"/>
        </w:rPr>
        <w:t>元，当年天数为</w:t>
      </w:r>
      <w:r>
        <w:rPr>
          <w:rFonts w:ascii="宋体" w:hAnsi="Calibri"/>
          <w:color w:val="000000"/>
          <w:szCs w:val="21"/>
          <w:highlight w:val="white"/>
          <w:lang w:eastAsia="zh-CN"/>
        </w:rPr>
        <w:t>365</w:t>
      </w:r>
      <w:r>
        <w:rPr>
          <w:rFonts w:ascii="宋体" w:hAnsi="Calibri" w:cs="宋体"/>
          <w:color w:val="000000"/>
          <w:szCs w:val="21"/>
          <w:highlight w:val="white"/>
          <w:lang w:eastAsia="zh-CN"/>
        </w:rPr>
        <w:t>天，则</w:t>
      </w:r>
      <w:r>
        <w:rPr>
          <w:rFonts w:ascii="宋体" w:hAnsi="Calibri"/>
          <w:color w:val="000000"/>
          <w:szCs w:val="21"/>
          <w:highlight w:val="white"/>
          <w:lang w:eastAsia="zh-CN"/>
        </w:rPr>
        <w:t>T</w:t>
      </w:r>
      <w:r>
        <w:rPr>
          <w:rFonts w:ascii="宋体" w:hAnsi="Calibri" w:cs="宋体"/>
          <w:color w:val="000000"/>
          <w:szCs w:val="21"/>
          <w:highlight w:val="white"/>
          <w:lang w:eastAsia="zh-CN"/>
        </w:rPr>
        <w:t>日本基金持有</w:t>
      </w:r>
      <w:r>
        <w:rPr>
          <w:rFonts w:ascii="宋体" w:hAnsi="Calibri"/>
          <w:color w:val="000000"/>
          <w:szCs w:val="21"/>
          <w:highlight w:val="white"/>
          <w:lang w:eastAsia="zh-CN"/>
        </w:rPr>
        <w:t>E</w:t>
      </w:r>
      <w:r>
        <w:rPr>
          <w:rFonts w:ascii="宋体" w:hAnsi="Calibri" w:cs="宋体"/>
          <w:color w:val="000000"/>
          <w:szCs w:val="21"/>
          <w:highlight w:val="white"/>
          <w:lang w:eastAsia="zh-CN"/>
        </w:rPr>
        <w:t>基金产生的托管费计算如下：</w:t>
      </w:r>
    </w:p>
    <w:p w:rsidR="005C6370" w:rsidP="00A24D29" w14:paraId="5913415B" w14:textId="77777777">
      <w:pPr>
        <w:spacing w:line="360" w:lineRule="auto"/>
        <w:ind w:firstLine="420"/>
        <w:contextualSpacing/>
        <w:rPr>
          <w:rFonts w:ascii="宋体" w:hAnsi="Calibri"/>
          <w:szCs w:val="21"/>
          <w:lang w:eastAsia="zh-CN"/>
        </w:rPr>
      </w:pPr>
      <w:r>
        <w:rPr>
          <w:rFonts w:ascii="宋体" w:hAnsi="Calibri"/>
          <w:color w:val="000000"/>
          <w:szCs w:val="21"/>
          <w:highlight w:val="white"/>
          <w:lang w:eastAsia="zh-CN"/>
        </w:rPr>
        <w:t>T</w:t>
      </w:r>
      <w:r>
        <w:rPr>
          <w:rFonts w:ascii="宋体" w:hAnsi="Calibri" w:cs="宋体"/>
          <w:color w:val="000000"/>
          <w:szCs w:val="21"/>
          <w:highlight w:val="white"/>
          <w:lang w:eastAsia="zh-CN"/>
        </w:rPr>
        <w:t>日持有</w:t>
      </w:r>
      <w:r>
        <w:rPr>
          <w:rFonts w:ascii="宋体" w:hAnsi="Calibri"/>
          <w:color w:val="000000"/>
          <w:szCs w:val="21"/>
          <w:highlight w:val="white"/>
          <w:lang w:eastAsia="zh-CN"/>
        </w:rPr>
        <w:t>E</w:t>
      </w:r>
      <w:r>
        <w:rPr>
          <w:rFonts w:ascii="宋体" w:hAnsi="Calibri" w:cs="宋体"/>
          <w:color w:val="000000"/>
          <w:szCs w:val="21"/>
          <w:highlight w:val="white"/>
          <w:lang w:eastAsia="zh-CN"/>
        </w:rPr>
        <w:t>基金产生的托管费</w:t>
      </w:r>
      <w:r>
        <w:rPr>
          <w:rFonts w:ascii="宋体" w:hAnsi="Calibri"/>
          <w:color w:val="000000"/>
          <w:szCs w:val="21"/>
          <w:highlight w:val="white"/>
          <w:lang w:eastAsia="zh-CN"/>
        </w:rPr>
        <w:t>=10,000,000.00</w:t>
      </w:r>
      <w:r>
        <w:rPr>
          <w:rFonts w:ascii="宋体" w:hAnsi="Calibri"/>
          <w:color w:val="000000"/>
          <w:szCs w:val="21"/>
          <w:highlight w:val="white"/>
          <w:lang w:eastAsia="zh-CN"/>
        </w:rPr>
        <w:t>×</w:t>
      </w:r>
      <w:r>
        <w:rPr>
          <w:rFonts w:ascii="宋体" w:hAnsi="Calibri"/>
          <w:color w:val="000000"/>
          <w:szCs w:val="21"/>
          <w:highlight w:val="white"/>
          <w:lang w:eastAsia="zh-CN"/>
        </w:rPr>
        <w:t>1.0400</w:t>
      </w:r>
      <w:r>
        <w:rPr>
          <w:rFonts w:ascii="宋体" w:hAnsi="Calibri"/>
          <w:color w:val="000000"/>
          <w:szCs w:val="21"/>
          <w:highlight w:val="white"/>
          <w:lang w:eastAsia="zh-CN"/>
        </w:rPr>
        <w:t>×</w:t>
      </w:r>
      <w:r>
        <w:rPr>
          <w:rFonts w:ascii="宋体" w:hAnsi="Calibri"/>
          <w:color w:val="000000"/>
          <w:szCs w:val="21"/>
          <w:highlight w:val="white"/>
          <w:lang w:eastAsia="zh-CN"/>
        </w:rPr>
        <w:t>0.10%</w:t>
      </w:r>
      <w:r>
        <w:rPr>
          <w:rFonts w:ascii="宋体" w:hAnsi="Calibri" w:cs="宋体"/>
          <w:color w:val="000000"/>
          <w:szCs w:val="21"/>
          <w:highlight w:val="white"/>
          <w:lang w:eastAsia="zh-CN"/>
        </w:rPr>
        <w:t>÷</w:t>
      </w:r>
      <w:r>
        <w:rPr>
          <w:rFonts w:ascii="宋体" w:hAnsi="Calibri"/>
          <w:color w:val="000000"/>
          <w:szCs w:val="21"/>
          <w:highlight w:val="white"/>
          <w:lang w:eastAsia="zh-CN"/>
        </w:rPr>
        <w:t>365=28.49</w:t>
      </w:r>
      <w:r>
        <w:rPr>
          <w:rFonts w:ascii="宋体" w:hAnsi="Calibri" w:cs="宋体"/>
          <w:color w:val="000000"/>
          <w:szCs w:val="21"/>
          <w:highlight w:val="white"/>
          <w:lang w:eastAsia="zh-CN"/>
        </w:rPr>
        <w:t>元</w:t>
      </w:r>
    </w:p>
    <w:p w:rsidR="005C6370" w:rsidP="00A24D29" w14:paraId="52BF2643" w14:textId="77777777">
      <w:pPr>
        <w:spacing w:line="360" w:lineRule="auto"/>
        <w:ind w:firstLine="420"/>
        <w:contextualSpacing/>
        <w:rPr>
          <w:rFonts w:ascii="宋体" w:hAnsi="Calibri"/>
          <w:szCs w:val="21"/>
          <w:lang w:eastAsia="zh-CN"/>
        </w:rPr>
      </w:pPr>
      <w:r>
        <w:rPr>
          <w:rFonts w:ascii="宋体" w:hAnsi="Calibri"/>
          <w:color w:val="000000"/>
          <w:szCs w:val="21"/>
          <w:highlight w:val="white"/>
          <w:lang w:eastAsia="zh-CN"/>
        </w:rPr>
        <w:t>2</w:t>
      </w:r>
      <w:r>
        <w:rPr>
          <w:rFonts w:ascii="宋体" w:hAnsi="Calibri" w:cs="宋体"/>
          <w:color w:val="000000"/>
          <w:szCs w:val="21"/>
          <w:highlight w:val="white"/>
          <w:lang w:eastAsia="zh-CN"/>
        </w:rPr>
        <w:t>）本基金投资于本基金托管人所托管的基金的部分不收取基金中基金的托管费</w:t>
      </w:r>
    </w:p>
    <w:p w:rsidR="005C6370" w:rsidP="00A24D29" w14:paraId="0A2BA8E4"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本基金托管费按前一日基金资产净值扣除前一日所持有本基金托管人托管的其他基金公允价值后的余额（若为负数，则取</w:t>
      </w:r>
      <w:r>
        <w:rPr>
          <w:rFonts w:ascii="宋体" w:hAnsi="Calibri"/>
          <w:color w:val="000000"/>
          <w:szCs w:val="21"/>
          <w:highlight w:val="white"/>
          <w:lang w:eastAsia="zh-CN"/>
        </w:rPr>
        <w:t>0</w:t>
      </w:r>
      <w:r>
        <w:rPr>
          <w:rFonts w:ascii="宋体" w:hAnsi="Calibri" w:cs="宋体"/>
          <w:color w:val="000000"/>
          <w:szCs w:val="21"/>
          <w:highlight w:val="white"/>
          <w:lang w:eastAsia="zh-CN"/>
        </w:rPr>
        <w:t>）的</w:t>
      </w:r>
      <w:r>
        <w:rPr>
          <w:rFonts w:ascii="宋体" w:hAnsi="Calibri" w:hint="eastAsia"/>
          <w:color w:val="000000"/>
          <w:szCs w:val="21"/>
          <w:lang w:eastAsia="zh-CN"/>
        </w:rPr>
        <w:t>0.15%</w:t>
      </w:r>
      <w:r>
        <w:rPr>
          <w:rFonts w:ascii="宋体" w:hAnsi="Calibri" w:cs="宋体"/>
          <w:color w:val="000000"/>
          <w:szCs w:val="21"/>
          <w:highlight w:val="white"/>
          <w:lang w:eastAsia="zh-CN"/>
        </w:rPr>
        <w:t>年费率计提，计算方法和举例如下：</w:t>
      </w:r>
    </w:p>
    <w:p w:rsidR="005C6370" w:rsidP="00A24D29" w14:paraId="47FAF06B"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本基金每日应收取的托管费</w:t>
      </w:r>
      <w:r>
        <w:rPr>
          <w:rFonts w:ascii="宋体" w:hAnsi="Calibri"/>
          <w:color w:val="000000"/>
          <w:szCs w:val="21"/>
          <w:highlight w:val="white"/>
          <w:lang w:eastAsia="zh-CN"/>
        </w:rPr>
        <w:t>=</w:t>
      </w:r>
      <w:r>
        <w:rPr>
          <w:rFonts w:ascii="宋体" w:hAnsi="Calibri" w:cs="宋体"/>
          <w:color w:val="000000"/>
          <w:szCs w:val="21"/>
          <w:highlight w:val="white"/>
          <w:lang w:eastAsia="zh-CN"/>
        </w:rPr>
        <w:t>前一日基金资产净值扣除前一日所持有本基金托管人托管的其他基金公允价值后的余额（若为负数，则取</w:t>
      </w:r>
      <w:r>
        <w:rPr>
          <w:rFonts w:ascii="宋体" w:hAnsi="Calibri"/>
          <w:color w:val="000000"/>
          <w:szCs w:val="21"/>
          <w:highlight w:val="white"/>
          <w:lang w:eastAsia="zh-CN"/>
        </w:rPr>
        <w:t>0</w:t>
      </w:r>
      <w:r>
        <w:rPr>
          <w:rFonts w:ascii="宋体" w:hAnsi="Calibri" w:cs="宋体"/>
          <w:color w:val="000000"/>
          <w:szCs w:val="21"/>
          <w:highlight w:val="white"/>
          <w:lang w:eastAsia="zh-CN"/>
        </w:rPr>
        <w:t>）</w:t>
      </w:r>
      <w:r>
        <w:rPr>
          <w:rFonts w:ascii="宋体" w:hAnsi="Calibri"/>
          <w:color w:val="000000"/>
          <w:szCs w:val="21"/>
          <w:highlight w:val="white"/>
          <w:lang w:eastAsia="zh-CN"/>
        </w:rPr>
        <w:t>×</w:t>
      </w:r>
      <w:r>
        <w:rPr>
          <w:rFonts w:ascii="宋体" w:hAnsi="Calibri" w:cs="宋体"/>
          <w:color w:val="000000"/>
          <w:szCs w:val="21"/>
          <w:highlight w:val="white"/>
          <w:lang w:eastAsia="zh-CN"/>
        </w:rPr>
        <w:t>本基金年托管费率</w:t>
      </w:r>
      <w:r>
        <w:rPr>
          <w:rFonts w:ascii="宋体" w:hAnsi="Calibri" w:cs="宋体"/>
          <w:color w:val="000000"/>
          <w:szCs w:val="21"/>
          <w:highlight w:val="white"/>
          <w:lang w:eastAsia="zh-CN"/>
        </w:rPr>
        <w:t>÷</w:t>
      </w:r>
      <w:r>
        <w:rPr>
          <w:rFonts w:ascii="宋体" w:hAnsi="Calibri" w:cs="宋体"/>
          <w:color w:val="000000"/>
          <w:szCs w:val="21"/>
          <w:highlight w:val="white"/>
          <w:lang w:eastAsia="zh-CN"/>
        </w:rPr>
        <w:t>当年天数</w:t>
      </w:r>
    </w:p>
    <w:p w:rsidR="005C6370" w:rsidP="00A24D29" w14:paraId="00E61E8E"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例七：假设本基金前一日基金资产净值为</w:t>
      </w:r>
      <w:r>
        <w:rPr>
          <w:rFonts w:ascii="宋体" w:hAnsi="Calibri"/>
          <w:color w:val="000000"/>
          <w:szCs w:val="21"/>
          <w:highlight w:val="white"/>
          <w:lang w:eastAsia="zh-CN"/>
        </w:rPr>
        <w:t>1,000,000,000.00</w:t>
      </w:r>
      <w:r>
        <w:rPr>
          <w:rFonts w:ascii="宋体" w:hAnsi="Calibri" w:cs="宋体"/>
          <w:color w:val="000000"/>
          <w:szCs w:val="21"/>
          <w:highlight w:val="white"/>
          <w:lang w:eastAsia="zh-CN"/>
        </w:rPr>
        <w:t>元，所持有的本基金托管人托管的基金所对应的基金资产净值为</w:t>
      </w:r>
      <w:r>
        <w:rPr>
          <w:rFonts w:ascii="宋体" w:hAnsi="Calibri"/>
          <w:color w:val="000000"/>
          <w:szCs w:val="21"/>
          <w:highlight w:val="white"/>
          <w:lang w:eastAsia="zh-CN"/>
        </w:rPr>
        <w:t>200,000,000.00</w:t>
      </w:r>
      <w:r>
        <w:rPr>
          <w:rFonts w:ascii="宋体" w:hAnsi="Calibri" w:cs="宋体"/>
          <w:color w:val="000000"/>
          <w:szCs w:val="21"/>
          <w:highlight w:val="white"/>
          <w:lang w:eastAsia="zh-CN"/>
        </w:rPr>
        <w:t>元，本基金的年托管费率为</w:t>
      </w:r>
      <w:r>
        <w:rPr>
          <w:rFonts w:ascii="宋体" w:hAnsi="Calibri" w:hint="eastAsia"/>
          <w:color w:val="000000"/>
          <w:szCs w:val="21"/>
          <w:lang w:eastAsia="zh-CN"/>
        </w:rPr>
        <w:t>0.15%</w:t>
      </w:r>
      <w:r>
        <w:rPr>
          <w:rFonts w:ascii="宋体" w:hAnsi="Calibri" w:cs="宋体"/>
          <w:color w:val="000000"/>
          <w:szCs w:val="21"/>
          <w:highlight w:val="white"/>
          <w:lang w:eastAsia="zh-CN"/>
        </w:rPr>
        <w:t>，当年天数为</w:t>
      </w:r>
      <w:r>
        <w:rPr>
          <w:rFonts w:ascii="宋体" w:hAnsi="Calibri"/>
          <w:color w:val="000000"/>
          <w:szCs w:val="21"/>
          <w:highlight w:val="white"/>
          <w:lang w:eastAsia="zh-CN"/>
        </w:rPr>
        <w:t>365</w:t>
      </w:r>
      <w:r>
        <w:rPr>
          <w:rFonts w:ascii="宋体" w:hAnsi="Calibri" w:cs="宋体"/>
          <w:color w:val="000000"/>
          <w:szCs w:val="21"/>
          <w:highlight w:val="white"/>
          <w:lang w:eastAsia="zh-CN"/>
        </w:rPr>
        <w:t>天，则</w:t>
      </w:r>
      <w:r>
        <w:rPr>
          <w:rFonts w:ascii="宋体" w:hAnsi="Calibri"/>
          <w:color w:val="000000"/>
          <w:szCs w:val="21"/>
          <w:highlight w:val="white"/>
          <w:lang w:eastAsia="zh-CN"/>
        </w:rPr>
        <w:t>T</w:t>
      </w:r>
      <w:r>
        <w:rPr>
          <w:rFonts w:ascii="宋体" w:hAnsi="Calibri" w:cs="宋体"/>
          <w:color w:val="000000"/>
          <w:szCs w:val="21"/>
          <w:highlight w:val="white"/>
          <w:lang w:eastAsia="zh-CN"/>
        </w:rPr>
        <w:t>日本基金收取的托管费计算如下：</w:t>
      </w:r>
    </w:p>
    <w:p w:rsidR="005C6370" w:rsidP="00A24D29" w14:paraId="172ECD5C" w14:textId="77777777">
      <w:pPr>
        <w:spacing w:line="360" w:lineRule="auto"/>
        <w:ind w:firstLine="420"/>
        <w:contextualSpacing/>
        <w:rPr>
          <w:rFonts w:ascii="宋体" w:hAnsi="Calibri"/>
          <w:szCs w:val="21"/>
          <w:lang w:eastAsia="zh-CN"/>
        </w:rPr>
      </w:pPr>
      <w:r>
        <w:rPr>
          <w:rFonts w:ascii="宋体" w:hAnsi="Calibri"/>
          <w:color w:val="000000"/>
          <w:szCs w:val="21"/>
          <w:highlight w:val="white"/>
          <w:lang w:eastAsia="zh-CN"/>
        </w:rPr>
        <w:t>T</w:t>
      </w:r>
      <w:r>
        <w:rPr>
          <w:rFonts w:ascii="宋体" w:hAnsi="Calibri" w:cs="宋体"/>
          <w:color w:val="000000"/>
          <w:szCs w:val="21"/>
          <w:highlight w:val="white"/>
          <w:lang w:eastAsia="zh-CN"/>
        </w:rPr>
        <w:t>日本基金收取的托管费</w:t>
      </w:r>
      <w:r>
        <w:rPr>
          <w:rFonts w:ascii="宋体" w:hAnsi="Calibri"/>
          <w:color w:val="000000"/>
          <w:szCs w:val="21"/>
          <w:highlight w:val="white"/>
          <w:lang w:eastAsia="zh-CN"/>
        </w:rPr>
        <w:t>=</w:t>
      </w:r>
      <w:r>
        <w:rPr>
          <w:rFonts w:ascii="宋体" w:hAnsi="Calibri" w:cs="宋体"/>
          <w:color w:val="000000"/>
          <w:szCs w:val="21"/>
          <w:highlight w:val="white"/>
          <w:lang w:eastAsia="zh-CN"/>
        </w:rPr>
        <w:t>（</w:t>
      </w:r>
      <w:r>
        <w:rPr>
          <w:rFonts w:ascii="宋体" w:hAnsi="Calibri"/>
          <w:color w:val="000000"/>
          <w:szCs w:val="21"/>
          <w:highlight w:val="white"/>
          <w:lang w:eastAsia="zh-CN"/>
        </w:rPr>
        <w:t>1,000,000,000.00-200,000,000.00</w:t>
      </w:r>
      <w:r>
        <w:rPr>
          <w:rFonts w:ascii="宋体" w:hAnsi="Calibri" w:cs="宋体"/>
          <w:color w:val="000000"/>
          <w:szCs w:val="21"/>
          <w:highlight w:val="white"/>
          <w:lang w:eastAsia="zh-CN"/>
        </w:rPr>
        <w:t>）</w:t>
      </w:r>
      <w:r>
        <w:rPr>
          <w:rFonts w:ascii="宋体" w:hAnsi="Calibri"/>
          <w:color w:val="000000"/>
          <w:szCs w:val="21"/>
          <w:highlight w:val="white"/>
          <w:lang w:eastAsia="zh-CN"/>
        </w:rPr>
        <w:t>×</w:t>
      </w:r>
      <w:r>
        <w:rPr>
          <w:rFonts w:ascii="宋体" w:hAnsi="Calibri" w:hint="eastAsia"/>
          <w:color w:val="000000"/>
          <w:szCs w:val="21"/>
          <w:lang w:eastAsia="zh-CN"/>
        </w:rPr>
        <w:t>0.15%</w:t>
      </w:r>
      <w:r>
        <w:rPr>
          <w:rFonts w:ascii="宋体" w:hAnsi="Calibri" w:cs="宋体"/>
          <w:color w:val="000000"/>
          <w:szCs w:val="21"/>
          <w:highlight w:val="white"/>
          <w:lang w:eastAsia="zh-CN"/>
        </w:rPr>
        <w:t>÷</w:t>
      </w:r>
      <w:r>
        <w:rPr>
          <w:rFonts w:ascii="宋体" w:hAnsi="Calibri"/>
          <w:color w:val="000000"/>
          <w:szCs w:val="21"/>
          <w:highlight w:val="white"/>
          <w:lang w:eastAsia="zh-CN"/>
        </w:rPr>
        <w:t>365=3,287.67</w:t>
      </w:r>
      <w:r>
        <w:rPr>
          <w:rFonts w:ascii="宋体" w:hAnsi="Calibri" w:cs="宋体"/>
          <w:color w:val="000000"/>
          <w:szCs w:val="21"/>
          <w:highlight w:val="white"/>
          <w:lang w:eastAsia="zh-CN"/>
        </w:rPr>
        <w:t>元</w:t>
      </w:r>
    </w:p>
    <w:p w:rsidR="005C6370" w:rsidP="00A24D29" w14:paraId="7988F67F"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w:t>
      </w:r>
      <w:r>
        <w:rPr>
          <w:rFonts w:ascii="宋体" w:hAnsi="Calibri"/>
          <w:color w:val="000000"/>
          <w:szCs w:val="21"/>
          <w:highlight w:val="white"/>
          <w:lang w:eastAsia="zh-CN"/>
        </w:rPr>
        <w:t>6</w:t>
      </w:r>
      <w:r>
        <w:rPr>
          <w:rFonts w:ascii="宋体" w:hAnsi="Calibri" w:cs="宋体"/>
          <w:color w:val="000000"/>
          <w:szCs w:val="21"/>
          <w:highlight w:val="white"/>
          <w:lang w:eastAsia="zh-CN"/>
        </w:rPr>
        <w:t>）本基金通过场内交易其他基金产生的交易费用按相关交易所和证券经纪公司的规则和费率标准处理，从本基金财产中列支。</w:t>
      </w:r>
    </w:p>
    <w:p w:rsidR="005C6370" w:rsidP="00A24D29" w14:paraId="166554B2" w14:textId="77777777">
      <w:pPr>
        <w:spacing w:line="360" w:lineRule="auto"/>
        <w:ind w:firstLine="420"/>
        <w:contextualSpacing/>
        <w:rPr>
          <w:rFonts w:ascii="宋体" w:hAnsi="Calibri" w:cs="宋体"/>
          <w:color w:val="000000"/>
          <w:szCs w:val="21"/>
          <w:lang w:eastAsia="zh-CN"/>
        </w:rPr>
      </w:pPr>
      <w:r>
        <w:rPr>
          <w:rFonts w:ascii="宋体" w:hAnsi="Calibri" w:cs="宋体"/>
          <w:color w:val="000000"/>
          <w:szCs w:val="21"/>
          <w:highlight w:val="white"/>
          <w:lang w:eastAsia="zh-CN"/>
        </w:rPr>
        <w:t>（</w:t>
      </w:r>
      <w:r>
        <w:rPr>
          <w:rFonts w:ascii="宋体" w:hAnsi="Calibri"/>
          <w:color w:val="000000"/>
          <w:szCs w:val="21"/>
          <w:highlight w:val="white"/>
          <w:lang w:eastAsia="zh-CN"/>
        </w:rPr>
        <w:t>7</w:t>
      </w:r>
      <w:r>
        <w:rPr>
          <w:rFonts w:ascii="宋体" w:hAnsi="Calibri" w:cs="宋体"/>
          <w:color w:val="000000"/>
          <w:szCs w:val="21"/>
          <w:highlight w:val="white"/>
          <w:lang w:eastAsia="zh-CN"/>
        </w:rPr>
        <w:t>）按照法律法规或监管部门的有关规定和所持有基金的《基金合同》的约定，可以在所持有的基金的财产中列支的其他费用按照实际支出列入或摊入当期费用，由该基金的基金份额持有人共同承担。</w:t>
      </w:r>
    </w:p>
    <w:p w:rsidR="005C6370" w:rsidP="00A24D29" w14:paraId="486EF7C5" w14:textId="77777777">
      <w:pPr>
        <w:spacing w:line="360" w:lineRule="auto"/>
        <w:ind w:firstLine="420"/>
        <w:contextualSpacing/>
        <w:rPr>
          <w:rFonts w:ascii="宋体" w:hAnsi="Calibri"/>
          <w:szCs w:val="21"/>
          <w:lang w:eastAsia="zh-CN"/>
        </w:rPr>
      </w:pPr>
      <w:r>
        <w:rPr>
          <w:rFonts w:ascii="宋体" w:hAnsi="Calibri" w:cs="宋体"/>
          <w:color w:val="000000"/>
          <w:szCs w:val="21"/>
          <w:highlight w:val="white"/>
          <w:lang w:eastAsia="zh-CN"/>
        </w:rPr>
        <w:t>（8）所持基金产生的费用的调整</w:t>
      </w:r>
    </w:p>
    <w:p w:rsidR="005C6370" w:rsidP="00A24D29" w14:paraId="642428DD" w14:textId="77777777">
      <w:pPr>
        <w:spacing w:line="360" w:lineRule="auto"/>
        <w:ind w:firstLine="420"/>
        <w:contextualSpacing/>
        <w:rPr>
          <w:rFonts w:ascii="宋体" w:hAnsi="Calibri" w:cs="宋体"/>
          <w:color w:val="000000"/>
          <w:szCs w:val="21"/>
          <w:lang w:eastAsia="zh-CN"/>
        </w:rPr>
      </w:pPr>
      <w:r>
        <w:rPr>
          <w:rFonts w:ascii="宋体" w:hAnsi="Calibri" w:cs="宋体"/>
          <w:color w:val="000000"/>
          <w:szCs w:val="21"/>
          <w:highlight w:val="white"/>
          <w:lang w:eastAsia="zh-CN"/>
        </w:rPr>
        <w:t>如果本基金所持的基金收取的相关基金费用发生变更的，或法律法规或监管部门对基金中基金支付所持基金相关基金费用的规则发生变更的，即以变更后的规定为准，无需召开基金份额持有人大会。</w:t>
      </w:r>
    </w:p>
    <w:p w:rsidR="005C6370" w:rsidP="00A24D29" w14:paraId="5A40A07E" w14:textId="77777777">
      <w:pPr>
        <w:spacing w:line="360" w:lineRule="auto"/>
        <w:ind w:firstLine="420"/>
        <w:contextualSpacing/>
        <w:rPr>
          <w:rFonts w:ascii="宋体" w:hAnsi="Calibri" w:cs="宋体"/>
          <w:color w:val="000000"/>
          <w:szCs w:val="21"/>
          <w:lang w:eastAsia="zh-CN"/>
        </w:rPr>
      </w:pPr>
      <w:r>
        <w:rPr>
          <w:rFonts w:ascii="宋体" w:hAnsi="Calibri" w:cs="宋体"/>
          <w:color w:val="000000"/>
          <w:szCs w:val="21"/>
          <w:highlight w:val="white"/>
          <w:lang w:eastAsia="zh-CN"/>
        </w:rPr>
        <w:t>三、本基金持有的其他基金发生的重大事件</w:t>
      </w:r>
    </w:p>
    <w:p w:rsidR="005C6370" w:rsidP="00A24D29" w14:paraId="7C59E56D" w14:textId="77777777">
      <w:pPr>
        <w:spacing w:line="360" w:lineRule="auto"/>
        <w:ind w:firstLine="420"/>
        <w:contextualSpacing/>
        <w:rPr>
          <w:rFonts w:ascii="宋体" w:hAnsi="Calibri" w:cs="宋体"/>
          <w:color w:val="000000"/>
          <w:szCs w:val="21"/>
          <w:lang w:eastAsia="zh-CN"/>
        </w:rPr>
      </w:pPr>
      <w:r>
        <w:rPr>
          <w:rFonts w:ascii="宋体" w:hAnsi="Calibri" w:cs="宋体"/>
          <w:color w:val="000000"/>
          <w:szCs w:val="21"/>
          <w:highlight w:val="white"/>
          <w:lang w:eastAsia="zh-CN"/>
        </w:rPr>
        <w:t>本基金应当在定期报告和招募说明书等文件中披露所持有的其他基金发生的重大事件，如转换运作方式、与其他基金合并、终止基金合同以及召开基金份额持有人大会等情况等。</w:t>
      </w:r>
    </w:p>
    <w:p w:rsidR="005C6370" w:rsidP="00A24D29" w14:paraId="1FC376C5" w14:textId="77777777">
      <w:pPr>
        <w:spacing w:line="360" w:lineRule="auto"/>
        <w:ind w:firstLine="420"/>
        <w:contextualSpacing/>
        <w:rPr>
          <w:rFonts w:ascii="宋体" w:hAnsi="Calibri" w:cs="宋体"/>
          <w:color w:val="000000"/>
          <w:szCs w:val="21"/>
          <w:lang w:eastAsia="zh-CN"/>
        </w:rPr>
      </w:pPr>
      <w:r>
        <w:rPr>
          <w:rFonts w:ascii="宋体" w:hAnsi="Calibri" w:cs="宋体"/>
          <w:color w:val="000000"/>
          <w:szCs w:val="21"/>
          <w:highlight w:val="white"/>
          <w:lang w:eastAsia="zh-CN"/>
        </w:rPr>
        <w:t>四、投资于关联基金的情况</w:t>
      </w:r>
    </w:p>
    <w:p w:rsidR="005C6370" w:rsidP="00A24D29" w14:paraId="28B013E6" w14:textId="77777777">
      <w:pPr>
        <w:spacing w:line="360" w:lineRule="auto"/>
        <w:ind w:firstLine="420"/>
        <w:contextualSpacing/>
        <w:rPr>
          <w:rFonts w:ascii="宋体" w:hAnsi="Calibri" w:cs="宋体"/>
          <w:color w:val="000000"/>
          <w:szCs w:val="21"/>
          <w:lang w:eastAsia="zh-CN"/>
        </w:rPr>
      </w:pPr>
      <w:r>
        <w:rPr>
          <w:rFonts w:ascii="宋体" w:hAnsi="Calibri" w:cs="宋体"/>
          <w:color w:val="000000"/>
          <w:szCs w:val="21"/>
          <w:highlight w:val="white"/>
          <w:lang w:eastAsia="zh-CN"/>
        </w:rPr>
        <w:t>本基金投资本基金管理人及其关联方所管理的基金，应当在定期报告和招募说明书中披露相关基金的情况。</w:t>
      </w:r>
    </w:p>
    <w:p w:rsidR="005C6370" w:rsidP="00A24D29" w14:paraId="05F8181A" w14:textId="77777777">
      <w:pPr>
        <w:spacing w:line="360" w:lineRule="auto"/>
        <w:ind w:firstLine="420"/>
        <w:contextualSpacing/>
        <w:rPr>
          <w:rFonts w:ascii="宋体" w:hAnsi="Calibri"/>
          <w:szCs w:val="21"/>
          <w:lang w:eastAsia="zh-CN"/>
        </w:rPr>
      </w:pPr>
    </w:p>
    <w:p w:rsidR="005C6370" w:rsidP="00A24D29" w14:paraId="19C1641B" w14:textId="77777777">
      <w:pPr>
        <w:widowControl/>
        <w:contextualSpacing/>
        <w:jc w:val="left"/>
        <w:rPr>
          <w:rFonts w:ascii="宋体" w:hAnsi="Calibri"/>
          <w:sz w:val="30"/>
          <w:szCs w:val="32"/>
          <w:lang w:eastAsia="zh-CN"/>
        </w:rPr>
      </w:pPr>
      <w:bookmarkStart w:id="1849" w:name="_Toc46737675"/>
      <w:bookmarkStart w:id="1850" w:name="_Toc46676683"/>
      <w:r>
        <w:rPr>
          <w:rFonts w:ascii="宋体" w:hAnsi="Calibri"/>
          <w:sz w:val="30"/>
          <w:highlight w:val="white"/>
          <w:lang w:eastAsia="zh-CN"/>
        </w:rPr>
        <w:br w:type="page"/>
      </w:r>
    </w:p>
    <w:p w:rsidR="005C6370" w:rsidP="00A24D29" w14:paraId="2B2A1E4D" w14:textId="77777777">
      <w:pPr>
        <w:pStyle w:val="Heading1"/>
        <w:spacing w:before="317" w:after="317" w:line="360" w:lineRule="auto"/>
        <w:ind w:firstLine="600"/>
        <w:contextualSpacing/>
        <w:rPr>
          <w:rFonts w:ascii="宋体" w:eastAsia="宋体" w:hAnsi="Calibri"/>
          <w:sz w:val="30"/>
          <w:lang w:eastAsia="zh-CN"/>
        </w:rPr>
      </w:pPr>
      <w:bookmarkStart w:id="1851" w:name="_Toc121776984"/>
      <w:r>
        <w:rPr>
          <w:rFonts w:ascii="宋体" w:eastAsia="宋体" w:hAnsi="Calibri" w:hint="eastAsia"/>
          <w:sz w:val="30"/>
          <w:highlight w:val="white"/>
          <w:lang w:eastAsia="zh-CN"/>
        </w:rPr>
        <w:t>第二十一部分 侧袋机制</w:t>
      </w:r>
      <w:bookmarkEnd w:id="1849"/>
      <w:bookmarkEnd w:id="1850"/>
      <w:bookmarkEnd w:id="1851"/>
    </w:p>
    <w:p w:rsidR="005C6370" w:rsidP="00A24D29" w14:paraId="09D9362F"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一、侧袋机制的实施条件和程序</w:t>
      </w:r>
    </w:p>
    <w:p w:rsidR="005C6370" w:rsidP="00A24D29" w14:paraId="6D00641E"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rsidR="005C6370" w:rsidP="00A24D29" w14:paraId="430DB1D5"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基金管理人应当在启用侧袋机制后及时发布临时公告，并及时聘请符合《证券法》规定的会计师事务所进行审计并披露专项审计意见。</w:t>
      </w:r>
    </w:p>
    <w:p w:rsidR="005C6370" w:rsidP="00A24D29" w14:paraId="7F6C179C"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二、实施侧袋机制期间基金份额的申购与赎回</w:t>
      </w:r>
    </w:p>
    <w:p w:rsidR="005C6370" w:rsidP="00A24D29" w14:paraId="70D2B6B4"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w:t>
      </w:r>
      <w:r>
        <w:rPr>
          <w:rFonts w:ascii="宋体" w:hAnsi="Calibri" w:hint="eastAsia"/>
          <w:bCs/>
          <w:szCs w:val="21"/>
          <w:highlight w:val="white"/>
          <w:lang w:eastAsia="zh-CN"/>
        </w:rPr>
        <w:t>、启用侧袋机制当日，本基金登记机构以基金份额持有人的原有账户份额为基础，确认基金份额持有人的相应侧袋账户份额；当日收到的申购申请，按照启用侧袋机制后的主袋账户份额办理；当日收到的赎回申请，仅办理主袋账户份额的赎回申请并支付赎回款项。</w:t>
      </w:r>
    </w:p>
    <w:p w:rsidR="005C6370" w:rsidP="00A24D29" w14:paraId="5EB7FB1E"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w:t>
      </w:r>
      <w:r>
        <w:rPr>
          <w:rFonts w:ascii="宋体" w:hAnsi="Calibri" w:hint="eastAsia"/>
          <w:bCs/>
          <w:szCs w:val="21"/>
          <w:highlight w:val="white"/>
          <w:lang w:eastAsia="zh-CN"/>
        </w:rPr>
        <w:t>、实施侧袋机制期间，基金管理人不办理侧袋账户份额的申购、赎回和转换；同时，基金管理人按照基金合同和招募说明书约定的政策办理主袋账户份额的赎回，并根据主袋账户运作情况确定是否暂停申购。本招募说明书“基金份额的申购、赎回”部分的申购、赎回规定适用于主袋账户份额。</w:t>
      </w:r>
    </w:p>
    <w:p w:rsidR="005C6370" w:rsidP="00A24D29" w14:paraId="5329A51C"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3</w:t>
      </w:r>
      <w:r>
        <w:rPr>
          <w:rFonts w:ascii="宋体" w:hAnsi="Calibri" w:hint="eastAsia"/>
          <w:bCs/>
          <w:szCs w:val="21"/>
          <w:highlight w:val="white"/>
          <w:lang w:eastAsia="zh-CN"/>
        </w:rPr>
        <w:t>、基金管理人应按照主袋账户的份额净值办理主袋账户份额的申购和赎回。巨额赎回按照单个开放日内主袋账户份额净赎回申请超过前一开放日主袋账户总份额的</w:t>
      </w:r>
      <w:r>
        <w:rPr>
          <w:rFonts w:ascii="宋体" w:hAnsi="Calibri"/>
          <w:bCs/>
          <w:szCs w:val="21"/>
          <w:highlight w:val="white"/>
          <w:lang w:eastAsia="zh-CN"/>
        </w:rPr>
        <w:t>10%</w:t>
      </w:r>
      <w:r>
        <w:rPr>
          <w:rFonts w:ascii="宋体" w:hAnsi="Calibri" w:hint="eastAsia"/>
          <w:bCs/>
          <w:szCs w:val="21"/>
          <w:highlight w:val="white"/>
          <w:lang w:eastAsia="zh-CN"/>
        </w:rPr>
        <w:t>认定。</w:t>
      </w:r>
    </w:p>
    <w:p w:rsidR="005C6370" w:rsidP="00A24D29" w14:paraId="7FAFFCA2"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三、实施侧袋机制期间的基金投资</w:t>
      </w:r>
    </w:p>
    <w:p w:rsidR="005C6370" w:rsidP="00A24D29" w14:paraId="1D7BCE69"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侧袋机制实施期间，招募说明书“基金的投资”部分约定的投资组合比例、投资策略、组合限制、业绩比较基准、风险收益特征等约定仅适用于主袋账户。基金管理人计算各项投资运作指标和基金业绩指标时应当以主袋账户资产</w:t>
      </w:r>
      <w:r>
        <w:rPr>
          <w:rFonts w:ascii="宋体" w:hAnsi="Calibri"/>
          <w:bCs/>
          <w:szCs w:val="21"/>
          <w:highlight w:val="white"/>
          <w:lang w:eastAsia="zh-CN"/>
        </w:rPr>
        <w:t>为基准</w:t>
      </w:r>
      <w:r>
        <w:rPr>
          <w:rFonts w:ascii="宋体" w:hAnsi="Calibri" w:hint="eastAsia"/>
          <w:bCs/>
          <w:szCs w:val="21"/>
          <w:highlight w:val="white"/>
          <w:lang w:eastAsia="zh-CN"/>
        </w:rPr>
        <w:t>。</w:t>
      </w:r>
    </w:p>
    <w:p w:rsidR="005C6370" w:rsidP="00A24D29" w14:paraId="31AA59DA"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基金管理人原则上应当在侧袋机制启动后</w:t>
      </w:r>
      <w:r>
        <w:rPr>
          <w:rFonts w:ascii="宋体" w:hAnsi="Calibri"/>
          <w:bCs/>
          <w:szCs w:val="21"/>
          <w:highlight w:val="white"/>
          <w:lang w:eastAsia="zh-CN"/>
        </w:rPr>
        <w:t>20</w:t>
      </w:r>
      <w:r>
        <w:rPr>
          <w:rFonts w:ascii="宋体" w:hAnsi="Calibri" w:hint="eastAsia"/>
          <w:bCs/>
          <w:szCs w:val="21"/>
          <w:highlight w:val="white"/>
          <w:lang w:eastAsia="zh-CN"/>
        </w:rPr>
        <w:t>个交易日内完成对主袋账户投资组合的调整，因资产流动性受限等中国证监会规定的情形除外。</w:t>
      </w:r>
    </w:p>
    <w:p w:rsidR="005C6370" w:rsidP="00A24D29" w14:paraId="6F45D383"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基金管理人不得在侧袋账户中进行除特定资产处置变现以外的其他投资操作。</w:t>
      </w:r>
    </w:p>
    <w:p w:rsidR="005C6370" w:rsidP="00A24D29" w14:paraId="64D04831"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四、侧袋账户中特定资产的处置变现和支付</w:t>
      </w:r>
    </w:p>
    <w:p w:rsidR="005C6370" w:rsidP="00A24D29" w14:paraId="256E6688"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特定资产以可出售、可转让、恢复交易等方式恢复流动性后，基金管理人应当按照基金份额持有人利益最大化原则，采取将特定资产予以处置变现等方式，及时向侧袋账户份额持有人支付对应款项。</w:t>
      </w:r>
    </w:p>
    <w:p w:rsidR="005C6370" w:rsidP="00A24D29" w14:paraId="17602402"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终止侧袋机制后，基金管理人及时聘请符合《证券法》规定的会计师事务所进行审计并披露专项审计意见。</w:t>
      </w:r>
    </w:p>
    <w:p w:rsidR="005C6370" w:rsidP="00A24D29" w14:paraId="5E5227D5"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五、侧袋机制的信息披露</w:t>
      </w:r>
    </w:p>
    <w:p w:rsidR="005C6370" w:rsidP="00A24D29" w14:paraId="10CEFEAF"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w:t>
      </w:r>
      <w:r>
        <w:rPr>
          <w:rFonts w:ascii="宋体" w:hAnsi="Calibri" w:hint="eastAsia"/>
          <w:bCs/>
          <w:szCs w:val="21"/>
          <w:highlight w:val="white"/>
          <w:lang w:eastAsia="zh-CN"/>
        </w:rPr>
        <w:t>、临时公告</w:t>
      </w:r>
    </w:p>
    <w:p w:rsidR="005C6370" w:rsidP="00A24D29" w14:paraId="700D2D0E"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在启用侧袋机制、处置特定资产、终止侧袋机制以及发生其他可能对投资者利益产生重大影响的事项后，基金管理人应及时发布临时公告。</w:t>
      </w:r>
    </w:p>
    <w:p w:rsidR="005C6370" w:rsidP="00A24D29" w14:paraId="448655BE"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w:t>
      </w:r>
      <w:r>
        <w:rPr>
          <w:rFonts w:ascii="宋体" w:hAnsi="Calibri" w:hint="eastAsia"/>
          <w:bCs/>
          <w:szCs w:val="21"/>
          <w:highlight w:val="white"/>
          <w:lang w:eastAsia="zh-CN"/>
        </w:rPr>
        <w:t>、基金净值信息</w:t>
      </w:r>
    </w:p>
    <w:p w:rsidR="005C6370" w:rsidP="00A24D29" w14:paraId="709423FA"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基金管理人应按照招募说明书“基金的信息披露”部分规定的基金净值信息披露方式和频率披露主袋账户份额的基金份额净值和基金份额累计净值。实施侧袋机制期间本基金暂停披露侧袋账户份额净值。</w:t>
      </w:r>
    </w:p>
    <w:p w:rsidR="005C6370" w:rsidP="00A24D29" w14:paraId="7E35125F"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3</w:t>
      </w:r>
      <w:r>
        <w:rPr>
          <w:rFonts w:ascii="宋体" w:hAnsi="Calibri" w:hint="eastAsia"/>
          <w:bCs/>
          <w:szCs w:val="21"/>
          <w:highlight w:val="white"/>
          <w:lang w:eastAsia="zh-CN"/>
        </w:rPr>
        <w:t>、定期报告</w:t>
      </w:r>
    </w:p>
    <w:p w:rsidR="005C6370" w:rsidP="00A24D29" w14:paraId="550EBDB9"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侧袋机制实施期间，基金管理人应当在基金定期报告中披露报告期内特定资产处置进展情况，披露报告期末特定资产可变现净值或净值区间的，需同时注明不作为特定资产最终变现价格的承诺。</w:t>
      </w:r>
    </w:p>
    <w:p w:rsidR="005C6370" w:rsidP="00A24D29" w14:paraId="31913BBF" w14:textId="77777777">
      <w:pPr>
        <w:spacing w:line="360" w:lineRule="auto"/>
        <w:ind w:firstLine="420"/>
        <w:contextualSpacing/>
        <w:rPr>
          <w:rFonts w:ascii="宋体" w:hAnsi="Calibri"/>
          <w:szCs w:val="21"/>
          <w:lang w:eastAsia="zh-CN"/>
        </w:rPr>
      </w:pPr>
    </w:p>
    <w:p w:rsidR="005C6370" w:rsidP="00A24D29" w14:paraId="2BADEA8D" w14:textId="77777777">
      <w:pPr>
        <w:spacing w:line="360" w:lineRule="auto"/>
        <w:ind w:firstLine="420"/>
        <w:contextualSpacing/>
        <w:rPr>
          <w:rFonts w:ascii="宋体" w:hAnsi="Calibri"/>
          <w:szCs w:val="21"/>
          <w:lang w:eastAsia="zh-CN"/>
        </w:rPr>
      </w:pPr>
    </w:p>
    <w:p w:rsidR="005C6370" w:rsidP="00A24D29" w14:paraId="4A0BE6BC" w14:textId="77777777">
      <w:pPr>
        <w:spacing w:line="360" w:lineRule="auto"/>
        <w:ind w:firstLine="420"/>
        <w:contextualSpacing/>
        <w:rPr>
          <w:rFonts w:ascii="宋体" w:hAnsi="Calibri"/>
          <w:szCs w:val="21"/>
          <w:lang w:eastAsia="zh-CN"/>
        </w:rPr>
      </w:pPr>
    </w:p>
    <w:p w:rsidR="005C6370" w:rsidP="00A24D29" w14:paraId="459F8706" w14:textId="77777777">
      <w:pPr>
        <w:spacing w:line="360" w:lineRule="auto"/>
        <w:ind w:firstLine="420"/>
        <w:contextualSpacing/>
        <w:rPr>
          <w:rFonts w:ascii="宋体" w:hAnsi="Calibri"/>
          <w:szCs w:val="21"/>
          <w:lang w:eastAsia="zh-CN"/>
        </w:rPr>
      </w:pPr>
    </w:p>
    <w:p w:rsidR="005C6370" w:rsidP="00A24D29" w14:paraId="140BCB06" w14:textId="77777777">
      <w:pPr>
        <w:widowControl/>
        <w:contextualSpacing/>
        <w:jc w:val="left"/>
        <w:rPr>
          <w:rFonts w:ascii="宋体" w:hAnsi="Calibri"/>
          <w:sz w:val="32"/>
          <w:szCs w:val="21"/>
          <w:lang w:eastAsia="zh-CN"/>
        </w:rPr>
      </w:pPr>
      <w:r>
        <w:rPr>
          <w:rFonts w:ascii="宋体" w:hAnsi="Calibri"/>
          <w:szCs w:val="21"/>
          <w:highlight w:val="white"/>
          <w:lang w:eastAsia="zh-CN"/>
        </w:rPr>
        <w:br w:type="page"/>
      </w:r>
    </w:p>
    <w:p w:rsidR="005C6370" w:rsidP="00A24D29" w14:paraId="2378507E" w14:textId="77777777">
      <w:pPr>
        <w:pStyle w:val="Heading1"/>
        <w:spacing w:before="317" w:after="317" w:line="360" w:lineRule="auto"/>
        <w:ind w:firstLine="600"/>
        <w:contextualSpacing/>
        <w:rPr>
          <w:rFonts w:ascii="宋体" w:eastAsia="宋体" w:hAnsi="Calibri"/>
          <w:lang w:eastAsia="zh-CN"/>
        </w:rPr>
      </w:pPr>
      <w:bookmarkStart w:id="1852" w:name="_Toc121776985"/>
      <w:r>
        <w:rPr>
          <w:rFonts w:ascii="宋体" w:eastAsia="宋体" w:hAnsi="Calibri" w:hint="eastAsia"/>
          <w:sz w:val="30"/>
          <w:highlight w:val="white"/>
          <w:lang w:eastAsia="zh-CN"/>
        </w:rPr>
        <w:t>第二十</w:t>
      </w:r>
      <w:bookmarkStart w:id="1853" w:name="_Toc332373573"/>
      <w:r>
        <w:rPr>
          <w:rFonts w:ascii="宋体" w:eastAsia="宋体" w:hAnsi="Calibri" w:hint="eastAsia"/>
          <w:sz w:val="30"/>
          <w:highlight w:val="white"/>
          <w:lang w:eastAsia="zh-CN"/>
        </w:rPr>
        <w:t>二</w:t>
      </w:r>
      <w:r>
        <w:rPr>
          <w:rFonts w:ascii="宋体" w:eastAsia="宋体" w:hAnsi="Calibri"/>
          <w:sz w:val="30"/>
          <w:highlight w:val="white"/>
          <w:lang w:eastAsia="zh-CN"/>
        </w:rPr>
        <w:t>部分</w:t>
      </w:r>
      <w:r>
        <w:rPr>
          <w:rFonts w:ascii="宋体" w:eastAsia="宋体" w:hAnsi="Calibri" w:hint="eastAsia"/>
          <w:sz w:val="30"/>
          <w:highlight w:val="white"/>
          <w:lang w:eastAsia="zh-CN"/>
        </w:rPr>
        <w:t xml:space="preserve"> 风险揭示</w:t>
      </w:r>
      <w:bookmarkEnd w:id="1852"/>
      <w:bookmarkEnd w:id="1853"/>
    </w:p>
    <w:p w:rsidR="005C6370" w:rsidP="00A24D29" w14:paraId="59B4A4CC" w14:textId="77777777">
      <w:pPr>
        <w:spacing w:line="360" w:lineRule="auto"/>
        <w:ind w:firstLine="420"/>
        <w:contextualSpacing/>
        <w:rPr>
          <w:rStyle w:val="da"/>
          <w:rFonts w:ascii="宋体" w:eastAsia="黑体" w:hAnsi="Calibri"/>
          <w:sz w:val="32"/>
          <w:szCs w:val="32"/>
          <w:lang w:eastAsia="zh-CN"/>
        </w:rPr>
      </w:pPr>
      <w:bookmarkStart w:id="1854" w:name="_Toc332373574"/>
      <w:r>
        <w:rPr>
          <w:rStyle w:val="da"/>
          <w:rFonts w:ascii="宋体" w:hAnsi="Calibri" w:hint="eastAsia"/>
          <w:highlight w:val="white"/>
          <w:lang w:eastAsia="zh-CN"/>
        </w:rPr>
        <w:t>一、本基金的特有风险</w:t>
      </w:r>
    </w:p>
    <w:p w:rsidR="005C6370" w:rsidP="00A24D29" w14:paraId="02231AB4" w14:textId="77777777">
      <w:pPr>
        <w:spacing w:line="360" w:lineRule="auto"/>
        <w:ind w:firstLine="420" w:firstLineChars="200"/>
        <w:contextualSpacing/>
        <w:rPr>
          <w:rFonts w:ascii="宋体" w:hAnsi="Calibri"/>
          <w:szCs w:val="21"/>
          <w:lang w:eastAsia="zh-CN"/>
        </w:rPr>
      </w:pPr>
      <w:r>
        <w:rPr>
          <w:rFonts w:ascii="宋体" w:hAnsi="Calibri"/>
          <w:highlight w:val="white"/>
          <w:lang w:eastAsia="zh-CN"/>
        </w:rPr>
        <w:t>1、</w:t>
      </w:r>
      <w:r>
        <w:rPr>
          <w:rFonts w:ascii="宋体" w:hAnsi="Calibri" w:hint="eastAsia"/>
          <w:szCs w:val="21"/>
          <w:highlight w:val="white"/>
          <w:lang w:eastAsia="zh-CN"/>
        </w:rPr>
        <w:t>无法获得</w:t>
      </w:r>
      <w:r>
        <w:rPr>
          <w:rFonts w:ascii="宋体" w:hAnsi="Calibri"/>
          <w:szCs w:val="21"/>
          <w:highlight w:val="white"/>
          <w:lang w:eastAsia="zh-CN"/>
        </w:rPr>
        <w:t>收益甚至损失本金</w:t>
      </w:r>
      <w:r>
        <w:rPr>
          <w:rFonts w:ascii="宋体" w:hAnsi="Calibri" w:hint="eastAsia"/>
          <w:szCs w:val="21"/>
          <w:highlight w:val="white"/>
          <w:lang w:eastAsia="zh-CN"/>
        </w:rPr>
        <w:t>的</w:t>
      </w:r>
      <w:r>
        <w:rPr>
          <w:rFonts w:ascii="宋体" w:hAnsi="Calibri"/>
          <w:szCs w:val="21"/>
          <w:highlight w:val="white"/>
          <w:lang w:eastAsia="zh-CN"/>
        </w:rPr>
        <w:t>风险</w:t>
      </w:r>
    </w:p>
    <w:p w:rsidR="005C6370" w:rsidP="00A24D29" w14:paraId="17C410C8"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本基金不保本，投资者投资于本基金并不等于将资金作为存款存放在银行或存款类金融机构，存在无法获得收益甚至损失本金的风险。基金管理人不以任何方式保证本基金投资不受损失，不保证投资者一定盈利，不保证最低收益。</w:t>
      </w:r>
    </w:p>
    <w:p w:rsidR="005C6370" w:rsidP="00A24D29" w14:paraId="57C494A2" w14:textId="77777777">
      <w:pPr>
        <w:spacing w:line="360" w:lineRule="auto"/>
        <w:ind w:firstLine="420"/>
        <w:contextualSpacing/>
        <w:rPr>
          <w:rFonts w:ascii="宋体" w:hAnsi="Calibri"/>
          <w:lang w:eastAsia="zh-CN"/>
        </w:rPr>
      </w:pPr>
      <w:r>
        <w:rPr>
          <w:rFonts w:ascii="宋体" w:hAnsi="Calibri"/>
          <w:szCs w:val="21"/>
          <w:highlight w:val="white"/>
          <w:lang w:eastAsia="zh-CN"/>
        </w:rPr>
        <w:t>2</w:t>
      </w:r>
      <w:r>
        <w:rPr>
          <w:rFonts w:ascii="宋体" w:hAnsi="Calibri" w:hint="eastAsia"/>
          <w:szCs w:val="21"/>
          <w:highlight w:val="white"/>
          <w:lang w:eastAsia="zh-CN"/>
        </w:rPr>
        <w:t>、</w:t>
      </w:r>
      <w:r>
        <w:rPr>
          <w:rFonts w:ascii="宋体" w:hAnsi="Calibri"/>
          <w:highlight w:val="white"/>
          <w:lang w:eastAsia="zh-CN"/>
        </w:rPr>
        <w:t>每份基金份额</w:t>
      </w:r>
      <w:r>
        <w:rPr>
          <w:rFonts w:ascii="宋体" w:hAnsi="Calibri"/>
          <w:lang w:eastAsia="zh-CN"/>
        </w:rPr>
        <w:t>3个月</w:t>
      </w:r>
      <w:r>
        <w:rPr>
          <w:rFonts w:ascii="宋体" w:hAnsi="Calibri"/>
          <w:highlight w:val="white"/>
          <w:lang w:eastAsia="zh-CN"/>
        </w:rPr>
        <w:t>锁定持有的风险</w:t>
      </w:r>
    </w:p>
    <w:p w:rsidR="005C6370" w:rsidP="00A24D29" w14:paraId="2B8702BD" w14:textId="77777777">
      <w:pPr>
        <w:spacing w:line="360" w:lineRule="auto"/>
        <w:ind w:firstLine="420"/>
        <w:contextualSpacing/>
        <w:rPr>
          <w:rFonts w:ascii="宋体" w:hAnsi="Calibri"/>
          <w:lang w:eastAsia="zh-CN"/>
        </w:rPr>
      </w:pPr>
      <w:r>
        <w:rPr>
          <w:rFonts w:ascii="宋体" w:hAnsi="Calibri"/>
          <w:highlight w:val="white"/>
          <w:lang w:eastAsia="zh-CN"/>
        </w:rPr>
        <w:t>本基金对于每份基金份额设定</w:t>
      </w:r>
      <w:r>
        <w:rPr>
          <w:rFonts w:ascii="宋体" w:hAnsi="Calibri"/>
          <w:bCs/>
          <w:lang w:eastAsia="zh-CN"/>
        </w:rPr>
        <w:t>3个月</w:t>
      </w:r>
      <w:r>
        <w:rPr>
          <w:rFonts w:ascii="宋体" w:hAnsi="Calibri"/>
          <w:bCs/>
          <w:highlight w:val="white"/>
          <w:lang w:eastAsia="zh-CN"/>
        </w:rPr>
        <w:t>（</w:t>
      </w:r>
      <w:r>
        <w:rPr>
          <w:rFonts w:ascii="宋体" w:hAnsi="Calibri"/>
          <w:lang w:eastAsia="zh-CN"/>
        </w:rPr>
        <w:t>一个月按30天计算</w:t>
      </w:r>
      <w:r>
        <w:rPr>
          <w:rFonts w:ascii="宋体" w:hAnsi="Calibri"/>
          <w:highlight w:val="white"/>
          <w:lang w:eastAsia="zh-CN"/>
        </w:rPr>
        <w:t>，下同</w:t>
      </w:r>
      <w:r>
        <w:rPr>
          <w:rFonts w:ascii="宋体" w:hAnsi="Calibri"/>
          <w:bCs/>
          <w:highlight w:val="white"/>
          <w:lang w:eastAsia="zh-CN"/>
        </w:rPr>
        <w:t>）</w:t>
      </w:r>
      <w:r>
        <w:rPr>
          <w:rFonts w:ascii="宋体" w:hAnsi="Calibri"/>
          <w:highlight w:val="white"/>
          <w:lang w:eastAsia="zh-CN"/>
        </w:rPr>
        <w:t>最短持有期限，且本基金不上市交易。投资者认购或申购基金份额后，自基金合同生效日或申购确认日至赎回确认日不得少于</w:t>
      </w:r>
      <w:r>
        <w:rPr>
          <w:rFonts w:ascii="宋体" w:hAnsi="Calibri"/>
          <w:lang w:eastAsia="zh-CN"/>
        </w:rPr>
        <w:t>3个月</w:t>
      </w:r>
      <w:r>
        <w:rPr>
          <w:rFonts w:ascii="宋体" w:hAnsi="Calibri"/>
          <w:highlight w:val="white"/>
          <w:lang w:eastAsia="zh-CN"/>
        </w:rPr>
        <w:t>。</w:t>
      </w:r>
    </w:p>
    <w:p w:rsidR="005C6370" w:rsidP="00A24D29" w14:paraId="7580D81C" w14:textId="77777777">
      <w:pPr>
        <w:spacing w:line="360" w:lineRule="auto"/>
        <w:ind w:firstLine="420"/>
        <w:contextualSpacing/>
        <w:rPr>
          <w:rFonts w:ascii="宋体" w:hAnsi="Calibri"/>
          <w:lang w:eastAsia="zh-CN"/>
        </w:rPr>
      </w:pPr>
      <w:r>
        <w:rPr>
          <w:rFonts w:ascii="宋体" w:hAnsi="Calibri"/>
          <w:highlight w:val="white"/>
          <w:lang w:eastAsia="zh-CN"/>
        </w:rPr>
        <w:t>投资者投资本基金每份基金份额需要持有至少</w:t>
      </w:r>
      <w:r>
        <w:rPr>
          <w:rFonts w:ascii="宋体" w:hAnsi="Calibri"/>
          <w:lang w:eastAsia="zh-CN"/>
        </w:rPr>
        <w:t>3个月</w:t>
      </w:r>
      <w:r>
        <w:rPr>
          <w:rFonts w:ascii="宋体" w:hAnsi="Calibri"/>
          <w:highlight w:val="white"/>
          <w:lang w:eastAsia="zh-CN"/>
        </w:rPr>
        <w:t>以上，面临在</w:t>
      </w:r>
      <w:r>
        <w:rPr>
          <w:rFonts w:ascii="宋体" w:hAnsi="Calibri"/>
          <w:lang w:eastAsia="zh-CN"/>
        </w:rPr>
        <w:t>3个月</w:t>
      </w:r>
      <w:r>
        <w:rPr>
          <w:rFonts w:ascii="宋体" w:hAnsi="Calibri"/>
          <w:highlight w:val="white"/>
          <w:lang w:eastAsia="zh-CN"/>
        </w:rPr>
        <w:t>最短持有期内赎回无法确认的流动性风险以及基金净值可能发生较大波动的风险。投资者应当根据自身投资目标、投资期限等情况审慎作出投资决策。</w:t>
      </w:r>
    </w:p>
    <w:p w:rsidR="005C6370" w:rsidP="00A24D29" w14:paraId="6AEFA700" w14:textId="77777777">
      <w:pPr>
        <w:spacing w:line="360" w:lineRule="auto"/>
        <w:ind w:firstLine="420" w:firstLineChars="200"/>
        <w:contextualSpacing/>
        <w:rPr>
          <w:rFonts w:ascii="宋体" w:hAnsi="Calibri"/>
          <w:szCs w:val="21"/>
          <w:lang w:eastAsia="zh-CN"/>
        </w:rPr>
      </w:pPr>
      <w:r>
        <w:rPr>
          <w:rFonts w:ascii="宋体" w:hAnsi="Calibri" w:hint="eastAsia"/>
          <w:highlight w:val="white"/>
          <w:lang w:eastAsia="zh-CN"/>
        </w:rPr>
        <w:t>3、</w:t>
      </w:r>
      <w:r>
        <w:rPr>
          <w:rFonts w:ascii="宋体" w:hAnsi="Calibri" w:hint="eastAsia"/>
          <w:szCs w:val="21"/>
          <w:highlight w:val="white"/>
          <w:lang w:eastAsia="zh-CN"/>
        </w:rPr>
        <w:t>投资于非权益类资产的风险</w:t>
      </w:r>
    </w:p>
    <w:p w:rsidR="005C6370" w:rsidP="00A24D29" w14:paraId="06E69C85" w14:textId="77777777">
      <w:pPr>
        <w:spacing w:line="360" w:lineRule="auto"/>
        <w:ind w:firstLine="420"/>
        <w:contextualSpacing/>
        <w:rPr>
          <w:rFonts w:ascii="宋体" w:hAnsi="Calibri"/>
          <w:lang w:eastAsia="zh-CN"/>
        </w:rPr>
      </w:pPr>
      <w:r>
        <w:rPr>
          <w:rFonts w:ascii="宋体" w:hAnsi="Calibri" w:hint="eastAsia"/>
          <w:szCs w:val="21"/>
          <w:highlight w:val="white"/>
          <w:lang w:eastAsia="zh-CN"/>
        </w:rPr>
        <w:t>本基金是混合型基金中基金，</w:t>
      </w:r>
      <w:r>
        <w:rPr>
          <w:rFonts w:ascii="宋体" w:hAnsi="Calibri" w:hint="eastAsia"/>
          <w:bCs/>
          <w:szCs w:val="21"/>
          <w:highlight w:val="white"/>
          <w:lang w:eastAsia="zh-CN"/>
        </w:rPr>
        <w:t>权益类资产占基金资产的比例为5</w:t>
      </w:r>
      <w:r>
        <w:rPr>
          <w:rFonts w:ascii="宋体" w:hAnsi="Calibri"/>
          <w:bCs/>
          <w:szCs w:val="21"/>
          <w:highlight w:val="white"/>
          <w:lang w:eastAsia="zh-CN"/>
        </w:rPr>
        <w:t>%</w:t>
      </w:r>
      <w:r>
        <w:rPr>
          <w:rFonts w:ascii="宋体" w:hAnsi="Calibri" w:hint="eastAsia"/>
          <w:bCs/>
          <w:szCs w:val="21"/>
          <w:highlight w:val="white"/>
          <w:lang w:eastAsia="zh-CN"/>
        </w:rPr>
        <w:t>-30%，即投资于非权益类资产的比例不低于基金资产的70%，很大程度上将直接或间接承担非权益类资产的利率风险、信用风险、再投资风险、债券收益率曲线变动风险、商品价格波动风险等。此外，本基金将部分混合型基金归入非权益类资产，这部分混合型基金也可投资于股票，由此可能需承担股票投资相关的波动和风险</w:t>
      </w:r>
      <w:r>
        <w:rPr>
          <w:rFonts w:ascii="宋体" w:hAnsi="Calibri" w:hint="eastAsia"/>
          <w:highlight w:val="white"/>
          <w:lang w:eastAsia="zh-CN"/>
        </w:rPr>
        <w:t>。</w:t>
      </w:r>
    </w:p>
    <w:p w:rsidR="005C6370" w:rsidP="00A24D29" w14:paraId="580F54FC" w14:textId="77777777">
      <w:pPr>
        <w:spacing w:line="360" w:lineRule="auto"/>
        <w:ind w:firstLine="420" w:firstLineChars="200"/>
        <w:contextualSpacing/>
        <w:rPr>
          <w:rFonts w:ascii="宋体" w:hAnsi="Calibri"/>
          <w:szCs w:val="21"/>
          <w:lang w:eastAsia="zh-CN"/>
        </w:rPr>
      </w:pPr>
      <w:r>
        <w:rPr>
          <w:rFonts w:ascii="宋体" w:hAnsi="Calibri"/>
          <w:szCs w:val="21"/>
          <w:highlight w:val="white"/>
          <w:lang w:eastAsia="zh-CN"/>
        </w:rPr>
        <w:t>4</w:t>
      </w:r>
      <w:r>
        <w:rPr>
          <w:rFonts w:ascii="宋体" w:hAnsi="Calibri" w:hint="eastAsia"/>
          <w:szCs w:val="21"/>
          <w:highlight w:val="white"/>
          <w:lang w:eastAsia="zh-CN"/>
        </w:rPr>
        <w:t>、投资于其他基金所特有的风险</w:t>
      </w:r>
    </w:p>
    <w:p w:rsidR="005C6370" w:rsidP="00A24D29" w14:paraId="5F3C2A00"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本基金投资于</w:t>
      </w:r>
      <w:r>
        <w:rPr>
          <w:rFonts w:ascii="宋体" w:hAnsi="Calibri" w:hint="eastAsia"/>
          <w:highlight w:val="white"/>
          <w:lang w:eastAsia="zh-CN"/>
        </w:rPr>
        <w:t>经中国证监会依法核准或注册</w:t>
      </w:r>
      <w:r>
        <w:rPr>
          <w:rFonts w:ascii="宋体" w:hAnsi="Calibri"/>
          <w:highlight w:val="white"/>
          <w:lang w:eastAsia="zh-CN"/>
        </w:rPr>
        <w:t>基金</w:t>
      </w:r>
      <w:r>
        <w:rPr>
          <w:rFonts w:ascii="宋体" w:hAnsi="Calibri" w:hint="eastAsia"/>
          <w:szCs w:val="21"/>
          <w:highlight w:val="white"/>
          <w:lang w:eastAsia="zh-CN"/>
        </w:rPr>
        <w:t>的资产不低于基金资产的80%，由此可能面临如下风险：</w:t>
      </w:r>
    </w:p>
    <w:p w:rsidR="005C6370" w:rsidP="00A24D29" w14:paraId="222435C4"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（1）被投资基金的业绩风险。本基金投资于</w:t>
      </w:r>
      <w:r>
        <w:rPr>
          <w:rFonts w:ascii="宋体" w:hAnsi="Calibri" w:hint="eastAsia"/>
          <w:highlight w:val="white"/>
          <w:lang w:eastAsia="zh-CN"/>
        </w:rPr>
        <w:t>经中国证监会依法核准或注册</w:t>
      </w:r>
      <w:r>
        <w:rPr>
          <w:rFonts w:ascii="宋体" w:hAnsi="Calibri"/>
          <w:highlight w:val="white"/>
          <w:lang w:eastAsia="zh-CN"/>
        </w:rPr>
        <w:t>基金</w:t>
      </w:r>
      <w:r>
        <w:rPr>
          <w:rFonts w:ascii="宋体" w:hAnsi="Calibri" w:hint="eastAsia"/>
          <w:szCs w:val="21"/>
          <w:highlight w:val="white"/>
          <w:lang w:eastAsia="zh-CN"/>
        </w:rPr>
        <w:t>的资产不低于基金资产的80%，因此本基金投资目标的实现建立在被投资基金本身投资目标实现的基础上。如果由于被投资基金未能实现投资目标，则本基金存在达不成投资目标的风险。</w:t>
      </w:r>
    </w:p>
    <w:p w:rsidR="005C6370" w:rsidP="00A24D29" w14:paraId="622F6C07"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2）赎回资金到账时间较晚的风险。基金赎回的资金交收效率慢于基础证券市场交易的证券，因此本基金赎回款实际到达投资者账户的时间可能晚于普通境内开放式基金，存在对投资者资金安排造成影响的风险。</w:t>
      </w:r>
    </w:p>
    <w:p w:rsidR="005C6370" w:rsidP="00A24D29" w14:paraId="505041DA"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3）双重收费风险。本基金的投资范围包含全市场基金，投资于非本基金管理人管理的其他基金时，存在本基金与被投资基金各类基金费用的双重收取情况，相较于其他基金产品存在额外增加投资者投资成本的风险。</w:t>
      </w:r>
    </w:p>
    <w:p w:rsidR="005C6370" w:rsidP="00A24D29" w14:paraId="31FB24F5"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（4）投资QDII基金的特有风险</w:t>
      </w:r>
    </w:p>
    <w:p w:rsidR="005C6370" w:rsidP="00A24D29" w14:paraId="0AC59FE7"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本基金可投资于QDII基金，主要存在如下风险：①QDII基金主要投资境外市场，因此本基金投资QDII基金时，将间接承担境外市场波动以及汇率波动的风险；②按照目前的业务规则，QDII基金的赎回款项将在T+10内进行支付（T为赎回申请日），晚于普通境内基金的支付时间。因此，可能存在QDII基金赎回款到账时间较晚，本基金无法及时支付投资者赎回款项的风险；③由于投资QDII基金，正常情况下，本基金将于T+2日（T日为开放日）对T日的基金资产净值进行估值，T+3日对投资人申购、赎回申请的有效性进行确认，投资人可于T+4日到销售网点柜台或以销售机构规定的其他方式查询申请的确认情况，这将导致投资者承担更长时间基金净值波动的风险。</w:t>
      </w:r>
    </w:p>
    <w:p w:rsidR="005C6370" w:rsidP="00A24D29" w14:paraId="5A940CAD"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（5）投资香港互认基金的特有风险</w:t>
      </w:r>
    </w:p>
    <w:p w:rsidR="005C6370" w:rsidP="00A24D29" w14:paraId="7CB725AE"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香港互认基金是指依照香港法律在香港设立、运作和公开销售，并经中国证监会批准在内地公开销售的单位信托、互惠基金或者其他形式的集体投资计划，香港互认基金管理人委托内地符合条件的机构作为代理人办理基金在境内的相关业务。本基金可投资于香港互认基金，主要存在如下风险：</w:t>
      </w:r>
    </w:p>
    <w:p w:rsidR="005C6370" w:rsidP="00A24D29" w14:paraId="192D8670"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1）香港互认基金境外投资风险</w:t>
      </w:r>
    </w:p>
    <w:p w:rsidR="005C6370" w:rsidP="00A24D29" w14:paraId="028B44D7"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香港互认基金投资标的主要包括内地以外的其他司法管辖区（简称为“境外”）的金融工具，投资香港互认基金面临不同于内地投资标的的投资风险，包括但不限于境外投资的市场风险、政府管制风险、政治风险、法律风险、汇率风险、基金的税务风险、境外特殊标的风险等，从而可能增加本基金的投资风险。</w:t>
      </w:r>
    </w:p>
    <w:p w:rsidR="005C6370" w:rsidP="00A24D29" w14:paraId="33DCB0E4"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①境外投资市场风险</w:t>
      </w:r>
    </w:p>
    <w:p w:rsidR="005C6370" w:rsidP="00A24D29" w14:paraId="347AEAEE"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境外投资受到所投资市场宏观经济运行情况、货币政策、财政政策、产业政策、税法、汇率、交易规则、结算、托管以及其他运作风险等多种因素的影响，上述因素的波动和变化可能会使香港互认基金资产面临潜在风险。</w:t>
      </w:r>
    </w:p>
    <w:p w:rsidR="005C6370" w:rsidP="00A24D29" w14:paraId="6A937D9B"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②政府管制风险</w:t>
      </w:r>
    </w:p>
    <w:p w:rsidR="005C6370" w:rsidP="00A24D29" w14:paraId="374698A6"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境外市场与内地市场的管制程度和具体措施不同，当地政府可能通过对财政、货币、产业等方面的政策进行管制，由此导致市场波动而影响香港互认基金收益。</w:t>
      </w:r>
    </w:p>
    <w:p w:rsidR="005C6370" w:rsidP="00A24D29" w14:paraId="2A5ADD04"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③政治风险</w:t>
      </w:r>
    </w:p>
    <w:p w:rsidR="005C6370" w:rsidP="00A24D29" w14:paraId="7ADDAB94"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因政治局势变化（如战争、罢工等）可能导致当地市场出现较大波动，从而给香港互认基金的投资收益造成直接或间接的影响。此外，香港互认基金所投资市场可能会不时采取某些管制措施，如资本或外汇管制、对公司或行业的国有化以及征收高额税收等，从而对香港互认基金收益带来不利影响。</w:t>
      </w:r>
    </w:p>
    <w:p w:rsidR="005C6370" w:rsidP="00A24D29" w14:paraId="250C57C2"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④法律风险</w:t>
      </w:r>
    </w:p>
    <w:p w:rsidR="005C6370" w:rsidP="00A24D29" w14:paraId="658F8537"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由于境外市场法律法规的颁布或变更，可能导致香港互认基金的某些投资行为受到限制，从而使得香港互认基金资产面临损失的可能。</w:t>
      </w:r>
    </w:p>
    <w:p w:rsidR="005C6370" w:rsidP="00A24D29" w14:paraId="4DF683B8"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⑤汇率风险</w:t>
      </w:r>
    </w:p>
    <w:p w:rsidR="005C6370" w:rsidP="00A24D29" w14:paraId="05280389"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香港互认基金的计价基础货币可能为美元、港币等外币，因此，本基金以人民币投资香港互认基金，可能承受由于人民币兑外币的汇率波动而产生的外汇风险。外币之间的汇率变化以及换汇费用将会影响本基金的投资收益。</w:t>
      </w:r>
    </w:p>
    <w:p w:rsidR="005C6370" w:rsidP="00A24D29" w14:paraId="6B1C6281"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⑥基金的税务风险</w:t>
      </w:r>
    </w:p>
    <w:p w:rsidR="005C6370" w:rsidP="00A24D29" w14:paraId="3AFBD07F"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由于境外市场在税务方面的法律法规与内地存在一定差异，境外市场可能会要求香港互认基金就股息、利息、资本利得等收益向当地税务机构缴纳税金，该行为会使香港互认基金收益受到一定影响。此外，境外市场的税收规定可能发生变化，或者实施具有追溯力的修订，从而导致本基金在该市场缴纳额外税项，影响香港互认基金收益。</w:t>
      </w:r>
    </w:p>
    <w:p w:rsidR="005C6370" w:rsidP="00A24D29" w14:paraId="697A65AF"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⑦境外特殊标的风险</w:t>
      </w:r>
    </w:p>
    <w:p w:rsidR="005C6370" w:rsidP="00A24D29" w14:paraId="179BEAB4"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不同于内地证券投资基金，香港互认基金的投资标的可能包括低于投资级别或未评级的债券、其他集合投资计划、房地产投资信托基金、商品、期权、股票挂钩票据等衍生工具等。</w:t>
      </w:r>
    </w:p>
    <w:p w:rsidR="005C6370" w:rsidP="00A24D29" w14:paraId="5387C618"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这些不同于内地的特殊投资标的存在特殊风险，可能使得香港互认基金资产面临损失。</w:t>
      </w:r>
    </w:p>
    <w:p w:rsidR="005C6370" w:rsidP="00A24D29" w14:paraId="1AC7643B"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2）香港基金互认机制相关风险</w:t>
      </w:r>
    </w:p>
    <w:p w:rsidR="005C6370" w:rsidP="00A24D29" w14:paraId="6E5CF948"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香港互认基金在内地销售需持续满足相关法规及监管要求，如基金在运作过程中不符合互认基金的条件或香港基金互认机制终止，相关香港互认基金可能会暂停或终止在内地销售；此外，香港互认基金在内地销售还可能面临内地代理人、内地销售机构或内地登记结算机构的操作风险、技术风险，跨境数据传输和跨境资金结算的系统风险、税收风险等，从而可能增加本基金的投资风险。</w:t>
      </w:r>
    </w:p>
    <w:p w:rsidR="005C6370" w:rsidP="00A24D29" w14:paraId="7FD434CA"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①香港互认基金暂停或终止内地销售的风险</w:t>
      </w:r>
    </w:p>
    <w:p w:rsidR="005C6370" w:rsidP="00A24D29" w14:paraId="0AFA307B"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若基金管理人或互认基金不满足中国证监会规定的香港互认基金条件，或监管部门终止香港基金互认机制，相关的香港互认基金将可能无法继续在内地销售。此外，香港互认基金将受到全面的额度限制。若在内地销售的全部香港互认基金的销售额度达到中国证监会和/或香港证监会和/或国家外汇管理局和/或其他监管机构规定的额度或者不时调整的额度，香港互认基金将暂停接受内地投资者的申购申请。</w:t>
      </w:r>
    </w:p>
    <w:p w:rsidR="005C6370" w:rsidP="00A24D29" w14:paraId="3B22A557"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②内地代理人、内地销售机构或内地登记结算机构的操作风险、技术风险</w:t>
      </w:r>
    </w:p>
    <w:p w:rsidR="005C6370" w:rsidP="00A24D29" w14:paraId="3B2DDF76"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内地投资者的申购、赎回由内地销售机构、内地代理人及/或内地登记结算机构与互认基金的基金管理人、行政管理人进行数据清算和资金交收，并由名义持有人代名持有内地投资者的基金份额。内地销售机构、内地代理人或内地登记结算机构在业务各环节操作过程中，因操作失误或违反操作规程等原因可能引致风险，可能因为技术系统的故障或者差错而影响清算交收的正常进行，或者导致投资者的利益受到影响。</w:t>
      </w:r>
    </w:p>
    <w:p w:rsidR="005C6370" w:rsidP="00A24D29" w14:paraId="69E27813"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③跨境数据传输和跨境资金结算的系统风险</w:t>
      </w:r>
    </w:p>
    <w:p w:rsidR="005C6370" w:rsidP="00A24D29" w14:paraId="3025524F"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申购、赎回香港互认基金的数据清算和资金交收将通过内地登记结算机构的基金登记结算系统平台和基金管理人或行政管理人采用的登记结算系统平台进行传输和交换，可能会发生并非由相关参与主体的过错而导致的技术系统故障或者差错而影响清算交收的正常进行。</w:t>
      </w:r>
    </w:p>
    <w:p w:rsidR="005C6370" w:rsidP="00A24D29" w14:paraId="22D37FA3"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④税收风险</w:t>
      </w:r>
    </w:p>
    <w:p w:rsidR="005C6370" w:rsidP="00A24D29" w14:paraId="26D44903"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由于中国内地与香港的税收政策存在差异，可能导致在内地销售的香港互认基金份额的资产回报有别于在香港销售的份额。同时，中国内地关于在内地销售的香港互认基金与内地普通证券投资基金之间在税收政策上也存在差异，例如香港互认基金份额转让需支付香港印花税以及份额转让定额税项，内地个人投资者从香港互认基金分配获得的收益需缴纳个人所得税等，以上税收差异可能使内地销售的互认基金份额的投资收益和回报受到影响。</w:t>
      </w:r>
    </w:p>
    <w:p w:rsidR="005C6370" w:rsidP="00A24D29" w14:paraId="3901C5CB"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⑤名义持有人机制风险</w:t>
      </w:r>
    </w:p>
    <w:p w:rsidR="005C6370" w:rsidP="00A24D29" w14:paraId="140DBE16"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与内地基金的注册登记规则不同，内地投资者持有的互认基金份额将由名义持有人代名持有并以名义持有人的名义登记为份额持有人。内地投资者并不会被基金注册登记机构直接登记于份额持有人登记册上。虽然在此安排下内地投资者仍是互认基金份额的实益拥有人，但名义持有人是该等基金份额法律上的拥有人。在此情况下，内地投资者与互认基金管理人、受托人并无任何直接合约关系。内地投资者对互认基金管理人及／或受托人若有任何权利主张，可通过名义持有人向互认基金管理人及／或受托人提出，相应费用由内地投资者自行承担。</w:t>
      </w:r>
    </w:p>
    <w:p w:rsidR="005C6370" w:rsidP="00A24D29" w14:paraId="6E421473"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⑥强制赎回风险</w:t>
      </w:r>
    </w:p>
    <w:p w:rsidR="005C6370" w:rsidP="00A24D29" w14:paraId="78178466"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对于内地销售的互认基金份额而言，若赎回部分基金份额将导致赎回后其持有的相应类别的基金份额的价值少于互认基金规定的最低持有额，互认基金管理人有权要求剩余的基金份额一并被全部赎回。除此之外，若互认基金管理人认为基金投资者继续持有互认基金份额存在违反任何法律法规、基金合同约定或其他互认基金要求（如可能对互认基金或其他基金份额持有人产生不利的监管、税务或财政后果）的情况下，互认基金管理人可以强制赎回基金投资者持有的互认基金份额。</w:t>
      </w:r>
    </w:p>
    <w:p w:rsidR="005C6370" w:rsidP="00A24D29" w14:paraId="393F2A60"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⑦基金份额净值计算和差错处理差异的风险</w:t>
      </w:r>
    </w:p>
    <w:p w:rsidR="005C6370" w:rsidP="00A24D29" w14:paraId="47497F50"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香港互认基金与内地公募基金根据适用的法规以及各自基金合同约定，其在基金份额净值计算、估值错误处理规则等方面存在差异，相应的过错责任方按基金合同约定承担赔偿责任的处理也会有所不同，由此可能增加本基金的相关投资风险。</w:t>
      </w:r>
    </w:p>
    <w:p w:rsidR="005C6370" w:rsidP="00A24D29" w14:paraId="69A6031E"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w:t>
      </w:r>
      <w:r>
        <w:rPr>
          <w:rFonts w:ascii="宋体" w:hAnsi="Calibri"/>
          <w:szCs w:val="21"/>
          <w:highlight w:val="white"/>
          <w:lang w:eastAsia="zh-CN"/>
        </w:rPr>
        <w:t>6</w:t>
      </w:r>
      <w:r>
        <w:rPr>
          <w:rFonts w:ascii="宋体" w:hAnsi="Calibri" w:hint="eastAsia"/>
          <w:szCs w:val="21"/>
          <w:highlight w:val="white"/>
          <w:lang w:eastAsia="zh-CN"/>
        </w:rPr>
        <w:t>）投资于商品基金的风险</w:t>
      </w:r>
    </w:p>
    <w:p w:rsidR="005C6370" w:rsidP="00A24D29" w14:paraId="20D274AF"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本基金可投资于商品基金（包括商品期货基金和黄金ETF等），由此可能间接面临商品价格波动风险、商品期货市场波动风险等投资风险，从而使基金收益水平发生变化，产生风险。</w:t>
      </w:r>
    </w:p>
    <w:p w:rsidR="005C6370" w:rsidP="00A24D29" w14:paraId="44D32ECC"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w:t>
      </w:r>
      <w:r>
        <w:rPr>
          <w:rFonts w:ascii="宋体" w:hAnsi="Calibri"/>
          <w:szCs w:val="21"/>
          <w:highlight w:val="white"/>
          <w:lang w:eastAsia="zh-CN"/>
        </w:rPr>
        <w:t>7</w:t>
      </w:r>
      <w:r>
        <w:rPr>
          <w:rFonts w:ascii="宋体" w:hAnsi="Calibri" w:hint="eastAsia"/>
          <w:szCs w:val="21"/>
          <w:highlight w:val="white"/>
          <w:lang w:eastAsia="zh-CN"/>
        </w:rPr>
        <w:t>）投资公募REITs的特有风险</w:t>
      </w:r>
    </w:p>
    <w:p w:rsidR="005C6370" w:rsidP="00A24D29" w14:paraId="74B71E0D"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公募REITs采用“公募基金+不动产资产支持证券”的产品结构，主要特点如下：一是公募REITs与投资股票或债券的公募基金具有不同的风险收益特征，80%以上基金资产投资于不动产资产支持证券，并持有其全部份额，基金通过不动产资产支持证券持有不动产项目公司全部股权，穿透取得不动产项目完全所有权或经营权利；二是公募REITs以获取不动产项目租金、收费等稳定现金流为主要目的，收益分配比例不低于合并后基金年度可供分配金额的 90%；三是公募REITs采取封闭式运作，不开放申购与赎回，在证券交易所上市，场外份额持有人需将基金份额转托管至场内才可卖出或申报预受要约。</w:t>
      </w:r>
    </w:p>
    <w:p w:rsidR="005C6370" w:rsidP="00A24D29" w14:paraId="3008BFAD"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投资公募REITs可能面临以下风险，包括但不限于：</w:t>
      </w:r>
    </w:p>
    <w:p w:rsidR="005C6370" w:rsidP="00A24D29" w14:paraId="5AAE1980"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1）基金价格波动风险。</w:t>
      </w:r>
    </w:p>
    <w:p w:rsidR="005C6370" w:rsidP="00A24D29" w14:paraId="6415328B"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公募REITs大部分资产投资于不动产项目，具有权益属性，受经济环境、运营管理等因素影响，不动产项目市场价值及现金流情况可能发生变化，可能引起公募REITs价格波动，甚至存在不动产项目遭遇极端事件（如地震、台风等）发生较大损失而影响基金价格的风险。</w:t>
      </w:r>
    </w:p>
    <w:p w:rsidR="005C6370" w:rsidP="00A24D29" w14:paraId="1C40DFAE"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2）不动产项目运营风险。</w:t>
      </w:r>
    </w:p>
    <w:p w:rsidR="005C6370" w:rsidP="00A24D29" w14:paraId="7FD1E03D"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公募REITs投资集中度高，收益率很大程度依赖不动产项目运营情况，不动产项目可能因经济环境变化或运营不善等因素影响，导致实际现金流大幅低于测算现金流，存在基金收益率不佳的风险，不动产项目运营过程中租金、收费等收入的波动也将影响基金收益分配水平的稳定。公募REITs可直接或间接对外借款，存在不动产项目经营不达预期，基金无法偿还借款的风险。此外，本产品可能投资商业不动产公募REITs，商业不动产项目可能具有更高的市场敏感性和成长潜力，对于管理人的精细化运营管理能力及公募REITs金融管理经验有较高的要求，且商业不动产项目的底层资产价值、出租率、经营收入受经济转型、商业地产结构性调整等市场环境影响较大，可能影响基金整体收益表现。</w:t>
      </w:r>
    </w:p>
    <w:p w:rsidR="005C6370" w:rsidP="00A24D29" w14:paraId="31946FAF"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3）流动性风险。</w:t>
      </w:r>
    </w:p>
    <w:p w:rsidR="005C6370" w:rsidP="00A24D29" w14:paraId="268D593A"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公募REITs采取封闭式运作，不开通申购赎回，只能在二级市场交易，存在流动性不足的风险。</w:t>
      </w:r>
    </w:p>
    <w:p w:rsidR="005C6370" w:rsidP="00A24D29" w14:paraId="17A4D8F2"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4）终止上市风险。公募REITs运作过程中可能因触发法律法规或交易所规定的终止上市情形而终止上市，导致投资者无法在二级市场交易。</w:t>
      </w:r>
    </w:p>
    <w:p w:rsidR="005C6370" w:rsidP="00A24D29" w14:paraId="2A236B58"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5）税收等政策调整风险。</w:t>
      </w:r>
    </w:p>
    <w:p w:rsidR="005C6370" w:rsidP="00A24D29" w14:paraId="2BD9E7FC"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公募REITs运作过程中可能涉及基金持有人、公募基金、资产支持证券、项目公司等多层面税负，如果国家税收等政策发生调整，可能影响投资运作与基金收益。</w:t>
      </w:r>
    </w:p>
    <w:p w:rsidR="005C6370" w:rsidP="00A24D29" w14:paraId="61A5804B"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6）公募REITs相关法律、行政法规、部门规章、规范性文件（以下简称法律法规）和交易所业务规则，可能根据市场情况进行修改，或者制定新的法律法规和业务规则，投资者应当及时予以关注和了解。</w:t>
      </w:r>
    </w:p>
    <w:p w:rsidR="005C6370" w:rsidP="00A24D29" w14:paraId="25379D9B"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w:t>
      </w:r>
      <w:r>
        <w:rPr>
          <w:rFonts w:ascii="宋体" w:hAnsi="Calibri"/>
          <w:szCs w:val="21"/>
          <w:highlight w:val="white"/>
          <w:lang w:eastAsia="zh-CN"/>
        </w:rPr>
        <w:t>8</w:t>
      </w:r>
      <w:r>
        <w:rPr>
          <w:rFonts w:ascii="宋体" w:hAnsi="Calibri" w:hint="eastAsia"/>
          <w:szCs w:val="21"/>
          <w:highlight w:val="white"/>
          <w:lang w:eastAsia="zh-CN"/>
        </w:rPr>
        <w:t>）可上市交易基金的二级市场投资风险</w:t>
      </w:r>
    </w:p>
    <w:p w:rsidR="005C6370" w:rsidP="00A24D29" w14:paraId="61A60D69"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本基金可通过二级市场进行ETF、LOF、封闭式基金的买卖交易，由此可能面临交易量不足所引起的流动性风险、交易价格与基金份额净值之间的折溢价风险以及被投资基金暂停交易或退市的风险等。</w:t>
      </w:r>
    </w:p>
    <w:p w:rsidR="005C6370" w:rsidP="00A24D29" w14:paraId="3A5D67A3"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w:t>
      </w:r>
      <w:r>
        <w:rPr>
          <w:rFonts w:ascii="宋体" w:hAnsi="Calibri"/>
          <w:szCs w:val="21"/>
          <w:highlight w:val="white"/>
          <w:lang w:eastAsia="zh-CN"/>
        </w:rPr>
        <w:t>9</w:t>
      </w:r>
      <w:r>
        <w:rPr>
          <w:rFonts w:ascii="宋体" w:hAnsi="Calibri" w:hint="eastAsia"/>
          <w:szCs w:val="21"/>
          <w:highlight w:val="white"/>
          <w:lang w:eastAsia="zh-CN"/>
        </w:rPr>
        <w:t>）被投资基金的运作风险</w:t>
      </w:r>
    </w:p>
    <w:p w:rsidR="005C6370" w:rsidP="00A24D29" w14:paraId="2C5DA0AC"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具体包括基金投资风格漂移风险、基金经理变更风险、基金实际运作风险以及基金产品设计开发创新风险等。此外，封闭式基金到期转开放、基金清算、基金合并等事件也会带来风险。虽然本基金管理人将会从基金风格、投资能力、管理团队、实际运作情况等多方面精选基金投资品种，但无法完全规避基金运作风险。</w:t>
      </w:r>
    </w:p>
    <w:p w:rsidR="005C6370" w:rsidP="00A24D29" w14:paraId="1EE9B2C4"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w:t>
      </w:r>
      <w:r>
        <w:rPr>
          <w:rFonts w:ascii="宋体" w:hAnsi="Calibri"/>
          <w:szCs w:val="21"/>
          <w:highlight w:val="white"/>
          <w:lang w:eastAsia="zh-CN"/>
        </w:rPr>
        <w:t>10</w:t>
      </w:r>
      <w:r>
        <w:rPr>
          <w:rFonts w:ascii="宋体" w:hAnsi="Calibri" w:hint="eastAsia"/>
          <w:szCs w:val="21"/>
          <w:highlight w:val="white"/>
          <w:lang w:eastAsia="zh-CN"/>
        </w:rPr>
        <w:t>）被投资基金的基金管理人经营风险</w:t>
      </w:r>
    </w:p>
    <w:p w:rsidR="005C6370" w:rsidP="00A24D29" w14:paraId="067BB93C"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基金的投资业绩会受到基金管理人的经营状况的影响。如基金管理人面临的管理能力、财务状况、市场前景、行业竞争、人员素质等因素的变化均会导致基金投资业绩的波动。虽然本基金可以通过投资多样化分散这种非系统风险，但不能完全规避。特别地，在本基金投资策略的实施过程中，可将基金资产部分或全部投资于本基金管理人管理的其他基金，在这种情况下，本基金将无法通过投资多样化来分散这种非系统性风险。</w:t>
      </w:r>
    </w:p>
    <w:p w:rsidR="005C6370" w:rsidP="00A24D29" w14:paraId="537DF6D5"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w:t>
      </w:r>
      <w:r>
        <w:rPr>
          <w:rFonts w:ascii="宋体" w:hAnsi="Calibri"/>
          <w:szCs w:val="21"/>
          <w:highlight w:val="white"/>
          <w:lang w:eastAsia="zh-CN"/>
        </w:rPr>
        <w:t>11</w:t>
      </w:r>
      <w:r>
        <w:rPr>
          <w:rFonts w:ascii="宋体" w:hAnsi="Calibri" w:hint="eastAsia"/>
          <w:szCs w:val="21"/>
          <w:highlight w:val="white"/>
          <w:lang w:eastAsia="zh-CN"/>
        </w:rPr>
        <w:t>）被投资基金的相关政策风险</w:t>
      </w:r>
    </w:p>
    <w:p w:rsidR="005C6370" w:rsidP="00A24D29" w14:paraId="22732086"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本基金主要投资于各类其他基金，如遇国家金融政策发生重大调整，导致被投资基金的基金管理人、基金投资操作、基金运作方式发生较大变化，可能影响本基金的收益水平。</w:t>
      </w:r>
    </w:p>
    <w:p w:rsidR="005C6370" w:rsidP="00A24D29" w14:paraId="35B371AC"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5、可能较大比例投资于基金管理人旗下基金所面临的风险</w:t>
      </w:r>
    </w:p>
    <w:p w:rsidR="005C6370" w:rsidP="00A24D29" w14:paraId="401CA7C7"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基金的投资业绩会受到基金管理人的经营状况的影响，如基金管理人的管理能力、财务状况、市场前景、行业竞争、人员素质等因素的变化均会导致基金投资业绩的波动。</w:t>
      </w:r>
    </w:p>
    <w:p w:rsidR="005C6370" w:rsidP="00A24D29" w14:paraId="265D6465"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本基金的投资范围涵盖全市场的基金品种，基金管理人将采用客观、公平的评价方法进行标的池的构建以及可投资基金的筛选，本基金基金管理人所管理的基金一并纳入上述评价体系。在上述过程中，出于基金业绩、费率水平等因素，可能出现本基金基金管理人旗下基金的评分整体较高，本基金可能较大比例投资于本基金基金管理人旗下基金的情况，当本基金基金管理人发生经营风险时，本基金的投资业绩将受到较大影响。本基金基金管理人承诺按照法规及基金合同规定的方式和条件进行投资，公平对待基金财产，基金投资者持有本基金基金份额的行为即视为认可此等关联交易情形的存在并自愿承担相关投资风险。</w:t>
      </w:r>
    </w:p>
    <w:p w:rsidR="005C6370" w:rsidP="00A24D29" w14:paraId="67E14E21" w14:textId="77777777">
      <w:pPr>
        <w:spacing w:line="360" w:lineRule="auto"/>
        <w:ind w:firstLine="420"/>
        <w:contextualSpacing/>
        <w:rPr>
          <w:lang w:eastAsia="zh-CN"/>
        </w:rPr>
      </w:pPr>
      <w:r>
        <w:rPr>
          <w:rFonts w:ascii="宋体" w:hAnsi="宋体"/>
          <w:highlight w:val="white"/>
          <w:lang w:eastAsia="zh-CN"/>
        </w:rPr>
        <w:t>6</w:t>
      </w:r>
      <w:r>
        <w:rPr>
          <w:rFonts w:ascii="宋体" w:hAnsi="宋体" w:hint="eastAsia"/>
          <w:highlight w:val="white"/>
          <w:lang w:eastAsia="zh-CN"/>
        </w:rPr>
        <w:t>、</w:t>
      </w:r>
      <w:r>
        <w:rPr>
          <w:highlight w:val="white"/>
          <w:lang w:eastAsia="zh-CN"/>
        </w:rPr>
        <w:t>通过内地与香港股票市场交易互联互通机制投资于香港证券市场股票、港股通</w:t>
      </w:r>
      <w:r>
        <w:rPr>
          <w:rFonts w:ascii="宋体" w:hAnsi="宋体" w:cs="宋体" w:hint="eastAsia"/>
          <w:highlight w:val="white"/>
          <w:lang w:eastAsia="zh-CN"/>
        </w:rPr>
        <w:t>E</w:t>
      </w:r>
      <w:r>
        <w:rPr>
          <w:rFonts w:ascii="宋体" w:hAnsi="宋体" w:cs="宋体"/>
          <w:highlight w:val="white"/>
          <w:lang w:eastAsia="zh-CN"/>
        </w:rPr>
        <w:t>TF</w:t>
      </w:r>
      <w:r>
        <w:rPr>
          <w:highlight w:val="white"/>
          <w:lang w:eastAsia="zh-CN"/>
        </w:rPr>
        <w:t>的风险</w:t>
      </w:r>
    </w:p>
    <w:p w:rsidR="005C6370" w:rsidP="00A24D29" w14:paraId="497F4737" w14:textId="77777777">
      <w:pPr>
        <w:spacing w:line="360" w:lineRule="auto"/>
        <w:ind w:firstLine="420"/>
        <w:contextualSpacing/>
        <w:rPr>
          <w:lang w:eastAsia="zh-CN"/>
        </w:rPr>
      </w:pPr>
      <w:r>
        <w:rPr>
          <w:rFonts w:ascii="宋体" w:hAnsi="Calibri" w:hint="eastAsia"/>
          <w:highlight w:val="white"/>
          <w:lang w:eastAsia="zh-CN"/>
        </w:rPr>
        <w:t>本基金的投资范围包括港股通股票、港股通ETF</w:t>
      </w:r>
      <w:r>
        <w:rPr>
          <w:rFonts w:hint="eastAsia"/>
          <w:highlight w:val="white"/>
          <w:lang w:eastAsia="zh-CN"/>
        </w:rPr>
        <w:t>，除与其他投</w:t>
      </w:r>
      <w:r>
        <w:rPr>
          <w:rFonts w:ascii="宋体" w:hAnsi="宋体" w:hint="eastAsia"/>
          <w:szCs w:val="21"/>
          <w:highlight w:val="white"/>
          <w:lang w:eastAsia="zh-CN"/>
        </w:rPr>
        <w:t>资于股票的基金所面临的共同风险外，</w:t>
      </w:r>
      <w:r>
        <w:rPr>
          <w:rFonts w:hint="eastAsia"/>
          <w:highlight w:val="white"/>
          <w:lang w:eastAsia="zh-CN"/>
        </w:rPr>
        <w:t>本基金还将面临以下特有风险，包括但不限于：</w:t>
      </w:r>
    </w:p>
    <w:p w:rsidR="005C6370" w:rsidP="00A24D29" w14:paraId="32DBF328" w14:textId="77777777">
      <w:pPr>
        <w:spacing w:line="360" w:lineRule="auto"/>
        <w:ind w:firstLine="420"/>
        <w:contextualSpacing/>
        <w:rPr>
          <w:rFonts w:ascii="宋体" w:hAnsi="宋体" w:hint="eastAsia"/>
          <w:szCs w:val="21"/>
          <w:lang w:eastAsia="zh-CN"/>
        </w:rPr>
      </w:pPr>
      <w:r>
        <w:rPr>
          <w:rFonts w:ascii="宋体" w:hAnsi="宋体" w:hint="eastAsia"/>
          <w:szCs w:val="21"/>
          <w:highlight w:val="white"/>
          <w:lang w:eastAsia="zh-CN"/>
        </w:rPr>
        <w:t>（1）投资于香港证券市场的特有风险</w:t>
      </w:r>
    </w:p>
    <w:p w:rsidR="005C6370" w:rsidP="00A24D29" w14:paraId="3B0C07C5" w14:textId="77777777">
      <w:pPr>
        <w:spacing w:line="360" w:lineRule="auto"/>
        <w:ind w:firstLine="420"/>
        <w:contextualSpacing/>
        <w:rPr>
          <w:rFonts w:ascii="宋体" w:hAnsi="宋体" w:hint="eastAsia"/>
          <w:szCs w:val="21"/>
          <w:lang w:eastAsia="zh-CN"/>
        </w:rPr>
      </w:pPr>
      <w:r>
        <w:rPr>
          <w:rFonts w:ascii="宋体" w:hAnsi="宋体" w:hint="eastAsia"/>
          <w:szCs w:val="21"/>
          <w:highlight w:val="white"/>
          <w:lang w:eastAsia="zh-CN"/>
        </w:rPr>
        <w:t>1）香港证券市场与内地证券市场规则差异的风险。香港证券市场与内地证券市场存在诸多差异，本基金参与港股通交易需遵守内地与香港相关法律、行政法规、部门规章、规范性文件和业务规则，对香港证券市场有所了解</w:t>
      </w:r>
      <w:r>
        <w:rPr>
          <w:rFonts w:hint="eastAsia"/>
          <w:highlight w:val="white"/>
          <w:lang w:eastAsia="zh-CN"/>
        </w:rPr>
        <w:t>；通过港股通参与香港证券市场交易与通过其他方式参与香港证券市场交易，也存在一定的差异</w:t>
      </w:r>
      <w:r>
        <w:rPr>
          <w:rFonts w:ascii="宋体" w:hAnsi="宋体" w:hint="eastAsia"/>
          <w:szCs w:val="21"/>
          <w:highlight w:val="white"/>
          <w:lang w:eastAsia="zh-CN"/>
        </w:rPr>
        <w:t>。以上情形可能增加本基金的投资风险。</w:t>
      </w:r>
    </w:p>
    <w:p w:rsidR="005C6370" w:rsidP="00A24D29" w14:paraId="5792D9EC"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2）港股通标的证券价格较大波动的风险。港股股票可能出现因公司基本面变化、第三方研究分析报告的观点、异常交易情形、做空机制等原因引起股价较大波动</w:t>
      </w:r>
      <w:r>
        <w:rPr>
          <w:rFonts w:ascii="宋体" w:hAnsi="宋体" w:hint="eastAsia"/>
          <w:szCs w:val="21"/>
          <w:highlight w:val="white"/>
          <w:lang w:eastAsia="zh-CN"/>
        </w:rPr>
        <w:t>的情形</w:t>
      </w:r>
      <w:r>
        <w:rPr>
          <w:rFonts w:ascii="宋体" w:hAnsi="宋体"/>
          <w:szCs w:val="21"/>
          <w:highlight w:val="white"/>
          <w:lang w:eastAsia="zh-CN"/>
        </w:rPr>
        <w:t>；</w:t>
      </w:r>
      <w:r w:rsidRPr="002650A2" w:rsidR="002650A2">
        <w:rPr>
          <w:rFonts w:ascii="宋体" w:hAnsi="宋体" w:hint="eastAsia"/>
          <w:szCs w:val="21"/>
          <w:lang w:eastAsia="zh-CN"/>
        </w:rPr>
        <w:t>部分港股通股票上市时间较短，且上市时自由流通股份较少，上市初期可能出现股价波动较大的情形；</w:t>
      </w:r>
      <w:r>
        <w:rPr>
          <w:rFonts w:ascii="宋体" w:hAnsi="宋体" w:hint="eastAsia"/>
          <w:szCs w:val="21"/>
          <w:highlight w:val="white"/>
          <w:lang w:eastAsia="zh-CN"/>
        </w:rPr>
        <w:t>港股通股票在上市第一年里，除受市场、资金、企业盈利等方面影响，还可能因投资者对新股情绪变化、限售解禁等因素，出现股价较大波动的情形；</w:t>
      </w:r>
      <w:r>
        <w:rPr>
          <w:rFonts w:ascii="宋体" w:hAnsi="宋体"/>
          <w:szCs w:val="21"/>
          <w:highlight w:val="white"/>
          <w:lang w:eastAsia="zh-CN"/>
        </w:rPr>
        <w:t>港股通股票可能因为上市公司注册地或主营业务经营所在地的政策法律变化、境外市场联动以及其他原因而出现股价较大波动的情形</w:t>
      </w:r>
      <w:r>
        <w:rPr>
          <w:rFonts w:ascii="宋体" w:hAnsi="宋体" w:hint="eastAsia"/>
          <w:szCs w:val="21"/>
          <w:highlight w:val="white"/>
          <w:lang w:eastAsia="zh-CN"/>
        </w:rPr>
        <w:t>；</w:t>
      </w:r>
      <w:r>
        <w:rPr>
          <w:rFonts w:ascii="宋体" w:hAnsi="宋体"/>
          <w:szCs w:val="21"/>
          <w:highlight w:val="white"/>
          <w:lang w:eastAsia="zh-CN"/>
        </w:rPr>
        <w:t>港股通ETF可能出现因跟踪标的指数成份证券大幅波动、流动性不佳、受有关场外结构化产品影响、交易异常情形等原因而引起价格较大波动、折溢价率和跟踪误差偏离合理区间等情形；此外，香港证券市场实行T+0回转交易机制，且股票及ETF交易不设涨跌幅限制，加之香港市场结构性产品和衍生品种类相对丰富以及做空机制的存在，港股通标的证券价格可能表现出更为剧烈的波动，由此增加本基金净值的波动风险。</w:t>
      </w:r>
    </w:p>
    <w:p w:rsidR="005C6370" w:rsidP="00A24D29" w14:paraId="37BF05E8"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3）生物科技公司</w:t>
      </w:r>
      <w:r>
        <w:rPr>
          <w:rFonts w:ascii="宋体" w:hAnsi="宋体" w:hint="eastAsia"/>
          <w:szCs w:val="21"/>
          <w:highlight w:val="white"/>
          <w:lang w:eastAsia="zh-CN"/>
        </w:rPr>
        <w:t>、特专科技公司</w:t>
      </w:r>
      <w:r>
        <w:rPr>
          <w:rFonts w:ascii="宋体" w:hAnsi="宋体"/>
          <w:szCs w:val="21"/>
          <w:highlight w:val="white"/>
          <w:lang w:eastAsia="zh-CN"/>
        </w:rPr>
        <w:t>投资风险。部分港股通生物科技公司</w:t>
      </w:r>
      <w:r>
        <w:rPr>
          <w:rFonts w:ascii="宋体" w:hAnsi="宋体" w:hint="eastAsia"/>
          <w:szCs w:val="21"/>
          <w:highlight w:val="white"/>
          <w:lang w:eastAsia="zh-CN"/>
        </w:rPr>
        <w:t>、特专科技公司</w:t>
      </w:r>
      <w:r>
        <w:rPr>
          <w:rFonts w:ascii="宋体" w:hAnsi="宋体"/>
          <w:szCs w:val="21"/>
          <w:highlight w:val="white"/>
          <w:lang w:eastAsia="zh-CN"/>
        </w:rPr>
        <w:t>可能存在公开发行并上市时尚未有收入，上市后仍无收入、持续亏损、无法进行利润分配等情形，若本基金投资生物科技公司</w:t>
      </w:r>
      <w:r>
        <w:rPr>
          <w:rFonts w:ascii="宋体" w:hAnsi="宋体" w:hint="eastAsia"/>
          <w:szCs w:val="21"/>
          <w:highlight w:val="white"/>
          <w:lang w:eastAsia="zh-CN"/>
        </w:rPr>
        <w:t>、特专科技公司</w:t>
      </w:r>
      <w:r>
        <w:rPr>
          <w:rFonts w:ascii="宋体" w:hAnsi="宋体"/>
          <w:szCs w:val="21"/>
          <w:highlight w:val="white"/>
          <w:lang w:eastAsia="zh-CN"/>
        </w:rPr>
        <w:t>，本基金的投资风险可能增加。</w:t>
      </w:r>
    </w:p>
    <w:p w:rsidR="005C6370" w:rsidP="00A24D29" w14:paraId="36526096"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4）股份数量、股票面值大幅变化的风险。部分港股通上市公司基本面变化大，股票价格低</w:t>
      </w:r>
      <w:r>
        <w:rPr>
          <w:rFonts w:ascii="宋体" w:hAnsi="宋体" w:hint="eastAsia"/>
          <w:szCs w:val="21"/>
          <w:highlight w:val="white"/>
          <w:lang w:eastAsia="zh-CN"/>
        </w:rPr>
        <w:t>，</w:t>
      </w:r>
      <w:r>
        <w:rPr>
          <w:rFonts w:ascii="宋体" w:hAnsi="宋体"/>
          <w:szCs w:val="21"/>
          <w:highlight w:val="white"/>
          <w:lang w:eastAsia="zh-CN"/>
        </w:rPr>
        <w:t>可能存在大比例折价供股或配股、频繁分拆合并股份的行为，投资者持有的股份数量、股票面值可能发生大幅变化，由此可能增加本基金的投资风险。</w:t>
      </w:r>
    </w:p>
    <w:p w:rsidR="005C6370" w:rsidP="00A24D29" w14:paraId="11502307"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 xml:space="preserve">5）投票权不同带来的风险。部分港股通上市公司存在不同投票权安排，公司可能因存在控制权相对集中，或因某特定类别股份拥有的投票权利大于或优于普通股份拥有的投票权利等情形，而使本基金的投票权利及对公司日常经营等事务的影响力受到限制，由此可能增加本基金的投资风险。    </w:t>
      </w:r>
    </w:p>
    <w:p w:rsidR="005C6370" w:rsidP="00A24D29" w14:paraId="4A5C706D"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6</w:t>
      </w:r>
      <w:r>
        <w:rPr>
          <w:rFonts w:ascii="宋体" w:hAnsi="宋体" w:hint="eastAsia"/>
          <w:szCs w:val="21"/>
          <w:highlight w:val="white"/>
          <w:lang w:eastAsia="zh-CN"/>
        </w:rPr>
        <w:t>）较难获取或理解公司实际经营状况相关资讯的风险。部分港股通股票可能因为上市公司注册地、主营业务经营所在地法律法规、语言或文化习惯等与内地存在差异，导致投资者较难获取或理解公司实际经营状况相关资讯，由此可能增加本基金的投资风险。</w:t>
      </w:r>
    </w:p>
    <w:p w:rsidR="005C6370" w:rsidP="00A24D29" w14:paraId="5751D7DE"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7</w:t>
      </w:r>
      <w:r>
        <w:rPr>
          <w:rFonts w:ascii="宋体" w:hAnsi="宋体" w:hint="eastAsia"/>
          <w:szCs w:val="21"/>
          <w:highlight w:val="white"/>
          <w:lang w:eastAsia="zh-CN"/>
        </w:rPr>
        <w:t>）停牌风险。与内地市场相比，香港市场证券停牌制度存在一定差异，港股通标的证券可能出现长时间停牌现象，由此可能增加本基金的投资风险。</w:t>
      </w:r>
    </w:p>
    <w:p w:rsidR="005C6370" w:rsidP="00A24D29" w14:paraId="79D34A6B"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8</w:t>
      </w:r>
      <w:r>
        <w:rPr>
          <w:rFonts w:ascii="宋体" w:hAnsi="宋体" w:hint="eastAsia"/>
          <w:szCs w:val="21"/>
          <w:highlight w:val="white"/>
          <w:lang w:eastAsia="zh-CN"/>
        </w:rPr>
        <w:t>）直接退市风险。与内地市场相比，香港市场股票交易没有退市风险警示、退市整理等安排，相关股票存在直接退市的风险。港股股票一旦退市，本基金将面临无法继续通过港股通买卖相关股票的风险。此外，港股通股票退市后，因香港中央结算有限公司（以下简称香港结算）可能无法比照退市前标准提供名义持有人服务，中国证券登记结算有限责任公司（以下简称中国结算）通过香港结算继续为投资者提供的退市股票名义持有人服务可能会受限。以上情况可能增加本基金的投资风险。</w:t>
      </w:r>
    </w:p>
    <w:p w:rsidR="005C6370" w:rsidP="00A24D29" w14:paraId="39DAE4DB"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9</w:t>
      </w:r>
      <w:r>
        <w:rPr>
          <w:rFonts w:ascii="宋体" w:hAnsi="宋体" w:hint="eastAsia"/>
          <w:szCs w:val="21"/>
          <w:highlight w:val="white"/>
          <w:lang w:eastAsia="zh-CN"/>
        </w:rPr>
        <w:t>）港股通</w:t>
      </w:r>
      <w:r>
        <w:rPr>
          <w:rFonts w:ascii="宋体" w:hAnsi="宋体"/>
          <w:szCs w:val="21"/>
          <w:highlight w:val="white"/>
          <w:lang w:eastAsia="zh-CN"/>
        </w:rPr>
        <w:t>ETF终止上市或更换管理人的风险。与内地证券市场相比，香港市场ETF终止上市或更换基金管理人等制度安排存在一定差异，港股通ETF可能因基金管理人主动退出香港市场导致终止上市或更换基金管理人，由此可能增加本基金的投资风险。</w:t>
      </w:r>
    </w:p>
    <w:p w:rsidR="005C6370" w:rsidP="00A24D29" w14:paraId="1D8A7450"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10</w:t>
      </w:r>
      <w:r>
        <w:rPr>
          <w:rFonts w:ascii="宋体" w:hAnsi="宋体" w:hint="eastAsia"/>
          <w:szCs w:val="21"/>
          <w:highlight w:val="white"/>
          <w:lang w:eastAsia="zh-CN"/>
        </w:rPr>
        <w:t>）港股通</w:t>
      </w:r>
      <w:r>
        <w:rPr>
          <w:rFonts w:ascii="宋体" w:hAnsi="宋体"/>
          <w:szCs w:val="21"/>
          <w:highlight w:val="white"/>
          <w:lang w:eastAsia="zh-CN"/>
        </w:rPr>
        <w:t>ETF清盘的风险。与内地证券市场相比，香港市场ETF发生清盘业务，将基金资产变现所得的资金派发给投资者后，投资者证券账户中相应基金份额的注销日与清盘资金发放日之间可能间隔较长时间，对清盘后尚未注销的基金份额，投资者需审慎评估其价值。</w:t>
      </w:r>
      <w:r>
        <w:rPr>
          <w:rFonts w:ascii="宋体" w:hAnsi="宋体" w:hint="eastAsia"/>
          <w:szCs w:val="21"/>
          <w:highlight w:val="white"/>
          <w:lang w:eastAsia="zh-CN"/>
        </w:rPr>
        <w:t>以上情况可能增加本基金的投资风险。</w:t>
      </w:r>
    </w:p>
    <w:p w:rsidR="005C6370" w:rsidP="00A24D29" w14:paraId="639CD0DD" w14:textId="77777777">
      <w:pPr>
        <w:spacing w:line="360" w:lineRule="auto"/>
        <w:ind w:firstLine="420"/>
        <w:contextualSpacing/>
        <w:rPr>
          <w:rFonts w:ascii="宋体" w:hAnsi="宋体" w:hint="eastAsia"/>
          <w:szCs w:val="21"/>
          <w:lang w:eastAsia="zh-CN"/>
        </w:rPr>
      </w:pPr>
      <w:r>
        <w:rPr>
          <w:rFonts w:ascii="宋体" w:hAnsi="宋体" w:hint="eastAsia"/>
          <w:szCs w:val="21"/>
          <w:highlight w:val="white"/>
          <w:lang w:eastAsia="zh-CN"/>
        </w:rPr>
        <w:t>（</w:t>
      </w:r>
      <w:r>
        <w:rPr>
          <w:rFonts w:ascii="宋体" w:hAnsi="宋体"/>
          <w:szCs w:val="21"/>
          <w:highlight w:val="white"/>
          <w:lang w:eastAsia="zh-CN"/>
        </w:rPr>
        <w:t>2）通过</w:t>
      </w:r>
      <w:r>
        <w:rPr>
          <w:rFonts w:hint="eastAsia"/>
          <w:highlight w:val="white"/>
          <w:lang w:eastAsia="zh-CN"/>
        </w:rPr>
        <w:t>内地与香港股票市场交易互联互通机制投资的特有风险</w:t>
      </w:r>
    </w:p>
    <w:p w:rsidR="005C6370" w:rsidP="00A24D29" w14:paraId="1205AA25"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1）港股通机制及其规则变动带来的风险。本基金可通过内地与香港股票市场交易互联互通机制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p>
    <w:p w:rsidR="005C6370" w:rsidP="00A24D29" w14:paraId="7E5D0A94"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2）港股通股票</w:t>
      </w:r>
      <w:r>
        <w:rPr>
          <w:rFonts w:ascii="宋体" w:hAnsi="宋体" w:hint="eastAsia"/>
          <w:szCs w:val="21"/>
          <w:highlight w:val="white"/>
          <w:lang w:eastAsia="zh-CN"/>
        </w:rPr>
        <w:t>范围受限及动态调整的风险</w:t>
      </w:r>
    </w:p>
    <w:p w:rsidR="005C6370" w:rsidP="00A24D29" w14:paraId="526BD85C" w14:textId="77777777">
      <w:pPr>
        <w:spacing w:line="360" w:lineRule="auto"/>
        <w:ind w:firstLine="420"/>
        <w:contextualSpacing/>
        <w:rPr>
          <w:rFonts w:ascii="宋体" w:hAnsi="宋体" w:hint="eastAsia"/>
          <w:szCs w:val="21"/>
          <w:lang w:eastAsia="zh-CN"/>
        </w:rPr>
      </w:pPr>
      <w:r>
        <w:rPr>
          <w:rFonts w:ascii="宋体" w:hAnsi="宋体" w:hint="eastAsia"/>
          <w:szCs w:val="21"/>
          <w:highlight w:val="white"/>
          <w:lang w:eastAsia="zh-CN"/>
        </w:rPr>
        <w:t>本基金可以通过港股通买卖的标的证券存在一定的范围限制，且港股通标的证券名单会动态调整。对于被调出的港股通标的证券，自调整之日起，本基金将不得再行买入。以上情形可能对本基金带来不利影响。</w:t>
      </w:r>
    </w:p>
    <w:p w:rsidR="005C6370" w:rsidP="00A24D29" w14:paraId="0E58205C" w14:textId="77777777">
      <w:pPr>
        <w:spacing w:line="360" w:lineRule="auto"/>
        <w:ind w:firstLine="420"/>
        <w:contextualSpacing/>
        <w:rPr>
          <w:rFonts w:ascii="宋体" w:hAnsi="宋体" w:hint="eastAsia"/>
          <w:szCs w:val="21"/>
          <w:lang w:eastAsia="zh-CN"/>
        </w:rPr>
      </w:pPr>
      <w:r>
        <w:rPr>
          <w:rFonts w:ascii="宋体" w:hAnsi="宋体"/>
          <w:bCs/>
          <w:szCs w:val="21"/>
          <w:highlight w:val="white"/>
          <w:lang w:eastAsia="zh-CN"/>
        </w:rPr>
        <w:t>3</w:t>
      </w:r>
      <w:r>
        <w:rPr>
          <w:rFonts w:ascii="宋体" w:hAnsi="宋体" w:hint="eastAsia"/>
          <w:szCs w:val="21"/>
          <w:highlight w:val="white"/>
          <w:lang w:eastAsia="zh-CN"/>
        </w:rPr>
        <w:t>）港股通交易日不连贯的风险。在内地与香港股票市场交易互联互通机制下，只有内地和香港两地均为交易日的</w:t>
      </w:r>
      <w:r>
        <w:rPr>
          <w:rFonts w:ascii="宋体" w:hAnsi="宋体"/>
          <w:szCs w:val="21"/>
          <w:highlight w:val="white"/>
          <w:lang w:eastAsia="zh-CN"/>
        </w:rPr>
        <w:t>日期</w:t>
      </w:r>
      <w:r>
        <w:rPr>
          <w:rFonts w:ascii="宋体" w:hAnsi="宋体" w:hint="eastAsia"/>
          <w:szCs w:val="21"/>
          <w:highlight w:val="white"/>
          <w:lang w:eastAsia="zh-CN"/>
        </w:rPr>
        <w:t>才为港股通交易日，存在港股通交易日不连贯的情形，而导致基金所持的港股组合在后续港股通交易日开市交易中集中体现市场反应而造成其价格波动骤然增大，进而导致本基金所持港股组合在资产估值上出现波动增大的风险。</w:t>
      </w:r>
    </w:p>
    <w:p w:rsidR="005C6370" w:rsidP="00A24D29" w14:paraId="65DE2237" w14:textId="77777777">
      <w:pPr>
        <w:spacing w:line="360" w:lineRule="auto"/>
        <w:ind w:firstLine="420"/>
        <w:contextualSpacing/>
        <w:rPr>
          <w:rFonts w:ascii="宋体" w:hAnsi="宋体" w:hint="eastAsia"/>
          <w:szCs w:val="21"/>
          <w:lang w:eastAsia="zh-CN"/>
        </w:rPr>
      </w:pPr>
      <w:r>
        <w:rPr>
          <w:rFonts w:ascii="宋体" w:hAnsi="宋体"/>
          <w:bCs/>
          <w:szCs w:val="21"/>
          <w:highlight w:val="white"/>
          <w:lang w:eastAsia="zh-CN"/>
        </w:rPr>
        <w:t>4</w:t>
      </w:r>
      <w:r>
        <w:rPr>
          <w:rFonts w:ascii="宋体" w:hAnsi="宋体"/>
          <w:szCs w:val="21"/>
          <w:highlight w:val="white"/>
          <w:lang w:eastAsia="zh-CN"/>
        </w:rPr>
        <w:t>）交收制度带来的基金流动性风险。香港证券市场与内地证券市场在证券资金的交收期安排上存在差异，香港证券市场实行T+2日（T日买卖股票，资金和股票在T+2日才进行交收）的交收安排，本基金在T日（港股通交易日）卖出股票，T+2日（港股通交易日，即为卖出当日之后第二个港股通交易日）在香港市场完成清算交收，卖出的资金在T+3日才能回到人民币资金账户，因此卖出资金回到本基金人民币账户的周期比内地证券市场要长。因此交收制度的不同以及港股通交易日的设定原因，本基金可能面临卖出港股后资金不能及时到账，而造成支付赎回款日期比正常情况延后的风险。</w:t>
      </w:r>
    </w:p>
    <w:p w:rsidR="005C6370" w:rsidP="00A24D29" w14:paraId="15D38C0C" w14:textId="77777777">
      <w:pPr>
        <w:spacing w:line="360" w:lineRule="auto"/>
        <w:ind w:firstLine="420"/>
        <w:contextualSpacing/>
        <w:rPr>
          <w:rFonts w:ascii="宋体" w:hAnsi="宋体" w:hint="eastAsia"/>
          <w:szCs w:val="21"/>
          <w:lang w:eastAsia="zh-CN"/>
        </w:rPr>
      </w:pPr>
      <w:r>
        <w:rPr>
          <w:rFonts w:ascii="宋体" w:hAnsi="宋体"/>
          <w:bCs/>
          <w:szCs w:val="21"/>
          <w:highlight w:val="white"/>
          <w:lang w:eastAsia="zh-CN"/>
        </w:rPr>
        <w:t>5</w:t>
      </w:r>
      <w:r>
        <w:rPr>
          <w:rFonts w:ascii="宋体" w:hAnsi="宋体" w:hint="eastAsia"/>
          <w:szCs w:val="21"/>
          <w:highlight w:val="white"/>
          <w:lang w:eastAsia="zh-CN"/>
        </w:rPr>
        <w:t>）交易额度限制的风险。在内地与香港股票市场交易互联互通机制下，港股通交易实施每日额度限制，如当日额度使用完毕，当日投资者可能无法通过港股通买入，本基金可能面临每日额度不足而交易失败的风险。</w:t>
      </w:r>
    </w:p>
    <w:p w:rsidR="005C6370" w:rsidP="00A24D29" w14:paraId="6FB069B2"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6）无法进行交易或交易中断的风险。</w:t>
      </w:r>
      <w:r w:rsidRPr="002650A2" w:rsidR="002650A2">
        <w:rPr>
          <w:rFonts w:ascii="宋体" w:hAnsi="宋体" w:hint="eastAsia"/>
          <w:szCs w:val="21"/>
          <w:lang w:eastAsia="zh-CN"/>
        </w:rPr>
        <w:t>出现联交所认定的异常情况时，联交所将可能决定临时停市、暂停接受部分或者全部港股通交易申报等措施，投资者将面临期间无法进行港股通交易的风险；</w:t>
      </w:r>
      <w:r>
        <w:rPr>
          <w:rFonts w:ascii="宋体" w:hAnsi="宋体"/>
          <w:szCs w:val="21"/>
          <w:highlight w:val="white"/>
          <w:lang w:eastAsia="zh-CN"/>
        </w:rPr>
        <w:t>出现内地证券交易服务公司认定的交易异常情况时，将可能暂停提供部分或者全部港股通服务，本基金将面临在暂停服务期间无法进行港股通交易的风险。若香港联交所与内地交易所的证券交易服务公司之间的报盘系统或者通信链路出现故障，可能导致15</w:t>
      </w:r>
      <w:r>
        <w:rPr>
          <w:rFonts w:ascii="宋体" w:hAnsi="宋体" w:hint="eastAsia"/>
          <w:szCs w:val="21"/>
          <w:highlight w:val="white"/>
          <w:lang w:eastAsia="zh-CN"/>
        </w:rPr>
        <w:t>分钟以上不能申报和撤销申报的交易中断风险。</w:t>
      </w:r>
    </w:p>
    <w:p w:rsidR="005C6370" w:rsidP="00A24D29" w14:paraId="5DD3BA7D"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7）汇率风险。在内地与香港股票市场交易互联互通机制下，港股的买卖是以港币报价、人民币支付，本基金承担港币对人民币汇率波动的风险；同时，由于在交易时间内提交订单依据的港币买入参考汇率和卖出参考汇率，并不等于最终结算汇率，最终结算汇率为相关机构日终确定的数值。此外，若因汇率大幅波动等原因，可能会导致本基金的账户透支风险。因此，本基金面临汇率波动的不确定性风险，由此可能增加本基金的风险。</w:t>
      </w:r>
    </w:p>
    <w:p w:rsidR="005C6370" w:rsidP="00A24D29" w14:paraId="1EA62BBF"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8）交易价格受限的风险。港股通标的证券不设置涨跌幅限制，但根据联交所业务规则，适用市场波动调节机制的港股通标的证券的买卖申报可能受到价格限制。此外，对于适用收市竞价交易的港股通标的证券，收市竞价交易时段的买卖申报也将受到价格限制。以上情形可能增加本基金的投资风险。</w:t>
      </w:r>
    </w:p>
    <w:p w:rsidR="005C6370" w:rsidP="00A24D29" w14:paraId="67E90C29"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9）港股通制度下对公司行为的处理规则带来的风险。本基金因所持港股通标的证券权益分派、转换、</w:t>
      </w:r>
      <w:r>
        <w:rPr>
          <w:rFonts w:ascii="宋体" w:hAnsi="宋体" w:hint="eastAsia"/>
          <w:szCs w:val="21"/>
          <w:highlight w:val="white"/>
          <w:lang w:eastAsia="zh-CN"/>
        </w:rPr>
        <w:t>收购等情形或者异常情况，所取得的港股通标的证券以外的香港联交所上市证券，只能通过港股通卖出，但不得买入，交易所另有规定的除外；因港股通股票权益分派或者转换等情形取得的香港联交所上市股票的认购权利在联交所上市的，可以通过港股通卖出，但不得行权；因港股通标的证券权益分派、转换或者收购等所取得的非联交所上市证券，可以享有相关权益，但不得通过港股通买入或卖出。上述规则可能增加本基金的投资风险。</w:t>
      </w:r>
    </w:p>
    <w:p w:rsidR="005C6370" w:rsidP="00A24D29" w14:paraId="72846F90"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10）结算风险。香港结算机构可能因极端情况存在无法交付证券和资金的结算风险；另外港股通境内结算实施分级结算原则，本基金可能面临以下风险：因结算参与人未完成与中国结算的集中交收，导致本基金应收资金或证券被暂不交付或处置；结算参与人对本基金出现交收违约导致本基金未能取得应收证券或资金；结算参与人向中国结算发送的有关本基金的证券划付指令有误导致本基金权益受损；其他因结算参与人未遵守相关业务规则导致本基金利益受到损害的情况。</w:t>
      </w:r>
    </w:p>
    <w:p w:rsidR="005C6370" w:rsidP="00A24D29" w14:paraId="5DB8CC04"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11）现金红利获得时间有所延后的风险。对于在联交所上市公司派发的现金红利或联交所上市ETF进行的收益分配，由于中国结算需要在收到香港结算派发的外币红利资金后进行换汇、清算、发放等业务处理，投资者通过港股通业务获得的现金红利将会较香港市场有所延后。</w:t>
      </w:r>
    </w:p>
    <w:p w:rsidR="005C6370" w:rsidP="00A24D29" w14:paraId="15779417" w14:textId="77777777">
      <w:pPr>
        <w:spacing w:line="360" w:lineRule="auto"/>
        <w:ind w:firstLine="420"/>
        <w:contextualSpacing/>
        <w:rPr>
          <w:rFonts w:ascii="宋体" w:hAnsi="宋体" w:hint="eastAsia"/>
          <w:szCs w:val="21"/>
          <w:lang w:eastAsia="zh-CN"/>
        </w:rPr>
      </w:pPr>
      <w:r>
        <w:rPr>
          <w:rFonts w:ascii="宋体" w:hAnsi="宋体"/>
          <w:szCs w:val="21"/>
          <w:highlight w:val="white"/>
          <w:lang w:eastAsia="zh-CN"/>
        </w:rPr>
        <w:t>12</w:t>
      </w:r>
      <w:r>
        <w:rPr>
          <w:rFonts w:ascii="宋体" w:hAnsi="宋体" w:hint="eastAsia"/>
          <w:szCs w:val="21"/>
          <w:highlight w:val="white"/>
          <w:lang w:eastAsia="zh-CN"/>
        </w:rPr>
        <w:t>）</w:t>
      </w:r>
      <w:r>
        <w:rPr>
          <w:rFonts w:ascii="宋体" w:hAnsi="宋体"/>
          <w:szCs w:val="21"/>
          <w:highlight w:val="white"/>
          <w:lang w:eastAsia="zh-CN"/>
        </w:rPr>
        <w:t>投资方式受限的风险。本基金通过港股通业务暂不能参与新股发行认购、超额供股和超额公开配售，以及ETF发行认购和申购赎回。</w:t>
      </w:r>
    </w:p>
    <w:p w:rsidR="005C6370" w:rsidP="00A24D29" w14:paraId="2778F9A5" w14:textId="77777777">
      <w:pPr>
        <w:spacing w:line="360" w:lineRule="auto"/>
        <w:ind w:firstLine="420"/>
        <w:contextualSpacing/>
        <w:rPr>
          <w:rFonts w:ascii="宋体" w:hAnsi="Calibri"/>
          <w:lang w:eastAsia="zh-CN"/>
        </w:rPr>
      </w:pPr>
      <w:r>
        <w:rPr>
          <w:rFonts w:hint="eastAsia"/>
          <w:highlight w:val="white"/>
          <w:lang w:eastAsia="zh-CN"/>
        </w:rPr>
        <w:t>（</w:t>
      </w:r>
      <w:r>
        <w:rPr>
          <w:rFonts w:ascii="宋体" w:hAnsi="宋体" w:cs="宋体" w:hint="eastAsia"/>
          <w:highlight w:val="white"/>
          <w:lang w:eastAsia="zh-CN"/>
        </w:rPr>
        <w:t>3</w:t>
      </w:r>
      <w:r>
        <w:rPr>
          <w:rFonts w:hint="eastAsia"/>
          <w:highlight w:val="white"/>
          <w:lang w:eastAsia="zh-CN"/>
        </w:rPr>
        <w:t>）本基金可根据投资策略需要或不同配置地市场环境的变化，选择将部分基金资产投资于港股及港股通</w:t>
      </w:r>
      <w:r>
        <w:rPr>
          <w:rFonts w:ascii="宋体" w:hAnsi="宋体" w:cs="宋体"/>
          <w:highlight w:val="white"/>
          <w:lang w:eastAsia="zh-CN"/>
        </w:rPr>
        <w:t>ETF</w:t>
      </w:r>
      <w:r>
        <w:rPr>
          <w:rFonts w:hint="eastAsia"/>
          <w:highlight w:val="white"/>
          <w:lang w:eastAsia="zh-CN"/>
        </w:rPr>
        <w:t>或选择不将基金资产投资于港股及港股通</w:t>
      </w:r>
      <w:r>
        <w:rPr>
          <w:rFonts w:ascii="宋体" w:hAnsi="宋体" w:cs="宋体"/>
          <w:highlight w:val="white"/>
          <w:lang w:eastAsia="zh-CN"/>
        </w:rPr>
        <w:t>ETF</w:t>
      </w:r>
      <w:r>
        <w:rPr>
          <w:rFonts w:hint="eastAsia"/>
          <w:highlight w:val="white"/>
          <w:lang w:eastAsia="zh-CN"/>
        </w:rPr>
        <w:t>，基金资产并非必然投资港股及港股通</w:t>
      </w:r>
      <w:r>
        <w:rPr>
          <w:rFonts w:ascii="宋体" w:hAnsi="宋体" w:cs="宋体"/>
          <w:highlight w:val="white"/>
          <w:lang w:eastAsia="zh-CN"/>
        </w:rPr>
        <w:t>ETF</w:t>
      </w:r>
      <w:r>
        <w:rPr>
          <w:rFonts w:hint="eastAsia"/>
          <w:highlight w:val="white"/>
          <w:lang w:eastAsia="zh-CN"/>
        </w:rPr>
        <w:t>。</w:t>
      </w:r>
    </w:p>
    <w:p w:rsidR="005C6370" w:rsidP="00A24D29" w14:paraId="670DE6C3"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7、本基金可投资科创板股票，科创板股票在发行、上市、交易、退市等方面的规则与其他板块存在差异，基金投资科创板股票可能面临退市风险、市场风险、流动性风险、监管规则变化的风险等特有风险，从而可能给基金净值带来不利影响或损失。本基金根据投资策略需要或市场环境变化，可选择将部分基金资产投资于科创板股票或选择不将基金资产投资于科创板股票，基金资产并非必然投资于科创板股票。</w:t>
      </w:r>
    </w:p>
    <w:p w:rsidR="005C6370" w:rsidP="00A24D29" w14:paraId="1B5AAD0B" w14:textId="77777777">
      <w:pPr>
        <w:spacing w:line="360" w:lineRule="auto"/>
        <w:ind w:firstLine="420"/>
        <w:contextualSpacing/>
        <w:rPr>
          <w:rFonts w:ascii="宋体" w:hAnsi="Calibri"/>
          <w:szCs w:val="21"/>
          <w:lang w:eastAsia="zh-CN"/>
        </w:rPr>
      </w:pPr>
      <w:r>
        <w:rPr>
          <w:rFonts w:ascii="宋体" w:hAnsi="Calibri"/>
          <w:highlight w:val="white"/>
          <w:lang w:eastAsia="zh-CN"/>
        </w:rPr>
        <w:t>8、</w:t>
      </w:r>
      <w:r>
        <w:rPr>
          <w:rFonts w:ascii="宋体" w:hAnsi="Calibri" w:hint="eastAsia"/>
          <w:highlight w:val="white"/>
          <w:lang w:eastAsia="zh-CN"/>
        </w:rPr>
        <w:t>本基金可投资北京证券交易所股票，北京证券交易所主要服务于创新型中小企业，在发行、上市、交易、退市等方面的规则与其他交易场所存在差异，基金投资北京证券交易所股票可能面临中小企业经营风险、股价大幅波动风险、企业退市风险、流动性风险、监管规则变化的风险等，从而可能对基金净值带来不利影响或损失。</w:t>
      </w:r>
    </w:p>
    <w:p w:rsidR="005C6370" w:rsidP="00A24D29" w14:paraId="00AD4F8C" w14:textId="77777777">
      <w:pPr>
        <w:spacing w:line="360" w:lineRule="auto"/>
        <w:ind w:firstLine="420"/>
        <w:contextualSpacing/>
        <w:rPr>
          <w:rFonts w:ascii="宋体" w:hAnsi="Calibri"/>
          <w:szCs w:val="21"/>
          <w:lang w:eastAsia="zh-CN"/>
        </w:rPr>
      </w:pPr>
      <w:r>
        <w:rPr>
          <w:rFonts w:ascii="宋体" w:hAnsi="Calibri" w:hint="eastAsia"/>
          <w:highlight w:val="white"/>
          <w:lang w:eastAsia="zh-CN"/>
        </w:rPr>
        <w:t>9</w:t>
      </w:r>
      <w:r>
        <w:rPr>
          <w:rFonts w:ascii="宋体" w:hAnsi="Calibri"/>
          <w:szCs w:val="21"/>
          <w:highlight w:val="white"/>
          <w:lang w:eastAsia="zh-CN"/>
        </w:rPr>
        <w:t>、</w:t>
      </w:r>
      <w:r>
        <w:rPr>
          <w:rFonts w:ascii="宋体" w:hAnsi="Calibri" w:hint="eastAsia"/>
          <w:szCs w:val="21"/>
          <w:highlight w:val="white"/>
          <w:lang w:eastAsia="zh-CN"/>
        </w:rPr>
        <w:t>投资于存托凭证的风险</w:t>
      </w:r>
    </w:p>
    <w:p w:rsidR="005C6370" w:rsidP="00A24D29" w14:paraId="13D16B74"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本基金的投资范围包括存托凭证，除与其他投资于股票的基金所面临的共同风险外，本基金还将面临存托凭证价格大幅波动甚至出现较大亏损的风险，以及与存托凭证发行机制相关的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5C6370" w:rsidP="00A24D29" w14:paraId="64140074"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10、</w:t>
      </w:r>
      <w:r>
        <w:rPr>
          <w:rFonts w:ascii="宋体" w:hAnsi="Calibri" w:hint="eastAsia"/>
          <w:szCs w:val="21"/>
          <w:highlight w:val="white"/>
          <w:lang w:eastAsia="zh-CN"/>
        </w:rPr>
        <w:t>本基金的投资范围包括资产支持证券，资产支持证券存在一定的信用风险、利率风险、流动性风险、提前偿付风险、操作风险和法律风险，由此可能给基金净值带来不利影响或损失。</w:t>
      </w:r>
    </w:p>
    <w:p w:rsidR="005C6370" w:rsidP="00A24D29" w14:paraId="6E625A23"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二、市场风险</w:t>
      </w:r>
    </w:p>
    <w:p w:rsidR="005C6370" w:rsidP="00A24D29" w14:paraId="4E28D9C4"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本基金</w:t>
      </w:r>
      <w:r>
        <w:rPr>
          <w:rFonts w:ascii="宋体" w:hAnsi="Calibri" w:hint="eastAsia"/>
          <w:szCs w:val="21"/>
          <w:highlight w:val="white"/>
          <w:lang w:eastAsia="zh-CN"/>
        </w:rPr>
        <w:t>主要</w:t>
      </w:r>
      <w:r>
        <w:rPr>
          <w:rFonts w:ascii="宋体" w:hAnsi="Calibri"/>
          <w:szCs w:val="21"/>
          <w:highlight w:val="white"/>
          <w:lang w:eastAsia="zh-CN"/>
        </w:rPr>
        <w:t>投资于</w:t>
      </w:r>
      <w:r>
        <w:rPr>
          <w:rFonts w:ascii="宋体" w:hAnsi="Calibri" w:hint="eastAsia"/>
          <w:szCs w:val="21"/>
          <w:highlight w:val="white"/>
          <w:lang w:eastAsia="zh-CN"/>
        </w:rPr>
        <w:t>其他各类型证券</w:t>
      </w:r>
      <w:r>
        <w:rPr>
          <w:rFonts w:ascii="宋体" w:hAnsi="Calibri"/>
          <w:szCs w:val="21"/>
          <w:highlight w:val="white"/>
          <w:lang w:eastAsia="zh-CN"/>
        </w:rPr>
        <w:t>投资基金，</w:t>
      </w:r>
      <w:r>
        <w:rPr>
          <w:rFonts w:ascii="宋体" w:hAnsi="Calibri" w:hint="eastAsia"/>
          <w:szCs w:val="21"/>
          <w:highlight w:val="white"/>
          <w:lang w:eastAsia="zh-CN"/>
        </w:rPr>
        <w:t>同时也少量直接持有基础证券。由于</w:t>
      </w:r>
      <w:r>
        <w:rPr>
          <w:rFonts w:ascii="宋体" w:hAnsi="Calibri"/>
          <w:szCs w:val="21"/>
          <w:highlight w:val="white"/>
          <w:lang w:eastAsia="zh-CN"/>
        </w:rPr>
        <w:t>证券投资</w:t>
      </w:r>
      <w:r>
        <w:rPr>
          <w:rFonts w:ascii="宋体" w:hAnsi="Calibri" w:hint="eastAsia"/>
          <w:szCs w:val="21"/>
          <w:highlight w:val="white"/>
          <w:lang w:eastAsia="zh-CN"/>
        </w:rPr>
        <w:t>基金主要</w:t>
      </w:r>
      <w:r>
        <w:rPr>
          <w:rFonts w:ascii="宋体" w:hAnsi="Calibri"/>
          <w:szCs w:val="21"/>
          <w:highlight w:val="white"/>
          <w:lang w:eastAsia="zh-CN"/>
        </w:rPr>
        <w:t>投资于证券市场，而证券市场价格因受到经济因素、政治因素、投资者心理和交易制度等各种因素的影响而产生波动，从而导致</w:t>
      </w:r>
      <w:r>
        <w:rPr>
          <w:rFonts w:ascii="宋体" w:hAnsi="Calibri" w:hint="eastAsia"/>
          <w:szCs w:val="21"/>
          <w:highlight w:val="white"/>
          <w:lang w:eastAsia="zh-CN"/>
        </w:rPr>
        <w:t>本</w:t>
      </w:r>
      <w:r>
        <w:rPr>
          <w:rFonts w:ascii="宋体" w:hAnsi="Calibri"/>
          <w:szCs w:val="21"/>
          <w:highlight w:val="white"/>
          <w:lang w:eastAsia="zh-CN"/>
        </w:rPr>
        <w:t>基金间接</w:t>
      </w:r>
      <w:r>
        <w:rPr>
          <w:rFonts w:ascii="宋体" w:hAnsi="Calibri" w:hint="eastAsia"/>
          <w:szCs w:val="21"/>
          <w:highlight w:val="white"/>
          <w:lang w:eastAsia="zh-CN"/>
        </w:rPr>
        <w:t>或</w:t>
      </w:r>
      <w:r>
        <w:rPr>
          <w:rFonts w:ascii="宋体" w:hAnsi="Calibri"/>
          <w:szCs w:val="21"/>
          <w:highlight w:val="white"/>
          <w:lang w:eastAsia="zh-CN"/>
        </w:rPr>
        <w:t>直接承担各类</w:t>
      </w:r>
      <w:r>
        <w:rPr>
          <w:rFonts w:ascii="宋体" w:hAnsi="Calibri" w:hint="eastAsia"/>
          <w:szCs w:val="21"/>
          <w:highlight w:val="white"/>
          <w:lang w:eastAsia="zh-CN"/>
        </w:rPr>
        <w:t>证券</w:t>
      </w:r>
      <w:r>
        <w:rPr>
          <w:rFonts w:ascii="宋体" w:hAnsi="Calibri"/>
          <w:szCs w:val="21"/>
          <w:highlight w:val="white"/>
          <w:lang w:eastAsia="zh-CN"/>
        </w:rPr>
        <w:t>市场</w:t>
      </w:r>
      <w:r>
        <w:rPr>
          <w:rFonts w:ascii="宋体" w:hAnsi="Calibri" w:hint="eastAsia"/>
          <w:szCs w:val="21"/>
          <w:highlight w:val="white"/>
          <w:lang w:eastAsia="zh-CN"/>
        </w:rPr>
        <w:t>的</w:t>
      </w:r>
      <w:r>
        <w:rPr>
          <w:rFonts w:ascii="宋体" w:hAnsi="Calibri"/>
          <w:szCs w:val="21"/>
          <w:highlight w:val="white"/>
          <w:lang w:eastAsia="zh-CN"/>
        </w:rPr>
        <w:t>风险。</w:t>
      </w:r>
      <w:r>
        <w:rPr>
          <w:rFonts w:ascii="宋体" w:hAnsi="Calibri" w:hint="eastAsia"/>
          <w:szCs w:val="21"/>
          <w:highlight w:val="white"/>
          <w:lang w:eastAsia="zh-CN"/>
        </w:rPr>
        <w:t>主要的风险因素包括：</w:t>
      </w:r>
    </w:p>
    <w:p w:rsidR="005C6370" w:rsidP="00A24D29" w14:paraId="10370128"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w:t>
      </w:r>
      <w:r>
        <w:rPr>
          <w:rFonts w:ascii="宋体" w:hAnsi="Calibri" w:hint="eastAsia"/>
          <w:szCs w:val="21"/>
          <w:highlight w:val="white"/>
          <w:lang w:eastAsia="zh-CN"/>
        </w:rPr>
        <w:t>、政策风险</w:t>
      </w:r>
    </w:p>
    <w:p w:rsidR="005C6370" w:rsidP="00A24D29" w14:paraId="293423EA"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因国家宏观政策（如货币政策、财政政策、产业政策、地区发展政策等）发生变化，导致市场价格波动而产生风险。</w:t>
      </w:r>
    </w:p>
    <w:p w:rsidR="005C6370" w:rsidP="00A24D29" w14:paraId="50528D51"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w:t>
      </w:r>
      <w:r>
        <w:rPr>
          <w:rFonts w:ascii="宋体" w:hAnsi="Calibri" w:hint="eastAsia"/>
          <w:szCs w:val="21"/>
          <w:highlight w:val="white"/>
          <w:lang w:eastAsia="zh-CN"/>
        </w:rPr>
        <w:t>、利率风险</w:t>
      </w:r>
    </w:p>
    <w:p w:rsidR="005C6370" w:rsidP="00A24D29" w14:paraId="0A0436F1" w14:textId="77777777">
      <w:pPr>
        <w:spacing w:line="360" w:lineRule="auto"/>
        <w:ind w:firstLine="420"/>
        <w:contextualSpacing/>
        <w:rPr>
          <w:rFonts w:ascii="宋体" w:hAnsi="Calibri"/>
          <w:lang w:eastAsia="zh-CN"/>
        </w:rPr>
      </w:pPr>
      <w:r>
        <w:rPr>
          <w:rFonts w:ascii="宋体" w:hAnsi="Calibri" w:hint="eastAsia"/>
          <w:szCs w:val="21"/>
          <w:highlight w:val="white"/>
          <w:lang w:eastAsia="zh-CN"/>
        </w:rPr>
        <w:t>利率风险主要是指因金融市场利率的波动而导致证券市场价格和收益率变动的风险。利率直接影响着债券的价格和收益率，影响着企业的融资成本和利润。本</w:t>
      </w:r>
      <w:r>
        <w:rPr>
          <w:rFonts w:ascii="宋体" w:hAnsi="Calibri" w:hint="eastAsia"/>
          <w:highlight w:val="white"/>
          <w:lang w:eastAsia="zh-CN"/>
        </w:rPr>
        <w:t>基金通过</w:t>
      </w:r>
      <w:r>
        <w:rPr>
          <w:rFonts w:ascii="宋体" w:hAnsi="Calibri"/>
          <w:highlight w:val="white"/>
          <w:lang w:eastAsia="zh-CN"/>
        </w:rPr>
        <w:t>持有证券投资基金而间接</w:t>
      </w:r>
      <w:r>
        <w:rPr>
          <w:rFonts w:ascii="宋体" w:hAnsi="Calibri" w:hint="eastAsia"/>
          <w:highlight w:val="white"/>
          <w:lang w:eastAsia="zh-CN"/>
        </w:rPr>
        <w:t>投资于股票和债券，其收益水平会受到利率变化的影响，</w:t>
      </w:r>
      <w:r>
        <w:rPr>
          <w:rFonts w:ascii="宋体" w:hAnsi="Calibri"/>
          <w:highlight w:val="white"/>
          <w:lang w:eastAsia="zh-CN"/>
        </w:rPr>
        <w:t>从而产生风险</w:t>
      </w:r>
      <w:r>
        <w:rPr>
          <w:rFonts w:ascii="宋体" w:hAnsi="Calibri" w:hint="eastAsia"/>
          <w:highlight w:val="white"/>
          <w:lang w:eastAsia="zh-CN"/>
        </w:rPr>
        <w:t>。</w:t>
      </w:r>
    </w:p>
    <w:p w:rsidR="005C6370" w:rsidP="00A24D29" w14:paraId="5EBC7F36"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3</w:t>
      </w:r>
      <w:r>
        <w:rPr>
          <w:rFonts w:ascii="宋体" w:hAnsi="Calibri" w:hint="eastAsia"/>
          <w:szCs w:val="21"/>
          <w:highlight w:val="white"/>
          <w:lang w:eastAsia="zh-CN"/>
        </w:rPr>
        <w:t>、购买力风险</w:t>
      </w:r>
    </w:p>
    <w:p w:rsidR="005C6370" w:rsidP="00A24D29" w14:paraId="00691549"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如果发生通货膨胀，基金投资于证券所获得的收益可能会被通货膨胀抵消，从而影响基金资产的实际收益率。</w:t>
      </w:r>
    </w:p>
    <w:p w:rsidR="005C6370" w:rsidP="00A24D29" w14:paraId="5A623CC0"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4</w:t>
      </w:r>
      <w:r>
        <w:rPr>
          <w:rFonts w:ascii="宋体" w:hAnsi="Calibri" w:hint="eastAsia"/>
          <w:szCs w:val="21"/>
          <w:highlight w:val="white"/>
          <w:lang w:eastAsia="zh-CN"/>
        </w:rPr>
        <w:t>、信用风险</w:t>
      </w:r>
    </w:p>
    <w:p w:rsidR="005C6370" w:rsidP="00A24D29" w14:paraId="05C18A8A"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信用风险主要指债券发行人出现违约、拒绝支付到期本息，或由于债券发行人信用质量降低导致债券价格下降的风险。另外，由于交易对手违约也会导致信用风险。</w:t>
      </w:r>
    </w:p>
    <w:p w:rsidR="005C6370" w:rsidP="00A24D29" w14:paraId="6CEC8A80"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5</w:t>
      </w:r>
      <w:r>
        <w:rPr>
          <w:rFonts w:ascii="宋体" w:hAnsi="Calibri" w:hint="eastAsia"/>
          <w:szCs w:val="21"/>
          <w:highlight w:val="white"/>
          <w:lang w:eastAsia="zh-CN"/>
        </w:rPr>
        <w:t>、公司经营风险</w:t>
      </w:r>
    </w:p>
    <w:p w:rsidR="005C6370" w:rsidP="00A24D29" w14:paraId="498A3D7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上市公司的经营状况受多种因素的影响，如管理能力、行业竞争、市场前景、技术更新、新产品研究开发等都会导致公司盈利发生变化。如果基金所投资的上市公司经营不善，其股票价格可能下跌，或者能够用于分配的利润减少，使基金投资收益下降。虽然基金可以通过投资多样化来分散这种非系统风险，但不能完全避免。</w:t>
      </w:r>
    </w:p>
    <w:p w:rsidR="005C6370" w:rsidP="00A24D29" w14:paraId="57641C73" w14:textId="77777777">
      <w:pPr>
        <w:spacing w:line="360" w:lineRule="auto"/>
        <w:ind w:firstLine="420" w:firstLineChars="200"/>
        <w:contextualSpacing/>
        <w:rPr>
          <w:rFonts w:ascii="宋体" w:hAnsi="Calibri"/>
          <w:szCs w:val="21"/>
          <w:lang w:eastAsia="zh-CN"/>
        </w:rPr>
      </w:pPr>
      <w:r>
        <w:rPr>
          <w:rFonts w:ascii="宋体" w:hAnsi="Calibri"/>
          <w:szCs w:val="21"/>
          <w:highlight w:val="white"/>
          <w:lang w:eastAsia="zh-CN"/>
        </w:rPr>
        <w:t>6</w:t>
      </w:r>
      <w:r>
        <w:rPr>
          <w:rFonts w:ascii="宋体" w:hAnsi="Calibri" w:hint="eastAsia"/>
          <w:szCs w:val="21"/>
          <w:highlight w:val="white"/>
          <w:lang w:eastAsia="zh-CN"/>
        </w:rPr>
        <w:t>、债券收益率曲线风险</w:t>
      </w:r>
    </w:p>
    <w:p w:rsidR="005C6370" w:rsidP="00A24D29" w14:paraId="36A4400B"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债券收益率曲线风险是指与收益率曲线非平行移动有关的风险，单一的久期指标并不能充分反映这一风险的存在。</w:t>
      </w:r>
    </w:p>
    <w:p w:rsidR="005C6370" w:rsidP="00A24D29" w14:paraId="5639BEC9" w14:textId="77777777">
      <w:pPr>
        <w:spacing w:line="360" w:lineRule="auto"/>
        <w:ind w:firstLine="420" w:firstLineChars="200"/>
        <w:contextualSpacing/>
        <w:rPr>
          <w:rFonts w:ascii="宋体" w:hAnsi="Calibri"/>
          <w:szCs w:val="21"/>
          <w:lang w:eastAsia="zh-CN"/>
        </w:rPr>
      </w:pPr>
      <w:r>
        <w:rPr>
          <w:rFonts w:ascii="宋体" w:hAnsi="Calibri"/>
          <w:szCs w:val="21"/>
          <w:highlight w:val="white"/>
          <w:lang w:eastAsia="zh-CN"/>
        </w:rPr>
        <w:t>7</w:t>
      </w:r>
      <w:r>
        <w:rPr>
          <w:rFonts w:ascii="宋体" w:hAnsi="Calibri" w:hint="eastAsia"/>
          <w:szCs w:val="21"/>
          <w:highlight w:val="white"/>
          <w:lang w:eastAsia="zh-CN"/>
        </w:rPr>
        <w:t>、再投资风险</w:t>
      </w:r>
    </w:p>
    <w:p w:rsidR="005C6370" w:rsidP="00A24D29" w14:paraId="0059083B" w14:textId="77777777">
      <w:pPr>
        <w:spacing w:line="360" w:lineRule="auto"/>
        <w:ind w:firstLine="420" w:firstLineChars="200"/>
        <w:contextualSpacing/>
        <w:rPr>
          <w:rFonts w:ascii="宋体" w:hAnsi="Calibri"/>
          <w:szCs w:val="21"/>
          <w:lang w:eastAsia="zh-CN"/>
        </w:rPr>
      </w:pPr>
      <w:r>
        <w:rPr>
          <w:rFonts w:ascii="宋体" w:hAnsi="Calibri" w:hint="eastAsia"/>
          <w:szCs w:val="21"/>
          <w:highlight w:val="white"/>
          <w:lang w:eastAsia="zh-CN"/>
        </w:rPr>
        <w:t>再投资风险反映了利率下降对固定收益证券利息收入再投资收益的影响，这与利率上升所带来的价格风险（即前面所提到的利率风险）互为消长。具体为当利率下降时，基金从投资的固定收益证券所得的利息收入进行再投资时，将获得比之前较少的收益率。</w:t>
      </w:r>
    </w:p>
    <w:p w:rsidR="005C6370" w:rsidP="00A24D29" w14:paraId="729D5F6D" w14:textId="77777777">
      <w:pPr>
        <w:spacing w:line="360" w:lineRule="auto"/>
        <w:ind w:firstLine="420"/>
        <w:contextualSpacing/>
        <w:rPr>
          <w:rFonts w:ascii="宋体" w:hAnsi="Calibri"/>
          <w:lang w:eastAsia="zh-CN"/>
        </w:rPr>
      </w:pPr>
      <w:r>
        <w:rPr>
          <w:rFonts w:ascii="宋体" w:hAnsi="Calibri"/>
          <w:szCs w:val="21"/>
          <w:highlight w:val="white"/>
          <w:lang w:eastAsia="zh-CN"/>
        </w:rPr>
        <w:t>8</w:t>
      </w:r>
      <w:r>
        <w:rPr>
          <w:rFonts w:ascii="宋体" w:hAnsi="Calibri" w:hint="eastAsia"/>
          <w:szCs w:val="21"/>
          <w:highlight w:val="white"/>
          <w:lang w:eastAsia="zh-CN"/>
        </w:rPr>
        <w:t>、</w:t>
      </w:r>
      <w:r>
        <w:rPr>
          <w:rFonts w:ascii="宋体" w:hAnsi="Calibri" w:hint="eastAsia"/>
          <w:highlight w:val="white"/>
          <w:lang w:eastAsia="zh-CN"/>
        </w:rPr>
        <w:t>经济周期风险</w:t>
      </w:r>
    </w:p>
    <w:p w:rsidR="005C6370" w:rsidP="00A24D29" w14:paraId="1A62C7F2" w14:textId="77777777">
      <w:pPr>
        <w:spacing w:line="360" w:lineRule="auto"/>
        <w:ind w:firstLine="420"/>
        <w:contextualSpacing/>
        <w:rPr>
          <w:rFonts w:ascii="宋体" w:hAnsi="Calibri"/>
          <w:szCs w:val="21"/>
          <w:lang w:eastAsia="zh-CN"/>
        </w:rPr>
      </w:pPr>
      <w:r>
        <w:rPr>
          <w:rFonts w:ascii="宋体" w:hAnsi="Calibri" w:hint="eastAsia"/>
          <w:highlight w:val="white"/>
          <w:lang w:eastAsia="zh-CN"/>
        </w:rPr>
        <w:t>随着经济运行的周期性变化，证券市场的收益水平也呈周期性变化，基金投资的收益水平也会随之变化，从而产生风险。</w:t>
      </w:r>
    </w:p>
    <w:p w:rsidR="005C6370" w:rsidP="00A24D29" w14:paraId="5A9D4DA1"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三、流动性风险</w:t>
      </w:r>
    </w:p>
    <w:p w:rsidR="005C6370" w:rsidP="00A24D29" w14:paraId="5FB7F499"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w:t>
      </w:r>
      <w:r>
        <w:rPr>
          <w:rFonts w:ascii="宋体" w:hAnsi="Calibri"/>
          <w:szCs w:val="21"/>
          <w:highlight w:val="white"/>
          <w:lang w:eastAsia="zh-CN"/>
        </w:rPr>
        <w:t>流</w:t>
      </w:r>
      <w:r>
        <w:rPr>
          <w:rFonts w:ascii="宋体" w:hAnsi="Calibri" w:hint="eastAsia"/>
          <w:szCs w:val="21"/>
          <w:highlight w:val="white"/>
          <w:lang w:eastAsia="zh-CN"/>
        </w:rPr>
        <w:t>动</w:t>
      </w:r>
      <w:r>
        <w:rPr>
          <w:rFonts w:ascii="宋体" w:hAnsi="Calibri"/>
          <w:szCs w:val="21"/>
          <w:highlight w:val="white"/>
          <w:lang w:eastAsia="zh-CN"/>
        </w:rPr>
        <w:t>性风险评估</w:t>
      </w:r>
    </w:p>
    <w:p w:rsidR="005C6370" w:rsidP="00A24D29" w14:paraId="2F2F8CFE" w14:textId="77777777">
      <w:pPr>
        <w:spacing w:line="360" w:lineRule="auto"/>
        <w:ind w:firstLine="420"/>
        <w:contextualSpacing/>
        <w:rPr>
          <w:rFonts w:ascii="宋体" w:hAnsi="Calibri"/>
          <w:lang w:eastAsia="zh-CN"/>
        </w:rPr>
      </w:pPr>
      <w:r>
        <w:rPr>
          <w:rFonts w:ascii="宋体" w:hAnsi="Calibri" w:hint="eastAsia"/>
          <w:highlight w:val="white"/>
          <w:lang w:eastAsia="zh-CN"/>
        </w:rPr>
        <w:t>本基金为基金中基金，主要投资证券投资</w:t>
      </w:r>
      <w:r>
        <w:rPr>
          <w:rFonts w:ascii="宋体" w:hAnsi="Calibri"/>
          <w:highlight w:val="white"/>
          <w:lang w:eastAsia="zh-CN"/>
        </w:rPr>
        <w:t>基金</w:t>
      </w:r>
      <w:r>
        <w:rPr>
          <w:rFonts w:ascii="宋体" w:hAnsi="Calibri" w:hint="eastAsia"/>
          <w:highlight w:val="white"/>
          <w:lang w:eastAsia="zh-CN"/>
        </w:rPr>
        <w:t>，一</w:t>
      </w:r>
      <w:r>
        <w:rPr>
          <w:rFonts w:ascii="宋体" w:hAnsi="Calibri"/>
          <w:highlight w:val="white"/>
          <w:lang w:eastAsia="zh-CN"/>
        </w:rPr>
        <w:t>般情况下，</w:t>
      </w:r>
      <w:r>
        <w:rPr>
          <w:rFonts w:ascii="宋体" w:hAnsi="Calibri" w:hint="eastAsia"/>
          <w:highlight w:val="white"/>
          <w:lang w:eastAsia="zh-CN"/>
        </w:rPr>
        <w:t>上述</w:t>
      </w:r>
      <w:r>
        <w:rPr>
          <w:rFonts w:ascii="宋体" w:hAnsi="Calibri"/>
          <w:highlight w:val="white"/>
          <w:lang w:eastAsia="zh-CN"/>
        </w:rPr>
        <w:t>资产</w:t>
      </w:r>
      <w:r>
        <w:rPr>
          <w:rFonts w:ascii="宋体" w:hAnsi="Calibri" w:hint="eastAsia"/>
          <w:highlight w:val="white"/>
          <w:lang w:eastAsia="zh-CN"/>
        </w:rPr>
        <w:t>市场流动性较好。</w:t>
      </w:r>
    </w:p>
    <w:p w:rsidR="005C6370" w:rsidP="00A24D29" w14:paraId="4E40A5F8" w14:textId="77777777">
      <w:pPr>
        <w:spacing w:line="360" w:lineRule="auto"/>
        <w:ind w:firstLine="420"/>
        <w:contextualSpacing/>
        <w:rPr>
          <w:rFonts w:ascii="宋体" w:hAnsi="Calibri"/>
          <w:lang w:eastAsia="zh-CN"/>
        </w:rPr>
      </w:pPr>
      <w:r>
        <w:rPr>
          <w:rFonts w:ascii="宋体" w:hAnsi="Calibri" w:hint="eastAsia"/>
          <w:highlight w:val="white"/>
          <w:lang w:eastAsia="zh-CN"/>
        </w:rPr>
        <w:t>但不排除</w:t>
      </w:r>
      <w:r>
        <w:rPr>
          <w:rFonts w:ascii="宋体" w:hAnsi="Calibri"/>
          <w:highlight w:val="white"/>
          <w:lang w:eastAsia="zh-CN"/>
        </w:rPr>
        <w:t>在特定阶段、特定市场环境下特定投资标的出现流动性较差的情况。</w:t>
      </w:r>
      <w:r>
        <w:rPr>
          <w:rFonts w:ascii="宋体" w:hAnsi="Calibri" w:hint="eastAsia"/>
          <w:highlight w:val="white"/>
          <w:lang w:eastAsia="zh-CN"/>
        </w:rPr>
        <w:t>因此，本基金投资于上述资产时，可能存在以下流动性风险：</w:t>
      </w:r>
      <w:r>
        <w:rPr>
          <w:rFonts w:ascii="宋体" w:hAnsi="Calibri"/>
          <w:highlight w:val="white"/>
          <w:lang w:eastAsia="zh-CN"/>
        </w:rPr>
        <w:t>一是基金管理人建仓</w:t>
      </w:r>
      <w:r>
        <w:rPr>
          <w:rFonts w:ascii="宋体" w:hAnsi="Calibri" w:hint="eastAsia"/>
          <w:highlight w:val="white"/>
          <w:lang w:eastAsia="zh-CN"/>
        </w:rPr>
        <w:t>或</w:t>
      </w:r>
      <w:r>
        <w:rPr>
          <w:rFonts w:ascii="宋体" w:hAnsi="Calibri"/>
          <w:highlight w:val="white"/>
          <w:lang w:eastAsia="zh-CN"/>
        </w:rPr>
        <w:t>进行组合调整时，可能由于</w:t>
      </w:r>
      <w:r>
        <w:rPr>
          <w:rFonts w:ascii="宋体" w:hAnsi="Calibri" w:hint="eastAsia"/>
          <w:highlight w:val="white"/>
          <w:lang w:eastAsia="zh-CN"/>
        </w:rPr>
        <w:t>特定</w:t>
      </w:r>
      <w:r>
        <w:rPr>
          <w:rFonts w:ascii="宋体" w:hAnsi="Calibri"/>
          <w:highlight w:val="white"/>
          <w:lang w:eastAsia="zh-CN"/>
        </w:rPr>
        <w:t>投资标的流动性相对不足而无法按预期的价格买进或卖出；二是为应付投资者的赎回，基金被迫</w:t>
      </w:r>
      <w:r>
        <w:rPr>
          <w:rFonts w:ascii="宋体" w:hAnsi="Calibri" w:hint="eastAsia"/>
          <w:highlight w:val="white"/>
          <w:lang w:eastAsia="zh-CN"/>
        </w:rPr>
        <w:t>以</w:t>
      </w:r>
      <w:r>
        <w:rPr>
          <w:rFonts w:ascii="宋体" w:hAnsi="Calibri"/>
          <w:highlight w:val="white"/>
          <w:lang w:eastAsia="zh-CN"/>
        </w:rPr>
        <w:t>不适当的价格</w:t>
      </w:r>
      <w:r>
        <w:rPr>
          <w:rFonts w:ascii="宋体" w:hAnsi="Calibri" w:hint="eastAsia"/>
          <w:highlight w:val="white"/>
          <w:lang w:eastAsia="zh-CN"/>
        </w:rPr>
        <w:t>卖出基金</w:t>
      </w:r>
      <w:r>
        <w:rPr>
          <w:rFonts w:ascii="宋体" w:hAnsi="Calibri"/>
          <w:highlight w:val="white"/>
          <w:lang w:eastAsia="zh-CN"/>
        </w:rPr>
        <w:t>、股票</w:t>
      </w:r>
      <w:r>
        <w:rPr>
          <w:rFonts w:ascii="宋体" w:hAnsi="Calibri" w:hint="eastAsia"/>
          <w:highlight w:val="white"/>
          <w:lang w:eastAsia="zh-CN"/>
        </w:rPr>
        <w:t>、</w:t>
      </w:r>
      <w:r>
        <w:rPr>
          <w:rFonts w:ascii="宋体" w:hAnsi="Calibri"/>
          <w:highlight w:val="white"/>
          <w:lang w:eastAsia="zh-CN"/>
        </w:rPr>
        <w:t>债券</w:t>
      </w:r>
      <w:r>
        <w:rPr>
          <w:rFonts w:ascii="宋体" w:hAnsi="Calibri" w:hint="eastAsia"/>
          <w:highlight w:val="white"/>
          <w:lang w:eastAsia="zh-CN"/>
        </w:rPr>
        <w:t>或其他资产</w:t>
      </w:r>
      <w:r>
        <w:rPr>
          <w:rFonts w:ascii="宋体" w:hAnsi="Calibri"/>
          <w:highlight w:val="white"/>
          <w:lang w:eastAsia="zh-CN"/>
        </w:rPr>
        <w:t>。两者均可能使基金净值受到不利影响。</w:t>
      </w:r>
    </w:p>
    <w:p w:rsidR="005C6370" w:rsidP="00A24D29" w14:paraId="212BEFB1" w14:textId="77777777">
      <w:pPr>
        <w:spacing w:line="360" w:lineRule="auto"/>
        <w:ind w:firstLine="420"/>
        <w:contextualSpacing/>
        <w:rPr>
          <w:rFonts w:ascii="宋体" w:hAnsi="Calibri"/>
          <w:lang w:eastAsia="zh-CN"/>
        </w:rPr>
      </w:pPr>
      <w:r>
        <w:rPr>
          <w:rFonts w:ascii="宋体" w:hAnsi="Calibri"/>
          <w:highlight w:val="white"/>
          <w:lang w:eastAsia="zh-CN"/>
        </w:rPr>
        <w:t>2</w:t>
      </w:r>
      <w:r>
        <w:rPr>
          <w:rFonts w:ascii="宋体" w:hAnsi="Calibri" w:hint="eastAsia"/>
          <w:highlight w:val="white"/>
          <w:lang w:eastAsia="zh-CN"/>
        </w:rPr>
        <w:t>、</w:t>
      </w:r>
      <w:r>
        <w:rPr>
          <w:rFonts w:ascii="宋体" w:hAnsi="Calibri"/>
          <w:highlight w:val="white"/>
          <w:lang w:eastAsia="zh-CN"/>
        </w:rPr>
        <w:t>巨额赎回情形下</w:t>
      </w:r>
      <w:r>
        <w:rPr>
          <w:rFonts w:ascii="宋体" w:hAnsi="Calibri" w:hint="eastAsia"/>
          <w:highlight w:val="white"/>
          <w:lang w:eastAsia="zh-CN"/>
        </w:rPr>
        <w:t>的流动性</w:t>
      </w:r>
      <w:r>
        <w:rPr>
          <w:rFonts w:ascii="宋体" w:hAnsi="Calibri"/>
          <w:highlight w:val="white"/>
          <w:lang w:eastAsia="zh-CN"/>
        </w:rPr>
        <w:t>风险管理措施</w:t>
      </w:r>
    </w:p>
    <w:p w:rsidR="005C6370" w:rsidP="00A24D29" w14:paraId="2D970F8D" w14:textId="77777777">
      <w:pPr>
        <w:spacing w:line="360" w:lineRule="auto"/>
        <w:ind w:firstLine="420"/>
        <w:contextualSpacing/>
        <w:rPr>
          <w:rFonts w:ascii="宋体" w:hAnsi="Calibri"/>
          <w:lang w:eastAsia="zh-CN"/>
        </w:rPr>
      </w:pPr>
      <w:r>
        <w:rPr>
          <w:rFonts w:ascii="宋体" w:hAnsi="Calibri" w:hint="eastAsia"/>
          <w:highlight w:val="white"/>
          <w:lang w:eastAsia="zh-CN"/>
        </w:rPr>
        <w:t>当本基金发生巨额赎回时，基金管理人可以根据基金当时的资产组合状况决定全额赎回或部分延期赎回；此外，如出现连续两个或两个以上开放日发生巨额赎回，可暂停接受投资人的赎回申请或延缓支付赎回款项；当</w:t>
      </w:r>
      <w:r>
        <w:rPr>
          <w:rFonts w:ascii="宋体" w:hAnsi="Calibri"/>
          <w:highlight w:val="white"/>
          <w:lang w:eastAsia="zh-CN"/>
        </w:rPr>
        <w:t>本基金发生巨额赎回且</w:t>
      </w:r>
      <w:r>
        <w:rPr>
          <w:rFonts w:ascii="宋体" w:hAnsi="Calibri" w:hint="eastAsia"/>
          <w:highlight w:val="white"/>
          <w:lang w:eastAsia="zh-CN"/>
        </w:rPr>
        <w:t>单个基金份额持有人的赎回申请超过上一开放日基金总份额10%的，基金管理人有权对该单个基金份额持有人超出该比例的赎回申请实施延期办理。具体</w:t>
      </w:r>
      <w:r>
        <w:rPr>
          <w:rFonts w:ascii="宋体" w:hAnsi="Calibri"/>
          <w:highlight w:val="white"/>
          <w:lang w:eastAsia="zh-CN"/>
        </w:rPr>
        <w:t>情形、</w:t>
      </w:r>
      <w:r>
        <w:rPr>
          <w:rFonts w:ascii="宋体" w:hAnsi="Calibri" w:hint="eastAsia"/>
          <w:highlight w:val="white"/>
          <w:lang w:eastAsia="zh-CN"/>
        </w:rPr>
        <w:t>程序见</w:t>
      </w:r>
      <w:r>
        <w:rPr>
          <w:rFonts w:ascii="宋体" w:hAnsi="Calibri"/>
          <w:highlight w:val="white"/>
          <w:lang w:eastAsia="zh-CN"/>
        </w:rPr>
        <w:t>招募说明书</w:t>
      </w:r>
      <w:r>
        <w:rPr>
          <w:rFonts w:ascii="宋体" w:hAnsi="Calibri" w:hint="eastAsia"/>
          <w:highlight w:val="white"/>
          <w:lang w:eastAsia="zh-CN"/>
        </w:rPr>
        <w:t>“基金份额的申购、赎回”之“</w:t>
      </w:r>
      <w:r>
        <w:rPr>
          <w:rFonts w:ascii="宋体" w:hAnsi="Calibri"/>
          <w:highlight w:val="white"/>
          <w:lang w:eastAsia="zh-CN"/>
        </w:rPr>
        <w:t>巨额赎回的</w:t>
      </w:r>
      <w:r>
        <w:rPr>
          <w:rFonts w:ascii="宋体" w:hAnsi="Calibri" w:cs="宋体"/>
          <w:color w:val="000000"/>
          <w:highlight w:val="white"/>
          <w:lang w:eastAsia="zh-CN"/>
        </w:rPr>
        <w:t>情形</w:t>
      </w:r>
      <w:r>
        <w:rPr>
          <w:rFonts w:ascii="宋体" w:hAnsi="Calibri"/>
          <w:highlight w:val="white"/>
          <w:lang w:eastAsia="zh-CN"/>
        </w:rPr>
        <w:t>及处理方式</w:t>
      </w:r>
      <w:r>
        <w:rPr>
          <w:rFonts w:ascii="宋体" w:hAnsi="Calibri"/>
          <w:highlight w:val="white"/>
          <w:lang w:eastAsia="zh-CN"/>
        </w:rPr>
        <w:t>”</w:t>
      </w:r>
      <w:r>
        <w:rPr>
          <w:rFonts w:ascii="宋体" w:hAnsi="Calibri" w:hint="eastAsia"/>
          <w:highlight w:val="white"/>
          <w:lang w:eastAsia="zh-CN"/>
        </w:rPr>
        <w:t>。</w:t>
      </w:r>
    </w:p>
    <w:p w:rsidR="005C6370" w:rsidP="00A24D29" w14:paraId="173C5B2F" w14:textId="77777777">
      <w:pPr>
        <w:spacing w:line="360" w:lineRule="auto"/>
        <w:ind w:firstLine="420"/>
        <w:contextualSpacing/>
        <w:rPr>
          <w:rFonts w:ascii="宋体" w:hAnsi="Calibri"/>
          <w:lang w:eastAsia="zh-CN"/>
        </w:rPr>
      </w:pPr>
      <w:r>
        <w:rPr>
          <w:rFonts w:ascii="宋体" w:hAnsi="Calibri" w:hint="eastAsia"/>
          <w:highlight w:val="white"/>
          <w:lang w:eastAsia="zh-CN"/>
        </w:rPr>
        <w:t>发生</w:t>
      </w:r>
      <w:r>
        <w:rPr>
          <w:rFonts w:ascii="宋体" w:hAnsi="Calibri"/>
          <w:highlight w:val="white"/>
          <w:lang w:eastAsia="zh-CN"/>
        </w:rPr>
        <w:t>上述情形时，投资人面临无法</w:t>
      </w:r>
      <w:r>
        <w:rPr>
          <w:rFonts w:ascii="宋体" w:hAnsi="Calibri" w:hint="eastAsia"/>
          <w:highlight w:val="white"/>
          <w:lang w:eastAsia="zh-CN"/>
        </w:rPr>
        <w:t>全</w:t>
      </w:r>
      <w:r>
        <w:rPr>
          <w:rFonts w:ascii="宋体" w:hAnsi="Calibri"/>
          <w:highlight w:val="white"/>
          <w:lang w:eastAsia="zh-CN"/>
        </w:rPr>
        <w:t>部赎回或无法及时获得</w:t>
      </w:r>
      <w:r>
        <w:rPr>
          <w:rFonts w:ascii="宋体" w:hAnsi="Calibri" w:hint="eastAsia"/>
          <w:highlight w:val="white"/>
          <w:lang w:eastAsia="zh-CN"/>
        </w:rPr>
        <w:t>赎</w:t>
      </w:r>
      <w:r>
        <w:rPr>
          <w:rFonts w:ascii="宋体" w:hAnsi="Calibri"/>
          <w:highlight w:val="white"/>
          <w:lang w:eastAsia="zh-CN"/>
        </w:rPr>
        <w:t>回资金的风险</w:t>
      </w:r>
      <w:r>
        <w:rPr>
          <w:rFonts w:ascii="宋体" w:hAnsi="Calibri" w:hint="eastAsia"/>
          <w:highlight w:val="white"/>
          <w:lang w:eastAsia="zh-CN"/>
        </w:rPr>
        <w:t>。在</w:t>
      </w:r>
      <w:r>
        <w:rPr>
          <w:rFonts w:ascii="宋体" w:hAnsi="Calibri"/>
          <w:highlight w:val="white"/>
          <w:lang w:eastAsia="zh-CN"/>
        </w:rPr>
        <w:t>本基金暂停</w:t>
      </w:r>
      <w:r>
        <w:rPr>
          <w:rFonts w:ascii="宋体" w:hAnsi="Calibri" w:hint="eastAsia"/>
          <w:highlight w:val="white"/>
          <w:lang w:eastAsia="zh-CN"/>
        </w:rPr>
        <w:t>或</w:t>
      </w:r>
      <w:r>
        <w:rPr>
          <w:rFonts w:ascii="宋体" w:hAnsi="Calibri"/>
          <w:highlight w:val="white"/>
          <w:lang w:eastAsia="zh-CN"/>
        </w:rPr>
        <w:t>延期办理</w:t>
      </w:r>
      <w:r>
        <w:rPr>
          <w:rFonts w:ascii="宋体" w:hAnsi="Calibri" w:hint="eastAsia"/>
          <w:highlight w:val="white"/>
          <w:lang w:eastAsia="zh-CN"/>
        </w:rPr>
        <w:t>投资者</w:t>
      </w:r>
      <w:r>
        <w:rPr>
          <w:rFonts w:ascii="宋体" w:hAnsi="Calibri"/>
          <w:highlight w:val="white"/>
          <w:lang w:eastAsia="zh-CN"/>
        </w:rPr>
        <w:t>赎回申请</w:t>
      </w:r>
      <w:r>
        <w:rPr>
          <w:rFonts w:ascii="宋体" w:hAnsi="Calibri" w:hint="eastAsia"/>
          <w:highlight w:val="white"/>
          <w:lang w:eastAsia="zh-CN"/>
        </w:rPr>
        <w:t>的</w:t>
      </w:r>
      <w:r>
        <w:rPr>
          <w:rFonts w:ascii="宋体" w:hAnsi="Calibri"/>
          <w:highlight w:val="white"/>
          <w:lang w:eastAsia="zh-CN"/>
        </w:rPr>
        <w:t>情况下，投资者</w:t>
      </w:r>
      <w:r>
        <w:rPr>
          <w:rFonts w:ascii="宋体" w:hAnsi="Calibri" w:hint="eastAsia"/>
          <w:highlight w:val="white"/>
          <w:lang w:eastAsia="zh-CN"/>
        </w:rPr>
        <w:t>未能</w:t>
      </w:r>
      <w:r>
        <w:rPr>
          <w:rFonts w:ascii="宋体" w:hAnsi="Calibri"/>
          <w:highlight w:val="white"/>
          <w:lang w:eastAsia="zh-CN"/>
        </w:rPr>
        <w:t>赎回的基金份额还将面临净值波动的风险。</w:t>
      </w:r>
    </w:p>
    <w:p w:rsidR="005C6370" w:rsidP="00A24D29" w14:paraId="0182CE14" w14:textId="77777777">
      <w:pPr>
        <w:spacing w:line="360" w:lineRule="auto"/>
        <w:ind w:firstLine="420"/>
        <w:contextualSpacing/>
        <w:rPr>
          <w:rFonts w:ascii="宋体" w:hAnsi="Calibri"/>
          <w:lang w:eastAsia="zh-CN"/>
        </w:rPr>
      </w:pPr>
      <w:r>
        <w:rPr>
          <w:rFonts w:ascii="宋体" w:hAnsi="Calibri"/>
          <w:highlight w:val="white"/>
          <w:lang w:eastAsia="zh-CN"/>
        </w:rPr>
        <w:t>3</w:t>
      </w:r>
      <w:r>
        <w:rPr>
          <w:rFonts w:ascii="宋体" w:hAnsi="Calibri" w:hint="eastAsia"/>
          <w:highlight w:val="white"/>
          <w:lang w:eastAsia="zh-CN"/>
        </w:rPr>
        <w:t>、除巨额</w:t>
      </w:r>
      <w:r>
        <w:rPr>
          <w:rFonts w:ascii="宋体" w:hAnsi="Calibri"/>
          <w:highlight w:val="white"/>
          <w:lang w:eastAsia="zh-CN"/>
        </w:rPr>
        <w:t>赎回情形外</w:t>
      </w:r>
      <w:r>
        <w:rPr>
          <w:rFonts w:ascii="宋体" w:hAnsi="Calibri" w:hint="eastAsia"/>
          <w:highlight w:val="white"/>
          <w:lang w:eastAsia="zh-CN"/>
        </w:rPr>
        <w:t>实施</w:t>
      </w:r>
      <w:r>
        <w:rPr>
          <w:rFonts w:ascii="宋体" w:hAnsi="Calibri"/>
          <w:highlight w:val="white"/>
          <w:lang w:eastAsia="zh-CN"/>
        </w:rPr>
        <w:t>备</w:t>
      </w:r>
      <w:r>
        <w:rPr>
          <w:rFonts w:ascii="宋体" w:hAnsi="Calibri" w:hint="eastAsia"/>
          <w:highlight w:val="white"/>
          <w:lang w:eastAsia="zh-CN"/>
        </w:rPr>
        <w:t>用</w:t>
      </w:r>
      <w:r>
        <w:rPr>
          <w:rFonts w:ascii="宋体" w:hAnsi="Calibri"/>
          <w:highlight w:val="white"/>
          <w:lang w:eastAsia="zh-CN"/>
        </w:rPr>
        <w:t>的流动性风险管理工具的情形、程序及对投资者的潜在影响</w:t>
      </w:r>
    </w:p>
    <w:p w:rsidR="005C6370" w:rsidP="00A24D29" w14:paraId="12288AFE"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除</w:t>
      </w:r>
      <w:r>
        <w:rPr>
          <w:rFonts w:ascii="宋体" w:hAnsi="Calibri"/>
          <w:szCs w:val="21"/>
          <w:highlight w:val="white"/>
          <w:lang w:eastAsia="zh-CN"/>
        </w:rPr>
        <w:t>巨额赎回</w:t>
      </w:r>
      <w:r>
        <w:rPr>
          <w:rFonts w:ascii="宋体" w:hAnsi="Calibri" w:hint="eastAsia"/>
          <w:szCs w:val="21"/>
          <w:highlight w:val="white"/>
          <w:lang w:eastAsia="zh-CN"/>
        </w:rPr>
        <w:t>情形外</w:t>
      </w:r>
      <w:r>
        <w:rPr>
          <w:rFonts w:ascii="宋体" w:hAnsi="Calibri"/>
          <w:szCs w:val="21"/>
          <w:highlight w:val="white"/>
          <w:lang w:eastAsia="zh-CN"/>
        </w:rPr>
        <w:t>，</w:t>
      </w:r>
      <w:r>
        <w:rPr>
          <w:rFonts w:ascii="宋体" w:hAnsi="Calibri" w:hint="eastAsia"/>
          <w:szCs w:val="21"/>
          <w:highlight w:val="white"/>
          <w:lang w:eastAsia="zh-CN"/>
        </w:rPr>
        <w:t>本基金</w:t>
      </w:r>
      <w:r>
        <w:rPr>
          <w:rFonts w:ascii="宋体" w:hAnsi="Calibri"/>
          <w:szCs w:val="21"/>
          <w:highlight w:val="white"/>
          <w:lang w:eastAsia="zh-CN"/>
        </w:rPr>
        <w:t>备用流动性风险管理工具</w:t>
      </w:r>
      <w:r>
        <w:rPr>
          <w:rFonts w:ascii="宋体" w:hAnsi="Calibri" w:hint="eastAsia"/>
          <w:szCs w:val="21"/>
          <w:highlight w:val="white"/>
          <w:lang w:eastAsia="zh-CN"/>
        </w:rPr>
        <w:t>包括但</w:t>
      </w:r>
      <w:r>
        <w:rPr>
          <w:rFonts w:ascii="宋体" w:hAnsi="Calibri"/>
          <w:szCs w:val="21"/>
          <w:highlight w:val="white"/>
          <w:lang w:eastAsia="zh-CN"/>
        </w:rPr>
        <w:t>不限于</w:t>
      </w:r>
      <w:r>
        <w:rPr>
          <w:rFonts w:ascii="宋体" w:hAnsi="Calibri" w:hint="eastAsia"/>
          <w:szCs w:val="21"/>
          <w:highlight w:val="white"/>
          <w:lang w:eastAsia="zh-CN"/>
        </w:rPr>
        <w:t>暂停</w:t>
      </w:r>
      <w:r>
        <w:rPr>
          <w:rFonts w:ascii="宋体" w:hAnsi="Calibri"/>
          <w:szCs w:val="21"/>
          <w:highlight w:val="white"/>
          <w:lang w:eastAsia="zh-CN"/>
        </w:rPr>
        <w:t>接受赎回申请、延缓支付赎回款项、暂停基金估值</w:t>
      </w:r>
      <w:r>
        <w:rPr>
          <w:rFonts w:ascii="宋体" w:hAnsi="Calibri" w:hint="eastAsia"/>
          <w:highlight w:val="white"/>
          <w:lang w:eastAsia="zh-CN"/>
        </w:rPr>
        <w:t>、</w:t>
      </w:r>
      <w:r>
        <w:rPr>
          <w:rFonts w:ascii="宋体" w:hAnsi="Calibri"/>
          <w:highlight w:val="white"/>
          <w:lang w:eastAsia="zh-CN"/>
        </w:rPr>
        <w:t>摆动定价</w:t>
      </w:r>
      <w:r>
        <w:rPr>
          <w:rFonts w:ascii="宋体" w:hAnsi="Calibri" w:hint="eastAsia"/>
          <w:highlight w:val="white"/>
          <w:lang w:eastAsia="zh-CN"/>
        </w:rPr>
        <w:t>、实施侧袋机制</w:t>
      </w:r>
      <w:r>
        <w:rPr>
          <w:rFonts w:ascii="宋体" w:hAnsi="Calibri" w:hint="eastAsia"/>
          <w:szCs w:val="21"/>
          <w:highlight w:val="white"/>
          <w:lang w:eastAsia="zh-CN"/>
        </w:rPr>
        <w:t>以及证</w:t>
      </w:r>
      <w:r>
        <w:rPr>
          <w:rFonts w:ascii="宋体" w:hAnsi="Calibri"/>
          <w:szCs w:val="21"/>
          <w:highlight w:val="white"/>
          <w:lang w:eastAsia="zh-CN"/>
        </w:rPr>
        <w:t>监会认定的其他措施。</w:t>
      </w:r>
    </w:p>
    <w:p w:rsidR="005C6370" w:rsidP="00A24D29" w14:paraId="3868EED1" w14:textId="77777777">
      <w:pPr>
        <w:spacing w:line="360" w:lineRule="auto"/>
        <w:ind w:firstLine="420"/>
        <w:contextualSpacing/>
        <w:rPr>
          <w:rFonts w:ascii="宋体" w:hAnsi="Calibri"/>
          <w:lang w:eastAsia="zh-CN"/>
        </w:rPr>
      </w:pPr>
      <w:r>
        <w:rPr>
          <w:rFonts w:ascii="宋体" w:hAnsi="Calibri" w:hint="eastAsia"/>
          <w:szCs w:val="21"/>
          <w:highlight w:val="white"/>
          <w:lang w:eastAsia="zh-CN"/>
        </w:rPr>
        <w:t>暂停</w:t>
      </w:r>
      <w:r>
        <w:rPr>
          <w:rFonts w:ascii="宋体" w:hAnsi="Calibri"/>
          <w:szCs w:val="21"/>
          <w:highlight w:val="white"/>
          <w:lang w:eastAsia="zh-CN"/>
        </w:rPr>
        <w:t>接受赎回申请、延缓支付赎回款项</w:t>
      </w:r>
      <w:r>
        <w:rPr>
          <w:rFonts w:ascii="宋体" w:hAnsi="Calibri" w:hint="eastAsia"/>
          <w:szCs w:val="21"/>
          <w:highlight w:val="white"/>
          <w:lang w:eastAsia="zh-CN"/>
        </w:rPr>
        <w:t>等</w:t>
      </w:r>
      <w:r>
        <w:rPr>
          <w:rFonts w:ascii="宋体" w:hAnsi="Calibri"/>
          <w:szCs w:val="21"/>
          <w:highlight w:val="white"/>
          <w:lang w:eastAsia="zh-CN"/>
        </w:rPr>
        <w:t>工具的情形、程序</w:t>
      </w:r>
      <w:r>
        <w:rPr>
          <w:rFonts w:ascii="宋体" w:hAnsi="Calibri" w:hint="eastAsia"/>
          <w:szCs w:val="21"/>
          <w:highlight w:val="white"/>
          <w:lang w:eastAsia="zh-CN"/>
        </w:rPr>
        <w:t>见招募</w:t>
      </w:r>
      <w:r>
        <w:rPr>
          <w:rFonts w:ascii="宋体" w:hAnsi="Calibri"/>
          <w:szCs w:val="21"/>
          <w:highlight w:val="white"/>
          <w:lang w:eastAsia="zh-CN"/>
        </w:rPr>
        <w:t>说明</w:t>
      </w:r>
      <w:r>
        <w:rPr>
          <w:rFonts w:ascii="宋体" w:hAnsi="Calibri" w:hint="eastAsia"/>
          <w:szCs w:val="21"/>
          <w:highlight w:val="white"/>
          <w:lang w:eastAsia="zh-CN"/>
        </w:rPr>
        <w:t>书“基金份额的申购、赎回”</w:t>
      </w:r>
      <w:r>
        <w:rPr>
          <w:rFonts w:ascii="宋体" w:hAnsi="Calibri"/>
          <w:szCs w:val="21"/>
          <w:highlight w:val="white"/>
          <w:lang w:eastAsia="zh-CN"/>
        </w:rPr>
        <w:t>之</w:t>
      </w:r>
      <w:r>
        <w:rPr>
          <w:rFonts w:ascii="宋体" w:hAnsi="Calibri" w:hint="eastAsia"/>
          <w:szCs w:val="21"/>
          <w:highlight w:val="white"/>
          <w:lang w:eastAsia="zh-CN"/>
        </w:rPr>
        <w:t>“</w:t>
      </w:r>
      <w:r>
        <w:rPr>
          <w:rFonts w:ascii="宋体" w:hAnsi="Calibri" w:cs="宋体"/>
          <w:color w:val="000000"/>
          <w:highlight w:val="white"/>
          <w:lang w:eastAsia="zh-CN"/>
        </w:rPr>
        <w:t>暂停赎回或延缓支付赎回款项的情形</w:t>
      </w:r>
      <w:r>
        <w:rPr>
          <w:rFonts w:ascii="宋体" w:hAnsi="Calibri"/>
          <w:highlight w:val="white"/>
          <w:lang w:eastAsia="zh-CN"/>
        </w:rPr>
        <w:t>”</w:t>
      </w:r>
      <w:r>
        <w:rPr>
          <w:rFonts w:ascii="宋体" w:hAnsi="Calibri"/>
          <w:highlight w:val="white"/>
          <w:lang w:eastAsia="zh-CN"/>
        </w:rPr>
        <w:t>的相关规定。</w:t>
      </w:r>
      <w:r>
        <w:rPr>
          <w:rFonts w:ascii="宋体" w:hAnsi="Calibri" w:hint="eastAsia"/>
          <w:szCs w:val="21"/>
          <w:highlight w:val="white"/>
          <w:lang w:eastAsia="zh-CN"/>
        </w:rPr>
        <w:t>若</w:t>
      </w:r>
      <w:r>
        <w:rPr>
          <w:rFonts w:ascii="宋体" w:hAnsi="Calibri"/>
          <w:szCs w:val="21"/>
          <w:highlight w:val="white"/>
          <w:lang w:eastAsia="zh-CN"/>
        </w:rPr>
        <w:t>本基金暂停赎回申请</w:t>
      </w:r>
      <w:r>
        <w:rPr>
          <w:rFonts w:ascii="宋体" w:hAnsi="Calibri" w:hint="eastAsia"/>
          <w:szCs w:val="21"/>
          <w:highlight w:val="white"/>
          <w:lang w:eastAsia="zh-CN"/>
        </w:rPr>
        <w:t>，</w:t>
      </w:r>
      <w:r>
        <w:rPr>
          <w:rFonts w:ascii="宋体" w:hAnsi="Calibri"/>
          <w:szCs w:val="21"/>
          <w:highlight w:val="white"/>
          <w:lang w:eastAsia="zh-CN"/>
        </w:rPr>
        <w:t>投</w:t>
      </w:r>
      <w:r>
        <w:rPr>
          <w:rFonts w:ascii="宋体" w:hAnsi="Calibri"/>
          <w:highlight w:val="white"/>
          <w:lang w:eastAsia="zh-CN"/>
        </w:rPr>
        <w:t>资</w:t>
      </w:r>
      <w:r>
        <w:rPr>
          <w:rFonts w:ascii="宋体" w:hAnsi="Calibri" w:hint="eastAsia"/>
          <w:highlight w:val="white"/>
          <w:lang w:eastAsia="zh-CN"/>
        </w:rPr>
        <w:t>者在</w:t>
      </w:r>
      <w:r>
        <w:rPr>
          <w:rFonts w:ascii="宋体" w:hAnsi="Calibri"/>
          <w:highlight w:val="white"/>
          <w:lang w:eastAsia="zh-CN"/>
        </w:rPr>
        <w:t>暂停赎回期间将</w:t>
      </w:r>
      <w:r>
        <w:rPr>
          <w:rFonts w:ascii="宋体" w:hAnsi="Calibri" w:hint="eastAsia"/>
          <w:highlight w:val="white"/>
          <w:lang w:eastAsia="zh-CN"/>
        </w:rPr>
        <w:t>无法</w:t>
      </w:r>
      <w:r>
        <w:rPr>
          <w:rFonts w:ascii="宋体" w:hAnsi="Calibri"/>
          <w:highlight w:val="white"/>
          <w:lang w:eastAsia="zh-CN"/>
        </w:rPr>
        <w:t>赎回</w:t>
      </w:r>
      <w:r>
        <w:rPr>
          <w:rFonts w:ascii="宋体" w:hAnsi="Calibri" w:hint="eastAsia"/>
          <w:highlight w:val="white"/>
          <w:lang w:eastAsia="zh-CN"/>
        </w:rPr>
        <w:t>其持有</w:t>
      </w:r>
      <w:r>
        <w:rPr>
          <w:rFonts w:ascii="宋体" w:hAnsi="Calibri"/>
          <w:highlight w:val="white"/>
          <w:lang w:eastAsia="zh-CN"/>
        </w:rPr>
        <w:t>的基金份额。</w:t>
      </w:r>
      <w:r>
        <w:rPr>
          <w:rFonts w:ascii="宋体" w:hAnsi="Calibri" w:hint="eastAsia"/>
          <w:highlight w:val="white"/>
          <w:lang w:eastAsia="zh-CN"/>
        </w:rPr>
        <w:t>若</w:t>
      </w:r>
      <w:r>
        <w:rPr>
          <w:rFonts w:ascii="宋体" w:hAnsi="Calibri" w:hint="eastAsia"/>
          <w:szCs w:val="21"/>
          <w:highlight w:val="white"/>
          <w:lang w:eastAsia="zh-CN"/>
        </w:rPr>
        <w:t>本</w:t>
      </w:r>
      <w:r>
        <w:rPr>
          <w:rFonts w:ascii="宋体" w:hAnsi="Calibri"/>
          <w:szCs w:val="21"/>
          <w:highlight w:val="white"/>
          <w:lang w:eastAsia="zh-CN"/>
        </w:rPr>
        <w:t>基金延缓</w:t>
      </w:r>
      <w:r>
        <w:rPr>
          <w:rFonts w:ascii="宋体" w:hAnsi="Calibri" w:hint="eastAsia"/>
          <w:szCs w:val="21"/>
          <w:highlight w:val="white"/>
          <w:lang w:eastAsia="zh-CN"/>
        </w:rPr>
        <w:t>支付</w:t>
      </w:r>
      <w:r>
        <w:rPr>
          <w:rFonts w:ascii="宋体" w:hAnsi="Calibri"/>
          <w:szCs w:val="21"/>
          <w:highlight w:val="white"/>
          <w:lang w:eastAsia="zh-CN"/>
        </w:rPr>
        <w:t>赎回</w:t>
      </w:r>
      <w:r>
        <w:rPr>
          <w:rFonts w:ascii="宋体" w:hAnsi="Calibri" w:hint="eastAsia"/>
          <w:szCs w:val="21"/>
          <w:highlight w:val="white"/>
          <w:lang w:eastAsia="zh-CN"/>
        </w:rPr>
        <w:t>款项，赎回</w:t>
      </w:r>
      <w:r>
        <w:rPr>
          <w:rFonts w:ascii="宋体" w:hAnsi="Calibri"/>
          <w:szCs w:val="21"/>
          <w:highlight w:val="white"/>
          <w:lang w:eastAsia="zh-CN"/>
        </w:rPr>
        <w:t>款</w:t>
      </w:r>
      <w:r>
        <w:rPr>
          <w:rFonts w:ascii="宋体" w:hAnsi="Calibri" w:hint="eastAsia"/>
          <w:szCs w:val="21"/>
          <w:highlight w:val="white"/>
          <w:lang w:eastAsia="zh-CN"/>
        </w:rPr>
        <w:t>支付</w:t>
      </w:r>
      <w:r>
        <w:rPr>
          <w:rFonts w:ascii="宋体" w:hAnsi="Calibri"/>
          <w:szCs w:val="21"/>
          <w:highlight w:val="white"/>
          <w:lang w:eastAsia="zh-CN"/>
        </w:rPr>
        <w:t>时间将后延</w:t>
      </w:r>
      <w:r>
        <w:rPr>
          <w:rFonts w:ascii="宋体" w:hAnsi="Calibri" w:hint="eastAsia"/>
          <w:szCs w:val="21"/>
          <w:highlight w:val="white"/>
          <w:lang w:eastAsia="zh-CN"/>
        </w:rPr>
        <w:t>，可能对</w:t>
      </w:r>
      <w:r>
        <w:rPr>
          <w:rFonts w:ascii="宋体" w:hAnsi="Calibri"/>
          <w:szCs w:val="21"/>
          <w:highlight w:val="white"/>
          <w:lang w:eastAsia="zh-CN"/>
        </w:rPr>
        <w:t>投资者的资金安排带来不利影响。</w:t>
      </w:r>
    </w:p>
    <w:p w:rsidR="005C6370" w:rsidP="00A24D29" w14:paraId="2C9EA447"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暂停基金</w:t>
      </w:r>
      <w:r>
        <w:rPr>
          <w:rFonts w:ascii="宋体" w:hAnsi="Calibri"/>
          <w:szCs w:val="21"/>
          <w:highlight w:val="white"/>
          <w:lang w:eastAsia="zh-CN"/>
        </w:rPr>
        <w:t>估值</w:t>
      </w:r>
      <w:r>
        <w:rPr>
          <w:rFonts w:ascii="宋体" w:hAnsi="Calibri" w:hint="eastAsia"/>
          <w:highlight w:val="white"/>
          <w:lang w:eastAsia="zh-CN"/>
        </w:rPr>
        <w:t>的</w:t>
      </w:r>
      <w:r>
        <w:rPr>
          <w:rFonts w:ascii="宋体" w:hAnsi="Calibri"/>
          <w:highlight w:val="white"/>
          <w:lang w:eastAsia="zh-CN"/>
        </w:rPr>
        <w:t>情形、程序</w:t>
      </w:r>
      <w:r>
        <w:rPr>
          <w:rFonts w:ascii="宋体" w:hAnsi="Calibri" w:hint="eastAsia"/>
          <w:highlight w:val="white"/>
          <w:lang w:eastAsia="zh-CN"/>
        </w:rPr>
        <w:t>见招募</w:t>
      </w:r>
      <w:r>
        <w:rPr>
          <w:rFonts w:ascii="宋体" w:hAnsi="Calibri"/>
          <w:highlight w:val="white"/>
          <w:lang w:eastAsia="zh-CN"/>
        </w:rPr>
        <w:t>说明</w:t>
      </w:r>
      <w:r>
        <w:rPr>
          <w:rFonts w:ascii="宋体" w:hAnsi="Calibri" w:hint="eastAsia"/>
          <w:highlight w:val="white"/>
          <w:lang w:eastAsia="zh-CN"/>
        </w:rPr>
        <w:t>书“基金资产的估值”</w:t>
      </w:r>
      <w:r>
        <w:rPr>
          <w:rFonts w:ascii="宋体" w:hAnsi="Calibri"/>
          <w:highlight w:val="white"/>
          <w:lang w:eastAsia="zh-CN"/>
        </w:rPr>
        <w:t>之</w:t>
      </w:r>
      <w:r>
        <w:rPr>
          <w:rFonts w:ascii="宋体" w:hAnsi="Calibri" w:hint="eastAsia"/>
          <w:highlight w:val="white"/>
          <w:lang w:eastAsia="zh-CN"/>
        </w:rPr>
        <w:t>“暂停估值的情形”的相关规定</w:t>
      </w:r>
      <w:r>
        <w:rPr>
          <w:rFonts w:ascii="宋体" w:hAnsi="Calibri" w:hint="eastAsia"/>
          <w:szCs w:val="21"/>
          <w:highlight w:val="white"/>
          <w:lang w:eastAsia="zh-CN"/>
        </w:rPr>
        <w:t>。若</w:t>
      </w:r>
      <w:r>
        <w:rPr>
          <w:rFonts w:ascii="宋体" w:hAnsi="Calibri"/>
          <w:szCs w:val="21"/>
          <w:highlight w:val="white"/>
          <w:lang w:eastAsia="zh-CN"/>
        </w:rPr>
        <w:t>本基金暂停基金估值，</w:t>
      </w:r>
      <w:r>
        <w:rPr>
          <w:rFonts w:ascii="宋体" w:hAnsi="Calibri" w:hint="eastAsia"/>
          <w:szCs w:val="21"/>
          <w:highlight w:val="white"/>
          <w:lang w:eastAsia="zh-CN"/>
        </w:rPr>
        <w:t>一方面</w:t>
      </w:r>
      <w:r>
        <w:rPr>
          <w:rFonts w:ascii="宋体" w:hAnsi="Calibri"/>
          <w:szCs w:val="21"/>
          <w:highlight w:val="white"/>
          <w:lang w:eastAsia="zh-CN"/>
        </w:rPr>
        <w:t>投资者将无法知晓本基金的基金份额净值，</w:t>
      </w:r>
      <w:r>
        <w:rPr>
          <w:rFonts w:ascii="宋体" w:hAnsi="Calibri" w:hint="eastAsia"/>
          <w:szCs w:val="21"/>
          <w:highlight w:val="white"/>
          <w:lang w:eastAsia="zh-CN"/>
        </w:rPr>
        <w:t>另一方面基金</w:t>
      </w:r>
      <w:r>
        <w:rPr>
          <w:rFonts w:ascii="宋体" w:hAnsi="Calibri"/>
          <w:szCs w:val="21"/>
          <w:highlight w:val="white"/>
          <w:lang w:eastAsia="zh-CN"/>
        </w:rPr>
        <w:t>将</w:t>
      </w:r>
      <w:r>
        <w:rPr>
          <w:rFonts w:ascii="宋体" w:hAnsi="Calibri" w:hint="eastAsia"/>
          <w:szCs w:val="21"/>
          <w:highlight w:val="white"/>
          <w:lang w:eastAsia="zh-CN"/>
        </w:rPr>
        <w:t>延缓支付赎回款项或暂停接受基金申购赎回申请</w:t>
      </w:r>
      <w:r>
        <w:rPr>
          <w:rFonts w:ascii="宋体" w:hAnsi="Calibri"/>
          <w:szCs w:val="21"/>
          <w:highlight w:val="white"/>
          <w:lang w:eastAsia="zh-CN"/>
        </w:rPr>
        <w:t>，</w:t>
      </w:r>
      <w:r>
        <w:rPr>
          <w:rFonts w:ascii="宋体" w:hAnsi="Calibri" w:hint="eastAsia"/>
          <w:szCs w:val="21"/>
          <w:highlight w:val="white"/>
          <w:lang w:eastAsia="zh-CN"/>
        </w:rPr>
        <w:t>延缓支付赎回款项</w:t>
      </w:r>
      <w:r>
        <w:rPr>
          <w:rFonts w:ascii="宋体" w:hAnsi="Calibri"/>
          <w:szCs w:val="21"/>
          <w:highlight w:val="white"/>
          <w:lang w:eastAsia="zh-CN"/>
        </w:rPr>
        <w:t>可能影响投资</w:t>
      </w:r>
      <w:r>
        <w:rPr>
          <w:rFonts w:ascii="宋体" w:hAnsi="Calibri" w:hint="eastAsia"/>
          <w:szCs w:val="21"/>
          <w:highlight w:val="white"/>
          <w:lang w:eastAsia="zh-CN"/>
        </w:rPr>
        <w:t>者</w:t>
      </w:r>
      <w:r>
        <w:rPr>
          <w:rFonts w:ascii="宋体" w:hAnsi="Calibri"/>
          <w:szCs w:val="21"/>
          <w:highlight w:val="white"/>
          <w:lang w:eastAsia="zh-CN"/>
        </w:rPr>
        <w:t>的资金安排</w:t>
      </w:r>
      <w:r>
        <w:rPr>
          <w:rFonts w:ascii="宋体" w:hAnsi="Calibri" w:hint="eastAsia"/>
          <w:szCs w:val="21"/>
          <w:highlight w:val="white"/>
          <w:lang w:eastAsia="zh-CN"/>
        </w:rPr>
        <w:t>，暂停接受基金申购赎回申请将</w:t>
      </w:r>
      <w:r>
        <w:rPr>
          <w:rFonts w:ascii="宋体" w:hAnsi="Calibri"/>
          <w:szCs w:val="21"/>
          <w:highlight w:val="white"/>
          <w:lang w:eastAsia="zh-CN"/>
        </w:rPr>
        <w:t>导致投资者无法申购或赎回本基金。</w:t>
      </w:r>
    </w:p>
    <w:p w:rsidR="005C6370" w:rsidP="00A24D29" w14:paraId="5D10F994" w14:textId="77777777">
      <w:pPr>
        <w:spacing w:line="360" w:lineRule="auto"/>
        <w:ind w:firstLine="420"/>
        <w:contextualSpacing/>
        <w:rPr>
          <w:rFonts w:ascii="宋体" w:hAnsi="Calibri"/>
          <w:lang w:eastAsia="zh-CN"/>
        </w:rPr>
      </w:pPr>
      <w:r>
        <w:rPr>
          <w:rFonts w:ascii="宋体" w:hAnsi="Calibri" w:hint="eastAsia"/>
          <w:highlight w:val="white"/>
          <w:lang w:eastAsia="zh-CN"/>
        </w:rPr>
        <w:t>采用</w:t>
      </w:r>
      <w:r>
        <w:rPr>
          <w:rFonts w:ascii="宋体" w:hAnsi="Calibri"/>
          <w:highlight w:val="white"/>
          <w:lang w:eastAsia="zh-CN"/>
        </w:rPr>
        <w:t>摆动定价</w:t>
      </w:r>
      <w:r>
        <w:rPr>
          <w:rFonts w:ascii="宋体" w:hAnsi="Calibri" w:hint="eastAsia"/>
          <w:highlight w:val="white"/>
          <w:lang w:eastAsia="zh-CN"/>
        </w:rPr>
        <w:t>机制的</w:t>
      </w:r>
      <w:r>
        <w:rPr>
          <w:rFonts w:ascii="宋体" w:hAnsi="Calibri"/>
          <w:highlight w:val="white"/>
          <w:lang w:eastAsia="zh-CN"/>
        </w:rPr>
        <w:t>情形、程序</w:t>
      </w:r>
      <w:r>
        <w:rPr>
          <w:rFonts w:ascii="宋体" w:hAnsi="Calibri" w:hint="eastAsia"/>
          <w:highlight w:val="white"/>
          <w:lang w:eastAsia="zh-CN"/>
        </w:rPr>
        <w:t>见招募</w:t>
      </w:r>
      <w:r>
        <w:rPr>
          <w:rFonts w:ascii="宋体" w:hAnsi="Calibri"/>
          <w:highlight w:val="white"/>
          <w:lang w:eastAsia="zh-CN"/>
        </w:rPr>
        <w:t>说明</w:t>
      </w:r>
      <w:r>
        <w:rPr>
          <w:rFonts w:ascii="宋体" w:hAnsi="Calibri" w:hint="eastAsia"/>
          <w:highlight w:val="white"/>
          <w:lang w:eastAsia="zh-CN"/>
        </w:rPr>
        <w:t>书“基金资产的估值”</w:t>
      </w:r>
      <w:r>
        <w:rPr>
          <w:rFonts w:ascii="宋体" w:hAnsi="Calibri"/>
          <w:highlight w:val="white"/>
          <w:lang w:eastAsia="zh-CN"/>
        </w:rPr>
        <w:t>之</w:t>
      </w:r>
      <w:r>
        <w:rPr>
          <w:rFonts w:ascii="宋体" w:hAnsi="Calibri" w:hint="eastAsia"/>
          <w:highlight w:val="white"/>
          <w:lang w:eastAsia="zh-CN"/>
        </w:rPr>
        <w:t>“</w:t>
      </w:r>
      <w:r>
        <w:rPr>
          <w:rStyle w:val="da"/>
          <w:rFonts w:ascii="宋体" w:hAnsi="Calibri"/>
          <w:szCs w:val="21"/>
          <w:highlight w:val="white"/>
          <w:lang w:eastAsia="zh-CN"/>
        </w:rPr>
        <w:t>估值方法</w:t>
      </w:r>
      <w:r>
        <w:rPr>
          <w:rFonts w:ascii="宋体" w:hAnsi="Calibri" w:hint="eastAsia"/>
          <w:highlight w:val="white"/>
          <w:lang w:eastAsia="zh-CN"/>
        </w:rPr>
        <w:t>”的相关规定。</w:t>
      </w:r>
      <w:r>
        <w:rPr>
          <w:rFonts w:ascii="宋体" w:hAnsi="Calibri"/>
          <w:highlight w:val="white"/>
          <w:lang w:eastAsia="zh-CN"/>
        </w:rPr>
        <w:t>若</w:t>
      </w:r>
      <w:r>
        <w:rPr>
          <w:rFonts w:ascii="宋体" w:hAnsi="Calibri" w:hint="eastAsia"/>
          <w:highlight w:val="white"/>
          <w:lang w:eastAsia="zh-CN"/>
        </w:rPr>
        <w:t>本</w:t>
      </w:r>
      <w:r>
        <w:rPr>
          <w:rFonts w:ascii="宋体" w:hAnsi="Calibri"/>
          <w:highlight w:val="white"/>
          <w:lang w:eastAsia="zh-CN"/>
        </w:rPr>
        <w:t>基金采取摆动定价机制，</w:t>
      </w:r>
      <w:r>
        <w:rPr>
          <w:rFonts w:ascii="宋体" w:hAnsi="Calibri" w:hint="eastAsia"/>
          <w:highlight w:val="white"/>
          <w:lang w:eastAsia="zh-CN"/>
        </w:rPr>
        <w:t>投资</w:t>
      </w:r>
      <w:r>
        <w:rPr>
          <w:rFonts w:ascii="宋体" w:hAnsi="Calibri"/>
          <w:highlight w:val="white"/>
          <w:lang w:eastAsia="zh-CN"/>
        </w:rPr>
        <w:t>者申购基金获得的</w:t>
      </w:r>
      <w:r>
        <w:rPr>
          <w:rFonts w:ascii="宋体" w:hAnsi="Calibri" w:hint="eastAsia"/>
          <w:highlight w:val="white"/>
          <w:lang w:eastAsia="zh-CN"/>
        </w:rPr>
        <w:t>申购</w:t>
      </w:r>
      <w:r>
        <w:rPr>
          <w:rFonts w:ascii="宋体" w:hAnsi="Calibri"/>
          <w:highlight w:val="white"/>
          <w:lang w:eastAsia="zh-CN"/>
        </w:rPr>
        <w:t>份额</w:t>
      </w:r>
      <w:r>
        <w:rPr>
          <w:rFonts w:ascii="宋体" w:hAnsi="Calibri" w:hint="eastAsia"/>
          <w:highlight w:val="white"/>
          <w:lang w:eastAsia="zh-CN"/>
        </w:rPr>
        <w:t>及赎回</w:t>
      </w:r>
      <w:r>
        <w:rPr>
          <w:rFonts w:ascii="宋体" w:hAnsi="Calibri"/>
          <w:highlight w:val="white"/>
          <w:lang w:eastAsia="zh-CN"/>
        </w:rPr>
        <w:t>基金获得的赎回金额均可能受到不利影响。</w:t>
      </w:r>
    </w:p>
    <w:p w:rsidR="005C6370" w:rsidP="00A24D29" w14:paraId="6F438F09"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仅主袋账户份额正常开放赎回，因此启用侧袋机制时持有基金份额的持有人将在启用侧袋机制后同时拥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rsidR="005C6370" w:rsidP="00A24D29" w14:paraId="0DD3382B"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实施侧袋机制期间，基金管理人计算各项投资运作指标和基金业绩指标时以主袋账户资产为基准，不反映侧袋账户特定资产的真实价值及变化情况。本基金不披露侧袋账户份额的净值，即便基金管理人在基金定期报告中披露报告期末特定资产可变现净值或净值区间的，也不作为特定资产最终变现价格的承诺，对于特定资产的公允价值和最终变现价格，基金管理人不承担任何保证和承诺的责任。</w:t>
      </w:r>
    </w:p>
    <w:p w:rsidR="005C6370" w:rsidP="00A24D29" w14:paraId="7B1E92AC"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基金管理人将根据主袋账户运作情况合理确定申购政策，因此实施侧袋机制后主袋账户份额存在暂停申购的可能。</w:t>
      </w:r>
    </w:p>
    <w:p w:rsidR="005C6370" w:rsidP="00A24D29" w14:paraId="5EEDD482"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四、管理风险</w:t>
      </w:r>
    </w:p>
    <w:p w:rsidR="005C6370" w:rsidP="00A24D29" w14:paraId="64FE5B29"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w:t>
      </w:r>
      <w:r>
        <w:rPr>
          <w:rFonts w:ascii="宋体" w:hAnsi="Calibri" w:hint="eastAsia"/>
          <w:szCs w:val="21"/>
          <w:highlight w:val="white"/>
          <w:lang w:eastAsia="zh-CN"/>
        </w:rPr>
        <w:t>、在基金管理运作过程中，基金管理人的知识、经验、判断、决策、技能等，会影响其对信息的占有以及对经济形势、证券价格走势的判断，从而影响基金收益水平。</w:t>
      </w:r>
    </w:p>
    <w:p w:rsidR="005C6370" w:rsidP="00A24D29" w14:paraId="0CFC2F3B"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w:t>
      </w:r>
      <w:r>
        <w:rPr>
          <w:rFonts w:ascii="宋体" w:hAnsi="Calibri" w:hint="eastAsia"/>
          <w:szCs w:val="21"/>
          <w:highlight w:val="white"/>
          <w:lang w:eastAsia="zh-CN"/>
        </w:rPr>
        <w:t>、基金管理人的管理手段和管理技术等因素的变化也会影响基金收益水平。</w:t>
      </w:r>
    </w:p>
    <w:p w:rsidR="005C6370" w:rsidP="00A24D29" w14:paraId="41AC9D29"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五、税收风险</w:t>
      </w:r>
    </w:p>
    <w:p w:rsidR="005C6370" w:rsidP="00A24D29" w14:paraId="1616069D"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在本基金存续期间，税收征管部门可能会对增值税等应税行为的认定以及适用的税率等进行调整。届时，基金管理人将执行更新后的政策，可能会因此导致基金资产实际承担的税费发生变化。该等情况下，基金管理人有权根据法律法规及税收政策的变化相应调整税收处理，该等调整可能会影响到基金投资者的收益，也可能导致基金财产的估值调整。由于前述税收政策变化导致对基金资产的收益影响，将由持有该基金的基金投资者承担。对于现有税收政策未明确事项，本基金主要参照行业协会建议方案进行处理，可能会与税收征管认定存在差异，从而产生税费补缴及滞纳金，该等税费及滞纳金将由基金财产承担。</w:t>
      </w:r>
    </w:p>
    <w:p w:rsidR="005C6370" w:rsidP="00A24D29" w14:paraId="66086AE8"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六、</w:t>
      </w:r>
      <w:r>
        <w:rPr>
          <w:rFonts w:ascii="宋体" w:hAnsi="Calibri" w:hint="eastAsia"/>
          <w:szCs w:val="21"/>
          <w:highlight w:val="white"/>
          <w:lang w:eastAsia="zh-CN"/>
        </w:rPr>
        <w:t>本基金法律文件中涉及基金风险特征的表述与销售机构对基金的风险评级可能不一致的风险</w:t>
      </w:r>
    </w:p>
    <w:p w:rsidR="005C6370" w:rsidP="00A24D29" w14:paraId="6BFA371F"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本基金基金合同、招募说明书等法律文件中涉及基金风险收益特征或风险状况的表述仅为主要基于基金投资方向与策略特点的概括性表述；而本基金各销售机构依据中国证券投资基金业协会发布的《基金募集机构投资者适当性管理实施指引（试行）》及内部评级标准，将基金产品按照风险由低到高顺序进行风险级别评定划分，其风险评级结果所依据的评价要素可能更多、范围更广，与本基金法律文件中的风险收益特征或风险状况表述并不必然一致或存在对应关系。同时，不同销售机构因其采取的具体评价标准和方法的差异，对同一产品风险级别的评定也可能各有不同；销售机构还可能根据监管要求、市场变化及基金实际运作情况等适时调整对本基金的风险评级。敬请投资人知悉，在购买本基金时按照销售机构的要求完成风险承受能力与产品风险之间的匹配检验，并须及时关注销售机构对于本基金风险评级的调整情况，谨慎作出投资决策。</w:t>
      </w:r>
    </w:p>
    <w:p w:rsidR="005C6370" w:rsidP="00A24D29" w14:paraId="79218F3A" w14:textId="77777777">
      <w:pPr>
        <w:spacing w:line="360" w:lineRule="auto"/>
        <w:ind w:firstLine="420"/>
        <w:contextualSpacing/>
        <w:rPr>
          <w:rStyle w:val="da"/>
          <w:rFonts w:ascii="宋体" w:hAnsi="Calibri"/>
          <w:lang w:eastAsia="zh-CN"/>
        </w:rPr>
      </w:pPr>
      <w:r>
        <w:rPr>
          <w:rStyle w:val="da"/>
          <w:rFonts w:ascii="宋体" w:hAnsi="Calibri" w:hint="eastAsia"/>
          <w:highlight w:val="white"/>
          <w:lang w:eastAsia="zh-CN"/>
        </w:rPr>
        <w:t>七、其他风险</w:t>
      </w:r>
    </w:p>
    <w:p w:rsidR="005C6370" w:rsidP="00A24D29" w14:paraId="1780A4BA"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w:t>
      </w:r>
      <w:r>
        <w:rPr>
          <w:rFonts w:ascii="宋体" w:hAnsi="Calibri" w:hint="eastAsia"/>
          <w:szCs w:val="21"/>
          <w:highlight w:val="white"/>
          <w:lang w:eastAsia="zh-CN"/>
        </w:rPr>
        <w:t>、因技术因素而产生的风险，如电脑等技术系统的故障或差错产生的风险。</w:t>
      </w:r>
    </w:p>
    <w:p w:rsidR="005C6370" w:rsidP="00A24D29" w14:paraId="3D3C2267"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w:t>
      </w:r>
      <w:r>
        <w:rPr>
          <w:rFonts w:ascii="宋体" w:hAnsi="Calibri" w:hint="eastAsia"/>
          <w:szCs w:val="21"/>
          <w:highlight w:val="white"/>
          <w:lang w:eastAsia="zh-CN"/>
        </w:rPr>
        <w:t>、因战争、自然灾害等不可抗力导致的基金管理人、基金托管人、基金服务机构等机构无法正常工作，从而影响基金运作的风险。</w:t>
      </w:r>
    </w:p>
    <w:p w:rsidR="005C6370" w:rsidP="00A24D29" w14:paraId="4700910D"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3</w:t>
      </w:r>
      <w:r>
        <w:rPr>
          <w:rFonts w:ascii="宋体" w:hAnsi="Calibri" w:hint="eastAsia"/>
          <w:szCs w:val="21"/>
          <w:highlight w:val="white"/>
          <w:lang w:eastAsia="zh-CN"/>
        </w:rPr>
        <w:t>、因金融市场危机、代理商违约、基金托管人违约等超出基金管理人自身控制能力的因素出现，可能导致基金或者基金份额持有人利益受损的风险。</w:t>
      </w:r>
    </w:p>
    <w:p w:rsidR="005C6370" w:rsidP="00A24D29" w14:paraId="7BC96C12"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4</w:t>
      </w:r>
      <w:r>
        <w:rPr>
          <w:rFonts w:ascii="宋体" w:hAnsi="Calibri" w:hint="eastAsia"/>
          <w:szCs w:val="21"/>
          <w:highlight w:val="white"/>
          <w:lang w:eastAsia="zh-CN"/>
        </w:rPr>
        <w:t>、因固定收益类金融工具主要在场外市场进行交易，场外市场交易现阶段自动化程度较场内市场低，本基金在投资运作过程中可能面临操作风险。</w:t>
      </w:r>
    </w:p>
    <w:p w:rsidR="005C6370" w:rsidP="00A24D29" w14:paraId="7943F243" w14:textId="77777777">
      <w:pPr>
        <w:spacing w:line="360" w:lineRule="auto"/>
        <w:ind w:firstLine="420"/>
        <w:contextualSpacing/>
        <w:rPr>
          <w:rFonts w:ascii="宋体" w:hAnsi="Calibri"/>
          <w:lang w:eastAsia="zh-CN"/>
        </w:rPr>
      </w:pPr>
      <w:r>
        <w:rPr>
          <w:rFonts w:ascii="宋体" w:hAnsi="Calibri"/>
          <w:szCs w:val="21"/>
          <w:highlight w:val="white"/>
          <w:lang w:eastAsia="zh-CN"/>
        </w:rPr>
        <w:t>5</w:t>
      </w:r>
      <w:r>
        <w:rPr>
          <w:rFonts w:ascii="宋体" w:hAnsi="Calibri" w:hint="eastAsia"/>
          <w:szCs w:val="21"/>
          <w:highlight w:val="white"/>
          <w:lang w:eastAsia="zh-CN"/>
        </w:rPr>
        <w:t>、其他意外导致的风险。</w:t>
      </w:r>
    </w:p>
    <w:p w:rsidR="005C6370" w:rsidP="00A24D29" w14:paraId="3EB1DAC4" w14:textId="77777777">
      <w:pPr>
        <w:pStyle w:val="Heading1"/>
        <w:spacing w:before="317" w:after="317" w:line="360" w:lineRule="auto"/>
        <w:ind w:firstLine="600"/>
        <w:contextualSpacing/>
        <w:rPr>
          <w:rFonts w:ascii="宋体" w:eastAsia="宋体" w:hAnsi="Calibri"/>
          <w:sz w:val="30"/>
          <w:lang w:eastAsia="zh-CN"/>
        </w:rPr>
      </w:pPr>
      <w:r>
        <w:rPr>
          <w:rFonts w:ascii="宋体" w:eastAsia="宋体" w:hAnsi="Calibri" w:hint="eastAsia"/>
          <w:sz w:val="30"/>
          <w:highlight w:val="white"/>
          <w:lang w:eastAsia="zh-CN"/>
        </w:rPr>
        <w:br w:type="column"/>
      </w:r>
      <w:bookmarkStart w:id="1855" w:name="_Toc121776986"/>
      <w:bookmarkEnd w:id="1854"/>
      <w:r>
        <w:rPr>
          <w:rFonts w:ascii="宋体" w:eastAsia="宋体" w:hAnsi="Calibri" w:hint="eastAsia"/>
          <w:sz w:val="30"/>
          <w:highlight w:val="white"/>
          <w:lang w:eastAsia="zh-CN"/>
        </w:rPr>
        <w:t>第二十</w:t>
      </w:r>
      <w:bookmarkStart w:id="1856" w:name="_Toc332373579"/>
      <w:r>
        <w:rPr>
          <w:rFonts w:ascii="宋体" w:eastAsia="宋体" w:hAnsi="Calibri" w:hint="eastAsia"/>
          <w:sz w:val="30"/>
          <w:highlight w:val="white"/>
          <w:lang w:eastAsia="zh-CN"/>
        </w:rPr>
        <w:t>三部分 基金合同的变更、终止与基金财产的清算</w:t>
      </w:r>
      <w:bookmarkEnd w:id="1855"/>
      <w:bookmarkEnd w:id="1856"/>
    </w:p>
    <w:p w:rsidR="005C6370" w:rsidP="00A24D29" w14:paraId="482276BB"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一、《基金合同》的变更</w:t>
      </w:r>
    </w:p>
    <w:p w:rsidR="005C6370" w:rsidP="00A24D29" w14:paraId="6D31C27E"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rsidR="005C6370" w:rsidP="00A24D29" w14:paraId="28FF3E75"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2、关于《基金合同》变更的基金份额持有人大会决议自生效后方可执行，自决议生效后两日内在规定媒介公告。</w:t>
      </w:r>
    </w:p>
    <w:p w:rsidR="005C6370" w:rsidP="00A24D29" w14:paraId="630BCA85"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二、《基金合同》的终止事由</w:t>
      </w:r>
    </w:p>
    <w:p w:rsidR="005C6370" w:rsidP="00A24D29" w14:paraId="56653D1C"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有下列情形之一的，经履行相关程序后，《基金合同》应当终止：</w:t>
      </w:r>
    </w:p>
    <w:p w:rsidR="005C6370" w:rsidP="00A24D29" w14:paraId="12D0D49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1、基金份额持有人大会决定终止的；</w:t>
      </w:r>
    </w:p>
    <w:p w:rsidR="005C6370" w:rsidP="00A24D29" w14:paraId="707991AE"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2、基金管理人、基金托管人职责终止，在6个月内没有新基金管理人、新基金托管人承接的；</w:t>
      </w:r>
    </w:p>
    <w:p w:rsidR="005C6370" w:rsidP="00A24D29" w14:paraId="02D6A9B7"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3、《基金合同》约定的其他情形；</w:t>
      </w:r>
    </w:p>
    <w:p w:rsidR="005C6370" w:rsidP="00A24D29" w14:paraId="00397B5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4、相关法律法规和中国证监会规定的其他情况。</w:t>
      </w:r>
    </w:p>
    <w:p w:rsidR="005C6370" w:rsidP="00A24D29" w14:paraId="383E8D3C"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三、基金财产的清算</w:t>
      </w:r>
    </w:p>
    <w:p w:rsidR="005C6370" w:rsidP="00A24D29" w14:paraId="52BCF73B"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1、基金财产清算小组：自出现《基金合同》终止事由之日起30个工作日内成立清算小组，基金管理人组织基金财产清算小组并在中国证监会的监督下进行基金清算。</w:t>
      </w:r>
    </w:p>
    <w:p w:rsidR="005C6370" w:rsidP="00A24D29" w14:paraId="3665641B"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2、基金财产清算小组组成：基金财产清算小组成员由基金管理人、基金托管人、注册会计师、律师以及中国证监会指定的人员组成。基金财产清算小组可以聘用必要的工作人员。</w:t>
      </w:r>
    </w:p>
    <w:p w:rsidR="005C6370" w:rsidP="00A24D29" w14:paraId="6ABE393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3、基金财产清算小组职责：基金财产清算小组负责基金财产的保管、清理、估价、变现和分配。基金财产清算小组可以依法进行必要的民事活动。</w:t>
      </w:r>
    </w:p>
    <w:p w:rsidR="005C6370" w:rsidP="00A24D29" w14:paraId="1EA527C1"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4、基金财产清算程序：</w:t>
      </w:r>
    </w:p>
    <w:p w:rsidR="005C6370" w:rsidP="00A24D29" w14:paraId="40F2E2DE"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（1）《基金合同》终止情形出现时，由基金财产清算小组统一接管基金；</w:t>
      </w:r>
    </w:p>
    <w:p w:rsidR="005C6370" w:rsidP="00A24D29" w14:paraId="40F62AA0"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（2）对基金财产和债权债务进行清理和确认；</w:t>
      </w:r>
    </w:p>
    <w:p w:rsidR="005C6370" w:rsidP="00A24D29" w14:paraId="3ECE1D0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（3）对基金财产进行估值和变现；</w:t>
      </w:r>
    </w:p>
    <w:p w:rsidR="005C6370" w:rsidP="00A24D29" w14:paraId="043BAA40"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（4）制作清算报告；</w:t>
      </w:r>
    </w:p>
    <w:p w:rsidR="005C6370" w:rsidP="00A24D29" w14:paraId="7FFF0887"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（5）聘请会计师事务所对清算报告进行外部审计，聘请律师事务所对清算报告出具法律意见书；</w:t>
      </w:r>
    </w:p>
    <w:p w:rsidR="005C6370" w:rsidP="00A24D29" w14:paraId="75F7147B"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（6）将清算报告报中国证监会备案并公告；</w:t>
      </w:r>
    </w:p>
    <w:p w:rsidR="005C6370" w:rsidP="00A24D29" w14:paraId="22D9B330"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（7）对基金剩余财产进行分配。</w:t>
      </w:r>
    </w:p>
    <w:p w:rsidR="005C6370" w:rsidP="00A24D29" w14:paraId="14BBFFB3"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5、基金财产清算的期限为6个月，但因本基金所持证券的流动性受到限制而不能及时变现的，清算期限相应顺延。</w:t>
      </w:r>
    </w:p>
    <w:p w:rsidR="005C6370" w:rsidP="00A24D29" w14:paraId="0B4D1F8B"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四、清算费用</w:t>
      </w:r>
    </w:p>
    <w:p w:rsidR="005C6370" w:rsidP="00A24D29" w14:paraId="28BFBCBD"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清算费用是指基金财产清算小组在进行基金清算过程中发生的所有合理费用，清算费用由基金财产清算小组优先从基金财产中支付。</w:t>
      </w:r>
    </w:p>
    <w:p w:rsidR="005C6370" w:rsidP="00A24D29" w14:paraId="5EB85CB3"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五、基金财产清算剩余资产的分配</w:t>
      </w:r>
    </w:p>
    <w:p w:rsidR="005C6370" w:rsidP="00A24D29" w14:paraId="61C92826"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依据基金财产清算的分配方案，将基金财产清算后的全部剩余资产扣除基金财产清算费用、交纳所欠税款并清偿基金债务后，按基金份额持有人持有的基金份额比例进行分配。分配金额需加上返还基金份额持有人的销售服务费（如有）。</w:t>
      </w:r>
    </w:p>
    <w:p w:rsidR="005C6370" w:rsidP="00A24D29" w14:paraId="7D1633E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六、基金财产清算的公告</w:t>
      </w:r>
    </w:p>
    <w:p w:rsidR="005C6370" w:rsidP="00A24D29" w14:paraId="57D35AD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5个工作日内由基金财产清算小组进行公告。</w:t>
      </w:r>
    </w:p>
    <w:p w:rsidR="005C6370" w:rsidP="00A24D29" w14:paraId="62521160"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七、基金财产清算账册及文件的保存</w:t>
      </w:r>
    </w:p>
    <w:p w:rsidR="005C6370" w:rsidP="00A24D29" w14:paraId="01716D17"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基金财产清算账册及有关文件由基金托管人保存20年以上。</w:t>
      </w:r>
    </w:p>
    <w:p w:rsidR="005C6370" w:rsidP="00A24D29" w14:paraId="7772BD54" w14:textId="77777777">
      <w:pPr>
        <w:spacing w:line="360" w:lineRule="auto"/>
        <w:ind w:firstLine="420"/>
        <w:contextualSpacing/>
        <w:rPr>
          <w:rFonts w:ascii="宋体" w:hAnsi="Calibri"/>
          <w:szCs w:val="21"/>
          <w:lang w:eastAsia="zh-CN"/>
        </w:rPr>
      </w:pPr>
    </w:p>
    <w:p w:rsidR="005C6370" w:rsidP="00A24D29" w14:paraId="07D645A4" w14:textId="77777777">
      <w:pPr>
        <w:pStyle w:val="Heading1"/>
        <w:spacing w:before="317" w:after="317" w:line="360" w:lineRule="auto"/>
        <w:ind w:firstLine="600"/>
        <w:contextualSpacing/>
        <w:rPr>
          <w:rFonts w:ascii="宋体" w:eastAsia="宋体" w:hAnsi="Calibri"/>
          <w:sz w:val="28"/>
          <w:szCs w:val="44"/>
          <w:lang w:eastAsia="zh-CN"/>
        </w:rPr>
      </w:pPr>
      <w:r>
        <w:rPr>
          <w:rFonts w:ascii="宋体" w:eastAsia="宋体" w:hAnsi="Calibri" w:hint="eastAsia"/>
          <w:sz w:val="30"/>
          <w:highlight w:val="white"/>
          <w:lang w:eastAsia="zh-CN"/>
        </w:rPr>
        <w:br w:type="column"/>
      </w:r>
      <w:bookmarkStart w:id="1857" w:name="_Toc121776987"/>
      <w:r>
        <w:rPr>
          <w:rFonts w:ascii="宋体" w:eastAsia="宋体" w:hAnsi="Calibri" w:hint="eastAsia"/>
          <w:sz w:val="30"/>
          <w:highlight w:val="white"/>
          <w:lang w:eastAsia="zh-CN"/>
        </w:rPr>
        <w:t>第二</w:t>
      </w:r>
      <w:bookmarkStart w:id="1858" w:name="_Toc332373588"/>
      <w:r>
        <w:rPr>
          <w:rFonts w:ascii="宋体" w:eastAsia="宋体" w:hAnsi="Calibri" w:hint="eastAsia"/>
          <w:sz w:val="30"/>
          <w:highlight w:val="white"/>
          <w:lang w:eastAsia="zh-CN"/>
        </w:rPr>
        <w:t>十四部分 基金合同的内容摘要</w:t>
      </w:r>
      <w:bookmarkEnd w:id="1857"/>
    </w:p>
    <w:p w:rsidR="005C6370" w:rsidP="00A24D29" w14:paraId="423A68D7" w14:textId="77777777">
      <w:pPr>
        <w:spacing w:line="360" w:lineRule="auto"/>
        <w:ind w:firstLine="420"/>
        <w:contextualSpacing/>
        <w:rPr>
          <w:rFonts w:ascii="宋体" w:hAnsi="Calibri"/>
          <w:szCs w:val="21"/>
          <w:lang w:eastAsia="zh-CN"/>
        </w:rPr>
      </w:pPr>
      <w:r>
        <w:rPr>
          <w:rFonts w:ascii="宋体" w:hAnsi="Calibri"/>
          <w:highlight w:val="white"/>
          <w:lang w:eastAsia="zh-CN"/>
        </w:rPr>
        <w:t>第一节</w:t>
      </w:r>
      <w:bookmarkStart w:id="1859" w:name="_Toc516750717"/>
      <w:bookmarkEnd w:id="1858"/>
      <w:r>
        <w:rPr>
          <w:rFonts w:ascii="宋体" w:hAnsi="Calibri" w:hint="eastAsia"/>
          <w:szCs w:val="21"/>
          <w:highlight w:val="white"/>
          <w:lang w:eastAsia="zh-CN"/>
        </w:rPr>
        <w:t xml:space="preserve"> 基金份额持有人、基金管理人和基金托管人的权利、义务</w:t>
      </w:r>
      <w:bookmarkEnd w:id="1859"/>
    </w:p>
    <w:p w:rsidR="005C6370" w:rsidP="00A24D29" w14:paraId="55D4C5CA"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一、基金份额持有人的权利、义务</w:t>
      </w:r>
    </w:p>
    <w:p w:rsidR="005C6370" w:rsidP="00A24D29" w14:paraId="5EB4AD5F"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1、根据《基金法》、《运作办法》及其他有关规定，基金份额持有人的权利包括但不限于：</w:t>
      </w:r>
    </w:p>
    <w:p w:rsidR="005C6370" w:rsidP="00A24D29" w14:paraId="546C114B"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（1）分享基金财产收益；</w:t>
      </w:r>
    </w:p>
    <w:p w:rsidR="005C6370" w:rsidP="00A24D29" w14:paraId="50E046C8"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（2）参与分配清算后的剩余基金财产；</w:t>
      </w:r>
    </w:p>
    <w:p w:rsidR="005C6370" w:rsidP="00A24D29" w14:paraId="47084D02"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（3）依法转让或者申请赎回其持有的基金份额；</w:t>
      </w:r>
    </w:p>
    <w:p w:rsidR="005C6370" w:rsidP="00A24D29" w14:paraId="247F2437"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（4）按照规定要求召开基金份额持有人大会或者召集基金份额持有人大会；</w:t>
      </w:r>
    </w:p>
    <w:p w:rsidR="005C6370" w:rsidP="00A24D29" w14:paraId="3C9D0754"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（5）出席或者委派代表出席基金份额持有人大会，对基金份额持有人大会审议事项行使表决权；</w:t>
      </w:r>
    </w:p>
    <w:p w:rsidR="005C6370" w:rsidP="00A24D29" w14:paraId="6F2F07F1"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（6）查阅或者复制公开披露的基金信息资料；</w:t>
      </w:r>
    </w:p>
    <w:p w:rsidR="005C6370" w:rsidP="00A24D29" w14:paraId="7A508E00"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（7）监督基金管理人的投资运作；</w:t>
      </w:r>
    </w:p>
    <w:p w:rsidR="005C6370" w:rsidP="00A24D29" w14:paraId="7F64941A"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（8）对基金管理人、基金托管人、基金服务机构损害其合法权益的行为依法提起诉讼或仲裁；</w:t>
      </w:r>
    </w:p>
    <w:p w:rsidR="005C6370" w:rsidP="00A24D29" w14:paraId="50929E42"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（9）法律法规及中国证监会规定的和《基金合同》约定的其他权利。</w:t>
      </w:r>
    </w:p>
    <w:p w:rsidR="005C6370" w:rsidP="00A24D29" w14:paraId="23CE2AB6"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2、根据《基金法》、《运作办法》及其他有关规定，基金份额持有人的义务包括但不限于：</w:t>
      </w:r>
    </w:p>
    <w:p w:rsidR="005C6370" w:rsidP="00A24D29" w14:paraId="37494EB3"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（1）认真阅读并遵守《基金合同》、招募说明书等信息披露文件；</w:t>
      </w:r>
    </w:p>
    <w:p w:rsidR="005C6370" w:rsidP="00A24D29" w14:paraId="125D06EA"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（2）了解所投资基金产品，了解自身风险承受能力，自主判断基金的投资价值，自主做出投资决策，自行承担投资风险；</w:t>
      </w:r>
    </w:p>
    <w:p w:rsidR="005C6370" w:rsidP="00A24D29" w14:paraId="15DF0957"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（3）关注基金信息披露，及时行使权利和履行义务；</w:t>
      </w:r>
    </w:p>
    <w:p w:rsidR="005C6370" w:rsidP="00A24D29" w14:paraId="28760947"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（4）交纳基金认购、申购款项及法律法规和《基金合同》所规定的费用；</w:t>
      </w:r>
    </w:p>
    <w:p w:rsidR="005C6370" w:rsidP="00A24D29" w14:paraId="534EA4E2"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（5）在其持有的基金份额范围内，承担基金亏损或者《基金合同》终止的有限责任；</w:t>
      </w:r>
    </w:p>
    <w:p w:rsidR="005C6370" w:rsidP="00A24D29" w14:paraId="0B1865DF"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（6）不从事任何有损基金及其他《基金合同》当事人合法权益的活动；</w:t>
      </w:r>
    </w:p>
    <w:p w:rsidR="005C6370" w:rsidP="00A24D29" w14:paraId="4208C17A"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（7）执行生效的基金份额持有人大会的决议；</w:t>
      </w:r>
    </w:p>
    <w:p w:rsidR="005C6370" w:rsidP="00A24D29" w14:paraId="64F33844"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（8）返还在基金交易过程中因任何原因获得的不当得利；</w:t>
      </w:r>
    </w:p>
    <w:p w:rsidR="005C6370" w:rsidP="00A24D29" w14:paraId="61C26576"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（9）法律法规及中国证监会规定的和《基金合同》约定的其他义务。</w:t>
      </w:r>
    </w:p>
    <w:p w:rsidR="005C6370" w:rsidP="00A24D29" w14:paraId="79BB5B1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二、基金管理人的权利与义务</w:t>
      </w:r>
    </w:p>
    <w:p w:rsidR="005C6370" w:rsidP="00A24D29" w14:paraId="23A3ACC0"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1、根据《基金法》、《运作办法》及其他有关规定，基金管理人的权利包括但不限于：</w:t>
      </w:r>
    </w:p>
    <w:p w:rsidR="005C6370" w:rsidP="00A24D29" w14:paraId="5926F839"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（1）依法募集资金；</w:t>
      </w:r>
    </w:p>
    <w:p w:rsidR="005C6370" w:rsidP="00A24D29" w14:paraId="470D7E92"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（2）自《基金合同》生效之日起，根据法律法规和《基金合同》独立运用并管理基金财产；</w:t>
      </w:r>
    </w:p>
    <w:p w:rsidR="005C6370" w:rsidP="00A24D29" w14:paraId="6BBD7509"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（3）依照《基金合同》收取基金管理费以及法律法规规定或中国证监会批准的其他费用；</w:t>
      </w:r>
    </w:p>
    <w:p w:rsidR="005C6370" w:rsidP="00A24D29" w14:paraId="5E3FDDD8"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（4）销售基金份额；</w:t>
      </w:r>
    </w:p>
    <w:p w:rsidR="005C6370" w:rsidP="00A24D29" w14:paraId="532E7FCF"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（5）按照规定召集基金份额持有人大会；</w:t>
      </w:r>
    </w:p>
    <w:p w:rsidR="005C6370" w:rsidP="00A24D29" w14:paraId="39EA07F5"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（6）依据《基金合同》及有关法律规定监督基金托管人，如认为基金托管人违反了《基金合同》及国家有关法律规定，应呈报中国证监会和其他监管部门，并采取必要措施保护基金投资者的利益；</w:t>
      </w:r>
    </w:p>
    <w:p w:rsidR="005C6370" w:rsidP="00A24D29" w14:paraId="62402116"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（7）在基金托管人更换时，提名新的基金托管人；</w:t>
      </w:r>
    </w:p>
    <w:p w:rsidR="005C6370" w:rsidP="00A24D29" w14:paraId="51423616"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（8）选择、更换基金销售机构，对基金销售机构的相关行为进行监督和处理；</w:t>
      </w:r>
    </w:p>
    <w:p w:rsidR="005C6370" w:rsidP="00A24D29" w14:paraId="7421D5D0"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（9）担任或委托其他符合条件的机构担任基金登记机构办理基金登记业务并获得《基金合同》规定的费用；</w:t>
      </w:r>
    </w:p>
    <w:p w:rsidR="005C6370" w:rsidP="00A24D29" w14:paraId="51147503"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（10）依据《基金合同》及有关法律规定决定基金收益的分配方案；</w:t>
      </w:r>
    </w:p>
    <w:p w:rsidR="005C6370" w:rsidP="00A24D29" w14:paraId="18D9D606"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（11）在《基金合同》约定的范围内，拒绝或暂停受理申购、赎回及转换申请；</w:t>
      </w:r>
    </w:p>
    <w:p w:rsidR="005C6370" w:rsidP="00A24D29" w14:paraId="77F4672A"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12）依照法律法规为基金的利益对被投资公司行使股东权利，为基金的利益行使因基金财产投资于证券所产生的权利，在遵循基金份额持有人利益优先原则的前提下，以基金管理人名义直接行使因基金财产投资于其他基金份额所产生的权利，包括但不限于参加本基金持有基金的基金份额持有人大会并行使相关投票权利，代表本基金的基金份额持有人提议召开或召集本基金所持基金的基金份额持有人大会，无需召开本基金的基金份额持有人大会，法律法规另有规定或基金合同另有约定的除外；</w:t>
      </w:r>
    </w:p>
    <w:p w:rsidR="005C6370" w:rsidP="00A24D29" w14:paraId="76269EEE"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（13）在法律法规允许的前提下，为基金的利益依法为基金进行融资；</w:t>
      </w:r>
    </w:p>
    <w:p w:rsidR="005C6370" w:rsidP="00A24D29" w14:paraId="42AC0739"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（14）以基金管理人的名义，代表基金份额持有人的利益行使诉讼权利或者实施其他法律行为；</w:t>
      </w:r>
    </w:p>
    <w:p w:rsidR="005C6370" w:rsidP="00A24D29" w14:paraId="5C9DEBCC"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（15）选择、更换律师事务所、会计师事务所、证券经纪商或其他为基金提供服务的外部机构；</w:t>
      </w:r>
    </w:p>
    <w:p w:rsidR="005C6370" w:rsidP="00A24D29" w14:paraId="316BE600"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（16）在符合有关法律、法规的前提下，制订和调整有关基金认购、申购、赎回、转换、非交易过户、转托管和收益分配等的业务规则；</w:t>
      </w:r>
    </w:p>
    <w:p w:rsidR="005C6370" w:rsidP="00A24D29" w14:paraId="13634F44"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（17）在不违反法律法规和监管规定且对基金份额持有人利益无实质不利影响的前提下，为支付本基金应付的赎回、交易清算等款项，基金管理人有权代表基金份额持有人以基金资产作为质押进行融资；</w:t>
      </w:r>
    </w:p>
    <w:p w:rsidR="005C6370" w:rsidP="00A24D29" w14:paraId="63E49F32"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（18）委托第三方机构办理本基金的交易、清算、估值、结算等业务；</w:t>
      </w:r>
    </w:p>
    <w:p w:rsidR="005C6370" w:rsidP="00A24D29" w14:paraId="54BC238B"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（19）法律法规及中国证监会规定的和《基金合同》约定的其他权利。</w:t>
      </w:r>
    </w:p>
    <w:p w:rsidR="005C6370" w:rsidP="00A24D29" w14:paraId="50AC784B"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2、根据《基金法》、《运作办法》及其他有关规定，基金管理人的义务包括但不限于：</w:t>
      </w:r>
    </w:p>
    <w:p w:rsidR="005C6370" w:rsidP="00A24D29" w14:paraId="038FA533"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（1）依法募集资金，办理或者委托经中国证监会认定的其他机构办理基金份额的发售、申购、赎回和登记事宜；</w:t>
      </w:r>
    </w:p>
    <w:p w:rsidR="005C6370" w:rsidP="00A24D29" w14:paraId="38C141BC"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（2）办理基金备案手续；</w:t>
      </w:r>
    </w:p>
    <w:p w:rsidR="005C6370" w:rsidP="00A24D29" w14:paraId="6903A994"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（3）自《基金合同》生效之日起，以诚实信用、谨慎勤勉的原则管理和运用基金财产；</w:t>
      </w:r>
    </w:p>
    <w:p w:rsidR="005C6370" w:rsidP="00A24D29" w14:paraId="4C8D7C44"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（4）配备足够的具有专业资格的人员进行基金投资分析、决策，以专业化的经营方式管理和运作基金财产；</w:t>
      </w:r>
    </w:p>
    <w:p w:rsidR="005C6370" w:rsidP="00A24D29" w14:paraId="6AE50CF3"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（5）建立健全内部风险控制、监察与稽核、财务管理及人事管理等制度，保证所管理的基金财产和基金管理人的财产相互独立，对所管理的不同基金分别管理，分别记账，进行证券投资；</w:t>
      </w:r>
    </w:p>
    <w:p w:rsidR="005C6370" w:rsidP="00A24D29" w14:paraId="702EB4B8"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（6）除依据《基金法》、《基金合同》及其他有关规定外，不得利用基金财产为自己及任何第三人谋取利益，不得委托第三人运作基金财产；</w:t>
      </w:r>
    </w:p>
    <w:p w:rsidR="005C6370" w:rsidP="00A24D29" w14:paraId="4AD7ED28"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（7）依法接受基金托管人的监督；</w:t>
      </w:r>
    </w:p>
    <w:p w:rsidR="005C6370" w:rsidP="00A24D29" w14:paraId="58B1EA2D"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（8）采取适当合理的措施使计算基金份额认购、申购、赎回和注销价格的方法符合《基金合同》等法律文件的规定，按有关规定计算并公告基金净值信息，确定基金份额申购、赎回的价格；</w:t>
      </w:r>
    </w:p>
    <w:p w:rsidR="005C6370" w:rsidP="00A24D29" w14:paraId="3C71A799"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（9）进行基金会计核算并编制基金财务会计报告；</w:t>
      </w:r>
    </w:p>
    <w:p w:rsidR="005C6370" w:rsidP="00A24D29" w14:paraId="6F377DF5"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（10）编制季度报告、中期报告和年度报告；</w:t>
      </w:r>
    </w:p>
    <w:p w:rsidR="005C6370" w:rsidP="00A24D29" w14:paraId="3EE816FE"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（11）严格按照《基金法》、《基金合同》及其他有关规定，履行信息披露及报告义务；</w:t>
      </w:r>
    </w:p>
    <w:p w:rsidR="005C6370" w:rsidP="00A24D29" w14:paraId="68C6D2D5"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12）保守基金商业秘密，不泄露基金投资计划、投资意向等。除《基金法》、《基金合同》及其他有关规定另有规定外，在基金信息公开披露前应予保密，不向他人泄露，但应监管机构、司法机关等有权机关的要求，或因审计、法律等外部专业顾问提供服务需要而向其提供的情况除外；</w:t>
      </w:r>
    </w:p>
    <w:p w:rsidR="005C6370" w:rsidP="00A24D29" w14:paraId="2E9316F0"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（13）按《基金合同》的约定确定基金收益分配方案，及时向基金份额持有人分配基金收益；</w:t>
      </w:r>
    </w:p>
    <w:p w:rsidR="005C6370" w:rsidP="00A24D29" w14:paraId="5BE3BBB2"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（14）按规定受理申购与赎回申请，及时、足额支付赎回款项；</w:t>
      </w:r>
    </w:p>
    <w:p w:rsidR="005C6370" w:rsidP="00A24D29" w14:paraId="4AA47295"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（15）依据《基金法》、《基金合同》及其他有关规定召集基金份额持有人大会或配合基金托管人、基金份额持有人依法召集基金份额持有人大会；</w:t>
      </w:r>
    </w:p>
    <w:p w:rsidR="005C6370" w:rsidP="00A24D29" w14:paraId="21CC8C95"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（16）按规定保存基金财产管理业务活动的会计账册、报表、记录和其他相关资料20年以上；</w:t>
      </w:r>
    </w:p>
    <w:p w:rsidR="005C6370" w:rsidP="00A24D29" w14:paraId="3F39EA6C"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rsidR="005C6370" w:rsidP="00A24D29" w14:paraId="2BE31737"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（18）组织并参加基金财产清算小组，参与基金财产的保管、清理、估价、变现和分配；</w:t>
      </w:r>
    </w:p>
    <w:p w:rsidR="005C6370" w:rsidP="00A24D29" w14:paraId="41FE54A0"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（19）面临解散、依法被撤销或者被依法宣告破产时，及时报告中国证监会并通知基金托管人；</w:t>
      </w:r>
    </w:p>
    <w:p w:rsidR="005C6370" w:rsidP="00A24D29" w14:paraId="55014814"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（20）因违反《基金合同》导致基金财产的损失或损害基金份额持有人合法权益时，应当承担赔偿责任，其赔偿责任不因其退任而免除；</w:t>
      </w:r>
    </w:p>
    <w:p w:rsidR="005C6370" w:rsidP="00A24D29" w14:paraId="2D370BD2"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（21）监督基金托管人按法律法规和《基金合同》规定履行自己的义务，基金托管人违反《基金合同》造成基金财产损失时，基金管理人应为基金份额持有人利益向基金托管人追偿；</w:t>
      </w:r>
    </w:p>
    <w:p w:rsidR="005C6370" w:rsidP="00A24D29" w14:paraId="33CD47FD"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（22）当基金管理人将其义务委托第三方处理时，应当对第三方处理有关基金事务的行为承担责任；</w:t>
      </w:r>
    </w:p>
    <w:p w:rsidR="005C6370" w:rsidP="00A24D29" w14:paraId="654F8070"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（23）以基金管理人名义，代表基金份额持有人利益行使诉讼权利或实施其他法律行为；</w:t>
      </w:r>
    </w:p>
    <w:p w:rsidR="005C6370" w:rsidP="00A24D29" w14:paraId="35FF2620"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（24）基金管理人在募集期间未能达到基金的备案条件，《基金合同》不能生效，基金管理人承担全部募集费用，将已募集资金并加计银行同期活期存款利息在基金募集期结束后30日内退还基金认购人；</w:t>
      </w:r>
    </w:p>
    <w:p w:rsidR="005C6370" w:rsidP="00A24D29" w14:paraId="18666083"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（25）执行生效的基金份额持有人大会的决议；</w:t>
      </w:r>
    </w:p>
    <w:p w:rsidR="005C6370" w:rsidP="00A24D29" w14:paraId="2A912EA0"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（26）建立并保存基金份额持有人名册；</w:t>
      </w:r>
    </w:p>
    <w:p w:rsidR="005C6370" w:rsidP="00A24D29" w14:paraId="1EB669F9"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（27）法律法规及中国证监会规定的和《基金合同》约定的其他义务。</w:t>
      </w:r>
    </w:p>
    <w:p w:rsidR="005C6370" w:rsidP="00A24D29" w14:paraId="570C31A0"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三、基金托管人的权利与义务</w:t>
      </w:r>
    </w:p>
    <w:p w:rsidR="005C6370" w:rsidP="00A24D29" w14:paraId="09D89B7F"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1、根据《基金法》、《运作办法》及其他有关规定，基金托管人的权利包括但不限于：</w:t>
      </w:r>
    </w:p>
    <w:p w:rsidR="005C6370" w:rsidP="00A24D29" w14:paraId="55D21ED8"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（1）自《基金合同》生效之日起，依法律法规和《基金合同》的规定安全保管基金财产；</w:t>
      </w:r>
    </w:p>
    <w:p w:rsidR="005C6370" w:rsidP="00A24D29" w14:paraId="78F617C9"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（2）依《基金合同》约定获得基金托管费以及法律法规规定或监管部门批准的其他费用；</w:t>
      </w:r>
    </w:p>
    <w:p w:rsidR="005C6370" w:rsidP="00A24D29" w14:paraId="13FB79A0"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rsidR="005C6370" w:rsidP="00A24D29" w14:paraId="3175AF7D"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（4）根据相关市场规则，为基金开设资金账户、证券账户等投资所需账户、为基金办理证券交易资金清算；</w:t>
      </w:r>
    </w:p>
    <w:p w:rsidR="005C6370" w:rsidP="00A24D29" w14:paraId="0ADA2960"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（5）提议召开或召集基金份额持有人大会；</w:t>
      </w:r>
    </w:p>
    <w:p w:rsidR="005C6370" w:rsidP="00A24D29" w14:paraId="6E720EFB"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（6）在基金管理人更换时，提名新的基金管理人；</w:t>
      </w:r>
    </w:p>
    <w:p w:rsidR="005C6370" w:rsidP="00A24D29" w14:paraId="28B59B7C"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（7）法律法规及中国证监会规定的和《基金合同》约定的其他权利。</w:t>
      </w:r>
    </w:p>
    <w:p w:rsidR="005C6370" w:rsidP="00A24D29" w14:paraId="5A1AB7E4"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2、根据《基金法》、《运作办法》及其他有关规定，基金托管人的义务包括但不限于：</w:t>
      </w:r>
    </w:p>
    <w:p w:rsidR="005C6370" w:rsidP="00A24D29" w14:paraId="4E0D897B"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（1）以诚实信用、勤勉尽责的原则持有并安全保管基金财产；</w:t>
      </w:r>
    </w:p>
    <w:p w:rsidR="005C6370" w:rsidP="00A24D29" w14:paraId="786023D9"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（2）设立专门的基金托管部门，具有符合要求的营业场所，配备足够的、合格的熟悉基金托管业务的专职人员，负责基金财产托管事宜；</w:t>
      </w:r>
    </w:p>
    <w:p w:rsidR="005C6370" w:rsidP="00A24D29" w14:paraId="1B4C38D1"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rsidR="005C6370" w:rsidP="00A24D29" w14:paraId="562C5C80"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（4）除依据《基金法》、《基金合同》及其他有关规定外，不得利用基金财产为自己及任何第三人谋取利益，不得委托第三人托管基金财产；</w:t>
      </w:r>
    </w:p>
    <w:p w:rsidR="005C6370" w:rsidP="00A24D29" w14:paraId="7EE58BA3"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（5）保管由基金管理人代表基金签订的与基金有关的重大合同及有关凭证；</w:t>
      </w:r>
    </w:p>
    <w:p w:rsidR="005C6370" w:rsidP="00A24D29" w14:paraId="472AF70F"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（6）按规定开设基金财产的资金账户和证券账户等投资所需账户，按照《基金合同》的约定，根据基金管理人的投资指令，及时办理清算、交割事宜；</w:t>
      </w:r>
    </w:p>
    <w:p w:rsidR="005C6370" w:rsidP="00A24D29" w14:paraId="5654C441"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7）保守基金商业秘密，除《基金法》、《基金合同》及其他有关规定另有规定外，在基金信息公开披露前予以保密，不得向他人泄露，但应监管机构、司法机关等有权机关的要求，或因审计、法律等外部专业顾问提供服务需要而向其提供的情况除外；</w:t>
      </w:r>
    </w:p>
    <w:p w:rsidR="005C6370" w:rsidP="00A24D29" w14:paraId="0CF9C83C"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（8）复核、审查基金管理人计算的基金资产净值、基金份额净值、基金份额申购、赎回价格；</w:t>
      </w:r>
    </w:p>
    <w:p w:rsidR="005C6370" w:rsidP="00A24D29" w14:paraId="6583585F"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（9）办理与基金托管业务活动有关的信息披露事项；</w:t>
      </w:r>
    </w:p>
    <w:p w:rsidR="005C6370" w:rsidP="00A24D29" w14:paraId="7AE225A6"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rsidR="005C6370" w:rsidP="00A24D29" w14:paraId="50CB5C25"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（11）保存基金托管业务活动的记录、账册、报表和其他相关资料20年以上；</w:t>
      </w:r>
    </w:p>
    <w:p w:rsidR="005C6370" w:rsidP="00A24D29" w14:paraId="249AE79C"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（12）建立并保存基金份额持有人名册；</w:t>
      </w:r>
    </w:p>
    <w:p w:rsidR="005C6370" w:rsidP="00A24D29" w14:paraId="65B42249"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（13）按规定制作相关账册并与基金管理人核对；</w:t>
      </w:r>
    </w:p>
    <w:p w:rsidR="005C6370" w:rsidP="00A24D29" w14:paraId="4A9449D3"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（14）依据基金管理人的指令或有关规定向基金份额持有人支付基金收益和赎回款项；</w:t>
      </w:r>
    </w:p>
    <w:p w:rsidR="005C6370" w:rsidP="00A24D29" w14:paraId="35E0EE6F"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（15）依据《基金法》、《基金合同》及其他有关规定，召集基金份额持有人大会或配合基金管理人、基金份额持有人依法召集基金份额持有人大会；</w:t>
      </w:r>
    </w:p>
    <w:p w:rsidR="005C6370" w:rsidP="00A24D29" w14:paraId="1127D671"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（16）按照法律法规和《基金合同》的规定监督基金管理人的投资运作；</w:t>
      </w:r>
    </w:p>
    <w:p w:rsidR="005C6370" w:rsidP="00A24D29" w14:paraId="405A76C8"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（17）参加基金财产清算小组，参与基金财产的保管、清理、估价、变现和分配；</w:t>
      </w:r>
    </w:p>
    <w:p w:rsidR="005C6370" w:rsidP="00A24D29" w14:paraId="698BA64E"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（18）面临解散、依法被撤销或者被依法宣告破产时，及时报告中国证监会和银行监管机构，并通知基金管理人；</w:t>
      </w:r>
    </w:p>
    <w:p w:rsidR="005C6370" w:rsidP="00A24D29" w14:paraId="2D77DB66"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（19）因违反《基金合同》导致基金财产损失时，应承担赔偿责任，其赔偿责任不因其退任而免除；</w:t>
      </w:r>
    </w:p>
    <w:p w:rsidR="005C6370" w:rsidP="00A24D29" w14:paraId="6A28A275"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（20）按规定监督基金管理人按法律法规和《基金合同》规定履行自己的义务，基金管理人因违反《基金合同》造成基金财产损失时，应为基金份额持有人利益向基金管理人追偿；</w:t>
      </w:r>
    </w:p>
    <w:p w:rsidR="005C6370" w:rsidP="00A24D29" w14:paraId="33ED4A81"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（21）执行生效的基金份额持有人大会的决议；</w:t>
      </w:r>
    </w:p>
    <w:p w:rsidR="005C6370" w:rsidP="00A24D29" w14:paraId="31501533"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（22）法律法规及中国证监会规定的和《基金合同》约定的其他义务。</w:t>
      </w:r>
    </w:p>
    <w:p w:rsidR="005C6370" w:rsidP="00A24D29" w14:paraId="684A134D" w14:textId="77777777">
      <w:pPr>
        <w:spacing w:line="360" w:lineRule="auto"/>
        <w:ind w:firstLine="420"/>
        <w:contextualSpacing/>
        <w:rPr>
          <w:rFonts w:ascii="宋体" w:hAnsi="Calibri"/>
          <w:szCs w:val="21"/>
          <w:lang w:eastAsia="zh-CN"/>
        </w:rPr>
      </w:pPr>
    </w:p>
    <w:p w:rsidR="005C6370" w:rsidP="00A24D29" w14:paraId="7CD35FA3" w14:textId="77777777">
      <w:pPr>
        <w:spacing w:line="360" w:lineRule="auto"/>
        <w:ind w:firstLine="420"/>
        <w:contextualSpacing/>
        <w:rPr>
          <w:rFonts w:ascii="宋体" w:hAnsi="Calibri"/>
          <w:szCs w:val="21"/>
          <w:lang w:eastAsia="zh-CN"/>
        </w:rPr>
      </w:pPr>
      <w:bookmarkStart w:id="1860" w:name="_Toc516750718"/>
      <w:r>
        <w:rPr>
          <w:rFonts w:ascii="宋体" w:hAnsi="Calibri" w:hint="eastAsia"/>
          <w:szCs w:val="21"/>
          <w:highlight w:val="white"/>
          <w:lang w:eastAsia="zh-CN"/>
        </w:rPr>
        <w:t>第二节 基金份额持有人大会召集、议事及表决的程序和规则</w:t>
      </w:r>
      <w:bookmarkEnd w:id="1860"/>
    </w:p>
    <w:p w:rsidR="005C6370" w:rsidP="00A24D29" w14:paraId="5408FB48"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基金份额持有人大会由基金份额持有人组成，基金份额持有人的合法授权代表有权代表基金份额持有人出席会议并表决。基金份额持有人持有的每一基金份额拥有平等的投票权。</w:t>
      </w:r>
    </w:p>
    <w:p w:rsidR="005C6370" w:rsidP="00A24D29" w14:paraId="779CD7CA"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本基金份额持有人大会不设日常机构。</w:t>
      </w:r>
    </w:p>
    <w:p w:rsidR="005C6370" w:rsidP="00A24D29" w14:paraId="570F4A08"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本基金持有基金召开基金份额持有人大会时，在遵循本基金份额持有人利益优先原则的前提下，本基金的基金管理人在事先征求基金托管人的意见后可直接参加该基金份额持有人大会并行使相关投票权利，无需事先召开本基金的基金份额持有人大会。基金投资者持有本基金基金份额的行为即视为同意本基金管理人参与本基金所持基金的基金份额持有人大会并行使相关投票权利。法律法规另有规定的从其规定。</w:t>
      </w:r>
    </w:p>
    <w:p w:rsidR="005C6370" w:rsidP="00A24D29" w14:paraId="0097F33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在遵循本基金份额持有人利益优先原则的前提下，本基金的基金管理人可代表本基金的基金份额持有人在符合条件的情况下提议召开或召集本基金所持基金的基金份额持有人大会，无需事先召开本基金的基金份额持有人大会。基金投资者持有本基金基金份额的行为即视为同意本基金管理人代表本基金的基金份额持有人提议召开或召集本基金所持基金的基金份额持有人大会。法律法规另有规定的从其规定。</w:t>
      </w:r>
    </w:p>
    <w:p w:rsidR="005C6370" w:rsidP="00A24D29" w14:paraId="605B5F4C"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一、召开事由</w:t>
      </w:r>
    </w:p>
    <w:p w:rsidR="005C6370" w:rsidP="00A24D29" w14:paraId="2C63D548"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1、除法律法规、中国证监会和基金合同另有规定外，当出现或需要决定下列事由之一的，应当召开基金份额持有人大会：</w:t>
      </w:r>
    </w:p>
    <w:p w:rsidR="005C6370" w:rsidP="00A24D29" w14:paraId="0CF9F4F7"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（1）终止《基金合同》；</w:t>
      </w:r>
    </w:p>
    <w:p w:rsidR="005C6370" w:rsidP="00A24D29" w14:paraId="6C3757FB"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（2）更换基金管理人；</w:t>
      </w:r>
    </w:p>
    <w:p w:rsidR="005C6370" w:rsidP="00A24D29" w14:paraId="2237377D"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（3）更换基金托管人；</w:t>
      </w:r>
    </w:p>
    <w:p w:rsidR="005C6370" w:rsidP="00A24D29" w14:paraId="3B588144"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（4）转换基金运作方式；</w:t>
      </w:r>
    </w:p>
    <w:p w:rsidR="005C6370" w:rsidP="00A24D29" w14:paraId="4D63D2C9"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（5）调整基金管理人、基金托管人的报酬标准；</w:t>
      </w:r>
    </w:p>
    <w:p w:rsidR="005C6370" w:rsidP="00A24D29" w14:paraId="099A54F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（6）变更基金类别；</w:t>
      </w:r>
    </w:p>
    <w:p w:rsidR="005C6370" w:rsidP="00A24D29" w14:paraId="00BB644D"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（7）本基金与其他基金的合并；</w:t>
      </w:r>
    </w:p>
    <w:p w:rsidR="005C6370" w:rsidP="00A24D29" w14:paraId="30039126"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（8）变更基金投资目标、范围或策略；</w:t>
      </w:r>
    </w:p>
    <w:p w:rsidR="005C6370" w:rsidP="00A24D29" w14:paraId="13E43AF8"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（9）变更基金份额持有人大会程序；</w:t>
      </w:r>
    </w:p>
    <w:p w:rsidR="005C6370" w:rsidP="00A24D29" w14:paraId="35B70B1B"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（10）基金管理人或基金托管人要求召开基金份额持有人大会；</w:t>
      </w:r>
    </w:p>
    <w:p w:rsidR="005C6370" w:rsidP="00A24D29" w14:paraId="4A31E62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（11）单独或合计持有本基金总份额10%以上（含10%）基金份额的基金份额持有人（以基金管理人收到提议当日的基金份额计算，下同）就同一事项书面要求召开基金份额持有人大会；</w:t>
      </w:r>
    </w:p>
    <w:p w:rsidR="005C6370" w:rsidP="00A24D29" w14:paraId="77587349"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（12）对基金合同当事人权利和义务产生重大影响的其他事项；</w:t>
      </w:r>
    </w:p>
    <w:p w:rsidR="005C6370" w:rsidP="00A24D29" w14:paraId="174BAC09"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（13）法律法规、《基金合同》或中国证监会规定的其他应当召开基金份额持有人大会的事项。</w:t>
      </w:r>
    </w:p>
    <w:p w:rsidR="005C6370" w:rsidP="00A24D29" w14:paraId="4D139A21"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2、在法律法规规定和《基金合同》约定的范围内且对基金份额持有人利益无实质性不利影响的前提下，以下情况可由基金管理人和基金托管人协商后修改，不需召开基金份额持有人大会：</w:t>
      </w:r>
    </w:p>
    <w:p w:rsidR="005C6370" w:rsidP="00A24D29" w14:paraId="040CBB0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（1）调低销售服务费率；</w:t>
      </w:r>
    </w:p>
    <w:p w:rsidR="005C6370" w:rsidP="00A24D29" w14:paraId="7770E478"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（2）法律法规要求增加的基金费用的收取；</w:t>
      </w:r>
    </w:p>
    <w:p w:rsidR="005C6370" w:rsidP="00A24D29" w14:paraId="40F9CE5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（3）在法律法规和《基金合同》规定的范围内，调整本基金的申购费率、收费方式或基金份额类别设置；</w:t>
      </w:r>
    </w:p>
    <w:p w:rsidR="005C6370" w:rsidP="00A24D29" w14:paraId="4A6EF93D"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（4）因相应的法律法规发生变动而应当对《基金合同》进行修改；</w:t>
      </w:r>
    </w:p>
    <w:p w:rsidR="005C6370" w:rsidP="00A24D29" w14:paraId="1E5C7420"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（5）对《基金合同》的修改对基金份额持有人利益无实质性不利影响或修改不涉及《基金合同》当事人权利义务关系发生重大变化；</w:t>
      </w:r>
    </w:p>
    <w:p w:rsidR="005C6370" w:rsidP="00A24D29" w14:paraId="5BDFB6BB"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（6）基金管理人、销售机构、登记机构在法律法规规定的范围内调整有关基金认购、申购、赎回、转换、基金交易、非交易过户、转托管、转让、质押等业务的规则；</w:t>
      </w:r>
    </w:p>
    <w:p w:rsidR="005C6370" w:rsidP="00A24D29" w14:paraId="30720C3C"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（7）在法律法规或中国证监会允许的范围内推出新业务或服务；</w:t>
      </w:r>
    </w:p>
    <w:p w:rsidR="005C6370" w:rsidP="00A24D29" w14:paraId="224C2DA5"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（8）按照法律法规和《基金合同》规定不需召开基金份额持有人大会的其他情形。</w:t>
      </w:r>
    </w:p>
    <w:p w:rsidR="005C6370" w:rsidP="00A24D29" w14:paraId="5F7FD03B"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二、会议召集人及召集方式</w:t>
      </w:r>
    </w:p>
    <w:p w:rsidR="005C6370" w:rsidP="00A24D29" w14:paraId="4564579A"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1、除法律法规规定或《基金合同》另有约定外，基金份额持有人大会由基金管理人召集。</w:t>
      </w:r>
    </w:p>
    <w:p w:rsidR="005C6370" w:rsidP="00A24D29" w14:paraId="35818590"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2、基金管理人未按规定召集或不能召开时，由基金托管人召集。</w:t>
      </w:r>
    </w:p>
    <w:p w:rsidR="005C6370" w:rsidP="00A24D29" w14:paraId="44EDBE41"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rsidR="005C6370" w:rsidP="00A24D29" w14:paraId="6FA88E64"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rsidR="005C6370" w:rsidP="00A24D29" w14:paraId="306B76C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rsidR="005C6370" w:rsidP="00A24D29" w14:paraId="25B9AD01"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6、基金份额持有人会议的召集人负责选择确定开会时间、地点、方式和权益登记日。</w:t>
      </w:r>
    </w:p>
    <w:p w:rsidR="005C6370" w:rsidP="00A24D29" w14:paraId="5F2ED5FB"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三、召开基金份额持有人大会的通知时间、通知内容、通知方式</w:t>
      </w:r>
    </w:p>
    <w:p w:rsidR="005C6370" w:rsidP="00A24D29" w14:paraId="22D3D720"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1、召开基金份额持有人大会，召集人应于会议召开前30日，在规定媒介公告。基金份额持有人大会通知应至少载明以下内容：</w:t>
      </w:r>
    </w:p>
    <w:p w:rsidR="005C6370" w:rsidP="00A24D29" w14:paraId="33F0B168"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（1）会议召开的时间、地点和会议形式；</w:t>
      </w:r>
    </w:p>
    <w:p w:rsidR="005C6370" w:rsidP="00A24D29" w14:paraId="33D2A0E6"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（2）会议拟审议的事项、议事程序和表决方式；</w:t>
      </w:r>
    </w:p>
    <w:p w:rsidR="005C6370" w:rsidP="00A24D29" w14:paraId="32736149"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（3）有权出席基金份额持有人大会的基金份额持有人的权益登记日；</w:t>
      </w:r>
    </w:p>
    <w:p w:rsidR="005C6370" w:rsidP="00A24D29" w14:paraId="0F67FD2C"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（4）授权委托证明的内容要求（包括但不限于代理人身份，代理权限和代理有效期限等）、送达时间和地点；</w:t>
      </w:r>
    </w:p>
    <w:p w:rsidR="005C6370" w:rsidP="00A24D29" w14:paraId="236837A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（5）会务常设联系人姓名及联系电话；</w:t>
      </w:r>
    </w:p>
    <w:p w:rsidR="005C6370" w:rsidP="00A24D29" w14:paraId="702CFEFA"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（6）出席会议者必须准备的文件和必须履行的手续；</w:t>
      </w:r>
    </w:p>
    <w:p w:rsidR="005C6370" w:rsidP="00A24D29" w14:paraId="093EA4D3"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（7）召集人需要通知的其他事项。</w:t>
      </w:r>
    </w:p>
    <w:p w:rsidR="005C6370" w:rsidP="00A24D29" w14:paraId="4345EAA0"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rsidR="005C6370" w:rsidP="00A24D29" w14:paraId="6C46C9E6"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rsidR="005C6370" w:rsidP="00A24D29" w14:paraId="72BC6B39"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四、基金份额持有人出席会议的方式</w:t>
      </w:r>
    </w:p>
    <w:p w:rsidR="005C6370" w:rsidP="00A24D29" w14:paraId="416A4E7C"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基金份额持有人大会可通过现场开会方式、通讯开会方式或法律法规、监管机构允许的其他方式召开，会议的召开方式由会议召集人确定。</w:t>
      </w:r>
    </w:p>
    <w:p w:rsidR="005C6370" w:rsidP="00A24D29" w14:paraId="2651D0BA"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rsidR="005C6370" w:rsidP="00A24D29" w14:paraId="2BC135B4"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（1）亲自出席会议者持有的有关证明文件、受托出席会议者出示的委托人的代理投票授权委托证明及有关证明文件符合法律法规、《基金合同》和会议通知的规定；</w:t>
      </w:r>
    </w:p>
    <w:p w:rsidR="005C6370" w:rsidP="00A24D29" w14:paraId="2E3614D5"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经核对，到会者在权益登记日代表的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rsidR="005C6370" w:rsidP="00A24D29" w14:paraId="6BC9EC1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通讯开会。通讯开会系指基金份额持有人将其对表决事项的投票以书面形式或基金合同约定的其他方式在表决截止日以前送达至召集人指定的地址。通讯开会应以书面方式或基金合同约定的其他方式进行表决。</w:t>
      </w:r>
    </w:p>
    <w:p w:rsidR="005C6370" w:rsidP="00A24D29" w14:paraId="3C724D53"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在同时符合以下条件时，通讯开会的方式视为有效：</w:t>
      </w:r>
    </w:p>
    <w:p w:rsidR="005C6370" w:rsidP="00A24D29" w14:paraId="080D3A74"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（1）会议召集人按《基金合同》约定公布会议通知后，在2个工作日内连续公布相关提示性公告；</w:t>
      </w:r>
    </w:p>
    <w:p w:rsidR="005C6370" w:rsidP="00A24D29" w14:paraId="7E882AA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rsidR="005C6370" w:rsidP="00A24D29" w14:paraId="48DA84C5"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本人直接出具书面意见或授权他人代表出具书面意见的，基金份额持有人所持有的基金份额不小于在权益登记日基金总份额的二分之一（含二分之一）；若本人直接出具书面意见或授权他人代表出具书面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书面意见或授权他人代表出具书面意见；</w:t>
      </w:r>
    </w:p>
    <w:p w:rsidR="005C6370" w:rsidP="00A24D29" w14:paraId="02244386"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4）上述第（3）项中直接出具书面意见的基金份额持有人或受托代表他人出具书面意见的代理人，同时提交的有关证明文件、受托出具书面意见的代理人出示的委托人的代理投票授权委托证明及有关证明文件符合法律法规、《基金合同》和会议通知的规定，并与基金登记机构记录相符。</w:t>
      </w:r>
    </w:p>
    <w:p w:rsidR="005C6370" w:rsidP="00A24D29" w14:paraId="443F29D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在不与法律法规冲突的前提下，基金份额持有人大会可通过网络、电话或其他方式召开，基金份额持有人可以采用书面、网络、电话、短信或其他方式进行表决，具体方式由会议召集人确定并在会议通知中列明。</w:t>
      </w:r>
    </w:p>
    <w:p w:rsidR="005C6370" w:rsidP="00A24D29" w14:paraId="463620B6"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4、基金份额持有人授权他人代为出席会议并表决的，授权方式可以采用书面、网络、电话、短信或其他方式，具体方式由会议召集人确定并在会议通知中列明。</w:t>
      </w:r>
    </w:p>
    <w:p w:rsidR="005C6370" w:rsidP="00A24D29" w14:paraId="2591C8A6"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五、议事内容与程序</w:t>
      </w:r>
    </w:p>
    <w:p w:rsidR="005C6370" w:rsidP="00A24D29" w14:paraId="64CB5CAC"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1、议事内容及提案权</w:t>
      </w:r>
    </w:p>
    <w:p w:rsidR="005C6370" w:rsidP="00A24D29" w14:paraId="68AF208D"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rsidR="005C6370" w:rsidP="00A24D29" w14:paraId="2180BAE9"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基金份额持有人大会的召集人发出召集会议的通知后，对原有提案的修改应当在基金份额持有人大会召开前及时公告。</w:t>
      </w:r>
    </w:p>
    <w:p w:rsidR="005C6370" w:rsidP="00A24D29" w14:paraId="628F2F85"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基金份额持有人大会不得对未事先公告的议事内容进行表决。</w:t>
      </w:r>
    </w:p>
    <w:p w:rsidR="005C6370" w:rsidP="00A24D29" w14:paraId="2A1EE7F8"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2、议事程序</w:t>
      </w:r>
    </w:p>
    <w:p w:rsidR="005C6370" w:rsidP="00A24D29" w14:paraId="7EB5E916"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（1）现场开会</w:t>
      </w:r>
    </w:p>
    <w:p w:rsidR="005C6370" w:rsidP="00A24D29" w14:paraId="23BBE296"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rsidR="005C6370" w:rsidP="00A24D29" w14:paraId="79F0560D"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会议召集人应当制作出席会议人员的签名册。签名册载明参加会议人员姓名（或单位名称）、身份证明文件号码、持有或代表有表决权的基金份额、委托人姓名（或单位名称）和联系方式等事项。</w:t>
      </w:r>
    </w:p>
    <w:p w:rsidR="005C6370" w:rsidP="00A24D29" w14:paraId="14222E75"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（2）通讯开会</w:t>
      </w:r>
    </w:p>
    <w:p w:rsidR="005C6370" w:rsidP="00A24D29" w14:paraId="7E5CEA2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在通讯开会的情况下，首先由召集人提前30日公布提案，在所通知的表决截止日期后2个工作日内在公证机关监督下由召集人统计全部有效表决，在公证机关监督下形成决议。</w:t>
      </w:r>
    </w:p>
    <w:p w:rsidR="005C6370" w:rsidP="00A24D29" w14:paraId="4D91094E"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六、表决</w:t>
      </w:r>
    </w:p>
    <w:p w:rsidR="005C6370" w:rsidP="00A24D29" w14:paraId="501ED578"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基金份额持有人所持每份基金份额有一票表决权。</w:t>
      </w:r>
    </w:p>
    <w:p w:rsidR="005C6370" w:rsidP="00A24D29" w14:paraId="49F03828"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基金份额持有人大会决议分为一般决议和特别决议：</w:t>
      </w:r>
    </w:p>
    <w:p w:rsidR="005C6370" w:rsidP="00A24D29" w14:paraId="1FA72F06"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rsidR="005C6370" w:rsidP="00A24D29" w14:paraId="6BC3C08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rsidR="005C6370" w:rsidP="00A24D29" w14:paraId="4FBD386E"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基金份额持有人大会采取记名方式进行投票表决。</w:t>
      </w:r>
    </w:p>
    <w:p w:rsidR="005C6370" w:rsidP="00A24D29" w14:paraId="292AC1E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rsidR="005C6370" w:rsidP="00A24D29" w14:paraId="685CC07C"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基金份额持有人大会的各项提案或同一项提案内并列的各项议题应当分开审议、逐项表决。</w:t>
      </w:r>
    </w:p>
    <w:p w:rsidR="005C6370" w:rsidP="00A24D29" w14:paraId="49513687"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七、计票</w:t>
      </w:r>
    </w:p>
    <w:p w:rsidR="005C6370" w:rsidP="00A24D29" w14:paraId="4BA5BEF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1、现场开会</w:t>
      </w:r>
    </w:p>
    <w:p w:rsidR="005C6370" w:rsidP="00A24D29" w14:paraId="309B24F4"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rsidR="005C6370" w:rsidP="00A24D29" w14:paraId="4AE572B7"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（2）监票人应当在基金份额持有人表决后立即进行清点并由大会主持人当场公布计票结果。</w:t>
      </w:r>
    </w:p>
    <w:p w:rsidR="005C6370" w:rsidP="00A24D29" w14:paraId="5F6EBAA8"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rsidR="005C6370" w:rsidP="00A24D29" w14:paraId="35FBB99D"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（4）计票过程应由公证机关予以公证，基金管理人或基金托管人拒不出席大会的，不影响计票的效力。</w:t>
      </w:r>
    </w:p>
    <w:p w:rsidR="005C6370" w:rsidP="00A24D29" w14:paraId="150C9C2C"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2、通讯开会</w:t>
      </w:r>
    </w:p>
    <w:p w:rsidR="005C6370" w:rsidP="00A24D29" w14:paraId="1FCFF930"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书面表决意见的计票进行监督的，不影响计票和表决结果。</w:t>
      </w:r>
    </w:p>
    <w:p w:rsidR="005C6370" w:rsidP="00A24D29" w14:paraId="08975891"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八、生效与公告</w:t>
      </w:r>
    </w:p>
    <w:p w:rsidR="005C6370" w:rsidP="00A24D29" w14:paraId="312D7A0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基金份额持有人大会的决议，召集人应当自通过之日起5日内报中国证监会备案。</w:t>
      </w:r>
    </w:p>
    <w:p w:rsidR="005C6370" w:rsidP="00A24D29" w14:paraId="38AE759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基金份额持有人大会的决议自表决通过之日起生效。</w:t>
      </w:r>
    </w:p>
    <w:p w:rsidR="005C6370" w:rsidP="00A24D29" w14:paraId="17E12986"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基金份额持有人大会决议自生效之日起2日内在规定媒介上公告。</w:t>
      </w:r>
    </w:p>
    <w:p w:rsidR="005C6370" w:rsidP="00A24D29" w14:paraId="3402B819"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基金管理人、基金托管人和基金份额持有人应当执行生效的基金份额持有人大会的决议。生效的基金份额持有人大会决议对全体基金份额持有人、基金管理人、基金托管人均有约束力。</w:t>
      </w:r>
    </w:p>
    <w:p w:rsidR="005C6370" w:rsidP="00A24D29" w14:paraId="675D565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九、实施侧袋机制期间基金份额持有人大会的特殊约定</w:t>
      </w:r>
    </w:p>
    <w:p w:rsidR="005C6370" w:rsidP="00A24D29" w14:paraId="02C56D5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rsidR="005C6370" w:rsidP="00A24D29" w14:paraId="6AFF9AFC"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1、基金份额持有人行使提议权、召集权、提名权所需单独或合计代表相关基金份额10%以上（含10%）；</w:t>
      </w:r>
    </w:p>
    <w:p w:rsidR="005C6370" w:rsidP="00A24D29" w14:paraId="6AE9983A"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2、现场开会的到会者在权益登记日代表的基金份额不少于本基金在权益登记日相关基金份额的二分之一（含二分之一）；</w:t>
      </w:r>
    </w:p>
    <w:p w:rsidR="005C6370" w:rsidP="00A24D29" w14:paraId="1E81E26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3、通讯开会的直接出具书面意见或授权他人代表出具书面意见的基金份额持有人所持有的基金份额不小于在权益登记日相关基金份额的二分之一（含二分之一）；</w:t>
      </w:r>
    </w:p>
    <w:p w:rsidR="005C6370" w:rsidP="00A24D29" w14:paraId="77D6801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rsidR="005C6370" w:rsidP="00A24D29" w14:paraId="7AFC34C3"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5、现场开会由出席大会的基金份额持有人和代理人所持表决权的50%以上（含50%）选举产生一名基金份额持有人作为该次基金份额持有人大会的主持人；</w:t>
      </w:r>
    </w:p>
    <w:p w:rsidR="005C6370" w:rsidP="00A24D29" w14:paraId="3881115B"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6、一般决议须经参加大会的基金份额持有人或其代理人所持表决权的二分之一以上（含二分之一）通过；</w:t>
      </w:r>
    </w:p>
    <w:p w:rsidR="005C6370" w:rsidP="00A24D29" w14:paraId="4A8394EB"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7、特别决议应当经参加大会的基金份额持有人或其代理人所持表决权的三分之二以上（含三分之二）通过。</w:t>
      </w:r>
    </w:p>
    <w:p w:rsidR="005C6370" w:rsidP="00A24D29" w14:paraId="34F4D270"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同一主侧袋账户内的每份基金份额具有平等的表决权。</w:t>
      </w:r>
    </w:p>
    <w:p w:rsidR="005C6370" w:rsidP="00A24D29" w14:paraId="2F39EF13"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十、本基金持有的基金召开基金份额持有人大会时，本基金的基金管理人应当代表其基金份额持有人的利益，根据基金合同的约定参与所持有基金的基金份额持有人大会，并在遵循本基金基金份额持有人利益优先原则的前提下行使相关投票权利。基金管理人需将表决意见事先征求基金托管人的意见，并将表决意见在定期报告中予以披露。</w:t>
      </w:r>
    </w:p>
    <w:p w:rsidR="005C6370" w:rsidP="00A24D29" w14:paraId="5C958451"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十一、本部分关于基金份额持有人大会召开事由、召开条件、议事程序、表决条件等规定，凡是直接引用法律法规或监管规则的部分，如将来法律法规修改导致相关内容被取消或变更的，基金管理人经与基金托管人协商一致并提前公告后，可直接对本部分内容进行修改和调整，无需召开基金份额持有人大会审议。</w:t>
      </w:r>
    </w:p>
    <w:p w:rsidR="005C6370" w:rsidP="00A24D29" w14:paraId="6F01FE26" w14:textId="77777777">
      <w:pPr>
        <w:spacing w:line="360" w:lineRule="auto"/>
        <w:ind w:firstLine="420"/>
        <w:contextualSpacing/>
        <w:rPr>
          <w:rFonts w:ascii="宋体" w:hAnsi="Calibri"/>
          <w:szCs w:val="21"/>
          <w:lang w:eastAsia="zh-CN"/>
        </w:rPr>
      </w:pPr>
    </w:p>
    <w:p w:rsidR="005C6370" w:rsidP="00A24D29" w14:paraId="3A7FF922" w14:textId="77777777">
      <w:pPr>
        <w:spacing w:line="360" w:lineRule="auto"/>
        <w:ind w:firstLine="420"/>
        <w:contextualSpacing/>
        <w:rPr>
          <w:rFonts w:ascii="宋体" w:hAnsi="Calibri"/>
          <w:szCs w:val="21"/>
          <w:lang w:eastAsia="zh-CN"/>
        </w:rPr>
      </w:pPr>
      <w:r>
        <w:rPr>
          <w:rFonts w:ascii="宋体" w:hAnsi="Calibri"/>
          <w:highlight w:val="white"/>
          <w:lang w:eastAsia="zh-CN"/>
        </w:rPr>
        <w:t>第</w:t>
      </w:r>
      <w:bookmarkStart w:id="1861" w:name="_Hlt88820702"/>
      <w:bookmarkEnd w:id="1861"/>
      <w:r>
        <w:rPr>
          <w:rFonts w:ascii="宋体" w:hAnsi="Calibri" w:hint="eastAsia"/>
          <w:szCs w:val="21"/>
          <w:highlight w:val="white"/>
          <w:lang w:eastAsia="zh-CN"/>
        </w:rPr>
        <w:t>三节 基金合同解除和终止的事由、程序</w:t>
      </w:r>
    </w:p>
    <w:p w:rsidR="005C6370" w:rsidP="00A24D29" w14:paraId="5A85549B"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一、《基金合同》的变更</w:t>
      </w:r>
    </w:p>
    <w:p w:rsidR="005C6370" w:rsidP="00A24D29" w14:paraId="480BB48C"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rsidR="005C6370" w:rsidP="00A24D29" w14:paraId="041A2A77"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2、关于《基金合同》变更的基金份额持有人大会决议自生效后方可执行，自决议生效后两日内在规定媒介公告。</w:t>
      </w:r>
    </w:p>
    <w:p w:rsidR="005C6370" w:rsidP="00A24D29" w14:paraId="7ADBD545"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二、《基金合同》的终止事由</w:t>
      </w:r>
    </w:p>
    <w:p w:rsidR="005C6370" w:rsidP="00A24D29" w14:paraId="5E91A130"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有下列情形之一的，经履行相关程序后，《基金合同》应当终止：</w:t>
      </w:r>
    </w:p>
    <w:p w:rsidR="005C6370" w:rsidP="00A24D29" w14:paraId="530FA598"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1、基金份额持有人大会决定终止的；</w:t>
      </w:r>
    </w:p>
    <w:p w:rsidR="005C6370" w:rsidP="00A24D29" w14:paraId="1A50A864"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2、基金管理人、基金托管人职责终止，在6个月内没有新基金管理人、新基金托管人承接的；</w:t>
      </w:r>
    </w:p>
    <w:p w:rsidR="005C6370" w:rsidP="00A24D29" w14:paraId="2358B496"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3、《基金合同》约定的其他情形；</w:t>
      </w:r>
    </w:p>
    <w:p w:rsidR="005C6370" w:rsidP="00A24D29" w14:paraId="1D14911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4、相关法律法规和中国证监会规定的其他情况。</w:t>
      </w:r>
    </w:p>
    <w:p w:rsidR="005C6370" w:rsidP="00A24D29" w14:paraId="390E2A51"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三、基金财产的清算</w:t>
      </w:r>
    </w:p>
    <w:p w:rsidR="005C6370" w:rsidP="00A24D29" w14:paraId="6F7A49E7"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1、基金财产清算小组：自出现《基金合同》终止事由之日起30个工作日内成立清算小组，基金管理人组织基金财产清算小组并在中国证监会的监督下进行基金清算。</w:t>
      </w:r>
    </w:p>
    <w:p w:rsidR="005C6370" w:rsidP="00A24D29" w14:paraId="41721303"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2、基金财产清算小组组成：基金财产清算小组成员由基金管理人、基金托管人、注册会计师、律师以及中国证监会指定的人员组成。基金财产清算小组可以聘用必要的工作人员。</w:t>
      </w:r>
    </w:p>
    <w:p w:rsidR="005C6370" w:rsidP="00A24D29" w14:paraId="505029BD"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3、基金财产清算小组职责：基金财产清算小组负责基金财产的保管、清理、估价、变现和分配。基金财产清算小组可以依法进行必要的民事活动。</w:t>
      </w:r>
    </w:p>
    <w:p w:rsidR="005C6370" w:rsidP="00A24D29" w14:paraId="2E5E14B9"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4、基金财产清算程序：</w:t>
      </w:r>
    </w:p>
    <w:p w:rsidR="005C6370" w:rsidP="00A24D29" w14:paraId="6A4DC79C"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（1）《基金合同》终止情形出现时，由基金财产清算小组统一接管基金；</w:t>
      </w:r>
    </w:p>
    <w:p w:rsidR="005C6370" w:rsidP="00A24D29" w14:paraId="44EF93AC"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（2）对基金财产和债权债务进行清理和确认；</w:t>
      </w:r>
    </w:p>
    <w:p w:rsidR="005C6370" w:rsidP="00A24D29" w14:paraId="36010BD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（3）对基金财产进行估值和变现；</w:t>
      </w:r>
    </w:p>
    <w:p w:rsidR="005C6370" w:rsidP="00A24D29" w14:paraId="612F4510"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（4）制作清算报告；</w:t>
      </w:r>
    </w:p>
    <w:p w:rsidR="005C6370" w:rsidP="00A24D29" w14:paraId="6D79657B"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（5）聘请会计师事务所对清算报告进行外部审计，聘请律师事务所对清算报告出具法律意见书；</w:t>
      </w:r>
    </w:p>
    <w:p w:rsidR="005C6370" w:rsidP="00A24D29" w14:paraId="65370463"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（6）将清算报告报中国证监会备案并公告；</w:t>
      </w:r>
    </w:p>
    <w:p w:rsidR="005C6370" w:rsidP="00A24D29" w14:paraId="0AB0289A"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（7）对基金剩余财产进行分配。</w:t>
      </w:r>
    </w:p>
    <w:p w:rsidR="005C6370" w:rsidP="00A24D29" w14:paraId="23125F3C"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5、基金财产清算的期限为6个月，但因本基金所持证券的流动性受到限制而不能及时变现的，清算期限相应顺延。</w:t>
      </w:r>
    </w:p>
    <w:p w:rsidR="005C6370" w:rsidP="00A24D29" w14:paraId="12DC389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四、清算费用</w:t>
      </w:r>
    </w:p>
    <w:p w:rsidR="005C6370" w:rsidP="00A24D29" w14:paraId="2574EB9A"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清算费用是指基金财产清算小组在进行基金清算过程中发生的所有合理费用，清算费用由基金财产清算小组优先从基金财产中支付。</w:t>
      </w:r>
    </w:p>
    <w:p w:rsidR="005C6370" w:rsidP="00A24D29" w14:paraId="117F437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五、基金财产清算剩余资产的分配</w:t>
      </w:r>
    </w:p>
    <w:p w:rsidR="005C6370" w:rsidP="00A24D29" w14:paraId="5A4D1CBA"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依据基金财产清算的分配方案，将基金财产清算后的全部剩余资产扣除基金财产清算费用、交纳所欠税款并清偿基金债务后，按基金份额持有人持有的基金份额比例进行分配。分配金额需加上返还基金份额持有人的销售服务费（如有）。</w:t>
      </w:r>
    </w:p>
    <w:p w:rsidR="005C6370" w:rsidP="00A24D29" w14:paraId="5B53F13F"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六、基金财产清算的公告</w:t>
      </w:r>
    </w:p>
    <w:p w:rsidR="005C6370" w:rsidP="00A24D29" w14:paraId="3E5AEA62"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5个工作日内由基金财产清算小组进行公告。</w:t>
      </w:r>
    </w:p>
    <w:p w:rsidR="005C6370" w:rsidP="00A24D29" w14:paraId="40DE8C0A"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七、基金财产清算账册及文件的保存</w:t>
      </w:r>
    </w:p>
    <w:p w:rsidR="005C6370" w:rsidP="00A24D29" w14:paraId="34AF3EB0"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基金财产清算账册及有关文件由基金托管人保存20年以上。</w:t>
      </w:r>
    </w:p>
    <w:p w:rsidR="005C6370" w:rsidP="00A24D29" w14:paraId="4204C4B9" w14:textId="77777777">
      <w:pPr>
        <w:spacing w:line="360" w:lineRule="auto"/>
        <w:ind w:firstLine="420"/>
        <w:contextualSpacing/>
        <w:rPr>
          <w:rFonts w:ascii="宋体" w:hAnsi="Calibri"/>
          <w:szCs w:val="21"/>
          <w:lang w:eastAsia="zh-CN"/>
        </w:rPr>
      </w:pPr>
    </w:p>
    <w:p w:rsidR="005C6370" w:rsidP="00A24D29" w14:paraId="4BFBBE6E" w14:textId="77777777">
      <w:pPr>
        <w:spacing w:line="360" w:lineRule="auto"/>
        <w:ind w:firstLine="420"/>
        <w:contextualSpacing/>
        <w:rPr>
          <w:rFonts w:ascii="宋体" w:hAnsi="Calibri"/>
          <w:szCs w:val="21"/>
          <w:lang w:eastAsia="zh-CN"/>
        </w:rPr>
      </w:pPr>
      <w:r>
        <w:rPr>
          <w:rFonts w:ascii="宋体" w:hAnsi="Calibri"/>
          <w:szCs w:val="21"/>
          <w:highlight w:val="white"/>
          <w:lang w:eastAsia="zh-CN"/>
        </w:rPr>
        <w:t>第</w:t>
      </w:r>
      <w:bookmarkStart w:id="1862" w:name="_Toc516750735"/>
      <w:r>
        <w:rPr>
          <w:rFonts w:ascii="宋体" w:hAnsi="Calibri" w:hint="eastAsia"/>
          <w:szCs w:val="21"/>
          <w:highlight w:val="white"/>
          <w:lang w:eastAsia="zh-CN"/>
        </w:rPr>
        <w:t>四节 争议解决方式</w:t>
      </w:r>
      <w:bookmarkEnd w:id="1862"/>
    </w:p>
    <w:p w:rsidR="005C6370" w:rsidP="00A24D29" w14:paraId="13C557E8" w14:textId="77777777">
      <w:pPr>
        <w:spacing w:line="360" w:lineRule="auto"/>
        <w:ind w:firstLine="480"/>
        <w:contextualSpacing/>
        <w:rPr>
          <w:rFonts w:ascii="宋体" w:hAnsi="Calibri"/>
          <w:b/>
          <w:szCs w:val="21"/>
          <w:lang w:eastAsia="zh-CN"/>
        </w:rPr>
      </w:pPr>
      <w:r>
        <w:rPr>
          <w:rFonts w:ascii="宋体" w:hAnsi="Calibri" w:hint="eastAsia"/>
          <w:b/>
          <w:szCs w:val="21"/>
          <w:highlight w:val="white"/>
          <w:lang w:eastAsia="zh-CN"/>
        </w:rPr>
        <w:t>各方当事人同意，因《基金合同》而产生的或与《基金合同》有关的一切争议，基金合同当事人应尽量通过协商、调解途径解决，如经友好协商未能解决的，任何一方均有权将争议提交中国国际经济贸易仲裁委员会，按照中国国际经济贸易仲裁委员会届时有效的仲裁规则进行仲裁。仲裁地点为北京。仲裁裁决是终局的，对当事人均有约束力，除非仲裁裁决另有决定，仲裁费用由败诉方承担。</w:t>
      </w:r>
    </w:p>
    <w:p w:rsidR="005C6370" w:rsidRPr="002A03E1" w:rsidP="00A24D29" w14:paraId="14CA1FDF" w14:textId="77777777">
      <w:pPr>
        <w:spacing w:line="360" w:lineRule="auto"/>
        <w:ind w:firstLine="480"/>
        <w:contextualSpacing/>
        <w:rPr>
          <w:rFonts w:ascii="宋体" w:hAnsi="Calibri"/>
          <w:b w:val="0"/>
          <w:bCs/>
          <w:szCs w:val="21"/>
          <w:lang w:eastAsia="zh-CN"/>
        </w:rPr>
      </w:pPr>
      <w:r w:rsidRPr="002A03E1">
        <w:rPr>
          <w:rFonts w:ascii="宋体" w:hAnsi="Calibri" w:hint="eastAsia"/>
          <w:b w:val="0"/>
          <w:bCs/>
          <w:szCs w:val="21"/>
          <w:highlight w:val="white"/>
          <w:lang w:eastAsia="zh-CN"/>
        </w:rPr>
        <w:t>争议处理期间，基金合同当事人应恪守各自的职责，继续忠实、勤勉、尽责地履行基金合同规定的义务，维护基金份额持有人的合法权益。</w:t>
      </w:r>
    </w:p>
    <w:p w:rsidR="005C6370" w:rsidRPr="002A03E1" w:rsidP="00A24D29" w14:paraId="29357785" w14:textId="77777777">
      <w:pPr>
        <w:spacing w:line="360" w:lineRule="auto"/>
        <w:ind w:firstLine="480"/>
        <w:contextualSpacing/>
        <w:rPr>
          <w:rFonts w:ascii="宋体" w:hAnsi="Calibri"/>
          <w:b w:val="0"/>
          <w:bCs/>
          <w:szCs w:val="21"/>
          <w:lang w:eastAsia="zh-CN"/>
        </w:rPr>
      </w:pPr>
      <w:r w:rsidRPr="002A03E1">
        <w:rPr>
          <w:rFonts w:ascii="宋体" w:hAnsi="Calibri" w:hint="eastAsia"/>
          <w:b w:val="0"/>
          <w:bCs/>
          <w:szCs w:val="21"/>
          <w:highlight w:val="white"/>
          <w:lang w:eastAsia="zh-CN"/>
        </w:rPr>
        <w:t>《基金合同》受中国法律管辖。</w:t>
      </w:r>
    </w:p>
    <w:p w:rsidR="005C6370" w:rsidP="00A24D29" w14:paraId="0336E410" w14:textId="77777777">
      <w:pPr>
        <w:spacing w:line="360" w:lineRule="auto"/>
        <w:ind w:firstLine="420"/>
        <w:contextualSpacing/>
        <w:rPr>
          <w:rFonts w:ascii="宋体" w:hAnsi="Calibri"/>
          <w:szCs w:val="21"/>
          <w:lang w:eastAsia="zh-CN"/>
        </w:rPr>
      </w:pPr>
    </w:p>
    <w:p w:rsidR="005C6370" w:rsidP="00A24D29" w14:paraId="6BD7FCDF" w14:textId="77777777">
      <w:pPr>
        <w:spacing w:line="360" w:lineRule="auto"/>
        <w:ind w:firstLine="420"/>
        <w:contextualSpacing/>
        <w:rPr>
          <w:rFonts w:ascii="宋体" w:hAnsi="Calibri"/>
          <w:szCs w:val="21"/>
          <w:lang w:eastAsia="zh-CN"/>
        </w:rPr>
      </w:pPr>
      <w:r>
        <w:rPr>
          <w:rFonts w:ascii="宋体" w:hAnsi="Calibri"/>
          <w:highlight w:val="white"/>
          <w:lang w:eastAsia="zh-CN"/>
        </w:rPr>
        <w:t>第</w:t>
      </w:r>
      <w:bookmarkStart w:id="1863" w:name="_Toc516750736"/>
      <w:r>
        <w:rPr>
          <w:rFonts w:ascii="宋体" w:hAnsi="Calibri" w:hint="eastAsia"/>
          <w:szCs w:val="21"/>
          <w:highlight w:val="white"/>
          <w:lang w:eastAsia="zh-CN"/>
        </w:rPr>
        <w:t>五节 基金合同存放地和投资者取得基金合同的方式</w:t>
      </w:r>
      <w:bookmarkEnd w:id="1863"/>
    </w:p>
    <w:p w:rsidR="005C6370" w:rsidP="00A24D29" w14:paraId="580CE6A8" w14:textId="77777777">
      <w:pPr>
        <w:spacing w:line="360" w:lineRule="auto"/>
        <w:ind w:firstLine="420"/>
        <w:contextualSpacing/>
        <w:rPr>
          <w:rFonts w:ascii="宋体" w:hAnsi="Calibri"/>
          <w:szCs w:val="21"/>
          <w:lang w:eastAsia="zh-CN"/>
        </w:rPr>
      </w:pPr>
      <w:r>
        <w:rPr>
          <w:rFonts w:ascii="宋体" w:hAnsi="Calibri" w:hint="eastAsia"/>
          <w:szCs w:val="21"/>
          <w:highlight w:val="white"/>
          <w:lang w:eastAsia="zh-CN"/>
        </w:rPr>
        <w:t>《基金合同》可印制成册，供投资者在基金管理人、基金托管人、销售机构的办公场所和营业场所查阅。</w:t>
      </w:r>
    </w:p>
    <w:p w:rsidR="005C6370" w:rsidP="00A24D29" w14:paraId="01F99E51" w14:textId="77777777">
      <w:pPr>
        <w:pStyle w:val="Heading1"/>
        <w:spacing w:before="317" w:after="317" w:line="360" w:lineRule="auto"/>
        <w:ind w:firstLine="420"/>
        <w:contextualSpacing/>
        <w:rPr>
          <w:rFonts w:ascii="宋体" w:eastAsia="宋体" w:hAnsi="Calibri"/>
          <w:sz w:val="30"/>
          <w:lang w:eastAsia="zh-CN"/>
        </w:rPr>
      </w:pPr>
      <w:bookmarkStart w:id="1864" w:name="_Toc332373589"/>
      <w:r>
        <w:rPr>
          <w:rFonts w:ascii="宋体" w:eastAsia="宋体" w:hAnsi="Calibri" w:hint="eastAsia"/>
          <w:bCs/>
          <w:sz w:val="21"/>
          <w:szCs w:val="21"/>
          <w:highlight w:val="white"/>
          <w:lang w:eastAsia="zh-CN"/>
        </w:rPr>
        <w:br w:type="page"/>
      </w:r>
      <w:bookmarkStart w:id="1865" w:name="_Toc121776988"/>
      <w:bookmarkEnd w:id="1864"/>
      <w:r>
        <w:rPr>
          <w:rFonts w:ascii="宋体" w:eastAsia="宋体" w:hAnsi="Calibri" w:hint="eastAsia"/>
          <w:sz w:val="30"/>
          <w:highlight w:val="white"/>
          <w:lang w:eastAsia="zh-CN"/>
        </w:rPr>
        <w:t>第二</w:t>
      </w:r>
      <w:bookmarkStart w:id="1866" w:name="_Toc332373590"/>
      <w:bookmarkStart w:id="1867" w:name="_Toc332374170"/>
      <w:r>
        <w:rPr>
          <w:rFonts w:ascii="宋体" w:eastAsia="宋体" w:hAnsi="Calibri" w:hint="eastAsia"/>
          <w:sz w:val="30"/>
          <w:highlight w:val="white"/>
          <w:lang w:eastAsia="zh-CN"/>
        </w:rPr>
        <w:t>十五</w:t>
      </w:r>
      <w:r>
        <w:rPr>
          <w:rFonts w:ascii="宋体" w:eastAsia="宋体" w:hAnsi="Calibri"/>
          <w:sz w:val="30"/>
          <w:highlight w:val="white"/>
          <w:lang w:eastAsia="zh-CN"/>
        </w:rPr>
        <w:t>部分</w:t>
      </w:r>
      <w:r>
        <w:rPr>
          <w:rFonts w:ascii="宋体" w:eastAsia="宋体" w:hAnsi="Calibri" w:hint="eastAsia"/>
          <w:sz w:val="30"/>
          <w:highlight w:val="white"/>
          <w:lang w:eastAsia="zh-CN"/>
        </w:rPr>
        <w:t xml:space="preserve"> 基金托管协议的内容摘要</w:t>
      </w:r>
      <w:bookmarkEnd w:id="1865"/>
      <w:bookmarkEnd w:id="1866"/>
      <w:bookmarkEnd w:id="1867"/>
    </w:p>
    <w:p w:rsidR="005C6370" w:rsidP="00A24D29" w14:paraId="603B306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 xml:space="preserve">第一节 </w:t>
      </w:r>
      <w:r>
        <w:rPr>
          <w:rFonts w:ascii="宋体" w:hAnsi="Calibri" w:hint="eastAsia"/>
          <w:bCs/>
          <w:szCs w:val="21"/>
          <w:highlight w:val="white"/>
          <w:lang w:eastAsia="zh-CN"/>
        </w:rPr>
        <w:t>托管协议当事人</w:t>
      </w:r>
    </w:p>
    <w:p w:rsidR="005C6370" w:rsidP="00A24D29" w14:paraId="59BC3130"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（一）基金管理人</w:t>
      </w:r>
    </w:p>
    <w:p w:rsidR="005C6370" w:rsidP="00A24D29" w14:paraId="23B7EC8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名称：易方达基金管理有限公司</w:t>
      </w:r>
    </w:p>
    <w:p w:rsidR="005C6370" w:rsidP="00A24D29" w14:paraId="61F90A8C"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住所：广东省珠海市横琴新区荣粤道188号6层</w:t>
      </w:r>
    </w:p>
    <w:p w:rsidR="005C6370" w:rsidP="00A24D29" w14:paraId="2A16761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 xml:space="preserve">法定代表人：吴欣荣 </w:t>
      </w:r>
    </w:p>
    <w:p w:rsidR="005C6370" w:rsidP="00A24D29" w14:paraId="3ABD83BC"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设立日期：2001年4月17日</w:t>
      </w:r>
    </w:p>
    <w:p w:rsidR="005C6370" w:rsidP="00A24D29" w14:paraId="1373974B"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批准设立机关及批准设立文号：中国证券监督管理委员会，证监基金字[2001]4号</w:t>
      </w:r>
    </w:p>
    <w:p w:rsidR="005C6370" w:rsidP="00A24D29" w14:paraId="547FE379"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组织形式：有限责任公司</w:t>
      </w:r>
    </w:p>
    <w:p w:rsidR="005C6370" w:rsidP="00A24D29" w14:paraId="494680E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注册资本：13,244.2万元人民币</w:t>
      </w:r>
    </w:p>
    <w:p w:rsidR="005C6370" w:rsidP="00A24D29" w14:paraId="30CB3578"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存续期限：持续经营</w:t>
      </w:r>
    </w:p>
    <w:p w:rsidR="005C6370" w:rsidP="00A24D29" w14:paraId="7ECF0E7D"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联系电话：4008818088</w:t>
      </w:r>
    </w:p>
    <w:p w:rsidR="005C6370" w:rsidP="00A24D29" w14:paraId="686BBFB4" w14:textId="77777777">
      <w:pPr>
        <w:spacing w:line="360" w:lineRule="auto"/>
        <w:ind w:firstLine="420"/>
        <w:contextualSpacing/>
        <w:rPr>
          <w:rFonts w:ascii="宋体" w:hAnsi="Calibri"/>
          <w:bCs/>
          <w:szCs w:val="21"/>
          <w:lang w:eastAsia="zh-CN"/>
        </w:rPr>
      </w:pPr>
    </w:p>
    <w:p w:rsidR="005C6370" w:rsidP="00A24D29" w14:paraId="08A6449F"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（二）基金托管人</w:t>
      </w:r>
    </w:p>
    <w:p w:rsidR="005C6370" w:rsidP="00A24D29" w14:paraId="6DA32E4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名称：中国工商银行股份有限公司</w:t>
      </w:r>
    </w:p>
    <w:p w:rsidR="005C6370" w:rsidP="00A24D29" w14:paraId="28331B35"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住所：北京市西城区复兴门内大街55号（100032）</w:t>
      </w:r>
    </w:p>
    <w:p w:rsidR="005C6370" w:rsidP="00A24D29" w14:paraId="4BA789C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法定代表人：廖林</w:t>
      </w:r>
    </w:p>
    <w:p w:rsidR="005C6370" w:rsidP="00A24D29" w14:paraId="755CB895"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电话：（010）66105799</w:t>
      </w:r>
    </w:p>
    <w:p w:rsidR="005C6370" w:rsidP="00A24D29" w14:paraId="0122158F"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传真：（010）66105798</w:t>
      </w:r>
    </w:p>
    <w:p w:rsidR="005C6370" w:rsidP="00A24D29" w14:paraId="13A1B1F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联系人：郭明</w:t>
      </w:r>
    </w:p>
    <w:p w:rsidR="005C6370" w:rsidP="00A24D29" w14:paraId="3D343DB9"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成立时间：1984年1月1日</w:t>
      </w:r>
    </w:p>
    <w:p w:rsidR="005C6370" w:rsidP="00A24D29" w14:paraId="1830B904"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组织形式：股份有限公司</w:t>
      </w:r>
    </w:p>
    <w:p w:rsidR="005C6370" w:rsidP="00A24D29" w14:paraId="20367F4F"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注册资本：人民币35,640,625.7089万元</w:t>
      </w:r>
    </w:p>
    <w:p w:rsidR="005C6370" w:rsidP="00A24D29" w14:paraId="65BEBDA8"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批准设立机关和设立文号：国务院《关于中国人民银行专门行使中央银行职能的决定》（国发[1983]146号）</w:t>
      </w:r>
    </w:p>
    <w:p w:rsidR="005C6370" w:rsidP="00A24D29" w14:paraId="617ECC91"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存续期间：持续经营</w:t>
      </w:r>
    </w:p>
    <w:p w:rsidR="005C6370" w:rsidP="00A24D29" w14:paraId="587ABE2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基金托管资格批文及文号：中国证监会和中国人民银行证监基字【1998】3号</w:t>
      </w:r>
    </w:p>
    <w:p w:rsidR="005C6370" w:rsidP="00A24D29" w14:paraId="77DDB21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经营范围：办理人民币存款、贷款；同业拆借业务；国内外结算；办理票据承兑、贴现、转贴现；各类汇兑业务；代理资金清算；提供信用证服务及担保；代理销售业务；代理发行、代理承销、代理兑付政府债券；代收代付业务；代理证券资金清算业务（银证转账）；保险兼业代理业务；代理政策性银行、外国政府和国际金融机构贷款业务；保管箱服务；发行金融债券；买卖政府债券、金融债券；证券投资基金、企业年金托管业务；企业年金受托管理服务、年金账户管理服务；开放式基金的注册登记、认购、申购和赎回业务；资信调查、咨询、见证业务；贷款承诺；企业、个人财务顾问服务；组织或参加银团贷款；外汇存款；外汇贷款；外币兑换；出口托收及进口代收；外汇票据承兑和贴现；外汇借款；外汇担保；发行、代理发行、买卖或代理买卖股票以外的外币有价证券；自营、代客外汇买卖；外汇金融衍生业务；银行卡业务；电话银行、网上银行、手机银行业务；办理结汇、售汇业务；经国务院银行业监督管理机构批准的其他业务。</w:t>
      </w:r>
    </w:p>
    <w:p w:rsidR="005C6370" w:rsidP="00A24D29" w14:paraId="0F05E09E"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第二节 基金托管人对基金管理人的业务监督和核查</w:t>
      </w:r>
    </w:p>
    <w:p w:rsidR="005C6370" w:rsidP="00A24D29" w14:paraId="6F86D32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（一）基金托管人对基金管理人的投资行为行使监督权</w:t>
      </w:r>
    </w:p>
    <w:p w:rsidR="005C6370" w:rsidP="00A24D29" w14:paraId="225F837E"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1、基金托管人根据有关法律法规的规定和《基金合同》的约定，对下述基金投资范围、投资对象进行监督。</w:t>
      </w:r>
    </w:p>
    <w:p w:rsidR="005C6370" w:rsidP="00A24D29" w14:paraId="45444A38"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本基金的投资范围包括经中国证监会依法核准或注册的基金（含QDII基金及香港互认基金、公开募集不动产投资信托基金（以下简称</w:t>
      </w:r>
      <w:r>
        <w:rPr>
          <w:rFonts w:ascii="宋体" w:hAnsi="Calibri"/>
          <w:bCs/>
          <w:szCs w:val="21"/>
          <w:highlight w:val="white"/>
          <w:lang w:eastAsia="zh-CN"/>
        </w:rPr>
        <w:t>“</w:t>
      </w:r>
      <w:r>
        <w:rPr>
          <w:rFonts w:ascii="宋体" w:hAnsi="Calibri"/>
          <w:bCs/>
          <w:szCs w:val="21"/>
          <w:highlight w:val="white"/>
          <w:lang w:eastAsia="zh-CN"/>
        </w:rPr>
        <w:t>公募REITs</w:t>
      </w:r>
      <w:r>
        <w:rPr>
          <w:rFonts w:ascii="宋体" w:hAnsi="Calibri"/>
          <w:bCs/>
          <w:szCs w:val="21"/>
          <w:highlight w:val="white"/>
          <w:lang w:eastAsia="zh-CN"/>
        </w:rPr>
        <w:t>”</w:t>
      </w:r>
      <w:r>
        <w:rPr>
          <w:rFonts w:ascii="宋体" w:hAnsi="Calibri"/>
          <w:bCs/>
          <w:szCs w:val="21"/>
          <w:highlight w:val="white"/>
          <w:lang w:eastAsia="zh-CN"/>
        </w:rPr>
        <w:t>）、商品基金（包括商品期货基金和黄金ETF等））、国内依法发行上市的股票（包括创业板、科创板及其他依法发行上市的股票、存托凭证）、内地与香港股票市场交易互联互通机制允许买卖的香港证券市场股票和交易型开放式基金（以下分别简称</w:t>
      </w:r>
      <w:r>
        <w:rPr>
          <w:rFonts w:ascii="宋体" w:hAnsi="Calibri"/>
          <w:bCs/>
          <w:szCs w:val="21"/>
          <w:highlight w:val="white"/>
          <w:lang w:eastAsia="zh-CN"/>
        </w:rPr>
        <w:t>“</w:t>
      </w:r>
      <w:r>
        <w:rPr>
          <w:rFonts w:ascii="宋体" w:hAnsi="Calibri"/>
          <w:bCs/>
          <w:szCs w:val="21"/>
          <w:highlight w:val="white"/>
          <w:lang w:eastAsia="zh-CN"/>
        </w:rPr>
        <w:t>港股通股票</w:t>
      </w:r>
      <w:r>
        <w:rPr>
          <w:rFonts w:ascii="宋体" w:hAnsi="Calibri"/>
          <w:bCs/>
          <w:szCs w:val="21"/>
          <w:highlight w:val="white"/>
          <w:lang w:eastAsia="zh-CN"/>
        </w:rPr>
        <w:t>”</w:t>
      </w:r>
      <w:r>
        <w:rPr>
          <w:rFonts w:ascii="宋体" w:hAnsi="Calibri"/>
          <w:bCs/>
          <w:szCs w:val="21"/>
          <w:highlight w:val="white"/>
          <w:lang w:eastAsia="zh-CN"/>
        </w:rPr>
        <w:t>、</w:t>
      </w:r>
      <w:r>
        <w:rPr>
          <w:rFonts w:ascii="宋体" w:hAnsi="Calibri"/>
          <w:bCs/>
          <w:szCs w:val="21"/>
          <w:highlight w:val="white"/>
          <w:lang w:eastAsia="zh-CN"/>
        </w:rPr>
        <w:t>“</w:t>
      </w:r>
      <w:r>
        <w:rPr>
          <w:rFonts w:ascii="宋体" w:hAnsi="Calibri"/>
          <w:bCs/>
          <w:szCs w:val="21"/>
          <w:highlight w:val="white"/>
          <w:lang w:eastAsia="zh-CN"/>
        </w:rPr>
        <w:t>港股通ETF</w:t>
      </w:r>
      <w:r>
        <w:rPr>
          <w:rFonts w:ascii="宋体" w:hAnsi="Calibri"/>
          <w:bCs/>
          <w:szCs w:val="21"/>
          <w:highlight w:val="white"/>
          <w:lang w:eastAsia="zh-CN"/>
        </w:rPr>
        <w:t>”</w:t>
      </w:r>
      <w:r>
        <w:rPr>
          <w:rFonts w:ascii="宋体" w:hAnsi="Calibri"/>
          <w:bCs/>
          <w:szCs w:val="21"/>
          <w:highlight w:val="white"/>
          <w:lang w:eastAsia="zh-CN"/>
        </w:rPr>
        <w:t>）、国内依法发行上市的债券（包括国债、央行票据、地方政府债、金融债、企业债、公司债、次级债、中期票据、短期融资券、超短期融资券、政府支持机构债券、可转换债券、可交换债券等）、资产支持证券、债券回购、银行存款、同业存单、货币市场工具及法律法规或中国证监会允许基金投资的其他金融工具。</w:t>
      </w:r>
    </w:p>
    <w:p w:rsidR="005C6370" w:rsidP="00A24D29" w14:paraId="67E03130"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如法律法规或监管机构以后允许基金投资其他品种，基金管理人在履行适当程序后，本基金可以将其纳入投资范围。</w:t>
      </w:r>
    </w:p>
    <w:p w:rsidR="005C6370" w:rsidP="00A24D29" w14:paraId="1ECBFF64"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2、基金托管人根据有关法律法规的规定及《基金合同》的约定对下述基金投融资比例进行监督：</w:t>
      </w:r>
    </w:p>
    <w:p w:rsidR="005C6370" w:rsidP="00A24D29" w14:paraId="131169F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（1）按法律法规的规定及《基金合同》的约定，本基金的投资资产配置比例为：</w:t>
      </w:r>
    </w:p>
    <w:p w:rsidR="005C6370" w:rsidP="00A24D29" w14:paraId="1E1AB28C"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本基金投资于经中国证监会依法核准或注册基金的资产不低于基金资产的80%，权益类资产占基金资产的比例为5%</w:t>
      </w:r>
      <w:r>
        <w:rPr>
          <w:rFonts w:ascii="宋体" w:hAnsi="Calibri"/>
          <w:bCs/>
          <w:szCs w:val="21"/>
          <w:highlight w:val="white"/>
          <w:lang w:eastAsia="zh-CN"/>
        </w:rPr>
        <w:t>—</w:t>
      </w:r>
      <w:r>
        <w:rPr>
          <w:rFonts w:ascii="宋体" w:hAnsi="Calibri"/>
          <w:bCs/>
          <w:szCs w:val="21"/>
          <w:highlight w:val="white"/>
          <w:lang w:eastAsia="zh-CN"/>
        </w:rPr>
        <w:t>30%</w:t>
      </w:r>
      <w:r>
        <w:rPr>
          <w:rFonts w:ascii="宋体" w:hAnsi="Calibri" w:hint="eastAsia"/>
          <w:bCs/>
          <w:szCs w:val="21"/>
          <w:lang w:eastAsia="zh-CN"/>
        </w:rPr>
        <w:t>（其中，本基金投资于境内股票、股票型基金、权益类混合型基金的资产合计不低于基金资产的5%）</w:t>
      </w:r>
      <w:r>
        <w:rPr>
          <w:rFonts w:ascii="宋体" w:hAnsi="Calibri"/>
          <w:bCs/>
          <w:szCs w:val="21"/>
          <w:highlight w:val="white"/>
          <w:lang w:eastAsia="zh-CN"/>
        </w:rPr>
        <w:t>，投资于港股通股票的资产不超过股票资产的50%，投资于QDII基金、香港互认基金的资产合计不超过基金资产的20%，投资于商品基金（含商品期货基金和黄金ETF等）的资产合计不超过基金资产的10%；保持不低于基金资产净值5％的现金或者到期日在一年以内的政府债券，其中现金不包括结算备付金、存出保证金和应收申购款等。</w:t>
      </w:r>
    </w:p>
    <w:p w:rsidR="005C6370" w:rsidP="00A24D29" w14:paraId="014076D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权益类资产包括股票、股票型基金以及权益类混合型基金。权益类混合型基金指至少满足以下一条标准的混合型基金：（1）基金合同约定投资股票资产占基金资产的比例不低于60%；（2）基金最近4期季度报告中披露的股票资产占基金资产的比例均不低于60%。</w:t>
      </w:r>
    </w:p>
    <w:p w:rsidR="005C6370" w:rsidP="00A24D29" w14:paraId="211B9848"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 xml:space="preserve">（2）根据法律法规的规定及《基金合同》的约定，本基金投资组合遵循以下投资限制： </w:t>
      </w:r>
    </w:p>
    <w:p w:rsidR="005C6370" w:rsidP="00A24D29" w14:paraId="3AADBFE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1）本基金投资于经中国证监会依法核准或注册基金的资产不低于基金资产的80%，权益类资产占基金资产的比例为5%</w:t>
      </w:r>
      <w:r>
        <w:rPr>
          <w:rFonts w:ascii="宋体" w:hAnsi="Calibri"/>
          <w:bCs/>
          <w:szCs w:val="21"/>
          <w:highlight w:val="white"/>
          <w:lang w:eastAsia="zh-CN"/>
        </w:rPr>
        <w:t>—</w:t>
      </w:r>
      <w:r>
        <w:rPr>
          <w:rFonts w:ascii="宋体" w:hAnsi="Calibri"/>
          <w:bCs/>
          <w:szCs w:val="21"/>
          <w:highlight w:val="white"/>
          <w:lang w:eastAsia="zh-CN"/>
        </w:rPr>
        <w:t>30%</w:t>
      </w:r>
      <w:r>
        <w:rPr>
          <w:rFonts w:ascii="宋体" w:hAnsi="Calibri" w:hint="eastAsia"/>
          <w:bCs/>
          <w:szCs w:val="21"/>
          <w:lang w:eastAsia="zh-CN"/>
        </w:rPr>
        <w:t>（其中，本基金投资于境内股票、股票型基金、权益类混合型基金的资产合计不低于基金资产的5%）</w:t>
      </w:r>
      <w:r>
        <w:rPr>
          <w:rFonts w:ascii="宋体" w:hAnsi="Calibri"/>
          <w:bCs/>
          <w:szCs w:val="21"/>
          <w:highlight w:val="white"/>
          <w:lang w:eastAsia="zh-CN"/>
        </w:rPr>
        <w:t>，投资于港股通股票的资产不超过股票资产的50%，投资于QDII基金、香港互认基金的资产合计不超过基金资产的20%，投资于商品基金（含商品期货基金和黄金ETF等）的资产合计不超过基金资产的10%；</w:t>
      </w:r>
    </w:p>
    <w:p w:rsidR="005C6370" w:rsidP="00A24D29" w14:paraId="36A7B34F"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2）本基金持有单只基金的市值，不高于本基金资产净值的20%，且不得持有其他基金中基金；</w:t>
      </w:r>
    </w:p>
    <w:p w:rsidR="005C6370" w:rsidP="00A24D29" w14:paraId="5A96AA4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3）本基金管理人管理的全部基金中基金（ETF联接基金除外）持有单只基金不得超过被投资基金净资产的20%，被投资基金净资产规模以最近定期报告披露的规模为准；</w:t>
      </w:r>
    </w:p>
    <w:p w:rsidR="005C6370" w:rsidP="00A24D29" w14:paraId="610F31B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4）本基金投资于封闭运作基金、定期开放基金等流通受限基金的资产合计不得超过基金资产净值的10%；</w:t>
      </w:r>
    </w:p>
    <w:p w:rsidR="005C6370" w:rsidP="00A24D29" w14:paraId="1EF25395"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5）本基金所投资基金的运作期限不得少于1年、最近定期报告披露的基金净资产应当不低于1亿元；</w:t>
      </w:r>
    </w:p>
    <w:p w:rsidR="005C6370" w:rsidP="00A24D29" w14:paraId="517D2D68"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6）本基金可投资于QDII基金及香港互认基金，不得持有具有复杂、衍生品性质的基金份额，包括分级基金和中国证监会认定的其他基金份额；</w:t>
      </w:r>
    </w:p>
    <w:p w:rsidR="005C6370" w:rsidP="00A24D29" w14:paraId="4A43C40D"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7）保持不低于基金资产净值5％的现金或者到期日在一年以内的政府债券，其中现金不包括结算备付金、存出保证金和应收申购款等；</w:t>
      </w:r>
    </w:p>
    <w:p w:rsidR="005C6370" w:rsidP="00A24D29" w14:paraId="24C4F55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8）本基金持有一家公司发行的证券（同一家公司在内地和香港同时上市的A+H股合计计算），其市值不超过基金资产净值的10％；</w:t>
      </w:r>
    </w:p>
    <w:p w:rsidR="005C6370" w:rsidP="00A24D29" w14:paraId="3304396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9）本基金管理人管理的全部基金持有一家公司发行的证券（同一家公司在内地和香港同时上市的A+H股合计计算），不超过该证券的10％，完全按照有关指数的构成比例进行证券投资的基金品种可以不受此条款规定的比例限制；</w:t>
      </w:r>
    </w:p>
    <w:p w:rsidR="005C6370" w:rsidP="00A24D29" w14:paraId="441A425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10）本基金投资于同一原始权益人的各类资产支持证券的比例，不得超过基金资产净值的10％；</w:t>
      </w:r>
    </w:p>
    <w:p w:rsidR="005C6370" w:rsidP="00A24D29" w14:paraId="3E6FC000"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11）本基金持有的全部资产支持证券，其市值不得超过基金资产净值的20％；</w:t>
      </w:r>
    </w:p>
    <w:p w:rsidR="005C6370" w:rsidP="00A24D29" w14:paraId="602582E9"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12）本基金持有的同一(指同一信用级别)资产支持证券的比例，不得超过该资产支持证券规模的10％；</w:t>
      </w:r>
    </w:p>
    <w:p w:rsidR="005C6370" w:rsidP="00A24D29" w14:paraId="1A1C065B"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13）本基金管理人管理的全部基金投资于同一原始权益人的各类资产支持证券，不得超过其各类资产支持证券合计规模的10％；</w:t>
      </w:r>
    </w:p>
    <w:p w:rsidR="005C6370" w:rsidP="00A24D29" w14:paraId="402C7F24"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14）本基金应投资于信用级别评级为BBB以上(含BBB)的资产支持证券。基金持有资产支持证券期间，如果其信用等级下降、不再符合投资标准，应在评级报告发布之日起3个月内予以全部卖出；</w:t>
      </w:r>
    </w:p>
    <w:p w:rsidR="005C6370" w:rsidP="00A24D29" w14:paraId="061656C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15）基金财产参与股票发行申购，本基金所申报的金额不超过本基金的总资产，本基金所申报的股票数量不超过拟发行股票公司本次发行股票的总量；</w:t>
      </w:r>
    </w:p>
    <w:p w:rsidR="005C6370" w:rsidP="00A24D29" w14:paraId="220AF951"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16）本基金管理人管理的全部开放式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rsidR="005C6370" w:rsidP="00A24D29" w14:paraId="1A0B4BAE"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17）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rsidR="005C6370" w:rsidP="00A24D29" w14:paraId="3E630EF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18）本基金与私募类证券资管产品及中国证监会认定的其他主体为交易对手开展逆回购交易的，可接受质押品的资质要求应当与基金合同约定的投资范围保持一致；</w:t>
      </w:r>
    </w:p>
    <w:p w:rsidR="005C6370" w:rsidP="00A24D29" w14:paraId="7942729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19）本基金资产总值不超过基金资产净值的140%；</w:t>
      </w:r>
    </w:p>
    <w:p w:rsidR="005C6370" w:rsidP="00A24D29" w14:paraId="05323E8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20）本基金投资于货币市场基金的资产不得超过基金资产的15%；</w:t>
      </w:r>
    </w:p>
    <w:p w:rsidR="005C6370" w:rsidP="00A24D29" w14:paraId="7394B141"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21）基金管理人运用基金中基金财产投资于股票、债券等金融工具的，投资品种和比例应当符合基金中基金的投资目标和投资策略；</w:t>
      </w:r>
    </w:p>
    <w:p w:rsidR="005C6370" w:rsidP="00A24D29" w14:paraId="2A60F50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22）本基金投资存托凭证的比例限制依照境内上市交易的股票执行，与境内上市交易的股票合并计算；</w:t>
      </w:r>
    </w:p>
    <w:p w:rsidR="005C6370" w:rsidP="00A24D29" w14:paraId="64A44B3B"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23）法律法规及中国证监会规定的和《基金合同》约定的其他投资限制。</w:t>
      </w:r>
    </w:p>
    <w:p w:rsidR="005C6370" w:rsidP="00A24D29" w14:paraId="0DE6F9CB"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因证券市场波动、证券发行人合并、基金规模变动等基金管理人之外的因素致使基金投资比例不符合上述1）、4）、5）、8）-13）、16）、19）-23）项规定投资比例的，基金管理人应当在被投资证券或基金可交易或可赎回之日起10个交易日内进行调整，致使基金投资比例不符合上述2）、3）项规定投资比例的，基金管理人应当在被投资基金可交易或可赎回之日起20个交易日内进行调整，但中国证监会规定的特殊情形除外。法律法规或监管部门另有规定的，届时按最新规定执行。</w:t>
      </w:r>
    </w:p>
    <w:p w:rsidR="005C6370" w:rsidP="00A24D29" w14:paraId="71098EAD"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rsidR="005C6370" w:rsidP="00A24D29" w14:paraId="16B369F4"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因法律法规、监管要求导致本基金投资事项调整的，基金管理人应提前通知基金托管人，并与基金托管人协商一致更新投资监督范围。基金管理人知晓基金托管人投资监督职责的履行受外部数据来源或系统开发等因素影响，基金管理人应为托管人系统调整预留所需的合理必要时间。</w:t>
      </w:r>
    </w:p>
    <w:p w:rsidR="005C6370" w:rsidP="00A24D29" w14:paraId="7BF466B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 xml:space="preserve">3、基金托管人根据有关法律法规的规定及《基金合同》的约定对下述基金投资禁止行为进行监督： </w:t>
      </w:r>
    </w:p>
    <w:p w:rsidR="005C6370" w:rsidP="00A24D29" w14:paraId="6A1579B5"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根据法律法规的规定及《基金合同》的约定，本基金禁止从事下列行为：</w:t>
      </w:r>
    </w:p>
    <w:p w:rsidR="005C6370" w:rsidP="00A24D29" w14:paraId="54EAFF14"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（1）承销证券；</w:t>
      </w:r>
    </w:p>
    <w:p w:rsidR="005C6370" w:rsidP="00A24D29" w14:paraId="56487270"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（2）违反规定向他人贷款或者提供担保；</w:t>
      </w:r>
    </w:p>
    <w:p w:rsidR="005C6370" w:rsidP="00A24D29" w14:paraId="345B1A2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（3）从事承担无限责任的投资；</w:t>
      </w:r>
    </w:p>
    <w:p w:rsidR="005C6370" w:rsidP="00A24D29" w14:paraId="2607912E"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（4）向其基金管理人、基金托管人出资；</w:t>
      </w:r>
    </w:p>
    <w:p w:rsidR="005C6370" w:rsidP="00A24D29" w14:paraId="0B5955F9"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法律法规或监管部门取消上述组合限制、禁止行为规定，本基金可不受相关限制。法律法规或监管部门对上述组合限制、禁止行为规定进行变更的，本基金可以变更后的规定为准。经与基金托管人协商一致，基金管理人可依据法律法规或监管部门规定直接对基金合同进行变更，该变更无须召开基金份额持有人大会审议。</w:t>
      </w:r>
    </w:p>
    <w:p w:rsidR="005C6370" w:rsidP="00A24D29" w14:paraId="7D43F72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4、基金托管人依据以下约定对基金管理人参与银行间债券市场投资进行监督。</w:t>
      </w:r>
    </w:p>
    <w:p w:rsidR="005C6370" w:rsidP="00A24D29" w14:paraId="336CF71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参与银行间市场交易，应按照审慎的风险控制原则评估交易对手资信风险，并自主选择交易对手。基金托管人发现基金管理人与银行间市场的丙类会员进行债券交易的，可以通过邮件、电话等双方认可的方式提醒基金管理人，基金管理人应及时向基金托管人提供解释说明。基金管理人应确保解释说明内容真实、准确、完整。基金托管人不对基金管理人提供的解释说明进行实质审查。经提醒后基金管理人仍执行交易并造成基金资产损失的，基金托管人不承担责任。</w:t>
      </w:r>
    </w:p>
    <w:p w:rsidR="005C6370" w:rsidP="00A24D29" w14:paraId="764F430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基金管理人在银行间市场进行现券买卖和回购交易时，以DVP(券款对付)的交易结算方式进行交易。</w:t>
      </w:r>
    </w:p>
    <w:p w:rsidR="005C6370" w:rsidP="00A24D29" w14:paraId="59CB6D69"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5、关于银行存款投资</w:t>
      </w:r>
    </w:p>
    <w:p w:rsidR="005C6370" w:rsidP="00A24D29" w14:paraId="6C313760"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本基金投资银行存款的信用风险主要包括存款银行的信用等级、存款银行的支付能力等涉及到存款银行选择方面的风险。基金管理人应基于审慎原则评估存款银行信用风险并自主选择存款银行，基金托管人对此不予监督。因基金管理人违反上述原则给基金造成的损失，基金托管人不承担任何责任。</w:t>
      </w:r>
    </w:p>
    <w:p w:rsidR="005C6370" w:rsidP="00A24D29" w14:paraId="37263CBC"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6、基金托管人对基金投资流通受限证券的监督</w:t>
      </w:r>
    </w:p>
    <w:p w:rsidR="005C6370" w:rsidP="00A24D29" w14:paraId="50F4D0A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（1）基金投资流通受限证券，应遵守《关于基金投资非公开发行股票等流通受限证券有关问题的通知》等有关法律法规规定。</w:t>
      </w:r>
    </w:p>
    <w:p w:rsidR="005C6370" w:rsidP="00A24D29" w14:paraId="5AF4DCF9"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流通受限证券，包括由《上市公司证券发行注册管理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rsidR="005C6370" w:rsidP="00A24D29" w14:paraId="7ECE1B8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3）基金管理人应在基金首次投资流通受限证券前，向基金托管人提供经基金管理人董事会批准的有关基金投资流通受限证券的投资决策流程、风险控制制度。基金投资非公开发行股票，基金管理人还应提供基金管理人董事会批准的流动性风险处置预案。上述资料应包括但不限于基金投资流通受限证券的投资额度和投资比例控制情况。</w:t>
      </w:r>
    </w:p>
    <w:p w:rsidR="005C6370" w:rsidP="00A24D29" w14:paraId="44036A3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应至少于首次执行投资指令之前两个工作日将上述资料书面发至基金托管人，保证基金托管人有足够的时间进行审核。基金托管人应在收到上述资料后两个工作日内，以书面或其他双方认可的方式确认收到上述资料。</w:t>
      </w:r>
    </w:p>
    <w:p w:rsidR="005C6370" w:rsidP="00A24D29" w14:paraId="520F1EE4"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4）基金投资流通受限证券前，基金管理人应向基金托管人提供符合法律法规要求的有关书面信息，包括但不限于拟发行证券主体的中国证监会批准文件、发行证券数量、发行价格、锁定期，基金拟认购的数量、价格、总成本、总成本占基金资产净值的比例、已持有流通受限证券市值占资产净值的比例、资金划付时间等。基金管理人应保证上述信息的真实、完整，并应至少于拟执行投资指令前两个工作日将上述信息书面发至基金托管人，保证基金托管人有足够的时间进行审核。</w:t>
      </w:r>
    </w:p>
    <w:p w:rsidR="005C6370" w:rsidP="00A24D29" w14:paraId="2920F948"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5）基金托管人应按照《关于基金投资非公开发行股票等流通受限证券有关问题的通知》规定，对基金管理人是否遵守法律法规进行监督，并审核基金管理人提供的有关书面信息。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备查资料的权利。否则，基金托管人有权拒绝执行有关指令。因拒绝执行该指令造成基金财产损失的，基金托管人不承担任何责任，并有权报告中国证监会。</w:t>
      </w:r>
    </w:p>
    <w:p w:rsidR="005C6370" w:rsidP="00A24D29" w14:paraId="7107FA9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如基金管理人和基金托管人无法达成一致，应及时上报中国证监会请求解决。如果基金托管人切实履行监督职责，则不承担任何责任。如果基金托管人没有切实履行监督职责，导致基金出现风险，基金托管人应承担连带责任。</w:t>
      </w:r>
    </w:p>
    <w:p w:rsidR="005C6370" w:rsidP="00A24D29" w14:paraId="5A24B4D0"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二）基金托管人应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rsidR="005C6370" w:rsidP="00A24D29" w14:paraId="4D39807B"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三）基金托管人发现基金管理人的投资运作及其他运作违反《基金法》、《基金合同》、本协议有关规定时，应及时以书面形式通知基金管理人限期纠正，基金管理人收到通知后应在下一个工作日及时核对，并以书面形式向基金托管人发出回函，进行解释或举证。</w:t>
      </w:r>
    </w:p>
    <w:p w:rsidR="005C6370" w:rsidP="00A24D29" w14:paraId="3202BE4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在限期内，基金托管人有权随时对通知事项进行复查，督促基金管理人改正。基金管理人对基金托管人通知的违规事项未能在限期内纠正的，基金托管人应报告中国证监会。基金托管人有义务要求基金管理人赔偿因其违反《基金合同》、本协议而致使投资者遭受的损失。</w:t>
      </w:r>
    </w:p>
    <w:p w:rsidR="005C6370" w:rsidP="00A24D29" w14:paraId="2E49C01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对于依据交易程序尚未成交的且基金托管人在交易前能够监控的投资指令，基金托管人发现该投资指令违反相关法律法规规定或者违反《基金合同》约定的，应当拒绝执行，立即通知基金管理人，并向中国证监会报告。</w:t>
      </w:r>
    </w:p>
    <w:p w:rsidR="005C6370" w:rsidP="00A24D29" w14:paraId="5E5A4110"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对于必须于估值完成后方可获知的监控指标或依据交易程序已经成交的投资指令，基金托管人发现该投资指令违反法律法规或者违反《基金合同》约定的，应当立即通知基金管理人，并报告中国证监会。</w:t>
      </w:r>
    </w:p>
    <w:p w:rsidR="005C6370" w:rsidP="00A24D29" w14:paraId="477EEA70"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应积极配合和协助基金托管人的监督和核查，必须在规定时间内答复基金托管人并改正，就基金托管人的疑义进行解释或举证，对基金托管人按照法规要求需向中国证监会报送基金监督报告的，基金管理人应积极配合提供相关数据资料和制度等。</w:t>
      </w:r>
    </w:p>
    <w:p w:rsidR="005C6370" w:rsidP="00A24D29" w14:paraId="6AF4AC8B"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基金托管人发现基金管理人有重大违规行为，应立即报告中国证监会，同时通知基金管理人限期纠正。</w:t>
      </w:r>
    </w:p>
    <w:p w:rsidR="005C6370" w:rsidP="00A24D29" w14:paraId="478C32E0"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无正当理由，拒绝、阻挠基金托管人根据本协议约定行使监督权，或采取拖延、欺诈等手段妨碍基金托管人进行有效监督，情节严重或经基金托管人提出警告仍不改正的，基金托管人应报告中国证监会。</w:t>
      </w:r>
    </w:p>
    <w:p w:rsidR="005C6370" w:rsidP="00A24D29" w14:paraId="6888A83E"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四）基金管理人按照《中华人民共和国反洗钱法》等有关反洗钱法律法规和监管要求履行反洗钱义务，包括但不限于建立合理有效的反洗钱控制措施，建立健全客户尽职调查等内部控制机制管控，尽合理努力确保所管理的资金来源合法，资金管理及投资使用不涉及恐怖融资或其他违法犯罪活动，不涉及被联合国及其他国家（地区）、中国有权机关等主体发布制裁且得到我国承认的被制裁实体、个人或行为</w:t>
      </w:r>
      <w:r w:rsidR="002650A2">
        <w:rPr>
          <w:rFonts w:ascii="宋体" w:hAnsi="Calibri" w:hint="eastAsia"/>
          <w:bCs/>
          <w:szCs w:val="21"/>
          <w:highlight w:val="white"/>
          <w:lang w:eastAsia="zh-CN"/>
        </w:rPr>
        <w:t>，</w:t>
      </w:r>
      <w:r>
        <w:rPr>
          <w:rFonts w:ascii="宋体" w:hAnsi="Calibri"/>
          <w:bCs/>
          <w:szCs w:val="21"/>
          <w:highlight w:val="white"/>
          <w:lang w:eastAsia="zh-CN"/>
        </w:rPr>
        <w:t>并向基金托管人提供法律法规规定的受益所有人信息资料，配合基金托管人完成反洗钱等监管规定的合规工作（受益所有人信息资料指拥有25%以上计划份额的自然人身份信息、管理资产管理产品的自然人身份信息）。</w:t>
      </w:r>
    </w:p>
    <w:p w:rsidR="005C6370" w:rsidP="00A24D29" w14:paraId="5DAB4FCD"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第三节 基金管理人对基金托管人的业务核查</w:t>
      </w:r>
    </w:p>
    <w:p w:rsidR="005C6370" w:rsidP="00A24D29" w14:paraId="1021604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对基金托管人履行托管职责情况进行核查，核查事项包括但不限于基金托管人安全保管基金财产、开设基金财产的资金账户和证券账户等投资所需账户、复核基金管理人计算的基金资产净值和基金份额净值、根据基金管理人指令办理清算交收、相关信息披露和监督基金投资运作等行为。</w:t>
      </w:r>
    </w:p>
    <w:p w:rsidR="005C6370" w:rsidP="00A24D29" w14:paraId="6B77B12D"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发现基金托管人擅自挪用基金财产、未对基金财产实行分账管理、无故未执行或无故延迟执行基金管理人资金划拨指令、泄露基金投资信息等违反《基金法》、《基金合同》、本协议及其他有关规定时，基金管理人应及时以书面形式通知基金托管人限期纠正，基金托管人收到通知后应及时核对确认并以书面形式向基金管理人发出回函。在限期内，基金管理人有权随时对通知事项进行复查，督促基金托管人改正，并予协助配合。基金托管人对基金管理人通知的违规事项未能在限期内纠正的，基金管理人应报告中国证监会。基金管理人有义务要求基金托管人赔偿基金因此所遭受的损失。</w:t>
      </w:r>
    </w:p>
    <w:p w:rsidR="005C6370" w:rsidP="00A24D29" w14:paraId="69D4F15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基金管理人发现基金托管人有重大违规行为，应立即报告中国证监会和银行业监督管理机构，同时通知基金托管人限期纠正。</w:t>
      </w:r>
    </w:p>
    <w:p w:rsidR="005C6370" w:rsidP="00A24D29" w14:paraId="293ADF3C"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基金托管人应积极配合基金管理人的核查行为，包括但不限于：提交相关资料以供基金管理人核查托管财产的完整性和真实性，在规定时间内答复基金管理人并改正。</w:t>
      </w:r>
    </w:p>
    <w:p w:rsidR="005C6370" w:rsidP="00A24D29" w14:paraId="5292D1B8"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托管人无正当理由，拒绝、阻挠基金管理人根据本协议约定行使监督权，或采取拖延、欺诈等手段妨碍基金管理人进行有效监督，情节严重或经基金管理人提出警告仍不改正的，基金管理人应报告中国证监会。</w:t>
      </w:r>
    </w:p>
    <w:p w:rsidR="005C6370" w:rsidP="00A24D29" w14:paraId="65846046"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第四节 基金财产的保管</w:t>
      </w:r>
    </w:p>
    <w:p w:rsidR="005C6370" w:rsidP="00A24D29" w14:paraId="226E54DE"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（一）基金财产保管的原则</w:t>
      </w:r>
    </w:p>
    <w:p w:rsidR="005C6370" w:rsidP="00A24D29" w14:paraId="7DBA90A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1、基金财产应独立于基金管理人、基金托管人的固有财产。</w:t>
      </w:r>
    </w:p>
    <w:p w:rsidR="005C6370" w:rsidP="00A24D29" w14:paraId="794C45DC"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2、基金托管人应安全保管基金财产。未经基金管理人的有效指令，不得自行运用、处分、分配基金的任何财产。</w:t>
      </w:r>
    </w:p>
    <w:p w:rsidR="005C6370" w:rsidP="00A24D29" w14:paraId="7E20F809"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3、基金托管人按照规定开设基金财产的资金账户和证券账户等投资所需账户。</w:t>
      </w:r>
    </w:p>
    <w:p w:rsidR="005C6370" w:rsidP="00A24D29" w14:paraId="51D87FDB"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4、基金托管人对所托管的不同基金财产分别设置账户，与基金托管人的其他业务和其他基金的托管业务实行严格的分账管理，确保基金财产的完整与独立。</w:t>
      </w:r>
    </w:p>
    <w:p w:rsidR="005C6370" w:rsidP="00A24D29" w14:paraId="79ADE7DF"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5、对于因基金认（申）购、基金投资过程中产生的应收财产，如基金托管人无法从公开信息或基金管理人提供的书面资料中获取到账日期信息的，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对此不承担责任。</w:t>
      </w:r>
    </w:p>
    <w:p w:rsidR="005C6370" w:rsidP="00A24D29" w14:paraId="1FA544C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6、基金托管人不对已划出托管账户以及处于基金托管人实际控制之外的资产承担保管责任。</w:t>
      </w:r>
    </w:p>
    <w:p w:rsidR="005C6370" w:rsidP="00A24D29" w14:paraId="224B8BF0"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（二）募集资金的验证</w:t>
      </w:r>
    </w:p>
    <w:p w:rsidR="005C6370" w:rsidP="00A24D29" w14:paraId="4744384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募集期内认购资金划入认购专户。基金管理人按照法律法规的反洗钱要求，对投资人及其资金来源履行必要的反洗钱合规审查工作。基金募集期满，募集的基金份额总额、基金募集金额、基金份额持有人人数符合《基金法》、《运作办法》等有关规定后，由基金管理人聘请符合《证券法》规定的会计师事务所进行验资，出具验资报告，出具的验资报告应由参加验资的2名以上（含2名）中国注册会计师签字有效。属于本基金财产的全部资金应划入基金托管人为基金开立的托管资金账户中，基金托管人在收到资金当日出具确认文件。</w:t>
      </w:r>
    </w:p>
    <w:p w:rsidR="005C6370" w:rsidP="00A24D29" w14:paraId="1F2FB73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若基金募集期限届满，未能达到《基金合同》生效的条件，由基金管理人按规定办理退款事宜。</w:t>
      </w:r>
    </w:p>
    <w:p w:rsidR="005C6370" w:rsidP="00A24D29" w14:paraId="04946E09"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（三）基金的银行账户的开立和管理</w:t>
      </w:r>
    </w:p>
    <w:p w:rsidR="005C6370" w:rsidP="00A24D29" w14:paraId="4D4DF37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托管人以基金托管人与基金联名等监管部门要求的名义，在其营业机构开设托管资金账户，保管基金的现金资产。该账户的开设和管理由基金托管人承担。本基金的一切货币收支活动，均需通过基金托管人的托管资金账户进行。</w:t>
      </w:r>
    </w:p>
    <w:p w:rsidR="005C6370" w:rsidP="00A24D29" w14:paraId="4281C571"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托管资金账户的开立和使用，限于满足开展本基金业务的需要。基金托管人和基金管理人不得假借本基金的名义开立其他任何银行账户；亦不得使用基金的任何银行账户进行本基金业务以外的活动。</w:t>
      </w:r>
    </w:p>
    <w:p w:rsidR="005C6370" w:rsidP="00A24D29" w14:paraId="0780562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托管资金账户的管理应符合人民币银行结算账户管理、利率管理等相关监管法规要求。</w:t>
      </w:r>
    </w:p>
    <w:p w:rsidR="005C6370" w:rsidP="00A24D29" w14:paraId="617597F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（四）基金证券账户与证券交易资金账户的开设和管理</w:t>
      </w:r>
    </w:p>
    <w:p w:rsidR="005C6370" w:rsidP="00A24D29" w14:paraId="7753C65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基金托管人以基金托管人和本基金联名的方式在中国证券登记结算有限</w:t>
      </w:r>
      <w:r w:rsidR="002650A2">
        <w:rPr>
          <w:rFonts w:ascii="宋体" w:hAnsi="Calibri" w:hint="eastAsia"/>
          <w:bCs/>
          <w:szCs w:val="21"/>
          <w:highlight w:val="white"/>
          <w:lang w:eastAsia="zh-CN"/>
        </w:rPr>
        <w:t>责任</w:t>
      </w:r>
      <w:r>
        <w:rPr>
          <w:rFonts w:ascii="宋体" w:hAnsi="Calibri"/>
          <w:bCs/>
          <w:szCs w:val="21"/>
          <w:highlight w:val="white"/>
          <w:lang w:eastAsia="zh-CN"/>
        </w:rPr>
        <w:t>公司开设证券账户。</w:t>
      </w:r>
    </w:p>
    <w:p w:rsidR="005C6370" w:rsidP="00A24D29" w14:paraId="63ED72E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基金托管人以基金托管人的名义在中国证券登记结算有限责任公司开立基金证券交易资金账户，用于证券清算。</w:t>
      </w:r>
    </w:p>
    <w:p w:rsidR="005C6370" w:rsidP="00A24D29" w14:paraId="275E5D8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基金证券账户的开立和使用，限于满足开展本基金业务的需要。基金托管人和基金管理人不得出借和未经对方同意擅自转让基金的任何证券账户；亦不得使用基金的任何账户进行本基金业务以外的活动。</w:t>
      </w:r>
    </w:p>
    <w:p w:rsidR="005C6370" w:rsidP="00A24D29" w14:paraId="6A374B80"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（五）债券托管账户的开立和管理</w:t>
      </w:r>
    </w:p>
    <w:p w:rsidR="005C6370" w:rsidP="00A24D29" w14:paraId="66585B91"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基金合同》生效后，基金管理人负责以基金的名义申请并取得进入全国银行间同业拆借市场的交易资格，并代表基金进行交易；基金托管人负责以基金的名义在中央国债登记结算有限责任公司和银行间市场清算所股份有限公司开设银行间债券市场债券托管账户和资金结算专户，并由基金托管人负责基金的债券的后台匹配及资金的清算。</w:t>
      </w:r>
    </w:p>
    <w:p w:rsidR="005C6370" w:rsidP="00A24D29" w14:paraId="66BDC35B"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2、基金管理人负责为基金对外签订全国银行间债券市场回购主协议。</w:t>
      </w:r>
    </w:p>
    <w:p w:rsidR="005C6370" w:rsidP="00A24D29" w14:paraId="18FC79A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（六）存款投资账户的开立和管理</w:t>
      </w:r>
    </w:p>
    <w:p w:rsidR="005C6370" w:rsidP="00A24D29" w14:paraId="28D42F0C"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财产开展定期存款等银行存款投资前，基金管理人应为基金开立存款投资账户，该账户仅限向托管账户划拨存款本金及利息资金。开户时基金管理人须向存款银行预留基金托管人印鉴，如基金托管人需变更预留印鉴，基金管理人应通知并配合存款银行办理变更手续。</w:t>
      </w:r>
    </w:p>
    <w:p w:rsidR="005C6370" w:rsidP="00A24D29" w14:paraId="6F1DB35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应按照双方约定，事先向基金托管人提供办理开户、存入、支取、变更等存款业务所需的经办人员身份证明信息等材料。如需在存款银行开通网上银行、电话银行、手机银行等功能，需经基金管理人、基金托管人双方确认同意。</w:t>
      </w:r>
    </w:p>
    <w:p w:rsidR="005C6370" w:rsidP="00A24D29" w14:paraId="61767549"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如需停止使用银行存款账户，基金管理人应联系基金托管人及时办理销户手续。</w:t>
      </w:r>
    </w:p>
    <w:p w:rsidR="005C6370" w:rsidP="00A24D29" w14:paraId="187E597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（七）其他账户的开设和管理</w:t>
      </w:r>
    </w:p>
    <w:p w:rsidR="005C6370" w:rsidP="00A24D29" w14:paraId="423A41C8"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在本协议订立日之后，本基金被允许从事符合法律法规规定和《基金合同》约定的其他投资品种的投资业务时，如果涉及相关账户的开设和使用，由基金管理人协助托管人根据有关法律法规的规定和《基金合同》的约定，开立有关账户。该账户按有关规则使用并管理。</w:t>
      </w:r>
    </w:p>
    <w:p w:rsidR="005C6370" w:rsidP="00A24D29" w14:paraId="4FFA678D"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（八）存款证实书等有价凭证的保管</w:t>
      </w:r>
    </w:p>
    <w:p w:rsidR="005C6370" w:rsidP="00A24D29" w14:paraId="54637A84"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应将基金财产投资的有关存款证实书交由基金托管人保管。属于基金托管人实际有效控制下的存款证实书在基金托管人保管期间的毁损、灭失，由此产生的责任应由基金托管人承担。基金托管人对基金托管人以外机构实际有效控制或保管的存款证实书不承担保管责任。</w:t>
      </w:r>
    </w:p>
    <w:p w:rsidR="005C6370" w:rsidP="00A24D29" w14:paraId="0760022F"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基金投资银行存款的，由存款银行向基金管理人开具存款证实书，基金管理人与基金托管人应遵守以下特别约定：</w:t>
      </w:r>
    </w:p>
    <w:p w:rsidR="005C6370" w:rsidP="00A24D29" w14:paraId="09406B9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基金管理人应根据基金托管人的要求，提供办理存款证实书出入库手续所需的经办人员身份信息等相关材料。如基金托管人对相关材料有异议，基金托管人有权拒绝办理并不承担相应责任，基金管理人应采取措施核实并更正信息。</w:t>
      </w:r>
    </w:p>
    <w:p w:rsidR="005C6370" w:rsidP="00A24D29" w14:paraId="076C414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基金管理人应通知存款银行及时与基金托管人办理存款证实书入库保管手续。如存款证实书要素与存款协议不符，在基金管理人与存款银行核实更正前，基金托管人有权拒绝办理入库手续。因发生自然灾害等不可抗力情况导致入库延误的，基金管理人应及时向基金托管人书面说明，并采取措施积极推动存款证实书入库，在完成入库前，由存款证实书持有方履行保管责任。</w:t>
      </w:r>
    </w:p>
    <w:p w:rsidR="005C6370" w:rsidP="00A24D29" w14:paraId="5F10BD7F"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3、存款到期前，基金管理人或存款银行应及时与基金托管人办理存款证实书出库手续。如需提前支取，基金管理人应出具提前支取说明函。如需部分提前支取，应办理存款证实书置换，置换后新存款证实书除金额、编号、存款证实书开具日期外，其他核心要素与原存款证实书一致。</w:t>
      </w:r>
    </w:p>
    <w:p w:rsidR="005C6370" w:rsidP="00A24D29" w14:paraId="20428B4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4、存款到期后，如因自然灾害等不可抗力导致无法正常办理存款证实书出库手续的，基金管理人应与存款银行就上述不可抗力作出相应应急安排，并明确存款银行应将支取后的存款本息全部划转回基金托管资金账户。</w:t>
      </w:r>
    </w:p>
    <w:p w:rsidR="005C6370" w:rsidP="00A24D29" w14:paraId="33E5E9F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5、如存款证实书因非基金托管人原因出现毁损、灭失，或晚于存款到期日到达存款行等情形，导致存款无法被按时支取的，基金管理人应及时采取补救措施，基金托管人不承担相关责任，但应给予必要配合。存款证实书仅作为存款证实，不得设立担保或用于任何可能导致存款资金损失的其他用途。</w:t>
      </w:r>
    </w:p>
    <w:p w:rsidR="005C6370" w:rsidP="00A24D29" w14:paraId="164DE4B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（九）与基金财产有关的重大合同的保管</w:t>
      </w:r>
    </w:p>
    <w:p w:rsidR="005C6370" w:rsidP="00A24D29" w14:paraId="454C834B"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由基金管理人代表基金签署的与基金有关的重大合同的原件分别应由基金托管人、基金管理人保管。除本协议另有约定外，基金管理人在代表基金签署与基金有关的重大合同时应保证基金一方持有两份以上的正本，以便基金管理人和基金托管人至少各持有一份正本的原件。基金管理人在合同签署后5个工作日内通过专人送达、挂号邮寄等安全方式将合同原件送达基金托管人处。合同原件应存放于基金管理人和基金托管人各自文件保管部门，保管期限不少于法律法规规定的最低年限。</w:t>
      </w:r>
    </w:p>
    <w:p w:rsidR="005C6370" w:rsidP="00A24D29" w14:paraId="2355B847"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第五节 基金资产净值计算与复核</w:t>
      </w:r>
    </w:p>
    <w:p w:rsidR="005C6370" w:rsidP="00A24D29" w14:paraId="2A8B4214"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（一）基金资产净值的计算、复核的时间和程序</w:t>
      </w:r>
    </w:p>
    <w:p w:rsidR="005C6370" w:rsidP="00A24D29" w14:paraId="3B72BB4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资产净值是指基金资产总值减去负债后的价值。基金份额净值是指计算日基金资产净值除以该计算日基金份额总份额后的数值。基金份额净值的计算保留到小数点后4位，小数点后第5位四舍五入，由此产生的误差计入基金财产。</w:t>
      </w:r>
    </w:p>
    <w:p w:rsidR="005C6370" w:rsidP="00A24D29" w14:paraId="3B876D9B"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基金管理人应每个估值日</w:t>
      </w:r>
      <w:r w:rsidR="00C371BD">
        <w:rPr>
          <w:rFonts w:ascii="宋体" w:hAnsi="Calibri" w:hint="eastAsia"/>
          <w:bCs/>
          <w:szCs w:val="21"/>
          <w:highlight w:val="white"/>
          <w:lang w:eastAsia="zh-CN"/>
        </w:rPr>
        <w:t>后的两个工作日内</w:t>
      </w:r>
      <w:r>
        <w:rPr>
          <w:rFonts w:ascii="宋体" w:hAnsi="Calibri"/>
          <w:bCs/>
          <w:szCs w:val="21"/>
          <w:highlight w:val="white"/>
          <w:lang w:eastAsia="zh-CN"/>
        </w:rPr>
        <w:t>对基金资产估值，但基金管理人根据法律法规或基金合同的规定暂停估值时除外。估值原则应符合《基金合同》、《证券投资基金会计核算业务指引》及其他法律、法规的规定。用于基金信息披露的基金资产净值和基金份额净值由基金管理人负责计算，基金托管人复核。基金管理人应于每个估值日交易结束后</w:t>
      </w:r>
      <w:r w:rsidR="00C371BD">
        <w:rPr>
          <w:rFonts w:ascii="宋体" w:hAnsi="Calibri" w:hint="eastAsia"/>
          <w:bCs/>
          <w:szCs w:val="21"/>
          <w:highlight w:val="white"/>
          <w:lang w:eastAsia="zh-CN"/>
        </w:rPr>
        <w:t>的两个工作日内</w:t>
      </w:r>
      <w:r>
        <w:rPr>
          <w:rFonts w:ascii="宋体" w:hAnsi="Calibri"/>
          <w:bCs/>
          <w:szCs w:val="21"/>
          <w:highlight w:val="white"/>
          <w:lang w:eastAsia="zh-CN"/>
        </w:rPr>
        <w:t>计算当日的基金资产净值与基金份额净值，并以双方认可的方式发送给基金托管人。基金托管人对净值计算结果复核后以双方认可的方式发送给基金管理人，由基金管理人按规定对基金净值予以公布。</w:t>
      </w:r>
    </w:p>
    <w:p w:rsidR="005C6370" w:rsidP="00A24D29" w14:paraId="5584B2D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本基金实施侧袋机制的，应根据本部分的约定对主袋账户资产进行估值并披露主袋账户的基金资产净值和份额净值，暂停披露侧袋账户份额净值。</w:t>
      </w:r>
    </w:p>
    <w:p w:rsidR="005C6370" w:rsidP="00A24D29" w14:paraId="5ECDD2A5"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根据《基金法》，基金管理人计算并公告基金资产净值，基金托管人复核、审查基金管理人计算的基金资产净值。因此，本基金的会计责任方是基金管理人，就与本基金有关的会计问题，如经相关各方在平等基础上充分讨论后，仍无法达成一致的意见，按照基金管理人对基金资产净值的计算结果对外予以公布，基金管理人应按照有关法律法规进行信息披露。法律法规以及监管部门有强制规定的，从其规定。如有新增事项，按国家最新规定估值。</w:t>
      </w:r>
    </w:p>
    <w:p w:rsidR="005C6370" w:rsidP="00A24D29" w14:paraId="1916FD6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（二）基金资产估值方法</w:t>
      </w:r>
    </w:p>
    <w:p w:rsidR="005C6370" w:rsidP="00A24D29" w14:paraId="22041CC1"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1、估值对象</w:t>
      </w:r>
    </w:p>
    <w:p w:rsidR="005C6370" w:rsidP="00A24D29" w14:paraId="12CFE4C5"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基金所拥有的证券投资基金、股票、债券和银行存款本息、应收款项、其它投资等资产及负债。</w:t>
      </w:r>
    </w:p>
    <w:p w:rsidR="005C6370" w:rsidP="00A24D29" w14:paraId="4C88061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2、估值方法</w:t>
      </w:r>
    </w:p>
    <w:p w:rsidR="005C6370" w:rsidP="00A24D29" w14:paraId="195DDCB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rsidR="005C6370" w:rsidP="00A24D29" w14:paraId="40E871AE"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（2）处于未上市期间的有价证券应区分如下情况处理：</w:t>
      </w:r>
    </w:p>
    <w:p w:rsidR="005C6370" w:rsidP="00A24D29" w14:paraId="305DF1F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1）送股、转增股、配股和公开增发的新股，按估值日在证券交易所挂牌的同一股票的估值方法估值；该日无交易的，以最近一日的市价（收盘价）估值；</w:t>
      </w:r>
    </w:p>
    <w:p w:rsidR="005C6370" w:rsidP="00A24D29" w14:paraId="1F18245D"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2）首次公开发行未上市的股票，采用估值技术确定公允价值；</w:t>
      </w:r>
    </w:p>
    <w:p w:rsidR="005C6370" w:rsidP="00A24D29" w14:paraId="7C37CDE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rsidR="005C6370" w:rsidP="00A24D29" w14:paraId="03E26FF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（3）对于已上市或已挂牌转让的不含权固定收益品种，选取估值日第三方估值基准服务机构提供的相应品种当日的估值全价进行估值。</w:t>
      </w:r>
    </w:p>
    <w:p w:rsidR="005C6370" w:rsidP="00A24D29" w14:paraId="20EDD27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（4）对于已上市或已挂牌转让的含权固定收益品种，选取估值日第三方估值基准服务机构提供的相应品种当日的唯一估值全价或推荐估值全价进行估值。</w:t>
      </w:r>
    </w:p>
    <w:p w:rsidR="005C6370" w:rsidP="00A24D29" w14:paraId="5EAFC525"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对于含投资者回售权的固定收益品种，行使回售权的，在回售登记日至实际收款日期间选取第三方估值基准服务机构提供的相应品种的唯一估值全价或推荐估值全价进行估值。回售登记期截止日（含当日）后未行使回售权的按照长待偿期所对应的价格进行估值。</w:t>
      </w:r>
    </w:p>
    <w:p w:rsidR="005C6370" w:rsidP="00A24D29" w14:paraId="182AF2D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5）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rsidR="005C6370" w:rsidP="00A24D29" w14:paraId="42B2BFC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（6）对于未上市或未挂牌转让且不存在活跃市场的固定收益品种，采用在当前情况下适用并且有足够可利用数据和其他信息支持的估值技术确定其公允价值。</w:t>
      </w:r>
    </w:p>
    <w:p w:rsidR="005C6370" w:rsidP="00A24D29" w14:paraId="5E740C6F"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7）对于交易所上市的ETF基金、境内上市定期开放式基金、封闭式基金，按估值日的收盘价估值；若估值日无交易，且最近交易日后市场环境未发生重大变化，按最近交易日的收盘价估值；如最近交易日后市场环境发生了重大变化的，可使用最新的基金份额净值为基础或参考类似投资品种的现行市价及重大变化因素调整最近交易市价，确定公允价值。当基金管理人认为所投资基金按上述条款进行估值存在不公允时，应与托管人协商一致采用合理的估值技术或估值标准确定其公允价值；</w:t>
      </w:r>
    </w:p>
    <w:p w:rsidR="005C6370" w:rsidP="00A24D29" w14:paraId="250DE1AE"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8）对于交易所上市的境内上市开放式基金（LOF），按估值日的份额净值估值；境内上市交易型货币市场基金，如披露份额净值，则按估值日的份额净值估值；如披露万份（百份）收益，则按前一估值日后至估值日期间（含节假日）的万份（百份）收益计提估值日基金收益；以基金份额净值估值的，若与本基金估值频率一致但未公布估值日基金份额净值，按其最近公布的基金份额净值为基础估值。</w:t>
      </w:r>
    </w:p>
    <w:p w:rsidR="005C6370" w:rsidP="00A24D29" w14:paraId="2097A48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9）非上市基金的估值：境内非货币市场基金，按估值日的份额净值估值；若与本基金估值频率一致但未公布估值日基金份额净值，按其最近公布的基金份额净值为基础估值。境内货币市场基金，按前一估值日后至估值日期间（含节假日）的万份收益计提估值日基金收益。</w:t>
      </w:r>
    </w:p>
    <w:p w:rsidR="005C6370" w:rsidP="00A24D29" w14:paraId="748ECFF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（10）本基金投资存托凭证的估值核算，依照境内上市交易的股票执行。</w:t>
      </w:r>
    </w:p>
    <w:p w:rsidR="005C6370" w:rsidP="00A24D29" w14:paraId="25CD0E2C"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（11）汇率</w:t>
      </w:r>
    </w:p>
    <w:p w:rsidR="005C6370" w:rsidP="00A24D29" w14:paraId="46A586ED"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如本基金投资股票市场交易互联互通机制允许买卖的境外证券市场上市的股票、ETF，涉及相关货币对人民币汇率的，汇率来源详见招募说明书。</w:t>
      </w:r>
    </w:p>
    <w:p w:rsidR="005C6370" w:rsidP="00A24D29" w14:paraId="5735FCE0"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（12）税收</w:t>
      </w:r>
    </w:p>
    <w:p w:rsidR="005C6370" w:rsidP="00A24D29" w14:paraId="4D3301D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对于按照中国法律法规和基金投资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rsidR="005C6370" w:rsidP="00A24D29" w14:paraId="38DAF84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（13）如有充分理由表明按上述方法进行估值不能客观反映其公允价值的，基金管理人可根据具体情况与基金托管人商定后，按最能反映公允价值的价格估值。</w:t>
      </w:r>
    </w:p>
    <w:p w:rsidR="005C6370" w:rsidP="00A24D29" w14:paraId="4373FE88"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（14）当发生大额申购或赎回情形时，基金管理人可以采用摆动定价机制，以确保基金估值的公平性。</w:t>
      </w:r>
    </w:p>
    <w:p w:rsidR="005C6370" w:rsidP="00A24D29" w14:paraId="53F8847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（15）相关法律法规以及监管部门有强制规定的，从其规定。如有新增事项，按国家最新规定估值。</w:t>
      </w:r>
    </w:p>
    <w:p w:rsidR="005C6370" w:rsidP="00A24D29" w14:paraId="7FFEB9FE"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如基金管理人或基金托管人发现基金估值违反基金合同订明的估值方法、程序及相关法律法规的规定或者未能充分维护基金份额持有人利益时，应立即通知对方，共同查明原因，双方协商解决。</w:t>
      </w:r>
    </w:p>
    <w:p w:rsidR="005C6370" w:rsidP="00A24D29" w14:paraId="6A3253A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rsidR="005C6370" w:rsidP="00A24D29" w14:paraId="27BF728D"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（三）估值差错处理</w:t>
      </w:r>
    </w:p>
    <w:p w:rsidR="005C6370" w:rsidP="00A24D29" w14:paraId="769A58FF"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基金管理人和基金托管人将采取必要、适当、合理的措施确保基金资产估值的准确性、及时性。当基金份额净值小数点后4位以内（含第4位）发生估值错误时，视为基金份额净值错误。</w:t>
      </w:r>
    </w:p>
    <w:p w:rsidR="005C6370" w:rsidP="00A24D29" w14:paraId="1A551D4F"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基金合同的当事人应按照以下约定处理：</w:t>
      </w:r>
    </w:p>
    <w:p w:rsidR="005C6370" w:rsidP="00A24D29" w14:paraId="4E521E1D"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1、估值错误类型</w:t>
      </w:r>
    </w:p>
    <w:p w:rsidR="005C6370" w:rsidP="00A24D29" w14:paraId="3F5A242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本基金运作过程中，如果由于基金管理人或基金托管人、或登记机构、或销售机构、或投资人自身的过错造成估值错误，导致其他当事人遭受损失的，过错的责任人应当对由于该估值错误遭受损失当事人（</w:t>
      </w:r>
      <w:r>
        <w:rPr>
          <w:rFonts w:ascii="宋体" w:hAnsi="Calibri"/>
          <w:bCs/>
          <w:szCs w:val="21"/>
          <w:highlight w:val="white"/>
          <w:lang w:eastAsia="zh-CN"/>
        </w:rPr>
        <w:t>“</w:t>
      </w:r>
      <w:r>
        <w:rPr>
          <w:rFonts w:ascii="宋体" w:hAnsi="Calibri"/>
          <w:bCs/>
          <w:szCs w:val="21"/>
          <w:highlight w:val="white"/>
          <w:lang w:eastAsia="zh-CN"/>
        </w:rPr>
        <w:t>受损方</w:t>
      </w:r>
      <w:r>
        <w:rPr>
          <w:rFonts w:ascii="宋体" w:hAnsi="Calibri"/>
          <w:bCs/>
          <w:szCs w:val="21"/>
          <w:highlight w:val="white"/>
          <w:lang w:eastAsia="zh-CN"/>
        </w:rPr>
        <w:t>”</w:t>
      </w:r>
      <w:r>
        <w:rPr>
          <w:rFonts w:ascii="宋体" w:hAnsi="Calibri"/>
          <w:bCs/>
          <w:szCs w:val="21"/>
          <w:highlight w:val="white"/>
          <w:lang w:eastAsia="zh-CN"/>
        </w:rPr>
        <w:t>）的直接损失按下述</w:t>
      </w:r>
      <w:r>
        <w:rPr>
          <w:rFonts w:ascii="宋体" w:hAnsi="Calibri"/>
          <w:bCs/>
          <w:szCs w:val="21"/>
          <w:highlight w:val="white"/>
          <w:lang w:eastAsia="zh-CN"/>
        </w:rPr>
        <w:t>“</w:t>
      </w:r>
      <w:r>
        <w:rPr>
          <w:rFonts w:ascii="宋体" w:hAnsi="Calibri"/>
          <w:bCs/>
          <w:szCs w:val="21"/>
          <w:highlight w:val="white"/>
          <w:lang w:eastAsia="zh-CN"/>
        </w:rPr>
        <w:t>估值错误处理原则</w:t>
      </w:r>
      <w:r>
        <w:rPr>
          <w:rFonts w:ascii="宋体" w:hAnsi="Calibri"/>
          <w:bCs/>
          <w:szCs w:val="21"/>
          <w:highlight w:val="white"/>
          <w:lang w:eastAsia="zh-CN"/>
        </w:rPr>
        <w:t>”</w:t>
      </w:r>
      <w:r>
        <w:rPr>
          <w:rFonts w:ascii="宋体" w:hAnsi="Calibri"/>
          <w:bCs/>
          <w:szCs w:val="21"/>
          <w:highlight w:val="white"/>
          <w:lang w:eastAsia="zh-CN"/>
        </w:rPr>
        <w:t>给予赔偿，承担赔偿责任。</w:t>
      </w:r>
    </w:p>
    <w:p w:rsidR="005C6370" w:rsidP="00A24D29" w14:paraId="0029383F"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上述估值错误的主要类型包括但不限于：资料申报差错、数据传输差错、数据计算差错、系统故障差错、下达指令差错等。</w:t>
      </w:r>
    </w:p>
    <w:p w:rsidR="005C6370" w:rsidP="00A24D29" w14:paraId="485F8115"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2、估值错误处理原则</w:t>
      </w:r>
    </w:p>
    <w:p w:rsidR="005C6370" w:rsidP="00A24D29" w14:paraId="12E7E550"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rsidR="005C6370" w:rsidP="00A24D29" w14:paraId="6554F864"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（2）估值错误的责任方对有关当事人的直接损失负责，不对间接损失负责，并且仅对估值错误的有关直接当事人负责，不对第三方负责。</w:t>
      </w:r>
    </w:p>
    <w:p w:rsidR="005C6370" w:rsidP="00A24D29" w14:paraId="07C9F55D"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（3）因估值错误而获得不当得利的当事人负有及时返还不当得利的义务。但估值错误责任方仍应对估值错误负责。如果由于获得不当得利的当事人不返还或不全部返还不当得利造成其他当事人的利益损失（</w:t>
      </w:r>
      <w:r>
        <w:rPr>
          <w:rFonts w:ascii="宋体" w:hAnsi="Calibri"/>
          <w:bCs/>
          <w:szCs w:val="21"/>
          <w:highlight w:val="white"/>
          <w:lang w:eastAsia="zh-CN"/>
        </w:rPr>
        <w:t>“</w:t>
      </w:r>
      <w:r>
        <w:rPr>
          <w:rFonts w:ascii="宋体" w:hAnsi="Calibri"/>
          <w:bCs/>
          <w:szCs w:val="21"/>
          <w:highlight w:val="white"/>
          <w:lang w:eastAsia="zh-CN"/>
        </w:rPr>
        <w:t>受损方</w:t>
      </w:r>
      <w:r>
        <w:rPr>
          <w:rFonts w:ascii="宋体" w:hAnsi="Calibri"/>
          <w:bCs/>
          <w:szCs w:val="21"/>
          <w:highlight w:val="white"/>
          <w:lang w:eastAsia="zh-CN"/>
        </w:rPr>
        <w:t>”</w:t>
      </w:r>
      <w:r>
        <w:rPr>
          <w:rFonts w:ascii="宋体" w:hAnsi="Calibri"/>
          <w:bCs/>
          <w:szCs w:val="21"/>
          <w:highlight w:val="white"/>
          <w:lang w:eastAsia="zh-CN"/>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rsidR="005C6370" w:rsidP="00A24D29" w14:paraId="69D6ACE0"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（4）估值错误调整采用尽量恢复至假设未发生估值错误的正确情形的方式。</w:t>
      </w:r>
    </w:p>
    <w:p w:rsidR="005C6370" w:rsidP="00A24D29" w14:paraId="6BB3012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3、估值错误处理程序</w:t>
      </w:r>
    </w:p>
    <w:p w:rsidR="005C6370" w:rsidP="00A24D29" w14:paraId="4D3F8DE8"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估值错误被发现后，有关的当事人应当及时进行处理，处理的程序如下：</w:t>
      </w:r>
    </w:p>
    <w:p w:rsidR="005C6370" w:rsidP="00A24D29" w14:paraId="1A33D03B"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（1）查明估值错误发生的原因，列明所有的当事人，并根据估值错误发生的原因确定估值错误的责任方；</w:t>
      </w:r>
    </w:p>
    <w:p w:rsidR="005C6370" w:rsidP="00A24D29" w14:paraId="50C81DD5"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（2）根据估值错误处理原则或当事人协商的方法对因估值错误造成的损失进行评估；</w:t>
      </w:r>
    </w:p>
    <w:p w:rsidR="005C6370" w:rsidP="00A24D29" w14:paraId="282D494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（3）根据估值错误处理原则或当事人协商的方法由估值错误的责任方进行更正和赔偿损失；</w:t>
      </w:r>
    </w:p>
    <w:p w:rsidR="005C6370" w:rsidP="00A24D29" w14:paraId="6C60D48C"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（4）根据估值错误处理的方法，需要修改基金登记机构交易数据的，由基金登记机构进行更正，并就估值错误的更正向有关当事人进行确认。</w:t>
      </w:r>
    </w:p>
    <w:p w:rsidR="005C6370" w:rsidP="00A24D29" w14:paraId="59C7020F"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4、基金份额净值估值错误处理的方法如下：</w:t>
      </w:r>
    </w:p>
    <w:p w:rsidR="005C6370" w:rsidP="00A24D29" w14:paraId="42A6D56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（1）基金份额净值计算出现错误时，基金管理人应当立即予以纠正，通报基金托管人，并采取合理的措施防止损失进一步扩大。</w:t>
      </w:r>
    </w:p>
    <w:p w:rsidR="005C6370" w:rsidP="00A24D29" w14:paraId="15550BF0"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（2）错误偏差达到基金份额净值的0.25%时，基金管理人应当通报基金托管人并报中国证监会备案；错误偏差达到基金份额净值的0.5%时，基金管理人应当公告，并报中国证监会备案。</w:t>
      </w:r>
    </w:p>
    <w:p w:rsidR="005C6370" w:rsidP="00A24D29" w14:paraId="7AB7A8E9"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（3）前述内容如法律法规或监管机关另有规定的，从其规定处理。</w:t>
      </w:r>
    </w:p>
    <w:p w:rsidR="005C6370" w:rsidP="00A24D29" w14:paraId="72D7F1B8"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（四）基金账册的建立</w:t>
      </w:r>
    </w:p>
    <w:p w:rsidR="005C6370" w:rsidP="00A24D29" w14:paraId="61612271"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rsidR="005C6370" w:rsidP="00A24D29" w14:paraId="667339F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经对账发现相关各方的账目存在不符的，基金管理人和基金托管人必须及时查明原因并纠正，保证相关各方平行登录的账册记录完全相符。若当日核对不符，暂时无法查找到错账的原因而影响到基金资产净值的计算和公告的，以基金管理人的账册为准。</w:t>
      </w:r>
    </w:p>
    <w:p w:rsidR="005C6370" w:rsidP="00A24D29" w14:paraId="6D83AEA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（五）基金招募说明书、定期报告的编制和复核</w:t>
      </w:r>
    </w:p>
    <w:p w:rsidR="005C6370" w:rsidP="00A24D29" w14:paraId="6FD0AC3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基金财务报表由基金管理人和基金托管人每月分别独立编制。月度报表的编制，应于每月终了后5个工作日内完成。</w:t>
      </w:r>
    </w:p>
    <w:p w:rsidR="005C6370" w:rsidP="00A24D29" w14:paraId="336B8895"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在《基金合同》生效后，基金招募说明书、基金产品资料概要的信息发生重大变更的，基金管理人应当在三个工作日内，更新基金招募说明书、基金产品资料概要并登载在规定网站上；基金招募说明书、基金产品资料概要其他信息发生变更的，基金管理人至少每年更新一次。基金终止运作的，基金管理人不再更新基金招募说明书、基金产品资料概要。</w:t>
      </w:r>
    </w:p>
    <w:p w:rsidR="005C6370" w:rsidP="00A24D29" w14:paraId="3F63846F"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应当在每月结束后5个工作日内完成月度报表的编制；在季度结束之日起15个工作日内完成基金季度报告的编制；在上半年结束之日起两个月内完成基金中期报告的编制；在每年结束之日起三个月内完成基金年度报告的编制。基金年度报告中的财务会计报告应当经过符合《证券法》规定的会计师事务所审计。《基金合同》生效不足两个月的，基金管理人可以不编制当期季度报告、中期报告或者年度报告。</w:t>
      </w:r>
    </w:p>
    <w:p w:rsidR="005C6370" w:rsidP="00A24D29" w14:paraId="67DC7B0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托管人在复核过程中，发现相关各方的报表存在不符时，基金管理人和基金托管人应共同查明原因，进行调整，调整以相关各方认可的账务处理方式为准。核对无误后，基金托管人在基金管理人提供的报告上加盖业务印鉴或者出具加盖托管业务部门公章的复核意见书，相关各方各自留存一份。如果基金管理人与基金托管人不能于应当发布公告之日之前就相关报表达成一致，基金管理人有权按照其编制的报表对外发布公告，基金托管人有权就相关情况报证监会备案。</w:t>
      </w:r>
    </w:p>
    <w:p w:rsidR="005C6370" w:rsidP="00A24D29" w14:paraId="10689A2E"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基金托管人在对财务会计报告、中期报告或年度报告复核完毕后，需盖章确认或出具相应的复核确认书，以备有权机构对相关文件审核时提示。</w:t>
      </w:r>
    </w:p>
    <w:p w:rsidR="005C6370" w:rsidP="00A24D29" w14:paraId="17EF9A00"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第六节 基金份额持有人名册的登记与保管</w:t>
      </w:r>
    </w:p>
    <w:p w:rsidR="005C6370" w:rsidP="00A24D29" w14:paraId="5DF3A9D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和基金托管人须分别妥善保管基金份额持有人名册，包括《基金合同》生效日、《基金合同》终止日、基金份额持有人大会权益登记日、每年6月30日、12月31日的基金份额持有人名册。基金份额持有人名册的内容必须包括基金份额持有人的名称和持有的基金份额。</w:t>
      </w:r>
    </w:p>
    <w:p w:rsidR="005C6370" w:rsidP="00A24D29" w14:paraId="67C6C37D"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份额持有人名册由登记机构根据基金管理人的指令编制和保管，基金管理人和基金托管人应按照目前相关规则分别保管基金份额持有人名册。保管方式可以采用电子或文档的形式。登记机构的保存期限不少于法律法规规定的最低年限。</w:t>
      </w:r>
    </w:p>
    <w:p w:rsidR="005C6370" w:rsidP="00A24D29" w14:paraId="4F46895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管理人应当及时向基金托管人提交下列日期的基金份额持有人名册：《基金合同》生效日、《基金合同》终止日、基金份额持有人大会权益登记日、每年6月30日、每年12月31日的基金份额持有人名册。基金份额持有人名册的内容必须包括基金份额持有人的名称和持有的基金份额。其中每年12月31日的基金份额持有人名册应于下月前十个工作日内提交；《基金合同》生效日、《基金合同》终止日等涉及到基金重要事项日期的基金份额持有人名册应于发生日后十个工作日内提交。</w:t>
      </w:r>
    </w:p>
    <w:p w:rsidR="005C6370" w:rsidP="00A24D29" w14:paraId="600EF2BE"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托管人以电子版形式妥善保管基金份额持有人名册，并定期刻成光盘备份，保存期限不少于法律法规规定的最低年限。基金托管人不得将所保管的基金份额持有人名册用于基金托管业务以外的其他用途，并应遵守保密义务。</w:t>
      </w:r>
    </w:p>
    <w:p w:rsidR="005C6370" w:rsidP="00A24D29" w14:paraId="388348B4"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若基金管理人或基金托管人由于自身原因无法妥善保管基金份额持有人名册，应按有关法规规定各自承担相应的责任。</w:t>
      </w:r>
    </w:p>
    <w:p w:rsidR="005C6370" w:rsidP="00A24D29" w14:paraId="1F88E787" w14:textId="77777777">
      <w:pPr>
        <w:spacing w:line="360" w:lineRule="auto"/>
        <w:ind w:firstLine="420"/>
        <w:contextualSpacing/>
        <w:rPr>
          <w:rFonts w:ascii="宋体" w:hAnsi="Calibri"/>
          <w:bCs/>
          <w:szCs w:val="21"/>
          <w:lang w:eastAsia="zh-CN"/>
        </w:rPr>
      </w:pPr>
      <w:r>
        <w:rPr>
          <w:rStyle w:val="CommentReference"/>
          <w:rFonts w:ascii="宋体" w:hAnsi="Calibri"/>
          <w:highlight w:val="white"/>
          <w:lang w:eastAsia="zh-CN"/>
        </w:rPr>
        <w:t>第七节</w:t>
      </w:r>
      <w:r>
        <w:rPr>
          <w:rFonts w:ascii="宋体" w:hAnsi="Calibri" w:hint="eastAsia"/>
          <w:bCs/>
          <w:szCs w:val="21"/>
          <w:highlight w:val="white"/>
          <w:lang w:eastAsia="zh-CN"/>
        </w:rPr>
        <w:t xml:space="preserve"> 争议解决方式</w:t>
      </w:r>
    </w:p>
    <w:p w:rsidR="005C6370" w:rsidP="00A24D29" w14:paraId="6226DA1E"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双方当事人同意，因本协议而产生的或与本协议有关的一切争议，除经友好协商可以解决的，应提交中国国际经济贸易仲裁委员会根据该会当时有效的仲裁规则进行仲裁，仲裁的地点在北京，仲裁裁决是终局性的并对相关各方均有约束力。除非仲裁裁决另有决定，仲裁费用由败诉方承担。</w:t>
      </w:r>
    </w:p>
    <w:p w:rsidR="005C6370" w:rsidP="00A24D29" w14:paraId="078A93F5"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争议处理期间，双方当事人应恪守基金管理人和基金托管人职责，继续忠实、勤勉、尽责地履行《基金合同》和本协议约定的义务，维护基金份额持有人的合法权益。</w:t>
      </w:r>
    </w:p>
    <w:p w:rsidR="005C6370" w:rsidP="00A24D29" w14:paraId="6A5AD66C"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本协议受中国法律管辖。</w:t>
      </w:r>
    </w:p>
    <w:p w:rsidR="005C6370" w:rsidP="00A24D29" w14:paraId="39E0E4D2" w14:textId="77777777">
      <w:pPr>
        <w:spacing w:line="360" w:lineRule="auto"/>
        <w:ind w:firstLine="420"/>
        <w:contextualSpacing/>
        <w:rPr>
          <w:rFonts w:ascii="宋体" w:hAnsi="Calibri"/>
          <w:bCs/>
          <w:szCs w:val="21"/>
          <w:lang w:eastAsia="zh-CN"/>
        </w:rPr>
      </w:pPr>
      <w:r>
        <w:rPr>
          <w:rFonts w:ascii="宋体" w:hAnsi="Calibri" w:hint="eastAsia"/>
          <w:bCs/>
          <w:szCs w:val="21"/>
          <w:highlight w:val="white"/>
          <w:lang w:eastAsia="zh-CN"/>
        </w:rPr>
        <w:t>第八节 托管协议的修改与终止</w:t>
      </w:r>
    </w:p>
    <w:p w:rsidR="005C6370" w:rsidP="00A24D29" w14:paraId="03B7223C"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（一）托管协议的变更与终止</w:t>
      </w:r>
    </w:p>
    <w:p w:rsidR="005C6370" w:rsidP="00A24D29" w14:paraId="23A9186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1、托管协议的变更程序</w:t>
      </w:r>
    </w:p>
    <w:p w:rsidR="005C6370" w:rsidP="00A24D29" w14:paraId="29195779"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本协议双方当事人经协商一致，可以对协议的内容进行变更。变更后的托管协议，其内容不得与《基金合同》的约定有任何冲突。</w:t>
      </w:r>
    </w:p>
    <w:p w:rsidR="005C6370" w:rsidP="00A24D29" w14:paraId="4C3D77B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2、基金托管协议终止的情形</w:t>
      </w:r>
    </w:p>
    <w:p w:rsidR="005C6370" w:rsidP="00A24D29" w14:paraId="6D25F773"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发生以下情况，本协议终止：</w:t>
      </w:r>
    </w:p>
    <w:p w:rsidR="005C6370" w:rsidP="00A24D29" w14:paraId="6492E66B"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（1）《基金合同》终止；</w:t>
      </w:r>
    </w:p>
    <w:p w:rsidR="005C6370" w:rsidP="00A24D29" w14:paraId="729E8995"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（2）基金托管人解散、依法被撤销、破产或有其他基金托管人接管基金资产；</w:t>
      </w:r>
    </w:p>
    <w:p w:rsidR="005C6370" w:rsidP="00A24D29" w14:paraId="47111CD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（3）基金管理人解散、依法被撤销、破产或有其他基金管理人接管基金管理权；</w:t>
      </w:r>
    </w:p>
    <w:p w:rsidR="005C6370" w:rsidP="00A24D29" w14:paraId="768CBD9F"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（4）发生法律法规或《基金合同》规定的终止事项。</w:t>
      </w:r>
    </w:p>
    <w:p w:rsidR="005C6370" w:rsidP="00A24D29" w14:paraId="10536238"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（二）基金财产的清算</w:t>
      </w:r>
    </w:p>
    <w:p w:rsidR="005C6370" w:rsidP="00A24D29" w14:paraId="69EBAFB8"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1、基金财产清算小组：自出现《基金合同》终止事由之日起30个工作日内成立清算小组，基金管理人组织基金财产清算小组并在中国证监会的监督下进行基金清算。</w:t>
      </w:r>
    </w:p>
    <w:p w:rsidR="005C6370" w:rsidP="00A24D29" w14:paraId="11C11A96"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2、基金财产清算小组组成：基金财产清算小组成员由基金管理人、基金托管人、注册会计师、律师以及中国证监会指定的人员组成。基金财产清算小组可以聘用必要的工作人员。</w:t>
      </w:r>
    </w:p>
    <w:p w:rsidR="005C6370" w:rsidP="00A24D29" w14:paraId="38259FD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3、基金财产清算小组职责：基金财产清算小组负责基金财产的保管、清理、估价、变现和分配。基金财产清算小组可以依法进行必要的民事活动。</w:t>
      </w:r>
    </w:p>
    <w:p w:rsidR="005C6370" w:rsidP="00A24D29" w14:paraId="1670FF0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4、基金财产清算程序：</w:t>
      </w:r>
    </w:p>
    <w:p w:rsidR="005C6370" w:rsidP="00A24D29" w14:paraId="07F46AD1"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（1）《基金合同》终止情形出现时，由基金财产清算小组统一接管基金；</w:t>
      </w:r>
    </w:p>
    <w:p w:rsidR="005C6370" w:rsidP="00A24D29" w14:paraId="46B27B0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（2）对基金财产和债权债务进行清理和确认；</w:t>
      </w:r>
    </w:p>
    <w:p w:rsidR="005C6370" w:rsidP="00A24D29" w14:paraId="4827016E"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（3）对基金财产进行估值和变现；</w:t>
      </w:r>
    </w:p>
    <w:p w:rsidR="005C6370" w:rsidP="00A24D29" w14:paraId="1B6EA7CA"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（4）制作清算报告；</w:t>
      </w:r>
    </w:p>
    <w:p w:rsidR="005C6370" w:rsidP="00A24D29" w14:paraId="7F27A72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（5）聘请会计师事务所对清算报告进行外部审计，聘请律师事务所对清算报告出具法律意见书；</w:t>
      </w:r>
    </w:p>
    <w:p w:rsidR="005C6370" w:rsidP="00A24D29" w14:paraId="2F447AE8"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（6）将清算报告报中国证监会备案并公告；</w:t>
      </w:r>
    </w:p>
    <w:p w:rsidR="005C6370" w:rsidP="00A24D29" w14:paraId="712BD3F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（7）对基金剩余财产进行分配。</w:t>
      </w:r>
    </w:p>
    <w:p w:rsidR="005C6370" w:rsidP="00A24D29" w14:paraId="396ED790"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5、基金财产清算的期限为6个月，但因本基金所持证券的流动性受到限制而不能及时变现的，清算期限相应顺延。</w:t>
      </w:r>
    </w:p>
    <w:p w:rsidR="005C6370" w:rsidP="00A24D29" w14:paraId="6C507179"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6、清算费用</w:t>
      </w:r>
    </w:p>
    <w:p w:rsidR="005C6370" w:rsidP="00A24D29" w14:paraId="651E17B4"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清算费用是指基金财产清算小组在进行基金清算过程中发生的所有合理费用，清算费用由基金财产清算小组优先从基金财产中支付。</w:t>
      </w:r>
    </w:p>
    <w:p w:rsidR="005C6370" w:rsidP="00A24D29" w14:paraId="4E805232"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7、基金财产清算剩余资产的分配</w:t>
      </w:r>
    </w:p>
    <w:p w:rsidR="005C6370" w:rsidP="00A24D29" w14:paraId="2BDE2108"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依据基金财产清算的分配方案，将基金财产清算后的全部剩余资产扣除基金财产清算费用、交纳所欠税款并清偿基金债务后，按基金份额持有人持有的基金份额比例进行分配。分配金额需加上返还基金份额持有人的销售服务费（如有）。</w:t>
      </w:r>
    </w:p>
    <w:p w:rsidR="005C6370" w:rsidP="00A24D29" w14:paraId="03A5F3B8"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8、基金财产清算的公告</w:t>
      </w:r>
    </w:p>
    <w:p w:rsidR="005C6370" w:rsidP="00A24D29" w14:paraId="10839C15"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5个工作日内由基金财产清算小组进行公告。</w:t>
      </w:r>
    </w:p>
    <w:p w:rsidR="005C6370" w:rsidP="00A24D29" w14:paraId="24079AFC"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9、基金财产清算账册及文件的保存</w:t>
      </w:r>
    </w:p>
    <w:p w:rsidR="005C6370" w:rsidP="00A24D29" w14:paraId="52D188B7" w14:textId="77777777">
      <w:pPr>
        <w:spacing w:line="360" w:lineRule="auto"/>
        <w:ind w:firstLine="420"/>
        <w:contextualSpacing/>
        <w:rPr>
          <w:rFonts w:ascii="宋体" w:hAnsi="Calibri"/>
          <w:bCs/>
          <w:szCs w:val="21"/>
          <w:lang w:eastAsia="zh-CN"/>
        </w:rPr>
      </w:pPr>
      <w:r>
        <w:rPr>
          <w:rFonts w:ascii="宋体" w:hAnsi="Calibri"/>
          <w:bCs/>
          <w:szCs w:val="21"/>
          <w:highlight w:val="white"/>
          <w:lang w:eastAsia="zh-CN"/>
        </w:rPr>
        <w:t>基金财产清算账册及有关文件由基金托管人保存20年以上。</w:t>
      </w:r>
    </w:p>
    <w:p w:rsidR="006A5596" w:rsidP="00A24D29" w14:paraId="4B76C625" w14:textId="67AD9D19">
      <w:pPr>
        <w:spacing w:line="360" w:lineRule="auto"/>
        <w:ind w:firstLine="420"/>
        <w:contextualSpacing/>
        <w:rPr>
          <w:rFonts w:ascii="宋体" w:hAnsi="Calibri"/>
          <w:bCs/>
          <w:szCs w:val="21"/>
          <w:highlight w:val="white"/>
          <w:lang w:eastAsia="zh-CN"/>
        </w:rPr>
      </w:pPr>
      <w:r>
        <w:rPr>
          <w:rFonts w:ascii="宋体" w:hAnsi="Calibri"/>
          <w:bCs/>
          <w:szCs w:val="21"/>
          <w:highlight w:val="white"/>
          <w:lang w:eastAsia="zh-CN"/>
        </w:rPr>
        <w:t xml:space="preserve"> </w:t>
      </w:r>
    </w:p>
    <w:p w:rsidR="006A5596" w14:paraId="0A70B448" w14:textId="77777777">
      <w:pPr>
        <w:widowControl/>
        <w:jc w:val="left"/>
        <w:rPr>
          <w:rFonts w:ascii="宋体" w:hAnsi="Calibri"/>
          <w:bCs/>
          <w:szCs w:val="21"/>
          <w:highlight w:val="white"/>
          <w:lang w:eastAsia="zh-CN"/>
        </w:rPr>
      </w:pPr>
      <w:r>
        <w:rPr>
          <w:rFonts w:ascii="宋体" w:hAnsi="Calibri"/>
          <w:bCs/>
          <w:szCs w:val="21"/>
          <w:highlight w:val="white"/>
          <w:lang w:eastAsia="zh-CN"/>
        </w:rPr>
        <w:br w:type="page"/>
      </w:r>
    </w:p>
    <w:p w:rsidR="005C6370" w:rsidP="00A24D29" w14:paraId="269C6856" w14:textId="77777777">
      <w:pPr>
        <w:pStyle w:val="Heading1"/>
        <w:spacing w:before="317" w:after="317" w:line="360" w:lineRule="auto"/>
        <w:ind w:firstLine="420"/>
        <w:contextualSpacing/>
        <w:rPr>
          <w:rFonts w:ascii="宋体" w:eastAsia="宋体" w:hAnsi="Calibri"/>
          <w:sz w:val="30"/>
          <w:lang w:eastAsia="zh-CN"/>
        </w:rPr>
      </w:pPr>
      <w:bookmarkStart w:id="1868" w:name="_Toc121776989"/>
      <w:r>
        <w:rPr>
          <w:rFonts w:ascii="宋体" w:eastAsia="宋体" w:hAnsi="Calibri" w:hint="eastAsia"/>
          <w:sz w:val="30"/>
          <w:highlight w:val="white"/>
          <w:lang w:eastAsia="zh-CN"/>
        </w:rPr>
        <w:t>第二</w:t>
      </w:r>
      <w:bookmarkStart w:id="1869" w:name="_Toc332373591"/>
      <w:r>
        <w:rPr>
          <w:rFonts w:ascii="宋体" w:eastAsia="宋体" w:hAnsi="Calibri" w:hint="eastAsia"/>
          <w:sz w:val="30"/>
          <w:highlight w:val="white"/>
          <w:lang w:eastAsia="zh-CN"/>
        </w:rPr>
        <w:t>十六</w:t>
      </w:r>
      <w:r>
        <w:rPr>
          <w:rFonts w:ascii="宋体" w:eastAsia="宋体" w:hAnsi="Calibri"/>
          <w:sz w:val="30"/>
          <w:highlight w:val="white"/>
          <w:lang w:eastAsia="zh-CN"/>
        </w:rPr>
        <w:t>部分</w:t>
      </w:r>
      <w:r>
        <w:rPr>
          <w:rFonts w:ascii="宋体" w:eastAsia="宋体" w:hAnsi="Calibri" w:hint="eastAsia"/>
          <w:sz w:val="30"/>
          <w:highlight w:val="white"/>
          <w:lang w:eastAsia="zh-CN"/>
        </w:rPr>
        <w:t xml:space="preserve"> 对基金份额持有人的服务</w:t>
      </w:r>
      <w:bookmarkEnd w:id="1868"/>
      <w:bookmarkEnd w:id="1869"/>
    </w:p>
    <w:p w:rsidR="005C6370" w:rsidP="00A24D29" w14:paraId="595B7E7C" w14:textId="77777777">
      <w:pPr>
        <w:pStyle w:val="BodyTextFirstIndent"/>
        <w:spacing w:after="0" w:line="360" w:lineRule="auto"/>
        <w:contextualSpacing/>
        <w:rPr>
          <w:rFonts w:ascii="宋体" w:hAnsi="Calibri"/>
          <w:lang w:eastAsia="zh-CN"/>
        </w:rPr>
      </w:pPr>
      <w:r>
        <w:rPr>
          <w:rFonts w:ascii="宋体" w:hAnsi="Calibri" w:hint="eastAsia"/>
          <w:highlight w:val="white"/>
          <w:lang w:eastAsia="zh-CN"/>
        </w:rPr>
        <w:t>基金管理人承诺为基金份额持有人提供一系列的服务。以下是主要的服务内容，基金管理人根据基金份额持有人的需要和市场的变化，有权增加、修改这些服务项目：</w:t>
      </w:r>
    </w:p>
    <w:p w:rsidR="005C6370" w:rsidP="00A24D29" w14:paraId="261053AF" w14:textId="77777777">
      <w:pPr>
        <w:pStyle w:val="BodyTextFirstIndent"/>
        <w:spacing w:after="0" w:line="360" w:lineRule="auto"/>
        <w:contextualSpacing/>
        <w:rPr>
          <w:rFonts w:ascii="宋体" w:hAnsi="Calibri"/>
          <w:lang w:eastAsia="zh-CN"/>
        </w:rPr>
      </w:pPr>
      <w:r>
        <w:rPr>
          <w:rFonts w:ascii="宋体" w:hAnsi="Calibri" w:hint="eastAsia"/>
          <w:highlight w:val="white"/>
          <w:lang w:eastAsia="zh-CN"/>
        </w:rPr>
        <w:t>一、基金份额持有人投资交易确认服务</w:t>
      </w:r>
    </w:p>
    <w:p w:rsidR="005C6370" w:rsidP="00A24D29" w14:paraId="5B6724FB" w14:textId="77777777">
      <w:pPr>
        <w:pStyle w:val="BodyTextFirstIndent"/>
        <w:spacing w:after="0" w:line="360" w:lineRule="auto"/>
        <w:contextualSpacing/>
        <w:rPr>
          <w:rFonts w:ascii="宋体" w:hAnsi="Calibri"/>
          <w:lang w:eastAsia="zh-CN"/>
        </w:rPr>
      </w:pPr>
      <w:r>
        <w:rPr>
          <w:rFonts w:ascii="宋体" w:hAnsi="Calibri" w:hint="eastAsia"/>
          <w:highlight w:val="white"/>
          <w:lang w:eastAsia="zh-CN"/>
        </w:rPr>
        <w:t>登记机构保留基金份额持有人名册上列明的所有基金份额持有人的基金交易记录。本公司根据在直销网点进行交易的投资人的要求提供成交确认单。非直销销售机构基金份额持有人投资交易确认服务请参照各销售机构实际业务流程及规定。</w:t>
      </w:r>
    </w:p>
    <w:p w:rsidR="005C6370" w:rsidP="00A24D29" w14:paraId="1F02AB2B" w14:textId="77777777">
      <w:pPr>
        <w:pStyle w:val="BodyTextFirstIndent"/>
        <w:spacing w:after="0" w:line="360" w:lineRule="auto"/>
        <w:contextualSpacing/>
        <w:rPr>
          <w:rFonts w:ascii="宋体" w:hAnsi="宋体" w:cs="宋体" w:hint="eastAsia"/>
          <w:lang w:eastAsia="zh-CN"/>
        </w:rPr>
      </w:pPr>
      <w:r>
        <w:rPr>
          <w:rFonts w:ascii="宋体" w:hAnsi="宋体" w:cs="宋体" w:hint="eastAsia"/>
          <w:highlight w:val="white"/>
          <w:lang w:eastAsia="zh-CN"/>
        </w:rPr>
        <w:t>二、基金份额持有人交易记录查询服务</w:t>
      </w:r>
    </w:p>
    <w:p w:rsidR="005C6370" w:rsidP="00A24D29" w14:paraId="446D5F5F" w14:textId="77777777">
      <w:pPr>
        <w:pStyle w:val="BodyTextFirstIndent"/>
        <w:spacing w:after="0" w:line="360" w:lineRule="auto"/>
        <w:contextualSpacing/>
        <w:rPr>
          <w:rFonts w:ascii="宋体" w:hAnsi="宋体" w:cs="宋体" w:hint="eastAsia"/>
          <w:lang w:eastAsia="zh-CN"/>
        </w:rPr>
      </w:pPr>
      <w:r>
        <w:rPr>
          <w:rFonts w:ascii="宋体" w:hAnsi="宋体" w:cs="宋体" w:hint="eastAsia"/>
          <w:highlight w:val="white"/>
          <w:lang w:eastAsia="zh-CN"/>
        </w:rPr>
        <w:t>本基金份额持有人可通过基金管理人的客户服务中心、微信小程序“易方达易服务”查询历史交易记录。</w:t>
      </w:r>
    </w:p>
    <w:p w:rsidR="005C6370" w:rsidP="00A24D29" w14:paraId="32F095AE" w14:textId="77777777">
      <w:pPr>
        <w:pStyle w:val="BodyTextFirstIndent"/>
        <w:spacing w:after="0" w:line="360" w:lineRule="auto"/>
        <w:contextualSpacing/>
        <w:rPr>
          <w:rFonts w:ascii="宋体" w:hAnsi="宋体" w:cs="宋体" w:hint="eastAsia"/>
          <w:lang w:eastAsia="zh-CN"/>
        </w:rPr>
      </w:pPr>
      <w:r>
        <w:rPr>
          <w:rFonts w:ascii="宋体" w:hAnsi="宋体" w:cs="宋体" w:hint="eastAsia"/>
          <w:highlight w:val="white"/>
          <w:lang w:eastAsia="zh-CN"/>
        </w:rPr>
        <w:t>三、基金份额持有人的对账单服务</w:t>
      </w:r>
    </w:p>
    <w:p w:rsidR="005C6370" w:rsidP="00A24D29" w14:paraId="52AB09B4" w14:textId="77777777">
      <w:pPr>
        <w:pStyle w:val="BodyTextFirstIndent"/>
        <w:spacing w:after="0" w:line="360" w:lineRule="auto"/>
        <w:contextualSpacing/>
        <w:rPr>
          <w:rFonts w:ascii="宋体" w:hAnsi="宋体" w:cs="宋体" w:hint="eastAsia"/>
        </w:rPr>
      </w:pPr>
      <w:r>
        <w:rPr>
          <w:rFonts w:ascii="宋体" w:hAnsi="宋体" w:cs="宋体" w:hint="eastAsia"/>
          <w:highlight w:val="white"/>
        </w:rPr>
        <w:t>1、基金份额持有人可登录本公司网站</w:t>
      </w:r>
      <w:r>
        <w:rPr>
          <w:rFonts w:ascii="宋体" w:hAnsi="宋体" w:cs="宋体" w:hint="eastAsia"/>
          <w:szCs w:val="21"/>
          <w:highlight w:val="white"/>
        </w:rPr>
        <w:t>（www.efunds.com.cn）、微信小程序</w:t>
      </w:r>
      <w:r>
        <w:rPr>
          <w:rFonts w:ascii="宋体" w:hAnsi="宋体" w:cs="宋体" w:hint="eastAsia"/>
          <w:highlight w:val="white"/>
        </w:rPr>
        <w:t>“易方达易服务”查阅对账单。</w:t>
      </w:r>
    </w:p>
    <w:p w:rsidR="005C6370" w:rsidP="00A24D29" w14:paraId="06A021E6" w14:textId="77777777">
      <w:pPr>
        <w:pStyle w:val="BodyTextFirstIndent"/>
        <w:spacing w:after="0" w:line="360" w:lineRule="auto"/>
        <w:contextualSpacing/>
        <w:rPr>
          <w:rFonts w:ascii="宋体" w:hAnsi="Calibri"/>
          <w:lang w:eastAsia="zh-CN"/>
        </w:rPr>
      </w:pPr>
      <w:r>
        <w:rPr>
          <w:rFonts w:ascii="宋体" w:hAnsi="宋体" w:cs="宋体"/>
          <w:highlight w:val="white"/>
          <w:lang w:eastAsia="zh-CN"/>
        </w:rPr>
        <w:t>2、</w:t>
      </w:r>
      <w:r>
        <w:rPr>
          <w:rFonts w:ascii="宋体" w:hAnsi="宋体" w:cs="宋体" w:hint="eastAsia"/>
          <w:highlight w:val="white"/>
          <w:lang w:eastAsia="zh-CN"/>
        </w:rPr>
        <w:t>本公司每年度以短信、APP、公众号、小程序或其他形式等任意一种形式向通过易方达直销系统持有本公司基金份额的持有人提供基金保有情况信息，基金份额持有人也可以向本公司定制短信等形式的月度对账单。</w:t>
      </w:r>
    </w:p>
    <w:p w:rsidR="005C6370" w:rsidP="00A24D29" w14:paraId="4841306C" w14:textId="77777777">
      <w:pPr>
        <w:spacing w:line="360" w:lineRule="auto"/>
        <w:ind w:firstLine="424"/>
        <w:contextualSpacing/>
        <w:rPr>
          <w:rFonts w:ascii="宋体" w:hAnsi="Calibri"/>
          <w:sz w:val="30"/>
          <w:lang w:eastAsia="zh-CN"/>
        </w:rPr>
      </w:pPr>
      <w:r>
        <w:rPr>
          <w:rFonts w:ascii="宋体" w:hAnsi="Calibri" w:hint="eastAsia"/>
          <w:highlight w:val="white"/>
          <w:lang w:eastAsia="zh-CN"/>
        </w:rPr>
        <w:t>具体查阅和定制账单的方法可参见本公司网站或拨打客服热线咨询。</w:t>
      </w:r>
    </w:p>
    <w:p w:rsidR="005C6370" w:rsidP="00A24D29" w14:paraId="07EB7E19" w14:textId="77777777">
      <w:pPr>
        <w:pStyle w:val="BodyTextFirstIndent"/>
        <w:spacing w:after="0" w:line="360" w:lineRule="auto"/>
        <w:contextualSpacing/>
        <w:rPr>
          <w:rFonts w:ascii="宋体" w:hAnsi="Calibri"/>
          <w:lang w:eastAsia="zh-CN"/>
        </w:rPr>
      </w:pPr>
      <w:r>
        <w:rPr>
          <w:rFonts w:ascii="宋体" w:hAnsi="Calibri" w:hint="eastAsia"/>
          <w:highlight w:val="white"/>
          <w:lang w:eastAsia="zh-CN"/>
        </w:rPr>
        <w:t>四、资讯服务</w:t>
      </w:r>
    </w:p>
    <w:p w:rsidR="005C6370" w:rsidP="00A24D29" w14:paraId="705136E8" w14:textId="77777777">
      <w:pPr>
        <w:spacing w:line="360" w:lineRule="auto"/>
        <w:ind w:firstLine="424"/>
        <w:contextualSpacing/>
        <w:rPr>
          <w:rFonts w:ascii="宋体" w:hAnsi="Calibri"/>
          <w:lang w:eastAsia="zh-CN"/>
        </w:rPr>
      </w:pPr>
      <w:r>
        <w:rPr>
          <w:rFonts w:ascii="宋体" w:hAnsi="Calibri"/>
          <w:highlight w:val="white"/>
          <w:lang w:eastAsia="zh-CN"/>
        </w:rPr>
        <w:t>1、客户服务电话</w:t>
      </w:r>
    </w:p>
    <w:p w:rsidR="005C6370" w:rsidP="00A24D29" w14:paraId="76B45A77" w14:textId="77777777">
      <w:pPr>
        <w:spacing w:line="360" w:lineRule="auto"/>
        <w:ind w:firstLine="424"/>
        <w:contextualSpacing/>
        <w:rPr>
          <w:rFonts w:ascii="宋体" w:hAnsi="Calibri"/>
          <w:lang w:eastAsia="zh-CN"/>
        </w:rPr>
      </w:pPr>
      <w:r>
        <w:rPr>
          <w:rFonts w:ascii="宋体" w:hAnsi="Calibri" w:hint="eastAsia"/>
          <w:highlight w:val="white"/>
          <w:lang w:eastAsia="zh-CN"/>
        </w:rPr>
        <w:t>投资者如果想了解基金产品、服务等信息，或反馈投资过程中需要投诉与建议的情况，可拨打如下电话：</w:t>
      </w:r>
      <w:r>
        <w:rPr>
          <w:rFonts w:ascii="宋体" w:hAnsi="Calibri"/>
          <w:highlight w:val="white"/>
          <w:lang w:eastAsia="zh-CN"/>
        </w:rPr>
        <w:t>4008818088。</w:t>
      </w:r>
      <w:r>
        <w:rPr>
          <w:rFonts w:ascii="宋体" w:hAnsi="Calibri" w:hint="eastAsia"/>
          <w:highlight w:val="white"/>
          <w:lang w:eastAsia="zh-CN"/>
        </w:rPr>
        <w:t>投资者如果认为自己不能准确理解本基金《招募说明书》《基金合同》的具体内容，也可拨打上述电话详询。</w:t>
      </w:r>
    </w:p>
    <w:p w:rsidR="005C6370" w:rsidP="00A24D29" w14:paraId="7FFF6E8E" w14:textId="77777777">
      <w:pPr>
        <w:spacing w:line="360" w:lineRule="auto"/>
        <w:ind w:firstLine="424"/>
        <w:contextualSpacing/>
        <w:rPr>
          <w:rFonts w:ascii="宋体" w:hAnsi="Calibri"/>
        </w:rPr>
      </w:pPr>
      <w:r>
        <w:rPr>
          <w:rFonts w:ascii="宋体" w:hAnsi="Calibri"/>
          <w:highlight w:val="white"/>
        </w:rPr>
        <w:t>2、互联网站及电子信箱</w:t>
      </w:r>
    </w:p>
    <w:p w:rsidR="005C6370" w:rsidP="00A24D29" w14:paraId="05412A03" w14:textId="77777777">
      <w:pPr>
        <w:spacing w:line="360" w:lineRule="auto"/>
        <w:ind w:firstLine="424"/>
        <w:contextualSpacing/>
        <w:rPr>
          <w:rFonts w:ascii="宋体" w:hAnsi="Calibri"/>
        </w:rPr>
      </w:pPr>
      <w:r>
        <w:rPr>
          <w:rFonts w:ascii="宋体" w:hAnsi="Calibri" w:hint="eastAsia"/>
          <w:highlight w:val="white"/>
        </w:rPr>
        <w:t>网址：</w:t>
      </w:r>
      <w:r>
        <w:rPr>
          <w:rFonts w:ascii="宋体" w:hAnsi="Calibri"/>
          <w:highlight w:val="white"/>
        </w:rPr>
        <w:t>www.efunds.com.cn</w:t>
      </w:r>
    </w:p>
    <w:p w:rsidR="005C6370" w:rsidP="00A24D29" w14:paraId="2FF56246" w14:textId="77777777">
      <w:pPr>
        <w:spacing w:line="360" w:lineRule="auto"/>
        <w:ind w:firstLine="424"/>
        <w:contextualSpacing/>
        <w:rPr>
          <w:rFonts w:ascii="宋体" w:hAnsi="Calibri"/>
        </w:rPr>
      </w:pPr>
      <w:r>
        <w:rPr>
          <w:rFonts w:ascii="宋体" w:hAnsi="Calibri" w:hint="eastAsia"/>
          <w:highlight w:val="white"/>
        </w:rPr>
        <w:t>电子信箱：</w:t>
      </w:r>
      <w:r>
        <w:rPr>
          <w:rFonts w:ascii="宋体" w:hAnsi="Calibri"/>
          <w:highlight w:val="white"/>
        </w:rPr>
        <w:t xml:space="preserve">service@efunds.com.cn </w:t>
      </w:r>
    </w:p>
    <w:p w:rsidR="005C6370" w:rsidP="00A24D29" w14:paraId="73C7DF35" w14:textId="77777777">
      <w:pPr>
        <w:pStyle w:val="Heading1"/>
        <w:pageBreakBefore/>
        <w:spacing w:before="317" w:after="317" w:line="360" w:lineRule="auto"/>
        <w:ind w:firstLine="2550"/>
        <w:contextualSpacing/>
        <w:jc w:val="both"/>
        <w:rPr>
          <w:rFonts w:ascii="宋体" w:eastAsia="宋体" w:hAnsi="Calibri"/>
          <w:lang w:eastAsia="zh-CN"/>
        </w:rPr>
      </w:pPr>
      <w:bookmarkStart w:id="1870" w:name="_Toc332373592"/>
      <w:bookmarkStart w:id="1871" w:name="_Toc121776990"/>
      <w:r>
        <w:rPr>
          <w:rFonts w:ascii="宋体" w:eastAsia="宋体" w:hAnsi="Calibri" w:hint="eastAsia"/>
          <w:sz w:val="30"/>
          <w:highlight w:val="white"/>
          <w:lang w:eastAsia="zh-CN"/>
        </w:rPr>
        <w:t>第二十七部分 其他应披露事项</w:t>
      </w:r>
      <w:bookmarkEnd w:id="1870"/>
      <w:bookmarkEnd w:id="1871"/>
    </w:p>
    <w:p w:rsidR="005C6370" w:rsidP="00A24D29" w14:paraId="55CAF4E8" w14:textId="77777777">
      <w:pPr>
        <w:spacing w:line="400" w:lineRule="exact"/>
        <w:ind w:firstLine="420"/>
        <w:contextualSpacing/>
        <w:rPr>
          <w:rFonts w:ascii="宋体" w:hAnsi="Calibri"/>
          <w:sz w:val="30"/>
          <w:lang w:eastAsia="zh-CN"/>
        </w:rPr>
      </w:pPr>
      <w:r>
        <w:rPr>
          <w:rFonts w:ascii="宋体" w:hAnsi="Calibri" w:hint="eastAsia"/>
          <w:highlight w:val="white"/>
          <w:lang w:eastAsia="zh-CN"/>
        </w:rPr>
        <w:t>无</w:t>
      </w:r>
    </w:p>
    <w:p w:rsidR="005C6370" w:rsidP="00A24D29" w14:paraId="66223D79" w14:textId="77777777">
      <w:pPr>
        <w:contextualSpacing/>
        <w:rPr>
          <w:rFonts w:ascii="宋体" w:hAnsi="Calibri"/>
          <w:lang w:eastAsia="zh-CN"/>
        </w:rPr>
      </w:pPr>
    </w:p>
    <w:p w:rsidR="005C6370" w:rsidP="00A24D29" w14:paraId="4A9D38F4" w14:textId="77777777">
      <w:pPr>
        <w:contextualSpacing/>
        <w:rPr>
          <w:rFonts w:ascii="宋体" w:hAnsi="Calibri"/>
          <w:lang w:eastAsia="zh-CN"/>
        </w:rPr>
      </w:pPr>
    </w:p>
    <w:p w:rsidR="005C6370" w:rsidP="00A24D29" w14:paraId="0C9EB4FF" w14:textId="77777777">
      <w:pPr>
        <w:contextualSpacing/>
        <w:rPr>
          <w:rFonts w:ascii="宋体" w:hAnsi="Calibri"/>
          <w:lang w:eastAsia="zh-CN"/>
        </w:rPr>
      </w:pPr>
    </w:p>
    <w:p w:rsidR="005C6370" w:rsidP="00A24D29" w14:paraId="3F9251A2" w14:textId="77777777">
      <w:pPr>
        <w:contextualSpacing/>
        <w:rPr>
          <w:rFonts w:ascii="宋体" w:hAnsi="Calibri"/>
          <w:lang w:eastAsia="zh-CN"/>
        </w:rPr>
      </w:pPr>
    </w:p>
    <w:p w:rsidR="005C6370" w:rsidP="00A24D29" w14:paraId="6B529A20" w14:textId="77777777">
      <w:pPr>
        <w:contextualSpacing/>
        <w:rPr>
          <w:rFonts w:ascii="宋体" w:hAnsi="Calibri"/>
          <w:lang w:eastAsia="zh-CN"/>
        </w:rPr>
      </w:pPr>
    </w:p>
    <w:p w:rsidR="005C6370" w:rsidP="00A24D29" w14:paraId="5AEFBB81" w14:textId="77777777">
      <w:pPr>
        <w:contextualSpacing/>
        <w:rPr>
          <w:rFonts w:ascii="宋体" w:hAnsi="Calibri"/>
          <w:lang w:eastAsia="zh-CN"/>
        </w:rPr>
      </w:pPr>
    </w:p>
    <w:p w:rsidR="005C6370" w:rsidP="00A24D29" w14:paraId="39F923B2" w14:textId="77777777">
      <w:pPr>
        <w:contextualSpacing/>
        <w:rPr>
          <w:rFonts w:ascii="宋体" w:hAnsi="Calibri"/>
          <w:lang w:eastAsia="zh-CN"/>
        </w:rPr>
      </w:pPr>
    </w:p>
    <w:p w:rsidR="005C6370" w:rsidP="00A24D29" w14:paraId="25DB49B8" w14:textId="77777777">
      <w:pPr>
        <w:contextualSpacing/>
        <w:rPr>
          <w:rFonts w:ascii="宋体" w:hAnsi="Calibri"/>
          <w:lang w:eastAsia="zh-CN"/>
        </w:rPr>
      </w:pPr>
    </w:p>
    <w:p w:rsidR="005C6370" w:rsidP="00A24D29" w14:paraId="68A7DA74" w14:textId="77777777">
      <w:pPr>
        <w:contextualSpacing/>
        <w:rPr>
          <w:rFonts w:ascii="宋体" w:hAnsi="Calibri"/>
          <w:lang w:eastAsia="zh-CN"/>
        </w:rPr>
      </w:pPr>
    </w:p>
    <w:p w:rsidR="005C6370" w:rsidP="00A24D29" w14:paraId="0A748057" w14:textId="77777777">
      <w:pPr>
        <w:pStyle w:val="NormalIndent"/>
        <w:contextualSpacing/>
        <w:rPr>
          <w:rFonts w:ascii="宋体" w:hAnsi="Calibri"/>
          <w:lang w:eastAsia="zh-CN"/>
        </w:rPr>
      </w:pPr>
    </w:p>
    <w:p w:rsidR="005C6370" w:rsidP="00A24D29" w14:paraId="326C482C" w14:textId="77777777">
      <w:pPr>
        <w:widowControl/>
        <w:contextualSpacing/>
        <w:jc w:val="left"/>
        <w:rPr>
          <w:rFonts w:ascii="宋体" w:hAnsi="Calibri"/>
          <w:sz w:val="30"/>
          <w:szCs w:val="32"/>
          <w:lang w:eastAsia="zh-CN"/>
        </w:rPr>
      </w:pPr>
      <w:r>
        <w:rPr>
          <w:rFonts w:ascii="宋体" w:hAnsi="Calibri"/>
          <w:sz w:val="30"/>
          <w:highlight w:val="white"/>
          <w:lang w:eastAsia="zh-CN"/>
        </w:rPr>
        <w:br w:type="page"/>
      </w:r>
    </w:p>
    <w:p w:rsidR="005C6370" w:rsidP="00A24D29" w14:paraId="7F198D28" w14:textId="77777777">
      <w:pPr>
        <w:pStyle w:val="Heading1"/>
        <w:spacing w:before="317" w:after="317" w:line="360" w:lineRule="auto"/>
        <w:ind w:firstLine="600"/>
        <w:contextualSpacing/>
        <w:rPr>
          <w:rFonts w:ascii="宋体" w:eastAsia="宋体" w:hAnsi="Calibri"/>
          <w:bCs/>
          <w:sz w:val="20"/>
          <w:szCs w:val="20"/>
          <w:lang w:eastAsia="zh-CN"/>
        </w:rPr>
      </w:pPr>
      <w:bookmarkStart w:id="1872" w:name="_Toc121776991"/>
      <w:r>
        <w:rPr>
          <w:rFonts w:ascii="宋体" w:eastAsia="宋体" w:hAnsi="Calibri" w:hint="eastAsia"/>
          <w:sz w:val="30"/>
          <w:highlight w:val="white"/>
          <w:lang w:eastAsia="zh-CN"/>
        </w:rPr>
        <w:t>第二</w:t>
      </w:r>
      <w:bookmarkStart w:id="1873" w:name="_Toc332373593"/>
      <w:r>
        <w:rPr>
          <w:rFonts w:ascii="宋体" w:eastAsia="宋体" w:hAnsi="Calibri" w:hint="eastAsia"/>
          <w:sz w:val="30"/>
          <w:highlight w:val="white"/>
          <w:lang w:eastAsia="zh-CN"/>
        </w:rPr>
        <w:t>十八部分 招募说明书的存放及查阅方式</w:t>
      </w:r>
      <w:bookmarkEnd w:id="1872"/>
      <w:bookmarkEnd w:id="1873"/>
    </w:p>
    <w:p w:rsidR="005C6370" w:rsidP="00A24D29" w14:paraId="12493B2F" w14:textId="77777777">
      <w:pPr>
        <w:spacing w:line="360" w:lineRule="auto"/>
        <w:ind w:firstLine="420"/>
        <w:contextualSpacing/>
        <w:rPr>
          <w:rFonts w:ascii="宋体" w:hAnsi="Calibri"/>
          <w:lang w:eastAsia="zh-CN"/>
        </w:rPr>
      </w:pPr>
      <w:r>
        <w:rPr>
          <w:rFonts w:ascii="宋体" w:hAnsi="Calibri" w:hint="eastAsia"/>
          <w:highlight w:val="white"/>
          <w:lang w:eastAsia="zh-CN"/>
        </w:rPr>
        <w:t>本招募说明书存放在基金管理人、基金托管人及其他基金销售机构处，投资者可在营业时间免费查阅，也可按工本费购买复印件。</w:t>
      </w:r>
    </w:p>
    <w:p w:rsidR="005C6370" w:rsidP="00A24D29" w14:paraId="1E703319" w14:textId="77777777">
      <w:pPr>
        <w:spacing w:line="360" w:lineRule="auto"/>
        <w:ind w:firstLine="420"/>
        <w:contextualSpacing/>
        <w:rPr>
          <w:rFonts w:ascii="宋体" w:hAnsi="Calibri"/>
          <w:lang w:eastAsia="zh-CN"/>
        </w:rPr>
      </w:pPr>
      <w:r>
        <w:rPr>
          <w:rFonts w:ascii="宋体" w:hAnsi="Calibri" w:hint="eastAsia"/>
          <w:highlight w:val="white"/>
          <w:lang w:eastAsia="zh-CN"/>
        </w:rPr>
        <w:t>基金管理人和基金托管人保证文本的内容与公告的内容完全一致。</w:t>
      </w:r>
    </w:p>
    <w:p w:rsidR="005C6370" w:rsidP="00A24D29" w14:paraId="51650253" w14:textId="77777777">
      <w:pPr>
        <w:pStyle w:val="Heading1"/>
        <w:spacing w:before="317" w:after="317" w:line="360" w:lineRule="auto"/>
        <w:ind w:firstLine="600"/>
        <w:contextualSpacing/>
        <w:rPr>
          <w:rFonts w:ascii="宋体" w:eastAsia="宋体" w:hAnsi="Calibri"/>
          <w:bCs/>
          <w:sz w:val="20"/>
          <w:szCs w:val="20"/>
          <w:lang w:eastAsia="zh-CN"/>
        </w:rPr>
      </w:pPr>
      <w:r>
        <w:rPr>
          <w:rFonts w:ascii="宋体" w:eastAsia="宋体" w:hAnsi="Calibri"/>
          <w:sz w:val="30"/>
          <w:highlight w:val="white"/>
          <w:lang w:eastAsia="zh-CN"/>
        </w:rPr>
        <w:br w:type="column"/>
      </w:r>
      <w:bookmarkStart w:id="1874" w:name="_Toc121776992"/>
      <w:r>
        <w:rPr>
          <w:rFonts w:ascii="宋体" w:eastAsia="宋体" w:hAnsi="Calibri"/>
          <w:sz w:val="30"/>
          <w:highlight w:val="white"/>
          <w:lang w:eastAsia="zh-CN"/>
        </w:rPr>
        <w:t>第</w:t>
      </w:r>
      <w:r>
        <w:rPr>
          <w:rFonts w:ascii="宋体" w:eastAsia="宋体" w:hAnsi="Calibri" w:hint="eastAsia"/>
          <w:sz w:val="30"/>
          <w:highlight w:val="white"/>
          <w:lang w:eastAsia="zh-CN"/>
        </w:rPr>
        <w:t>二</w:t>
      </w:r>
      <w:bookmarkStart w:id="1875" w:name="_Toc332373594"/>
      <w:r>
        <w:rPr>
          <w:rFonts w:ascii="宋体" w:eastAsia="宋体" w:hAnsi="Calibri" w:hint="eastAsia"/>
          <w:sz w:val="30"/>
          <w:highlight w:val="white"/>
          <w:lang w:eastAsia="zh-CN"/>
        </w:rPr>
        <w:t>十九部分 备查文件</w:t>
      </w:r>
      <w:bookmarkEnd w:id="1874"/>
      <w:bookmarkEnd w:id="1875"/>
    </w:p>
    <w:p w:rsidR="005C6370" w:rsidP="00A24D29" w14:paraId="2B17057E" w14:textId="77777777">
      <w:pPr>
        <w:spacing w:line="360" w:lineRule="auto"/>
        <w:ind w:firstLine="420"/>
        <w:contextualSpacing/>
        <w:rPr>
          <w:rFonts w:ascii="宋体" w:hAnsi="Calibri" w:cs="宋体"/>
          <w:lang w:eastAsia="zh-CN"/>
        </w:rPr>
      </w:pPr>
      <w:r>
        <w:rPr>
          <w:rFonts w:ascii="宋体" w:hAnsi="Calibri" w:cs="宋体" w:hint="eastAsia"/>
          <w:highlight w:val="white"/>
          <w:lang w:eastAsia="zh-CN"/>
        </w:rPr>
        <w:t>1.中国证监会准予</w:t>
      </w:r>
      <w:r>
        <w:rPr>
          <w:rFonts w:ascii="宋体" w:hAnsi="Calibri" w:cs="宋体" w:hint="eastAsia"/>
          <w:lang w:eastAsia="zh-CN"/>
        </w:rPr>
        <w:t>易方达如意盈越3个月持有期混合型基金中基金（FOF）</w:t>
      </w:r>
      <w:r>
        <w:rPr>
          <w:rFonts w:ascii="宋体" w:hAnsi="Calibri" w:cs="宋体" w:hint="eastAsia"/>
          <w:highlight w:val="white"/>
          <w:lang w:eastAsia="zh-CN"/>
        </w:rPr>
        <w:t>注册的文件；</w:t>
      </w:r>
    </w:p>
    <w:p w:rsidR="005C6370" w:rsidP="00A24D29" w14:paraId="2D3A765C" w14:textId="77777777">
      <w:pPr>
        <w:spacing w:line="360" w:lineRule="auto"/>
        <w:ind w:firstLine="420"/>
        <w:contextualSpacing/>
        <w:rPr>
          <w:rFonts w:ascii="宋体" w:hAnsi="Calibri" w:cs="宋体"/>
          <w:lang w:eastAsia="zh-CN"/>
        </w:rPr>
      </w:pPr>
      <w:r>
        <w:rPr>
          <w:rFonts w:ascii="宋体" w:hAnsi="Calibri" w:cs="宋体" w:hint="eastAsia"/>
          <w:highlight w:val="white"/>
          <w:lang w:eastAsia="zh-CN"/>
        </w:rPr>
        <w:t>2.《</w:t>
      </w:r>
      <w:r>
        <w:rPr>
          <w:rFonts w:ascii="宋体" w:hAnsi="Calibri" w:cs="宋体" w:hint="eastAsia"/>
          <w:lang w:eastAsia="zh-CN"/>
        </w:rPr>
        <w:t>易方达如意盈越3个月持有期混合型基金中基金（FOF）</w:t>
      </w:r>
      <w:r>
        <w:rPr>
          <w:rFonts w:ascii="宋体" w:hAnsi="Calibri" w:cs="宋体" w:hint="eastAsia"/>
          <w:highlight w:val="white"/>
          <w:lang w:eastAsia="zh-CN"/>
        </w:rPr>
        <w:t>基金合同》；</w:t>
      </w:r>
    </w:p>
    <w:p w:rsidR="005C6370" w:rsidP="00A24D29" w14:paraId="36DB7B1E" w14:textId="77777777">
      <w:pPr>
        <w:spacing w:line="360" w:lineRule="auto"/>
        <w:ind w:firstLine="420"/>
        <w:contextualSpacing/>
        <w:rPr>
          <w:rFonts w:ascii="宋体" w:hAnsi="Calibri" w:cs="宋体"/>
          <w:lang w:eastAsia="zh-CN"/>
        </w:rPr>
      </w:pPr>
      <w:r>
        <w:rPr>
          <w:rFonts w:ascii="宋体" w:hAnsi="Calibri" w:cs="宋体" w:hint="eastAsia"/>
          <w:highlight w:val="white"/>
          <w:lang w:eastAsia="zh-CN"/>
        </w:rPr>
        <w:t>3.《</w:t>
      </w:r>
      <w:r>
        <w:rPr>
          <w:rFonts w:ascii="宋体" w:hAnsi="Calibri" w:cs="宋体" w:hint="eastAsia"/>
          <w:lang w:eastAsia="zh-CN"/>
        </w:rPr>
        <w:t>易方达如意盈越3个月持有期混合型基金中基金（FOF）</w:t>
      </w:r>
      <w:r>
        <w:rPr>
          <w:rFonts w:ascii="宋体" w:hAnsi="Calibri" w:cs="宋体" w:hint="eastAsia"/>
          <w:highlight w:val="white"/>
          <w:lang w:eastAsia="zh-CN"/>
        </w:rPr>
        <w:t>托管协议》；</w:t>
      </w:r>
    </w:p>
    <w:p w:rsidR="005C6370" w:rsidP="00A24D29" w14:paraId="1D0F039E" w14:textId="77777777">
      <w:pPr>
        <w:spacing w:line="360" w:lineRule="auto"/>
        <w:ind w:firstLine="420"/>
        <w:contextualSpacing/>
        <w:rPr>
          <w:rFonts w:ascii="宋体" w:hAnsi="Calibri" w:cs="宋体"/>
          <w:lang w:eastAsia="zh-CN"/>
        </w:rPr>
      </w:pPr>
      <w:r>
        <w:rPr>
          <w:rFonts w:ascii="宋体" w:hAnsi="Calibri" w:cs="宋体" w:hint="eastAsia"/>
          <w:highlight w:val="white"/>
          <w:lang w:eastAsia="zh-CN"/>
        </w:rPr>
        <w:t>4.《易方达基金管理有限公司开放式基金业务规则》；</w:t>
      </w:r>
    </w:p>
    <w:p w:rsidR="005C6370" w:rsidP="00A24D29" w14:paraId="640A9671" w14:textId="77777777">
      <w:pPr>
        <w:spacing w:line="360" w:lineRule="auto"/>
        <w:ind w:firstLine="420"/>
        <w:contextualSpacing/>
        <w:rPr>
          <w:rFonts w:ascii="宋体" w:hAnsi="Calibri" w:cs="宋体"/>
          <w:lang w:eastAsia="zh-CN"/>
        </w:rPr>
      </w:pPr>
      <w:r>
        <w:rPr>
          <w:rFonts w:ascii="宋体" w:hAnsi="Calibri" w:cs="宋体" w:hint="eastAsia"/>
          <w:highlight w:val="white"/>
          <w:lang w:eastAsia="zh-CN"/>
        </w:rPr>
        <w:t>5.法律意见书；</w:t>
      </w:r>
    </w:p>
    <w:p w:rsidR="005C6370" w:rsidP="00A24D29" w14:paraId="053A6949" w14:textId="77777777">
      <w:pPr>
        <w:spacing w:line="360" w:lineRule="auto"/>
        <w:ind w:firstLine="420"/>
        <w:contextualSpacing/>
        <w:rPr>
          <w:rFonts w:ascii="宋体" w:hAnsi="Calibri" w:cs="宋体"/>
          <w:lang w:eastAsia="zh-CN"/>
        </w:rPr>
      </w:pPr>
      <w:r>
        <w:rPr>
          <w:rFonts w:ascii="宋体" w:hAnsi="Calibri" w:cs="宋体" w:hint="eastAsia"/>
          <w:highlight w:val="white"/>
          <w:lang w:eastAsia="zh-CN"/>
        </w:rPr>
        <w:t>6.基金管理人业务资格批件、营业执照；</w:t>
      </w:r>
    </w:p>
    <w:p w:rsidR="005C6370" w:rsidP="00A24D29" w14:paraId="2CE5CF24" w14:textId="77777777">
      <w:pPr>
        <w:spacing w:line="360" w:lineRule="auto"/>
        <w:ind w:firstLine="420"/>
        <w:contextualSpacing/>
        <w:rPr>
          <w:rFonts w:ascii="宋体" w:hAnsi="Calibri" w:cs="宋体"/>
          <w:lang w:eastAsia="zh-CN"/>
        </w:rPr>
      </w:pPr>
      <w:r>
        <w:rPr>
          <w:rFonts w:ascii="宋体" w:hAnsi="Calibri" w:cs="宋体" w:hint="eastAsia"/>
          <w:highlight w:val="white"/>
          <w:lang w:eastAsia="zh-CN"/>
        </w:rPr>
        <w:t>7.基金托管人业务资格批件、营业执照。</w:t>
      </w:r>
    </w:p>
    <w:p w:rsidR="005C6370" w:rsidP="00A24D29" w14:paraId="074865B5" w14:textId="77777777">
      <w:pPr>
        <w:spacing w:line="360" w:lineRule="auto"/>
        <w:ind w:firstLine="420"/>
        <w:contextualSpacing/>
        <w:rPr>
          <w:rFonts w:ascii="宋体" w:hAnsi="Calibri" w:cs="宋体"/>
          <w:lang w:eastAsia="zh-CN"/>
        </w:rPr>
      </w:pPr>
      <w:r>
        <w:rPr>
          <w:rFonts w:ascii="宋体" w:hAnsi="Calibri" w:cs="宋体" w:hint="eastAsia"/>
          <w:highlight w:val="white"/>
          <w:lang w:eastAsia="zh-CN"/>
        </w:rPr>
        <w:t>存放地点：基金管理人、基金托管人处。</w:t>
      </w:r>
    </w:p>
    <w:p w:rsidR="005C6370" w:rsidP="00A24D29" w14:paraId="7F728B1F" w14:textId="77777777">
      <w:pPr>
        <w:pStyle w:val="PlainText"/>
        <w:spacing w:line="360" w:lineRule="auto"/>
        <w:ind w:firstLine="420"/>
        <w:contextualSpacing/>
        <w:rPr>
          <w:rFonts w:hAnsi="Calibri"/>
          <w:sz w:val="21"/>
          <w:lang w:eastAsia="zh-CN"/>
        </w:rPr>
      </w:pPr>
      <w:r>
        <w:rPr>
          <w:rFonts w:hAnsi="Calibri" w:cs="宋体" w:hint="eastAsia"/>
          <w:sz w:val="21"/>
          <w:highlight w:val="white"/>
          <w:lang w:eastAsia="zh-CN"/>
        </w:rPr>
        <w:t>查阅方式：投资者可在营业时间免费查阅，也可按工本费购买复印件。</w:t>
      </w:r>
    </w:p>
    <w:p w:rsidR="005C6370" w:rsidP="00A24D29" w14:paraId="68501135" w14:textId="77777777">
      <w:pPr>
        <w:pStyle w:val="PlainText"/>
        <w:spacing w:line="360" w:lineRule="auto"/>
        <w:ind w:firstLine="420"/>
        <w:contextualSpacing/>
        <w:rPr>
          <w:rFonts w:hAnsi="Calibri"/>
          <w:sz w:val="21"/>
          <w:lang w:eastAsia="zh-CN"/>
        </w:rPr>
      </w:pPr>
    </w:p>
    <w:p w:rsidR="005C6370" w:rsidP="00A24D29" w14:paraId="62B0FC4A" w14:textId="77777777">
      <w:pPr>
        <w:pStyle w:val="PlainText"/>
        <w:spacing w:line="360" w:lineRule="auto"/>
        <w:ind w:firstLine="420"/>
        <w:contextualSpacing/>
        <w:rPr>
          <w:rFonts w:hAnsi="Calibri"/>
          <w:sz w:val="21"/>
          <w:lang w:eastAsia="zh-CN"/>
        </w:rPr>
      </w:pPr>
    </w:p>
    <w:p w:rsidR="005C6370" w:rsidP="00A24D29" w14:paraId="3ACB7B26" w14:textId="77777777">
      <w:pPr>
        <w:snapToGrid w:val="0"/>
        <w:spacing w:line="360" w:lineRule="auto"/>
        <w:ind w:firstLine="420"/>
        <w:contextualSpacing/>
        <w:jc w:val="right"/>
        <w:rPr>
          <w:rFonts w:ascii="宋体" w:hAnsi="Calibri"/>
          <w:szCs w:val="21"/>
          <w:lang w:eastAsia="zh-CN"/>
        </w:rPr>
      </w:pPr>
      <w:r>
        <w:rPr>
          <w:rFonts w:ascii="宋体" w:hAnsi="Calibri" w:hint="eastAsia"/>
          <w:szCs w:val="21"/>
          <w:highlight w:val="white"/>
          <w:lang w:eastAsia="zh-CN"/>
        </w:rPr>
        <w:t>易方达基金管理有限公司</w:t>
      </w:r>
    </w:p>
    <w:p w:rsidR="005C6370" w:rsidP="00A24D29" w14:paraId="2B403999" w14:textId="77777777">
      <w:pPr>
        <w:spacing w:line="360" w:lineRule="auto"/>
        <w:ind w:right="420" w:firstLine="420"/>
        <w:contextualSpacing/>
        <w:jc w:val="right"/>
        <w:rPr>
          <w:rFonts w:ascii="宋体" w:hAnsi="Calibri" w:cs="宋体"/>
          <w:color w:val="000000"/>
          <w:lang w:eastAsia="zh-CN"/>
        </w:rPr>
      </w:pPr>
      <w:r w:rsidR="00D57CDF">
        <w:rPr>
          <w:rFonts w:ascii="宋体" w:hAnsi="Calibri" w:cs="宋体" w:hint="eastAsia"/>
          <w:color w:val="000000"/>
          <w:highlight w:val="white"/>
        </w:rPr>
        <w:t>202</w:t>
      </w:r>
      <w:r w:rsidR="00D57CDF">
        <w:rPr>
          <w:rFonts w:ascii="宋体" w:hAnsi="Calibri" w:cs="宋体" w:hint="eastAsia"/>
          <w:color w:val="000000"/>
          <w:highlight w:val="white"/>
          <w:lang w:eastAsia="zh-CN"/>
        </w:rPr>
        <w:t>6</w:t>
      </w:r>
      <w:r>
        <w:rPr>
          <w:rFonts w:ascii="宋体" w:hAnsi="Calibri" w:cs="宋体" w:hint="eastAsia"/>
          <w:color w:val="000000"/>
          <w:highlight w:val="white"/>
        </w:rPr>
        <w:t>年</w:t>
      </w:r>
      <w:r w:rsidR="00D57CDF">
        <w:rPr>
          <w:rFonts w:ascii="宋体" w:hAnsi="Calibri" w:cs="宋体" w:hint="eastAsia"/>
          <w:color w:val="000000"/>
          <w:highlight w:val="white"/>
          <w:lang w:eastAsia="zh-CN"/>
        </w:rPr>
        <w:t>9</w:t>
      </w:r>
      <w:r>
        <w:rPr>
          <w:rFonts w:ascii="宋体" w:hAnsi="Calibri" w:cs="宋体" w:hint="eastAsia"/>
          <w:color w:val="000000"/>
          <w:highlight w:val="white"/>
        </w:rPr>
        <w:t>月</w:t>
      </w:r>
      <w:r w:rsidR="00D57CDF">
        <w:rPr>
          <w:rFonts w:ascii="宋体" w:hAnsi="Calibri" w:cs="宋体" w:hint="eastAsia"/>
          <w:color w:val="000000"/>
          <w:highlight w:val="white"/>
          <w:lang w:eastAsia="zh-CN"/>
        </w:rPr>
        <w:t>21</w:t>
      </w:r>
      <w:r>
        <w:rPr>
          <w:rFonts w:ascii="宋体" w:hAnsi="Calibri" w:cs="宋体" w:hint="eastAsia"/>
          <w:color w:val="000000"/>
          <w:highlight w:val="white"/>
        </w:rPr>
        <w:t>日</w:t>
      </w:r>
    </w:p>
    <w:p w:rsidR="005C6370" w:rsidP="00A24D29" w14:paraId="59EE5F6C" w14:textId="77777777">
      <w:pPr>
        <w:spacing w:line="360" w:lineRule="auto"/>
        <w:ind w:right="420" w:firstLine="420"/>
        <w:contextualSpacing/>
        <w:jc w:val="right"/>
        <w:rPr>
          <w:rFonts w:ascii="宋体" w:hAnsi="Calibri" w:cs="宋体"/>
          <w:color w:val="000000"/>
          <w:lang w:eastAsia="zh-CN"/>
        </w:rPr>
      </w:pPr>
    </w:p>
    <w:p w:rsidR="005C6370" w:rsidP="00A24D29" w14:paraId="28CF9EF5" w14:textId="77777777">
      <w:pPr>
        <w:spacing w:line="360" w:lineRule="auto"/>
        <w:ind w:right="420" w:firstLine="420"/>
        <w:contextualSpacing/>
        <w:jc w:val="right"/>
        <w:rPr>
          <w:rFonts w:ascii="宋体" w:hAnsi="Calibri" w:cs="宋体"/>
          <w:color w:val="000000"/>
          <w:lang w:eastAsia="zh-CN"/>
        </w:rPr>
      </w:pPr>
    </w:p>
    <w:p w:rsidR="005C6370" w:rsidP="00A24D29" w14:paraId="4011E5FC" w14:textId="77777777">
      <w:pPr>
        <w:spacing w:line="360" w:lineRule="auto"/>
        <w:ind w:right="420" w:firstLine="420"/>
        <w:contextualSpacing/>
        <w:jc w:val="right"/>
        <w:rPr>
          <w:rFonts w:ascii="宋体" w:hAnsi="Calibri" w:cs="宋体"/>
          <w:color w:val="000000"/>
          <w:lang w:eastAsia="zh-CN"/>
        </w:rPr>
      </w:pPr>
    </w:p>
    <w:p w:rsidR="005C6370" w:rsidP="00A24D29" w14:paraId="09B0CB3E" w14:textId="77777777">
      <w:pPr>
        <w:spacing w:line="360" w:lineRule="auto"/>
        <w:ind w:right="420" w:firstLine="420"/>
        <w:contextualSpacing/>
        <w:jc w:val="right"/>
        <w:rPr>
          <w:rFonts w:ascii="宋体" w:hAnsi="Calibri" w:cs="宋体"/>
          <w:color w:val="000000"/>
          <w:lang w:eastAsia="zh-CN"/>
        </w:rPr>
      </w:pPr>
    </w:p>
    <w:p w:rsidR="005C6370" w:rsidP="00A24D29" w14:paraId="5E71C311" w14:textId="77777777">
      <w:pPr>
        <w:spacing w:line="360" w:lineRule="auto"/>
        <w:ind w:right="420" w:firstLine="420"/>
        <w:contextualSpacing/>
        <w:jc w:val="right"/>
        <w:rPr>
          <w:rFonts w:ascii="宋体" w:hAnsi="Calibri" w:cs="宋体"/>
          <w:color w:val="000000"/>
          <w:lang w:eastAsia="zh-CN"/>
        </w:rPr>
      </w:pPr>
    </w:p>
    <w:p w:rsidR="005C6370" w:rsidP="00A24D29" w14:paraId="4D555032" w14:textId="77777777">
      <w:pPr>
        <w:contextualSpacing/>
        <w:jc w:val="center"/>
        <w:rPr>
          <w:rFonts w:ascii="宋体" w:hAnsi="Calibri"/>
        </w:rPr>
      </w:pPr>
      <w:bookmarkStart w:id="1876" w:name="_Toc38439708"/>
      <w:bookmarkStart w:id="1877" w:name="_Toc38440045"/>
      <w:bookmarkStart w:id="1878" w:name="_Toc38440382"/>
      <w:bookmarkStart w:id="1879" w:name="_Toc38440914"/>
      <w:bookmarkStart w:id="1880" w:name="_Toc38441246"/>
      <w:bookmarkStart w:id="1881" w:name="_Toc38441578"/>
      <w:bookmarkStart w:id="1882" w:name="_Toc38441906"/>
      <w:bookmarkStart w:id="1883" w:name="_Toc38442238"/>
      <w:bookmarkStart w:id="1884" w:name="_Toc38442570"/>
      <w:bookmarkStart w:id="1885" w:name="_Toc38442901"/>
      <w:bookmarkStart w:id="1886" w:name="_Toc38443232"/>
      <w:bookmarkStart w:id="1887" w:name="_Toc38443563"/>
      <w:bookmarkStart w:id="1888" w:name="_Toc38443893"/>
      <w:bookmarkStart w:id="1889" w:name="_Toc38438361"/>
      <w:bookmarkStart w:id="1890" w:name="_Toc38438698"/>
      <w:bookmarkStart w:id="1891" w:name="_Toc38439035"/>
      <w:bookmarkStart w:id="1892" w:name="_Toc38439372"/>
      <w:bookmarkStart w:id="1893" w:name="_Toc38439709"/>
      <w:bookmarkStart w:id="1894" w:name="_Toc38440046"/>
      <w:bookmarkStart w:id="1895" w:name="_Toc38440383"/>
      <w:bookmarkStart w:id="1896" w:name="_Toc38440915"/>
      <w:bookmarkStart w:id="1897" w:name="_Toc38441247"/>
      <w:bookmarkStart w:id="1898" w:name="_Toc38441579"/>
      <w:bookmarkStart w:id="1899" w:name="_Toc38441907"/>
      <w:bookmarkStart w:id="1900" w:name="_Toc38442239"/>
      <w:bookmarkStart w:id="1901" w:name="_Toc38442571"/>
      <w:bookmarkStart w:id="1902" w:name="_Toc38442902"/>
      <w:bookmarkStart w:id="1903" w:name="_Toc38443233"/>
      <w:bookmarkStart w:id="1904" w:name="_Toc38443564"/>
      <w:bookmarkStart w:id="1905" w:name="_Toc38443894"/>
      <w:bookmarkStart w:id="1906" w:name="_Toc38438362"/>
      <w:bookmarkStart w:id="1907" w:name="_Toc38438699"/>
      <w:bookmarkStart w:id="1908" w:name="_Toc38439036"/>
      <w:bookmarkStart w:id="1909" w:name="_Toc38439373"/>
      <w:bookmarkStart w:id="1910" w:name="_Toc38439710"/>
      <w:bookmarkStart w:id="1911" w:name="_Toc38440047"/>
      <w:bookmarkStart w:id="1912" w:name="_Toc38440384"/>
      <w:bookmarkStart w:id="1913" w:name="_Toc38440916"/>
      <w:bookmarkStart w:id="1914" w:name="_Toc38441248"/>
      <w:bookmarkStart w:id="1915" w:name="_Toc38441580"/>
      <w:bookmarkStart w:id="1916" w:name="_Toc38441908"/>
      <w:bookmarkStart w:id="1917" w:name="_Toc38442240"/>
      <w:bookmarkStart w:id="1918" w:name="_Toc38442572"/>
      <w:bookmarkStart w:id="1919" w:name="_Toc38442903"/>
      <w:bookmarkStart w:id="1920" w:name="_Toc38443234"/>
      <w:bookmarkStart w:id="1921" w:name="_Toc38443565"/>
      <w:bookmarkStart w:id="1922" w:name="_Toc38443895"/>
      <w:bookmarkStart w:id="1923" w:name="_Toc38438363"/>
      <w:bookmarkStart w:id="1924" w:name="_Toc38438700"/>
      <w:bookmarkStart w:id="1925" w:name="_Toc38439037"/>
      <w:bookmarkStart w:id="1926" w:name="_Toc38439374"/>
      <w:bookmarkStart w:id="1927" w:name="_Toc38439711"/>
      <w:bookmarkStart w:id="1928" w:name="_Toc38440048"/>
      <w:bookmarkStart w:id="1929" w:name="_Toc38440385"/>
      <w:bookmarkStart w:id="1930" w:name="_Toc38440917"/>
      <w:bookmarkStart w:id="1931" w:name="_Toc38441249"/>
      <w:bookmarkStart w:id="1932" w:name="_Toc38441581"/>
      <w:bookmarkStart w:id="1933" w:name="_Toc38441909"/>
      <w:bookmarkStart w:id="1934" w:name="_Toc38442241"/>
      <w:bookmarkStart w:id="1935" w:name="_Toc38442573"/>
      <w:bookmarkStart w:id="1936" w:name="_Toc38442904"/>
      <w:bookmarkStart w:id="1937" w:name="_Toc38443235"/>
      <w:bookmarkStart w:id="1938" w:name="_Toc38443566"/>
      <w:bookmarkStart w:id="1939" w:name="_Toc38443896"/>
      <w:bookmarkStart w:id="1940" w:name="_Toc38438364"/>
      <w:bookmarkStart w:id="1941" w:name="_Toc38438701"/>
      <w:bookmarkStart w:id="1942" w:name="_Toc38439038"/>
      <w:bookmarkStart w:id="1943" w:name="_Toc38439375"/>
      <w:bookmarkStart w:id="1944" w:name="_Toc38439712"/>
      <w:bookmarkStart w:id="1945" w:name="_Toc38440049"/>
      <w:bookmarkStart w:id="1946" w:name="_Toc38440386"/>
      <w:bookmarkStart w:id="1947" w:name="_Toc38440918"/>
      <w:bookmarkStart w:id="1948" w:name="_Toc38441250"/>
      <w:bookmarkStart w:id="1949" w:name="_Toc38441582"/>
      <w:bookmarkStart w:id="1950" w:name="_Toc38441910"/>
      <w:bookmarkStart w:id="1951" w:name="_Toc38442242"/>
      <w:bookmarkStart w:id="1952" w:name="_Toc38442574"/>
      <w:bookmarkStart w:id="1953" w:name="_Toc38442905"/>
      <w:bookmarkStart w:id="1954" w:name="_Toc38443236"/>
      <w:bookmarkStart w:id="1955" w:name="_Toc38443567"/>
      <w:bookmarkStart w:id="1956" w:name="_Toc38443897"/>
      <w:bookmarkStart w:id="1957" w:name="_Toc38438365"/>
      <w:bookmarkStart w:id="1958" w:name="_Toc38438702"/>
      <w:bookmarkStart w:id="1959" w:name="_Toc38439039"/>
      <w:bookmarkStart w:id="1960" w:name="_Toc38439376"/>
      <w:bookmarkStart w:id="1961" w:name="_Toc38439713"/>
      <w:bookmarkStart w:id="1962" w:name="_Toc38440050"/>
      <w:bookmarkStart w:id="1963" w:name="_Toc38440387"/>
      <w:bookmarkStart w:id="1964" w:name="_Toc38440919"/>
      <w:bookmarkStart w:id="1965" w:name="_Toc38441251"/>
      <w:bookmarkStart w:id="1966" w:name="_Toc38441583"/>
      <w:bookmarkStart w:id="1967" w:name="_Toc38441911"/>
      <w:bookmarkStart w:id="1968" w:name="_Toc38442243"/>
      <w:bookmarkStart w:id="1969" w:name="_Toc38442575"/>
      <w:bookmarkStart w:id="1970" w:name="_Toc38442906"/>
      <w:bookmarkStart w:id="1971" w:name="_Toc38443237"/>
      <w:bookmarkStart w:id="1972" w:name="_Toc38443568"/>
      <w:bookmarkStart w:id="1973" w:name="_Toc38443898"/>
      <w:bookmarkStart w:id="1974" w:name="_Toc38438366"/>
      <w:bookmarkStart w:id="1975" w:name="_Toc38438703"/>
      <w:bookmarkStart w:id="1976" w:name="_Toc38439040"/>
      <w:bookmarkStart w:id="1977" w:name="_Toc38439377"/>
      <w:bookmarkStart w:id="1978" w:name="_Toc38439714"/>
      <w:bookmarkStart w:id="1979" w:name="_Toc38440051"/>
      <w:bookmarkStart w:id="1980" w:name="_Toc38440388"/>
      <w:bookmarkStart w:id="1981" w:name="_Toc38440920"/>
      <w:bookmarkStart w:id="1982" w:name="_Toc38441252"/>
      <w:bookmarkStart w:id="1983" w:name="_Toc38441584"/>
      <w:bookmarkStart w:id="1984" w:name="_Toc38441912"/>
      <w:bookmarkStart w:id="1985" w:name="_Toc38442244"/>
      <w:bookmarkStart w:id="1986" w:name="_Toc38442576"/>
      <w:bookmarkStart w:id="1987" w:name="_Toc38442907"/>
      <w:bookmarkStart w:id="1988" w:name="_Toc38443238"/>
      <w:bookmarkStart w:id="1989" w:name="_Toc38443569"/>
      <w:bookmarkStart w:id="1990" w:name="_Toc38443899"/>
      <w:bookmarkStart w:id="1991" w:name="_Toc38438367"/>
      <w:bookmarkStart w:id="1992" w:name="_Toc38438704"/>
      <w:bookmarkStart w:id="1993" w:name="_Toc38439041"/>
      <w:bookmarkStart w:id="1994" w:name="_Toc38439378"/>
      <w:bookmarkStart w:id="1995" w:name="_Toc38439715"/>
      <w:bookmarkStart w:id="1996" w:name="_Toc38440052"/>
      <w:bookmarkStart w:id="1997" w:name="_Toc38440389"/>
      <w:bookmarkStart w:id="1998" w:name="_Toc38440921"/>
      <w:bookmarkStart w:id="1999" w:name="_Toc38441253"/>
      <w:bookmarkStart w:id="2000" w:name="_Toc38441585"/>
      <w:bookmarkStart w:id="2001" w:name="_Toc38441913"/>
      <w:bookmarkStart w:id="2002" w:name="_Toc38442245"/>
      <w:bookmarkStart w:id="2003" w:name="_Toc38442577"/>
      <w:bookmarkStart w:id="2004" w:name="_Toc38438350"/>
      <w:bookmarkStart w:id="2005" w:name="_Toc38438687"/>
      <w:bookmarkStart w:id="2006" w:name="_Toc38439024"/>
      <w:bookmarkStart w:id="2007" w:name="_Toc38439361"/>
      <w:bookmarkStart w:id="2008" w:name="_Toc38439698"/>
      <w:bookmarkStart w:id="2009" w:name="_Toc38440035"/>
      <w:bookmarkStart w:id="2010" w:name="_Toc38440372"/>
      <w:bookmarkStart w:id="2011" w:name="_Toc38440904"/>
      <w:bookmarkStart w:id="2012" w:name="_Toc38441236"/>
      <w:bookmarkStart w:id="2013" w:name="_Toc38441568"/>
      <w:bookmarkStart w:id="2014" w:name="_Toc38441896"/>
      <w:bookmarkStart w:id="2015" w:name="_Toc38442228"/>
      <w:bookmarkStart w:id="2016" w:name="_Toc38442560"/>
      <w:bookmarkStart w:id="2017" w:name="_Toc38442891"/>
      <w:bookmarkStart w:id="2018" w:name="_Toc38443222"/>
      <w:bookmarkStart w:id="2019" w:name="_Toc38443553"/>
      <w:bookmarkStart w:id="2020" w:name="_Toc38443883"/>
      <w:bookmarkStart w:id="2021" w:name="_Toc38438351"/>
      <w:bookmarkStart w:id="2022" w:name="_Toc38438688"/>
      <w:bookmarkStart w:id="2023" w:name="_Toc38439025"/>
      <w:bookmarkStart w:id="2024" w:name="_Toc38439362"/>
      <w:bookmarkStart w:id="2025" w:name="_Toc38439699"/>
      <w:bookmarkStart w:id="2026" w:name="_Toc38440036"/>
      <w:bookmarkStart w:id="2027" w:name="_Toc38440373"/>
      <w:bookmarkStart w:id="2028" w:name="_Toc38440905"/>
      <w:bookmarkStart w:id="2029" w:name="_Toc38441237"/>
      <w:bookmarkStart w:id="2030" w:name="_Toc38441569"/>
      <w:bookmarkStart w:id="2031" w:name="_Toc38441897"/>
      <w:bookmarkStart w:id="2032" w:name="_Toc38442229"/>
      <w:bookmarkStart w:id="2033" w:name="_Toc38442561"/>
      <w:bookmarkStart w:id="2034" w:name="_Toc38442892"/>
      <w:bookmarkStart w:id="2035" w:name="_Toc38443223"/>
      <w:bookmarkStart w:id="2036" w:name="_Toc38443554"/>
      <w:bookmarkStart w:id="2037" w:name="_Toc38443884"/>
      <w:bookmarkStart w:id="2038" w:name="_Toc38438352"/>
      <w:bookmarkStart w:id="2039" w:name="_Toc38438689"/>
      <w:bookmarkStart w:id="2040" w:name="_Toc38439026"/>
      <w:bookmarkStart w:id="2041" w:name="_Toc38439363"/>
      <w:bookmarkStart w:id="2042" w:name="_Toc38439700"/>
      <w:bookmarkStart w:id="2043" w:name="_Toc38440037"/>
      <w:bookmarkStart w:id="2044" w:name="_Toc38440374"/>
      <w:bookmarkStart w:id="2045" w:name="_Toc38440906"/>
      <w:bookmarkStart w:id="2046" w:name="_Toc38441238"/>
      <w:bookmarkStart w:id="2047" w:name="_Toc38441570"/>
      <w:bookmarkStart w:id="2048" w:name="_Toc38441898"/>
      <w:bookmarkStart w:id="2049" w:name="_Toc38442230"/>
      <w:bookmarkStart w:id="2050" w:name="_Toc38442562"/>
      <w:bookmarkStart w:id="2051" w:name="_Toc38442893"/>
      <w:bookmarkStart w:id="2052" w:name="_Toc38443224"/>
      <w:bookmarkStart w:id="2053" w:name="_Toc38443555"/>
      <w:bookmarkStart w:id="2054" w:name="_Toc38443885"/>
      <w:bookmarkStart w:id="2055" w:name="_Toc38438353"/>
      <w:bookmarkStart w:id="2056" w:name="_Toc38438690"/>
      <w:bookmarkStart w:id="2057" w:name="_Toc38439027"/>
      <w:bookmarkStart w:id="2058" w:name="_Toc38439364"/>
      <w:bookmarkStart w:id="2059" w:name="_Toc38439701"/>
      <w:bookmarkStart w:id="2060" w:name="_Toc38440038"/>
      <w:bookmarkStart w:id="2061" w:name="_Toc38440375"/>
      <w:bookmarkStart w:id="2062" w:name="_Toc38440907"/>
      <w:bookmarkStart w:id="2063" w:name="_Toc38441239"/>
      <w:bookmarkStart w:id="2064" w:name="_Toc38441571"/>
      <w:bookmarkStart w:id="2065" w:name="_Toc38441899"/>
      <w:bookmarkStart w:id="2066" w:name="_Toc38442231"/>
      <w:bookmarkStart w:id="2067" w:name="_Toc38442563"/>
      <w:bookmarkStart w:id="2068" w:name="_Toc38442894"/>
      <w:bookmarkStart w:id="2069" w:name="_Toc38443225"/>
      <w:bookmarkStart w:id="2070" w:name="_Toc38443556"/>
      <w:bookmarkStart w:id="2071" w:name="_Toc38443886"/>
      <w:bookmarkStart w:id="2072" w:name="_Toc38438354"/>
      <w:bookmarkStart w:id="2073" w:name="_Toc38438691"/>
      <w:bookmarkStart w:id="2074" w:name="_Toc38439028"/>
      <w:bookmarkStart w:id="2075" w:name="_Toc38439365"/>
      <w:bookmarkStart w:id="2076" w:name="_Toc38439702"/>
      <w:bookmarkStart w:id="2077" w:name="_Toc38440039"/>
      <w:bookmarkStart w:id="2078" w:name="_Toc38440376"/>
      <w:bookmarkStart w:id="2079" w:name="_Toc38440908"/>
      <w:bookmarkStart w:id="2080" w:name="_Toc38441240"/>
      <w:bookmarkStart w:id="2081" w:name="_Toc38441572"/>
      <w:bookmarkStart w:id="2082" w:name="_Toc38441900"/>
      <w:bookmarkStart w:id="2083" w:name="_Toc38442232"/>
      <w:bookmarkStart w:id="2084" w:name="_Toc38442564"/>
      <w:bookmarkStart w:id="2085" w:name="_Toc38442895"/>
      <w:bookmarkStart w:id="2086" w:name="_Toc38443226"/>
      <w:bookmarkStart w:id="2087" w:name="_Toc38443557"/>
      <w:bookmarkStart w:id="2088" w:name="_Toc38443887"/>
      <w:bookmarkStart w:id="2089" w:name="_Toc38438355"/>
      <w:bookmarkStart w:id="2090" w:name="_Toc38438692"/>
      <w:bookmarkStart w:id="2091" w:name="_Toc38439029"/>
      <w:bookmarkStart w:id="2092" w:name="_Toc38439366"/>
      <w:bookmarkStart w:id="2093" w:name="_Toc38439703"/>
      <w:bookmarkStart w:id="2094" w:name="_Toc38440040"/>
      <w:bookmarkStart w:id="2095" w:name="_Toc38440377"/>
      <w:bookmarkStart w:id="2096" w:name="_Toc38440909"/>
      <w:bookmarkStart w:id="2097" w:name="_Toc38441241"/>
      <w:bookmarkStart w:id="2098" w:name="_Toc38441573"/>
      <w:bookmarkStart w:id="2099" w:name="_Toc38441901"/>
      <w:bookmarkStart w:id="2100" w:name="_Toc38442233"/>
      <w:bookmarkStart w:id="2101" w:name="_Toc38442565"/>
      <w:bookmarkStart w:id="2102" w:name="_Toc38442896"/>
      <w:bookmarkStart w:id="2103" w:name="_Toc38443227"/>
      <w:bookmarkStart w:id="2104" w:name="_Toc38443558"/>
      <w:bookmarkStart w:id="2105" w:name="_Toc38443888"/>
      <w:bookmarkStart w:id="2106" w:name="_Toc38438356"/>
      <w:bookmarkStart w:id="2107" w:name="_Toc38438693"/>
      <w:bookmarkStart w:id="2108" w:name="_Toc38439030"/>
      <w:bookmarkStart w:id="2109" w:name="_Toc38439367"/>
      <w:bookmarkStart w:id="2110" w:name="_Toc38439704"/>
      <w:bookmarkStart w:id="2111" w:name="_Toc38440041"/>
      <w:bookmarkStart w:id="2112" w:name="_Toc38440378"/>
      <w:bookmarkStart w:id="2113" w:name="_Toc38440910"/>
      <w:bookmarkStart w:id="2114" w:name="_Toc38441242"/>
      <w:bookmarkStart w:id="2115" w:name="_Toc38441574"/>
      <w:bookmarkStart w:id="2116" w:name="_Toc38441902"/>
      <w:bookmarkStart w:id="2117" w:name="_Toc38442234"/>
      <w:bookmarkStart w:id="2118" w:name="_Toc38442566"/>
      <w:bookmarkStart w:id="2119" w:name="_Toc38442897"/>
      <w:bookmarkStart w:id="2120" w:name="_Toc38443228"/>
      <w:bookmarkStart w:id="2121" w:name="_Toc38443559"/>
      <w:bookmarkStart w:id="2122" w:name="_Toc38443889"/>
      <w:bookmarkStart w:id="2123" w:name="_Toc38438357"/>
      <w:bookmarkStart w:id="2124" w:name="_Toc38438694"/>
      <w:bookmarkStart w:id="2125" w:name="_Toc38439031"/>
      <w:bookmarkStart w:id="2126" w:name="_Toc38439368"/>
      <w:bookmarkStart w:id="2127" w:name="_Toc38439705"/>
      <w:bookmarkStart w:id="2128" w:name="_Toc38440042"/>
      <w:bookmarkStart w:id="2129" w:name="_Toc38440379"/>
      <w:bookmarkStart w:id="2130" w:name="_Toc38440911"/>
      <w:bookmarkStart w:id="2131" w:name="_Toc38441243"/>
      <w:bookmarkStart w:id="2132" w:name="_Toc38441575"/>
      <w:bookmarkStart w:id="2133" w:name="_Toc38441903"/>
      <w:bookmarkStart w:id="2134" w:name="_Toc38442235"/>
      <w:bookmarkStart w:id="2135" w:name="_Toc38442567"/>
      <w:bookmarkStart w:id="2136" w:name="_Toc38442898"/>
      <w:bookmarkStart w:id="2137" w:name="_Toc38443229"/>
      <w:bookmarkStart w:id="2138" w:name="_Toc38443560"/>
      <w:bookmarkStart w:id="2139" w:name="_Toc38443890"/>
      <w:bookmarkStart w:id="2140" w:name="_Toc38438358"/>
      <w:bookmarkStart w:id="2141" w:name="_Toc38438695"/>
      <w:bookmarkStart w:id="2142" w:name="_Toc38439032"/>
      <w:bookmarkStart w:id="2143" w:name="_Toc38439369"/>
      <w:bookmarkStart w:id="2144" w:name="_Toc38439706"/>
      <w:bookmarkStart w:id="2145" w:name="_Toc38440043"/>
      <w:bookmarkStart w:id="2146" w:name="_Toc38440380"/>
      <w:bookmarkStart w:id="2147" w:name="_Toc38440912"/>
      <w:bookmarkStart w:id="2148" w:name="_Toc38441244"/>
      <w:bookmarkStart w:id="2149" w:name="_Toc38441576"/>
      <w:bookmarkStart w:id="2150" w:name="_Toc38441904"/>
      <w:bookmarkStart w:id="2151" w:name="_Toc38442236"/>
      <w:bookmarkStart w:id="2152" w:name="_Toc38442568"/>
      <w:bookmarkStart w:id="2153" w:name="_Toc38442899"/>
      <w:bookmarkStart w:id="2154" w:name="_Toc38443230"/>
      <w:bookmarkStart w:id="2155" w:name="_Toc38443561"/>
      <w:bookmarkStart w:id="2156" w:name="_Toc38443891"/>
      <w:bookmarkStart w:id="2157" w:name="_Toc38438359"/>
      <w:bookmarkStart w:id="2158" w:name="_Toc38438696"/>
      <w:bookmarkStart w:id="2159" w:name="_Toc38439033"/>
      <w:bookmarkStart w:id="2160" w:name="_Toc38439370"/>
      <w:bookmarkStart w:id="2161" w:name="_Toc38439707"/>
      <w:bookmarkStart w:id="2162" w:name="_Toc38440044"/>
      <w:bookmarkStart w:id="2163" w:name="_Toc38440381"/>
      <w:bookmarkStart w:id="2164" w:name="_Toc38440913"/>
      <w:bookmarkStart w:id="2165" w:name="_Toc38441245"/>
      <w:bookmarkStart w:id="2166" w:name="_Toc38441577"/>
      <w:bookmarkStart w:id="2167" w:name="_Toc38441905"/>
      <w:bookmarkStart w:id="2168" w:name="_Toc38442237"/>
      <w:bookmarkStart w:id="2169" w:name="_Toc38442569"/>
      <w:bookmarkStart w:id="2170" w:name="_Toc38442900"/>
      <w:bookmarkStart w:id="2171" w:name="_Toc38443231"/>
      <w:bookmarkStart w:id="2172" w:name="_Toc38443562"/>
      <w:bookmarkStart w:id="2173" w:name="_Toc38443892"/>
      <w:bookmarkStart w:id="2174" w:name="_Toc38438360"/>
      <w:bookmarkStart w:id="2175" w:name="_Toc38438697"/>
      <w:bookmarkStart w:id="2176" w:name="_Toc38439034"/>
      <w:bookmarkStart w:id="2177" w:name="_Toc38439371"/>
      <w:bookmarkStart w:id="2178" w:name="_Toc38442908"/>
      <w:bookmarkStart w:id="2179" w:name="_Toc38443239"/>
      <w:bookmarkStart w:id="2180" w:name="_Toc38443570"/>
      <w:bookmarkStart w:id="2181" w:name="_Toc38443900"/>
      <w:bookmarkStart w:id="2182" w:name="_Toc38438368"/>
      <w:bookmarkStart w:id="2183" w:name="_Toc38438705"/>
      <w:bookmarkStart w:id="2184" w:name="_Toc38439042"/>
      <w:bookmarkStart w:id="2185" w:name="_Toc38439379"/>
      <w:bookmarkStart w:id="2186" w:name="_Toc38439716"/>
      <w:bookmarkStart w:id="2187" w:name="_Toc38440053"/>
      <w:bookmarkStart w:id="2188" w:name="_Toc38440390"/>
      <w:bookmarkStart w:id="2189" w:name="_Toc38440922"/>
      <w:bookmarkStart w:id="2190" w:name="_Toc38441254"/>
      <w:bookmarkStart w:id="2191" w:name="_Toc38441586"/>
      <w:bookmarkStart w:id="2192" w:name="_Toc38441914"/>
      <w:bookmarkStart w:id="2193" w:name="_Toc38442246"/>
      <w:bookmarkStart w:id="2194" w:name="_Toc38442578"/>
      <w:bookmarkStart w:id="2195" w:name="_Toc38442909"/>
      <w:bookmarkStart w:id="2196" w:name="_Toc38443240"/>
      <w:bookmarkStart w:id="2197" w:name="_Toc38443571"/>
      <w:bookmarkStart w:id="2198" w:name="_Toc38443901"/>
      <w:bookmarkStart w:id="2199" w:name="_Toc38438369"/>
      <w:bookmarkStart w:id="2200" w:name="_Toc38438706"/>
      <w:bookmarkStart w:id="2201" w:name="_Toc38439043"/>
      <w:bookmarkStart w:id="2202" w:name="_Toc38439380"/>
      <w:bookmarkStart w:id="2203" w:name="_Toc38439717"/>
      <w:bookmarkStart w:id="2204" w:name="_Toc38440054"/>
      <w:bookmarkStart w:id="2205" w:name="_Toc38440391"/>
      <w:bookmarkStart w:id="2206" w:name="_Toc38440923"/>
      <w:bookmarkStart w:id="2207" w:name="_Toc38441255"/>
      <w:bookmarkStart w:id="2208" w:name="_Toc38441587"/>
      <w:bookmarkStart w:id="2209" w:name="_Toc38441915"/>
      <w:bookmarkStart w:id="2210" w:name="_Toc38442247"/>
      <w:bookmarkStart w:id="2211" w:name="_Toc38442579"/>
      <w:bookmarkStart w:id="2212" w:name="_Toc38442910"/>
      <w:bookmarkStart w:id="2213" w:name="_Toc38443241"/>
      <w:bookmarkStart w:id="2214" w:name="_Toc38443572"/>
      <w:bookmarkStart w:id="2215" w:name="_Toc38443902"/>
      <w:bookmarkStart w:id="2216" w:name="_Toc38438371"/>
      <w:bookmarkStart w:id="2217" w:name="_Toc38438708"/>
      <w:bookmarkStart w:id="2218" w:name="_Toc38439045"/>
      <w:bookmarkStart w:id="2219" w:name="_Toc38439382"/>
      <w:bookmarkStart w:id="2220" w:name="_Toc38439719"/>
      <w:bookmarkStart w:id="2221" w:name="_Toc38440056"/>
      <w:bookmarkStart w:id="2222" w:name="_Toc38440393"/>
      <w:bookmarkStart w:id="2223" w:name="_Toc38440925"/>
      <w:bookmarkStart w:id="2224" w:name="_Toc38441257"/>
      <w:bookmarkStart w:id="2225" w:name="_Toc38441589"/>
      <w:bookmarkStart w:id="2226" w:name="_Toc38441917"/>
      <w:bookmarkStart w:id="2227" w:name="_Toc38442249"/>
      <w:bookmarkStart w:id="2228" w:name="_Toc38442581"/>
      <w:bookmarkStart w:id="2229" w:name="_Toc38442912"/>
      <w:bookmarkStart w:id="2230" w:name="_Toc38443243"/>
      <w:bookmarkStart w:id="2231" w:name="_Toc38443574"/>
      <w:bookmarkStart w:id="2232" w:name="_Toc38443904"/>
      <w:bookmarkStart w:id="2233" w:name="_Toc38438372"/>
      <w:bookmarkStart w:id="2234" w:name="_Toc38438709"/>
      <w:bookmarkStart w:id="2235" w:name="_Toc38439046"/>
      <w:bookmarkStart w:id="2236" w:name="_Toc38439383"/>
      <w:bookmarkStart w:id="2237" w:name="_Toc38439720"/>
      <w:bookmarkStart w:id="2238" w:name="_Toc38440057"/>
      <w:bookmarkStart w:id="2239" w:name="_Toc38440394"/>
      <w:bookmarkStart w:id="2240" w:name="_Toc38440926"/>
      <w:bookmarkStart w:id="2241" w:name="_Toc38441258"/>
      <w:bookmarkStart w:id="2242" w:name="_Toc38441590"/>
      <w:bookmarkStart w:id="2243" w:name="_Toc38441918"/>
      <w:bookmarkStart w:id="2244" w:name="_Toc38442250"/>
      <w:bookmarkStart w:id="2245" w:name="_Toc38442582"/>
      <w:bookmarkStart w:id="2246" w:name="_Toc38442913"/>
      <w:bookmarkStart w:id="2247" w:name="_Toc38443244"/>
      <w:bookmarkStart w:id="2248" w:name="_Toc38443575"/>
      <w:bookmarkStart w:id="2249" w:name="_Toc38443905"/>
      <w:bookmarkStart w:id="2250" w:name="_Toc38438373"/>
      <w:bookmarkStart w:id="2251" w:name="_Toc38438710"/>
      <w:bookmarkStart w:id="2252" w:name="_Toc38439047"/>
      <w:bookmarkStart w:id="2253" w:name="_Toc38439384"/>
      <w:bookmarkStart w:id="2254" w:name="_Toc38439721"/>
      <w:bookmarkStart w:id="2255" w:name="_Toc38440058"/>
      <w:bookmarkStart w:id="2256" w:name="_Toc38440395"/>
      <w:bookmarkStart w:id="2257" w:name="_Toc38440927"/>
      <w:bookmarkStart w:id="2258" w:name="_Toc38441259"/>
      <w:bookmarkStart w:id="2259" w:name="_Toc38441591"/>
      <w:bookmarkStart w:id="2260" w:name="_Toc38441919"/>
      <w:bookmarkStart w:id="2261" w:name="_Toc38442251"/>
      <w:bookmarkStart w:id="2262" w:name="_Toc38442583"/>
      <w:bookmarkStart w:id="2263" w:name="_Toc38442914"/>
      <w:bookmarkStart w:id="2264" w:name="_Toc38443245"/>
      <w:bookmarkStart w:id="2265" w:name="_Toc38443576"/>
      <w:bookmarkStart w:id="2266" w:name="_Toc38443906"/>
      <w:bookmarkStart w:id="2267" w:name="_Toc38438374"/>
      <w:bookmarkStart w:id="2268" w:name="_Toc38438711"/>
      <w:bookmarkStart w:id="2269" w:name="_Toc38439048"/>
      <w:bookmarkStart w:id="2270" w:name="_Toc38439385"/>
      <w:bookmarkStart w:id="2271" w:name="_Toc38439722"/>
      <w:bookmarkStart w:id="2272" w:name="_Toc38440059"/>
      <w:bookmarkStart w:id="2273" w:name="_Toc38440396"/>
      <w:bookmarkStart w:id="2274" w:name="_Toc38440928"/>
      <w:bookmarkStart w:id="2275" w:name="_Toc38441260"/>
      <w:bookmarkStart w:id="2276" w:name="_Toc38441592"/>
      <w:bookmarkStart w:id="2277" w:name="_Toc38441920"/>
      <w:bookmarkStart w:id="2278" w:name="_Toc38442252"/>
      <w:bookmarkStart w:id="2279" w:name="_Toc38442584"/>
      <w:bookmarkStart w:id="2280" w:name="_Toc38442915"/>
      <w:bookmarkStart w:id="2281" w:name="_Toc38443246"/>
      <w:bookmarkStart w:id="2282" w:name="_Toc38443577"/>
      <w:bookmarkStart w:id="2283" w:name="_Toc38443907"/>
      <w:bookmarkStart w:id="2284" w:name="_Toc38438375"/>
      <w:bookmarkStart w:id="2285" w:name="_Toc38438712"/>
      <w:bookmarkStart w:id="2286" w:name="_Toc38439049"/>
      <w:bookmarkStart w:id="2287" w:name="_Toc38439386"/>
      <w:bookmarkStart w:id="2288" w:name="_Toc38439723"/>
      <w:bookmarkStart w:id="2289" w:name="_Toc38440060"/>
      <w:bookmarkStart w:id="2290" w:name="_Toc38440397"/>
      <w:bookmarkStart w:id="2291" w:name="_Toc38440929"/>
      <w:bookmarkStart w:id="2292" w:name="_Toc38441261"/>
      <w:bookmarkStart w:id="2293" w:name="_Toc38441593"/>
      <w:bookmarkStart w:id="2294" w:name="_Toc38441921"/>
      <w:bookmarkStart w:id="2295" w:name="_Toc38442253"/>
      <w:bookmarkStart w:id="2296" w:name="_Toc38442585"/>
      <w:bookmarkStart w:id="2297" w:name="_Toc38442916"/>
      <w:bookmarkStart w:id="2298" w:name="_Toc38443247"/>
      <w:bookmarkStart w:id="2299" w:name="_Toc38443578"/>
      <w:bookmarkStart w:id="2300" w:name="_Toc38443908"/>
      <w:bookmarkStart w:id="2301" w:name="_Toc38438376"/>
      <w:bookmarkStart w:id="2302" w:name="_Toc38438713"/>
      <w:bookmarkStart w:id="2303" w:name="_Toc38439050"/>
      <w:bookmarkStart w:id="2304" w:name="_Toc38439387"/>
      <w:bookmarkStart w:id="2305" w:name="_Toc38439724"/>
      <w:bookmarkStart w:id="2306" w:name="_Toc38440061"/>
      <w:bookmarkStart w:id="2307" w:name="_Toc38440398"/>
      <w:bookmarkStart w:id="2308" w:name="_Toc38440930"/>
      <w:bookmarkStart w:id="2309" w:name="_Toc38441262"/>
      <w:bookmarkStart w:id="2310" w:name="_Toc38441594"/>
      <w:bookmarkStart w:id="2311" w:name="_Toc38441922"/>
      <w:bookmarkStart w:id="2312" w:name="_Toc38442254"/>
      <w:bookmarkStart w:id="2313" w:name="_Toc38442586"/>
      <w:bookmarkStart w:id="2314" w:name="_Toc38442917"/>
      <w:bookmarkStart w:id="2315" w:name="_Toc38443248"/>
      <w:bookmarkStart w:id="2316" w:name="_Toc38443579"/>
      <w:bookmarkStart w:id="2317" w:name="_Toc38443909"/>
      <w:bookmarkStart w:id="2318" w:name="_Toc38438377"/>
      <w:bookmarkStart w:id="2319" w:name="_Toc38438714"/>
      <w:bookmarkStart w:id="2320" w:name="_Toc38439051"/>
      <w:bookmarkStart w:id="2321" w:name="_Toc38439388"/>
      <w:bookmarkStart w:id="2322" w:name="_Toc38439725"/>
      <w:bookmarkStart w:id="2323" w:name="_Toc38440062"/>
      <w:bookmarkStart w:id="2324" w:name="_Toc38440399"/>
      <w:bookmarkStart w:id="2325" w:name="_Toc38440931"/>
      <w:bookmarkStart w:id="2326" w:name="_Toc38441263"/>
      <w:bookmarkStart w:id="2327" w:name="_Toc38441595"/>
      <w:bookmarkStart w:id="2328" w:name="_Toc38441923"/>
      <w:bookmarkStart w:id="2329" w:name="_Toc38442255"/>
      <w:bookmarkStart w:id="2330" w:name="_Toc38442587"/>
      <w:bookmarkStart w:id="2331" w:name="_Toc38442918"/>
      <w:bookmarkStart w:id="2332" w:name="_Toc38443249"/>
      <w:bookmarkStart w:id="2333" w:name="_Toc38443580"/>
      <w:bookmarkStart w:id="2334" w:name="_Toc38443910"/>
      <w:bookmarkStart w:id="2335" w:name="_Toc38438378"/>
      <w:bookmarkStart w:id="2336" w:name="_Toc38439783"/>
      <w:bookmarkStart w:id="2337" w:name="_Toc38440120"/>
      <w:bookmarkStart w:id="2338" w:name="_Toc38440457"/>
      <w:bookmarkStart w:id="2339" w:name="_Toc38440989"/>
      <w:bookmarkStart w:id="2340" w:name="_Toc38441321"/>
      <w:bookmarkStart w:id="2341" w:name="_Toc38441653"/>
      <w:bookmarkStart w:id="2342" w:name="_Toc38441981"/>
      <w:bookmarkStart w:id="2343" w:name="_Toc38442313"/>
      <w:bookmarkStart w:id="2344" w:name="_Toc38442645"/>
      <w:bookmarkStart w:id="2345" w:name="_Toc38442976"/>
      <w:bookmarkStart w:id="2346" w:name="_Toc38443307"/>
      <w:bookmarkStart w:id="2347" w:name="_Toc38443638"/>
      <w:bookmarkStart w:id="2348" w:name="_Toc38443968"/>
      <w:bookmarkStart w:id="2349" w:name="_Toc38438436"/>
      <w:bookmarkStart w:id="2350" w:name="_Toc38438773"/>
      <w:bookmarkStart w:id="2351" w:name="_Toc38439110"/>
      <w:bookmarkStart w:id="2352" w:name="_Toc38439447"/>
      <w:bookmarkStart w:id="2353" w:name="_Toc38439784"/>
      <w:bookmarkStart w:id="2354" w:name="_Toc38440121"/>
      <w:bookmarkStart w:id="2355" w:name="_Toc38440458"/>
      <w:bookmarkStart w:id="2356" w:name="_Toc38440990"/>
      <w:bookmarkStart w:id="2357" w:name="_Toc38441322"/>
      <w:bookmarkStart w:id="2358" w:name="_Toc38441654"/>
      <w:bookmarkStart w:id="2359" w:name="_Toc38441982"/>
      <w:bookmarkStart w:id="2360" w:name="_Toc38442314"/>
      <w:bookmarkStart w:id="2361" w:name="_Toc38442646"/>
      <w:bookmarkStart w:id="2362" w:name="_Toc38442977"/>
      <w:bookmarkStart w:id="2363" w:name="_Toc38443308"/>
      <w:bookmarkStart w:id="2364" w:name="_Toc38443639"/>
      <w:bookmarkStart w:id="2365" w:name="_Toc38443969"/>
      <w:bookmarkStart w:id="2366" w:name="_Toc38438437"/>
      <w:bookmarkStart w:id="2367" w:name="_Toc38438774"/>
      <w:bookmarkStart w:id="2368" w:name="_Toc38439111"/>
      <w:bookmarkStart w:id="2369" w:name="_Toc38439448"/>
      <w:bookmarkStart w:id="2370" w:name="_Toc38439785"/>
      <w:bookmarkStart w:id="2371" w:name="_Toc38440122"/>
      <w:bookmarkStart w:id="2372" w:name="_Toc38440459"/>
      <w:bookmarkStart w:id="2373" w:name="_Toc38440991"/>
      <w:bookmarkStart w:id="2374" w:name="_Toc38441323"/>
      <w:bookmarkStart w:id="2375" w:name="_Toc38441655"/>
      <w:bookmarkStart w:id="2376" w:name="_Toc38441983"/>
      <w:bookmarkStart w:id="2377" w:name="_Toc38442315"/>
      <w:bookmarkStart w:id="2378" w:name="_Toc38442647"/>
      <w:bookmarkStart w:id="2379" w:name="_Toc38442978"/>
      <w:bookmarkStart w:id="2380" w:name="_Toc38443309"/>
      <w:bookmarkStart w:id="2381" w:name="_Toc38443640"/>
      <w:bookmarkStart w:id="2382" w:name="_Toc38443970"/>
      <w:bookmarkStart w:id="2383" w:name="_Toc38438438"/>
      <w:bookmarkStart w:id="2384" w:name="_Toc38438775"/>
      <w:bookmarkStart w:id="2385" w:name="_Toc38439112"/>
      <w:bookmarkStart w:id="2386" w:name="_Toc38439449"/>
      <w:bookmarkStart w:id="2387" w:name="_Toc38439786"/>
      <w:bookmarkStart w:id="2388" w:name="_Toc38440123"/>
      <w:bookmarkStart w:id="2389" w:name="_Toc38440460"/>
      <w:bookmarkStart w:id="2390" w:name="_Toc38440992"/>
      <w:bookmarkStart w:id="2391" w:name="_Toc38441324"/>
      <w:bookmarkStart w:id="2392" w:name="_Toc38441656"/>
      <w:bookmarkStart w:id="2393" w:name="_Toc38441984"/>
      <w:bookmarkStart w:id="2394" w:name="_Toc38442316"/>
      <w:bookmarkStart w:id="2395" w:name="_Toc38442648"/>
      <w:bookmarkStart w:id="2396" w:name="_Toc38442979"/>
      <w:bookmarkStart w:id="2397" w:name="_Toc38443310"/>
      <w:bookmarkStart w:id="2398" w:name="_Toc38443641"/>
      <w:bookmarkStart w:id="2399" w:name="_Toc38443971"/>
      <w:bookmarkStart w:id="2400" w:name="_Toc38438439"/>
      <w:bookmarkStart w:id="2401" w:name="_Toc38438776"/>
      <w:bookmarkStart w:id="2402" w:name="_Toc38439113"/>
      <w:bookmarkStart w:id="2403" w:name="_Toc38439450"/>
      <w:bookmarkStart w:id="2404" w:name="_Toc38439787"/>
      <w:bookmarkStart w:id="2405" w:name="_Toc38440124"/>
      <w:bookmarkStart w:id="2406" w:name="_Toc38440461"/>
      <w:bookmarkStart w:id="2407" w:name="_Toc38440993"/>
      <w:bookmarkStart w:id="2408" w:name="_Toc38441325"/>
      <w:bookmarkStart w:id="2409" w:name="_Toc38441657"/>
      <w:bookmarkStart w:id="2410" w:name="_Toc38441985"/>
      <w:bookmarkStart w:id="2411" w:name="_Toc38442317"/>
      <w:bookmarkStart w:id="2412" w:name="_Toc38442649"/>
      <w:bookmarkStart w:id="2413" w:name="_Toc38442980"/>
      <w:bookmarkStart w:id="2414" w:name="_Toc38443311"/>
      <w:bookmarkStart w:id="2415" w:name="_Toc38443642"/>
      <w:bookmarkStart w:id="2416" w:name="_Toc38443972"/>
      <w:bookmarkStart w:id="2417" w:name="_Toc38438440"/>
      <w:bookmarkStart w:id="2418" w:name="_Toc38438777"/>
      <w:bookmarkStart w:id="2419" w:name="_Toc38439114"/>
      <w:bookmarkStart w:id="2420" w:name="_Toc38439451"/>
      <w:bookmarkStart w:id="2421" w:name="_Toc38439788"/>
      <w:bookmarkStart w:id="2422" w:name="_Toc38440125"/>
      <w:bookmarkStart w:id="2423" w:name="_Toc38440462"/>
      <w:bookmarkStart w:id="2424" w:name="_Toc38440994"/>
      <w:bookmarkStart w:id="2425" w:name="_Toc38441326"/>
      <w:bookmarkStart w:id="2426" w:name="_Toc38441658"/>
      <w:bookmarkStart w:id="2427" w:name="_Toc38441986"/>
      <w:bookmarkStart w:id="2428" w:name="_Toc38442318"/>
      <w:bookmarkStart w:id="2429" w:name="_Toc38442650"/>
      <w:bookmarkStart w:id="2430" w:name="_Toc38442981"/>
      <w:bookmarkStart w:id="2431" w:name="_Toc38443312"/>
      <w:bookmarkStart w:id="2432" w:name="_Toc38443643"/>
      <w:bookmarkStart w:id="2433" w:name="_Toc38443973"/>
      <w:bookmarkStart w:id="2434" w:name="_Toc38438441"/>
      <w:bookmarkStart w:id="2435" w:name="_Toc38438778"/>
      <w:bookmarkStart w:id="2436" w:name="_Toc38439115"/>
      <w:bookmarkStart w:id="2437" w:name="_Toc38439452"/>
      <w:bookmarkStart w:id="2438" w:name="_Toc38439789"/>
      <w:bookmarkStart w:id="2439" w:name="_Toc38440126"/>
      <w:bookmarkStart w:id="2440" w:name="_Toc38440463"/>
      <w:bookmarkStart w:id="2441" w:name="_Toc38440995"/>
      <w:bookmarkStart w:id="2442" w:name="_Toc38441327"/>
      <w:bookmarkStart w:id="2443" w:name="_Toc38441659"/>
      <w:bookmarkStart w:id="2444" w:name="_Toc38441987"/>
      <w:bookmarkStart w:id="2445" w:name="_Toc38442319"/>
      <w:bookmarkStart w:id="2446" w:name="_Toc38442651"/>
      <w:bookmarkStart w:id="2447" w:name="_Toc38442982"/>
      <w:bookmarkStart w:id="2448" w:name="_Toc38443313"/>
      <w:bookmarkStart w:id="2449" w:name="_Toc38443644"/>
      <w:bookmarkStart w:id="2450" w:name="_Toc38443974"/>
      <w:bookmarkStart w:id="2451" w:name="_Toc38438442"/>
      <w:bookmarkStart w:id="2452" w:name="_Toc38438779"/>
      <w:bookmarkStart w:id="2453" w:name="_Toc38439116"/>
      <w:bookmarkStart w:id="2454" w:name="_Toc38439453"/>
      <w:bookmarkStart w:id="2455" w:name="_Toc38439790"/>
      <w:bookmarkStart w:id="2456" w:name="_Toc38440127"/>
      <w:bookmarkStart w:id="2457" w:name="_Toc38440464"/>
      <w:bookmarkStart w:id="2458" w:name="_Toc38440996"/>
      <w:bookmarkStart w:id="2459" w:name="_Toc38441328"/>
      <w:bookmarkStart w:id="2460" w:name="_Toc38441660"/>
      <w:bookmarkStart w:id="2461" w:name="_Toc38441988"/>
      <w:bookmarkStart w:id="2462" w:name="_Toc38442320"/>
      <w:bookmarkStart w:id="2463" w:name="_Toc38442652"/>
      <w:bookmarkStart w:id="2464" w:name="_Toc38442983"/>
      <w:bookmarkStart w:id="2465" w:name="_Toc38443314"/>
      <w:bookmarkStart w:id="2466" w:name="_Toc38443645"/>
      <w:bookmarkStart w:id="2467" w:name="_Toc38443975"/>
      <w:bookmarkStart w:id="2468" w:name="_Toc38438443"/>
      <w:bookmarkStart w:id="2469" w:name="_Toc38438780"/>
      <w:bookmarkStart w:id="2470" w:name="_Toc38439117"/>
      <w:bookmarkStart w:id="2471" w:name="_Toc38439454"/>
      <w:bookmarkStart w:id="2472" w:name="_Toc38439791"/>
      <w:bookmarkStart w:id="2473" w:name="_Toc38440128"/>
      <w:bookmarkStart w:id="2474" w:name="_Toc38440465"/>
      <w:bookmarkStart w:id="2475" w:name="_Toc38440997"/>
      <w:bookmarkStart w:id="2476" w:name="_Toc38441329"/>
      <w:bookmarkStart w:id="2477" w:name="_Toc38441661"/>
      <w:bookmarkStart w:id="2478" w:name="_Toc38441989"/>
      <w:bookmarkStart w:id="2479" w:name="_Toc38442321"/>
      <w:bookmarkStart w:id="2480" w:name="_Toc38442653"/>
      <w:bookmarkStart w:id="2481" w:name="_Toc38442984"/>
      <w:bookmarkStart w:id="2482" w:name="_Toc38443315"/>
      <w:bookmarkStart w:id="2483" w:name="_Toc38443646"/>
      <w:bookmarkStart w:id="2484" w:name="_Toc38443976"/>
      <w:bookmarkStart w:id="2485" w:name="_Toc38438444"/>
      <w:bookmarkStart w:id="2486" w:name="_Toc38438781"/>
      <w:bookmarkStart w:id="2487" w:name="_Toc38439118"/>
      <w:bookmarkStart w:id="2488" w:name="_Toc38439455"/>
      <w:bookmarkStart w:id="2489" w:name="_Toc38439792"/>
      <w:bookmarkStart w:id="2490" w:name="_Toc38440129"/>
      <w:bookmarkStart w:id="2491" w:name="_Toc38440466"/>
      <w:bookmarkStart w:id="2492" w:name="_Toc38440998"/>
      <w:bookmarkStart w:id="2493" w:name="_Toc38441330"/>
      <w:bookmarkStart w:id="2494" w:name="_Toc38441662"/>
      <w:bookmarkStart w:id="2495" w:name="_Toc38441990"/>
      <w:bookmarkStart w:id="2496" w:name="_Toc38442322"/>
      <w:bookmarkStart w:id="2497" w:name="_Toc38442654"/>
      <w:bookmarkStart w:id="2498" w:name="_Toc38442985"/>
      <w:bookmarkStart w:id="2499" w:name="_Toc38443316"/>
      <w:bookmarkStart w:id="2500" w:name="_Toc38443647"/>
      <w:bookmarkStart w:id="2501" w:name="_Toc38443977"/>
      <w:bookmarkStart w:id="2502" w:name="_Toc38438445"/>
      <w:bookmarkStart w:id="2503" w:name="_Toc38438782"/>
      <w:bookmarkStart w:id="2504" w:name="_Toc38439119"/>
      <w:bookmarkStart w:id="2505" w:name="_Toc38439456"/>
      <w:bookmarkStart w:id="2506" w:name="_Toc38439793"/>
      <w:bookmarkStart w:id="2507" w:name="_Toc38438715"/>
      <w:bookmarkStart w:id="2508" w:name="_Toc38439052"/>
      <w:bookmarkStart w:id="2509" w:name="_Toc38439389"/>
      <w:bookmarkStart w:id="2510" w:name="_Toc38439726"/>
      <w:bookmarkStart w:id="2511" w:name="_Toc38440063"/>
      <w:bookmarkStart w:id="2512" w:name="_Toc38440400"/>
      <w:bookmarkStart w:id="2513" w:name="_Toc38440932"/>
      <w:bookmarkStart w:id="2514" w:name="_Toc38441264"/>
      <w:bookmarkStart w:id="2515" w:name="_Toc38441596"/>
      <w:bookmarkStart w:id="2516" w:name="_Toc38441924"/>
      <w:bookmarkStart w:id="2517" w:name="_Toc38442256"/>
      <w:bookmarkStart w:id="2518" w:name="_Toc38442588"/>
      <w:bookmarkStart w:id="2519" w:name="_Toc38442919"/>
      <w:bookmarkStart w:id="2520" w:name="_Toc38443250"/>
      <w:bookmarkStart w:id="2521" w:name="_Toc38443581"/>
      <w:bookmarkStart w:id="2522" w:name="_Toc38443911"/>
      <w:bookmarkStart w:id="2523" w:name="_Toc38438379"/>
      <w:bookmarkStart w:id="2524" w:name="_Toc38438716"/>
      <w:bookmarkStart w:id="2525" w:name="_Toc38439053"/>
      <w:bookmarkStart w:id="2526" w:name="_Toc38439390"/>
      <w:bookmarkStart w:id="2527" w:name="_Toc38439727"/>
      <w:bookmarkStart w:id="2528" w:name="_Toc38440064"/>
      <w:bookmarkStart w:id="2529" w:name="_Toc38440401"/>
      <w:bookmarkStart w:id="2530" w:name="_Toc38440933"/>
      <w:bookmarkStart w:id="2531" w:name="_Toc38441265"/>
      <w:bookmarkStart w:id="2532" w:name="_Toc38441597"/>
      <w:bookmarkStart w:id="2533" w:name="_Toc38441925"/>
      <w:bookmarkStart w:id="2534" w:name="_Toc38442257"/>
      <w:bookmarkStart w:id="2535" w:name="_Toc38442589"/>
      <w:bookmarkStart w:id="2536" w:name="_Toc38442920"/>
      <w:bookmarkStart w:id="2537" w:name="_Toc38443251"/>
      <w:bookmarkStart w:id="2538" w:name="_Toc38443582"/>
      <w:bookmarkStart w:id="2539" w:name="_Toc38443912"/>
      <w:bookmarkStart w:id="2540" w:name="_Toc38438380"/>
      <w:bookmarkStart w:id="2541" w:name="_Toc38438717"/>
      <w:bookmarkStart w:id="2542" w:name="_Toc38439054"/>
      <w:bookmarkStart w:id="2543" w:name="_Toc38439391"/>
      <w:bookmarkStart w:id="2544" w:name="_Toc38439728"/>
      <w:bookmarkStart w:id="2545" w:name="_Toc38440065"/>
      <w:bookmarkStart w:id="2546" w:name="_Toc38440402"/>
      <w:bookmarkStart w:id="2547" w:name="_Toc38440934"/>
      <w:bookmarkStart w:id="2548" w:name="_Toc38441266"/>
      <w:bookmarkStart w:id="2549" w:name="_Toc38441598"/>
      <w:bookmarkStart w:id="2550" w:name="_Toc38441926"/>
      <w:bookmarkStart w:id="2551" w:name="_Toc38442258"/>
      <w:bookmarkStart w:id="2552" w:name="_Toc38442590"/>
      <w:bookmarkStart w:id="2553" w:name="_Toc38442921"/>
      <w:bookmarkStart w:id="2554" w:name="_Toc38443252"/>
      <w:bookmarkStart w:id="2555" w:name="_Toc38443583"/>
      <w:bookmarkStart w:id="2556" w:name="_Toc38443913"/>
      <w:bookmarkStart w:id="2557" w:name="_Toc38438381"/>
      <w:bookmarkStart w:id="2558" w:name="_Toc38438718"/>
      <w:bookmarkStart w:id="2559" w:name="_Toc38439055"/>
      <w:bookmarkStart w:id="2560" w:name="_Toc38439392"/>
      <w:bookmarkStart w:id="2561" w:name="_Toc38439729"/>
      <w:bookmarkStart w:id="2562" w:name="_Toc38440066"/>
      <w:bookmarkStart w:id="2563" w:name="_Toc38440403"/>
      <w:bookmarkStart w:id="2564" w:name="_Toc38440935"/>
      <w:bookmarkStart w:id="2565" w:name="_Toc38441267"/>
      <w:bookmarkStart w:id="2566" w:name="_Toc38441599"/>
      <w:bookmarkStart w:id="2567" w:name="_Toc38441927"/>
      <w:bookmarkStart w:id="2568" w:name="_Toc38442259"/>
      <w:bookmarkStart w:id="2569" w:name="_Toc38442591"/>
      <w:bookmarkStart w:id="2570" w:name="_Toc38442922"/>
      <w:bookmarkStart w:id="2571" w:name="_Toc38443253"/>
      <w:bookmarkStart w:id="2572" w:name="_Toc38443584"/>
      <w:bookmarkStart w:id="2573" w:name="_Toc38443914"/>
      <w:bookmarkStart w:id="2574" w:name="_Toc38438382"/>
      <w:bookmarkStart w:id="2575" w:name="_Toc38438719"/>
      <w:bookmarkStart w:id="2576" w:name="_Toc38439056"/>
      <w:bookmarkStart w:id="2577" w:name="_Toc38439393"/>
      <w:bookmarkStart w:id="2578" w:name="_Toc38439730"/>
      <w:bookmarkStart w:id="2579" w:name="_Toc38440067"/>
      <w:bookmarkStart w:id="2580" w:name="_Toc38440404"/>
      <w:bookmarkStart w:id="2581" w:name="_Toc38440936"/>
      <w:bookmarkStart w:id="2582" w:name="_Toc38441268"/>
      <w:bookmarkStart w:id="2583" w:name="_Toc38441600"/>
      <w:bookmarkStart w:id="2584" w:name="_Toc38441928"/>
      <w:bookmarkStart w:id="2585" w:name="_Toc38442260"/>
      <w:bookmarkStart w:id="2586" w:name="_Toc38442592"/>
      <w:bookmarkStart w:id="2587" w:name="_Toc38442923"/>
      <w:bookmarkStart w:id="2588" w:name="_Toc38443254"/>
      <w:bookmarkStart w:id="2589" w:name="_Toc38443585"/>
      <w:bookmarkStart w:id="2590" w:name="_Toc38443915"/>
      <w:bookmarkStart w:id="2591" w:name="_Toc38438383"/>
      <w:bookmarkStart w:id="2592" w:name="_Toc38438720"/>
      <w:bookmarkStart w:id="2593" w:name="_Toc38439057"/>
      <w:bookmarkStart w:id="2594" w:name="_Toc38439394"/>
      <w:bookmarkStart w:id="2595" w:name="_Toc38439731"/>
      <w:bookmarkStart w:id="2596" w:name="_Toc38440068"/>
      <w:bookmarkStart w:id="2597" w:name="_Toc38440405"/>
      <w:bookmarkStart w:id="2598" w:name="_Toc38440937"/>
      <w:bookmarkStart w:id="2599" w:name="_Toc38441269"/>
      <w:bookmarkStart w:id="2600" w:name="_Toc38441601"/>
      <w:bookmarkStart w:id="2601" w:name="_Toc38441929"/>
      <w:bookmarkStart w:id="2602" w:name="_Toc38442261"/>
      <w:bookmarkStart w:id="2603" w:name="_Toc38442593"/>
      <w:bookmarkStart w:id="2604" w:name="_Toc38442924"/>
      <w:bookmarkStart w:id="2605" w:name="_Toc38443255"/>
      <w:bookmarkStart w:id="2606" w:name="_Toc38443586"/>
      <w:bookmarkStart w:id="2607" w:name="_Toc38443916"/>
      <w:bookmarkStart w:id="2608" w:name="_Toc38438384"/>
      <w:bookmarkStart w:id="2609" w:name="_Toc38438721"/>
      <w:bookmarkStart w:id="2610" w:name="_Toc38439058"/>
      <w:bookmarkStart w:id="2611" w:name="_Toc38439395"/>
      <w:bookmarkStart w:id="2612" w:name="_Toc38439732"/>
      <w:bookmarkStart w:id="2613" w:name="_Toc38440069"/>
      <w:bookmarkStart w:id="2614" w:name="_Toc38440406"/>
      <w:bookmarkStart w:id="2615" w:name="_Toc38440938"/>
      <w:bookmarkStart w:id="2616" w:name="_Toc38441270"/>
      <w:bookmarkStart w:id="2617" w:name="_Toc38441602"/>
      <w:bookmarkStart w:id="2618" w:name="_Toc38441930"/>
      <w:bookmarkStart w:id="2619" w:name="_Toc38442262"/>
      <w:bookmarkStart w:id="2620" w:name="_Toc38442594"/>
      <w:bookmarkStart w:id="2621" w:name="_Toc38442925"/>
      <w:bookmarkStart w:id="2622" w:name="_Toc38443256"/>
      <w:bookmarkStart w:id="2623" w:name="_Toc38443587"/>
      <w:bookmarkStart w:id="2624" w:name="_Toc38443917"/>
      <w:bookmarkStart w:id="2625" w:name="_Toc38438385"/>
      <w:bookmarkStart w:id="2626" w:name="_Toc38438722"/>
      <w:bookmarkStart w:id="2627" w:name="_Toc38439059"/>
      <w:bookmarkStart w:id="2628" w:name="_Toc38439396"/>
      <w:bookmarkStart w:id="2629" w:name="_Toc38439733"/>
      <w:bookmarkStart w:id="2630" w:name="_Toc38440070"/>
      <w:bookmarkStart w:id="2631" w:name="_Toc38440407"/>
      <w:bookmarkStart w:id="2632" w:name="_Toc38440939"/>
      <w:bookmarkStart w:id="2633" w:name="_Toc38441271"/>
      <w:bookmarkStart w:id="2634" w:name="_Toc38441603"/>
      <w:bookmarkStart w:id="2635" w:name="_Toc38441931"/>
      <w:bookmarkStart w:id="2636" w:name="_Toc38442263"/>
      <w:bookmarkStart w:id="2637" w:name="_Toc38442595"/>
      <w:bookmarkStart w:id="2638" w:name="_Toc38442926"/>
      <w:bookmarkStart w:id="2639" w:name="_Toc38443257"/>
      <w:bookmarkStart w:id="2640" w:name="_Toc38443588"/>
      <w:bookmarkStart w:id="2641" w:name="_Toc38443918"/>
      <w:bookmarkStart w:id="2642" w:name="_Toc38438386"/>
      <w:bookmarkStart w:id="2643" w:name="_Toc38438723"/>
      <w:bookmarkStart w:id="2644" w:name="_Toc38439060"/>
      <w:bookmarkStart w:id="2645" w:name="_Toc38439397"/>
      <w:bookmarkStart w:id="2646" w:name="_Toc38439734"/>
      <w:bookmarkStart w:id="2647" w:name="_Toc38440071"/>
      <w:bookmarkStart w:id="2648" w:name="_Toc38440408"/>
      <w:bookmarkStart w:id="2649" w:name="_Toc38440940"/>
      <w:bookmarkStart w:id="2650" w:name="_Toc38441272"/>
      <w:bookmarkStart w:id="2651" w:name="_Toc38441604"/>
      <w:bookmarkStart w:id="2652" w:name="_Toc38441932"/>
      <w:bookmarkStart w:id="2653" w:name="_Toc38442264"/>
      <w:bookmarkStart w:id="2654" w:name="_Toc38442596"/>
      <w:bookmarkStart w:id="2655" w:name="_Toc38442927"/>
      <w:bookmarkStart w:id="2656" w:name="_Toc38443258"/>
      <w:bookmarkStart w:id="2657" w:name="_Toc38443589"/>
      <w:bookmarkStart w:id="2658" w:name="_Toc38443919"/>
      <w:bookmarkStart w:id="2659" w:name="_Toc38438387"/>
      <w:bookmarkStart w:id="2660" w:name="_Toc38438724"/>
      <w:bookmarkStart w:id="2661" w:name="_Toc38439061"/>
      <w:bookmarkStart w:id="2662" w:name="_Toc38439398"/>
      <w:bookmarkStart w:id="2663" w:name="_Toc38439735"/>
      <w:bookmarkStart w:id="2664" w:name="_Toc38440072"/>
      <w:bookmarkStart w:id="2665" w:name="_Toc38440409"/>
      <w:bookmarkStart w:id="2666" w:name="_Toc38440941"/>
      <w:bookmarkStart w:id="2667" w:name="_Toc38441273"/>
      <w:bookmarkStart w:id="2668" w:name="_Toc38441605"/>
      <w:bookmarkStart w:id="2669" w:name="_Toc38441933"/>
      <w:bookmarkStart w:id="2670" w:name="_Toc38442265"/>
      <w:bookmarkStart w:id="2671" w:name="_Toc38442597"/>
      <w:bookmarkStart w:id="2672" w:name="_Toc38442928"/>
      <w:bookmarkStart w:id="2673" w:name="_Toc38443259"/>
      <w:bookmarkStart w:id="2674" w:name="_Toc38443590"/>
      <w:bookmarkStart w:id="2675" w:name="_Toc38443920"/>
      <w:bookmarkStart w:id="2676" w:name="_Toc38438388"/>
      <w:bookmarkStart w:id="2677" w:name="_Toc38438725"/>
      <w:bookmarkStart w:id="2678" w:name="_Toc38439062"/>
      <w:bookmarkStart w:id="2679" w:name="_Toc38439399"/>
      <w:bookmarkStart w:id="2680" w:name="_Toc38439736"/>
      <w:bookmarkStart w:id="2681" w:name="_Toc38440073"/>
      <w:bookmarkStart w:id="2682" w:name="_Toc38440410"/>
      <w:bookmarkStart w:id="2683" w:name="_Toc38440942"/>
      <w:bookmarkStart w:id="2684" w:name="_Toc38441274"/>
      <w:bookmarkStart w:id="2685" w:name="_Toc38441606"/>
      <w:bookmarkStart w:id="2686" w:name="_Toc38441934"/>
      <w:bookmarkStart w:id="2687" w:name="_Toc38442266"/>
      <w:bookmarkStart w:id="2688" w:name="_Toc38442598"/>
      <w:bookmarkStart w:id="2689" w:name="_Toc38442929"/>
      <w:bookmarkStart w:id="2690" w:name="_Toc38443260"/>
      <w:bookmarkStart w:id="2691" w:name="_Toc38443591"/>
      <w:bookmarkStart w:id="2692" w:name="_Toc38443921"/>
      <w:bookmarkStart w:id="2693" w:name="_Toc38438389"/>
      <w:bookmarkStart w:id="2694" w:name="_Toc38438726"/>
      <w:bookmarkStart w:id="2695" w:name="_Toc38439063"/>
      <w:bookmarkStart w:id="2696" w:name="_Toc38439400"/>
      <w:bookmarkStart w:id="2697" w:name="_Toc38439737"/>
      <w:bookmarkStart w:id="2698" w:name="_Toc38440074"/>
      <w:bookmarkStart w:id="2699" w:name="_Toc38440411"/>
      <w:bookmarkStart w:id="2700" w:name="_Toc38440943"/>
      <w:bookmarkStart w:id="2701" w:name="_Toc38441275"/>
      <w:bookmarkStart w:id="2702" w:name="_Toc38441607"/>
      <w:bookmarkStart w:id="2703" w:name="_Toc38441935"/>
      <w:bookmarkStart w:id="2704" w:name="_Toc38442267"/>
      <w:bookmarkStart w:id="2705" w:name="_Toc38442599"/>
      <w:bookmarkStart w:id="2706" w:name="_Toc38442930"/>
      <w:bookmarkStart w:id="2707" w:name="_Toc38443261"/>
      <w:bookmarkStart w:id="2708" w:name="_Toc38443592"/>
      <w:bookmarkStart w:id="2709" w:name="_Toc38443922"/>
      <w:bookmarkStart w:id="2710" w:name="_Toc38438390"/>
      <w:bookmarkStart w:id="2711" w:name="_Toc38438727"/>
      <w:bookmarkStart w:id="2712" w:name="_Toc38439064"/>
      <w:bookmarkStart w:id="2713" w:name="_Toc38439401"/>
      <w:bookmarkStart w:id="2714" w:name="_Toc38439738"/>
      <w:bookmarkStart w:id="2715" w:name="_Toc38440075"/>
      <w:bookmarkStart w:id="2716" w:name="_Toc38440412"/>
      <w:bookmarkStart w:id="2717" w:name="_Toc38440944"/>
      <w:bookmarkStart w:id="2718" w:name="_Toc38441276"/>
      <w:bookmarkStart w:id="2719" w:name="_Toc38441608"/>
      <w:bookmarkStart w:id="2720" w:name="_Toc38441936"/>
      <w:bookmarkStart w:id="2721" w:name="_Toc38442268"/>
      <w:bookmarkStart w:id="2722" w:name="_Toc38442600"/>
      <w:bookmarkStart w:id="2723" w:name="_Toc38442931"/>
      <w:bookmarkStart w:id="2724" w:name="_Toc38443262"/>
      <w:bookmarkStart w:id="2725" w:name="_Toc38443593"/>
      <w:bookmarkStart w:id="2726" w:name="_Toc38443923"/>
      <w:bookmarkStart w:id="2727" w:name="_Toc38438391"/>
      <w:bookmarkStart w:id="2728" w:name="_Toc38438728"/>
      <w:bookmarkStart w:id="2729" w:name="_Toc38439065"/>
      <w:bookmarkStart w:id="2730" w:name="_Toc38439402"/>
      <w:bookmarkStart w:id="2731" w:name="_Toc38439739"/>
      <w:bookmarkStart w:id="2732" w:name="_Toc38440076"/>
      <w:bookmarkStart w:id="2733" w:name="_Toc38440413"/>
      <w:bookmarkStart w:id="2734" w:name="_Toc38440945"/>
      <w:bookmarkStart w:id="2735" w:name="_Toc38441277"/>
      <w:bookmarkStart w:id="2736" w:name="_Toc38441609"/>
      <w:bookmarkStart w:id="2737" w:name="_Toc38441937"/>
      <w:bookmarkStart w:id="2738" w:name="_Toc38442269"/>
      <w:bookmarkStart w:id="2739" w:name="_Toc38442601"/>
      <w:bookmarkStart w:id="2740" w:name="_Toc38442932"/>
      <w:bookmarkStart w:id="2741" w:name="_Toc38443263"/>
      <w:bookmarkStart w:id="2742" w:name="_Toc38443594"/>
      <w:bookmarkStart w:id="2743" w:name="_Toc38443924"/>
      <w:bookmarkStart w:id="2744" w:name="_Toc38438392"/>
      <w:bookmarkStart w:id="2745" w:name="_Toc38438729"/>
      <w:bookmarkStart w:id="2746" w:name="_Toc38439066"/>
      <w:bookmarkStart w:id="2747" w:name="_Toc38439403"/>
      <w:bookmarkStart w:id="2748" w:name="_Toc38439740"/>
      <w:bookmarkStart w:id="2749" w:name="_Toc38440077"/>
      <w:bookmarkStart w:id="2750" w:name="_Toc38440414"/>
      <w:bookmarkStart w:id="2751" w:name="_Toc38440946"/>
      <w:bookmarkStart w:id="2752" w:name="_Toc38441278"/>
      <w:bookmarkStart w:id="2753" w:name="_Toc38441610"/>
      <w:bookmarkStart w:id="2754" w:name="_Toc38441938"/>
      <w:bookmarkStart w:id="2755" w:name="_Toc38442270"/>
      <w:bookmarkStart w:id="2756" w:name="_Toc38442602"/>
      <w:bookmarkStart w:id="2757" w:name="_Toc38442933"/>
      <w:bookmarkStart w:id="2758" w:name="_Toc38443264"/>
      <w:bookmarkStart w:id="2759" w:name="_Toc38443595"/>
      <w:bookmarkStart w:id="2760" w:name="_Toc38443925"/>
      <w:bookmarkStart w:id="2761" w:name="_Toc38438393"/>
      <w:bookmarkStart w:id="2762" w:name="_Toc38438730"/>
      <w:bookmarkStart w:id="2763" w:name="_Toc38439067"/>
      <w:bookmarkStart w:id="2764" w:name="_Toc38439404"/>
      <w:bookmarkStart w:id="2765" w:name="_Toc38439741"/>
      <w:bookmarkStart w:id="2766" w:name="_Toc38440078"/>
      <w:bookmarkStart w:id="2767" w:name="_Toc38440415"/>
      <w:bookmarkStart w:id="2768" w:name="_Toc38440947"/>
      <w:bookmarkStart w:id="2769" w:name="_Toc38441279"/>
      <w:bookmarkStart w:id="2770" w:name="_Toc38441611"/>
      <w:bookmarkStart w:id="2771" w:name="_Toc38441939"/>
      <w:bookmarkStart w:id="2772" w:name="_Toc38442271"/>
      <w:bookmarkStart w:id="2773" w:name="_Toc38442603"/>
      <w:bookmarkStart w:id="2774" w:name="_Toc38442934"/>
      <w:bookmarkStart w:id="2775" w:name="_Toc38443265"/>
      <w:bookmarkStart w:id="2776" w:name="_Toc38443596"/>
      <w:bookmarkStart w:id="2777" w:name="_Toc38443926"/>
      <w:bookmarkStart w:id="2778" w:name="_Toc38438394"/>
      <w:bookmarkStart w:id="2779" w:name="_Toc38438731"/>
      <w:bookmarkStart w:id="2780" w:name="_Toc38439068"/>
      <w:bookmarkStart w:id="2781" w:name="_Toc38439405"/>
      <w:bookmarkStart w:id="2782" w:name="_Toc38439742"/>
      <w:bookmarkStart w:id="2783" w:name="_Toc38440079"/>
      <w:bookmarkStart w:id="2784" w:name="_Toc38440416"/>
      <w:bookmarkStart w:id="2785" w:name="_Toc38440948"/>
      <w:bookmarkStart w:id="2786" w:name="_Toc38441280"/>
      <w:bookmarkStart w:id="2787" w:name="_Toc38441612"/>
      <w:bookmarkStart w:id="2788" w:name="_Toc38441940"/>
      <w:bookmarkStart w:id="2789" w:name="_Toc38442272"/>
      <w:bookmarkStart w:id="2790" w:name="_Toc38442604"/>
      <w:bookmarkStart w:id="2791" w:name="_Toc38442935"/>
      <w:bookmarkStart w:id="2792" w:name="_Toc38443266"/>
      <w:bookmarkStart w:id="2793" w:name="_Toc38443597"/>
      <w:bookmarkStart w:id="2794" w:name="_Toc38443927"/>
      <w:bookmarkStart w:id="2795" w:name="_Toc38438395"/>
      <w:bookmarkStart w:id="2796" w:name="_Toc38438732"/>
      <w:bookmarkStart w:id="2797" w:name="_Toc38439069"/>
      <w:bookmarkStart w:id="2798" w:name="_Toc38439406"/>
      <w:bookmarkStart w:id="2799" w:name="_Toc38439743"/>
      <w:bookmarkStart w:id="2800" w:name="_Toc38440080"/>
      <w:bookmarkStart w:id="2801" w:name="_Toc38440417"/>
      <w:bookmarkStart w:id="2802" w:name="_Toc38440949"/>
      <w:bookmarkStart w:id="2803" w:name="_Toc38441281"/>
      <w:bookmarkStart w:id="2804" w:name="_Toc38441613"/>
      <w:bookmarkStart w:id="2805" w:name="_Toc38441941"/>
      <w:bookmarkStart w:id="2806" w:name="_Toc38442273"/>
      <w:bookmarkStart w:id="2807" w:name="_Toc38442605"/>
      <w:bookmarkStart w:id="2808" w:name="_Toc38442936"/>
      <w:bookmarkStart w:id="2809" w:name="_Toc38443267"/>
      <w:bookmarkStart w:id="2810" w:name="_Toc38443598"/>
      <w:bookmarkStart w:id="2811" w:name="_Toc38443928"/>
      <w:bookmarkStart w:id="2812" w:name="_Toc38438396"/>
      <w:bookmarkStart w:id="2813" w:name="_Toc38438733"/>
      <w:bookmarkStart w:id="2814" w:name="_Toc38439070"/>
      <w:bookmarkStart w:id="2815" w:name="_Toc38439407"/>
      <w:bookmarkStart w:id="2816" w:name="_Toc38439744"/>
      <w:bookmarkStart w:id="2817" w:name="_Toc38440081"/>
      <w:bookmarkStart w:id="2818" w:name="_Toc38440418"/>
      <w:bookmarkStart w:id="2819" w:name="_Toc38440950"/>
      <w:bookmarkStart w:id="2820" w:name="_Toc38441282"/>
      <w:bookmarkStart w:id="2821" w:name="_Toc38441614"/>
      <w:bookmarkStart w:id="2822" w:name="_Toc38441942"/>
      <w:bookmarkStart w:id="2823" w:name="_Toc38442274"/>
      <w:bookmarkStart w:id="2824" w:name="_Toc38442606"/>
      <w:bookmarkStart w:id="2825" w:name="_Toc38442937"/>
      <w:bookmarkStart w:id="2826" w:name="_Toc38443268"/>
      <w:bookmarkStart w:id="2827" w:name="_Toc38443599"/>
      <w:bookmarkStart w:id="2828" w:name="_Toc38443929"/>
      <w:bookmarkStart w:id="2829" w:name="_Toc38438397"/>
      <w:bookmarkStart w:id="2830" w:name="_Toc38438734"/>
      <w:bookmarkStart w:id="2831" w:name="_Toc38439071"/>
      <w:bookmarkStart w:id="2832" w:name="_Toc38439408"/>
      <w:bookmarkStart w:id="2833" w:name="_Toc38439745"/>
      <w:bookmarkStart w:id="2834" w:name="_Toc38440082"/>
      <w:bookmarkStart w:id="2835" w:name="_Toc38440419"/>
      <w:bookmarkStart w:id="2836" w:name="_Toc38440951"/>
      <w:bookmarkStart w:id="2837" w:name="_Toc38441283"/>
      <w:bookmarkStart w:id="2838" w:name="_Toc38441615"/>
      <w:bookmarkStart w:id="2839" w:name="_Toc38441943"/>
      <w:bookmarkStart w:id="2840" w:name="_Toc38442275"/>
      <w:bookmarkStart w:id="2841" w:name="_Toc38442607"/>
      <w:bookmarkStart w:id="2842" w:name="_Toc38442938"/>
      <w:bookmarkStart w:id="2843" w:name="_Toc38443269"/>
      <w:bookmarkStart w:id="2844" w:name="_Toc38443600"/>
      <w:bookmarkStart w:id="2845" w:name="_Toc38443930"/>
      <w:bookmarkStart w:id="2846" w:name="_Toc38438398"/>
      <w:bookmarkStart w:id="2847" w:name="_Toc38438735"/>
      <w:bookmarkStart w:id="2848" w:name="_Toc38439072"/>
      <w:bookmarkStart w:id="2849" w:name="_Toc38439409"/>
      <w:bookmarkStart w:id="2850" w:name="_Toc38439746"/>
      <w:bookmarkStart w:id="2851" w:name="_Toc38440083"/>
      <w:bookmarkStart w:id="2852" w:name="_Toc38440420"/>
      <w:bookmarkStart w:id="2853" w:name="_Toc38440952"/>
      <w:bookmarkStart w:id="2854" w:name="_Toc38441284"/>
      <w:bookmarkStart w:id="2855" w:name="_Toc38441616"/>
      <w:bookmarkStart w:id="2856" w:name="_Toc38441944"/>
      <w:bookmarkStart w:id="2857" w:name="_Toc38442276"/>
      <w:bookmarkStart w:id="2858" w:name="_Toc38442608"/>
      <w:bookmarkStart w:id="2859" w:name="_Toc38442939"/>
      <w:bookmarkStart w:id="2860" w:name="_Toc38443270"/>
      <w:bookmarkStart w:id="2861" w:name="_Toc38443601"/>
      <w:bookmarkStart w:id="2862" w:name="_Toc38443931"/>
      <w:bookmarkStart w:id="2863" w:name="_Toc38438400"/>
      <w:bookmarkStart w:id="2864" w:name="_Toc38438737"/>
      <w:bookmarkStart w:id="2865" w:name="_Toc38439074"/>
      <w:bookmarkStart w:id="2866" w:name="_Toc38439411"/>
      <w:bookmarkStart w:id="2867" w:name="_Toc38439748"/>
      <w:bookmarkStart w:id="2868" w:name="_Toc38440085"/>
      <w:bookmarkStart w:id="2869" w:name="_Toc38440422"/>
      <w:bookmarkStart w:id="2870" w:name="_Toc38440954"/>
      <w:bookmarkStart w:id="2871" w:name="_Toc38441286"/>
      <w:bookmarkStart w:id="2872" w:name="_Toc38441618"/>
      <w:bookmarkStart w:id="2873" w:name="_Toc38441946"/>
      <w:bookmarkStart w:id="2874" w:name="_Toc38442278"/>
      <w:bookmarkStart w:id="2875" w:name="_Toc38442610"/>
      <w:bookmarkStart w:id="2876" w:name="_Toc38442941"/>
      <w:bookmarkStart w:id="2877" w:name="_Toc38443272"/>
      <w:bookmarkStart w:id="2878" w:name="_Toc38443603"/>
      <w:bookmarkStart w:id="2879" w:name="_Toc38443933"/>
      <w:bookmarkStart w:id="2880" w:name="_Toc38438401"/>
      <w:bookmarkStart w:id="2881" w:name="_Toc38438738"/>
      <w:bookmarkStart w:id="2882" w:name="_Toc38439075"/>
      <w:bookmarkStart w:id="2883" w:name="_Toc38439412"/>
      <w:bookmarkStart w:id="2884" w:name="_Toc38439749"/>
      <w:bookmarkStart w:id="2885" w:name="_Toc38440086"/>
      <w:bookmarkStart w:id="2886" w:name="_Toc38440423"/>
      <w:bookmarkStart w:id="2887" w:name="_Toc38440955"/>
      <w:bookmarkStart w:id="2888" w:name="_Toc38441287"/>
      <w:bookmarkStart w:id="2889" w:name="_Toc38441619"/>
      <w:bookmarkStart w:id="2890" w:name="_Toc38441947"/>
      <w:bookmarkStart w:id="2891" w:name="_Toc38442279"/>
      <w:bookmarkStart w:id="2892" w:name="_Toc38442611"/>
      <w:bookmarkStart w:id="2893" w:name="_Toc38442942"/>
      <w:bookmarkStart w:id="2894" w:name="_Toc38443273"/>
      <w:bookmarkStart w:id="2895" w:name="_Toc38443604"/>
      <w:bookmarkStart w:id="2896" w:name="_Toc38443934"/>
      <w:bookmarkStart w:id="2897" w:name="_Toc38438402"/>
      <w:bookmarkStart w:id="2898" w:name="_Toc38438739"/>
      <w:bookmarkStart w:id="2899" w:name="_Toc38439076"/>
      <w:bookmarkStart w:id="2900" w:name="_Toc38439413"/>
      <w:bookmarkStart w:id="2901" w:name="_Toc38439750"/>
      <w:bookmarkStart w:id="2902" w:name="_Toc38440087"/>
      <w:bookmarkStart w:id="2903" w:name="_Toc38440424"/>
      <w:bookmarkStart w:id="2904" w:name="_Toc38440956"/>
      <w:bookmarkStart w:id="2905" w:name="_Toc38441288"/>
      <w:bookmarkStart w:id="2906" w:name="_Toc38441620"/>
      <w:bookmarkStart w:id="2907" w:name="_Toc38441948"/>
      <w:bookmarkStart w:id="2908" w:name="_Toc38442280"/>
      <w:bookmarkStart w:id="2909" w:name="_Toc38442612"/>
      <w:bookmarkStart w:id="2910" w:name="_Toc38442943"/>
      <w:bookmarkStart w:id="2911" w:name="_Toc38443274"/>
      <w:bookmarkStart w:id="2912" w:name="_Toc38443605"/>
      <w:bookmarkStart w:id="2913" w:name="_Toc38443935"/>
      <w:bookmarkStart w:id="2914" w:name="_Toc38438404"/>
      <w:bookmarkStart w:id="2915" w:name="_Toc38438741"/>
      <w:bookmarkStart w:id="2916" w:name="_Toc38439078"/>
      <w:bookmarkStart w:id="2917" w:name="_Toc38439415"/>
      <w:bookmarkStart w:id="2918" w:name="_Toc38439752"/>
      <w:bookmarkStart w:id="2919" w:name="_Toc38440089"/>
      <w:bookmarkStart w:id="2920" w:name="_Toc38440426"/>
      <w:bookmarkStart w:id="2921" w:name="_Toc38440958"/>
      <w:bookmarkStart w:id="2922" w:name="_Toc38441290"/>
      <w:bookmarkStart w:id="2923" w:name="_Toc38441622"/>
      <w:bookmarkStart w:id="2924" w:name="_Toc38441950"/>
      <w:bookmarkStart w:id="2925" w:name="_Toc38442282"/>
      <w:bookmarkStart w:id="2926" w:name="_Toc38442614"/>
      <w:bookmarkStart w:id="2927" w:name="_Toc38442945"/>
      <w:bookmarkStart w:id="2928" w:name="_Toc38443276"/>
      <w:bookmarkStart w:id="2929" w:name="_Toc38443607"/>
      <w:bookmarkStart w:id="2930" w:name="_Toc38443937"/>
      <w:bookmarkStart w:id="2931" w:name="_Toc38438405"/>
      <w:bookmarkStart w:id="2932" w:name="_Toc38438742"/>
      <w:bookmarkStart w:id="2933" w:name="_Toc38439079"/>
      <w:bookmarkStart w:id="2934" w:name="_Toc38439416"/>
      <w:bookmarkStart w:id="2935" w:name="_Toc38439753"/>
      <w:bookmarkStart w:id="2936" w:name="_Toc38440090"/>
      <w:bookmarkStart w:id="2937" w:name="_Toc38440427"/>
      <w:bookmarkStart w:id="2938" w:name="_Toc38440959"/>
      <w:bookmarkStart w:id="2939" w:name="_Toc38441291"/>
      <w:bookmarkStart w:id="2940" w:name="_Toc38441623"/>
      <w:bookmarkStart w:id="2941" w:name="_Toc38441951"/>
      <w:bookmarkStart w:id="2942" w:name="_Toc38442283"/>
      <w:bookmarkStart w:id="2943" w:name="_Toc38442615"/>
      <w:bookmarkStart w:id="2944" w:name="_Toc38442946"/>
      <w:bookmarkStart w:id="2945" w:name="_Toc38443277"/>
      <w:bookmarkStart w:id="2946" w:name="_Toc38443608"/>
      <w:bookmarkStart w:id="2947" w:name="_Toc38443938"/>
      <w:bookmarkStart w:id="2948" w:name="_Toc38438406"/>
      <w:bookmarkStart w:id="2949" w:name="_Toc38438743"/>
      <w:bookmarkStart w:id="2950" w:name="_Toc38439080"/>
      <w:bookmarkStart w:id="2951" w:name="_Toc38439417"/>
      <w:bookmarkStart w:id="2952" w:name="_Toc38439754"/>
      <w:bookmarkStart w:id="2953" w:name="_Toc38440091"/>
      <w:bookmarkStart w:id="2954" w:name="_Toc38440428"/>
      <w:bookmarkStart w:id="2955" w:name="_Toc38440960"/>
      <w:bookmarkStart w:id="2956" w:name="_Toc38441292"/>
      <w:bookmarkStart w:id="2957" w:name="_Toc38441624"/>
      <w:bookmarkStart w:id="2958" w:name="_Toc38441952"/>
      <w:bookmarkStart w:id="2959" w:name="_Toc38442284"/>
      <w:bookmarkStart w:id="2960" w:name="_Toc38442616"/>
      <w:bookmarkStart w:id="2961" w:name="_Toc38442947"/>
      <w:bookmarkStart w:id="2962" w:name="_Toc38443278"/>
      <w:bookmarkStart w:id="2963" w:name="_Toc38443609"/>
      <w:bookmarkStart w:id="2964" w:name="_Toc38443939"/>
      <w:bookmarkStart w:id="2965" w:name="_Toc38438407"/>
      <w:bookmarkStart w:id="2966" w:name="_Toc38438744"/>
      <w:bookmarkStart w:id="2967" w:name="_Toc38439081"/>
      <w:bookmarkStart w:id="2968" w:name="_Toc38439418"/>
      <w:bookmarkStart w:id="2969" w:name="_Toc38439755"/>
      <w:bookmarkStart w:id="2970" w:name="_Toc38440092"/>
      <w:bookmarkStart w:id="2971" w:name="_Toc38440429"/>
      <w:bookmarkStart w:id="2972" w:name="_Toc38440961"/>
      <w:bookmarkStart w:id="2973" w:name="_Toc38441293"/>
      <w:bookmarkStart w:id="2974" w:name="_Toc38441625"/>
      <w:bookmarkStart w:id="2975" w:name="_Toc38441953"/>
      <w:bookmarkStart w:id="2976" w:name="_Toc38442285"/>
      <w:bookmarkStart w:id="2977" w:name="_Toc38442617"/>
      <w:bookmarkStart w:id="2978" w:name="_Toc38442948"/>
      <w:bookmarkStart w:id="2979" w:name="_Toc38443279"/>
      <w:bookmarkStart w:id="2980" w:name="_Toc38443610"/>
      <w:bookmarkStart w:id="2981" w:name="_Toc38443940"/>
      <w:bookmarkStart w:id="2982" w:name="_Toc38438408"/>
      <w:bookmarkStart w:id="2983" w:name="_Toc38438745"/>
      <w:bookmarkStart w:id="2984" w:name="_Toc38439082"/>
      <w:bookmarkStart w:id="2985" w:name="_Toc38439419"/>
      <w:bookmarkStart w:id="2986" w:name="_Toc38439756"/>
      <w:bookmarkStart w:id="2987" w:name="_Toc38440093"/>
      <w:bookmarkStart w:id="2988" w:name="_Toc38440430"/>
      <w:bookmarkStart w:id="2989" w:name="_Toc38440962"/>
      <w:bookmarkStart w:id="2990" w:name="_Toc38441294"/>
      <w:bookmarkStart w:id="2991" w:name="_Toc38441626"/>
      <w:bookmarkStart w:id="2992" w:name="_Toc38441954"/>
      <w:bookmarkStart w:id="2993" w:name="_Toc38442286"/>
      <w:bookmarkStart w:id="2994" w:name="_Toc38442618"/>
      <w:bookmarkStart w:id="2995" w:name="_Toc38442949"/>
      <w:bookmarkStart w:id="2996" w:name="_Toc38443280"/>
      <w:bookmarkStart w:id="2997" w:name="_Toc38443611"/>
      <w:bookmarkStart w:id="2998" w:name="_Toc38443941"/>
      <w:bookmarkStart w:id="2999" w:name="_Toc38438409"/>
      <w:bookmarkStart w:id="3000" w:name="_Toc38438746"/>
      <w:bookmarkStart w:id="3001" w:name="_Toc38439083"/>
      <w:bookmarkStart w:id="3002" w:name="_Toc38439420"/>
      <w:bookmarkStart w:id="3003" w:name="_Toc38439757"/>
      <w:bookmarkStart w:id="3004" w:name="_Toc38440094"/>
      <w:bookmarkStart w:id="3005" w:name="_Toc38440431"/>
      <w:bookmarkStart w:id="3006" w:name="_Toc38440963"/>
      <w:bookmarkStart w:id="3007" w:name="_Toc38441295"/>
      <w:bookmarkStart w:id="3008" w:name="_Toc38441627"/>
      <w:bookmarkStart w:id="3009" w:name="_Toc38441955"/>
      <w:bookmarkStart w:id="3010" w:name="_Toc38442287"/>
      <w:bookmarkStart w:id="3011" w:name="_Toc38442619"/>
      <w:bookmarkStart w:id="3012" w:name="_Toc38442950"/>
      <w:bookmarkStart w:id="3013" w:name="_Toc38443281"/>
      <w:bookmarkStart w:id="3014" w:name="_Toc38443612"/>
      <w:bookmarkStart w:id="3015" w:name="_Toc38443942"/>
      <w:bookmarkStart w:id="3016" w:name="_Toc38438410"/>
      <w:bookmarkStart w:id="3017" w:name="_Toc38438747"/>
      <w:bookmarkStart w:id="3018" w:name="_Toc38439084"/>
      <w:bookmarkStart w:id="3019" w:name="_Toc38439421"/>
      <w:bookmarkStart w:id="3020" w:name="_Toc38439758"/>
      <w:bookmarkStart w:id="3021" w:name="_Toc38440095"/>
      <w:bookmarkStart w:id="3022" w:name="_Toc38440432"/>
      <w:bookmarkStart w:id="3023" w:name="_Toc38440964"/>
      <w:bookmarkStart w:id="3024" w:name="_Toc38441296"/>
      <w:bookmarkStart w:id="3025" w:name="_Toc38441628"/>
      <w:bookmarkStart w:id="3026" w:name="_Toc38441956"/>
      <w:bookmarkStart w:id="3027" w:name="_Toc38442288"/>
      <w:bookmarkStart w:id="3028" w:name="_Toc38442620"/>
      <w:bookmarkStart w:id="3029" w:name="_Toc38442951"/>
      <w:bookmarkStart w:id="3030" w:name="_Toc38443282"/>
      <w:bookmarkStart w:id="3031" w:name="_Toc38443613"/>
      <w:bookmarkStart w:id="3032" w:name="_Toc38443943"/>
      <w:bookmarkStart w:id="3033" w:name="_Toc38438411"/>
      <w:bookmarkStart w:id="3034" w:name="_Toc38438748"/>
      <w:bookmarkStart w:id="3035" w:name="_Toc38439085"/>
      <w:bookmarkStart w:id="3036" w:name="_Toc38439422"/>
      <w:bookmarkStart w:id="3037" w:name="_Toc38439759"/>
      <w:bookmarkStart w:id="3038" w:name="_Toc38440096"/>
      <w:bookmarkStart w:id="3039" w:name="_Toc38440433"/>
      <w:bookmarkStart w:id="3040" w:name="_Toc38440965"/>
      <w:bookmarkStart w:id="3041" w:name="_Toc38441297"/>
      <w:bookmarkStart w:id="3042" w:name="_Toc38441629"/>
      <w:bookmarkStart w:id="3043" w:name="_Toc38441957"/>
      <w:bookmarkStart w:id="3044" w:name="_Toc38442289"/>
      <w:bookmarkStart w:id="3045" w:name="_Toc38442621"/>
      <w:bookmarkStart w:id="3046" w:name="_Toc38442952"/>
      <w:bookmarkStart w:id="3047" w:name="_Toc38443283"/>
      <w:bookmarkStart w:id="3048" w:name="_Toc38443614"/>
      <w:bookmarkStart w:id="3049" w:name="_Toc38443944"/>
      <w:bookmarkStart w:id="3050" w:name="_Toc38438412"/>
      <w:bookmarkStart w:id="3051" w:name="_Toc38438749"/>
      <w:bookmarkStart w:id="3052" w:name="_Toc38439086"/>
      <w:bookmarkStart w:id="3053" w:name="_Toc38439423"/>
      <w:bookmarkStart w:id="3054" w:name="_Toc38439760"/>
      <w:bookmarkStart w:id="3055" w:name="_Toc38440097"/>
      <w:bookmarkStart w:id="3056" w:name="_Toc38440434"/>
      <w:bookmarkStart w:id="3057" w:name="_Toc38440966"/>
      <w:bookmarkStart w:id="3058" w:name="_Toc38441298"/>
      <w:bookmarkStart w:id="3059" w:name="_Toc38441630"/>
      <w:bookmarkStart w:id="3060" w:name="_Toc38441958"/>
      <w:bookmarkStart w:id="3061" w:name="_Toc38442290"/>
      <w:bookmarkStart w:id="3062" w:name="_Toc38442622"/>
      <w:bookmarkStart w:id="3063" w:name="_Toc38442953"/>
      <w:bookmarkStart w:id="3064" w:name="_Toc38443284"/>
      <w:bookmarkStart w:id="3065" w:name="_Toc38443615"/>
      <w:bookmarkStart w:id="3066" w:name="_Toc38443945"/>
      <w:bookmarkStart w:id="3067" w:name="_Toc38438413"/>
      <w:bookmarkStart w:id="3068" w:name="_Toc38438750"/>
      <w:bookmarkStart w:id="3069" w:name="_Toc38439087"/>
      <w:bookmarkStart w:id="3070" w:name="_Toc38439424"/>
      <w:bookmarkStart w:id="3071" w:name="_Toc38439761"/>
      <w:bookmarkStart w:id="3072" w:name="_Toc38440098"/>
      <w:bookmarkStart w:id="3073" w:name="_Toc38440435"/>
      <w:bookmarkStart w:id="3074" w:name="_Toc38440967"/>
      <w:bookmarkStart w:id="3075" w:name="_Toc38441299"/>
      <w:bookmarkStart w:id="3076" w:name="_Toc38441631"/>
      <w:bookmarkStart w:id="3077" w:name="_Toc38441959"/>
      <w:bookmarkStart w:id="3078" w:name="_Toc38442291"/>
      <w:bookmarkStart w:id="3079" w:name="_Toc38442623"/>
      <w:bookmarkStart w:id="3080" w:name="_Toc38442954"/>
      <w:bookmarkStart w:id="3081" w:name="_Toc38443285"/>
      <w:bookmarkStart w:id="3082" w:name="_Toc38443616"/>
      <w:bookmarkStart w:id="3083" w:name="_Toc38443946"/>
      <w:bookmarkStart w:id="3084" w:name="_Toc38438414"/>
      <w:bookmarkStart w:id="3085" w:name="_Toc38438751"/>
      <w:bookmarkStart w:id="3086" w:name="_Toc38439088"/>
      <w:bookmarkStart w:id="3087" w:name="_Toc38439425"/>
      <w:bookmarkStart w:id="3088" w:name="_Toc38439762"/>
      <w:bookmarkStart w:id="3089" w:name="_Toc38440099"/>
      <w:bookmarkStart w:id="3090" w:name="_Toc38440436"/>
      <w:bookmarkStart w:id="3091" w:name="_Toc38440968"/>
      <w:bookmarkStart w:id="3092" w:name="_Toc38441300"/>
      <w:bookmarkStart w:id="3093" w:name="_Toc38441632"/>
      <w:bookmarkStart w:id="3094" w:name="_Toc38441960"/>
      <w:bookmarkStart w:id="3095" w:name="_Toc38442292"/>
      <w:bookmarkStart w:id="3096" w:name="_Toc38442624"/>
      <w:bookmarkStart w:id="3097" w:name="_Toc38442955"/>
      <w:bookmarkStart w:id="3098" w:name="_Toc38443286"/>
      <w:bookmarkStart w:id="3099" w:name="_Toc38443617"/>
      <w:bookmarkStart w:id="3100" w:name="_Toc38443947"/>
      <w:bookmarkStart w:id="3101" w:name="_Toc38438415"/>
      <w:bookmarkStart w:id="3102" w:name="_Toc38438752"/>
      <w:bookmarkStart w:id="3103" w:name="_Toc38439089"/>
      <w:bookmarkStart w:id="3104" w:name="_Toc38439426"/>
      <w:bookmarkStart w:id="3105" w:name="_Toc38439763"/>
      <w:bookmarkStart w:id="3106" w:name="_Toc38440100"/>
      <w:bookmarkStart w:id="3107" w:name="_Toc38440437"/>
      <w:bookmarkStart w:id="3108" w:name="_Toc38440969"/>
      <w:bookmarkStart w:id="3109" w:name="_Toc38441301"/>
      <w:bookmarkStart w:id="3110" w:name="_Toc38441633"/>
      <w:bookmarkStart w:id="3111" w:name="_Toc38441961"/>
      <w:bookmarkStart w:id="3112" w:name="_Toc38442293"/>
      <w:bookmarkStart w:id="3113" w:name="_Toc38442625"/>
      <w:bookmarkStart w:id="3114" w:name="_Toc38442956"/>
      <w:bookmarkStart w:id="3115" w:name="_Toc38443287"/>
      <w:bookmarkStart w:id="3116" w:name="_Toc38443618"/>
      <w:bookmarkStart w:id="3117" w:name="_Toc38443948"/>
      <w:bookmarkStart w:id="3118" w:name="_Toc38438416"/>
      <w:bookmarkStart w:id="3119" w:name="_Toc38438753"/>
      <w:bookmarkStart w:id="3120" w:name="_Toc38439090"/>
      <w:bookmarkStart w:id="3121" w:name="_Toc38439427"/>
      <w:bookmarkStart w:id="3122" w:name="_Toc38439764"/>
      <w:bookmarkStart w:id="3123" w:name="_Toc38440101"/>
      <w:bookmarkStart w:id="3124" w:name="_Toc38440438"/>
      <w:bookmarkStart w:id="3125" w:name="_Toc38440970"/>
      <w:bookmarkStart w:id="3126" w:name="_Toc38441302"/>
      <w:bookmarkStart w:id="3127" w:name="_Toc38441634"/>
      <w:bookmarkStart w:id="3128" w:name="_Toc38441962"/>
      <w:bookmarkStart w:id="3129" w:name="_Toc38442294"/>
      <w:bookmarkStart w:id="3130" w:name="_Toc38442626"/>
      <w:bookmarkStart w:id="3131" w:name="_Toc38442957"/>
      <w:bookmarkStart w:id="3132" w:name="_Toc38443288"/>
      <w:bookmarkStart w:id="3133" w:name="_Toc38443619"/>
      <w:bookmarkStart w:id="3134" w:name="_Toc38443949"/>
      <w:bookmarkStart w:id="3135" w:name="_Toc38438417"/>
      <w:bookmarkStart w:id="3136" w:name="_Toc38438754"/>
      <w:bookmarkStart w:id="3137" w:name="_Toc38439091"/>
      <w:bookmarkStart w:id="3138" w:name="_Toc38439428"/>
      <w:bookmarkStart w:id="3139" w:name="_Toc38439765"/>
      <w:bookmarkStart w:id="3140" w:name="_Toc38440102"/>
      <w:bookmarkStart w:id="3141" w:name="_Toc38440439"/>
      <w:bookmarkStart w:id="3142" w:name="_Toc38440971"/>
      <w:bookmarkStart w:id="3143" w:name="_Toc38441303"/>
      <w:bookmarkStart w:id="3144" w:name="_Toc38441635"/>
      <w:bookmarkStart w:id="3145" w:name="_Toc38441963"/>
      <w:bookmarkStart w:id="3146" w:name="_Toc38442295"/>
      <w:bookmarkStart w:id="3147" w:name="_Toc38442627"/>
      <w:bookmarkStart w:id="3148" w:name="_Toc38442958"/>
      <w:bookmarkStart w:id="3149" w:name="_Toc38443289"/>
      <w:bookmarkStart w:id="3150" w:name="_Toc38443620"/>
      <w:bookmarkStart w:id="3151" w:name="_Toc38443950"/>
      <w:bookmarkStart w:id="3152" w:name="_Toc38438418"/>
      <w:bookmarkStart w:id="3153" w:name="_Toc38438755"/>
      <w:bookmarkStart w:id="3154" w:name="_Toc38439092"/>
      <w:bookmarkStart w:id="3155" w:name="_Toc38439429"/>
      <w:bookmarkStart w:id="3156" w:name="_Toc38439766"/>
      <w:bookmarkStart w:id="3157" w:name="_Toc38440103"/>
      <w:bookmarkStart w:id="3158" w:name="_Toc38440440"/>
      <w:bookmarkStart w:id="3159" w:name="_Toc38440972"/>
      <w:bookmarkStart w:id="3160" w:name="_Toc38441304"/>
      <w:bookmarkStart w:id="3161" w:name="_Toc38441636"/>
      <w:bookmarkStart w:id="3162" w:name="_Toc38441964"/>
      <w:bookmarkStart w:id="3163" w:name="_Toc38442296"/>
      <w:bookmarkStart w:id="3164" w:name="_Toc38442628"/>
      <w:bookmarkStart w:id="3165" w:name="_Toc38442959"/>
      <w:bookmarkStart w:id="3166" w:name="_Toc38443290"/>
      <w:bookmarkStart w:id="3167" w:name="_Toc38443621"/>
      <w:bookmarkStart w:id="3168" w:name="_Toc38443951"/>
      <w:bookmarkStart w:id="3169" w:name="_Toc38438419"/>
      <w:bookmarkStart w:id="3170" w:name="_Toc38438756"/>
      <w:bookmarkStart w:id="3171" w:name="_Toc38439093"/>
      <w:bookmarkStart w:id="3172" w:name="_Toc38439430"/>
      <w:bookmarkStart w:id="3173" w:name="_Toc38439767"/>
      <w:bookmarkStart w:id="3174" w:name="_Toc38440104"/>
      <w:bookmarkStart w:id="3175" w:name="_Toc38440441"/>
      <w:bookmarkStart w:id="3176" w:name="_Toc38440973"/>
      <w:bookmarkStart w:id="3177" w:name="_Toc38441305"/>
      <w:bookmarkStart w:id="3178" w:name="_Toc38441637"/>
      <w:bookmarkStart w:id="3179" w:name="_Toc38441965"/>
      <w:bookmarkStart w:id="3180" w:name="_Toc38442297"/>
      <w:bookmarkStart w:id="3181" w:name="_Toc38442629"/>
      <w:bookmarkStart w:id="3182" w:name="_Toc38442960"/>
      <w:bookmarkStart w:id="3183" w:name="_Toc38443291"/>
      <w:bookmarkStart w:id="3184" w:name="_Toc38443622"/>
      <w:bookmarkStart w:id="3185" w:name="_Toc38443952"/>
      <w:bookmarkStart w:id="3186" w:name="_Toc38438420"/>
      <w:bookmarkStart w:id="3187" w:name="_Toc38438757"/>
      <w:bookmarkStart w:id="3188" w:name="_Toc38439094"/>
      <w:bookmarkStart w:id="3189" w:name="_Toc38439431"/>
      <w:bookmarkStart w:id="3190" w:name="_Toc38439768"/>
      <w:bookmarkStart w:id="3191" w:name="_Toc38440105"/>
      <w:bookmarkStart w:id="3192" w:name="_Toc38440442"/>
      <w:bookmarkStart w:id="3193" w:name="_Toc38440974"/>
      <w:bookmarkStart w:id="3194" w:name="_Toc38441306"/>
      <w:bookmarkStart w:id="3195" w:name="_Toc38441638"/>
      <w:bookmarkStart w:id="3196" w:name="_Toc38441966"/>
      <w:bookmarkStart w:id="3197" w:name="_Toc38442298"/>
      <w:bookmarkStart w:id="3198" w:name="_Toc38442630"/>
      <w:bookmarkStart w:id="3199" w:name="_Toc38442961"/>
      <w:bookmarkStart w:id="3200" w:name="_Toc38443292"/>
      <w:bookmarkStart w:id="3201" w:name="_Toc38443623"/>
      <w:bookmarkStart w:id="3202" w:name="_Toc38443953"/>
      <w:bookmarkStart w:id="3203" w:name="_Toc38438421"/>
      <w:bookmarkStart w:id="3204" w:name="_Toc38438758"/>
      <w:bookmarkStart w:id="3205" w:name="_Toc38439095"/>
      <w:bookmarkStart w:id="3206" w:name="_Toc38439432"/>
      <w:bookmarkStart w:id="3207" w:name="_Toc38439769"/>
      <w:bookmarkStart w:id="3208" w:name="_Toc38440106"/>
      <w:bookmarkStart w:id="3209" w:name="_Toc38440443"/>
      <w:bookmarkStart w:id="3210" w:name="_Toc38440975"/>
      <w:bookmarkStart w:id="3211" w:name="_Toc38441307"/>
      <w:bookmarkStart w:id="3212" w:name="_Toc38441639"/>
      <w:bookmarkStart w:id="3213" w:name="_Toc38441967"/>
      <w:bookmarkStart w:id="3214" w:name="_Toc38442299"/>
      <w:bookmarkStart w:id="3215" w:name="_Toc38442631"/>
      <w:bookmarkStart w:id="3216" w:name="_Toc38442962"/>
      <w:bookmarkStart w:id="3217" w:name="_Toc38443293"/>
      <w:bookmarkStart w:id="3218" w:name="_Toc38443624"/>
      <w:bookmarkStart w:id="3219" w:name="_Toc38443954"/>
      <w:bookmarkStart w:id="3220" w:name="_Toc38438422"/>
      <w:bookmarkStart w:id="3221" w:name="_Toc38438759"/>
      <w:bookmarkStart w:id="3222" w:name="_Toc38439096"/>
      <w:bookmarkStart w:id="3223" w:name="_Toc38439433"/>
      <w:bookmarkStart w:id="3224" w:name="_Toc38439770"/>
      <w:bookmarkStart w:id="3225" w:name="_Toc38440107"/>
      <w:bookmarkStart w:id="3226" w:name="_Toc38440444"/>
      <w:bookmarkStart w:id="3227" w:name="_Toc38440976"/>
      <w:bookmarkStart w:id="3228" w:name="_Toc38441308"/>
      <w:bookmarkStart w:id="3229" w:name="_Toc38441640"/>
      <w:bookmarkStart w:id="3230" w:name="_Toc38441968"/>
      <w:bookmarkStart w:id="3231" w:name="_Toc38442300"/>
      <w:bookmarkStart w:id="3232" w:name="_Toc38442632"/>
      <w:bookmarkStart w:id="3233" w:name="_Toc38442963"/>
      <w:bookmarkStart w:id="3234" w:name="_Toc38443294"/>
      <w:bookmarkStart w:id="3235" w:name="_Toc38443625"/>
      <w:bookmarkStart w:id="3236" w:name="_Toc38443955"/>
      <w:bookmarkStart w:id="3237" w:name="_Toc38438423"/>
      <w:bookmarkStart w:id="3238" w:name="_Toc38438760"/>
      <w:bookmarkStart w:id="3239" w:name="_Toc38439097"/>
      <w:bookmarkStart w:id="3240" w:name="_Toc38439434"/>
      <w:bookmarkStart w:id="3241" w:name="_Toc38439771"/>
      <w:bookmarkStart w:id="3242" w:name="_Toc38440108"/>
      <w:bookmarkStart w:id="3243" w:name="_Toc38440445"/>
      <w:bookmarkStart w:id="3244" w:name="_Toc38440977"/>
      <w:bookmarkStart w:id="3245" w:name="_Toc38441309"/>
      <w:bookmarkStart w:id="3246" w:name="_Toc38441641"/>
      <w:bookmarkStart w:id="3247" w:name="_Toc38441969"/>
      <w:bookmarkStart w:id="3248" w:name="_Toc38442301"/>
      <w:bookmarkStart w:id="3249" w:name="_Toc38442633"/>
      <w:bookmarkStart w:id="3250" w:name="_Toc38442964"/>
      <w:bookmarkStart w:id="3251" w:name="_Toc38443295"/>
      <w:bookmarkStart w:id="3252" w:name="_Toc38443626"/>
      <w:bookmarkStart w:id="3253" w:name="_Toc38443956"/>
      <w:bookmarkStart w:id="3254" w:name="_Toc38438424"/>
      <w:bookmarkStart w:id="3255" w:name="_Toc38438761"/>
      <w:bookmarkStart w:id="3256" w:name="_Toc38439098"/>
      <w:bookmarkStart w:id="3257" w:name="_Toc38439435"/>
      <w:bookmarkStart w:id="3258" w:name="_Toc38439772"/>
      <w:bookmarkStart w:id="3259" w:name="_Toc38440109"/>
      <w:bookmarkStart w:id="3260" w:name="_Toc38440446"/>
      <w:bookmarkStart w:id="3261" w:name="_Toc38440978"/>
      <w:bookmarkStart w:id="3262" w:name="_Toc38441310"/>
      <w:bookmarkStart w:id="3263" w:name="_Toc38441642"/>
      <w:bookmarkStart w:id="3264" w:name="_Toc38441970"/>
      <w:bookmarkStart w:id="3265" w:name="_Toc38442302"/>
      <w:bookmarkStart w:id="3266" w:name="_Toc38442634"/>
      <w:bookmarkStart w:id="3267" w:name="_Toc38442965"/>
      <w:bookmarkStart w:id="3268" w:name="_Toc38443296"/>
      <w:bookmarkStart w:id="3269" w:name="_Toc38443627"/>
      <w:bookmarkStart w:id="3270" w:name="_Toc38443957"/>
      <w:bookmarkStart w:id="3271" w:name="_Toc38438425"/>
      <w:bookmarkStart w:id="3272" w:name="_Toc38438762"/>
      <w:bookmarkStart w:id="3273" w:name="_Toc38439099"/>
      <w:bookmarkStart w:id="3274" w:name="_Toc38439436"/>
      <w:bookmarkStart w:id="3275" w:name="_Toc38439773"/>
      <w:bookmarkStart w:id="3276" w:name="_Toc38440110"/>
      <w:bookmarkStart w:id="3277" w:name="_Toc38440447"/>
      <w:bookmarkStart w:id="3278" w:name="_Toc38440979"/>
      <w:bookmarkStart w:id="3279" w:name="_Toc38441311"/>
      <w:bookmarkStart w:id="3280" w:name="_Toc38441643"/>
      <w:bookmarkStart w:id="3281" w:name="_Toc38441971"/>
      <w:bookmarkStart w:id="3282" w:name="_Toc38442303"/>
      <w:bookmarkStart w:id="3283" w:name="_Toc38442635"/>
      <w:bookmarkStart w:id="3284" w:name="_Toc38442966"/>
      <w:bookmarkStart w:id="3285" w:name="_Toc38443297"/>
      <w:bookmarkStart w:id="3286" w:name="_Toc38443628"/>
      <w:bookmarkStart w:id="3287" w:name="_Toc38443958"/>
      <w:bookmarkStart w:id="3288" w:name="_Toc38438426"/>
      <w:bookmarkStart w:id="3289" w:name="_Toc38438763"/>
      <w:bookmarkStart w:id="3290" w:name="_Toc38439100"/>
      <w:bookmarkStart w:id="3291" w:name="_Toc38439437"/>
      <w:bookmarkStart w:id="3292" w:name="_Toc38439774"/>
      <w:bookmarkStart w:id="3293" w:name="_Toc38440111"/>
      <w:bookmarkStart w:id="3294" w:name="_Toc38440448"/>
      <w:bookmarkStart w:id="3295" w:name="_Toc38440980"/>
      <w:bookmarkStart w:id="3296" w:name="_Toc38441312"/>
      <w:bookmarkStart w:id="3297" w:name="_Toc38441644"/>
      <w:bookmarkStart w:id="3298" w:name="_Toc38441972"/>
      <w:bookmarkStart w:id="3299" w:name="_Toc38442304"/>
      <w:bookmarkStart w:id="3300" w:name="_Toc38442636"/>
      <w:bookmarkStart w:id="3301" w:name="_Toc38442967"/>
      <w:bookmarkStart w:id="3302" w:name="_Toc38443298"/>
      <w:bookmarkStart w:id="3303" w:name="_Toc38443629"/>
      <w:bookmarkStart w:id="3304" w:name="_Toc38443959"/>
      <w:bookmarkStart w:id="3305" w:name="_Toc38438427"/>
      <w:bookmarkStart w:id="3306" w:name="_Toc38438764"/>
      <w:bookmarkStart w:id="3307" w:name="_Toc38439101"/>
      <w:bookmarkStart w:id="3308" w:name="_Toc38439438"/>
      <w:bookmarkStart w:id="3309" w:name="_Toc38439775"/>
      <w:bookmarkStart w:id="3310" w:name="_Toc38440112"/>
      <w:bookmarkStart w:id="3311" w:name="_Toc38440449"/>
      <w:bookmarkStart w:id="3312" w:name="_Toc38440981"/>
      <w:bookmarkStart w:id="3313" w:name="_Toc38441313"/>
      <w:bookmarkStart w:id="3314" w:name="_Toc38441645"/>
      <w:bookmarkStart w:id="3315" w:name="_Toc38441973"/>
      <w:bookmarkStart w:id="3316" w:name="_Toc38442305"/>
      <w:bookmarkStart w:id="3317" w:name="_Toc38442637"/>
      <w:bookmarkStart w:id="3318" w:name="_Toc38442968"/>
      <w:bookmarkStart w:id="3319" w:name="_Toc38443299"/>
      <w:bookmarkStart w:id="3320" w:name="_Toc38443630"/>
      <w:bookmarkStart w:id="3321" w:name="_Toc38443960"/>
      <w:bookmarkStart w:id="3322" w:name="_Toc38438428"/>
      <w:bookmarkStart w:id="3323" w:name="_Toc38438765"/>
      <w:bookmarkStart w:id="3324" w:name="_Toc38439102"/>
      <w:bookmarkStart w:id="3325" w:name="_Toc38439439"/>
      <w:bookmarkStart w:id="3326" w:name="_Toc38439776"/>
      <w:bookmarkStart w:id="3327" w:name="_Toc38440113"/>
      <w:bookmarkStart w:id="3328" w:name="_Toc38440450"/>
      <w:bookmarkStart w:id="3329" w:name="_Toc38440982"/>
      <w:bookmarkStart w:id="3330" w:name="_Toc38441314"/>
      <w:bookmarkStart w:id="3331" w:name="_Toc38441646"/>
      <w:bookmarkStart w:id="3332" w:name="_Toc38441974"/>
      <w:bookmarkStart w:id="3333" w:name="_Toc38442306"/>
      <w:bookmarkStart w:id="3334" w:name="_Toc38442638"/>
      <w:bookmarkStart w:id="3335" w:name="_Toc38442969"/>
      <w:bookmarkStart w:id="3336" w:name="_Toc38443300"/>
      <w:bookmarkStart w:id="3337" w:name="_Toc38443631"/>
      <w:bookmarkStart w:id="3338" w:name="_Toc38443961"/>
      <w:bookmarkStart w:id="3339" w:name="_Toc38438429"/>
      <w:bookmarkStart w:id="3340" w:name="_Toc38438766"/>
      <w:bookmarkStart w:id="3341" w:name="_Toc38439103"/>
      <w:bookmarkStart w:id="3342" w:name="_Toc38439440"/>
      <w:bookmarkStart w:id="3343" w:name="_Toc38439777"/>
      <w:bookmarkStart w:id="3344" w:name="_Toc38440114"/>
      <w:bookmarkStart w:id="3345" w:name="_Toc38440451"/>
      <w:bookmarkStart w:id="3346" w:name="_Toc38440983"/>
      <w:bookmarkStart w:id="3347" w:name="_Toc38441315"/>
      <w:bookmarkStart w:id="3348" w:name="_Toc38441647"/>
      <w:bookmarkStart w:id="3349" w:name="_Toc38441975"/>
      <w:bookmarkStart w:id="3350" w:name="_Toc38442307"/>
      <w:bookmarkStart w:id="3351" w:name="_Toc38442639"/>
      <w:bookmarkStart w:id="3352" w:name="_Toc38442970"/>
      <w:bookmarkStart w:id="3353" w:name="_Toc38443301"/>
      <w:bookmarkStart w:id="3354" w:name="_Toc38443632"/>
      <w:bookmarkStart w:id="3355" w:name="_Toc38443962"/>
      <w:bookmarkStart w:id="3356" w:name="_Toc38438430"/>
      <w:bookmarkStart w:id="3357" w:name="_Toc38438767"/>
      <w:bookmarkStart w:id="3358" w:name="_Toc38439104"/>
      <w:bookmarkStart w:id="3359" w:name="_Toc38439441"/>
      <w:bookmarkStart w:id="3360" w:name="_Toc38439778"/>
      <w:bookmarkStart w:id="3361" w:name="_Toc38440115"/>
      <w:bookmarkStart w:id="3362" w:name="_Toc38440452"/>
      <w:bookmarkStart w:id="3363" w:name="_Toc38440984"/>
      <w:bookmarkStart w:id="3364" w:name="_Toc38441316"/>
      <w:bookmarkStart w:id="3365" w:name="_Toc38441648"/>
      <w:bookmarkStart w:id="3366" w:name="_Toc38441976"/>
      <w:bookmarkStart w:id="3367" w:name="_Toc38442308"/>
      <w:bookmarkStart w:id="3368" w:name="_Toc38442640"/>
      <w:bookmarkStart w:id="3369" w:name="_Toc38442971"/>
      <w:bookmarkStart w:id="3370" w:name="_Toc38443302"/>
      <w:bookmarkStart w:id="3371" w:name="_Toc38443633"/>
      <w:bookmarkStart w:id="3372" w:name="_Toc38443963"/>
      <w:bookmarkStart w:id="3373" w:name="_Toc38438431"/>
      <w:bookmarkStart w:id="3374" w:name="_Toc38438768"/>
      <w:bookmarkStart w:id="3375" w:name="_Toc38439105"/>
      <w:bookmarkStart w:id="3376" w:name="_Toc38439442"/>
      <w:bookmarkStart w:id="3377" w:name="_Toc38439779"/>
      <w:bookmarkStart w:id="3378" w:name="_Toc38440116"/>
      <w:bookmarkStart w:id="3379" w:name="_Toc38440453"/>
      <w:bookmarkStart w:id="3380" w:name="_Toc38440985"/>
      <w:bookmarkStart w:id="3381" w:name="_Toc38441317"/>
      <w:bookmarkStart w:id="3382" w:name="_Toc38441649"/>
      <w:bookmarkStart w:id="3383" w:name="_Toc38441977"/>
      <w:bookmarkStart w:id="3384" w:name="_Toc38442309"/>
      <w:bookmarkStart w:id="3385" w:name="_Toc38442641"/>
      <w:bookmarkStart w:id="3386" w:name="_Toc38442972"/>
      <w:bookmarkStart w:id="3387" w:name="_Toc38443303"/>
      <w:bookmarkStart w:id="3388" w:name="_Toc38443634"/>
      <w:bookmarkStart w:id="3389" w:name="_Toc38443964"/>
      <w:bookmarkStart w:id="3390" w:name="_Toc38438432"/>
      <w:bookmarkStart w:id="3391" w:name="_Toc38438769"/>
      <w:bookmarkStart w:id="3392" w:name="_Toc38439106"/>
      <w:bookmarkStart w:id="3393" w:name="_Toc38439443"/>
      <w:bookmarkStart w:id="3394" w:name="_Toc38439780"/>
      <w:bookmarkStart w:id="3395" w:name="_Toc38440117"/>
      <w:bookmarkStart w:id="3396" w:name="_Toc38440454"/>
      <w:bookmarkStart w:id="3397" w:name="_Toc38440986"/>
      <w:bookmarkStart w:id="3398" w:name="_Toc38441318"/>
      <w:bookmarkStart w:id="3399" w:name="_Toc38441650"/>
      <w:bookmarkStart w:id="3400" w:name="_Toc38441978"/>
      <w:bookmarkStart w:id="3401" w:name="_Toc38442310"/>
      <w:bookmarkStart w:id="3402" w:name="_Toc38442642"/>
      <w:bookmarkStart w:id="3403" w:name="_Toc38442973"/>
      <w:bookmarkStart w:id="3404" w:name="_Toc38443304"/>
      <w:bookmarkStart w:id="3405" w:name="_Toc38443635"/>
      <w:bookmarkStart w:id="3406" w:name="_Toc38443965"/>
      <w:bookmarkStart w:id="3407" w:name="_Toc38438433"/>
      <w:bookmarkStart w:id="3408" w:name="_Toc38438770"/>
      <w:bookmarkStart w:id="3409" w:name="_Toc38439107"/>
      <w:bookmarkStart w:id="3410" w:name="_Toc38439444"/>
      <w:bookmarkStart w:id="3411" w:name="_Toc38439781"/>
      <w:bookmarkStart w:id="3412" w:name="_Toc38440118"/>
      <w:bookmarkStart w:id="3413" w:name="_Toc38440455"/>
      <w:bookmarkStart w:id="3414" w:name="_Toc38440987"/>
      <w:bookmarkStart w:id="3415" w:name="_Toc38441319"/>
      <w:bookmarkStart w:id="3416" w:name="_Toc38441651"/>
      <w:bookmarkStart w:id="3417" w:name="_Toc38441979"/>
      <w:bookmarkStart w:id="3418" w:name="_Toc38442311"/>
      <w:bookmarkStart w:id="3419" w:name="_Toc38442643"/>
      <w:bookmarkStart w:id="3420" w:name="_Toc38442974"/>
      <w:bookmarkStart w:id="3421" w:name="_Toc38443305"/>
      <w:bookmarkStart w:id="3422" w:name="_Toc38443636"/>
      <w:bookmarkStart w:id="3423" w:name="_Toc38443966"/>
      <w:bookmarkStart w:id="3424" w:name="_Toc38438434"/>
      <w:bookmarkStart w:id="3425" w:name="_Toc38438771"/>
      <w:bookmarkStart w:id="3426" w:name="_Toc38439108"/>
      <w:bookmarkStart w:id="3427" w:name="_Toc38439445"/>
      <w:bookmarkStart w:id="3428" w:name="_Toc38439782"/>
      <w:bookmarkStart w:id="3429" w:name="_Toc38440119"/>
      <w:bookmarkStart w:id="3430" w:name="_Toc38440456"/>
      <w:bookmarkStart w:id="3431" w:name="_Toc38440988"/>
      <w:bookmarkStart w:id="3432" w:name="_Toc38441320"/>
      <w:bookmarkStart w:id="3433" w:name="_Toc38441652"/>
      <w:bookmarkStart w:id="3434" w:name="_Toc38441980"/>
      <w:bookmarkStart w:id="3435" w:name="_Toc38442312"/>
      <w:bookmarkStart w:id="3436" w:name="_Toc38442644"/>
      <w:bookmarkStart w:id="3437" w:name="_Toc38442975"/>
      <w:bookmarkStart w:id="3438" w:name="_Toc38443306"/>
      <w:bookmarkStart w:id="3439" w:name="_Toc38443637"/>
      <w:bookmarkStart w:id="3440" w:name="_Toc38443967"/>
      <w:bookmarkStart w:id="3441" w:name="_Toc38438435"/>
      <w:bookmarkStart w:id="3442" w:name="_Toc38438772"/>
      <w:bookmarkStart w:id="3443" w:name="_Toc38439109"/>
      <w:bookmarkStart w:id="3444" w:name="_Toc38439446"/>
      <w:bookmarkStart w:id="3445" w:name="_Toc38440130"/>
      <w:bookmarkStart w:id="3446" w:name="_Toc38440467"/>
      <w:bookmarkStart w:id="3447" w:name="_Toc38440999"/>
      <w:bookmarkStart w:id="3448" w:name="_Toc38441331"/>
      <w:bookmarkStart w:id="3449" w:name="_Toc38441663"/>
      <w:bookmarkStart w:id="3450" w:name="_Toc38441991"/>
      <w:bookmarkStart w:id="3451" w:name="_Toc38442323"/>
      <w:bookmarkStart w:id="3452" w:name="_Toc38442655"/>
      <w:bookmarkStart w:id="3453" w:name="_Toc38442986"/>
      <w:bookmarkStart w:id="3454" w:name="_Toc38443317"/>
      <w:bookmarkStart w:id="3455" w:name="_Toc38443648"/>
      <w:bookmarkStart w:id="3456" w:name="_Toc38443978"/>
      <w:bookmarkStart w:id="3457" w:name="_Toc38438446"/>
      <w:bookmarkStart w:id="3458" w:name="_Toc38438783"/>
      <w:bookmarkStart w:id="3459" w:name="_Toc38439120"/>
      <w:bookmarkStart w:id="3460" w:name="_Toc38439457"/>
      <w:bookmarkStart w:id="3461" w:name="_Toc38439794"/>
      <w:bookmarkStart w:id="3462" w:name="_Toc38440131"/>
      <w:bookmarkStart w:id="3463" w:name="_Toc38440468"/>
      <w:bookmarkStart w:id="3464" w:name="_Toc38441000"/>
      <w:bookmarkStart w:id="3465" w:name="_Toc38441332"/>
      <w:bookmarkStart w:id="3466" w:name="_Toc38441664"/>
      <w:bookmarkStart w:id="3467" w:name="_Toc38441992"/>
      <w:bookmarkStart w:id="3468" w:name="_Toc38442324"/>
      <w:bookmarkStart w:id="3469" w:name="_Toc38442656"/>
      <w:bookmarkStart w:id="3470" w:name="_Toc38442987"/>
      <w:bookmarkStart w:id="3471" w:name="_Toc38443318"/>
      <w:bookmarkStart w:id="3472" w:name="_Toc38443649"/>
      <w:bookmarkStart w:id="3473" w:name="_Toc38443979"/>
      <w:bookmarkStart w:id="3474" w:name="_Toc38438447"/>
      <w:bookmarkStart w:id="3475" w:name="_Toc38438784"/>
      <w:bookmarkStart w:id="3476" w:name="_Toc38439121"/>
      <w:bookmarkStart w:id="3477" w:name="_Toc38439458"/>
      <w:bookmarkStart w:id="3478" w:name="_Toc38439795"/>
      <w:bookmarkStart w:id="3479" w:name="_Toc38440132"/>
      <w:bookmarkStart w:id="3480" w:name="_Toc38440469"/>
      <w:bookmarkStart w:id="3481" w:name="_Toc38441001"/>
      <w:bookmarkStart w:id="3482" w:name="_Toc38441333"/>
      <w:bookmarkStart w:id="3483" w:name="_Toc38441665"/>
      <w:bookmarkStart w:id="3484" w:name="_Toc38441993"/>
      <w:bookmarkStart w:id="3485" w:name="_Toc38442325"/>
      <w:bookmarkStart w:id="3486" w:name="_Toc38442657"/>
      <w:bookmarkStart w:id="3487" w:name="_Toc38442988"/>
      <w:bookmarkStart w:id="3488" w:name="_Toc38443319"/>
      <w:bookmarkStart w:id="3489" w:name="_Toc38443650"/>
      <w:bookmarkStart w:id="3490" w:name="_Toc38443980"/>
      <w:bookmarkStart w:id="3491" w:name="_Toc38438448"/>
      <w:bookmarkStart w:id="3492" w:name="_Toc38438785"/>
      <w:bookmarkStart w:id="3493" w:name="_Toc38439122"/>
      <w:bookmarkStart w:id="3494" w:name="_Toc38439459"/>
      <w:bookmarkStart w:id="3495" w:name="_Toc38439796"/>
      <w:bookmarkStart w:id="3496" w:name="_Toc38440133"/>
      <w:bookmarkStart w:id="3497" w:name="_Toc38440470"/>
      <w:bookmarkStart w:id="3498" w:name="_Toc38441002"/>
      <w:bookmarkStart w:id="3499" w:name="_Toc38441334"/>
      <w:bookmarkStart w:id="3500" w:name="_Toc38441666"/>
      <w:bookmarkStart w:id="3501" w:name="_Toc38441994"/>
      <w:bookmarkStart w:id="3502" w:name="_Toc38442326"/>
      <w:bookmarkStart w:id="3503" w:name="_Toc38442658"/>
      <w:bookmarkStart w:id="3504" w:name="_Toc38442989"/>
      <w:bookmarkStart w:id="3505" w:name="_Toc38443320"/>
      <w:bookmarkStart w:id="3506" w:name="_Toc38443651"/>
      <w:bookmarkStart w:id="3507" w:name="_Toc38443981"/>
      <w:bookmarkStart w:id="3508" w:name="_Toc38438449"/>
      <w:bookmarkStart w:id="3509" w:name="_Toc38438786"/>
      <w:bookmarkStart w:id="3510" w:name="_Toc38439123"/>
      <w:bookmarkStart w:id="3511" w:name="_Toc38439460"/>
      <w:bookmarkStart w:id="3512" w:name="_Toc38439797"/>
      <w:bookmarkStart w:id="3513" w:name="_Toc38440134"/>
      <w:bookmarkStart w:id="3514" w:name="_Toc38440471"/>
      <w:bookmarkStart w:id="3515" w:name="_Toc38441003"/>
      <w:bookmarkStart w:id="3516" w:name="_Toc38441335"/>
      <w:bookmarkStart w:id="3517" w:name="_Toc38441667"/>
      <w:bookmarkStart w:id="3518" w:name="_Toc38441995"/>
      <w:bookmarkStart w:id="3519" w:name="_Toc38442327"/>
      <w:bookmarkStart w:id="3520" w:name="_Toc38442659"/>
      <w:bookmarkStart w:id="3521" w:name="_Toc38442990"/>
      <w:bookmarkStart w:id="3522" w:name="_Toc38443321"/>
      <w:bookmarkStart w:id="3523" w:name="_Toc38443652"/>
      <w:bookmarkStart w:id="3524" w:name="_Toc38443982"/>
      <w:bookmarkStart w:id="3525" w:name="_Toc38438450"/>
      <w:bookmarkStart w:id="3526" w:name="_Toc38438787"/>
      <w:bookmarkStart w:id="3527" w:name="_Toc38439124"/>
      <w:bookmarkStart w:id="3528" w:name="_Toc38439461"/>
      <w:bookmarkStart w:id="3529" w:name="_Toc38439798"/>
      <w:bookmarkStart w:id="3530" w:name="_Toc38440135"/>
      <w:bookmarkStart w:id="3531" w:name="_Toc38440472"/>
      <w:bookmarkStart w:id="3532" w:name="_Toc38441004"/>
      <w:bookmarkStart w:id="3533" w:name="_Toc38441336"/>
      <w:bookmarkStart w:id="3534" w:name="_Toc38441668"/>
      <w:bookmarkStart w:id="3535" w:name="_Toc38441996"/>
      <w:bookmarkStart w:id="3536" w:name="_Toc38442328"/>
      <w:bookmarkStart w:id="3537" w:name="_Toc38442660"/>
      <w:bookmarkStart w:id="3538" w:name="_Toc38442991"/>
      <w:bookmarkStart w:id="3539" w:name="_Toc38443322"/>
      <w:bookmarkStart w:id="3540" w:name="_Toc38443653"/>
      <w:bookmarkStart w:id="3541" w:name="_Toc38443983"/>
      <w:bookmarkStart w:id="3542" w:name="_Toc38438451"/>
      <w:bookmarkStart w:id="3543" w:name="_Toc38438788"/>
      <w:bookmarkStart w:id="3544" w:name="_Toc38439125"/>
      <w:bookmarkStart w:id="3545" w:name="_Toc38439462"/>
      <w:bookmarkStart w:id="3546" w:name="_Toc38439799"/>
      <w:bookmarkStart w:id="3547" w:name="_Toc38440136"/>
      <w:bookmarkStart w:id="3548" w:name="_Toc38440473"/>
      <w:bookmarkStart w:id="3549" w:name="_Toc38441005"/>
      <w:bookmarkStart w:id="3550" w:name="_Toc38441337"/>
      <w:bookmarkStart w:id="3551" w:name="_Toc38441669"/>
      <w:bookmarkStart w:id="3552" w:name="_Toc38441997"/>
      <w:bookmarkStart w:id="3553" w:name="_Toc38442329"/>
      <w:bookmarkStart w:id="3554" w:name="_Toc38442661"/>
      <w:bookmarkStart w:id="3555" w:name="_Toc38442992"/>
      <w:bookmarkStart w:id="3556" w:name="_Toc38443323"/>
      <w:bookmarkStart w:id="3557" w:name="_Toc38443654"/>
      <w:bookmarkStart w:id="3558" w:name="_Toc38443984"/>
      <w:bookmarkStart w:id="3559" w:name="_Toc38438452"/>
      <w:bookmarkStart w:id="3560" w:name="_Toc38438789"/>
      <w:bookmarkStart w:id="3561" w:name="_Toc38439126"/>
      <w:bookmarkStart w:id="3562" w:name="_Toc38439463"/>
      <w:bookmarkStart w:id="3563" w:name="_Toc38439800"/>
      <w:bookmarkStart w:id="3564" w:name="_Toc38440137"/>
      <w:bookmarkStart w:id="3565" w:name="_Toc38440474"/>
      <w:bookmarkStart w:id="3566" w:name="_Toc38441006"/>
      <w:bookmarkStart w:id="3567" w:name="_Toc38441338"/>
      <w:bookmarkStart w:id="3568" w:name="_Toc38441670"/>
      <w:bookmarkStart w:id="3569" w:name="_Toc38441998"/>
      <w:bookmarkStart w:id="3570" w:name="_Toc38442330"/>
      <w:bookmarkStart w:id="3571" w:name="_Toc38442662"/>
      <w:bookmarkStart w:id="3572" w:name="_Toc38442993"/>
      <w:bookmarkStart w:id="3573" w:name="_Toc38443324"/>
      <w:bookmarkStart w:id="3574" w:name="_Toc38443655"/>
      <w:bookmarkStart w:id="3575" w:name="_Toc38443985"/>
      <w:bookmarkStart w:id="3576" w:name="_Toc38438453"/>
      <w:bookmarkStart w:id="3577" w:name="_Toc38438790"/>
      <w:bookmarkStart w:id="3578" w:name="_Toc38439127"/>
      <w:bookmarkStart w:id="3579" w:name="_Toc38439464"/>
      <w:bookmarkStart w:id="3580" w:name="_Toc38439801"/>
      <w:bookmarkStart w:id="3581" w:name="_Toc38440138"/>
      <w:bookmarkStart w:id="3582" w:name="_Toc38440475"/>
      <w:bookmarkStart w:id="3583" w:name="_Toc38441007"/>
      <w:bookmarkStart w:id="3584" w:name="_Toc38441339"/>
      <w:bookmarkStart w:id="3585" w:name="_Toc38441671"/>
      <w:bookmarkStart w:id="3586" w:name="_Toc38441999"/>
      <w:bookmarkStart w:id="3587" w:name="_Toc38442331"/>
      <w:bookmarkStart w:id="3588" w:name="_Toc38442663"/>
      <w:bookmarkStart w:id="3589" w:name="_Toc38442994"/>
      <w:bookmarkStart w:id="3590" w:name="_Toc38443325"/>
      <w:bookmarkStart w:id="3591" w:name="_Toc38443656"/>
      <w:bookmarkStart w:id="3592" w:name="_Toc38443986"/>
      <w:bookmarkStart w:id="3593" w:name="_Toc38438454"/>
      <w:bookmarkStart w:id="3594" w:name="_Toc38438791"/>
      <w:bookmarkStart w:id="3595" w:name="_Toc38439128"/>
      <w:bookmarkStart w:id="3596" w:name="_Toc38439465"/>
      <w:bookmarkStart w:id="3597" w:name="_Toc38439802"/>
      <w:bookmarkStart w:id="3598" w:name="_Toc38440139"/>
      <w:bookmarkStart w:id="3599" w:name="_Toc38440476"/>
      <w:bookmarkStart w:id="3600" w:name="_Toc38441008"/>
      <w:bookmarkStart w:id="3601" w:name="_Toc38441340"/>
      <w:bookmarkStart w:id="3602" w:name="_Toc38441672"/>
      <w:bookmarkStart w:id="3603" w:name="_Toc38442000"/>
      <w:bookmarkStart w:id="3604" w:name="_Toc38442332"/>
      <w:bookmarkStart w:id="3605" w:name="_Toc38442664"/>
      <w:bookmarkStart w:id="3606" w:name="_Toc38442995"/>
      <w:bookmarkStart w:id="3607" w:name="_Toc38443326"/>
      <w:bookmarkStart w:id="3608" w:name="_Toc38443657"/>
      <w:bookmarkStart w:id="3609" w:name="_Toc38443987"/>
      <w:bookmarkStart w:id="3610" w:name="_Toc38438455"/>
      <w:bookmarkStart w:id="3611" w:name="_Toc38438792"/>
      <w:bookmarkStart w:id="3612" w:name="_Toc38439129"/>
      <w:bookmarkStart w:id="3613" w:name="_Toc38439466"/>
      <w:bookmarkStart w:id="3614" w:name="_Toc38439803"/>
      <w:bookmarkStart w:id="3615" w:name="_Toc38440140"/>
      <w:bookmarkStart w:id="3616" w:name="_Toc38440477"/>
      <w:bookmarkStart w:id="3617" w:name="_Toc38441009"/>
      <w:bookmarkStart w:id="3618" w:name="_Toc38441341"/>
      <w:bookmarkStart w:id="3619" w:name="_Toc38441673"/>
      <w:bookmarkStart w:id="3620" w:name="_Toc38442001"/>
      <w:bookmarkStart w:id="3621" w:name="_Toc38442333"/>
      <w:bookmarkStart w:id="3622" w:name="_Toc38442665"/>
      <w:bookmarkStart w:id="3623" w:name="_Toc38442996"/>
      <w:bookmarkStart w:id="3624" w:name="_Toc38443327"/>
      <w:bookmarkStart w:id="3625" w:name="_Toc38443658"/>
      <w:bookmarkStart w:id="3626" w:name="_Toc38443988"/>
      <w:bookmarkStart w:id="3627" w:name="_Toc38438456"/>
      <w:bookmarkStart w:id="3628" w:name="_Toc38438793"/>
      <w:bookmarkStart w:id="3629" w:name="_Toc38439130"/>
      <w:bookmarkStart w:id="3630" w:name="_Toc38439467"/>
      <w:bookmarkStart w:id="3631" w:name="_Toc38439804"/>
      <w:bookmarkStart w:id="3632" w:name="_Toc38440141"/>
      <w:bookmarkStart w:id="3633" w:name="_Toc38440478"/>
      <w:bookmarkStart w:id="3634" w:name="_Toc38441010"/>
      <w:bookmarkStart w:id="3635" w:name="_Toc38441342"/>
      <w:bookmarkStart w:id="3636" w:name="_Toc38441674"/>
      <w:bookmarkStart w:id="3637" w:name="_Toc38442002"/>
      <w:bookmarkStart w:id="3638" w:name="_Toc38442334"/>
      <w:bookmarkStart w:id="3639" w:name="_Toc38442666"/>
      <w:bookmarkStart w:id="3640" w:name="_Toc38442997"/>
      <w:bookmarkStart w:id="3641" w:name="_Toc38443328"/>
      <w:bookmarkStart w:id="3642" w:name="_Toc38443659"/>
      <w:bookmarkStart w:id="3643" w:name="_Toc38443989"/>
      <w:bookmarkStart w:id="3644" w:name="_Toc38438457"/>
      <w:bookmarkStart w:id="3645" w:name="_Toc38438794"/>
      <w:bookmarkStart w:id="3646" w:name="_Toc38439131"/>
      <w:bookmarkStart w:id="3647" w:name="_Toc38439468"/>
      <w:bookmarkStart w:id="3648" w:name="_Toc38439805"/>
      <w:bookmarkStart w:id="3649" w:name="_Toc38440142"/>
      <w:bookmarkStart w:id="3650" w:name="_Toc38440479"/>
      <w:bookmarkStart w:id="3651" w:name="_Toc38441011"/>
      <w:bookmarkStart w:id="3652" w:name="_Toc38441343"/>
      <w:bookmarkStart w:id="3653" w:name="_Toc38441675"/>
      <w:bookmarkStart w:id="3654" w:name="_Toc38442003"/>
      <w:bookmarkStart w:id="3655" w:name="_Toc38442335"/>
      <w:bookmarkStart w:id="3656" w:name="_Toc38442667"/>
      <w:bookmarkStart w:id="3657" w:name="_Toc38442998"/>
      <w:bookmarkStart w:id="3658" w:name="_Toc38443329"/>
      <w:bookmarkStart w:id="3659" w:name="_Toc38443660"/>
      <w:bookmarkStart w:id="3660" w:name="_Toc38443990"/>
      <w:bookmarkStart w:id="3661" w:name="_Toc38438458"/>
      <w:bookmarkStart w:id="3662" w:name="_Toc38438795"/>
      <w:bookmarkStart w:id="3663" w:name="_Toc38439132"/>
      <w:bookmarkStart w:id="3664" w:name="_Toc38439469"/>
      <w:bookmarkStart w:id="3665" w:name="_Toc38439806"/>
      <w:bookmarkStart w:id="3666" w:name="_Toc38440143"/>
      <w:bookmarkStart w:id="3667" w:name="_Toc38440480"/>
      <w:bookmarkStart w:id="3668" w:name="_Toc38441012"/>
      <w:bookmarkStart w:id="3669" w:name="_Toc38441344"/>
      <w:bookmarkStart w:id="3670" w:name="_Toc38441676"/>
      <w:bookmarkStart w:id="3671" w:name="_Toc38442004"/>
      <w:bookmarkStart w:id="3672" w:name="_Toc38442336"/>
      <w:bookmarkStart w:id="3673" w:name="_Toc38442668"/>
      <w:bookmarkStart w:id="3674" w:name="_Toc38442999"/>
      <w:bookmarkStart w:id="3675" w:name="_Toc38443330"/>
      <w:bookmarkStart w:id="3676" w:name="_Toc38443661"/>
      <w:bookmarkStart w:id="3677" w:name="_Toc38443991"/>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sectPr>
      <w:footerReference w:type="default" r:id="rId7"/>
      <w:pgSz w:w="11906" w:h="16838"/>
      <w:pgMar w:top="1440" w:right="1803" w:bottom="1440" w:left="1803" w:header="851" w:footer="992" w:gutter="0"/>
      <w:pgNumType w:start="1"/>
      <w:cols w:space="720"/>
      <w:docGrid w:type="lines" w:linePitch="3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宋体s.....">
    <w:altName w:val="汉仪书宋二KW"/>
    <w:charset w:val="00"/>
    <w:family w:val="auto"/>
    <w:pitch w:val="default"/>
  </w:font>
  <w:font w:name="方正仿宋简体">
    <w:altName w:val="汉仪仿宋KW"/>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6370" w14:paraId="78251D86" w14:textId="77777777">
    <w:pPr>
      <w:pStyle w:val="Footer"/>
      <w:snapToGrid/>
      <w:ind w:firstLine="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6370" w14:paraId="39CC860F" w14:textId="77777777">
    <w:pPr>
      <w:pStyle w:val="Footer"/>
      <w:snapToGrid/>
      <w:ind w:firstLine="360"/>
      <w:jc w:val="center"/>
    </w:pPr>
    <w:r>
      <w:fldChar w:fldCharType="begin"/>
    </w:r>
    <w:r>
      <w:rPr>
        <w:highlight w:val="white"/>
      </w:rPr>
      <w:instrText xml:space="preserve"> PAGE   \* MERGEFORMAT </w:instrText>
    </w:r>
    <w:r>
      <w:fldChar w:fldCharType="separate"/>
    </w:r>
    <w:r w:rsidRPr="00DC6910">
      <w:rPr>
        <w:noProof/>
        <w:highlight w:val="white"/>
        <w:lang w:val="zh-CN"/>
      </w:rPr>
      <w:t>140</w:t>
    </w:r>
    <w:r>
      <w:rPr>
        <w:lang w:val="zh-CN"/>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C5E"/>
    <w:multiLevelType w:val="multilevel"/>
    <w:tmpl w:val="0E20FC5E"/>
    <w:lvl w:ilvl="0">
      <w:start w:val="1"/>
      <w:numFmt w:val="chineseCounting"/>
      <w:lvlText w:val="（%1）"/>
      <w:lvlJc w:val="left"/>
      <w:pPr>
        <w:tabs>
          <w:tab w:val="left" w:pos="720"/>
        </w:tabs>
        <w:ind w:left="720" w:hanging="720"/>
      </w:pPr>
      <w:rPr>
        <w:rFonts w:hint="eastAsia"/>
      </w:rPr>
    </w:lvl>
    <w:lvl w:ilvl="1">
      <w:start w:val="1"/>
      <w:numFmt w:val="decimal"/>
      <w:pStyle w:val="BodyText"/>
      <w:lvlText w:val="%2、"/>
      <w:lvlJc w:val="left"/>
      <w:pPr>
        <w:tabs>
          <w:tab w:val="left" w:pos="780"/>
        </w:tabs>
        <w:ind w:left="780" w:hanging="36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2719D3FD"/>
    <w:multiLevelType w:val="multilevel"/>
    <w:tmpl w:val="2719D3FD"/>
    <w:lvl w:ilvl="0">
      <w:start w:val="1"/>
      <w:numFmt w:val="chineseCounting"/>
      <w:lvlText w:val="（%1）"/>
      <w:lvlJc w:val="left"/>
      <w:pPr>
        <w:tabs>
          <w:tab w:val="left" w:pos="990"/>
        </w:tabs>
        <w:ind w:left="990" w:hanging="840"/>
      </w:pPr>
      <w:rPr>
        <w:rFonts w:hint="eastAsia"/>
      </w:rPr>
    </w:lvl>
    <w:lvl w:ilvl="1">
      <w:start w:val="1"/>
      <w:numFmt w:val="decimal"/>
      <w:lvlText w:val="（%2）"/>
      <w:lvlJc w:val="left"/>
      <w:pPr>
        <w:tabs>
          <w:tab w:val="left" w:pos="1290"/>
        </w:tabs>
        <w:ind w:left="1290" w:hanging="720"/>
      </w:pPr>
      <w:rPr>
        <w:rFonts w:hint="eastAsia"/>
      </w:rPr>
    </w:lvl>
    <w:lvl w:ilvl="2">
      <w:start w:val="4"/>
      <w:numFmt w:val="chineseCounting"/>
      <w:pStyle w:val="Heading3"/>
      <w:lvlText w:val="%3、"/>
      <w:lvlJc w:val="left"/>
      <w:pPr>
        <w:tabs>
          <w:tab w:val="left" w:pos="1710"/>
        </w:tabs>
        <w:ind w:left="1710" w:hanging="720"/>
      </w:pPr>
      <w:rPr>
        <w:rFonts w:eastAsia="宋体" w:hint="eastAsia"/>
        <w:b/>
        <w:color w:val="auto"/>
      </w:rPr>
    </w:lvl>
    <w:lvl w:ilvl="3">
      <w:start w:val="1"/>
      <w:numFmt w:val="decimal"/>
      <w:lvlText w:val="%4."/>
      <w:lvlJc w:val="left"/>
      <w:pPr>
        <w:tabs>
          <w:tab w:val="left" w:pos="1830"/>
        </w:tabs>
        <w:ind w:left="1830" w:hanging="420"/>
      </w:pPr>
    </w:lvl>
    <w:lvl w:ilvl="4">
      <w:start w:val="1"/>
      <w:numFmt w:val="lowerLetter"/>
      <w:lvlText w:val="%5)"/>
      <w:lvlJc w:val="left"/>
      <w:pPr>
        <w:tabs>
          <w:tab w:val="left" w:pos="2250"/>
        </w:tabs>
        <w:ind w:left="2250" w:hanging="420"/>
      </w:pPr>
    </w:lvl>
    <w:lvl w:ilvl="5">
      <w:start w:val="1"/>
      <w:numFmt w:val="lowerRoman"/>
      <w:lvlText w:val="%6."/>
      <w:lvlJc w:val="right"/>
      <w:pPr>
        <w:tabs>
          <w:tab w:val="left" w:pos="2670"/>
        </w:tabs>
        <w:ind w:left="2670" w:hanging="420"/>
      </w:pPr>
    </w:lvl>
    <w:lvl w:ilvl="6">
      <w:start w:val="1"/>
      <w:numFmt w:val="decimal"/>
      <w:lvlText w:val="%7."/>
      <w:lvlJc w:val="left"/>
      <w:pPr>
        <w:tabs>
          <w:tab w:val="left" w:pos="3090"/>
        </w:tabs>
        <w:ind w:left="3090" w:hanging="420"/>
      </w:pPr>
    </w:lvl>
    <w:lvl w:ilvl="7">
      <w:start w:val="1"/>
      <w:numFmt w:val="lowerLetter"/>
      <w:lvlText w:val="%8)"/>
      <w:lvlJc w:val="left"/>
      <w:pPr>
        <w:tabs>
          <w:tab w:val="left" w:pos="3510"/>
        </w:tabs>
        <w:ind w:left="3510" w:hanging="420"/>
      </w:pPr>
    </w:lvl>
    <w:lvl w:ilvl="8">
      <w:start w:val="1"/>
      <w:numFmt w:val="lowerRoman"/>
      <w:lvlText w:val="%9."/>
      <w:lvlJc w:val="right"/>
      <w:pPr>
        <w:tabs>
          <w:tab w:val="left" w:pos="3930"/>
        </w:tabs>
        <w:ind w:left="3930" w:hanging="420"/>
      </w:pPr>
    </w:lvl>
  </w:abstractNum>
  <w:abstractNum w:abstractNumId="2">
    <w:nsid w:val="668AE400"/>
    <w:multiLevelType w:val="multilevel"/>
    <w:tmpl w:val="668AE400"/>
    <w:lvl w:ilvl="0">
      <w:start w:val="1"/>
      <w:numFmt w:val="chineseCountingThousand"/>
      <w:suff w:val="space"/>
      <w:lvlText w:val="%1、"/>
      <w:lvlJc w:val="left"/>
      <w:pPr>
        <w:ind w:left="0" w:firstLine="0"/>
      </w:pPr>
      <w:rPr>
        <w:rFonts w:hint="eastAsia"/>
      </w:rPr>
    </w:lvl>
    <w:lvl w:ilvl="1">
      <w:start w:val="1"/>
      <w:numFmt w:val="chineseCountingThousand"/>
      <w:suff w:val="nothing"/>
      <w:lvlText w:val="%2、"/>
      <w:lvlJc w:val="left"/>
      <w:pPr>
        <w:ind w:left="0" w:firstLine="0"/>
      </w:pPr>
      <w:rPr>
        <w:rFonts w:hint="eastAsia"/>
      </w:rPr>
    </w:lvl>
    <w:lvl w:ilvl="2">
      <w:start w:val="1"/>
      <w:numFmt w:val="decimal"/>
      <w:suff w:val="space"/>
      <w:lvlText w:val="%3."/>
      <w:lvlJc w:val="left"/>
      <w:pPr>
        <w:ind w:left="0" w:firstLine="0"/>
      </w:pPr>
      <w:rPr>
        <w:rFonts w:hint="eastAsia"/>
      </w:rPr>
    </w:lvl>
    <w:lvl w:ilvl="3">
      <w:start w:val="1"/>
      <w:numFmt w:val="bullet"/>
      <w:pStyle w:val="Heading4"/>
      <w:suff w:val="nothing"/>
      <w:lvlText w:val="·"/>
      <w:lvlJc w:val="left"/>
      <w:pPr>
        <w:ind w:left="851" w:firstLine="0"/>
      </w:pPr>
      <w:rPr>
        <w:rFonts w:hint="eastAsia"/>
      </w:rPr>
    </w:lvl>
    <w:lvl w:ilvl="4">
      <w:start w:val="1"/>
      <w:numFmt w:val="bullet"/>
      <w:pStyle w:val="Heading5"/>
      <w:suff w:val="nothing"/>
      <w:lvlText w:val="o"/>
      <w:lvlJc w:val="left"/>
      <w:pPr>
        <w:ind w:left="851" w:firstLine="0"/>
      </w:pPr>
      <w:rPr>
        <w:rFonts w:hint="eastAsia"/>
      </w:rPr>
    </w:lvl>
    <w:lvl w:ilvl="5">
      <w:start w:val="1"/>
      <w:numFmt w:val="bullet"/>
      <w:pStyle w:val="Heading6"/>
      <w:suff w:val="nothing"/>
      <w:lvlText w:val="§"/>
      <w:lvlJc w:val="left"/>
      <w:pPr>
        <w:ind w:left="851" w:firstLine="0"/>
      </w:pPr>
      <w:rPr>
        <w:rFonts w:hint="eastAsia"/>
      </w:rPr>
    </w:lvl>
    <w:lvl w:ilvl="6">
      <w:start w:val="1"/>
      <w:numFmt w:val="bullet"/>
      <w:pStyle w:val="Heading7"/>
      <w:suff w:val="nothing"/>
      <w:lvlText w:val="·"/>
      <w:lvlJc w:val="left"/>
      <w:pPr>
        <w:ind w:left="851" w:firstLine="0"/>
      </w:pPr>
      <w:rPr>
        <w:rFonts w:hint="eastAsia"/>
      </w:rPr>
    </w:lvl>
    <w:lvl w:ilvl="7">
      <w:start w:val="1"/>
      <w:numFmt w:val="bullet"/>
      <w:pStyle w:val="Heading8"/>
      <w:suff w:val="nothing"/>
      <w:lvlText w:val="o"/>
      <w:lvlJc w:val="left"/>
      <w:pPr>
        <w:ind w:left="851" w:firstLine="0"/>
      </w:pPr>
      <w:rPr>
        <w:rFonts w:hint="eastAsia"/>
      </w:rPr>
    </w:lvl>
    <w:lvl w:ilvl="8">
      <w:start w:val="1"/>
      <w:numFmt w:val="bullet"/>
      <w:pStyle w:val="Heading9"/>
      <w:suff w:val="nothing"/>
      <w:lvlText w:val="§"/>
      <w:lvlJc w:val="left"/>
      <w:pPr>
        <w:ind w:left="851" w:firstLine="0"/>
      </w:pPr>
      <w:rPr>
        <w:rFonts w:hint="eastAsia"/>
      </w:rPr>
    </w:lvl>
  </w:abstractNum>
  <w:num w:numId="1" w16cid:durableId="938756628">
    <w:abstractNumId w:val="1"/>
  </w:num>
  <w:num w:numId="2" w16cid:durableId="1498305099">
    <w:abstractNumId w:val="2"/>
  </w:num>
  <w:num w:numId="3" w16cid:durableId="61718280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姚栋梁">
    <w15:presenceInfo w15:providerId="None" w15:userId="姚栋梁"/>
  </w15:person>
  <w15:person w15:author="张婷">
    <w15:presenceInfo w15:providerId="None" w15:userId="张婷"/>
  </w15:person>
  <w15:person w15:author="曾立">
    <w15:presenceInfo w15:providerId="None" w15:userId="曾立"/>
  </w15:person>
  <w15:person w15:author="杨逸飞">
    <w15:presenceInfo w15:providerId="None" w15:userId="杨逸飞"/>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bordersDoNotSurroundHeader/>
  <w:bordersDoNotSurroundFooter/>
  <w:proofState w:spelling="clean" w:grammar="clean"/>
  <w:defaultTabStop w:val="420"/>
  <w:displayHorizontalDrawingGridEvery w:val="0"/>
  <w:displayVerticalDrawingGridEvery w:val="2"/>
  <w:characterSpacingControl w:val="doNotCompress"/>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E86"/>
    <w:rsid w:val="FF6EC1C3"/>
    <w:rsid w:val="00063CA4"/>
    <w:rsid w:val="000A16D1"/>
    <w:rsid w:val="00103CDB"/>
    <w:rsid w:val="00120E70"/>
    <w:rsid w:val="00180418"/>
    <w:rsid w:val="00180EB6"/>
    <w:rsid w:val="001A2462"/>
    <w:rsid w:val="00211D94"/>
    <w:rsid w:val="00233AB9"/>
    <w:rsid w:val="0024098F"/>
    <w:rsid w:val="002650A2"/>
    <w:rsid w:val="002721BF"/>
    <w:rsid w:val="002A03E1"/>
    <w:rsid w:val="002C257B"/>
    <w:rsid w:val="002F2B5C"/>
    <w:rsid w:val="0030519E"/>
    <w:rsid w:val="00324009"/>
    <w:rsid w:val="00366963"/>
    <w:rsid w:val="00373A6D"/>
    <w:rsid w:val="003A00F2"/>
    <w:rsid w:val="003B5D75"/>
    <w:rsid w:val="003D3A17"/>
    <w:rsid w:val="00415079"/>
    <w:rsid w:val="00435E67"/>
    <w:rsid w:val="004445A4"/>
    <w:rsid w:val="0044788D"/>
    <w:rsid w:val="004D3B26"/>
    <w:rsid w:val="005340D3"/>
    <w:rsid w:val="00551048"/>
    <w:rsid w:val="005700D2"/>
    <w:rsid w:val="005C6370"/>
    <w:rsid w:val="005D525A"/>
    <w:rsid w:val="00622702"/>
    <w:rsid w:val="00635A28"/>
    <w:rsid w:val="006A5596"/>
    <w:rsid w:val="007133A3"/>
    <w:rsid w:val="007228A2"/>
    <w:rsid w:val="007273D3"/>
    <w:rsid w:val="00731B05"/>
    <w:rsid w:val="0074404C"/>
    <w:rsid w:val="007466AB"/>
    <w:rsid w:val="007D0AC0"/>
    <w:rsid w:val="00800E86"/>
    <w:rsid w:val="0084390F"/>
    <w:rsid w:val="008864C4"/>
    <w:rsid w:val="008C64D2"/>
    <w:rsid w:val="008E04B2"/>
    <w:rsid w:val="008F17C3"/>
    <w:rsid w:val="00910BBE"/>
    <w:rsid w:val="00952691"/>
    <w:rsid w:val="00953600"/>
    <w:rsid w:val="00A24D29"/>
    <w:rsid w:val="00A25D96"/>
    <w:rsid w:val="00A26649"/>
    <w:rsid w:val="00AA0EB9"/>
    <w:rsid w:val="00AE42F4"/>
    <w:rsid w:val="00B059FA"/>
    <w:rsid w:val="00B14044"/>
    <w:rsid w:val="00B91375"/>
    <w:rsid w:val="00BC22F5"/>
    <w:rsid w:val="00BD2D29"/>
    <w:rsid w:val="00C371BD"/>
    <w:rsid w:val="00C575E2"/>
    <w:rsid w:val="00C81CFF"/>
    <w:rsid w:val="00CE6362"/>
    <w:rsid w:val="00D55AFE"/>
    <w:rsid w:val="00D57CDF"/>
    <w:rsid w:val="00D62C78"/>
    <w:rsid w:val="00D83048"/>
    <w:rsid w:val="00DC47FA"/>
    <w:rsid w:val="00DC6910"/>
    <w:rsid w:val="00ED206D"/>
    <w:rsid w:val="00F03283"/>
    <w:rsid w:val="00F31D02"/>
    <w:rsid w:val="00F42967"/>
    <w:rsid w:val="00FC66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14:docId w14:val="05FF084D"/>
  <w15:docId w15:val="{2F125B3B-6D03-43EE-B84C-3B20D005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Light" w:cs="Calibri"/>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lsdException w:name="toc 3" w:uiPriority="39"/>
    <w:lsdException w:name="toc 4" w:uiPriority="39" w:unhideWhenUsed="1" w:qFormat="1"/>
    <w:lsdException w:name="toc 5" w:uiPriority="39" w:unhideWhenUsed="1"/>
    <w:lsdException w:name="toc 6" w:uiPriority="39" w:unhideWhenUsed="1" w:qFormat="1"/>
    <w:lsdException w:name="toc 7" w:uiPriority="39" w:unhideWhenUsed="1"/>
    <w:lsdException w:name="toc 8" w:uiPriority="39" w:unhideWhenUsed="1"/>
    <w:lsdException w:name="toc 9" w:uiPriority="39" w:unhideWhenUsed="1"/>
    <w:lsdException w:name="Normal Indent" w:uiPriority="0"/>
    <w:lsdException w:name="footnote text" w:semiHidden="1" w:unhideWhenUsed="1"/>
    <w:lsdException w:name="annotation text" w:uiPriority="0"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iPriority="0"/>
    <w:lsdException w:name="annotation reference" w:uiPriority="0" w:qFormat="1"/>
    <w:lsdException w:name="line number" w:semiHidden="1" w:unhideWhenUsed="1"/>
    <w:lsdException w:name="page number" w:uiPriority="0"/>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qFormat="1"/>
    <w:lsdException w:name="Block Text" w:semiHidden="1" w:unhideWhenUsed="1"/>
    <w:lsdException w:name="FollowedHyperlink" w:semiHidden="1" w:uiPriority="0" w:unhideWhenUsed="1"/>
    <w:lsdException w:name="Strong" w:uiPriority="0" w:qFormat="1"/>
    <w:lsdException w:name="Emphasis" w:uiPriority="20" w:qFormat="1"/>
    <w:lsdException w:name="Document Map" w:uiPriority="0"/>
    <w:lsdException w:name="Plain Text" w:uiPriority="0"/>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Arial" w:hAnsi="Arial" w:cs="Arial"/>
      <w:sz w:val="21"/>
      <w:szCs w:val="24"/>
      <w:lang w:eastAsia="en-US"/>
    </w:rPr>
  </w:style>
  <w:style w:type="paragraph" w:styleId="Heading1">
    <w:name w:val="heading 1"/>
    <w:basedOn w:val="Normal"/>
    <w:next w:val="Normal"/>
    <w:link w:val="1"/>
    <w:qFormat/>
    <w:pPr>
      <w:keepNext/>
      <w:ind w:firstLine="200"/>
      <w:jc w:val="center"/>
      <w:outlineLvl w:val="0"/>
    </w:pPr>
    <w:rPr>
      <w:rFonts w:ascii="黑体" w:eastAsia="黑体"/>
      <w:sz w:val="32"/>
      <w:szCs w:val="32"/>
    </w:rPr>
  </w:style>
  <w:style w:type="paragraph" w:styleId="Heading2">
    <w:name w:val="heading 2"/>
    <w:basedOn w:val="Normal"/>
    <w:next w:val="Normal"/>
    <w:link w:val="2"/>
    <w:qFormat/>
    <w:pPr>
      <w:keepNext/>
      <w:keepLines/>
      <w:ind w:firstLine="200"/>
      <w:outlineLvl w:val="1"/>
    </w:pPr>
    <w:rPr>
      <w:b/>
      <w:sz w:val="28"/>
      <w:szCs w:val="28"/>
    </w:rPr>
  </w:style>
  <w:style w:type="paragraph" w:styleId="Heading3">
    <w:name w:val="heading 3"/>
    <w:basedOn w:val="Normal"/>
    <w:next w:val="Normal"/>
    <w:link w:val="3"/>
    <w:qFormat/>
    <w:pPr>
      <w:numPr>
        <w:ilvl w:val="2"/>
        <w:numId w:val="1"/>
      </w:numPr>
      <w:spacing w:before="260" w:after="260" w:line="416" w:lineRule="auto"/>
      <w:outlineLvl w:val="2"/>
    </w:pPr>
    <w:rPr>
      <w:rFonts w:ascii="仿宋_GB2312" w:eastAsia="仿宋_GB2312"/>
      <w:sz w:val="24"/>
      <w:szCs w:val="20"/>
    </w:rPr>
  </w:style>
  <w:style w:type="paragraph" w:styleId="Heading4">
    <w:name w:val="heading 4"/>
    <w:basedOn w:val="Normal"/>
    <w:next w:val="Normal"/>
    <w:link w:val="4"/>
    <w:qFormat/>
    <w:pPr>
      <w:keepNext/>
      <w:keepLines/>
      <w:numPr>
        <w:ilvl w:val="3"/>
        <w:numId w:val="2"/>
      </w:numPr>
      <w:spacing w:before="280" w:after="290" w:line="376" w:lineRule="auto"/>
      <w:outlineLvl w:val="3"/>
    </w:pPr>
    <w:rPr>
      <w:rFonts w:eastAsia="黑体"/>
      <w:b/>
      <w:bCs/>
      <w:sz w:val="28"/>
      <w:szCs w:val="28"/>
    </w:rPr>
  </w:style>
  <w:style w:type="paragraph" w:styleId="Heading5">
    <w:name w:val="heading 5"/>
    <w:basedOn w:val="Normal"/>
    <w:next w:val="Normal"/>
    <w:link w:val="5"/>
    <w:qFormat/>
    <w:pPr>
      <w:keepNext/>
      <w:keepLines/>
      <w:numPr>
        <w:ilvl w:val="4"/>
        <w:numId w:val="2"/>
      </w:numPr>
      <w:spacing w:before="280" w:after="290" w:line="376" w:lineRule="auto"/>
      <w:ind w:firstLine="200"/>
      <w:outlineLvl w:val="4"/>
    </w:pPr>
    <w:rPr>
      <w:b/>
      <w:bCs/>
      <w:sz w:val="28"/>
      <w:szCs w:val="28"/>
    </w:rPr>
  </w:style>
  <w:style w:type="paragraph" w:styleId="Heading6">
    <w:name w:val="heading 6"/>
    <w:basedOn w:val="Normal"/>
    <w:next w:val="Normal"/>
    <w:link w:val="6"/>
    <w:qFormat/>
    <w:pPr>
      <w:keepNext/>
      <w:keepLines/>
      <w:numPr>
        <w:ilvl w:val="5"/>
        <w:numId w:val="2"/>
      </w:numPr>
      <w:spacing w:before="240" w:after="64" w:line="320" w:lineRule="auto"/>
      <w:ind w:firstLine="200"/>
      <w:outlineLvl w:val="5"/>
    </w:pPr>
    <w:rPr>
      <w:rFonts w:eastAsia="黑体"/>
      <w:b/>
      <w:bCs/>
      <w:sz w:val="24"/>
    </w:rPr>
  </w:style>
  <w:style w:type="paragraph" w:styleId="Heading7">
    <w:name w:val="heading 7"/>
    <w:basedOn w:val="Normal"/>
    <w:next w:val="Normal"/>
    <w:link w:val="7"/>
    <w:qFormat/>
    <w:pPr>
      <w:keepNext/>
      <w:keepLines/>
      <w:numPr>
        <w:ilvl w:val="6"/>
        <w:numId w:val="2"/>
      </w:numPr>
      <w:spacing w:before="240" w:after="64" w:line="320" w:lineRule="auto"/>
      <w:ind w:firstLine="200"/>
      <w:outlineLvl w:val="6"/>
    </w:pPr>
    <w:rPr>
      <w:b/>
      <w:bCs/>
      <w:sz w:val="24"/>
    </w:rPr>
  </w:style>
  <w:style w:type="paragraph" w:styleId="Heading8">
    <w:name w:val="heading 8"/>
    <w:basedOn w:val="Normal"/>
    <w:next w:val="Normal"/>
    <w:link w:val="8"/>
    <w:qFormat/>
    <w:pPr>
      <w:keepNext/>
      <w:keepLines/>
      <w:numPr>
        <w:ilvl w:val="7"/>
        <w:numId w:val="2"/>
      </w:numPr>
      <w:spacing w:before="240" w:after="64" w:line="320" w:lineRule="auto"/>
      <w:ind w:firstLine="200"/>
      <w:outlineLvl w:val="7"/>
    </w:pPr>
    <w:rPr>
      <w:rFonts w:eastAsia="黑体"/>
      <w:sz w:val="24"/>
    </w:rPr>
  </w:style>
  <w:style w:type="paragraph" w:styleId="Heading9">
    <w:name w:val="heading 9"/>
    <w:basedOn w:val="Normal"/>
    <w:next w:val="Normal"/>
    <w:link w:val="9"/>
    <w:qFormat/>
    <w:pPr>
      <w:keepNext/>
      <w:keepLines/>
      <w:numPr>
        <w:ilvl w:val="8"/>
        <w:numId w:val="2"/>
      </w:numPr>
      <w:spacing w:before="240" w:after="64" w:line="320" w:lineRule="auto"/>
      <w:ind w:firstLine="200"/>
      <w:outlineLvl w:val="8"/>
    </w:pPr>
    <w:rPr>
      <w:rFonts w:eastAsia="黑体"/>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7">
    <w:name w:val="toc 7"/>
    <w:basedOn w:val="Normal"/>
    <w:next w:val="Normal"/>
    <w:uiPriority w:val="39"/>
    <w:unhideWhenUsed/>
    <w:pPr>
      <w:spacing w:after="57"/>
      <w:ind w:left="1701"/>
    </w:pPr>
  </w:style>
  <w:style w:type="paragraph" w:styleId="NormalIndent">
    <w:name w:val="Normal Indent"/>
    <w:basedOn w:val="Normal"/>
    <w:pPr>
      <w:ind w:firstLine="420"/>
    </w:pPr>
    <w:rPr>
      <w:sz w:val="20"/>
      <w:szCs w:val="20"/>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paragraph" w:styleId="DocumentMap">
    <w:name w:val="Document Map"/>
    <w:basedOn w:val="Normal"/>
    <w:link w:val="a6"/>
    <w:rPr>
      <w:rFonts w:ascii="宋体"/>
      <w:sz w:val="18"/>
      <w:szCs w:val="18"/>
    </w:rPr>
  </w:style>
  <w:style w:type="paragraph" w:styleId="CommentText">
    <w:name w:val="annotation text"/>
    <w:basedOn w:val="Normal"/>
    <w:link w:val="a5"/>
    <w:qFormat/>
    <w:pPr>
      <w:jc w:val="left"/>
    </w:pPr>
  </w:style>
  <w:style w:type="paragraph" w:styleId="BodyText">
    <w:name w:val="Body Text"/>
    <w:basedOn w:val="Normal"/>
    <w:pPr>
      <w:numPr>
        <w:ilvl w:val="1"/>
        <w:numId w:val="3"/>
      </w:numPr>
      <w:tabs>
        <w:tab w:val="left" w:pos="0"/>
      </w:tabs>
      <w:ind w:left="0" w:firstLine="540"/>
      <w:jc w:val="left"/>
    </w:pPr>
    <w:rPr>
      <w:rFonts w:ascii="宋体"/>
      <w:sz w:val="24"/>
    </w:rPr>
  </w:style>
  <w:style w:type="paragraph" w:styleId="BodyTextIndent">
    <w:name w:val="Body Text Indent"/>
    <w:basedOn w:val="Normal"/>
    <w:link w:val="a11"/>
    <w:semiHidden/>
    <w:unhideWhenUsed/>
    <w:pPr>
      <w:spacing w:after="120"/>
      <w:ind w:left="420"/>
    </w:pPr>
  </w:style>
  <w:style w:type="paragraph" w:styleId="TOC5">
    <w:name w:val="toc 5"/>
    <w:basedOn w:val="Normal"/>
    <w:next w:val="Normal"/>
    <w:uiPriority w:val="39"/>
    <w:unhideWhenUsed/>
    <w:pPr>
      <w:spacing w:after="57"/>
      <w:ind w:left="1134"/>
    </w:pPr>
  </w:style>
  <w:style w:type="paragraph" w:styleId="TOC3">
    <w:name w:val="toc 3"/>
    <w:basedOn w:val="Normal"/>
    <w:next w:val="Normal"/>
    <w:uiPriority w:val="39"/>
    <w:pPr>
      <w:ind w:left="840"/>
    </w:pPr>
  </w:style>
  <w:style w:type="paragraph" w:styleId="PlainText">
    <w:name w:val="Plain Text"/>
    <w:basedOn w:val="Normal"/>
    <w:link w:val="a9"/>
    <w:pPr>
      <w:ind w:firstLine="200"/>
    </w:pPr>
    <w:rPr>
      <w:rFonts w:ascii="宋体" w:hAnsi="Courier New"/>
      <w:sz w:val="24"/>
      <w:szCs w:val="21"/>
    </w:rPr>
  </w:style>
  <w:style w:type="paragraph" w:styleId="TOC8">
    <w:name w:val="toc 8"/>
    <w:basedOn w:val="Normal"/>
    <w:next w:val="Normal"/>
    <w:uiPriority w:val="39"/>
    <w:unhideWhenUsed/>
    <w:pPr>
      <w:spacing w:after="57"/>
      <w:ind w:left="1984"/>
    </w:pPr>
  </w:style>
  <w:style w:type="paragraph" w:styleId="BodyTextIndent2">
    <w:name w:val="Body Text Indent 2"/>
    <w:basedOn w:val="Normal"/>
    <w:link w:val="21"/>
    <w:semiHidden/>
    <w:unhideWhenUsed/>
    <w:pPr>
      <w:spacing w:after="120" w:line="480" w:lineRule="auto"/>
      <w:ind w:left="420"/>
    </w:pPr>
  </w:style>
  <w:style w:type="paragraph" w:styleId="EndnoteText">
    <w:name w:val="endnote text"/>
    <w:basedOn w:val="Normal"/>
    <w:link w:val="a"/>
    <w:uiPriority w:val="99"/>
    <w:semiHidden/>
    <w:unhideWhenUsed/>
    <w:qFormat/>
    <w:rPr>
      <w:sz w:val="20"/>
    </w:rPr>
  </w:style>
  <w:style w:type="paragraph" w:styleId="BalloonText">
    <w:name w:val="Balloon Text"/>
    <w:basedOn w:val="Normal"/>
    <w:semiHidden/>
    <w:pPr>
      <w:ind w:firstLine="200"/>
    </w:pPr>
    <w:rPr>
      <w:sz w:val="18"/>
      <w:szCs w:val="18"/>
    </w:rPr>
  </w:style>
  <w:style w:type="paragraph" w:styleId="Footer">
    <w:name w:val="footer"/>
    <w:basedOn w:val="Normal"/>
    <w:link w:val="a8"/>
    <w:uiPriority w:val="99"/>
    <w:pPr>
      <w:tabs>
        <w:tab w:val="center" w:pos="4153"/>
        <w:tab w:val="right" w:pos="8306"/>
      </w:tabs>
      <w:snapToGrid w:val="0"/>
      <w:ind w:firstLine="200"/>
      <w:jc w:val="left"/>
    </w:pPr>
    <w:rPr>
      <w:rFonts w:eastAsia="仿宋_GB2312"/>
      <w:sz w:val="18"/>
      <w:szCs w:val="20"/>
    </w:rPr>
  </w:style>
  <w:style w:type="paragraph" w:styleId="Header">
    <w:name w:val="header"/>
    <w:basedOn w:val="Normal"/>
    <w:link w:val="a7"/>
    <w:uiPriority w:val="99"/>
    <w:pPr>
      <w:pBdr>
        <w:bottom w:val="single" w:sz="6" w:space="1" w:color="auto"/>
      </w:pBdr>
      <w:tabs>
        <w:tab w:val="center" w:pos="4153"/>
        <w:tab w:val="right" w:pos="8306"/>
      </w:tabs>
      <w:snapToGrid w:val="0"/>
      <w:ind w:firstLine="200"/>
      <w:jc w:val="center"/>
    </w:pPr>
    <w:rPr>
      <w:rFonts w:eastAsia="仿宋_GB2312"/>
      <w:sz w:val="18"/>
      <w:szCs w:val="20"/>
    </w:rPr>
  </w:style>
  <w:style w:type="paragraph" w:styleId="TOC1">
    <w:name w:val="toc 1"/>
    <w:basedOn w:val="Normal"/>
    <w:next w:val="Normal"/>
    <w:uiPriority w:val="39"/>
    <w:qFormat/>
    <w:pPr>
      <w:tabs>
        <w:tab w:val="right" w:leader="dot" w:pos="8296"/>
      </w:tabs>
      <w:spacing w:line="360" w:lineRule="exact"/>
      <w:jc w:val="left"/>
    </w:pPr>
    <w:rPr>
      <w:rFonts w:ascii="宋体" w:eastAsia="黑体" w:hAnsi="宋体"/>
      <w:caps/>
      <w:color w:val="000000"/>
      <w:sz w:val="24"/>
      <w:szCs w:val="28"/>
    </w:rPr>
  </w:style>
  <w:style w:type="paragraph" w:styleId="TOC4">
    <w:name w:val="toc 4"/>
    <w:basedOn w:val="Normal"/>
    <w:next w:val="Normal"/>
    <w:uiPriority w:val="39"/>
    <w:unhideWhenUsed/>
    <w:qFormat/>
    <w:pPr>
      <w:spacing w:after="57"/>
      <w:ind w:left="850"/>
    </w:pPr>
  </w:style>
  <w:style w:type="paragraph" w:styleId="Subtitle">
    <w:name w:val="Subtitle"/>
    <w:basedOn w:val="Normal"/>
    <w:next w:val="Normal"/>
    <w:link w:val="a1"/>
    <w:uiPriority w:val="11"/>
    <w:qFormat/>
    <w:pPr>
      <w:spacing w:before="200" w:after="200"/>
    </w:pPr>
    <w:rPr>
      <w:sz w:val="24"/>
    </w:rPr>
  </w:style>
  <w:style w:type="paragraph" w:styleId="FootnoteText">
    <w:name w:val="footnote text"/>
    <w:basedOn w:val="Normal"/>
    <w:link w:val="a4"/>
    <w:uiPriority w:val="99"/>
    <w:semiHidden/>
    <w:unhideWhenUsed/>
    <w:pPr>
      <w:spacing w:after="40"/>
    </w:pPr>
    <w:rPr>
      <w:sz w:val="18"/>
    </w:rPr>
  </w:style>
  <w:style w:type="paragraph" w:styleId="TOC6">
    <w:name w:val="toc 6"/>
    <w:basedOn w:val="Normal"/>
    <w:next w:val="Normal"/>
    <w:uiPriority w:val="39"/>
    <w:unhideWhenUsed/>
    <w:qFormat/>
    <w:pPr>
      <w:spacing w:after="57"/>
      <w:ind w:left="1417"/>
    </w:pPr>
  </w:style>
  <w:style w:type="paragraph" w:styleId="BodyTextIndent3">
    <w:name w:val="Body Text Indent 3"/>
    <w:basedOn w:val="Normal"/>
    <w:link w:val="30"/>
    <w:semiHidden/>
    <w:unhideWhenUsed/>
    <w:qFormat/>
    <w:pPr>
      <w:spacing w:after="120"/>
      <w:ind w:left="420"/>
    </w:pPr>
    <w:rPr>
      <w:sz w:val="16"/>
      <w:szCs w:val="16"/>
    </w:rPr>
  </w:style>
  <w:style w:type="paragraph" w:styleId="TableofFigures">
    <w:name w:val="table of figures"/>
    <w:basedOn w:val="Normal"/>
    <w:next w:val="Normal"/>
    <w:uiPriority w:val="99"/>
    <w:unhideWhenUsed/>
    <w:qFormat/>
  </w:style>
  <w:style w:type="paragraph" w:styleId="TOC2">
    <w:name w:val="toc 2"/>
    <w:basedOn w:val="Normal"/>
    <w:next w:val="Normal"/>
    <w:uiPriority w:val="39"/>
    <w:pPr>
      <w:ind w:left="320" w:firstLine="200"/>
      <w:jc w:val="left"/>
    </w:pPr>
    <w:rPr>
      <w:rFonts w:eastAsia="仿宋_GB2312"/>
      <w:smallCaps/>
      <w:sz w:val="20"/>
      <w:szCs w:val="20"/>
    </w:rPr>
  </w:style>
  <w:style w:type="paragraph" w:styleId="TOC9">
    <w:name w:val="toc 9"/>
    <w:basedOn w:val="Normal"/>
    <w:next w:val="Normal"/>
    <w:uiPriority w:val="39"/>
    <w:unhideWhenUsed/>
    <w:pPr>
      <w:spacing w:after="57"/>
      <w:ind w:left="2268"/>
    </w:pPr>
  </w:style>
  <w:style w:type="paragraph" w:styleId="HTMLPreformatted">
    <w:name w:val="HTML Preformatted"/>
    <w:basedOn w:val="Normal"/>
    <w:link w:val="HTML"/>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paragraph" w:styleId="NormalWeb">
    <w:name w:val="Normal (Web)"/>
    <w:basedOn w:val="Normal"/>
    <w:uiPriority w:val="99"/>
    <w:qFormat/>
    <w:pPr>
      <w:spacing w:beforeAutospacing="1" w:afterAutospacing="1"/>
      <w:jc w:val="left"/>
    </w:pPr>
    <w:rPr>
      <w:rFonts w:ascii="Calibri" w:hAnsi="Calibri"/>
      <w:sz w:val="24"/>
    </w:rPr>
  </w:style>
  <w:style w:type="paragraph" w:styleId="Title">
    <w:name w:val="Title"/>
    <w:basedOn w:val="Normal"/>
    <w:next w:val="Normal"/>
    <w:link w:val="a0"/>
    <w:uiPriority w:val="10"/>
    <w:qFormat/>
    <w:pPr>
      <w:spacing w:before="300" w:after="200"/>
      <w:contextualSpacing/>
    </w:pPr>
    <w:rPr>
      <w:sz w:val="48"/>
      <w:szCs w:val="48"/>
    </w:rPr>
  </w:style>
  <w:style w:type="paragraph" w:styleId="CommentSubject">
    <w:name w:val="annotation subject"/>
    <w:basedOn w:val="CommentText"/>
    <w:next w:val="CommentText"/>
    <w:semiHidden/>
    <w:qFormat/>
    <w:rPr>
      <w:b/>
      <w:bCs/>
    </w:rPr>
  </w:style>
  <w:style w:type="paragraph" w:styleId="BodyTextFirstIndent">
    <w:name w:val="Body Text First Indent"/>
    <w:basedOn w:val="BodyText"/>
    <w:link w:val="a10"/>
    <w:pPr>
      <w:numPr>
        <w:ilvl w:val="0"/>
        <w:numId w:val="0"/>
      </w:numPr>
      <w:tabs>
        <w:tab w:val="clear" w:pos="780"/>
      </w:tabs>
      <w:spacing w:after="120"/>
      <w:ind w:firstLine="420"/>
      <w:jc w:val="both"/>
    </w:pPr>
    <w:rPr>
      <w:rFonts w:ascii="Times New Roman"/>
      <w:sz w:val="21"/>
    </w:rPr>
  </w:style>
  <w:style w:type="character" w:styleId="Strong">
    <w:name w:val="Strong"/>
    <w:basedOn w:val="DefaultParagraphFont"/>
    <w:qFormat/>
    <w:rPr>
      <w:b/>
      <w:bCs/>
    </w:rPr>
  </w:style>
  <w:style w:type="character" w:styleId="EndnoteReference">
    <w:name w:val="endnote reference"/>
    <w:basedOn w:val="DefaultParagraphFont"/>
    <w:uiPriority w:val="99"/>
    <w:semiHidden/>
    <w:unhideWhenUsed/>
    <w:qFormat/>
    <w:rPr>
      <w:vertAlign w:val="superscript"/>
    </w:rPr>
  </w:style>
  <w:style w:type="character" w:styleId="PageNumber">
    <w:name w:val="page number"/>
    <w:basedOn w:val="DefaultParagraphFont"/>
  </w:style>
  <w:style w:type="character" w:styleId="FollowedHyperlink">
    <w:name w:val="FollowedHyperlink"/>
    <w:basedOn w:val="DefaultParagraphFont"/>
    <w:semiHidden/>
    <w:unhideWhenUsed/>
    <w:rPr>
      <w:color w:val="800080" w:themeColor="followedHyperlink"/>
      <w:u w:val="single"/>
    </w:rPr>
  </w:style>
  <w:style w:type="character" w:styleId="Hyperlink">
    <w:name w:val="Hyperlink"/>
    <w:basedOn w:val="DefaultParagraphFont"/>
    <w:uiPriority w:val="99"/>
    <w:rPr>
      <w:color w:val="0000FF"/>
      <w:u w:val="single"/>
    </w:rPr>
  </w:style>
  <w:style w:type="character" w:styleId="CommentReference">
    <w:name w:val="annotation reference"/>
    <w:basedOn w:val="DefaultParagraphFont"/>
    <w:qFormat/>
    <w:rPr>
      <w:sz w:val="21"/>
      <w:szCs w:val="21"/>
    </w:rPr>
  </w:style>
  <w:style w:type="character" w:styleId="FootnoteReference">
    <w:name w:val="footnote reference"/>
    <w:basedOn w:val="DefaultParagraphFont"/>
    <w:rPr>
      <w:vertAlign w:val="superscript"/>
    </w:rPr>
  </w:style>
  <w:style w:type="character" w:customStyle="1" w:styleId="a">
    <w:name w:val="尾注文本 字符"/>
    <w:link w:val="EndnoteText"/>
    <w:uiPriority w:val="99"/>
    <w:qFormat/>
    <w:rPr>
      <w:sz w:val="20"/>
    </w:rPr>
  </w:style>
  <w:style w:type="character" w:customStyle="1" w:styleId="1">
    <w:name w:val="标题 1 字符"/>
    <w:basedOn w:val="DefaultParagraphFont"/>
    <w:link w:val="Heading1"/>
    <w:uiPriority w:val="9"/>
    <w:qFormat/>
    <w:rPr>
      <w:rFonts w:ascii="Arial" w:hAnsi="Arial" w:cs="Arial"/>
      <w:sz w:val="40"/>
      <w:szCs w:val="40"/>
    </w:rPr>
  </w:style>
  <w:style w:type="character" w:customStyle="1" w:styleId="2">
    <w:name w:val="标题 2 字符"/>
    <w:basedOn w:val="DefaultParagraphFont"/>
    <w:link w:val="Heading2"/>
    <w:uiPriority w:val="9"/>
    <w:qFormat/>
    <w:rPr>
      <w:rFonts w:ascii="Arial" w:hAnsi="Arial" w:cs="Arial"/>
      <w:sz w:val="34"/>
    </w:rPr>
  </w:style>
  <w:style w:type="character" w:customStyle="1" w:styleId="3">
    <w:name w:val="标题 3 字符"/>
    <w:basedOn w:val="DefaultParagraphFont"/>
    <w:link w:val="Heading3"/>
    <w:uiPriority w:val="9"/>
    <w:qFormat/>
    <w:rPr>
      <w:rFonts w:ascii="Arial" w:hAnsi="Arial" w:cs="Arial"/>
      <w:sz w:val="30"/>
      <w:szCs w:val="30"/>
    </w:rPr>
  </w:style>
  <w:style w:type="character" w:customStyle="1" w:styleId="4">
    <w:name w:val="标题 4 字符"/>
    <w:basedOn w:val="DefaultParagraphFont"/>
    <w:link w:val="Heading4"/>
    <w:uiPriority w:val="9"/>
    <w:qFormat/>
    <w:rPr>
      <w:rFonts w:ascii="Arial" w:hAnsi="Arial" w:cs="Arial"/>
      <w:b/>
      <w:bCs/>
      <w:sz w:val="26"/>
      <w:szCs w:val="26"/>
    </w:rPr>
  </w:style>
  <w:style w:type="character" w:customStyle="1" w:styleId="5">
    <w:name w:val="标题 5 字符"/>
    <w:basedOn w:val="DefaultParagraphFont"/>
    <w:link w:val="Heading5"/>
    <w:uiPriority w:val="9"/>
    <w:qFormat/>
    <w:rPr>
      <w:rFonts w:ascii="Arial" w:hAnsi="Arial" w:cs="Arial"/>
      <w:b/>
      <w:bCs/>
      <w:sz w:val="24"/>
      <w:szCs w:val="24"/>
    </w:rPr>
  </w:style>
  <w:style w:type="character" w:customStyle="1" w:styleId="6">
    <w:name w:val="标题 6 字符"/>
    <w:basedOn w:val="DefaultParagraphFont"/>
    <w:link w:val="Heading6"/>
    <w:uiPriority w:val="9"/>
    <w:qFormat/>
    <w:rPr>
      <w:rFonts w:ascii="Arial" w:hAnsi="Arial" w:cs="Arial"/>
      <w:b/>
      <w:bCs/>
      <w:sz w:val="22"/>
      <w:szCs w:val="22"/>
    </w:rPr>
  </w:style>
  <w:style w:type="character" w:customStyle="1" w:styleId="7">
    <w:name w:val="标题 7 字符"/>
    <w:basedOn w:val="DefaultParagraphFont"/>
    <w:link w:val="Heading7"/>
    <w:uiPriority w:val="9"/>
    <w:qFormat/>
    <w:rPr>
      <w:rFonts w:ascii="Arial" w:hAnsi="Arial" w:cs="Arial"/>
      <w:b/>
      <w:bCs/>
      <w:i/>
      <w:iCs/>
      <w:sz w:val="22"/>
      <w:szCs w:val="22"/>
    </w:rPr>
  </w:style>
  <w:style w:type="character" w:customStyle="1" w:styleId="8">
    <w:name w:val="标题 8 字符"/>
    <w:basedOn w:val="DefaultParagraphFont"/>
    <w:link w:val="Heading8"/>
    <w:uiPriority w:val="9"/>
    <w:qFormat/>
    <w:rPr>
      <w:rFonts w:ascii="Arial" w:hAnsi="Arial" w:cs="Arial"/>
      <w:i/>
      <w:iCs/>
      <w:sz w:val="22"/>
      <w:szCs w:val="22"/>
    </w:rPr>
  </w:style>
  <w:style w:type="character" w:customStyle="1" w:styleId="9">
    <w:name w:val="标题 9 字符"/>
    <w:basedOn w:val="DefaultParagraphFont"/>
    <w:link w:val="Heading9"/>
    <w:uiPriority w:val="9"/>
    <w:rPr>
      <w:rFonts w:ascii="Arial" w:hAnsi="Arial" w:cs="Arial"/>
      <w:i/>
      <w:iCs/>
      <w:sz w:val="21"/>
      <w:szCs w:val="21"/>
    </w:rPr>
  </w:style>
  <w:style w:type="paragraph" w:styleId="NoSpacing">
    <w:name w:val="No Spacing"/>
    <w:uiPriority w:val="1"/>
    <w:qFormat/>
    <w:rPr>
      <w:rFonts w:ascii="Arial" w:hAnsi="Arial" w:cs="Arial"/>
      <w:sz w:val="22"/>
      <w:szCs w:val="22"/>
      <w:lang w:eastAsia="en-US"/>
    </w:rPr>
  </w:style>
  <w:style w:type="character" w:customStyle="1" w:styleId="a0">
    <w:name w:val="标题 字符"/>
    <w:basedOn w:val="DefaultParagraphFont"/>
    <w:link w:val="Title"/>
    <w:uiPriority w:val="10"/>
    <w:rPr>
      <w:sz w:val="48"/>
      <w:szCs w:val="48"/>
    </w:rPr>
  </w:style>
  <w:style w:type="character" w:customStyle="1" w:styleId="a1">
    <w:name w:val="副标题 字符"/>
    <w:basedOn w:val="DefaultParagraphFont"/>
    <w:link w:val="Subtitle"/>
    <w:uiPriority w:val="11"/>
    <w:rPr>
      <w:sz w:val="24"/>
      <w:szCs w:val="24"/>
    </w:rPr>
  </w:style>
  <w:style w:type="paragraph" w:styleId="Quote">
    <w:name w:val="Quote"/>
    <w:basedOn w:val="Normal"/>
    <w:next w:val="Normal"/>
    <w:link w:val="a2"/>
    <w:uiPriority w:val="29"/>
    <w:qFormat/>
    <w:pPr>
      <w:ind w:left="720" w:right="720"/>
    </w:pPr>
    <w:rPr>
      <w:i/>
    </w:rPr>
  </w:style>
  <w:style w:type="character" w:customStyle="1" w:styleId="a2">
    <w:name w:val="引用 字符"/>
    <w:link w:val="Quote"/>
    <w:uiPriority w:val="29"/>
    <w:rPr>
      <w:i/>
    </w:rPr>
  </w:style>
  <w:style w:type="paragraph" w:styleId="IntenseQuote">
    <w:name w:val="Intense Quote"/>
    <w:basedOn w:val="Normal"/>
    <w:next w:val="Normal"/>
    <w:link w:val="a3"/>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3">
    <w:name w:val="明显引用 字符"/>
    <w:link w:val="IntenseQuote"/>
    <w:uiPriority w:val="30"/>
    <w:rPr>
      <w:i/>
    </w:rPr>
  </w:style>
  <w:style w:type="character" w:customStyle="1" w:styleId="a4">
    <w:name w:val="脚注文本 字符"/>
    <w:link w:val="FootnoteText"/>
    <w:uiPriority w:val="99"/>
    <w:rPr>
      <w:sz w:val="18"/>
    </w:rPr>
  </w:style>
  <w:style w:type="paragraph" w:customStyle="1" w:styleId="10">
    <w:name w:val="样式 标题 1 + 黑体 非加粗"/>
    <w:basedOn w:val="Heading1"/>
    <w:qFormat/>
    <w:pPr>
      <w:pageBreakBefore/>
    </w:pPr>
    <w:rPr>
      <w:rFonts w:hAnsi="黑体"/>
      <w:b/>
    </w:rPr>
  </w:style>
  <w:style w:type="paragraph" w:customStyle="1" w:styleId="111">
    <w:name w:val="样式 标题 1 + 段前: 1 行 段后: 1 行"/>
    <w:basedOn w:val="Heading1"/>
    <w:qFormat/>
    <w:pPr>
      <w:pageBreakBefore/>
    </w:pPr>
    <w:rPr>
      <w:sz w:val="20"/>
      <w:szCs w:val="20"/>
    </w:rPr>
  </w:style>
  <w:style w:type="paragraph" w:customStyle="1" w:styleId="20">
    <w:name w:val="样式 首行缩进:  2 字符"/>
    <w:basedOn w:val="Normal"/>
    <w:pPr>
      <w:spacing w:before="100" w:beforeAutospacing="1" w:after="100" w:afterAutospacing="1" w:line="360" w:lineRule="auto"/>
      <w:ind w:firstLine="480"/>
    </w:pPr>
    <w:rPr>
      <w:sz w:val="20"/>
      <w:szCs w:val="20"/>
    </w:rPr>
  </w:style>
  <w:style w:type="character" w:customStyle="1" w:styleId="da">
    <w:name w:val="da"/>
    <w:basedOn w:val="DefaultParagraphFont"/>
    <w:qFormat/>
  </w:style>
  <w:style w:type="character" w:customStyle="1" w:styleId="a5">
    <w:name w:val="批注文字 字符"/>
    <w:basedOn w:val="DefaultParagraphFont"/>
    <w:link w:val="CommentText"/>
    <w:qFormat/>
    <w:rPr>
      <w:rFonts w:eastAsia="宋体"/>
      <w:sz w:val="21"/>
      <w:szCs w:val="24"/>
      <w:lang w:val="en-US" w:eastAsia="zh-CN" w:bidi="ar-SA"/>
    </w:rPr>
  </w:style>
  <w:style w:type="character" w:customStyle="1" w:styleId="a6">
    <w:name w:val="文档结构图 字符"/>
    <w:basedOn w:val="DefaultParagraphFont"/>
    <w:link w:val="DocumentMap"/>
    <w:rPr>
      <w:rFonts w:ascii="宋体"/>
      <w:sz w:val="18"/>
      <w:szCs w:val="18"/>
    </w:rPr>
  </w:style>
  <w:style w:type="character" w:customStyle="1" w:styleId="a7">
    <w:name w:val="页眉 字符"/>
    <w:basedOn w:val="DefaultParagraphFont"/>
    <w:link w:val="Header"/>
    <w:uiPriority w:val="99"/>
    <w:qFormat/>
    <w:rPr>
      <w:rFonts w:eastAsia="仿宋_GB2312"/>
      <w:sz w:val="18"/>
    </w:rPr>
  </w:style>
  <w:style w:type="character" w:customStyle="1" w:styleId="a8">
    <w:name w:val="页脚 字符"/>
    <w:basedOn w:val="DefaultParagraphFont"/>
    <w:link w:val="Footer"/>
    <w:uiPriority w:val="99"/>
    <w:rPr>
      <w:rFonts w:eastAsia="仿宋_GB2312"/>
      <w:sz w:val="18"/>
    </w:rPr>
  </w:style>
  <w:style w:type="character" w:customStyle="1" w:styleId="a9">
    <w:name w:val="纯文本 字符"/>
    <w:basedOn w:val="DefaultParagraphFont"/>
    <w:link w:val="PlainText"/>
    <w:rPr>
      <w:rFonts w:ascii="宋体" w:hAnsi="Courier New"/>
      <w:sz w:val="24"/>
      <w:szCs w:val="21"/>
    </w:rPr>
  </w:style>
  <w:style w:type="character" w:customStyle="1" w:styleId="a10">
    <w:name w:val="正文文本首行缩进 字符"/>
    <w:basedOn w:val="DefaultParagraphFont"/>
    <w:link w:val="BodyTextFirstIndent"/>
    <w:qFormat/>
    <w:rPr>
      <w:sz w:val="21"/>
      <w:szCs w:val="24"/>
    </w:rPr>
  </w:style>
  <w:style w:type="paragraph" w:styleId="ListParagraph">
    <w:name w:val="List Paragraph"/>
    <w:basedOn w:val="Normal"/>
    <w:uiPriority w:val="34"/>
    <w:qFormat/>
    <w:pPr>
      <w:widowControl/>
      <w:ind w:left="480"/>
    </w:pPr>
    <w:rPr>
      <w:szCs w:val="21"/>
    </w:rPr>
  </w:style>
  <w:style w:type="character" w:customStyle="1" w:styleId="a11">
    <w:name w:val="正文文本缩进 字符"/>
    <w:basedOn w:val="DefaultParagraphFont"/>
    <w:link w:val="BodyTextIndent"/>
    <w:semiHidden/>
    <w:qFormat/>
    <w:rPr>
      <w:sz w:val="21"/>
      <w:szCs w:val="24"/>
    </w:rPr>
  </w:style>
  <w:style w:type="character" w:customStyle="1" w:styleId="30">
    <w:name w:val="正文文本缩进 3 字符"/>
    <w:basedOn w:val="DefaultParagraphFont"/>
    <w:link w:val="BodyTextIndent3"/>
    <w:semiHidden/>
    <w:rPr>
      <w:sz w:val="16"/>
      <w:szCs w:val="16"/>
    </w:rPr>
  </w:style>
  <w:style w:type="character" w:customStyle="1" w:styleId="HTML">
    <w:name w:val="HTML 预设格式 字符"/>
    <w:basedOn w:val="DefaultParagraphFont"/>
    <w:link w:val="HTMLPreformatted"/>
    <w:uiPriority w:val="99"/>
    <w:rPr>
      <w:rFonts w:ascii="宋体" w:hAnsi="宋体"/>
      <w:sz w:val="24"/>
      <w:szCs w:val="24"/>
    </w:rPr>
  </w:style>
  <w:style w:type="character" w:customStyle="1" w:styleId="21">
    <w:name w:val="正文文本缩进 2 字符"/>
    <w:basedOn w:val="DefaultParagraphFont"/>
    <w:link w:val="BodyTextIndent2"/>
    <w:semiHidden/>
    <w:rPr>
      <w:sz w:val="21"/>
      <w:szCs w:val="24"/>
    </w:rPr>
  </w:style>
  <w:style w:type="paragraph" w:styleId="Revision">
    <w:name w:val="Revision"/>
    <w:hidden/>
    <w:uiPriority w:val="99"/>
    <w:unhideWhenUsed/>
    <w:rsid w:val="00103CDB"/>
    <w:pPr>
      <w:spacing w:after="0" w:line="240" w:lineRule="auto"/>
    </w:pPr>
    <w:rPr>
      <w:rFonts w:ascii="Arial" w:hAnsi="Arial" w:cs="Arial"/>
      <w:sz w:val="21"/>
      <w:szCs w:val="24"/>
      <w:lang w:eastAsia="en-US"/>
    </w:rPr>
  </w:style>
  <w:style w:type="table" w:styleId="TableGrid">
    <w:name w:val="Table Grid"/>
    <w:basedOn w:val="TableNormal"/>
    <w:uiPriority w:val="59"/>
    <w:pPr>
      <w:spacing w:line="360" w:lineRule="exact"/>
    </w:pPr>
    <w:rPr>
      <w:sz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yperlink" Target="http://www.efunds.com.cn" TargetMode="Externa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145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