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2.0 -->
  <w:body>
    <w:p w:rsidR="00526702" w14:paraId="1032B25E" w14:textId="77777777">
      <w:pPr>
        <w:jc w:val="center"/>
        <w:rPr>
          <w:rFonts w:ascii="宋体" w:cs="宋体"/>
          <w:sz w:val="36"/>
          <w:szCs w:val="36"/>
        </w:rPr>
      </w:pPr>
    </w:p>
    <w:p w:rsidR="00526702" w14:paraId="03F16996" w14:textId="77777777">
      <w:pPr>
        <w:jc w:val="center"/>
        <w:rPr>
          <w:rFonts w:ascii="宋体" w:cs="宋体"/>
          <w:sz w:val="36"/>
          <w:szCs w:val="36"/>
        </w:rPr>
      </w:pPr>
      <w:r>
        <w:rPr>
          <w:rFonts w:ascii="宋体" w:cs="宋体"/>
          <w:sz w:val="36"/>
          <w:szCs w:val="36"/>
        </w:rPr>
        <w:t>易方达如意盈越3个月持有期混合型基金中基金（FOF）</w:t>
      </w:r>
      <w:r>
        <w:rPr>
          <w:rFonts w:ascii="宋体" w:cs="宋体" w:hint="eastAsia"/>
          <w:sz w:val="36"/>
          <w:szCs w:val="36"/>
          <w:highlight w:val="white"/>
        </w:rPr>
        <w:t>（</w:t>
      </w:r>
      <w:r>
        <w:rPr>
          <w:rFonts w:ascii="宋体" w:cs="宋体"/>
          <w:sz w:val="36"/>
          <w:szCs w:val="36"/>
        </w:rPr>
        <w:t>易方达如意盈越3个月持有混合（FOF）</w:t>
      </w:r>
      <w:r>
        <w:rPr>
          <w:rFonts w:ascii="宋体" w:cs="宋体"/>
          <w:sz w:val="36"/>
          <w:highlight w:val="white"/>
        </w:rPr>
        <w:t>C</w:t>
      </w:r>
      <w:r>
        <w:rPr>
          <w:rFonts w:ascii="宋体" w:cs="宋体"/>
          <w:sz w:val="36"/>
          <w:szCs w:val="36"/>
          <w:highlight w:val="white"/>
        </w:rPr>
        <w:t>）</w:t>
      </w:r>
      <w:r>
        <w:rPr>
          <w:rFonts w:ascii="宋体" w:cs="宋体" w:hint="eastAsia"/>
          <w:sz w:val="36"/>
          <w:szCs w:val="36"/>
          <w:highlight w:val="white"/>
        </w:rPr>
        <w:t>基金产品资料概要</w:t>
      </w:r>
    </w:p>
    <w:p w:rsidR="00526702" w14:paraId="5F6C6420" w14:textId="52A509E1">
      <w:pPr>
        <w:jc w:val="center"/>
        <w:rPr>
          <w:rFonts w:ascii="宋体" w:cs="宋体"/>
          <w:iCs/>
          <w:sz w:val="24"/>
          <w:szCs w:val="24"/>
        </w:rPr>
      </w:pPr>
      <w:r>
        <w:rPr>
          <w:rFonts w:ascii="宋体" w:cs="宋体" w:hint="eastAsia"/>
          <w:iCs/>
          <w:sz w:val="24"/>
          <w:szCs w:val="24"/>
          <w:highlight w:val="white"/>
        </w:rPr>
        <w:t>编制日期：</w:t>
      </w:r>
      <w:r w:rsidR="00FD11CE">
        <w:rPr>
          <w:rFonts w:ascii="宋体" w:cs="宋体" w:hint="eastAsia"/>
          <w:iCs/>
          <w:sz w:val="24"/>
          <w:szCs w:val="24"/>
          <w:highlight w:val="white"/>
        </w:rPr>
        <w:t>2</w:t>
      </w:r>
      <w:r w:rsidR="00FD11CE">
        <w:rPr>
          <w:rFonts w:ascii="宋体" w:cs="宋体"/>
          <w:iCs/>
          <w:sz w:val="24"/>
          <w:szCs w:val="24"/>
          <w:highlight w:val="white"/>
        </w:rPr>
        <w:t>02</w:t>
      </w:r>
      <w:r w:rsidR="00FD11CE">
        <w:rPr>
          <w:rFonts w:ascii="宋体" w:cs="宋体" w:hint="eastAsia"/>
          <w:iCs/>
          <w:sz w:val="24"/>
          <w:szCs w:val="24"/>
          <w:highlight w:val="white"/>
        </w:rPr>
        <w:t>6</w:t>
      </w:r>
      <w:r>
        <w:rPr>
          <w:rFonts w:ascii="宋体" w:cs="宋体"/>
          <w:iCs/>
          <w:sz w:val="24"/>
          <w:szCs w:val="24"/>
          <w:highlight w:val="white"/>
        </w:rPr>
        <w:t>年</w:t>
      </w:r>
      <w:r w:rsidR="00FD11CE">
        <w:rPr>
          <w:rFonts w:ascii="宋体" w:cs="宋体" w:hint="eastAsia"/>
          <w:iCs/>
          <w:sz w:val="24"/>
          <w:szCs w:val="24"/>
          <w:highlight w:val="white"/>
        </w:rPr>
        <w:t>9</w:t>
      </w:r>
      <w:r>
        <w:rPr>
          <w:rFonts w:ascii="宋体" w:cs="宋体" w:hint="eastAsia"/>
          <w:iCs/>
          <w:sz w:val="24"/>
          <w:szCs w:val="24"/>
          <w:highlight w:val="white"/>
        </w:rPr>
        <w:t>月</w:t>
      </w:r>
      <w:r w:rsidR="00FD11CE">
        <w:rPr>
          <w:rFonts w:ascii="宋体" w:cs="宋体" w:hint="eastAsia"/>
          <w:iCs/>
          <w:sz w:val="24"/>
          <w:szCs w:val="24"/>
          <w:highlight w:val="white"/>
        </w:rPr>
        <w:t>18</w:t>
      </w:r>
      <w:r>
        <w:rPr>
          <w:rFonts w:ascii="宋体" w:cs="宋体" w:hint="eastAsia"/>
          <w:iCs/>
          <w:sz w:val="24"/>
          <w:szCs w:val="24"/>
          <w:highlight w:val="white"/>
        </w:rPr>
        <w:t>日</w:t>
      </w:r>
    </w:p>
    <w:p w:rsidR="00526702" w14:paraId="5C4A0826" w14:textId="163A9335">
      <w:pPr>
        <w:jc w:val="center"/>
        <w:rPr>
          <w:rFonts w:ascii="宋体" w:cs="宋体"/>
          <w:iCs/>
          <w:sz w:val="24"/>
          <w:szCs w:val="24"/>
        </w:rPr>
      </w:pPr>
      <w:r>
        <w:rPr>
          <w:rFonts w:ascii="宋体" w:cs="宋体" w:hint="eastAsia"/>
          <w:iCs/>
          <w:sz w:val="24"/>
          <w:szCs w:val="24"/>
          <w:highlight w:val="white"/>
        </w:rPr>
        <w:t>送出日期：</w:t>
      </w:r>
      <w:r w:rsidR="00FD11CE">
        <w:rPr>
          <w:rFonts w:ascii="宋体" w:cs="宋体" w:hint="eastAsia"/>
          <w:iCs/>
          <w:sz w:val="24"/>
          <w:szCs w:val="24"/>
          <w:highlight w:val="white"/>
        </w:rPr>
        <w:t>2</w:t>
      </w:r>
      <w:r w:rsidR="00FD11CE">
        <w:rPr>
          <w:rFonts w:ascii="宋体" w:cs="宋体"/>
          <w:iCs/>
          <w:sz w:val="24"/>
          <w:szCs w:val="24"/>
          <w:highlight w:val="white"/>
        </w:rPr>
        <w:t>02</w:t>
      </w:r>
      <w:r w:rsidR="00FD11CE">
        <w:rPr>
          <w:rFonts w:ascii="宋体" w:cs="宋体" w:hint="eastAsia"/>
          <w:iCs/>
          <w:sz w:val="24"/>
          <w:szCs w:val="24"/>
          <w:highlight w:val="white"/>
        </w:rPr>
        <w:t>6</w:t>
      </w:r>
      <w:r>
        <w:rPr>
          <w:rFonts w:ascii="宋体" w:cs="宋体"/>
          <w:iCs/>
          <w:sz w:val="24"/>
          <w:szCs w:val="24"/>
          <w:highlight w:val="white"/>
        </w:rPr>
        <w:t>年</w:t>
      </w:r>
      <w:r w:rsidR="00FD11CE">
        <w:rPr>
          <w:rFonts w:ascii="宋体" w:cs="宋体" w:hint="eastAsia"/>
          <w:iCs/>
          <w:sz w:val="24"/>
          <w:szCs w:val="24"/>
          <w:highlight w:val="white"/>
        </w:rPr>
        <w:t>9</w:t>
      </w:r>
      <w:r>
        <w:rPr>
          <w:rFonts w:ascii="宋体" w:cs="宋体" w:hint="eastAsia"/>
          <w:iCs/>
          <w:sz w:val="24"/>
          <w:szCs w:val="24"/>
          <w:highlight w:val="white"/>
        </w:rPr>
        <w:t>月</w:t>
      </w:r>
      <w:r w:rsidR="00FD11CE">
        <w:rPr>
          <w:rFonts w:ascii="宋体" w:cs="宋体" w:hint="eastAsia"/>
          <w:iCs/>
          <w:sz w:val="24"/>
          <w:szCs w:val="24"/>
          <w:highlight w:val="white"/>
        </w:rPr>
        <w:t>21</w:t>
      </w:r>
      <w:r>
        <w:rPr>
          <w:rFonts w:ascii="宋体" w:cs="宋体" w:hint="eastAsia"/>
          <w:iCs/>
          <w:sz w:val="24"/>
          <w:szCs w:val="24"/>
          <w:highlight w:val="white"/>
        </w:rPr>
        <w:t>日</w:t>
      </w:r>
    </w:p>
    <w:p w:rsidR="00526702" w14:paraId="1F27828F" w14:textId="77777777">
      <w:pPr>
        <w:spacing w:line="380" w:lineRule="exact"/>
        <w:jc w:val="left"/>
        <w:rPr>
          <w:rFonts w:ascii="宋体" w:cs="宋体"/>
          <w:sz w:val="32"/>
          <w:szCs w:val="32"/>
        </w:rPr>
      </w:pPr>
      <w:r>
        <w:rPr>
          <w:rFonts w:ascii="宋体" w:cs="宋体" w:hint="eastAsia"/>
          <w:sz w:val="32"/>
          <w:szCs w:val="32"/>
          <w:highlight w:val="white"/>
        </w:rPr>
        <w:t>本概要提供本基金的重要信息，是招募说明书的一部分。</w:t>
      </w:r>
    </w:p>
    <w:p w:rsidR="00526702" w14:paraId="49C858E1" w14:textId="77777777">
      <w:pPr>
        <w:spacing w:line="380" w:lineRule="exact"/>
        <w:jc w:val="left"/>
        <w:rPr>
          <w:rFonts w:ascii="宋体" w:cs="宋体"/>
          <w:sz w:val="32"/>
          <w:szCs w:val="32"/>
        </w:rPr>
      </w:pPr>
      <w:r>
        <w:rPr>
          <w:rFonts w:ascii="宋体" w:cs="宋体" w:hint="eastAsia"/>
          <w:sz w:val="32"/>
          <w:szCs w:val="32"/>
          <w:highlight w:val="white"/>
        </w:rPr>
        <w:t>作出投资决定前，请阅读完整的招募说明书等销售文件。</w:t>
      </w:r>
    </w:p>
    <w:p w:rsidR="00526702" w14:paraId="26067AAB"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产品概况</w:t>
      </w:r>
    </w:p>
    <w:tbl>
      <w:tblPr>
        <w:tblStyle w:val="TableGrid"/>
        <w:tblOverlap w:val="never"/>
        <w:tblW w:w="5000" w:type="pct"/>
        <w:tblBorders>
          <w:left w:val="none" w:sz="0" w:space="0" w:color="auto"/>
          <w:right w:val="none" w:sz="0" w:space="0" w:color="auto"/>
          <w:insideH w:val="single" w:sz="4" w:space="0" w:color="A6A6A6" w:themeColor="background1" w:themeShade="A6"/>
          <w:insideV w:val="none" w:sz="0" w:space="0" w:color="auto"/>
        </w:tblBorders>
        <w:tblLayout w:type="fixed"/>
        <w:tblLook w:val="04A0"/>
      </w:tblPr>
      <w:tblGrid>
        <w:gridCol w:w="1952"/>
        <w:gridCol w:w="2408"/>
        <w:gridCol w:w="2027"/>
        <w:gridCol w:w="2135"/>
      </w:tblGrid>
      <w:tr w14:paraId="2D8C00A4" w14:textId="77777777">
        <w:tblPrEx>
          <w:tblW w:w="5000" w:type="pct"/>
          <w:tblLayout w:type="fixed"/>
          <w:tblLook w:val="04A0"/>
        </w:tblPrEx>
        <w:trPr>
          <w:trHeight w:val="360"/>
        </w:trPr>
        <w:tc>
          <w:tcPr>
            <w:tcW w:w="1952" w:type="dxa"/>
            <w:vAlign w:val="center"/>
          </w:tcPr>
          <w:p w:rsidR="00526702" w14:paraId="619CBE2C" w14:textId="77777777">
            <w:pPr>
              <w:spacing w:line="280" w:lineRule="exact"/>
              <w:rPr>
                <w:rFonts w:ascii="宋体" w:cs="宋体"/>
                <w:b/>
                <w:iCs/>
              </w:rPr>
            </w:pPr>
            <w:r>
              <w:rPr>
                <w:rFonts w:ascii="宋体" w:cs="宋体" w:hint="eastAsia"/>
                <w:b/>
                <w:iCs/>
                <w:highlight w:val="white"/>
              </w:rPr>
              <w:t>基金简称</w:t>
            </w:r>
          </w:p>
        </w:tc>
        <w:tc>
          <w:tcPr>
            <w:tcW w:w="2408" w:type="dxa"/>
            <w:vAlign w:val="center"/>
          </w:tcPr>
          <w:p w:rsidR="00526702" w14:paraId="553885D6" w14:textId="77777777">
            <w:pPr>
              <w:spacing w:line="280" w:lineRule="exact"/>
              <w:rPr>
                <w:rFonts w:ascii="宋体" w:cs="宋体"/>
                <w:b/>
                <w:iCs/>
              </w:rPr>
            </w:pPr>
            <w:r>
              <w:rPr>
                <w:rFonts w:ascii="宋体" w:cs="宋体" w:hint="eastAsia"/>
                <w:iCs/>
              </w:rPr>
              <w:t>易方达如意盈越3个月持有混合（FOF）</w:t>
            </w:r>
          </w:p>
        </w:tc>
        <w:tc>
          <w:tcPr>
            <w:tcW w:w="2027" w:type="dxa"/>
            <w:vAlign w:val="center"/>
          </w:tcPr>
          <w:p w:rsidR="00526702" w14:paraId="74733323" w14:textId="77777777">
            <w:pPr>
              <w:spacing w:line="280" w:lineRule="exact"/>
              <w:rPr>
                <w:rFonts w:ascii="宋体" w:cs="宋体"/>
                <w:b/>
                <w:iCs/>
              </w:rPr>
            </w:pPr>
            <w:r>
              <w:rPr>
                <w:rFonts w:ascii="宋体" w:cs="宋体" w:hint="eastAsia"/>
                <w:b/>
                <w:iCs/>
                <w:highlight w:val="white"/>
              </w:rPr>
              <w:t>基金代码</w:t>
            </w:r>
          </w:p>
        </w:tc>
        <w:tc>
          <w:tcPr>
            <w:tcW w:w="2135" w:type="dxa"/>
            <w:tcBorders>
              <w:bottom w:val="single" w:sz="4" w:space="0" w:color="A6A6A6" w:themeColor="background1" w:themeShade="A6"/>
            </w:tcBorders>
            <w:vAlign w:val="center"/>
          </w:tcPr>
          <w:p w:rsidR="00526702" w14:paraId="027DC21A" w14:textId="3E91F940">
            <w:pPr>
              <w:rPr>
                <w:rFonts w:ascii="宋体" w:cs="宋体"/>
              </w:rPr>
            </w:pPr>
            <w:r w:rsidRPr="003E2939">
              <w:rPr>
                <w:rFonts w:ascii="宋体" w:cs="宋体" w:hint="eastAsia"/>
                <w:highlight w:val="white"/>
              </w:rPr>
              <w:t>028367</w:t>
            </w:r>
          </w:p>
        </w:tc>
      </w:tr>
      <w:tr w14:paraId="21633292" w14:textId="77777777">
        <w:tblPrEx>
          <w:tblW w:w="5000" w:type="pct"/>
          <w:tblLayout w:type="fixed"/>
          <w:tblLook w:val="04A0"/>
        </w:tblPrEx>
        <w:trPr>
          <w:trHeight w:val="360"/>
        </w:trPr>
        <w:tc>
          <w:tcPr>
            <w:tcW w:w="1952" w:type="dxa"/>
            <w:vAlign w:val="center"/>
          </w:tcPr>
          <w:p w:rsidR="00526702" w14:paraId="6F0158F6" w14:textId="77777777">
            <w:pPr>
              <w:spacing w:line="280" w:lineRule="exact"/>
              <w:rPr>
                <w:rFonts w:ascii="宋体" w:cs="宋体"/>
                <w:b/>
                <w:iCs/>
              </w:rPr>
            </w:pPr>
            <w:r>
              <w:rPr>
                <w:rFonts w:ascii="宋体" w:cs="宋体" w:hint="eastAsia"/>
                <w:b/>
                <w:iCs/>
                <w:highlight w:val="white"/>
              </w:rPr>
              <w:t>下属基金简称</w:t>
            </w:r>
          </w:p>
        </w:tc>
        <w:tc>
          <w:tcPr>
            <w:tcW w:w="2408" w:type="dxa"/>
            <w:vAlign w:val="center"/>
          </w:tcPr>
          <w:p w:rsidR="00526702" w14:paraId="21BECDDB" w14:textId="77777777">
            <w:pPr>
              <w:spacing w:line="280" w:lineRule="exact"/>
              <w:rPr>
                <w:rFonts w:ascii="宋体" w:cs="宋体"/>
                <w:iCs/>
              </w:rPr>
            </w:pPr>
            <w:r>
              <w:rPr>
                <w:rFonts w:ascii="宋体" w:cs="宋体" w:hint="eastAsia"/>
                <w:iCs/>
              </w:rPr>
              <w:t>易方达如意盈越3个月持有混合（FOF）</w:t>
            </w:r>
            <w:r>
              <w:rPr>
                <w:rFonts w:ascii="宋体" w:cs="宋体"/>
                <w:highlight w:val="white"/>
              </w:rPr>
              <w:t>C</w:t>
            </w:r>
          </w:p>
        </w:tc>
        <w:tc>
          <w:tcPr>
            <w:tcW w:w="2027" w:type="dxa"/>
            <w:vAlign w:val="center"/>
          </w:tcPr>
          <w:p w:rsidR="00526702" w14:paraId="2FEC0108" w14:textId="77777777">
            <w:pPr>
              <w:spacing w:line="280" w:lineRule="exact"/>
              <w:rPr>
                <w:rFonts w:ascii="宋体" w:cs="宋体"/>
                <w:b/>
                <w:iCs/>
              </w:rPr>
            </w:pPr>
            <w:r>
              <w:rPr>
                <w:rFonts w:ascii="宋体" w:cs="宋体" w:hint="eastAsia"/>
                <w:b/>
                <w:iCs/>
                <w:highlight w:val="white"/>
              </w:rPr>
              <w:t>下属基金代码</w:t>
            </w:r>
          </w:p>
        </w:tc>
        <w:tc>
          <w:tcPr>
            <w:tcW w:w="2135" w:type="dxa"/>
            <w:tcBorders>
              <w:bottom w:val="single" w:sz="4" w:space="0" w:color="A6A6A6" w:themeColor="background1" w:themeShade="A6"/>
            </w:tcBorders>
            <w:vAlign w:val="center"/>
          </w:tcPr>
          <w:p w:rsidR="00526702" w14:paraId="0BF06BC6" w14:textId="0A5139AA">
            <w:pPr>
              <w:rPr>
                <w:rFonts w:ascii="宋体" w:cs="宋体"/>
              </w:rPr>
            </w:pPr>
            <w:r w:rsidRPr="003E2939">
              <w:rPr>
                <w:rFonts w:ascii="宋体" w:cs="宋体"/>
              </w:rPr>
              <w:t>028368</w:t>
            </w:r>
          </w:p>
        </w:tc>
      </w:tr>
      <w:tr w14:paraId="39EA39F6" w14:textId="77777777">
        <w:tblPrEx>
          <w:tblW w:w="5000" w:type="pct"/>
          <w:tblLayout w:type="fixed"/>
          <w:tblLook w:val="04A0"/>
        </w:tblPrEx>
        <w:trPr>
          <w:trHeight w:val="360"/>
        </w:trPr>
        <w:tc>
          <w:tcPr>
            <w:tcW w:w="1952" w:type="dxa"/>
            <w:vAlign w:val="center"/>
          </w:tcPr>
          <w:p w:rsidR="00526702" w14:paraId="7597C1E2" w14:textId="77777777">
            <w:pPr>
              <w:spacing w:line="280" w:lineRule="exact"/>
              <w:rPr>
                <w:rFonts w:ascii="宋体" w:cs="宋体"/>
                <w:b/>
                <w:iCs/>
              </w:rPr>
            </w:pPr>
            <w:r>
              <w:rPr>
                <w:rFonts w:ascii="宋体" w:cs="宋体" w:hint="eastAsia"/>
                <w:b/>
                <w:iCs/>
                <w:highlight w:val="white"/>
              </w:rPr>
              <w:t>基金管理人</w:t>
            </w:r>
          </w:p>
        </w:tc>
        <w:tc>
          <w:tcPr>
            <w:tcW w:w="2408" w:type="dxa"/>
            <w:tcBorders>
              <w:top w:val="single" w:sz="4" w:space="0" w:color="A6A6A6" w:themeColor="background1" w:themeShade="A6"/>
            </w:tcBorders>
            <w:vAlign w:val="center"/>
          </w:tcPr>
          <w:p w:rsidR="00526702" w14:paraId="59F5F9CE" w14:textId="77777777">
            <w:pPr>
              <w:spacing w:line="280" w:lineRule="exact"/>
              <w:rPr>
                <w:rFonts w:ascii="宋体" w:cs="宋体"/>
                <w:iCs/>
              </w:rPr>
            </w:pPr>
            <w:r>
              <w:rPr>
                <w:rFonts w:ascii="宋体" w:cs="宋体" w:hint="eastAsia"/>
                <w:iCs/>
              </w:rPr>
              <w:t>易方达基金管理有限公司</w:t>
            </w:r>
          </w:p>
        </w:tc>
        <w:tc>
          <w:tcPr>
            <w:tcW w:w="2027" w:type="dxa"/>
            <w:vAlign w:val="center"/>
          </w:tcPr>
          <w:p w:rsidR="00526702" w14:paraId="4C7D33AB" w14:textId="77777777">
            <w:pPr>
              <w:spacing w:line="280" w:lineRule="exact"/>
              <w:rPr>
                <w:rFonts w:ascii="宋体" w:cs="宋体"/>
                <w:b/>
                <w:iCs/>
              </w:rPr>
            </w:pPr>
            <w:r>
              <w:rPr>
                <w:rFonts w:ascii="宋体" w:cs="宋体" w:hint="eastAsia"/>
                <w:b/>
                <w:iCs/>
                <w:highlight w:val="white"/>
              </w:rPr>
              <w:t>基金托管人</w:t>
            </w:r>
          </w:p>
        </w:tc>
        <w:tc>
          <w:tcPr>
            <w:tcW w:w="2135" w:type="dxa"/>
            <w:tcBorders>
              <w:top w:val="single" w:sz="4" w:space="0" w:color="A6A6A6" w:themeColor="background1" w:themeShade="A6"/>
            </w:tcBorders>
            <w:vAlign w:val="center"/>
          </w:tcPr>
          <w:p w:rsidR="00526702" w14:paraId="7A340D2C" w14:textId="77777777">
            <w:pPr>
              <w:spacing w:line="280" w:lineRule="exact"/>
              <w:rPr>
                <w:rFonts w:ascii="宋体" w:cs="宋体"/>
                <w:iCs/>
              </w:rPr>
            </w:pPr>
            <w:r>
              <w:rPr>
                <w:rFonts w:ascii="宋体" w:cs="宋体" w:hint="eastAsia"/>
                <w:iCs/>
              </w:rPr>
              <w:t>中国工商银行股份有限公司</w:t>
            </w:r>
          </w:p>
        </w:tc>
      </w:tr>
      <w:tr w14:paraId="485430D0" w14:textId="77777777">
        <w:tblPrEx>
          <w:tblW w:w="5000" w:type="pct"/>
          <w:tblLayout w:type="fixed"/>
          <w:tblLook w:val="04A0"/>
        </w:tblPrEx>
        <w:trPr>
          <w:trHeight w:val="454"/>
        </w:trPr>
        <w:tc>
          <w:tcPr>
            <w:tcW w:w="1952" w:type="dxa"/>
            <w:vAlign w:val="center"/>
          </w:tcPr>
          <w:p w:rsidR="00526702" w14:paraId="69BE5846" w14:textId="77777777">
            <w:pPr>
              <w:spacing w:line="280" w:lineRule="exact"/>
              <w:rPr>
                <w:rFonts w:ascii="宋体" w:cs="宋体"/>
                <w:b/>
                <w:iCs/>
              </w:rPr>
            </w:pPr>
            <w:r>
              <w:rPr>
                <w:rFonts w:ascii="宋体" w:cs="宋体" w:hint="eastAsia"/>
                <w:b/>
                <w:iCs/>
                <w:highlight w:val="white"/>
              </w:rPr>
              <w:t>基金合同生效日</w:t>
            </w:r>
          </w:p>
        </w:tc>
        <w:tc>
          <w:tcPr>
            <w:tcW w:w="2408" w:type="dxa"/>
            <w:vAlign w:val="center"/>
          </w:tcPr>
          <w:p w:rsidR="00526702" w14:paraId="464D6154" w14:textId="77777777">
            <w:pPr>
              <w:spacing w:line="280" w:lineRule="exact"/>
              <w:rPr>
                <w:rFonts w:ascii="宋体" w:cs="宋体"/>
                <w:iCs/>
              </w:rPr>
            </w:pPr>
            <w:r>
              <w:rPr>
                <w:rFonts w:ascii="宋体" w:cs="宋体" w:hint="eastAsia"/>
                <w:iCs/>
                <w:highlight w:val="white"/>
              </w:rPr>
              <w:t>-</w:t>
            </w:r>
          </w:p>
        </w:tc>
        <w:tc>
          <w:tcPr>
            <w:tcW w:w="2027" w:type="dxa"/>
            <w:vAlign w:val="center"/>
          </w:tcPr>
          <w:p w:rsidR="00526702" w14:paraId="219B9C93" w14:textId="77777777">
            <w:pPr>
              <w:spacing w:line="280" w:lineRule="exact"/>
              <w:rPr>
                <w:rFonts w:ascii="宋体" w:cs="宋体"/>
                <w:b/>
                <w:iCs/>
              </w:rPr>
            </w:pPr>
          </w:p>
        </w:tc>
        <w:tc>
          <w:tcPr>
            <w:tcW w:w="2135" w:type="dxa"/>
            <w:tcBorders>
              <w:top w:val="single" w:sz="4" w:space="0" w:color="A6A6A6" w:themeColor="background1" w:themeShade="A6"/>
              <w:bottom w:val="nil"/>
            </w:tcBorders>
            <w:vAlign w:val="center"/>
          </w:tcPr>
          <w:p w:rsidR="00526702" w14:paraId="69D26AB2" w14:textId="77777777">
            <w:pPr>
              <w:spacing w:line="280" w:lineRule="exact"/>
              <w:rPr>
                <w:rFonts w:ascii="宋体" w:cs="宋体"/>
                <w:iCs/>
              </w:rPr>
            </w:pPr>
            <w:r>
              <w:rPr>
                <w:rFonts w:ascii="宋体" w:cs="宋体" w:hint="eastAsia"/>
                <w:iCs/>
                <w:highlight w:val="white"/>
              </w:rPr>
              <w:t xml:space="preserve"> </w:t>
            </w:r>
          </w:p>
        </w:tc>
      </w:tr>
      <w:tr w14:paraId="38FD2C19" w14:textId="77777777">
        <w:tblPrEx>
          <w:tblW w:w="5000" w:type="pct"/>
          <w:tblLayout w:type="fixed"/>
          <w:tblLook w:val="04A0"/>
        </w:tblPrEx>
        <w:trPr>
          <w:trHeight w:val="360"/>
        </w:trPr>
        <w:tc>
          <w:tcPr>
            <w:tcW w:w="1952" w:type="dxa"/>
            <w:vAlign w:val="center"/>
          </w:tcPr>
          <w:p w:rsidR="00526702" w14:paraId="60E188F5" w14:textId="77777777">
            <w:pPr>
              <w:spacing w:line="280" w:lineRule="exact"/>
              <w:rPr>
                <w:rFonts w:ascii="宋体" w:cs="宋体"/>
                <w:b/>
                <w:iCs/>
              </w:rPr>
            </w:pPr>
            <w:r>
              <w:rPr>
                <w:rFonts w:ascii="宋体" w:cs="宋体" w:hint="eastAsia"/>
                <w:b/>
                <w:iCs/>
                <w:highlight w:val="white"/>
              </w:rPr>
              <w:t>基金类型</w:t>
            </w:r>
          </w:p>
        </w:tc>
        <w:tc>
          <w:tcPr>
            <w:tcW w:w="2408" w:type="dxa"/>
            <w:vAlign w:val="center"/>
          </w:tcPr>
          <w:p w:rsidR="00526702" w14:paraId="47500056" w14:textId="77777777">
            <w:pPr>
              <w:spacing w:line="280" w:lineRule="exact"/>
              <w:rPr>
                <w:rFonts w:ascii="宋体" w:cs="宋体"/>
                <w:iCs/>
              </w:rPr>
            </w:pPr>
            <w:r>
              <w:rPr>
                <w:rFonts w:ascii="宋体" w:cs="宋体" w:hint="eastAsia"/>
                <w:iCs/>
              </w:rPr>
              <w:t>基金中基金</w:t>
            </w:r>
          </w:p>
        </w:tc>
        <w:tc>
          <w:tcPr>
            <w:tcW w:w="2027" w:type="dxa"/>
            <w:vAlign w:val="center"/>
          </w:tcPr>
          <w:p w:rsidR="00526702" w14:paraId="6329BB35" w14:textId="77777777">
            <w:pPr>
              <w:spacing w:line="280" w:lineRule="exact"/>
              <w:rPr>
                <w:rFonts w:ascii="宋体" w:cs="宋体"/>
                <w:b/>
                <w:iCs/>
              </w:rPr>
            </w:pPr>
            <w:r>
              <w:rPr>
                <w:rFonts w:ascii="宋体" w:cs="宋体" w:hint="eastAsia"/>
                <w:b/>
                <w:iCs/>
                <w:highlight w:val="white"/>
              </w:rPr>
              <w:t>交易币种</w:t>
            </w:r>
          </w:p>
        </w:tc>
        <w:tc>
          <w:tcPr>
            <w:tcW w:w="2135" w:type="dxa"/>
            <w:tcBorders>
              <w:top w:val="single" w:sz="4" w:space="0" w:color="A6A6A6" w:themeColor="background1" w:themeShade="A6"/>
            </w:tcBorders>
            <w:vAlign w:val="center"/>
          </w:tcPr>
          <w:p w:rsidR="00526702" w14:paraId="52FFC388" w14:textId="77777777">
            <w:pPr>
              <w:spacing w:line="280" w:lineRule="exact"/>
              <w:rPr>
                <w:rFonts w:ascii="宋体" w:cs="宋体"/>
                <w:iCs/>
              </w:rPr>
            </w:pPr>
            <w:r>
              <w:rPr>
                <w:rFonts w:ascii="宋体" w:cs="宋体" w:hint="eastAsia"/>
                <w:iCs/>
              </w:rPr>
              <w:t>人民币</w:t>
            </w:r>
          </w:p>
        </w:tc>
      </w:tr>
      <w:tr w14:paraId="70AE480C" w14:textId="77777777">
        <w:tblPrEx>
          <w:tblW w:w="5000" w:type="pct"/>
          <w:tblLayout w:type="fixed"/>
          <w:tblLook w:val="04A0"/>
        </w:tblPrEx>
        <w:trPr>
          <w:trHeight w:val="360"/>
        </w:trPr>
        <w:tc>
          <w:tcPr>
            <w:tcW w:w="1952" w:type="dxa"/>
            <w:vAlign w:val="center"/>
          </w:tcPr>
          <w:p w:rsidR="00526702" w14:paraId="63917FF0" w14:textId="77777777">
            <w:pPr>
              <w:spacing w:line="280" w:lineRule="exact"/>
              <w:rPr>
                <w:rFonts w:ascii="宋体" w:cs="宋体"/>
                <w:b/>
                <w:iCs/>
              </w:rPr>
            </w:pPr>
            <w:r>
              <w:rPr>
                <w:rFonts w:ascii="宋体" w:cs="宋体" w:hint="eastAsia"/>
                <w:b/>
                <w:iCs/>
                <w:highlight w:val="white"/>
              </w:rPr>
              <w:t>运作方式</w:t>
            </w:r>
          </w:p>
        </w:tc>
        <w:tc>
          <w:tcPr>
            <w:tcW w:w="2408" w:type="dxa"/>
            <w:vAlign w:val="center"/>
          </w:tcPr>
          <w:p w:rsidR="00526702" w14:paraId="5FE6179E" w14:textId="77777777">
            <w:pPr>
              <w:spacing w:line="280" w:lineRule="exact"/>
              <w:rPr>
                <w:rFonts w:ascii="宋体" w:cs="宋体"/>
                <w:iCs/>
              </w:rPr>
            </w:pPr>
            <w:r>
              <w:rPr>
                <w:rFonts w:ascii="宋体" w:cs="宋体" w:hint="eastAsia"/>
                <w:iCs/>
              </w:rPr>
              <w:t>其他开放式</w:t>
            </w:r>
          </w:p>
        </w:tc>
        <w:tc>
          <w:tcPr>
            <w:tcW w:w="2027" w:type="dxa"/>
            <w:vAlign w:val="center"/>
          </w:tcPr>
          <w:p w:rsidR="00526702" w14:paraId="1924E4CA" w14:textId="77777777">
            <w:pPr>
              <w:spacing w:line="280" w:lineRule="exact"/>
              <w:rPr>
                <w:rFonts w:ascii="宋体" w:cs="宋体"/>
                <w:b/>
                <w:iCs/>
              </w:rPr>
            </w:pPr>
            <w:r>
              <w:rPr>
                <w:rFonts w:ascii="宋体" w:cs="宋体" w:hint="eastAsia"/>
                <w:b/>
                <w:iCs/>
                <w:highlight w:val="white"/>
              </w:rPr>
              <w:t>开放频率</w:t>
            </w:r>
          </w:p>
        </w:tc>
        <w:tc>
          <w:tcPr>
            <w:tcW w:w="2135" w:type="dxa"/>
            <w:vAlign w:val="center"/>
          </w:tcPr>
          <w:p w:rsidR="00526702" w14:paraId="3769CB70" w14:textId="77777777">
            <w:pPr>
              <w:spacing w:line="280" w:lineRule="exact"/>
              <w:rPr>
                <w:rFonts w:ascii="宋体" w:cs="宋体"/>
                <w:iCs/>
              </w:rPr>
            </w:pPr>
            <w:r>
              <w:rPr>
                <w:rFonts w:ascii="宋体" w:cs="宋体" w:hint="eastAsia"/>
                <w:iCs/>
              </w:rPr>
              <w:t>每个开放日申购，但对于每份基金份额设定3个月最短持有期限</w:t>
            </w:r>
          </w:p>
        </w:tc>
      </w:tr>
      <w:tr w14:paraId="2DFAE6F2" w14:textId="77777777">
        <w:tblPrEx>
          <w:tblW w:w="5000" w:type="pct"/>
          <w:tblLayout w:type="fixed"/>
          <w:tblLook w:val="04A0"/>
        </w:tblPrEx>
        <w:trPr>
          <w:trHeight w:val="360"/>
        </w:trPr>
        <w:tc>
          <w:tcPr>
            <w:tcW w:w="1952" w:type="dxa"/>
            <w:vMerge w:val="restart"/>
            <w:vAlign w:val="center"/>
          </w:tcPr>
          <w:p w:rsidR="00526702" w14:paraId="690EF5AF" w14:textId="77777777">
            <w:pPr>
              <w:spacing w:line="280" w:lineRule="exact"/>
              <w:rPr>
                <w:rFonts w:ascii="宋体" w:cs="宋体"/>
                <w:b/>
                <w:iCs/>
              </w:rPr>
            </w:pPr>
            <w:r>
              <w:rPr>
                <w:rFonts w:ascii="宋体" w:cs="宋体" w:hint="eastAsia"/>
                <w:b/>
                <w:iCs/>
                <w:highlight w:val="white"/>
              </w:rPr>
              <w:t>基金经理</w:t>
            </w:r>
          </w:p>
        </w:tc>
        <w:tc>
          <w:tcPr>
            <w:tcW w:w="2408" w:type="dxa"/>
            <w:vMerge w:val="restart"/>
            <w:vAlign w:val="center"/>
          </w:tcPr>
          <w:p w:rsidR="00526702" w14:paraId="7DF42831" w14:textId="77777777">
            <w:pPr>
              <w:spacing w:line="280" w:lineRule="exact"/>
              <w:rPr>
                <w:rFonts w:ascii="宋体" w:cs="宋体"/>
                <w:iCs/>
              </w:rPr>
            </w:pPr>
            <w:r>
              <w:rPr>
                <w:rFonts w:ascii="宋体" w:cs="宋体" w:hint="eastAsia"/>
                <w:iCs/>
              </w:rPr>
              <w:t>张浩然</w:t>
            </w:r>
          </w:p>
        </w:tc>
        <w:tc>
          <w:tcPr>
            <w:tcW w:w="2027" w:type="dxa"/>
            <w:vAlign w:val="center"/>
          </w:tcPr>
          <w:p w:rsidR="00526702" w14:paraId="1AB6D60A" w14:textId="77777777">
            <w:pPr>
              <w:spacing w:line="280" w:lineRule="exact"/>
              <w:rPr>
                <w:rFonts w:ascii="宋体" w:cs="宋体"/>
                <w:b/>
                <w:iCs/>
              </w:rPr>
            </w:pPr>
            <w:r>
              <w:rPr>
                <w:rFonts w:ascii="宋体" w:cs="宋体" w:hint="eastAsia"/>
                <w:b/>
                <w:iCs/>
                <w:highlight w:val="white"/>
              </w:rPr>
              <w:t>开始担任本基金基金经理的日期</w:t>
            </w:r>
          </w:p>
        </w:tc>
        <w:tc>
          <w:tcPr>
            <w:tcW w:w="2135" w:type="dxa"/>
            <w:vAlign w:val="center"/>
          </w:tcPr>
          <w:p w:rsidR="00526702" w14:paraId="733E0962" w14:textId="77777777">
            <w:pPr>
              <w:spacing w:line="280" w:lineRule="exact"/>
              <w:rPr>
                <w:rFonts w:ascii="宋体" w:cs="宋体"/>
                <w:iCs/>
              </w:rPr>
            </w:pPr>
            <w:r>
              <w:rPr>
                <w:rFonts w:ascii="宋体" w:cs="宋体"/>
                <w:iCs/>
                <w:highlight w:val="white"/>
              </w:rPr>
              <w:t>-</w:t>
            </w:r>
          </w:p>
        </w:tc>
      </w:tr>
      <w:tr w14:paraId="27D734C4" w14:textId="77777777">
        <w:tblPrEx>
          <w:tblW w:w="5000" w:type="pct"/>
          <w:tblLayout w:type="fixed"/>
          <w:tblLook w:val="04A0"/>
        </w:tblPrEx>
        <w:trPr>
          <w:trHeight w:val="360"/>
        </w:trPr>
        <w:tc>
          <w:tcPr>
            <w:tcW w:w="1952" w:type="dxa"/>
            <w:vMerge/>
            <w:vAlign w:val="center"/>
          </w:tcPr>
          <w:p w:rsidR="00526702" w14:paraId="0D7A8C96" w14:textId="77777777">
            <w:pPr>
              <w:spacing w:line="280" w:lineRule="exact"/>
              <w:rPr>
                <w:rFonts w:ascii="宋体" w:cs="方正仿宋简体"/>
                <w:b/>
                <w:iCs/>
              </w:rPr>
            </w:pPr>
          </w:p>
        </w:tc>
        <w:tc>
          <w:tcPr>
            <w:tcW w:w="2408" w:type="dxa"/>
            <w:vMerge/>
            <w:vAlign w:val="center"/>
          </w:tcPr>
          <w:p w:rsidR="00526702" w14:paraId="31701296" w14:textId="77777777">
            <w:pPr>
              <w:spacing w:line="280" w:lineRule="exact"/>
              <w:rPr>
                <w:rFonts w:ascii="宋体" w:cs="方正仿宋简体"/>
                <w:b/>
                <w:iCs/>
              </w:rPr>
            </w:pPr>
          </w:p>
        </w:tc>
        <w:tc>
          <w:tcPr>
            <w:tcW w:w="2027" w:type="dxa"/>
            <w:vAlign w:val="center"/>
          </w:tcPr>
          <w:p w:rsidR="00526702" w14:paraId="3385D1E5" w14:textId="77777777">
            <w:pPr>
              <w:spacing w:line="280" w:lineRule="exact"/>
              <w:rPr>
                <w:rFonts w:ascii="宋体" w:cs="宋体"/>
                <w:b/>
                <w:iCs/>
              </w:rPr>
            </w:pPr>
            <w:r>
              <w:rPr>
                <w:rFonts w:ascii="宋体" w:cs="宋体" w:hint="eastAsia"/>
                <w:b/>
                <w:iCs/>
                <w:highlight w:val="white"/>
              </w:rPr>
              <w:t>证券从业日期</w:t>
            </w:r>
          </w:p>
        </w:tc>
        <w:tc>
          <w:tcPr>
            <w:tcW w:w="2135" w:type="dxa"/>
            <w:vAlign w:val="center"/>
          </w:tcPr>
          <w:p w:rsidR="00526702" w14:paraId="2FD20A05" w14:textId="77777777">
            <w:pPr>
              <w:spacing w:line="280" w:lineRule="exact"/>
              <w:rPr>
                <w:rFonts w:ascii="宋体" w:cs="宋体"/>
              </w:rPr>
            </w:pPr>
            <w:r>
              <w:rPr>
                <w:rFonts w:ascii="宋体" w:cs="宋体"/>
              </w:rPr>
              <w:t>2015-07-14</w:t>
            </w:r>
          </w:p>
        </w:tc>
      </w:tr>
    </w:tbl>
    <w:p w:rsidR="00526702" w14:paraId="060FF99B"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基金投资与净值表现</w:t>
      </w:r>
    </w:p>
    <w:p w:rsidR="00526702" w14:paraId="2DE75DD7" w14:textId="77777777">
      <w:pPr>
        <w:spacing w:line="280" w:lineRule="exact"/>
        <w:outlineLvl w:val="1"/>
        <w:rPr>
          <w:rFonts w:ascii="宋体" w:cs="宋体"/>
          <w:b/>
          <w:iCs/>
          <w:sz w:val="24"/>
          <w:szCs w:val="24"/>
        </w:rPr>
      </w:pPr>
      <w:r>
        <w:rPr>
          <w:rFonts w:ascii="宋体" w:cs="宋体" w:hint="eastAsia"/>
          <w:b/>
          <w:iCs/>
          <w:sz w:val="24"/>
          <w:szCs w:val="24"/>
          <w:highlight w:val="white"/>
        </w:rPr>
        <w:t>（一）投资目标与投资策略</w:t>
      </w:r>
    </w:p>
    <w:tbl>
      <w:tblPr>
        <w:tblStyle w:val="TableGrid"/>
        <w:tblOverlap w:val="never"/>
        <w:tblW w:w="5000" w:type="pct"/>
        <w:tblBorders>
          <w:left w:val="none" w:sz="0" w:space="0" w:color="auto"/>
          <w:right w:val="none" w:sz="0" w:space="0" w:color="auto"/>
          <w:insideH w:val="single" w:sz="4" w:space="0" w:color="808080" w:themeColor="background1" w:themeShade="80"/>
          <w:insideV w:val="none" w:sz="0" w:space="0" w:color="auto"/>
        </w:tblBorders>
        <w:tblLayout w:type="fixed"/>
        <w:tblLook w:val="04A0"/>
      </w:tblPr>
      <w:tblGrid>
        <w:gridCol w:w="2093"/>
        <w:gridCol w:w="6429"/>
      </w:tblGrid>
      <w:tr w14:paraId="7EDD8424" w14:textId="77777777">
        <w:tblPrEx>
          <w:tblW w:w="5000" w:type="pct"/>
          <w:tblLayout w:type="fixed"/>
          <w:tblLook w:val="04A0"/>
        </w:tblPrEx>
        <w:trPr>
          <w:trHeight w:val="360"/>
        </w:trPr>
        <w:tc>
          <w:tcPr>
            <w:tcW w:w="1228" w:type="pct"/>
            <w:vAlign w:val="center"/>
          </w:tcPr>
          <w:p w:rsidR="00526702" w14:paraId="2007D33B" w14:textId="77777777">
            <w:pPr>
              <w:spacing w:line="280" w:lineRule="exact"/>
              <w:rPr>
                <w:rFonts w:ascii="宋体" w:cs="宋体"/>
              </w:rPr>
            </w:pPr>
            <w:r>
              <w:rPr>
                <w:rFonts w:ascii="宋体" w:cs="宋体" w:hint="eastAsia"/>
                <w:b/>
                <w:bCs/>
                <w:iCs/>
                <w:highlight w:val="white"/>
              </w:rPr>
              <w:t>投资目标</w:t>
            </w:r>
          </w:p>
        </w:tc>
        <w:tc>
          <w:tcPr>
            <w:tcW w:w="3772" w:type="pct"/>
            <w:vAlign w:val="center"/>
          </w:tcPr>
          <w:p w:rsidR="00526702" w14:paraId="673F34E8" w14:textId="77777777">
            <w:pPr>
              <w:spacing w:line="280" w:lineRule="exact"/>
              <w:ind w:firstLine="0"/>
              <w:rPr>
                <w:rFonts w:ascii="宋体" w:cs="宋体"/>
                <w:iCs/>
              </w:rPr>
            </w:pPr>
            <w:r>
              <w:rPr>
                <w:rFonts w:ascii="宋体" w:cs="宋体" w:hint="eastAsia"/>
                <w:iCs/>
              </w:rPr>
              <w:t>通过大类资产的合理配置及基金精选，在控制整体风险的前提下，力争实现资产的长期稳健增值。</w:t>
            </w:r>
          </w:p>
        </w:tc>
      </w:tr>
      <w:tr w14:paraId="591CE8AF" w14:textId="77777777">
        <w:tblPrEx>
          <w:tblW w:w="5000" w:type="pct"/>
          <w:tblLayout w:type="fixed"/>
          <w:tblLook w:val="04A0"/>
        </w:tblPrEx>
        <w:trPr>
          <w:trHeight w:val="360"/>
        </w:trPr>
        <w:tc>
          <w:tcPr>
            <w:tcW w:w="1228" w:type="pct"/>
            <w:vAlign w:val="center"/>
          </w:tcPr>
          <w:p w:rsidR="00526702" w14:paraId="13234D72" w14:textId="77777777">
            <w:pPr>
              <w:spacing w:line="280" w:lineRule="exact"/>
              <w:rPr>
                <w:rFonts w:ascii="宋体" w:cs="宋体"/>
              </w:rPr>
            </w:pPr>
            <w:r>
              <w:rPr>
                <w:rFonts w:ascii="宋体" w:cs="宋体" w:hint="eastAsia"/>
                <w:b/>
                <w:bCs/>
                <w:iCs/>
                <w:highlight w:val="white"/>
              </w:rPr>
              <w:t>投资范围</w:t>
            </w:r>
          </w:p>
        </w:tc>
        <w:tc>
          <w:tcPr>
            <w:tcW w:w="3772" w:type="pct"/>
            <w:vAlign w:val="center"/>
          </w:tcPr>
          <w:p w:rsidR="00526702" w14:paraId="4C5EC556" w14:textId="77777777">
            <w:pPr>
              <w:spacing w:line="280" w:lineRule="exact"/>
              <w:ind w:firstLine="0"/>
              <w:rPr>
                <w:rFonts w:ascii="宋体" w:cs="宋体"/>
                <w:iCs/>
              </w:rPr>
            </w:pPr>
            <w:r>
              <w:rPr>
                <w:rFonts w:ascii="宋体" w:cs="宋体"/>
                <w:iCs/>
              </w:rPr>
              <w:t>本基金的投资范围包括经中国证监会依法核准或注册的基金（含QDII基金及香港互认基金、公开募集不动产投资信托基金（以下简称</w:t>
            </w:r>
            <w:r>
              <w:rPr>
                <w:rFonts w:ascii="宋体" w:cs="宋体"/>
                <w:iCs/>
              </w:rPr>
              <w:t>“</w:t>
            </w:r>
            <w:r>
              <w:rPr>
                <w:rFonts w:ascii="宋体" w:cs="宋体"/>
                <w:iCs/>
              </w:rPr>
              <w:t>公募REITs</w:t>
            </w:r>
            <w:r>
              <w:rPr>
                <w:rFonts w:ascii="宋体" w:cs="宋体"/>
                <w:iCs/>
              </w:rPr>
              <w:t>”</w:t>
            </w:r>
            <w:r>
              <w:rPr>
                <w:rFonts w:ascii="宋体" w:cs="宋体"/>
                <w:iCs/>
              </w:rPr>
              <w:t>）、商品基金（包括商品期货基金和黄金ETF等））、国内依法发行上市的股票（包括创业板、科创板及其他依法发行上市的股票、存托凭证）、内地与香港股票市场交易互联互通机制允许买卖的香港证券市场股票和交易型开放式基金（以下分别简称</w:t>
            </w:r>
            <w:r>
              <w:rPr>
                <w:rFonts w:ascii="宋体" w:cs="宋体"/>
                <w:iCs/>
              </w:rPr>
              <w:t>“</w:t>
            </w:r>
            <w:r>
              <w:rPr>
                <w:rFonts w:ascii="宋体" w:cs="宋体"/>
                <w:iCs/>
              </w:rPr>
              <w:t>港股通股票</w:t>
            </w:r>
            <w:r>
              <w:rPr>
                <w:rFonts w:ascii="宋体" w:cs="宋体"/>
                <w:iCs/>
              </w:rPr>
              <w:t>”</w:t>
            </w:r>
            <w:r>
              <w:rPr>
                <w:rFonts w:ascii="宋体" w:cs="宋体"/>
                <w:iCs/>
              </w:rPr>
              <w:t>、</w:t>
            </w:r>
            <w:r>
              <w:rPr>
                <w:rFonts w:ascii="宋体" w:cs="宋体"/>
                <w:iCs/>
              </w:rPr>
              <w:t>“</w:t>
            </w:r>
            <w:r>
              <w:rPr>
                <w:rFonts w:ascii="宋体" w:cs="宋体"/>
                <w:iCs/>
              </w:rPr>
              <w:t>港股通ETF</w:t>
            </w:r>
            <w:r>
              <w:rPr>
                <w:rFonts w:ascii="宋体" w:cs="宋体"/>
                <w:iCs/>
              </w:rPr>
              <w:t>”</w:t>
            </w:r>
            <w:r>
              <w:rPr>
                <w:rFonts w:ascii="宋体" w:cs="宋体"/>
                <w:iCs/>
              </w:rPr>
              <w:t>）、国内依法发行上市的债券（包括国债、央行票据、地方政府债、金融债、企业债、公司债、次级债、中期票据、短期融资券、超短期融资券、政府支持机构债券、可转换债券、可交换债券等）、资产支持证券、债券回购、银行存款、同业存单、货币市场工具及法律法规或中国证监会允许基金投资的其他金融工具。</w:t>
            </w:r>
          </w:p>
          <w:p w:rsidR="00526702" w14:paraId="6AC5538C" w14:textId="77777777">
            <w:pPr>
              <w:spacing w:line="280" w:lineRule="exact"/>
              <w:ind w:firstLine="0"/>
              <w:rPr>
                <w:rFonts w:ascii="宋体" w:cs="宋体"/>
                <w:iCs/>
              </w:rPr>
            </w:pPr>
            <w:r>
              <w:rPr>
                <w:rFonts w:ascii="宋体" w:cs="宋体"/>
                <w:iCs/>
              </w:rPr>
              <w:t>如法律法规或监管机构以后允许基金投资其他品种，基金管理人在履行适当程序后，本基金可以将其纳入投资范围。</w:t>
            </w:r>
          </w:p>
          <w:p w:rsidR="00526702" w14:paraId="2F2323DC" w14:textId="7DF4E3DC">
            <w:pPr>
              <w:spacing w:line="280" w:lineRule="exact"/>
              <w:ind w:firstLine="0"/>
              <w:rPr>
                <w:rFonts w:ascii="宋体" w:cs="宋体"/>
                <w:iCs/>
              </w:rPr>
            </w:pPr>
            <w:r>
              <w:rPr>
                <w:rFonts w:ascii="宋体" w:cs="宋体"/>
                <w:iCs/>
                <w:highlight w:val="white"/>
              </w:rPr>
              <w:t>基金的投资组合比例为：</w:t>
            </w:r>
            <w:r>
              <w:rPr>
                <w:rFonts w:ascii="宋体" w:cs="宋体"/>
                <w:iCs/>
              </w:rPr>
              <w:t>本基金投资于经中国证监会依法核准或注册基金的资产不低于基金资产的80%，权益类资产占基金资产的比例为5%</w:t>
            </w:r>
            <w:r>
              <w:rPr>
                <w:rFonts w:ascii="宋体" w:cs="宋体"/>
                <w:iCs/>
              </w:rPr>
              <w:t>—</w:t>
            </w:r>
            <w:r>
              <w:rPr>
                <w:rFonts w:ascii="宋体" w:cs="宋体"/>
                <w:iCs/>
              </w:rPr>
              <w:t>30%</w:t>
            </w:r>
            <w:r w:rsidRPr="009712A6" w:rsidR="009712A6">
              <w:rPr>
                <w:rFonts w:ascii="宋体" w:cs="宋体" w:hint="eastAsia"/>
                <w:iCs/>
              </w:rPr>
              <w:t>（其中，本基金投资于境内股票、股票型基金、权益类混合型基金的资产合计不低于基金资产的5%）</w:t>
            </w:r>
            <w:r>
              <w:rPr>
                <w:rFonts w:ascii="宋体" w:cs="宋体"/>
                <w:iCs/>
              </w:rPr>
              <w:t>，投资于港股通股票的资产不超过股票资产的50%，投资于QDII基金、香港互认基金的资产合计不超过基金资产的20%，投资于商品基金（含商品期货基金和黄金ETF等）的资产合计不超过基金资产的10%；保持不低于基金资产净值5％的现金或者到期日在一年以内的政府债券，其中现金不包括结算备付金、存出保证金和应收申购款等。</w:t>
            </w:r>
          </w:p>
          <w:p w:rsidR="00526702" w14:paraId="72238E74" w14:textId="77777777">
            <w:pPr>
              <w:spacing w:line="280" w:lineRule="exact"/>
              <w:ind w:firstLine="0"/>
              <w:rPr>
                <w:rFonts w:ascii="宋体" w:cs="宋体"/>
                <w:iCs/>
              </w:rPr>
            </w:pPr>
            <w:r>
              <w:rPr>
                <w:rFonts w:ascii="宋体" w:cs="宋体"/>
                <w:iCs/>
              </w:rPr>
              <w:t>权益类资产包括股票、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tc>
      </w:tr>
      <w:tr w14:paraId="318A2EB9" w14:textId="77777777">
        <w:tblPrEx>
          <w:tblW w:w="5000" w:type="pct"/>
          <w:tblLayout w:type="fixed"/>
          <w:tblLook w:val="04A0"/>
        </w:tblPrEx>
        <w:trPr>
          <w:trHeight w:val="454"/>
        </w:trPr>
        <w:tc>
          <w:tcPr>
            <w:tcW w:w="1228" w:type="pct"/>
            <w:vAlign w:val="center"/>
          </w:tcPr>
          <w:p w:rsidR="00526702" w14:paraId="451754D2" w14:textId="77777777">
            <w:pPr>
              <w:spacing w:line="280" w:lineRule="exact"/>
              <w:rPr>
                <w:rFonts w:ascii="宋体" w:cs="宋体"/>
              </w:rPr>
            </w:pPr>
            <w:r>
              <w:rPr>
                <w:rFonts w:ascii="宋体" w:cs="宋体" w:hint="eastAsia"/>
                <w:b/>
                <w:bCs/>
                <w:iCs/>
                <w:highlight w:val="white"/>
              </w:rPr>
              <w:t>主要投资策略</w:t>
            </w:r>
          </w:p>
        </w:tc>
        <w:tc>
          <w:tcPr>
            <w:tcW w:w="3772" w:type="pct"/>
            <w:vAlign w:val="center"/>
          </w:tcPr>
          <w:p w:rsidR="00526702" w14:paraId="2B1DCE90" w14:textId="77777777">
            <w:pPr>
              <w:spacing w:line="280" w:lineRule="exact"/>
              <w:ind w:firstLine="0"/>
              <w:rPr>
                <w:rFonts w:ascii="宋体" w:cs="宋体"/>
              </w:rPr>
            </w:pPr>
            <w:r>
              <w:rPr>
                <w:rFonts w:ascii="宋体" w:cs="宋体"/>
                <w:iCs/>
                <w:highlight w:val="white"/>
              </w:rPr>
              <w:t>本基金将秉承稳健的投资风格，严格控制投资组合风险，力争为投资者获得长期投资回报。本基金的主要投资策略包括资产配置策略、基金筛选策略、基金配置策略。本基金的长期资产配置将以固定收益类资产为主，在此基础上，基金管理人将通过定性分析和定量分析相结合的方式对未来市场环境进行预测和判断，确定基金资产在权益类资产、商品基金和固定收益类资产间的配置比例，并随着各类资产风险收益特征的相对变化，动态调整组合中各类资产的配置比例。基金筛选策略是基金配置策略的基础，本基金所投资的全部基金都应是通过基金筛选策略选择出的标的基金。对被动型基金和主动型基金将使用不同的筛选方法。在通过资产配置策略获得目标资产配置比例、通过基金筛选策略获得标的基金池后，本基金将通过基金配置策略完成具体的基金组合构建。本基金将通过公开披露的数据和信息估算拟投资基金的最新资产配置比例，根据目标资产配置比例的要求以及对未来市场走势的研判，确定最终的基金配置组合。</w:t>
            </w:r>
          </w:p>
        </w:tc>
      </w:tr>
      <w:tr w14:paraId="24026E5F" w14:textId="77777777">
        <w:tblPrEx>
          <w:tblW w:w="5000" w:type="pct"/>
          <w:tblLayout w:type="fixed"/>
          <w:tblLook w:val="04A0"/>
        </w:tblPrEx>
        <w:trPr>
          <w:trHeight w:val="360"/>
        </w:trPr>
        <w:tc>
          <w:tcPr>
            <w:tcW w:w="1228" w:type="pct"/>
            <w:vAlign w:val="center"/>
          </w:tcPr>
          <w:p w:rsidR="00526702" w14:paraId="1D2F42D4" w14:textId="77777777">
            <w:pPr>
              <w:spacing w:line="280" w:lineRule="exact"/>
              <w:rPr>
                <w:rFonts w:ascii="宋体" w:cs="宋体"/>
              </w:rPr>
            </w:pPr>
            <w:r>
              <w:rPr>
                <w:rFonts w:ascii="宋体" w:cs="宋体" w:hint="eastAsia"/>
                <w:b/>
                <w:bCs/>
                <w:iCs/>
                <w:highlight w:val="white"/>
              </w:rPr>
              <w:t>业绩比较基准</w:t>
            </w:r>
          </w:p>
        </w:tc>
        <w:tc>
          <w:tcPr>
            <w:tcW w:w="3772" w:type="pct"/>
            <w:vAlign w:val="center"/>
          </w:tcPr>
          <w:p w:rsidR="00526702" w14:paraId="39238DC4" w14:textId="77777777">
            <w:pPr>
              <w:spacing w:line="280" w:lineRule="exact"/>
              <w:ind w:firstLine="0"/>
              <w:rPr>
                <w:rFonts w:ascii="宋体" w:cs="宋体"/>
                <w:iCs/>
              </w:rPr>
            </w:pPr>
            <w:r>
              <w:rPr>
                <w:rFonts w:ascii="宋体" w:cs="宋体" w:hint="eastAsia"/>
                <w:iCs/>
              </w:rPr>
              <w:t>中证债券型基金指数收益率×85%+中证偏股型基金指数收益率×10%+活期存款基准利率×5%</w:t>
            </w:r>
          </w:p>
        </w:tc>
      </w:tr>
      <w:tr w14:paraId="0C4C9D9A" w14:textId="77777777">
        <w:tblPrEx>
          <w:tblW w:w="5000" w:type="pct"/>
          <w:tblLayout w:type="fixed"/>
          <w:tblLook w:val="04A0"/>
        </w:tblPrEx>
        <w:trPr>
          <w:trHeight w:val="360"/>
        </w:trPr>
        <w:tc>
          <w:tcPr>
            <w:tcW w:w="1228" w:type="pct"/>
            <w:vAlign w:val="center"/>
          </w:tcPr>
          <w:p w:rsidR="00526702" w14:paraId="0C510802" w14:textId="77777777">
            <w:pPr>
              <w:spacing w:line="280" w:lineRule="exact"/>
              <w:rPr>
                <w:rFonts w:ascii="宋体" w:cs="宋体"/>
              </w:rPr>
            </w:pPr>
            <w:r>
              <w:rPr>
                <w:rFonts w:ascii="宋体" w:cs="宋体" w:hint="eastAsia"/>
                <w:b/>
                <w:bCs/>
                <w:iCs/>
                <w:highlight w:val="white"/>
              </w:rPr>
              <w:t>风险收益特征</w:t>
            </w:r>
          </w:p>
        </w:tc>
        <w:tc>
          <w:tcPr>
            <w:tcW w:w="3772" w:type="pct"/>
            <w:vAlign w:val="center"/>
          </w:tcPr>
          <w:p w:rsidR="00526702" w14:paraId="1BACF1DF" w14:textId="77777777">
            <w:pPr>
              <w:spacing w:line="280" w:lineRule="exact"/>
              <w:ind w:firstLine="0"/>
              <w:rPr>
                <w:rFonts w:ascii="宋体" w:cs="宋体"/>
                <w:iCs/>
              </w:rPr>
            </w:pPr>
            <w:r>
              <w:rPr>
                <w:rFonts w:ascii="宋体" w:cs="宋体" w:hint="eastAsia"/>
                <w:iCs/>
              </w:rPr>
              <w:t>本基金为混合型基金中基金（FOF），理论上其预期风险与预期收益水平低于股票型基金、股票型基金中基金（FOF），高于债券型基金、债券型基金中基金（FOF）、货币市场基金和货币型基金中基金（FOF）。</w:t>
            </w:r>
          </w:p>
          <w:p w:rsidR="00526702" w14:paraId="54C7B3E1" w14:textId="77777777">
            <w:pPr>
              <w:spacing w:line="280" w:lineRule="exact"/>
              <w:ind w:firstLine="0"/>
              <w:rPr>
                <w:rFonts w:ascii="宋体" w:cs="宋体"/>
                <w:iCs/>
              </w:rPr>
            </w:pPr>
            <w:r>
              <w:rPr>
                <w:rFonts w:ascii="宋体" w:cs="宋体" w:hint="eastAsia"/>
                <w:iCs/>
              </w:rPr>
              <w:t>本基金可通过内地与香港股票市场交易互联互通机制投资于香港证券市场，除了需要承担市场波动风险等一般投资风险之外，本基金还面临汇率风险、投资于香港证券市场的风险、以及通过内地与香港股票市场交易互联互通机制投资的风险等特有风险。本基金通过内地与香港股票市场交易互联互通机制投资的风险详见招募说明书。</w:t>
            </w:r>
          </w:p>
        </w:tc>
      </w:tr>
    </w:tbl>
    <w:p w:rsidR="00526702" w14:paraId="7246CEC5" w14:textId="77777777">
      <w:pPr>
        <w:spacing w:line="280" w:lineRule="exact"/>
        <w:rPr>
          <w:rFonts w:ascii="宋体" w:cs="宋体"/>
          <w:iCs/>
          <w:szCs w:val="24"/>
        </w:rPr>
      </w:pPr>
      <w:r>
        <w:rPr>
          <w:rFonts w:ascii="宋体" w:cs="宋体" w:hint="eastAsia"/>
          <w:iCs/>
          <w:szCs w:val="24"/>
          <w:highlight w:val="white"/>
        </w:rPr>
        <w:t>注：投资者可阅读《招募说明书》基金的投资章节了解详细情况。</w:t>
      </w:r>
    </w:p>
    <w:p w:rsidR="00526702" w14:paraId="217753C1" w14:textId="77777777">
      <w:pPr>
        <w:spacing w:line="280" w:lineRule="exact"/>
        <w:outlineLvl w:val="1"/>
        <w:rPr>
          <w:rFonts w:ascii="宋体" w:cs="宋体"/>
          <w:b/>
          <w:iCs/>
          <w:sz w:val="24"/>
          <w:szCs w:val="24"/>
        </w:rPr>
      </w:pPr>
      <w:r>
        <w:rPr>
          <w:rFonts w:ascii="宋体" w:cs="宋体" w:hint="eastAsia"/>
          <w:b/>
          <w:iCs/>
          <w:sz w:val="24"/>
          <w:szCs w:val="24"/>
          <w:highlight w:val="white"/>
        </w:rPr>
        <w:t>（二）投资组合资产配置图表/区域配置图表</w:t>
      </w:r>
    </w:p>
    <w:p w:rsidR="00526702" w14:paraId="79D4D413" w14:textId="77777777">
      <w:pPr>
        <w:rPr>
          <w:rFonts w:ascii="宋体" w:cs="宋体"/>
          <w:b/>
          <w:iCs/>
          <w:sz w:val="24"/>
          <w:szCs w:val="24"/>
        </w:rPr>
      </w:pPr>
      <w:r>
        <w:rPr>
          <w:rFonts w:ascii="宋体" w:cs="宋体" w:hint="eastAsia"/>
          <w:b/>
          <w:iCs/>
          <w:sz w:val="24"/>
          <w:szCs w:val="24"/>
          <w:highlight w:val="white"/>
        </w:rPr>
        <w:t>投资组合资产配置图表</w:t>
      </w:r>
    </w:p>
    <w:p w:rsidR="00526702" w14:paraId="74D8C93F" w14:textId="77777777">
      <w:pPr>
        <w:jc w:val="left"/>
        <w:rPr>
          <w:rFonts w:ascii="宋体" w:cs="宋体"/>
          <w:b/>
          <w:iCs/>
          <w:szCs w:val="24"/>
        </w:rPr>
      </w:pPr>
      <w:r>
        <w:rPr>
          <w:rFonts w:ascii="宋体" w:cs="宋体"/>
          <w:color w:val="000000" w:themeColor="text1"/>
          <w:highlight w:val="white"/>
        </w:rPr>
        <w:t>无</w:t>
      </w:r>
    </w:p>
    <w:p w:rsidR="00526702" w14:paraId="3BAD68E7" w14:textId="77777777">
      <w:pPr>
        <w:spacing w:line="280" w:lineRule="exact"/>
        <w:outlineLvl w:val="1"/>
        <w:rPr>
          <w:rFonts w:ascii="宋体" w:cs="宋体"/>
          <w:b/>
          <w:iCs/>
          <w:sz w:val="24"/>
          <w:szCs w:val="24"/>
        </w:rPr>
      </w:pPr>
      <w:r>
        <w:rPr>
          <w:rFonts w:ascii="宋体" w:cs="宋体" w:hint="eastAsia"/>
          <w:b/>
          <w:iCs/>
          <w:sz w:val="24"/>
          <w:szCs w:val="24"/>
          <w:highlight w:val="white"/>
        </w:rPr>
        <w:t>（三）自基金合同生效以来基金每年的净值增长率及与同期业绩比较基准的比较图</w:t>
      </w:r>
    </w:p>
    <w:p w:rsidR="00526702" w14:paraId="069E38DE" w14:textId="77777777">
      <w:pPr>
        <w:spacing w:line="280" w:lineRule="exact"/>
        <w:jc w:val="left"/>
        <w:rPr>
          <w:rFonts w:ascii="宋体" w:cs="宋体"/>
          <w:color w:val="000000"/>
        </w:rPr>
      </w:pPr>
      <w:r>
        <w:rPr>
          <w:rFonts w:ascii="宋体" w:cs="宋体" w:hint="eastAsia"/>
          <w:color w:val="000000" w:themeColor="text1"/>
          <w:highlight w:val="white"/>
        </w:rPr>
        <w:t>无</w:t>
      </w:r>
    </w:p>
    <w:p w:rsidR="00526702" w14:paraId="7EF8530B"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投资本基金涉及的费用</w:t>
      </w:r>
    </w:p>
    <w:p w:rsidR="00526702" w14:paraId="1796C842" w14:textId="77777777">
      <w:pPr>
        <w:pStyle w:val="ListParagraph"/>
        <w:numPr>
          <w:ilvl w:val="0"/>
          <w:numId w:val="2"/>
        </w:numPr>
        <w:spacing w:line="340" w:lineRule="exact"/>
        <w:outlineLvl w:val="1"/>
        <w:rPr>
          <w:rFonts w:ascii="宋体" w:cs="宋体"/>
          <w:b/>
          <w:iCs/>
          <w:sz w:val="24"/>
          <w:szCs w:val="24"/>
        </w:rPr>
      </w:pPr>
      <w:r>
        <w:rPr>
          <w:rFonts w:ascii="宋体" w:cs="宋体" w:hint="eastAsia"/>
          <w:b/>
          <w:iCs/>
          <w:sz w:val="24"/>
          <w:szCs w:val="24"/>
          <w:highlight w:val="white"/>
        </w:rPr>
        <w:t>基金销售相关费用</w:t>
      </w:r>
    </w:p>
    <w:p w:rsidR="00526702" w14:paraId="0E8D37D0" w14:textId="77777777">
      <w:pPr>
        <w:spacing w:line="280" w:lineRule="exact"/>
        <w:jc w:val="left"/>
        <w:rPr>
          <w:rFonts w:ascii="宋体" w:cs="宋体"/>
          <w:iCs/>
        </w:rPr>
      </w:pPr>
      <w:r>
        <w:rPr>
          <w:rFonts w:ascii="宋体" w:cs="宋体" w:hint="eastAsia"/>
          <w:iCs/>
          <w:highlight w:val="white"/>
        </w:rPr>
        <w:t>以下费用在认购</w:t>
      </w:r>
      <w:r>
        <w:rPr>
          <w:rFonts w:ascii="宋体" w:cs="宋体"/>
          <w:iCs/>
          <w:highlight w:val="white"/>
        </w:rPr>
        <w:t>/</w:t>
      </w:r>
      <w:r>
        <w:rPr>
          <w:rFonts w:ascii="宋体" w:cs="宋体" w:hint="eastAsia"/>
          <w:iCs/>
          <w:highlight w:val="white"/>
        </w:rPr>
        <w:t>申购</w:t>
      </w:r>
      <w:r>
        <w:rPr>
          <w:rFonts w:ascii="宋体" w:cs="宋体"/>
          <w:iCs/>
          <w:highlight w:val="white"/>
        </w:rPr>
        <w:t>/</w:t>
      </w:r>
      <w:r>
        <w:rPr>
          <w:rFonts w:ascii="宋体" w:cs="宋体" w:hint="eastAsia"/>
          <w:iCs/>
          <w:highlight w:val="white"/>
        </w:rPr>
        <w:t>赎回基金过程中收取：</w:t>
      </w:r>
    </w:p>
    <w:tbl>
      <w:tblPr>
        <w:tblStyle w:val="TableGrid"/>
        <w:tblOverlap w:val="never"/>
        <w:tblW w:w="8513" w:type="dxa"/>
        <w:tblBorders>
          <w:top w:val="nil"/>
          <w:left w:val="nil"/>
          <w:bottom w:val="nil"/>
          <w:right w:val="nil"/>
          <w:insideH w:val="nil"/>
          <w:insideV w:val="nil"/>
        </w:tblBorders>
        <w:tblLayout w:type="fixed"/>
        <w:tblLook w:val="04A0"/>
      </w:tblPr>
      <w:tblGrid>
        <w:gridCol w:w="1284"/>
        <w:gridCol w:w="2977"/>
        <w:gridCol w:w="1984"/>
        <w:gridCol w:w="2268"/>
      </w:tblGrid>
      <w:tr w14:paraId="382BEAD2" w14:textId="77777777">
        <w:tblPrEx>
          <w:tblW w:w="8513" w:type="dxa"/>
          <w:tblLayout w:type="fixed"/>
          <w:tblLook w:val="04A0"/>
        </w:tblPrEx>
        <w:trPr>
          <w:trHeight w:val="454"/>
        </w:trPr>
        <w:tc>
          <w:tcPr>
            <w:tcW w:w="1284" w:type="dxa"/>
            <w:tcBorders>
              <w:top w:val="single" w:sz="8" w:space="0" w:color="000000"/>
              <w:left w:val="nil"/>
              <w:bottom w:val="single" w:sz="8" w:space="0" w:color="808080"/>
              <w:right w:val="nil"/>
            </w:tcBorders>
            <w:tcMar>
              <w:top w:w="0" w:type="dxa"/>
              <w:left w:w="108" w:type="dxa"/>
              <w:bottom w:w="0" w:type="dxa"/>
              <w:right w:w="108" w:type="dxa"/>
            </w:tcMar>
            <w:vAlign w:val="center"/>
          </w:tcPr>
          <w:p w:rsidR="00526702" w14:paraId="5AA2E401" w14:textId="77777777">
            <w:pPr>
              <w:pBdr>
                <w:top w:val="nil"/>
                <w:left w:val="nil"/>
                <w:bottom w:val="nil"/>
                <w:right w:val="nil"/>
                <w:between w:val="nil"/>
              </w:pBdr>
              <w:spacing w:line="279" w:lineRule="exact"/>
              <w:jc w:val="center"/>
              <w:rPr>
                <w:rFonts w:ascii="宋体" w:cs="宋体"/>
                <w:b/>
              </w:rPr>
            </w:pPr>
            <w:r>
              <w:rPr>
                <w:rFonts w:ascii="宋体" w:cs="宋体"/>
                <w:b/>
                <w:highlight w:val="white"/>
              </w:rPr>
              <w:t>费用类型</w:t>
            </w:r>
          </w:p>
        </w:tc>
        <w:tc>
          <w:tcPr>
            <w:tcW w:w="2977" w:type="dxa"/>
            <w:tcBorders>
              <w:top w:val="single" w:sz="8" w:space="0" w:color="000000"/>
              <w:left w:val="nil"/>
              <w:bottom w:val="single" w:sz="8" w:space="0" w:color="808080"/>
              <w:right w:val="nil"/>
            </w:tcBorders>
            <w:tcMar>
              <w:top w:w="0" w:type="dxa"/>
              <w:left w:w="108" w:type="dxa"/>
              <w:bottom w:w="0" w:type="dxa"/>
              <w:right w:w="108" w:type="dxa"/>
            </w:tcMar>
            <w:vAlign w:val="center"/>
          </w:tcPr>
          <w:p w:rsidR="00526702" w14:paraId="3611D21B" w14:textId="77777777">
            <w:pPr>
              <w:pBdr>
                <w:top w:val="nil"/>
                <w:left w:val="nil"/>
                <w:bottom w:val="nil"/>
                <w:right w:val="nil"/>
                <w:between w:val="nil"/>
              </w:pBdr>
              <w:spacing w:line="279" w:lineRule="exact"/>
              <w:jc w:val="center"/>
              <w:rPr>
                <w:rFonts w:ascii="宋体" w:cs="宋体"/>
                <w:b/>
              </w:rPr>
            </w:pPr>
            <w:r>
              <w:rPr>
                <w:rFonts w:ascii="宋体" w:cs="宋体"/>
                <w:b/>
                <w:highlight w:val="white"/>
              </w:rPr>
              <w:t>份额（S）或金额（M）</w:t>
            </w:r>
          </w:p>
          <w:p w:rsidR="00526702" w14:paraId="64B6242F" w14:textId="77777777">
            <w:pPr>
              <w:pBdr>
                <w:top w:val="nil"/>
                <w:left w:val="nil"/>
                <w:bottom w:val="nil"/>
                <w:right w:val="nil"/>
                <w:between w:val="nil"/>
              </w:pBdr>
              <w:spacing w:line="279" w:lineRule="exact"/>
              <w:jc w:val="center"/>
              <w:rPr>
                <w:rFonts w:ascii="宋体" w:cs="宋体"/>
                <w:b/>
              </w:rPr>
            </w:pPr>
            <w:r>
              <w:rPr>
                <w:rFonts w:ascii="宋体" w:cs="宋体"/>
                <w:b/>
                <w:highlight w:val="white"/>
              </w:rPr>
              <w:t>/持有期限（N）</w:t>
            </w:r>
          </w:p>
        </w:tc>
        <w:tc>
          <w:tcPr>
            <w:tcW w:w="1984" w:type="dxa"/>
            <w:tcBorders>
              <w:top w:val="single" w:sz="8" w:space="0" w:color="000000"/>
              <w:left w:val="nil"/>
              <w:bottom w:val="single" w:sz="8" w:space="0" w:color="808080"/>
              <w:right w:val="nil"/>
            </w:tcBorders>
            <w:tcMar>
              <w:top w:w="0" w:type="dxa"/>
              <w:left w:w="108" w:type="dxa"/>
              <w:bottom w:w="0" w:type="dxa"/>
              <w:right w:w="108" w:type="dxa"/>
            </w:tcMar>
            <w:vAlign w:val="center"/>
          </w:tcPr>
          <w:p w:rsidR="00526702" w14:paraId="3A96F8C4" w14:textId="77777777">
            <w:pPr>
              <w:pBdr>
                <w:top w:val="nil"/>
                <w:left w:val="nil"/>
                <w:bottom w:val="nil"/>
                <w:right w:val="nil"/>
                <w:between w:val="nil"/>
              </w:pBdr>
              <w:spacing w:line="279" w:lineRule="exact"/>
              <w:jc w:val="center"/>
              <w:rPr>
                <w:rFonts w:ascii="宋体" w:cs="宋体"/>
                <w:b/>
              </w:rPr>
            </w:pPr>
            <w:r>
              <w:rPr>
                <w:rFonts w:ascii="宋体" w:cs="宋体"/>
                <w:b/>
                <w:highlight w:val="white"/>
              </w:rPr>
              <w:t>收费方式/费率</w:t>
            </w:r>
          </w:p>
        </w:tc>
        <w:tc>
          <w:tcPr>
            <w:tcW w:w="2268" w:type="dxa"/>
            <w:tcBorders>
              <w:top w:val="single" w:sz="8" w:space="0" w:color="000000"/>
              <w:left w:val="nil"/>
              <w:bottom w:val="single" w:sz="8" w:space="0" w:color="808080"/>
              <w:right w:val="nil"/>
            </w:tcBorders>
            <w:tcMar>
              <w:top w:w="0" w:type="dxa"/>
              <w:left w:w="108" w:type="dxa"/>
              <w:bottom w:w="0" w:type="dxa"/>
              <w:right w:w="108" w:type="dxa"/>
            </w:tcMar>
            <w:vAlign w:val="center"/>
          </w:tcPr>
          <w:p w:rsidR="00526702" w14:paraId="4CD23AF0" w14:textId="77777777">
            <w:pPr>
              <w:pBdr>
                <w:top w:val="nil"/>
                <w:left w:val="nil"/>
                <w:bottom w:val="nil"/>
                <w:right w:val="nil"/>
                <w:between w:val="nil"/>
              </w:pBdr>
              <w:spacing w:line="279" w:lineRule="exact"/>
              <w:jc w:val="center"/>
              <w:rPr>
                <w:rFonts w:ascii="宋体" w:cs="宋体"/>
                <w:b/>
              </w:rPr>
            </w:pPr>
            <w:r>
              <w:rPr>
                <w:rFonts w:ascii="宋体" w:cs="宋体"/>
                <w:b/>
                <w:highlight w:val="white"/>
              </w:rPr>
              <w:t>备注</w:t>
            </w:r>
          </w:p>
        </w:tc>
      </w:tr>
      <w:tr w14:paraId="57A30AFF" w14:textId="77777777">
        <w:tblPrEx>
          <w:tblW w:w="8513" w:type="dxa"/>
          <w:tblLayout w:type="fixed"/>
          <w:tblLook w:val="04A0"/>
        </w:tblPrEx>
        <w:tc>
          <w:tcPr>
            <w:tcW w:w="1284" w:type="dxa"/>
            <w:vMerge w:val="restart"/>
            <w:tcBorders>
              <w:top w:val="nil"/>
              <w:left w:val="nil"/>
              <w:bottom w:val="single" w:sz="8" w:space="0" w:color="000000"/>
              <w:right w:val="nil"/>
            </w:tcBorders>
            <w:tcMar>
              <w:top w:w="0" w:type="dxa"/>
              <w:left w:w="108" w:type="dxa"/>
              <w:bottom w:w="0" w:type="dxa"/>
              <w:right w:w="108" w:type="dxa"/>
            </w:tcMar>
            <w:vAlign w:val="center"/>
          </w:tcPr>
          <w:p w:rsidR="00526702" w14:paraId="07DC47C5" w14:textId="77777777">
            <w:pPr>
              <w:pBdr>
                <w:top w:val="nil"/>
                <w:left w:val="nil"/>
                <w:bottom w:val="nil"/>
                <w:right w:val="nil"/>
                <w:between w:val="nil"/>
              </w:pBdr>
              <w:spacing w:line="14" w:lineRule="exact"/>
              <w:jc w:val="center"/>
              <w:rPr>
                <w:rFonts w:ascii="宋体" w:cs="宋体"/>
                <w:b/>
              </w:rPr>
            </w:pPr>
          </w:p>
          <w:p w:rsidR="00526702" w14:paraId="28B9FD00" w14:textId="77777777">
            <w:pPr>
              <w:pBdr>
                <w:top w:val="nil"/>
                <w:left w:val="nil"/>
                <w:bottom w:val="nil"/>
                <w:right w:val="nil"/>
                <w:between w:val="nil"/>
              </w:pBdr>
              <w:spacing w:line="279" w:lineRule="exact"/>
              <w:jc w:val="center"/>
              <w:rPr>
                <w:rFonts w:ascii="宋体" w:cs="宋体"/>
                <w:b/>
              </w:rPr>
            </w:pPr>
            <w:r>
              <w:rPr>
                <w:rFonts w:ascii="宋体" w:cs="宋体"/>
                <w:b/>
                <w:highlight w:val="white"/>
              </w:rPr>
              <w:t>赎回费</w:t>
            </w:r>
          </w:p>
        </w:tc>
        <w:tc>
          <w:tcPr>
            <w:tcW w:w="2977" w:type="dxa"/>
            <w:tcBorders>
              <w:top w:val="nil"/>
              <w:left w:val="nil"/>
              <w:bottom w:val="nil"/>
              <w:right w:val="nil"/>
            </w:tcBorders>
            <w:tcMar>
              <w:top w:w="0" w:type="dxa"/>
              <w:left w:w="108" w:type="dxa"/>
              <w:bottom w:w="0" w:type="dxa"/>
              <w:right w:w="108" w:type="dxa"/>
            </w:tcMar>
            <w:vAlign w:val="center"/>
          </w:tcPr>
          <w:p w:rsidR="00526702" w14:paraId="022BB7D4" w14:textId="77777777">
            <w:pPr>
              <w:pBdr>
                <w:top w:val="nil"/>
                <w:left w:val="nil"/>
                <w:bottom w:val="nil"/>
                <w:right w:val="nil"/>
                <w:between w:val="nil"/>
              </w:pBdr>
              <w:spacing w:line="17" w:lineRule="exact"/>
              <w:jc w:val="left"/>
              <w:rPr>
                <w:rFonts w:ascii="宋体" w:cs="宋体"/>
              </w:rPr>
            </w:pPr>
            <w:r>
              <w:rPr>
                <w:rFonts w:ascii="宋体" w:cs="宋体"/>
                <w:highlight w:val="white"/>
              </w:rPr>
              <w:t> </w:t>
            </w:r>
          </w:p>
        </w:tc>
        <w:tc>
          <w:tcPr>
            <w:tcW w:w="1984" w:type="dxa"/>
            <w:tcBorders>
              <w:top w:val="nil"/>
              <w:left w:val="nil"/>
              <w:bottom w:val="nil"/>
              <w:right w:val="nil"/>
            </w:tcBorders>
            <w:tcMar>
              <w:top w:w="0" w:type="dxa"/>
              <w:left w:w="108" w:type="dxa"/>
              <w:bottom w:w="0" w:type="dxa"/>
              <w:right w:w="108" w:type="dxa"/>
            </w:tcMar>
            <w:vAlign w:val="center"/>
          </w:tcPr>
          <w:p w:rsidR="00526702" w14:paraId="6237F6C9" w14:textId="77777777">
            <w:pPr>
              <w:pBdr>
                <w:top w:val="nil"/>
                <w:left w:val="nil"/>
                <w:bottom w:val="nil"/>
                <w:right w:val="nil"/>
                <w:between w:val="nil"/>
              </w:pBdr>
              <w:spacing w:line="17" w:lineRule="exact"/>
              <w:jc w:val="left"/>
              <w:rPr>
                <w:rFonts w:ascii="宋体" w:cs="宋体"/>
              </w:rPr>
            </w:pPr>
            <w:r>
              <w:rPr>
                <w:rFonts w:ascii="宋体" w:cs="宋体"/>
                <w:color w:val="000000"/>
                <w:sz w:val="22"/>
                <w:highlight w:val="white"/>
              </w:rPr>
              <w:t> </w:t>
            </w:r>
          </w:p>
        </w:tc>
        <w:tc>
          <w:tcPr>
            <w:tcW w:w="2268" w:type="dxa"/>
            <w:tcBorders>
              <w:top w:val="nil"/>
              <w:left w:val="nil"/>
              <w:bottom w:val="nil"/>
              <w:right w:val="nil"/>
            </w:tcBorders>
            <w:tcMar>
              <w:top w:w="0" w:type="dxa"/>
              <w:left w:w="108" w:type="dxa"/>
              <w:bottom w:w="0" w:type="dxa"/>
              <w:right w:w="108" w:type="dxa"/>
            </w:tcMar>
            <w:vAlign w:val="center"/>
          </w:tcPr>
          <w:p w:rsidR="00526702" w14:paraId="180374C3" w14:textId="77777777">
            <w:pPr>
              <w:pBdr>
                <w:top w:val="nil"/>
                <w:left w:val="nil"/>
                <w:bottom w:val="nil"/>
                <w:right w:val="nil"/>
                <w:between w:val="nil"/>
              </w:pBdr>
              <w:spacing w:line="17" w:lineRule="exact"/>
              <w:jc w:val="left"/>
              <w:rPr>
                <w:rFonts w:ascii="宋体" w:cs="宋体"/>
              </w:rPr>
            </w:pPr>
            <w:r>
              <w:rPr>
                <w:rFonts w:ascii="宋体" w:cs="宋体"/>
                <w:color w:val="000000"/>
                <w:sz w:val="22"/>
                <w:highlight w:val="white"/>
              </w:rPr>
              <w:t> </w:t>
            </w:r>
          </w:p>
        </w:tc>
      </w:tr>
      <w:tr w14:paraId="52FEFDA3" w14:textId="77777777">
        <w:tblPrEx>
          <w:tblW w:w="8513" w:type="dxa"/>
          <w:tblLayout w:type="fixed"/>
          <w:tblLook w:val="04A0"/>
        </w:tblPrEx>
        <w:trPr>
          <w:trHeight w:val="454"/>
        </w:trPr>
        <w:tc>
          <w:tcPr>
            <w:tcW w:w="1284" w:type="dxa"/>
            <w:vMerge/>
            <w:tcBorders>
              <w:top w:val="nil"/>
              <w:left w:val="nil"/>
              <w:bottom w:val="single" w:sz="8" w:space="0" w:color="000000"/>
              <w:right w:val="nil"/>
            </w:tcBorders>
          </w:tcPr>
          <w:p w:rsidR="00526702" w14:paraId="24E9AE48" w14:textId="77777777">
            <w:pPr>
              <w:rPr>
                <w:rFonts w:ascii="宋体"/>
              </w:rPr>
            </w:pPr>
          </w:p>
        </w:tc>
        <w:tc>
          <w:tcPr>
            <w:tcW w:w="2977" w:type="dxa"/>
            <w:tcBorders>
              <w:top w:val="nil"/>
              <w:left w:val="nil"/>
              <w:bottom w:val="single" w:sz="8" w:space="0" w:color="000000"/>
              <w:right w:val="nil"/>
            </w:tcBorders>
            <w:tcMar>
              <w:top w:w="0" w:type="dxa"/>
              <w:left w:w="108" w:type="dxa"/>
              <w:bottom w:w="0" w:type="dxa"/>
              <w:right w:w="108" w:type="dxa"/>
            </w:tcMar>
            <w:vAlign w:val="center"/>
          </w:tcPr>
          <w:p w:rsidR="00526702" w14:paraId="33CFCB3C" w14:textId="77777777">
            <w:pPr>
              <w:pBdr>
                <w:top w:val="nil"/>
                <w:left w:val="nil"/>
                <w:bottom w:val="nil"/>
                <w:right w:val="nil"/>
                <w:between w:val="nil"/>
              </w:pBdr>
              <w:spacing w:line="279" w:lineRule="exact"/>
              <w:jc w:val="center"/>
              <w:rPr>
                <w:rFonts w:ascii="宋体" w:cs="宋体"/>
              </w:rPr>
            </w:pPr>
            <w:r>
              <w:rPr>
                <w:rFonts w:ascii="宋体" w:cs="宋体"/>
                <w:highlight w:val="white"/>
              </w:rPr>
              <w:t>90天</w:t>
            </w:r>
            <w:r>
              <w:rPr>
                <w:rFonts w:ascii="宋体" w:cs="宋体"/>
                <w:highlight w:val="white"/>
              </w:rPr>
              <w:t>≤</w:t>
            </w:r>
            <w:r>
              <w:rPr>
                <w:rFonts w:ascii="宋体" w:cs="宋体"/>
                <w:highlight w:val="white"/>
              </w:rPr>
              <w:t>N</w:t>
            </w:r>
            <w:r>
              <w:rPr>
                <w:rFonts w:ascii="宋体" w:cs="宋体"/>
                <w:highlight w:val="white"/>
              </w:rPr>
              <w:t>≤</w:t>
            </w:r>
            <w:r>
              <w:rPr>
                <w:rFonts w:ascii="宋体" w:cs="宋体"/>
                <w:highlight w:val="white"/>
              </w:rPr>
              <w:t>179天</w:t>
            </w:r>
          </w:p>
        </w:tc>
        <w:tc>
          <w:tcPr>
            <w:tcW w:w="1984" w:type="dxa"/>
            <w:tcBorders>
              <w:top w:val="nil"/>
              <w:left w:val="nil"/>
              <w:bottom w:val="single" w:sz="8" w:space="0" w:color="000000"/>
              <w:right w:val="nil"/>
            </w:tcBorders>
            <w:tcMar>
              <w:top w:w="0" w:type="dxa"/>
              <w:left w:w="108" w:type="dxa"/>
              <w:bottom w:w="0" w:type="dxa"/>
              <w:right w:w="108" w:type="dxa"/>
            </w:tcMar>
            <w:vAlign w:val="center"/>
          </w:tcPr>
          <w:p w:rsidR="00526702" w14:paraId="45B496C9" w14:textId="77777777">
            <w:pPr>
              <w:pBdr>
                <w:top w:val="nil"/>
                <w:left w:val="nil"/>
                <w:bottom w:val="nil"/>
                <w:right w:val="nil"/>
                <w:between w:val="nil"/>
              </w:pBdr>
              <w:spacing w:line="279" w:lineRule="atLeast"/>
              <w:jc w:val="center"/>
              <w:rPr>
                <w:rFonts w:ascii="宋体" w:cs="宋体"/>
              </w:rPr>
            </w:pPr>
            <w:r>
              <w:rPr>
                <w:rFonts w:ascii="宋体" w:cs="宋体"/>
                <w:color w:val="000000"/>
                <w:sz w:val="22"/>
                <w:highlight w:val="white"/>
              </w:rPr>
              <w:t> </w:t>
            </w:r>
            <w:r>
              <w:rPr>
                <w:rFonts w:ascii="宋体" w:cs="宋体"/>
                <w:color w:val="000000"/>
                <w:sz w:val="22"/>
                <w:highlight w:val="white"/>
              </w:rPr>
              <w:t xml:space="preserve"> 0.50%</w:t>
            </w:r>
          </w:p>
        </w:tc>
        <w:tc>
          <w:tcPr>
            <w:tcW w:w="2268" w:type="dxa"/>
            <w:tcBorders>
              <w:top w:val="nil"/>
              <w:left w:val="nil"/>
              <w:bottom w:val="single" w:sz="8" w:space="0" w:color="000000"/>
              <w:right w:val="nil"/>
            </w:tcBorders>
            <w:tcMar>
              <w:top w:w="0" w:type="dxa"/>
              <w:left w:w="108" w:type="dxa"/>
              <w:bottom w:w="0" w:type="dxa"/>
              <w:right w:w="108" w:type="dxa"/>
            </w:tcMar>
            <w:vAlign w:val="center"/>
          </w:tcPr>
          <w:p w:rsidR="00526702" w14:paraId="3C097CA1" w14:textId="77777777">
            <w:pPr>
              <w:pBdr>
                <w:top w:val="nil"/>
                <w:left w:val="nil"/>
                <w:bottom w:val="nil"/>
                <w:right w:val="nil"/>
                <w:between w:val="nil"/>
              </w:pBdr>
              <w:spacing w:line="279" w:lineRule="atLeast"/>
              <w:jc w:val="center"/>
              <w:rPr>
                <w:rFonts w:ascii="宋体" w:cs="宋体"/>
              </w:rPr>
            </w:pPr>
            <w:r>
              <w:rPr>
                <w:rFonts w:ascii="宋体" w:cs="宋体"/>
                <w:color w:val="000000"/>
                <w:sz w:val="22"/>
                <w:highlight w:val="white"/>
              </w:rPr>
              <w:t> </w:t>
            </w:r>
          </w:p>
        </w:tc>
      </w:tr>
      <w:tr w14:paraId="4EDC2F9F" w14:textId="77777777">
        <w:tblPrEx>
          <w:tblW w:w="8513" w:type="dxa"/>
          <w:tblLayout w:type="fixed"/>
          <w:tblLook w:val="04A0"/>
        </w:tblPrEx>
        <w:trPr>
          <w:trHeight w:val="454"/>
        </w:trPr>
        <w:tc>
          <w:tcPr>
            <w:tcW w:w="1284" w:type="dxa"/>
            <w:vMerge/>
            <w:tcBorders>
              <w:top w:val="nil"/>
              <w:left w:val="nil"/>
              <w:bottom w:val="single" w:sz="8" w:space="0" w:color="000000"/>
              <w:right w:val="nil"/>
            </w:tcBorders>
          </w:tcPr>
          <w:p w:rsidR="00526702" w14:paraId="1B552531" w14:textId="77777777">
            <w:pPr>
              <w:rPr>
                <w:rFonts w:ascii="宋体"/>
              </w:rPr>
            </w:pPr>
          </w:p>
        </w:tc>
        <w:tc>
          <w:tcPr>
            <w:tcW w:w="2977" w:type="dxa"/>
            <w:tcBorders>
              <w:top w:val="nil"/>
              <w:left w:val="nil"/>
              <w:bottom w:val="single" w:sz="8" w:space="0" w:color="000000"/>
              <w:right w:val="nil"/>
            </w:tcBorders>
            <w:tcMar>
              <w:top w:w="0" w:type="dxa"/>
              <w:left w:w="108" w:type="dxa"/>
              <w:bottom w:w="0" w:type="dxa"/>
              <w:right w:w="108" w:type="dxa"/>
            </w:tcMar>
            <w:vAlign w:val="center"/>
          </w:tcPr>
          <w:p w:rsidR="00526702" w14:paraId="2C808D83" w14:textId="77777777">
            <w:pPr>
              <w:pBdr>
                <w:top w:val="nil"/>
                <w:left w:val="nil"/>
                <w:bottom w:val="nil"/>
                <w:right w:val="nil"/>
                <w:between w:val="nil"/>
              </w:pBdr>
              <w:spacing w:line="279" w:lineRule="exact"/>
              <w:jc w:val="center"/>
              <w:rPr>
                <w:rFonts w:ascii="宋体" w:cs="宋体"/>
              </w:rPr>
            </w:pPr>
            <w:r>
              <w:rPr>
                <w:rFonts w:ascii="宋体" w:cs="宋体"/>
                <w:highlight w:val="white"/>
              </w:rPr>
              <w:t>N</w:t>
            </w:r>
            <w:r>
              <w:rPr>
                <w:rFonts w:ascii="宋体" w:cs="宋体"/>
                <w:highlight w:val="white"/>
              </w:rPr>
              <w:t>≥</w:t>
            </w:r>
            <w:r>
              <w:rPr>
                <w:rFonts w:ascii="宋体" w:cs="宋体"/>
                <w:highlight w:val="white"/>
              </w:rPr>
              <w:t>180天</w:t>
            </w:r>
          </w:p>
        </w:tc>
        <w:tc>
          <w:tcPr>
            <w:tcW w:w="1984" w:type="dxa"/>
            <w:tcBorders>
              <w:top w:val="nil"/>
              <w:left w:val="nil"/>
              <w:bottom w:val="single" w:sz="8" w:space="0" w:color="000000"/>
              <w:right w:val="nil"/>
            </w:tcBorders>
            <w:tcMar>
              <w:top w:w="0" w:type="dxa"/>
              <w:left w:w="108" w:type="dxa"/>
              <w:bottom w:w="0" w:type="dxa"/>
              <w:right w:w="108" w:type="dxa"/>
            </w:tcMar>
            <w:vAlign w:val="center"/>
          </w:tcPr>
          <w:p w:rsidR="00526702" w14:paraId="5AC1A3B8" w14:textId="77777777">
            <w:pPr>
              <w:pBdr>
                <w:top w:val="nil"/>
                <w:left w:val="nil"/>
                <w:bottom w:val="nil"/>
                <w:right w:val="nil"/>
                <w:between w:val="nil"/>
              </w:pBdr>
              <w:spacing w:line="279" w:lineRule="atLeast"/>
              <w:jc w:val="center"/>
              <w:rPr>
                <w:rFonts w:ascii="宋体" w:cs="宋体"/>
                <w:color w:val="000000"/>
                <w:sz w:val="22"/>
              </w:rPr>
            </w:pPr>
            <w:r>
              <w:rPr>
                <w:rFonts w:ascii="宋体" w:cs="宋体"/>
                <w:color w:val="000000"/>
                <w:sz w:val="22"/>
                <w:highlight w:val="white"/>
              </w:rPr>
              <w:t>0.00%</w:t>
            </w:r>
          </w:p>
        </w:tc>
        <w:tc>
          <w:tcPr>
            <w:tcW w:w="2268" w:type="dxa"/>
            <w:tcBorders>
              <w:top w:val="nil"/>
              <w:left w:val="nil"/>
              <w:bottom w:val="single" w:sz="8" w:space="0" w:color="000000"/>
              <w:right w:val="nil"/>
            </w:tcBorders>
            <w:tcMar>
              <w:top w:w="0" w:type="dxa"/>
              <w:left w:w="108" w:type="dxa"/>
              <w:bottom w:w="0" w:type="dxa"/>
              <w:right w:w="108" w:type="dxa"/>
            </w:tcMar>
            <w:vAlign w:val="center"/>
          </w:tcPr>
          <w:p w:rsidR="00526702" w14:paraId="51B2AE79" w14:textId="77777777">
            <w:pPr>
              <w:pBdr>
                <w:top w:val="nil"/>
                <w:left w:val="nil"/>
                <w:bottom w:val="nil"/>
                <w:right w:val="nil"/>
                <w:between w:val="nil"/>
              </w:pBdr>
              <w:spacing w:line="279" w:lineRule="atLeast"/>
              <w:jc w:val="center"/>
              <w:rPr>
                <w:rFonts w:ascii="宋体" w:cs="宋体"/>
                <w:color w:val="000000"/>
                <w:sz w:val="22"/>
              </w:rPr>
            </w:pPr>
          </w:p>
        </w:tc>
      </w:tr>
    </w:tbl>
    <w:p w:rsidR="00526702" w14:paraId="701BD487" w14:textId="77777777">
      <w:pPr>
        <w:spacing w:line="280" w:lineRule="exact"/>
        <w:jc w:val="left"/>
        <w:rPr>
          <w:rFonts w:ascii="宋体" w:cs="宋体"/>
          <w:iCs/>
        </w:rPr>
      </w:pPr>
      <w:r>
        <w:rPr>
          <w:rFonts w:ascii="宋体" w:cs="宋体"/>
          <w:iCs/>
          <w:highlight w:val="white"/>
        </w:rPr>
        <w:t>注：1、</w:t>
      </w:r>
      <w:r>
        <w:rPr>
          <w:rFonts w:ascii="宋体" w:cs="宋体" w:hint="eastAsia"/>
          <w:iCs/>
          <w:highlight w:val="white"/>
        </w:rPr>
        <w:t>本基金C类基金份额在投资者认购/申购时不收取认购/申购费用，在持有期间</w:t>
      </w:r>
      <w:r>
        <w:rPr>
          <w:rFonts w:ascii="宋体" w:cs="方正仿宋简体" w:hint="eastAsia"/>
          <w:iCs/>
          <w:color w:val="000000" w:themeColor="text1"/>
          <w:highlight w:val="white"/>
        </w:rPr>
        <w:t>计提</w:t>
      </w:r>
      <w:r>
        <w:rPr>
          <w:rFonts w:ascii="宋体" w:cs="宋体"/>
          <w:highlight w:val="white"/>
        </w:rPr>
        <w:t>销售服务费</w:t>
      </w:r>
      <w:r>
        <w:rPr>
          <w:rFonts w:ascii="宋体" w:cs="方正仿宋简体" w:hint="eastAsia"/>
          <w:iCs/>
          <w:color w:val="000000" w:themeColor="text1"/>
          <w:highlight w:val="white"/>
        </w:rPr>
        <w:t>并按规定收取或返还</w:t>
      </w:r>
      <w:r>
        <w:rPr>
          <w:rFonts w:ascii="宋体" w:cs="宋体" w:hint="eastAsia"/>
          <w:iCs/>
          <w:highlight w:val="white"/>
        </w:rPr>
        <w:t>。</w:t>
      </w:r>
      <w:r>
        <w:rPr>
          <w:rFonts w:ascii="宋体" w:cs="宋体"/>
          <w:iCs/>
          <w:highlight w:val="white"/>
        </w:rPr>
        <w:t>2、本基金对投资者认购或申购的每份基金份额设定3个月（一个月按30天计算）最短持有期限，基金份额持有人在满足最短持有期限的情况下方可赎回。</w:t>
      </w:r>
    </w:p>
    <w:p w:rsidR="00526702" w14:paraId="76B54337" w14:textId="77777777">
      <w:pPr>
        <w:spacing w:line="280" w:lineRule="exact"/>
        <w:outlineLvl w:val="1"/>
        <w:rPr>
          <w:rFonts w:ascii="宋体" w:cs="宋体"/>
          <w:b/>
          <w:iCs/>
          <w:sz w:val="24"/>
          <w:szCs w:val="24"/>
        </w:rPr>
      </w:pPr>
      <w:r>
        <w:rPr>
          <w:rFonts w:ascii="宋体" w:cs="宋体" w:hint="eastAsia"/>
          <w:b/>
          <w:iCs/>
          <w:sz w:val="24"/>
          <w:szCs w:val="24"/>
          <w:highlight w:val="white"/>
        </w:rPr>
        <w:t>（二）基金运作相关费用</w:t>
      </w:r>
    </w:p>
    <w:p w:rsidR="00526702" w14:paraId="22E07EB5" w14:textId="77777777">
      <w:pPr>
        <w:spacing w:line="280" w:lineRule="exact"/>
        <w:jc w:val="left"/>
        <w:rPr>
          <w:rFonts w:ascii="宋体" w:cs="宋体"/>
          <w:iCs/>
        </w:rPr>
      </w:pPr>
      <w:r>
        <w:rPr>
          <w:rFonts w:ascii="宋体" w:cs="宋体" w:hint="eastAsia"/>
          <w:highlight w:val="white"/>
        </w:rPr>
        <w:t>以下</w:t>
      </w:r>
      <w:r>
        <w:rPr>
          <w:rFonts w:ascii="宋体" w:cs="宋体" w:hint="eastAsia"/>
          <w:iCs/>
          <w:highlight w:val="white"/>
        </w:rPr>
        <w:t>费用将从基金资产中扣除：</w:t>
      </w:r>
    </w:p>
    <w:tbl>
      <w:tblPr>
        <w:tblOverlap w:val="never"/>
        <w:tblW w:w="0" w:type="auto"/>
        <w:tblCellSpacing w:w="0" w:type="dxa"/>
        <w:tblBorders>
          <w:top w:val="single" w:sz="4" w:space="0" w:color="000000"/>
          <w:bottom w:val="single" w:sz="4" w:space="0" w:color="000000"/>
          <w:insideH w:val="single" w:sz="4" w:space="0" w:color="808080"/>
        </w:tblBorders>
        <w:tblLook w:val="04A0"/>
      </w:tblPr>
      <w:tblGrid>
        <w:gridCol w:w="1985"/>
        <w:gridCol w:w="3402"/>
        <w:gridCol w:w="2693"/>
      </w:tblGrid>
      <w:tr w14:paraId="59E3F092" w14:textId="77777777">
        <w:tblPrEx>
          <w:tblW w:w="0" w:type="auto"/>
          <w:tblLook w:val="04A0"/>
        </w:tblPrEx>
        <w:trPr>
          <w:trHeight w:val="490"/>
        </w:trPr>
        <w:tc>
          <w:tcPr>
            <w:tcW w:w="1985" w:type="dxa"/>
            <w:tcBorders>
              <w:top w:val="single" w:sz="4" w:space="0" w:color="000000"/>
              <w:left w:val="nil"/>
              <w:bottom w:val="single" w:sz="4" w:space="0" w:color="808080"/>
              <w:right w:val="nil"/>
            </w:tcBorders>
            <w:vAlign w:val="center"/>
          </w:tcPr>
          <w:p w:rsidR="00526702" w14:paraId="1969A49F" w14:textId="77777777">
            <w:pPr>
              <w:jc w:val="left"/>
              <w:rPr>
                <w:rFonts w:ascii="宋体" w:hAnsi="宋体" w:cs="宋体" w:hint="eastAsia"/>
                <w:sz w:val="24"/>
                <w:szCs w:val="24"/>
              </w:rPr>
            </w:pPr>
            <w:r>
              <w:rPr>
                <w:rFonts w:ascii="宋体" w:hAnsi="宋体" w:cs="宋体" w:hint="eastAsia"/>
                <w:b/>
                <w:bCs/>
                <w:color w:val="000000"/>
                <w:highlight w:val="white"/>
              </w:rPr>
              <w:t>费用类别</w:t>
            </w:r>
          </w:p>
        </w:tc>
        <w:tc>
          <w:tcPr>
            <w:tcW w:w="3402" w:type="dxa"/>
            <w:tcBorders>
              <w:top w:val="single" w:sz="4" w:space="0" w:color="000000"/>
              <w:left w:val="nil"/>
              <w:bottom w:val="single" w:sz="4" w:space="0" w:color="808080"/>
              <w:right w:val="nil"/>
            </w:tcBorders>
            <w:vAlign w:val="center"/>
          </w:tcPr>
          <w:p w:rsidR="00526702" w14:paraId="04DD2A74" w14:textId="77777777">
            <w:pPr>
              <w:jc w:val="center"/>
              <w:rPr>
                <w:rFonts w:ascii="宋体" w:hAnsi="宋体" w:cs="宋体" w:hint="eastAsia"/>
                <w:sz w:val="24"/>
                <w:szCs w:val="24"/>
              </w:rPr>
            </w:pPr>
            <w:r>
              <w:rPr>
                <w:rFonts w:ascii="宋体" w:hAnsi="宋体" w:cs="宋体" w:hint="eastAsia"/>
                <w:b/>
                <w:bCs/>
                <w:color w:val="000000"/>
                <w:highlight w:val="white"/>
              </w:rPr>
              <w:t>收费方式/年费率或金额</w:t>
            </w:r>
          </w:p>
        </w:tc>
        <w:tc>
          <w:tcPr>
            <w:tcW w:w="2693" w:type="dxa"/>
            <w:tcBorders>
              <w:top w:val="single" w:sz="4" w:space="0" w:color="000000"/>
              <w:left w:val="nil"/>
              <w:bottom w:val="single" w:sz="4" w:space="0" w:color="808080"/>
              <w:right w:val="nil"/>
            </w:tcBorders>
            <w:vAlign w:val="center"/>
          </w:tcPr>
          <w:p w:rsidR="00526702" w14:paraId="33B24A94" w14:textId="77777777">
            <w:pPr>
              <w:jc w:val="center"/>
              <w:rPr>
                <w:rFonts w:ascii="宋体" w:hAnsi="宋体" w:cs="宋体" w:hint="eastAsia"/>
                <w:sz w:val="24"/>
                <w:szCs w:val="24"/>
              </w:rPr>
            </w:pPr>
            <w:r>
              <w:rPr>
                <w:rFonts w:ascii="宋体" w:hAnsi="宋体" w:cs="宋体" w:hint="eastAsia"/>
                <w:b/>
                <w:bCs/>
                <w:color w:val="000000"/>
                <w:highlight w:val="white"/>
              </w:rPr>
              <w:t>收取方</w:t>
            </w:r>
          </w:p>
        </w:tc>
      </w:tr>
      <w:tr w14:paraId="27B1A08F" w14:textId="77777777">
        <w:tblPrEx>
          <w:tblW w:w="0" w:type="auto"/>
          <w:tblLook w:val="04A0"/>
        </w:tblPrEx>
        <w:trPr>
          <w:trHeight w:val="360"/>
        </w:trPr>
        <w:tc>
          <w:tcPr>
            <w:tcW w:w="1985" w:type="dxa"/>
            <w:tcBorders>
              <w:top w:val="single" w:sz="4" w:space="0" w:color="808080"/>
              <w:left w:val="nil"/>
              <w:bottom w:val="single" w:sz="4" w:space="0" w:color="808080"/>
              <w:right w:val="nil"/>
            </w:tcBorders>
            <w:vAlign w:val="center"/>
          </w:tcPr>
          <w:p w:rsidR="00526702" w14:paraId="189104F5" w14:textId="77777777">
            <w:pPr>
              <w:jc w:val="left"/>
              <w:rPr>
                <w:rFonts w:ascii="宋体" w:hAnsi="宋体" w:cs="宋体" w:hint="eastAsia"/>
                <w:sz w:val="24"/>
                <w:szCs w:val="24"/>
              </w:rPr>
            </w:pPr>
            <w:r>
              <w:rPr>
                <w:rFonts w:ascii="宋体" w:hAnsi="宋体" w:cs="宋体" w:hint="eastAsia"/>
                <w:color w:val="000000"/>
                <w:highlight w:val="white"/>
              </w:rPr>
              <w:t>管理费</w:t>
            </w:r>
          </w:p>
        </w:tc>
        <w:tc>
          <w:tcPr>
            <w:tcW w:w="3402" w:type="dxa"/>
            <w:tcBorders>
              <w:top w:val="single" w:sz="4" w:space="0" w:color="808080"/>
              <w:left w:val="nil"/>
              <w:bottom w:val="single" w:sz="4" w:space="0" w:color="808080"/>
              <w:right w:val="nil"/>
            </w:tcBorders>
            <w:vAlign w:val="center"/>
          </w:tcPr>
          <w:p w:rsidR="00526702" w14:paraId="0E77DE68" w14:textId="77777777">
            <w:pPr>
              <w:jc w:val="center"/>
              <w:rPr>
                <w:rFonts w:ascii="宋体" w:hAnsi="宋体" w:cs="宋体" w:hint="eastAsia"/>
                <w:sz w:val="24"/>
                <w:szCs w:val="24"/>
              </w:rPr>
            </w:pPr>
            <w:r>
              <w:rPr>
                <w:rFonts w:ascii="宋体" w:cs="宋体" w:hint="eastAsia"/>
                <w:highlight w:val="white"/>
              </w:rPr>
              <w:t>年费率</w:t>
            </w:r>
            <w:r>
              <w:rPr>
                <w:rFonts w:ascii="宋体" w:cs="宋体"/>
              </w:rPr>
              <w:t>0.60%</w:t>
            </w:r>
          </w:p>
        </w:tc>
        <w:tc>
          <w:tcPr>
            <w:tcW w:w="2693" w:type="dxa"/>
            <w:tcBorders>
              <w:top w:val="single" w:sz="4" w:space="0" w:color="808080"/>
              <w:left w:val="nil"/>
              <w:bottom w:val="single" w:sz="4" w:space="0" w:color="808080"/>
              <w:right w:val="nil"/>
            </w:tcBorders>
            <w:vAlign w:val="center"/>
          </w:tcPr>
          <w:p w:rsidR="00526702" w14:paraId="279C067D" w14:textId="0C0922B3">
            <w:pPr>
              <w:jc w:val="center"/>
              <w:rPr>
                <w:rFonts w:ascii="宋体" w:hAnsi="宋体" w:cs="宋体" w:hint="eastAsia"/>
                <w:sz w:val="24"/>
                <w:szCs w:val="24"/>
              </w:rPr>
            </w:pPr>
            <w:r>
              <w:rPr>
                <w:rFonts w:ascii="宋体" w:hAnsi="宋体" w:cs="宋体" w:hint="eastAsia"/>
                <w:color w:val="000000"/>
                <w:highlight w:val="white"/>
              </w:rPr>
              <w:t>基金管理人</w:t>
            </w:r>
            <w:r>
              <w:rPr>
                <w:rFonts w:ascii="宋体" w:hAnsi="宋体" w:cs="宋体" w:hint="eastAsia"/>
                <w:color w:val="000000"/>
                <w:highlight w:val="white"/>
              </w:rPr>
              <w:t>、销售机构</w:t>
            </w:r>
          </w:p>
        </w:tc>
      </w:tr>
      <w:tr w14:paraId="191DF21B" w14:textId="77777777">
        <w:tblPrEx>
          <w:tblW w:w="0" w:type="auto"/>
          <w:tblLook w:val="04A0"/>
        </w:tblPrEx>
        <w:trPr>
          <w:trHeight w:val="360"/>
        </w:trPr>
        <w:tc>
          <w:tcPr>
            <w:tcW w:w="1985" w:type="dxa"/>
            <w:tcBorders>
              <w:top w:val="single" w:sz="4" w:space="0" w:color="808080"/>
              <w:left w:val="nil"/>
              <w:bottom w:val="single" w:sz="4" w:space="0" w:color="808080"/>
              <w:right w:val="nil"/>
            </w:tcBorders>
            <w:vAlign w:val="center"/>
          </w:tcPr>
          <w:p w:rsidR="00526702" w14:paraId="64695BCC" w14:textId="77777777">
            <w:pPr>
              <w:jc w:val="left"/>
              <w:rPr>
                <w:rFonts w:ascii="宋体" w:hAnsi="宋体" w:cs="宋体" w:hint="eastAsia"/>
                <w:sz w:val="24"/>
                <w:szCs w:val="24"/>
              </w:rPr>
            </w:pPr>
            <w:r>
              <w:rPr>
                <w:rFonts w:ascii="宋体" w:hAnsi="宋体" w:cs="宋体" w:hint="eastAsia"/>
                <w:color w:val="000000"/>
                <w:highlight w:val="white"/>
              </w:rPr>
              <w:t>托管费</w:t>
            </w:r>
          </w:p>
        </w:tc>
        <w:tc>
          <w:tcPr>
            <w:tcW w:w="3402" w:type="dxa"/>
            <w:tcBorders>
              <w:top w:val="single" w:sz="4" w:space="0" w:color="808080"/>
              <w:left w:val="nil"/>
              <w:bottom w:val="single" w:sz="4" w:space="0" w:color="808080"/>
              <w:right w:val="nil"/>
            </w:tcBorders>
            <w:vAlign w:val="center"/>
          </w:tcPr>
          <w:p w:rsidR="00526702" w14:paraId="38F396BF" w14:textId="77777777">
            <w:pPr>
              <w:jc w:val="center"/>
              <w:rPr>
                <w:rFonts w:ascii="宋体" w:hAnsi="宋体" w:cs="宋体" w:hint="eastAsia"/>
                <w:sz w:val="24"/>
                <w:szCs w:val="24"/>
              </w:rPr>
            </w:pPr>
            <w:r>
              <w:rPr>
                <w:rFonts w:ascii="宋体" w:cs="宋体" w:hint="eastAsia"/>
                <w:highlight w:val="white"/>
              </w:rPr>
              <w:t>年费率</w:t>
            </w:r>
            <w:r>
              <w:rPr>
                <w:rFonts w:ascii="宋体" w:cs="宋体"/>
              </w:rPr>
              <w:t>0.15%</w:t>
            </w:r>
          </w:p>
        </w:tc>
        <w:tc>
          <w:tcPr>
            <w:tcW w:w="2693" w:type="dxa"/>
            <w:tcBorders>
              <w:top w:val="single" w:sz="4" w:space="0" w:color="808080"/>
              <w:left w:val="nil"/>
              <w:bottom w:val="single" w:sz="4" w:space="0" w:color="808080"/>
              <w:right w:val="nil"/>
            </w:tcBorders>
            <w:vAlign w:val="center"/>
          </w:tcPr>
          <w:p w:rsidR="00526702" w14:paraId="73EAFDF7" w14:textId="77777777">
            <w:pPr>
              <w:jc w:val="center"/>
              <w:rPr>
                <w:rFonts w:ascii="宋体" w:hAnsi="宋体" w:cs="宋体" w:hint="eastAsia"/>
                <w:sz w:val="24"/>
                <w:szCs w:val="24"/>
              </w:rPr>
            </w:pPr>
            <w:r>
              <w:rPr>
                <w:rFonts w:ascii="宋体" w:hAnsi="宋体" w:cs="宋体" w:hint="eastAsia"/>
                <w:color w:val="000000"/>
                <w:highlight w:val="white"/>
              </w:rPr>
              <w:t>基金托管人</w:t>
            </w:r>
          </w:p>
        </w:tc>
      </w:tr>
      <w:tr w14:paraId="72D0F347" w14:textId="77777777">
        <w:tblPrEx>
          <w:tblW w:w="0" w:type="auto"/>
          <w:tblLook w:val="04A0"/>
        </w:tblPrEx>
        <w:trPr>
          <w:trHeight w:val="360"/>
        </w:trPr>
        <w:tc>
          <w:tcPr>
            <w:tcW w:w="1985" w:type="dxa"/>
            <w:tcBorders>
              <w:top w:val="single" w:sz="4" w:space="0" w:color="808080"/>
              <w:left w:val="nil"/>
              <w:bottom w:val="single" w:sz="4" w:space="0" w:color="808080"/>
              <w:right w:val="nil"/>
            </w:tcBorders>
            <w:vAlign w:val="center"/>
          </w:tcPr>
          <w:p w:rsidR="00526702" w14:paraId="2CDDB593" w14:textId="77777777">
            <w:pPr>
              <w:jc w:val="left"/>
              <w:rPr>
                <w:rFonts w:ascii="宋体" w:hAnsi="宋体" w:cs="宋体" w:hint="eastAsia"/>
                <w:color w:val="000000"/>
              </w:rPr>
            </w:pPr>
            <w:r>
              <w:rPr>
                <w:rFonts w:ascii="宋体" w:cs="宋体" w:hint="eastAsia"/>
                <w:iCs/>
                <w:highlight w:val="white"/>
              </w:rPr>
              <w:t>销售服务费</w:t>
            </w:r>
          </w:p>
        </w:tc>
        <w:tc>
          <w:tcPr>
            <w:tcW w:w="3402" w:type="dxa"/>
            <w:tcBorders>
              <w:top w:val="single" w:sz="4" w:space="0" w:color="808080"/>
              <w:left w:val="nil"/>
              <w:bottom w:val="single" w:sz="4" w:space="0" w:color="808080"/>
              <w:right w:val="nil"/>
            </w:tcBorders>
            <w:vAlign w:val="center"/>
          </w:tcPr>
          <w:p w:rsidR="00526702" w14:paraId="508B91FB" w14:textId="1EB6D0C3">
            <w:pPr>
              <w:jc w:val="center"/>
              <w:rPr>
                <w:rFonts w:ascii="宋体" w:cs="宋体"/>
              </w:rPr>
            </w:pPr>
            <w:r>
              <w:rPr>
                <w:rFonts w:ascii="宋体" w:cs="宋体" w:hint="eastAsia"/>
                <w:highlight w:val="white"/>
              </w:rPr>
              <w:t>年费率</w:t>
            </w:r>
            <w:r>
              <w:rPr>
                <w:rFonts w:ascii="宋体" w:cs="宋体"/>
              </w:rPr>
              <w:t>0.</w:t>
            </w:r>
            <w:r w:rsidR="009712A6">
              <w:rPr>
                <w:rFonts w:ascii="宋体" w:cs="宋体" w:hint="eastAsia"/>
              </w:rPr>
              <w:t>4</w:t>
            </w:r>
            <w:r w:rsidR="009712A6">
              <w:rPr>
                <w:rFonts w:ascii="宋体" w:cs="宋体"/>
              </w:rPr>
              <w:t>0</w:t>
            </w:r>
            <w:r>
              <w:rPr>
                <w:rFonts w:ascii="宋体" w:cs="宋体"/>
              </w:rPr>
              <w:t>%</w:t>
            </w:r>
          </w:p>
        </w:tc>
        <w:tc>
          <w:tcPr>
            <w:tcW w:w="2693" w:type="dxa"/>
            <w:tcBorders>
              <w:top w:val="single" w:sz="4" w:space="0" w:color="808080"/>
              <w:left w:val="nil"/>
              <w:bottom w:val="single" w:sz="4" w:space="0" w:color="808080"/>
              <w:right w:val="nil"/>
            </w:tcBorders>
            <w:vAlign w:val="center"/>
          </w:tcPr>
          <w:p w:rsidR="00526702" w14:paraId="156C3243" w14:textId="77777777">
            <w:pPr>
              <w:jc w:val="center"/>
              <w:rPr>
                <w:rFonts w:ascii="宋体" w:hAnsi="宋体" w:cs="宋体" w:hint="eastAsia"/>
                <w:color w:val="000000"/>
              </w:rPr>
            </w:pPr>
            <w:r>
              <w:rPr>
                <w:rFonts w:ascii="宋体" w:cs="宋体" w:hint="eastAsia"/>
                <w:iCs/>
                <w:highlight w:val="white"/>
              </w:rPr>
              <w:t>销售机构</w:t>
            </w:r>
          </w:p>
        </w:tc>
      </w:tr>
      <w:tr w14:paraId="492DC8AC" w14:textId="77777777">
        <w:tblPrEx>
          <w:tblW w:w="0" w:type="auto"/>
          <w:tblLook w:val="04A0"/>
        </w:tblPrEx>
        <w:trPr>
          <w:trHeight w:val="454"/>
        </w:trPr>
        <w:tc>
          <w:tcPr>
            <w:tcW w:w="1985" w:type="dxa"/>
            <w:tcBorders>
              <w:top w:val="single" w:sz="4" w:space="0" w:color="808080"/>
              <w:left w:val="nil"/>
              <w:bottom w:val="single" w:sz="4" w:space="0" w:color="000000"/>
              <w:right w:val="nil"/>
            </w:tcBorders>
            <w:vAlign w:val="center"/>
          </w:tcPr>
          <w:p w:rsidR="00526702" w14:paraId="5511DACF" w14:textId="77777777">
            <w:pPr>
              <w:spacing w:line="280" w:lineRule="exact"/>
              <w:jc w:val="left"/>
              <w:rPr>
                <w:rFonts w:ascii="宋体" w:cs="宋体"/>
                <w:iCs/>
              </w:rPr>
            </w:pPr>
            <w:r>
              <w:rPr>
                <w:rFonts w:ascii="宋体" w:cs="宋体" w:hint="eastAsia"/>
                <w:iCs/>
                <w:highlight w:val="white"/>
              </w:rPr>
              <w:t>其他费用</w:t>
            </w:r>
          </w:p>
        </w:tc>
        <w:tc>
          <w:tcPr>
            <w:tcW w:w="3402" w:type="dxa"/>
            <w:tcBorders>
              <w:top w:val="single" w:sz="4" w:space="0" w:color="808080"/>
              <w:left w:val="nil"/>
              <w:bottom w:val="single" w:sz="4" w:space="0" w:color="000000"/>
              <w:right w:val="nil"/>
            </w:tcBorders>
            <w:vAlign w:val="center"/>
          </w:tcPr>
          <w:p w:rsidR="00526702" w14:paraId="29042652" w14:textId="77777777">
            <w:pPr>
              <w:spacing w:line="280" w:lineRule="exact"/>
              <w:jc w:val="center"/>
              <w:rPr>
                <w:rFonts w:ascii="宋体" w:cs="宋体"/>
                <w:bCs/>
                <w:iCs/>
              </w:rPr>
            </w:pPr>
            <w:r>
              <w:rPr>
                <w:rFonts w:ascii="宋体" w:cs="宋体" w:hint="eastAsia"/>
                <w:bCs/>
                <w:iCs/>
                <w:highlight w:val="white"/>
              </w:rPr>
              <w:t>详见</w:t>
            </w:r>
            <w:r>
              <w:rPr>
                <w:rFonts w:ascii="宋体" w:cs="宋体"/>
                <w:bCs/>
                <w:iCs/>
                <w:highlight w:val="white"/>
              </w:rPr>
              <w:t>招募说明书的基金费用与税收章节。</w:t>
            </w:r>
            <w:r>
              <w:rPr>
                <w:rFonts w:ascii="宋体" w:cs="宋体" w:hint="eastAsia"/>
                <w:bCs/>
                <w:iCs/>
                <w:highlight w:val="white"/>
              </w:rPr>
              <w:t xml:space="preserve"> </w:t>
            </w:r>
          </w:p>
        </w:tc>
        <w:tc>
          <w:tcPr>
            <w:tcW w:w="2693" w:type="dxa"/>
            <w:tcBorders>
              <w:top w:val="single" w:sz="4" w:space="0" w:color="808080"/>
              <w:left w:val="nil"/>
              <w:bottom w:val="single" w:sz="4" w:space="0" w:color="000000"/>
              <w:right w:val="nil"/>
            </w:tcBorders>
            <w:vAlign w:val="center"/>
          </w:tcPr>
          <w:p w:rsidR="00526702" w14:paraId="1F3ED994" w14:textId="77777777">
            <w:pPr>
              <w:spacing w:line="280" w:lineRule="exact"/>
              <w:jc w:val="center"/>
              <w:rPr>
                <w:rFonts w:ascii="宋体" w:cs="宋体"/>
                <w:iCs/>
              </w:rPr>
            </w:pPr>
          </w:p>
        </w:tc>
      </w:tr>
    </w:tbl>
    <w:p w:rsidR="00526702" w14:paraId="7C785A61" w14:textId="77777777">
      <w:pPr>
        <w:spacing w:line="280" w:lineRule="exact"/>
        <w:jc w:val="left"/>
        <w:rPr>
          <w:rFonts w:ascii="宋体" w:cs="宋体"/>
          <w:bCs/>
          <w:iCs/>
        </w:rPr>
      </w:pPr>
      <w:r>
        <w:rPr>
          <w:rFonts w:ascii="宋体" w:cs="宋体"/>
          <w:bCs/>
          <w:iCs/>
          <w:highlight w:val="white"/>
        </w:rPr>
        <w:t>注：</w:t>
      </w:r>
      <w:r>
        <w:rPr>
          <w:rFonts w:ascii="宋体" w:cs="宋体" w:hint="eastAsia"/>
          <w:bCs/>
          <w:iCs/>
          <w:highlight w:val="white"/>
        </w:rPr>
        <w:t>1、</w:t>
      </w:r>
      <w:r>
        <w:rPr>
          <w:rFonts w:ascii="宋体" w:cs="宋体"/>
          <w:bCs/>
          <w:iCs/>
          <w:highlight w:val="white"/>
        </w:rPr>
        <w:t>本基金投资于本基金管理人所管理的基金的部分不收取管理费。本基金管理费按前一日基金资产净值扣除前一日所持有本基金管理人管理的其他基金公允价值后的余额（若为负数，则取0）的0.60%年费率计提。</w:t>
      </w:r>
    </w:p>
    <w:p w:rsidR="00526702" w14:paraId="30302AA8" w14:textId="77777777">
      <w:pPr>
        <w:spacing w:line="280" w:lineRule="exact"/>
        <w:jc w:val="left"/>
        <w:rPr>
          <w:rFonts w:ascii="宋体" w:cs="宋体"/>
          <w:bCs/>
          <w:iCs/>
        </w:rPr>
      </w:pPr>
      <w:r>
        <w:rPr>
          <w:rFonts w:ascii="宋体" w:cs="宋体"/>
          <w:bCs/>
          <w:iCs/>
          <w:highlight w:val="white"/>
        </w:rPr>
        <w:t>本基金投资于本基金托管人所托管的基金的部分不收取托管费。本基金托管费按前一日基金资产净值扣除前一日所持有本基金托管人托管的其他基金公允价值后的余额（若为负数，则取0）的0.15%年费率计提。</w:t>
      </w:r>
    </w:p>
    <w:p w:rsidR="00526702" w14:paraId="42E14CC4" w14:textId="77777777">
      <w:pPr>
        <w:spacing w:line="280" w:lineRule="exact"/>
        <w:jc w:val="left"/>
        <w:rPr>
          <w:rFonts w:ascii="宋体" w:cs="方正仿宋简体"/>
          <w:iCs/>
        </w:rPr>
      </w:pPr>
      <w:r>
        <w:rPr>
          <w:rFonts w:ascii="宋体" w:cs="宋体" w:hint="eastAsia"/>
          <w:bCs/>
          <w:iCs/>
          <w:highlight w:val="white"/>
        </w:rPr>
        <w:t>2、</w:t>
      </w:r>
      <w:r>
        <w:rPr>
          <w:rFonts w:ascii="宋体" w:cs="方正仿宋简体" w:hint="eastAsia"/>
          <w:iCs/>
          <w:highlight w:val="white"/>
        </w:rPr>
        <w:t>对于通过基金管理人或其基金销售子公司投资的</w:t>
      </w:r>
      <w:r>
        <w:rPr>
          <w:rFonts w:ascii="宋体" w:cs="方正仿宋简体"/>
          <w:iCs/>
          <w:highlight w:val="white"/>
        </w:rPr>
        <w:t>C</w:t>
      </w:r>
      <w:r>
        <w:rPr>
          <w:rFonts w:ascii="宋体" w:cs="方正仿宋简体" w:hint="eastAsia"/>
          <w:iCs/>
          <w:highlight w:val="white"/>
        </w:rPr>
        <w:t>类基金份额计提的销售服务费，在投资者赎回基金份额或基金合同终止时，随赎回款（或清算款）一并返还给投资者；对于转换转出业务，销售服务费将作为转换转出份额对应的款项一并划转至转换转入的基金。对于通过其他销售机构投资、</w:t>
      </w:r>
      <w:r>
        <w:rPr>
          <w:rFonts w:ascii="宋体" w:cs="宋体" w:hint="eastAsia"/>
          <w:color w:val="000000"/>
          <w:highlight w:val="white"/>
        </w:rPr>
        <w:t>持续持有期限不超过一年（即</w:t>
      </w:r>
      <w:r>
        <w:rPr>
          <w:rFonts w:ascii="宋体" w:cs="宋体"/>
          <w:color w:val="000000"/>
          <w:highlight w:val="white"/>
        </w:rPr>
        <w:t>365</w:t>
      </w:r>
      <w:r>
        <w:rPr>
          <w:rFonts w:ascii="宋体" w:cs="宋体" w:hint="eastAsia"/>
          <w:color w:val="000000"/>
          <w:highlight w:val="white"/>
        </w:rPr>
        <w:t>天，下同）的C类基金份额计提的销售服务费，支付给销售机构</w:t>
      </w:r>
      <w:r>
        <w:rPr>
          <w:rFonts w:ascii="宋体" w:cs="方正仿宋简体" w:hint="eastAsia"/>
          <w:iCs/>
          <w:highlight w:val="white"/>
        </w:rPr>
        <w:t>；持续持有期限超过一年的C类基金份额继续计提的销售服务费，在投资者赎回基金份额或基金合同终止时，随赎回款（或清算款）一并返还给投资者，对于转换转出业务，销售服务费将作为转换转出份额对应的款项一并划转至转换转入的基金</w:t>
      </w:r>
      <w:r>
        <w:rPr>
          <w:rFonts w:ascii="宋体" w:cs="方正仿宋简体"/>
          <w:iCs/>
          <w:highlight w:val="white"/>
        </w:rPr>
        <w:t>。</w:t>
      </w:r>
    </w:p>
    <w:p w:rsidR="00526702" w14:paraId="584ADDF5" w14:textId="77777777">
      <w:pPr>
        <w:spacing w:line="280" w:lineRule="exact"/>
        <w:jc w:val="left"/>
        <w:rPr>
          <w:rFonts w:ascii="宋体" w:cs="宋体"/>
          <w:bCs/>
          <w:iCs/>
        </w:rPr>
      </w:pPr>
      <w:r>
        <w:rPr>
          <w:rFonts w:ascii="宋体" w:cs="方正仿宋简体"/>
          <w:iCs/>
          <w:highlight w:val="white"/>
        </w:rPr>
        <w:t>3</w:t>
      </w:r>
      <w:r>
        <w:rPr>
          <w:rFonts w:ascii="宋体" w:cs="方正仿宋简体" w:hint="eastAsia"/>
          <w:iCs/>
          <w:highlight w:val="white"/>
        </w:rPr>
        <w:t>、</w:t>
      </w:r>
      <w:r>
        <w:rPr>
          <w:rFonts w:ascii="宋体" w:cs="宋体" w:hint="eastAsia"/>
          <w:bCs/>
          <w:iCs/>
          <w:highlight w:val="white"/>
        </w:rPr>
        <w:t>本基金交易证券、基金等产生的费用和税负，按实际发生额从基金资产扣除。</w:t>
      </w:r>
    </w:p>
    <w:p w:rsidR="00526702" w14:paraId="4B31E947"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风险揭示与重要提示</w:t>
      </w:r>
    </w:p>
    <w:p w:rsidR="00526702" w14:paraId="54CF2A80" w14:textId="77777777">
      <w:pPr>
        <w:spacing w:line="280" w:lineRule="exact"/>
        <w:outlineLvl w:val="1"/>
        <w:rPr>
          <w:rFonts w:ascii="宋体" w:cs="宋体"/>
          <w:color w:val="0000FF"/>
          <w:sz w:val="18"/>
        </w:rPr>
      </w:pPr>
      <w:r>
        <w:rPr>
          <w:rFonts w:ascii="宋体" w:cs="宋体" w:hint="eastAsia"/>
          <w:b/>
          <w:bCs/>
          <w:iCs/>
          <w:sz w:val="24"/>
          <w:szCs w:val="24"/>
          <w:highlight w:val="white"/>
        </w:rPr>
        <w:t>（一）风险揭示</w:t>
      </w:r>
    </w:p>
    <w:p w:rsidR="00526702" w14:paraId="2A9E44F2" w14:textId="77777777">
      <w:pPr>
        <w:spacing w:line="280" w:lineRule="exact"/>
        <w:ind w:firstLine="420"/>
        <w:rPr>
          <w:rFonts w:ascii="宋体" w:cs="宋体"/>
          <w:b/>
          <w:iCs/>
        </w:rPr>
      </w:pPr>
      <w:r>
        <w:rPr>
          <w:rFonts w:ascii="宋体" w:cs="宋体" w:hint="eastAsia"/>
          <w:b/>
          <w:iCs/>
          <w:highlight w:val="white"/>
        </w:rPr>
        <w:t>本基金不提供任何保证。投资者可能损失投资本金。</w:t>
      </w:r>
    </w:p>
    <w:p w:rsidR="00526702" w14:paraId="14C7C697" w14:textId="77777777">
      <w:pPr>
        <w:spacing w:line="280" w:lineRule="exact"/>
        <w:ind w:firstLine="420"/>
        <w:rPr>
          <w:rFonts w:ascii="宋体" w:cs="宋体"/>
          <w:iCs/>
        </w:rPr>
      </w:pPr>
      <w:r>
        <w:rPr>
          <w:rFonts w:ascii="宋体" w:cs="宋体" w:hint="eastAsia"/>
          <w:iCs/>
          <w:highlight w:val="white"/>
        </w:rPr>
        <w:t>投资有风险，投资者购买基金时应认真阅读本基金的《招募说明书》等销售文件。</w:t>
      </w:r>
    </w:p>
    <w:p w:rsidR="00526702" w14:paraId="4F1A5E0E" w14:textId="77777777">
      <w:pPr>
        <w:spacing w:line="280" w:lineRule="exact"/>
        <w:ind w:firstLine="420"/>
        <w:rPr>
          <w:rFonts w:ascii="宋体" w:cs="宋体"/>
          <w:iCs/>
        </w:rPr>
      </w:pPr>
      <w:r>
        <w:rPr>
          <w:rFonts w:ascii="宋体" w:cs="宋体"/>
          <w:iCs/>
          <w:highlight w:val="white"/>
        </w:rPr>
        <w:t>投资者投资本基金每份基金份额需要持有至少</w:t>
      </w:r>
      <w:r>
        <w:rPr>
          <w:rFonts w:ascii="宋体" w:cs="宋体" w:hint="eastAsia"/>
          <w:iCs/>
        </w:rPr>
        <w:t>3个月</w:t>
      </w:r>
      <w:r>
        <w:rPr>
          <w:rFonts w:ascii="宋体" w:cs="宋体" w:hint="eastAsia"/>
          <w:iCs/>
          <w:highlight w:val="white"/>
        </w:rPr>
        <w:t>以上且不上市交易，面临在</w:t>
      </w:r>
      <w:r>
        <w:rPr>
          <w:rFonts w:ascii="宋体" w:cs="宋体" w:hint="eastAsia"/>
          <w:iCs/>
        </w:rPr>
        <w:t>3个月</w:t>
      </w:r>
      <w:r>
        <w:rPr>
          <w:rFonts w:ascii="宋体" w:cs="宋体" w:hint="eastAsia"/>
          <w:iCs/>
          <w:highlight w:val="white"/>
        </w:rPr>
        <w:t>最短持有期内赎回无法确认的流动性风险以及基金净值可能发生较大波动的风险。</w:t>
      </w:r>
      <w:r>
        <w:rPr>
          <w:rFonts w:ascii="宋体" w:cs="方正仿宋简体" w:hint="eastAsia"/>
          <w:iCs/>
          <w:highlight w:val="white"/>
        </w:rPr>
        <w:t>除了前述本基金对每份基金份额设定3个月最短持有期带来的特有风险外，投资本基金可能遇到的特有风险包括但不限于：（1）无法获得收益甚至损失本金的风险；（2）投资于非权益类资产的风险；（3）主要投资于基金所面临的特有风险，包括但不限于因主要投资于基金而面临的被投资基金业绩不达目标影响本基金投资业绩表现的风险、赎回资金到账时间较晚影响投资人资金安排的风险、双重收费风险、投资QDII基金的特有风险、投资香港互认基金的特有风险、投资于商品基金的风险、投资公募REITs的特有风险、投资于可上市交易基金的二级市场投资风险、被投资基金的运作风险、被投资基金的基金管理人经营风险和相关政策风险；（4）可能较大比例投资于基金管理人旗下基金所面临的风险；（5）本基金投资范围包括内地与香港股票市场交易互联互通机制允许买卖的香港证券市场股票及ETF而面临的香港市场股票及ETF投资交易、港股通机制带来的特殊风险；（6）本基金投资范围包括科创板股票、北交所股票、存托凭证、资产支持证券等特殊品种而面临的其他额外风险等。此外本基金还将面临市场风险、流动性风险、管理风险、税收风险、基金法律文件中涉及基金风险特征的表述与销售机构对基金的风险评级可能不一致的风险、其他风险等一般风险。本基金的具体运作特点详见基金合同和招募说明书的约定，投资本基金可能面临的风险详见招募说明书的</w:t>
      </w:r>
      <w:r>
        <w:rPr>
          <w:rFonts w:ascii="宋体" w:cs="宋体" w:hint="eastAsia"/>
          <w:iCs/>
          <w:highlight w:val="white"/>
        </w:rPr>
        <w:t>“风险揭示”部分。</w:t>
      </w:r>
    </w:p>
    <w:p w:rsidR="00526702" w14:paraId="419718B3" w14:textId="77777777">
      <w:pPr>
        <w:spacing w:line="280" w:lineRule="exact"/>
        <w:rPr>
          <w:rFonts w:ascii="宋体" w:cs="宋体"/>
          <w:b/>
          <w:iCs/>
          <w:sz w:val="22"/>
          <w:szCs w:val="24"/>
        </w:rPr>
      </w:pPr>
      <w:r>
        <w:rPr>
          <w:rFonts w:ascii="宋体" w:cs="宋体" w:hint="eastAsia"/>
          <w:b/>
          <w:iCs/>
          <w:sz w:val="24"/>
          <w:szCs w:val="24"/>
          <w:highlight w:val="white"/>
        </w:rPr>
        <w:t>（二）重要提示</w:t>
      </w:r>
    </w:p>
    <w:p w:rsidR="00526702" w14:paraId="5C9B6E28" w14:textId="77777777">
      <w:pPr>
        <w:spacing w:line="280" w:lineRule="exact"/>
        <w:ind w:firstLine="420"/>
        <w:rPr>
          <w:rFonts w:ascii="宋体" w:cs="宋体"/>
          <w:b/>
          <w:iCs/>
        </w:rPr>
      </w:pPr>
      <w:r>
        <w:rPr>
          <w:rFonts w:ascii="宋体" w:cs="宋体" w:hint="eastAsia"/>
          <w:iCs/>
          <w:highlight w:val="white"/>
        </w:rPr>
        <w:t>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自依基金合同取得基金份额，即成为基金份额持有人和基金合同的当事人。</w:t>
      </w:r>
      <w:r>
        <w:rPr>
          <w:rFonts w:ascii="宋体" w:cs="宋体"/>
          <w:b/>
          <w:iCs/>
          <w:highlight w:val="white"/>
        </w:rPr>
        <w:t>各方当事人因《基金合同》而产生的或与《基金合同》有关的一切争议应尽量通过协商、调解途径解决，如经友好协商未能解决的最终将通过仲裁方式处理，详见《基金合同》。</w:t>
      </w:r>
    </w:p>
    <w:p w:rsidR="00526702" w14:paraId="51DDDA48" w14:textId="77777777">
      <w:pPr>
        <w:spacing w:line="280" w:lineRule="exact"/>
        <w:ind w:firstLine="420"/>
        <w:rPr>
          <w:rFonts w:ascii="宋体" w:cs="宋体"/>
          <w:iCs/>
        </w:rPr>
      </w:pPr>
      <w:r>
        <w:rPr>
          <w:rFonts w:ascii="宋体" w:cs="宋体" w:hint="eastAsia"/>
          <w:iCs/>
          <w:highlight w:val="white"/>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526702" w14:paraId="470BEF9F"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其他资料查询方式</w:t>
      </w:r>
    </w:p>
    <w:p w:rsidR="00526702" w14:paraId="2FF47D15" w14:textId="77777777">
      <w:pPr>
        <w:spacing w:line="280" w:lineRule="exact"/>
        <w:ind w:firstLine="420"/>
        <w:rPr>
          <w:rFonts w:ascii="宋体" w:cs="宋体"/>
          <w:iCs/>
        </w:rPr>
      </w:pPr>
      <w:r>
        <w:rPr>
          <w:rFonts w:ascii="宋体" w:cs="宋体" w:hint="eastAsia"/>
          <w:iCs/>
          <w:highlight w:val="white"/>
        </w:rPr>
        <w:t>以下资料详见基金管理人网站[www.efunds.com.cn][客服电话:4008818088]</w:t>
      </w:r>
    </w:p>
    <w:p w:rsidR="00526702" w14:paraId="516F4BB2" w14:textId="77777777">
      <w:pPr>
        <w:spacing w:line="280" w:lineRule="exact"/>
        <w:ind w:firstLine="420"/>
        <w:rPr>
          <w:rFonts w:ascii="宋体" w:cs="宋体"/>
          <w:iCs/>
        </w:rPr>
      </w:pPr>
      <w:r>
        <w:rPr>
          <w:rFonts w:ascii="宋体" w:cs="宋体" w:hint="eastAsia"/>
          <w:iCs/>
          <w:highlight w:val="white"/>
        </w:rPr>
        <w:t>1、基金合同、托管协议、招募说明书</w:t>
      </w:r>
    </w:p>
    <w:p w:rsidR="00526702" w14:paraId="35B7C6ED" w14:textId="77777777">
      <w:pPr>
        <w:spacing w:line="280" w:lineRule="exact"/>
        <w:ind w:firstLine="420"/>
        <w:rPr>
          <w:rFonts w:ascii="宋体" w:cs="宋体"/>
          <w:iCs/>
        </w:rPr>
      </w:pPr>
      <w:r>
        <w:rPr>
          <w:rFonts w:ascii="宋体" w:cs="宋体" w:hint="eastAsia"/>
          <w:iCs/>
          <w:highlight w:val="white"/>
        </w:rPr>
        <w:t>2、定期报告，包括基金季度报告、中期报告和年度报告</w:t>
      </w:r>
    </w:p>
    <w:p w:rsidR="00526702" w14:paraId="66575513" w14:textId="77777777">
      <w:pPr>
        <w:spacing w:line="280" w:lineRule="exact"/>
        <w:ind w:firstLine="420"/>
        <w:rPr>
          <w:rFonts w:ascii="宋体" w:cs="宋体"/>
          <w:iCs/>
        </w:rPr>
      </w:pPr>
      <w:r>
        <w:rPr>
          <w:rFonts w:ascii="宋体" w:cs="宋体" w:hint="eastAsia"/>
          <w:iCs/>
          <w:highlight w:val="white"/>
        </w:rPr>
        <w:t>3、基金份额净值</w:t>
      </w:r>
    </w:p>
    <w:p w:rsidR="00526702" w14:paraId="3F67B815" w14:textId="77777777">
      <w:pPr>
        <w:spacing w:line="280" w:lineRule="exact"/>
        <w:ind w:firstLine="420"/>
        <w:rPr>
          <w:rFonts w:ascii="宋体" w:cs="宋体"/>
          <w:iCs/>
        </w:rPr>
      </w:pPr>
      <w:r>
        <w:rPr>
          <w:rFonts w:ascii="宋体" w:cs="宋体" w:hint="eastAsia"/>
          <w:iCs/>
          <w:highlight w:val="white"/>
        </w:rPr>
        <w:t>4、基金销售机构及联系方式</w:t>
      </w:r>
    </w:p>
    <w:p w:rsidR="00526702" w14:paraId="090DD2FA" w14:textId="77777777">
      <w:pPr>
        <w:spacing w:line="280" w:lineRule="exact"/>
        <w:ind w:firstLine="420"/>
        <w:rPr>
          <w:rFonts w:ascii="宋体" w:cs="宋体"/>
          <w:iCs/>
        </w:rPr>
      </w:pPr>
      <w:r>
        <w:rPr>
          <w:rFonts w:ascii="宋体" w:cs="宋体" w:hint="eastAsia"/>
          <w:iCs/>
          <w:highlight w:val="white"/>
        </w:rPr>
        <w:t>5、其他重要资料</w:t>
      </w:r>
    </w:p>
    <w:sectPr>
      <w:footerReference w:type="default" r:id="rI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方正仿宋简体">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5751033"/>
      <w:placeholder>
        <w:docPart w:val="93ef63aacc4d41069c4b904940eefbe4"/>
      </w:placeholder>
      <w:docPartObj>
        <w:docPartGallery w:val="Page Numbers (Bottom of Page)"/>
        <w:docPartUnique/>
      </w:docPartObj>
    </w:sdtPr>
    <w:sdtContent>
      <w:sdt>
        <w:sdtPr>
          <w:id w:val="98381352"/>
          <w:placeholder>
            <w:docPart w:val="cae86e43b55244a68ac1de50cf6a4244"/>
          </w:placeholder>
          <w:docPartObj>
            <w:docPartGallery w:val="Page Numbers (Top of Page)"/>
            <w:docPartUnique/>
          </w:docPartObj>
        </w:sdtPr>
        <w:sdtContent>
          <w:p w:rsidR="00526702" w14:paraId="60BFF78B" w14:textId="77777777">
            <w:pPr>
              <w:pStyle w:val="Footer"/>
              <w:snapToGrid/>
              <w:jc w:val="center"/>
            </w:pPr>
            <w:r>
              <w:rPr>
                <w:highlight w:val="white"/>
                <w:lang w:val="zh-CN"/>
              </w:rPr>
              <w:t xml:space="preserve"> </w:t>
            </w:r>
            <w:r>
              <w:rPr>
                <w:b/>
                <w:bCs/>
                <w:sz w:val="24"/>
                <w:szCs w:val="24"/>
              </w:rPr>
              <w:fldChar w:fldCharType="begin"/>
            </w:r>
            <w:r>
              <w:rPr>
                <w:b/>
                <w:bCs/>
                <w:highlight w:val="white"/>
              </w:rPr>
              <w:instrText>PAGE</w:instrText>
            </w:r>
            <w:r>
              <w:rPr>
                <w:b/>
                <w:bCs/>
                <w:sz w:val="24"/>
                <w:szCs w:val="24"/>
              </w:rPr>
              <w:fldChar w:fldCharType="separate"/>
            </w:r>
            <w:r>
              <w:rPr>
                <w:b/>
                <w:bCs/>
                <w:highlight w:val="white"/>
              </w:rPr>
              <w:t>4</w:t>
            </w:r>
            <w:r>
              <w:rPr>
                <w:b/>
                <w:bCs/>
                <w:sz w:val="24"/>
                <w:szCs w:val="24"/>
              </w:rPr>
              <w:fldChar w:fldCharType="end"/>
            </w:r>
            <w:r>
              <w:rPr>
                <w:highlight w:val="white"/>
                <w:lang w:val="zh-CN"/>
              </w:rPr>
              <w:t xml:space="preserve"> / </w:t>
            </w:r>
            <w:r>
              <w:rPr>
                <w:b/>
                <w:bCs/>
                <w:sz w:val="24"/>
                <w:szCs w:val="24"/>
              </w:rPr>
              <w:fldChar w:fldCharType="begin"/>
            </w:r>
            <w:r>
              <w:rPr>
                <w:b/>
                <w:bCs/>
                <w:highlight w:val="white"/>
              </w:rPr>
              <w:instrText>NUMPAGES</w:instrText>
            </w:r>
            <w:r>
              <w:rPr>
                <w:b/>
                <w:bCs/>
                <w:sz w:val="24"/>
                <w:szCs w:val="24"/>
              </w:rPr>
              <w:fldChar w:fldCharType="separate"/>
            </w:r>
            <w:r>
              <w:rPr>
                <w:b/>
                <w:bCs/>
                <w:highlight w:val="white"/>
              </w:rPr>
              <w:t>4</w:t>
            </w:r>
            <w:r>
              <w:rPr>
                <w:b/>
                <w:bCs/>
                <w:sz w:val="24"/>
                <w:szCs w:val="24"/>
              </w:rPr>
              <w:fldChar w:fldCharType="end"/>
            </w:r>
          </w:p>
        </w:sdtContent>
      </w:sdt>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CF048E0"/>
    <w:multiLevelType w:val="hybridMultilevel"/>
    <w:tmpl w:val="00000000"/>
    <w:lvl w:ilvl="0">
      <w:start w:val="1"/>
      <w:numFmt w:val="chineseCounting"/>
      <w:suff w:val="nothing"/>
      <w:lvlText w:val="%1、"/>
      <w:lvlJc w:val="left"/>
      <w:rPr>
        <w:rFonts w:ascii="Calibri" w:eastAsia="宋体" w:hAnsi="Calibr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2E10CBD9"/>
    <w:multiLevelType w:val="hybridMultilevel"/>
    <w:tmpl w:val="00000000"/>
    <w:lvl w:ilvl="0">
      <w:start w:val="1"/>
      <w:numFmt w:val="chineseCounting"/>
      <w:lvlText w:val="（%1）"/>
      <w:lvlJc w:val="left"/>
      <w:pPr>
        <w:ind w:left="765" w:hanging="7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52084883">
    <w:abstractNumId w:val="0"/>
  </w:num>
  <w:num w:numId="2" w16cid:durableId="134436206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姚栋梁">
    <w15:presenceInfo w15:providerId="None" w15:userId="姚栋梁"/>
  </w15:person>
  <w15:person w15:author="卢春玲">
    <w15:presenceInfo w15:providerId="None" w15:userId="卢春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2"/>
    <w:rsid w:val="000F7EC7"/>
    <w:rsid w:val="00174CB5"/>
    <w:rsid w:val="001B269A"/>
    <w:rsid w:val="001C1000"/>
    <w:rsid w:val="00387420"/>
    <w:rsid w:val="003E2939"/>
    <w:rsid w:val="00526702"/>
    <w:rsid w:val="00527AC3"/>
    <w:rsid w:val="00552990"/>
    <w:rsid w:val="007E56AC"/>
    <w:rsid w:val="009712A6"/>
    <w:rsid w:val="009862A9"/>
    <w:rsid w:val="00990874"/>
    <w:rsid w:val="00A70CDE"/>
    <w:rsid w:val="00D72B0F"/>
    <w:rsid w:val="00FD11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3F1202"/>
  <w15:docId w15:val="{53870ADB-BED4-4061-99D2-DE27B0E94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Calibri"/>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pPr>
      <w:keepNext/>
      <w:keepLines/>
      <w:spacing w:before="340" w:after="330" w:line="578" w:lineRule="auto"/>
      <w:outlineLvl w:val="0"/>
    </w:pPr>
    <w:rPr>
      <w:b/>
      <w:bCs/>
      <w:sz w:val="44"/>
      <w:szCs w:val="44"/>
    </w:rPr>
  </w:style>
  <w:style w:type="paragraph" w:styleId="Heading2">
    <w:name w:val="heading 2"/>
    <w:basedOn w:val="Normal"/>
    <w:next w:val="Normal"/>
    <w:link w:val="2"/>
    <w:uiPriority w:val="9"/>
    <w:unhideWhenUsed/>
    <w:qFormat/>
    <w:pPr>
      <w:keepNext/>
      <w:keepLines/>
      <w:spacing w:before="360" w:after="200"/>
      <w:outlineLvl w:val="1"/>
    </w:pPr>
    <w:rPr>
      <w:rFonts w:ascii="Arial" w:hAnsi="Arial" w:cs="Arial"/>
      <w:sz w:val="34"/>
    </w:rPr>
  </w:style>
  <w:style w:type="paragraph" w:styleId="Heading3">
    <w:name w:val="heading 3"/>
    <w:basedOn w:val="Normal"/>
    <w:next w:val="Normal"/>
    <w:link w:val="3"/>
    <w:uiPriority w:val="9"/>
    <w:unhideWhenUsed/>
    <w:qFormat/>
    <w:pPr>
      <w:keepNext/>
      <w:keepLines/>
      <w:spacing w:before="320" w:after="200"/>
      <w:outlineLvl w:val="2"/>
    </w:pPr>
    <w:rPr>
      <w:rFonts w:ascii="Arial" w:hAnsi="Arial" w:cs="Arial"/>
      <w:sz w:val="30"/>
      <w:szCs w:val="30"/>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szCs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szCs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szCs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EndnoteText">
    <w:name w:val="endnote text"/>
    <w:basedOn w:val="Normal"/>
    <w:link w:val="a"/>
    <w:uiPriority w:val="99"/>
    <w:semiHidden/>
    <w:unhideWhenUsed/>
    <w:rPr>
      <w:sz w:val="20"/>
    </w:rPr>
  </w:style>
  <w:style w:type="character" w:customStyle="1" w:styleId="a">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style>
  <w:style w:type="character" w:customStyle="1" w:styleId="2">
    <w:name w:val="标题 2 字符"/>
    <w:basedOn w:val="DefaultParagraphFont"/>
    <w:link w:val="Heading2"/>
    <w:uiPriority w:val="9"/>
    <w:rPr>
      <w:rFonts w:ascii="Arial" w:hAnsi="Arial" w:cs="Arial"/>
      <w:sz w:val="34"/>
    </w:rPr>
  </w:style>
  <w:style w:type="character" w:customStyle="1" w:styleId="3">
    <w:name w:val="标题 3 字符"/>
    <w:basedOn w:val="DefaultParagraphFont"/>
    <w:link w:val="Heading3"/>
    <w:uiPriority w:val="9"/>
    <w:rPr>
      <w:rFonts w:ascii="Arial" w:hAnsi="Arial" w:cs="Arial"/>
      <w:sz w:val="30"/>
      <w:szCs w:val="30"/>
    </w:rPr>
  </w:style>
  <w:style w:type="character" w:customStyle="1" w:styleId="4">
    <w:name w:val="标题 4 字符"/>
    <w:basedOn w:val="DefaultParagraphFont"/>
    <w:link w:val="Heading4"/>
    <w:uiPriority w:val="9"/>
    <w:rPr>
      <w:rFonts w:ascii="Arial" w:hAnsi="Arial" w:cs="Arial"/>
      <w:b/>
      <w:bCs/>
      <w:sz w:val="26"/>
      <w:szCs w:val="26"/>
    </w:rPr>
  </w:style>
  <w:style w:type="character" w:customStyle="1" w:styleId="5">
    <w:name w:val="标题 5 字符"/>
    <w:basedOn w:val="DefaultParagraphFont"/>
    <w:link w:val="Heading5"/>
    <w:uiPriority w:val="9"/>
    <w:rPr>
      <w:rFonts w:ascii="Arial" w:hAnsi="Arial" w:cs="Arial"/>
      <w:b/>
      <w:bCs/>
      <w:sz w:val="24"/>
      <w:szCs w:val="24"/>
    </w:rPr>
  </w:style>
  <w:style w:type="character" w:customStyle="1" w:styleId="6">
    <w:name w:val="标题 6 字符"/>
    <w:basedOn w:val="DefaultParagraphFont"/>
    <w:link w:val="Heading6"/>
    <w:uiPriority w:val="9"/>
    <w:rPr>
      <w:rFonts w:ascii="Arial" w:hAnsi="Arial" w:cs="Arial"/>
      <w:b/>
      <w:bCs/>
      <w:sz w:val="22"/>
      <w:szCs w:val="22"/>
    </w:rPr>
  </w:style>
  <w:style w:type="character" w:customStyle="1" w:styleId="7">
    <w:name w:val="标题 7 字符"/>
    <w:basedOn w:val="DefaultParagraphFont"/>
    <w:link w:val="Heading7"/>
    <w:uiPriority w:val="9"/>
    <w:rPr>
      <w:rFonts w:ascii="Arial" w:hAnsi="Arial" w:cs="Arial"/>
      <w:b/>
      <w:bCs/>
      <w:i/>
      <w:iCs/>
      <w:sz w:val="22"/>
      <w:szCs w:val="22"/>
    </w:rPr>
  </w:style>
  <w:style w:type="character" w:customStyle="1" w:styleId="8">
    <w:name w:val="标题 8 字符"/>
    <w:basedOn w:val="DefaultParagraphFont"/>
    <w:link w:val="Heading8"/>
    <w:uiPriority w:val="9"/>
    <w:rPr>
      <w:rFonts w:ascii="Arial" w:hAnsi="Arial" w:cs="Arial"/>
      <w:i/>
      <w:iCs/>
      <w:sz w:val="22"/>
      <w:szCs w:val="22"/>
    </w:rPr>
  </w:style>
  <w:style w:type="character" w:customStyle="1" w:styleId="9">
    <w:name w:val="标题 9 字符"/>
    <w:basedOn w:val="DefaultParagraphFont"/>
    <w:link w:val="Heading9"/>
    <w:uiPriority w:val="9"/>
    <w:rPr>
      <w:rFonts w:ascii="Arial" w:hAnsi="Arial" w:cs="Arial"/>
      <w:i/>
      <w:iCs/>
      <w:sz w:val="21"/>
      <w:szCs w:val="21"/>
    </w:rPr>
  </w:style>
  <w:style w:type="paragraph" w:styleId="NoSpacing">
    <w:name w:val="No Spacing"/>
    <w:uiPriority w:val="1"/>
    <w:qFormat/>
  </w:style>
  <w:style w:type="paragraph" w:styleId="Title">
    <w:name w:val="Title"/>
    <w:basedOn w:val="Normal"/>
    <w:next w:val="Normal"/>
    <w:link w:val="a0"/>
    <w:uiPriority w:val="10"/>
    <w:qFormat/>
    <w:pPr>
      <w:spacing w:before="300" w:after="200"/>
      <w:contextualSpacing/>
    </w:pPr>
    <w:rPr>
      <w:sz w:val="48"/>
      <w:szCs w:val="48"/>
    </w:rPr>
  </w:style>
  <w:style w:type="character" w:customStyle="1" w:styleId="a0">
    <w:name w:val="标题 字符"/>
    <w:basedOn w:val="DefaultParagraphFont"/>
    <w:link w:val="Title"/>
    <w:uiPriority w:val="10"/>
    <w:rPr>
      <w:sz w:val="48"/>
      <w:szCs w:val="48"/>
    </w:rPr>
  </w:style>
  <w:style w:type="paragraph" w:styleId="Subtitle">
    <w:name w:val="Subtitle"/>
    <w:basedOn w:val="Normal"/>
    <w:next w:val="Normal"/>
    <w:link w:val="a1"/>
    <w:uiPriority w:val="11"/>
    <w:qFormat/>
    <w:pPr>
      <w:spacing w:before="200" w:after="200"/>
    </w:pPr>
    <w:rPr>
      <w:sz w:val="24"/>
      <w:szCs w:val="24"/>
    </w:rPr>
  </w:style>
  <w:style w:type="character" w:customStyle="1" w:styleId="a1">
    <w:name w:val="副标题 字符"/>
    <w:basedOn w:val="DefaultParagraphFont"/>
    <w:link w:val="Subtitle"/>
    <w:uiPriority w:val="11"/>
    <w:rPr>
      <w:sz w:val="24"/>
      <w:szCs w:val="24"/>
    </w:rPr>
  </w:style>
  <w:style w:type="paragraph" w:styleId="Quote">
    <w:name w:val="Quote"/>
    <w:basedOn w:val="Normal"/>
    <w:next w:val="Normal"/>
    <w:link w:val="a2"/>
    <w:uiPriority w:val="29"/>
    <w:qFormat/>
    <w:pPr>
      <w:ind w:left="720" w:right="720"/>
    </w:pPr>
    <w:rPr>
      <w:i/>
    </w:rPr>
  </w:style>
  <w:style w:type="character" w:customStyle="1" w:styleId="a2">
    <w:name w:val="引用 字符"/>
    <w:link w:val="Quote"/>
    <w:uiPriority w:val="29"/>
    <w:rPr>
      <w:i/>
    </w:rPr>
  </w:style>
  <w:style w:type="paragraph" w:styleId="IntenseQuote">
    <w:name w:val="Intense Quote"/>
    <w:basedOn w:val="Normal"/>
    <w:next w:val="Normal"/>
    <w:link w:val="a3"/>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3">
    <w:name w:val="明显引用 字符"/>
    <w:link w:val="IntenseQuote"/>
    <w:uiPriority w:val="30"/>
    <w:rPr>
      <w:i/>
    </w:r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ListParagraph">
    <w:name w:val="List Paragraph"/>
    <w:basedOn w:val="Normal"/>
    <w:uiPriority w:val="34"/>
    <w:qFormat/>
    <w:pPr>
      <w:ind w:firstLine="420"/>
    </w:p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paragraph" w:styleId="Header">
    <w:name w:val="header"/>
    <w:basedOn w:val="Normal"/>
    <w:link w:val="a4"/>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DefaultParagraphFont"/>
    <w:link w:val="Header"/>
    <w:uiPriority w:val="99"/>
    <w:rPr>
      <w:sz w:val="18"/>
      <w:szCs w:val="18"/>
    </w:rPr>
  </w:style>
  <w:style w:type="paragraph" w:styleId="Footer">
    <w:name w:val="footer"/>
    <w:basedOn w:val="Normal"/>
    <w:link w:val="a5"/>
    <w:uiPriority w:val="99"/>
    <w:unhideWhenUsed/>
    <w:pPr>
      <w:tabs>
        <w:tab w:val="center" w:pos="4153"/>
        <w:tab w:val="right" w:pos="8306"/>
      </w:tabs>
      <w:snapToGrid w:val="0"/>
      <w:jc w:val="left"/>
    </w:pPr>
    <w:rPr>
      <w:sz w:val="18"/>
      <w:szCs w:val="18"/>
    </w:rPr>
  </w:style>
  <w:style w:type="character" w:customStyle="1" w:styleId="a5">
    <w:name w:val="页脚 字符"/>
    <w:basedOn w:val="DefaultParagraphFont"/>
    <w:link w:val="Footer"/>
    <w:uiPriority w:val="99"/>
    <w:rPr>
      <w:sz w:val="18"/>
      <w:szCs w:val="18"/>
    </w:rPr>
  </w:style>
  <w:style w:type="paragraph" w:styleId="BalloonText">
    <w:name w:val="Balloon Text"/>
    <w:basedOn w:val="Normal"/>
    <w:link w:val="a6"/>
    <w:uiPriority w:val="99"/>
    <w:semiHidden/>
    <w:unhideWhenUsed/>
    <w:rPr>
      <w:sz w:val="18"/>
      <w:szCs w:val="18"/>
    </w:rPr>
  </w:style>
  <w:style w:type="character" w:customStyle="1" w:styleId="a6">
    <w:name w:val="批注框文本 字符"/>
    <w:basedOn w:val="DefaultParagraphFont"/>
    <w:link w:val="BalloonText"/>
    <w:uiPriority w:val="99"/>
    <w:semiHidden/>
    <w:rPr>
      <w:sz w:val="18"/>
      <w:szCs w:val="18"/>
    </w:rPr>
  </w:style>
  <w:style w:type="character" w:styleId="PlaceholderText">
    <w:name w:val="Placeholder Text"/>
    <w:basedOn w:val="DefaultParagraphFont"/>
    <w:uiPriority w:val="99"/>
    <w:semiHidden/>
    <w:rPr>
      <w:color w:val="808080"/>
    </w:rPr>
  </w:style>
  <w:style w:type="character" w:styleId="FootnoteReference">
    <w:name w:val="footnote reference"/>
    <w:unhideWhenUsed/>
    <w:qFormat/>
    <w:rPr>
      <w:rFonts w:ascii="Times New Roman" w:eastAsia="宋体" w:hAnsi="Times New Roman" w:cs="Times New Roman"/>
      <w:vertAlign w:val="superscript"/>
    </w:rPr>
  </w:style>
  <w:style w:type="paragraph" w:styleId="FootnoteText">
    <w:name w:val="footnote text"/>
    <w:basedOn w:val="Normal"/>
    <w:link w:val="a7"/>
    <w:unhideWhenUsed/>
    <w:qFormat/>
    <w:pPr>
      <w:snapToGrid w:val="0"/>
      <w:jc w:val="left"/>
    </w:pPr>
    <w:rPr>
      <w:rFonts w:cs="Times New Roman"/>
      <w:sz w:val="18"/>
      <w:szCs w:val="24"/>
    </w:rPr>
  </w:style>
  <w:style w:type="character" w:customStyle="1" w:styleId="a7">
    <w:name w:val="脚注文本 字符"/>
    <w:basedOn w:val="DefaultParagraphFont"/>
    <w:link w:val="FootnoteText"/>
    <w:qFormat/>
    <w:rPr>
      <w:rFonts w:ascii="Calibri" w:eastAsia="宋体" w:hAnsi="Calibri" w:cs="Times New Roman"/>
      <w:sz w:val="18"/>
      <w:szCs w:val="24"/>
    </w:rPr>
  </w:style>
  <w:style w:type="character" w:customStyle="1" w:styleId="1">
    <w:name w:val="标题 1 字符"/>
    <w:basedOn w:val="DefaultParagraphFont"/>
    <w:link w:val="Heading1"/>
    <w:uiPriority w:val="9"/>
    <w:rPr>
      <w:b/>
      <w:bCs/>
      <w:sz w:val="44"/>
      <w:szCs w:val="44"/>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21"/>
      <w:szCs w:val="21"/>
    </w:rPr>
  </w:style>
  <w:style w:type="paragraph" w:styleId="CommentText">
    <w:name w:val="annotation text"/>
    <w:basedOn w:val="Normal"/>
    <w:link w:val="a8"/>
    <w:uiPriority w:val="99"/>
    <w:semiHidden/>
    <w:unhideWhenUsed/>
    <w:pPr>
      <w:jc w:val="left"/>
    </w:pPr>
  </w:style>
  <w:style w:type="character" w:customStyle="1" w:styleId="a8">
    <w:name w:val="批注文字 字符"/>
    <w:basedOn w:val="DefaultParagraphFont"/>
    <w:link w:val="CommentText"/>
    <w:uiPriority w:val="99"/>
    <w:semiHidden/>
  </w:style>
  <w:style w:type="paragraph" w:styleId="CommentSubject">
    <w:name w:val="annotation subject"/>
    <w:basedOn w:val="CommentText"/>
    <w:next w:val="CommentText"/>
    <w:link w:val="a9"/>
    <w:uiPriority w:val="99"/>
    <w:semiHidden/>
    <w:unhideWhenUsed/>
    <w:rPr>
      <w:b/>
      <w:bCs/>
    </w:rPr>
  </w:style>
  <w:style w:type="character" w:customStyle="1" w:styleId="a9">
    <w:name w:val="批注主题 字符"/>
    <w:basedOn w:val="a8"/>
    <w:link w:val="CommentSubject"/>
    <w:uiPriority w:val="99"/>
    <w:semiHidden/>
    <w:rPr>
      <w:b/>
      <w:bCs/>
    </w:rPr>
  </w:style>
  <w:style w:type="paragraph" w:styleId="DocumentMap">
    <w:name w:val="Document Map"/>
    <w:basedOn w:val="Normal"/>
    <w:link w:val="a10"/>
    <w:uiPriority w:val="99"/>
    <w:semiHidden/>
    <w:unhideWhenUsed/>
    <w:rPr>
      <w:rFonts w:ascii="宋体"/>
      <w:sz w:val="18"/>
      <w:szCs w:val="18"/>
    </w:rPr>
  </w:style>
  <w:style w:type="character" w:customStyle="1" w:styleId="a10">
    <w:name w:val="文档结构图 字符"/>
    <w:basedOn w:val="DefaultParagraphFont"/>
    <w:link w:val="DocumentMap"/>
    <w:uiPriority w:val="99"/>
    <w:semiHidden/>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3ef63aacc4d41069c4b904940eefbe4"/>
        <w:category>
          <w:name w:val="(Empty Category)"/>
          <w:gallery w:val="any"/>
        </w:category>
        <w:behaviors>
          <w:behavior w:val="content"/>
        </w:behaviors>
        <w:guid w:val="{3BD2795E-D84D-43C9-BE85-065950746EB6}"/>
      </w:docPartPr>
      <w:docPartBody>
        <w:p w:rsidR="00D72B0F">
          <w:r>
            <w:t>请在此放置您的文字</w:t>
          </w:r>
        </w:p>
      </w:docPartBody>
    </w:docPart>
    <w:docPart>
      <w:docPartPr>
        <w:name w:val="cae86e43b55244a68ac1de50cf6a4244"/>
        <w:category>
          <w:name w:val="(Empty Category)"/>
          <w:gallery w:val="any"/>
        </w:category>
        <w:behaviors>
          <w:behavior w:val="content"/>
        </w:behaviors>
        <w:guid w:val="{7E14FFDB-199F-42BC-88CA-1363B89B0CF6}"/>
      </w:docPartPr>
      <w:docPartBody>
        <w:p w:rsidR="00D72B0F">
          <w:r>
            <w:t>请在此放置您的文字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方正仿宋简体">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compressPunctuation"/>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B0F"/>
    <w:rsid w:val="00174CB5"/>
    <w:rsid w:val="001C1000"/>
    <w:rsid w:val="007E56AC"/>
    <w:rsid w:val="007F2AC3"/>
    <w:rsid w:val="0081661F"/>
    <w:rsid w:val="00AB4D10"/>
    <w:rsid w:val="00D72B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hAnsi="Times New Roman" w:asci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1"/>
    <w:uiPriority w:val="9"/>
    <w:qFormat/>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2"/>
    <w:uiPriority w:val="9"/>
    <w:unhideWhenUsed/>
    <w:qFormat/>
    <w:pPr>
      <w:keepNext/>
      <w:keepLines/>
      <w:spacing w:before="360" w:after="200"/>
      <w:outlineLvl w:val="1"/>
    </w:pPr>
    <w:rPr>
      <w:rFonts w:ascii="Arial" w:eastAsia="Arial" w:hAnsi="Arial" w:cs="Arial"/>
      <w:sz w:val="34"/>
    </w:rPr>
  </w:style>
  <w:style w:type="paragraph" w:styleId="Heading3">
    <w:name w:val="heading 3"/>
    <w:basedOn w:val="Normal"/>
    <w:next w:val="Normal"/>
    <w:link w:val="3"/>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4"/>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7"/>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8"/>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9"/>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Pr>
      <w:rFonts w:ascii="Arial" w:eastAsia="Arial" w:hAnsi="Arial" w:cs="Arial"/>
      <w:sz w:val="40"/>
      <w:szCs w:val="40"/>
    </w:rPr>
  </w:style>
  <w:style w:type="character" w:customStyle="1" w:styleId="2">
    <w:name w:val="标题 2 字符"/>
    <w:basedOn w:val="DefaultParagraphFont"/>
    <w:link w:val="Heading2"/>
    <w:uiPriority w:val="9"/>
    <w:rPr>
      <w:rFonts w:ascii="Arial" w:eastAsia="Arial" w:hAnsi="Arial" w:cs="Arial"/>
      <w:sz w:val="34"/>
    </w:rPr>
  </w:style>
  <w:style w:type="character" w:customStyle="1" w:styleId="3">
    <w:name w:val="标题 3 字符"/>
    <w:basedOn w:val="DefaultParagraphFont"/>
    <w:link w:val="Heading3"/>
    <w:uiPriority w:val="9"/>
    <w:rPr>
      <w:rFonts w:ascii="Arial" w:eastAsia="Arial" w:hAnsi="Arial" w:cs="Arial"/>
      <w:sz w:val="30"/>
      <w:szCs w:val="30"/>
    </w:rPr>
  </w:style>
  <w:style w:type="character" w:customStyle="1" w:styleId="4">
    <w:name w:val="标题 4 字符"/>
    <w:basedOn w:val="DefaultParagraphFont"/>
    <w:link w:val="Heading4"/>
    <w:uiPriority w:val="9"/>
    <w:rPr>
      <w:rFonts w:ascii="Arial" w:eastAsia="Arial" w:hAnsi="Arial" w:cs="Arial"/>
      <w:b/>
      <w:bCs/>
      <w:sz w:val="26"/>
      <w:szCs w:val="26"/>
    </w:rPr>
  </w:style>
  <w:style w:type="character" w:customStyle="1" w:styleId="5">
    <w:name w:val="标题 5 字符"/>
    <w:basedOn w:val="DefaultParagraphFont"/>
    <w:link w:val="Heading5"/>
    <w:uiPriority w:val="9"/>
    <w:rPr>
      <w:rFonts w:ascii="Arial" w:eastAsia="Arial" w:hAnsi="Arial" w:cs="Arial"/>
      <w:b/>
      <w:bCs/>
      <w:sz w:val="24"/>
      <w:szCs w:val="24"/>
    </w:rPr>
  </w:style>
  <w:style w:type="character" w:customStyle="1" w:styleId="6">
    <w:name w:val="标题 6 字符"/>
    <w:basedOn w:val="DefaultParagraphFont"/>
    <w:link w:val="Heading6"/>
    <w:uiPriority w:val="9"/>
    <w:rPr>
      <w:rFonts w:ascii="Arial" w:eastAsia="Arial" w:hAnsi="Arial" w:cs="Arial"/>
      <w:b/>
      <w:bCs/>
      <w:sz w:val="22"/>
      <w:szCs w:val="22"/>
    </w:rPr>
  </w:style>
  <w:style w:type="character" w:customStyle="1" w:styleId="7">
    <w:name w:val="标题 7 字符"/>
    <w:basedOn w:val="DefaultParagraphFont"/>
    <w:link w:val="Heading7"/>
    <w:uiPriority w:val="9"/>
    <w:rPr>
      <w:rFonts w:ascii="Arial" w:eastAsia="Arial" w:hAnsi="Arial" w:cs="Arial"/>
      <w:b/>
      <w:bCs/>
      <w:i/>
      <w:iCs/>
      <w:sz w:val="22"/>
      <w:szCs w:val="22"/>
    </w:rPr>
  </w:style>
  <w:style w:type="character" w:customStyle="1" w:styleId="8">
    <w:name w:val="标题 8 字符"/>
    <w:basedOn w:val="DefaultParagraphFont"/>
    <w:link w:val="Heading8"/>
    <w:uiPriority w:val="9"/>
    <w:rPr>
      <w:rFonts w:ascii="Arial" w:eastAsia="Arial" w:hAnsi="Arial" w:cs="Arial"/>
      <w:i/>
      <w:iCs/>
      <w:sz w:val="22"/>
      <w:szCs w:val="22"/>
    </w:rPr>
  </w:style>
  <w:style w:type="character" w:customStyle="1" w:styleId="9">
    <w:name w:val="标题 9 字符"/>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szCs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rPr>
      <w:i/>
    </w:rPr>
  </w:style>
  <w:style w:type="paragraph" w:styleId="Header">
    <w:name w:val="header"/>
    <w:basedOn w:val="Normal"/>
    <w:link w:val="a3"/>
    <w:uiPriority w:val="99"/>
    <w:unhideWhenUsed/>
    <w:pPr>
      <w:tabs>
        <w:tab w:val="center" w:pos="7143"/>
        <w:tab w:val="right" w:pos="14287"/>
      </w:tabs>
    </w:pPr>
  </w:style>
  <w:style w:type="character" w:customStyle="1" w:styleId="a3">
    <w:name w:val="页眉 字符"/>
    <w:basedOn w:val="DefaultParagraphFont"/>
    <w:link w:val="Header"/>
    <w:uiPriority w:val="99"/>
  </w:style>
  <w:style w:type="paragraph" w:styleId="Footer">
    <w:name w:val="footer"/>
    <w:basedOn w:val="Normal"/>
    <w:link w:val="a4"/>
    <w:uiPriority w:val="99"/>
    <w:unhideWhenUsed/>
    <w:pPr>
      <w:tabs>
        <w:tab w:val="center" w:pos="7143"/>
        <w:tab w:val="right" w:pos="14287"/>
      </w:tabs>
    </w:pPr>
  </w:style>
  <w:style w:type="paragraph" w:styleId="Caption">
    <w:name w:val="caption"/>
    <w:basedOn w:val="Normal"/>
    <w:next w:val="Normal"/>
    <w:uiPriority w:val="35"/>
    <w:semiHidden/>
    <w:unhideWhenUsed/>
    <w:qFormat/>
    <w:pPr>
      <w:spacing w:line="276" w:lineRule="auto"/>
    </w:pPr>
    <w:rPr>
      <w:b/>
      <w:bCs/>
      <w:color w:val="156082" w:themeColor="accent1"/>
      <w:sz w:val="18"/>
      <w:szCs w:val="18"/>
    </w:rPr>
  </w:style>
  <w:style w:type="character" w:customStyle="1" w:styleId="a4">
    <w:name w:val="页脚 字符"/>
    <w:link w:val="Foote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FFFFF" w:fill="F2F2F2" w:themeFill="text1" w:themeFillTint="0D"/>
      </w:tcPr>
    </w:tblStylePr>
    <w:tblStylePr w:type="band2Vert">
      <w:pPr>
        <w:snapToGrid/>
      </w:pPr>
    </w:tblStylePr>
    <w:tblStylePr w:type="band1Horz">
      <w:pPr>
        <w:snapToGrid/>
      </w:p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pPr>
        <w:snapToGrid/>
      </w:pPr>
      <w:rPr>
        <w:rFonts w:ascii="Arial" w:hAnsi="Arial"/>
        <w:b/>
        <w:color w:val="FFFFFF"/>
        <w:sz w:val="22"/>
      </w:rPr>
      <w:tblPr/>
      <w:tcPr>
        <w:shd w:val="clear" w:color="FFFFFF"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FFFFFF" w:fill="000000" w:themeFill="text1"/>
      </w:tcPr>
    </w:tblStylePr>
    <w:tblStylePr w:type="firstCol">
      <w:pPr>
        <w:snapToGrid/>
      </w:pPr>
      <w:rPr>
        <w:rFonts w:ascii="Arial" w:hAnsi="Arial"/>
        <w:b/>
        <w:color w:val="FFFFFF"/>
        <w:sz w:val="22"/>
      </w:rPr>
      <w:tblPr/>
      <w:tcPr>
        <w:shd w:val="clear" w:color="FFFFFF" w:fill="000000" w:themeFill="text1"/>
      </w:tcPr>
    </w:tblStylePr>
    <w:tblStylePr w:type="lastCol">
      <w:pPr>
        <w:snapToGrid/>
      </w:pPr>
      <w:rPr>
        <w:rFonts w:ascii="Arial" w:hAnsi="Arial"/>
        <w:b/>
        <w:color w:val="FFFFFF"/>
        <w:sz w:val="22"/>
      </w:rPr>
      <w:tblPr/>
      <w:tcPr>
        <w:shd w:val="clear" w:color="FFFFFF" w:fill="000000" w:themeFill="text1"/>
      </w:tcPr>
    </w:tblStylePr>
    <w:tblStylePr w:type="band1Vert">
      <w:pPr>
        <w:snapToGrid/>
      </w:pPr>
      <w:tblPr/>
      <w:tcPr>
        <w:shd w:val="clear" w:color="FFFFFF" w:fill="8A8A8A" w:themeFill="text1" w:themeFillTint="75"/>
      </w:tcPr>
    </w:tblStylePr>
    <w:tblStylePr w:type="band2Vert">
      <w:pPr>
        <w:snapToGrid/>
      </w:pPr>
    </w:tblStylePr>
    <w:tblStylePr w:type="band1Horz">
      <w:pPr>
        <w:snapToGrid/>
      </w:pPr>
      <w:tblPr/>
      <w:tcPr>
        <w:shd w:val="clear" w:color="FFFFFF"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FFFFFF"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pPr>
        <w:snapToGrid/>
      </w:pPr>
      <w:tblPr/>
      <w:tcPr>
        <w:shd w:val="clear" w:color="FFFFFF"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FFFFF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FFFFF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467886" w:themeColor="hyperlink"/>
      <w:u w:val="single"/>
    </w:rPr>
  </w:style>
  <w:style w:type="paragraph" w:styleId="FootnoteText">
    <w:name w:val="footnote text"/>
    <w:basedOn w:val="Normal"/>
    <w:link w:val="a5"/>
    <w:uiPriority w:val="99"/>
    <w:semiHidden/>
    <w:unhideWhenUsed/>
    <w:pPr>
      <w:spacing w:after="40"/>
    </w:pPr>
    <w:rPr>
      <w:sz w:val="18"/>
    </w:rPr>
  </w:style>
  <w:style w:type="character" w:customStyle="1" w:styleId="a5">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6"/>
    <w:uiPriority w:val="99"/>
    <w:semiHidden/>
    <w:unhideWhenUsed/>
    <w:rPr>
      <w:sz w:val="20"/>
    </w:rPr>
  </w:style>
  <w:style w:type="character" w:customStyle="1" w:styleId="a6">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