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924A1" w14:textId="77777777" w:rsidR="00C521E2" w:rsidRDefault="00C521E2">
      <w:pPr>
        <w:adjustRightInd w:val="0"/>
        <w:snapToGrid w:val="0"/>
        <w:spacing w:line="360" w:lineRule="auto"/>
        <w:jc w:val="center"/>
        <w:rPr>
          <w:rFonts w:ascii="宋体" w:eastAsia="宋体" w:hAnsi="宋体" w:cs="Arial"/>
          <w:sz w:val="24"/>
          <w:szCs w:val="24"/>
        </w:rPr>
      </w:pPr>
    </w:p>
    <w:p w14:paraId="3C8EFF91" w14:textId="77777777" w:rsidR="00C521E2" w:rsidRDefault="00C521E2">
      <w:pPr>
        <w:adjustRightInd w:val="0"/>
        <w:snapToGrid w:val="0"/>
        <w:spacing w:line="360" w:lineRule="auto"/>
        <w:jc w:val="center"/>
        <w:rPr>
          <w:rFonts w:ascii="宋体" w:eastAsia="宋体" w:hAnsi="宋体" w:cs="Arial"/>
          <w:sz w:val="24"/>
          <w:szCs w:val="24"/>
        </w:rPr>
      </w:pPr>
    </w:p>
    <w:p w14:paraId="54EF37AA" w14:textId="77777777" w:rsidR="00C521E2" w:rsidRDefault="00C521E2">
      <w:pPr>
        <w:adjustRightInd w:val="0"/>
        <w:snapToGrid w:val="0"/>
        <w:spacing w:line="360" w:lineRule="auto"/>
        <w:jc w:val="center"/>
        <w:rPr>
          <w:rFonts w:ascii="宋体" w:eastAsia="宋体" w:hAnsi="宋体" w:cs="Arial"/>
          <w:sz w:val="24"/>
          <w:szCs w:val="24"/>
        </w:rPr>
      </w:pPr>
    </w:p>
    <w:p w14:paraId="7837545D" w14:textId="77777777" w:rsidR="00C521E2" w:rsidRDefault="00C521E2">
      <w:pPr>
        <w:adjustRightInd w:val="0"/>
        <w:snapToGrid w:val="0"/>
        <w:spacing w:line="360" w:lineRule="auto"/>
        <w:jc w:val="center"/>
        <w:rPr>
          <w:rFonts w:ascii="宋体" w:eastAsia="宋体" w:hAnsi="宋体" w:cs="Arial"/>
          <w:sz w:val="24"/>
          <w:szCs w:val="24"/>
        </w:rPr>
      </w:pPr>
    </w:p>
    <w:p w14:paraId="7DAC6B4B" w14:textId="77777777" w:rsidR="00C521E2" w:rsidRDefault="00C521E2">
      <w:pPr>
        <w:adjustRightInd w:val="0"/>
        <w:snapToGrid w:val="0"/>
        <w:spacing w:line="360" w:lineRule="auto"/>
        <w:jc w:val="center"/>
        <w:rPr>
          <w:rFonts w:ascii="宋体" w:eastAsia="宋体" w:hAnsi="宋体" w:cs="Arial"/>
          <w:sz w:val="24"/>
          <w:szCs w:val="24"/>
        </w:rPr>
      </w:pPr>
    </w:p>
    <w:p w14:paraId="5A9D11A8" w14:textId="77777777" w:rsidR="00C521E2" w:rsidRDefault="00C521E2">
      <w:pPr>
        <w:adjustRightInd w:val="0"/>
        <w:snapToGrid w:val="0"/>
        <w:spacing w:line="360" w:lineRule="auto"/>
        <w:jc w:val="center"/>
        <w:rPr>
          <w:rFonts w:ascii="宋体" w:eastAsia="宋体" w:hAnsi="宋体" w:cs="Arial"/>
          <w:sz w:val="24"/>
          <w:szCs w:val="24"/>
        </w:rPr>
      </w:pPr>
      <w:bookmarkStart w:id="0" w:name="_GoBack"/>
      <w:bookmarkEnd w:id="0"/>
    </w:p>
    <w:p w14:paraId="56BB4C25" w14:textId="77777777" w:rsidR="00C521E2" w:rsidRDefault="00C521E2">
      <w:pPr>
        <w:adjustRightInd w:val="0"/>
        <w:snapToGrid w:val="0"/>
        <w:spacing w:line="360" w:lineRule="auto"/>
        <w:rPr>
          <w:rFonts w:ascii="宋体" w:eastAsia="宋体" w:hAnsi="宋体" w:cs="Arial"/>
          <w:sz w:val="24"/>
          <w:szCs w:val="24"/>
        </w:rPr>
      </w:pPr>
    </w:p>
    <w:p w14:paraId="6A6519C8" w14:textId="77777777" w:rsidR="00C521E2" w:rsidRDefault="00C521E2">
      <w:pPr>
        <w:adjustRightInd w:val="0"/>
        <w:snapToGrid w:val="0"/>
        <w:spacing w:line="360" w:lineRule="auto"/>
        <w:jc w:val="center"/>
        <w:rPr>
          <w:rFonts w:ascii="宋体" w:eastAsia="宋体" w:hAnsi="宋体" w:cs="Arial"/>
          <w:sz w:val="24"/>
          <w:szCs w:val="24"/>
        </w:rPr>
      </w:pPr>
    </w:p>
    <w:p w14:paraId="439AEE8A" w14:textId="77777777" w:rsidR="00C521E2" w:rsidRDefault="00C521E2">
      <w:pPr>
        <w:adjustRightInd w:val="0"/>
        <w:snapToGrid w:val="0"/>
        <w:spacing w:line="360" w:lineRule="auto"/>
        <w:jc w:val="center"/>
        <w:rPr>
          <w:rFonts w:ascii="宋体" w:eastAsia="宋体" w:hAnsi="宋体" w:cs="Arial"/>
          <w:sz w:val="24"/>
          <w:szCs w:val="24"/>
        </w:rPr>
      </w:pPr>
    </w:p>
    <w:p w14:paraId="29BDF8A7" w14:textId="77777777" w:rsidR="00C521E2" w:rsidRDefault="00C521E2">
      <w:pPr>
        <w:adjustRightInd w:val="0"/>
        <w:snapToGrid w:val="0"/>
        <w:spacing w:line="360" w:lineRule="auto"/>
        <w:jc w:val="center"/>
        <w:rPr>
          <w:rFonts w:ascii="宋体" w:eastAsia="宋体" w:hAnsi="宋体" w:cs="Arial"/>
          <w:sz w:val="24"/>
          <w:szCs w:val="24"/>
        </w:rPr>
      </w:pPr>
    </w:p>
    <w:p w14:paraId="77F8F44F" w14:textId="58880924" w:rsidR="00C521E2" w:rsidRDefault="005D6E6D">
      <w:pPr>
        <w:spacing w:line="360" w:lineRule="auto"/>
        <w:jc w:val="center"/>
        <w:rPr>
          <w:rFonts w:ascii="宋体" w:eastAsia="宋体" w:hAnsi="宋体" w:cs="Arial"/>
          <w:b/>
          <w:sz w:val="44"/>
          <w:szCs w:val="44"/>
        </w:rPr>
      </w:pPr>
      <w:r>
        <w:rPr>
          <w:rFonts w:ascii="宋体" w:eastAsia="宋体" w:hAnsi="宋体" w:hint="eastAsia"/>
          <w:b/>
          <w:sz w:val="44"/>
          <w:szCs w:val="44"/>
        </w:rPr>
        <w:t>嘉实中</w:t>
      </w:r>
      <w:r w:rsidR="00524306">
        <w:rPr>
          <w:rFonts w:ascii="宋体" w:eastAsia="宋体" w:hAnsi="宋体" w:hint="eastAsia"/>
          <w:b/>
          <w:sz w:val="44"/>
          <w:szCs w:val="44"/>
        </w:rPr>
        <w:t>证沪港深云计算产业交易型开放式指数证券投资基金联接基金托管协议</w:t>
      </w:r>
    </w:p>
    <w:p w14:paraId="24C16C25" w14:textId="77777777" w:rsidR="00C521E2" w:rsidRDefault="00C521E2">
      <w:pPr>
        <w:spacing w:line="360" w:lineRule="auto"/>
        <w:jc w:val="center"/>
        <w:rPr>
          <w:rFonts w:ascii="宋体" w:eastAsia="宋体" w:hAnsi="宋体"/>
        </w:rPr>
      </w:pPr>
    </w:p>
    <w:p w14:paraId="2B5E7B38" w14:textId="77777777" w:rsidR="00C521E2" w:rsidRDefault="00C521E2">
      <w:pPr>
        <w:spacing w:line="360" w:lineRule="auto"/>
        <w:rPr>
          <w:rFonts w:ascii="宋体" w:eastAsia="宋体" w:hAnsi="宋体"/>
        </w:rPr>
      </w:pPr>
    </w:p>
    <w:p w14:paraId="62A9DA86" w14:textId="77777777" w:rsidR="00C521E2" w:rsidRDefault="00C521E2">
      <w:pPr>
        <w:spacing w:line="360" w:lineRule="auto"/>
        <w:rPr>
          <w:rFonts w:ascii="宋体" w:eastAsia="宋体" w:hAnsi="宋体"/>
        </w:rPr>
      </w:pPr>
    </w:p>
    <w:p w14:paraId="293135F3" w14:textId="77777777" w:rsidR="00C521E2" w:rsidRDefault="00C521E2">
      <w:pPr>
        <w:spacing w:line="360" w:lineRule="auto"/>
        <w:rPr>
          <w:rFonts w:ascii="宋体" w:eastAsia="宋体" w:hAnsi="宋体"/>
        </w:rPr>
      </w:pPr>
    </w:p>
    <w:p w14:paraId="5FEF7B00" w14:textId="77777777" w:rsidR="00C521E2" w:rsidRDefault="00C521E2">
      <w:pPr>
        <w:spacing w:line="360" w:lineRule="auto"/>
        <w:rPr>
          <w:rFonts w:ascii="宋体" w:eastAsia="宋体" w:hAnsi="宋体"/>
        </w:rPr>
      </w:pPr>
    </w:p>
    <w:p w14:paraId="014E9309" w14:textId="77777777" w:rsidR="00C521E2" w:rsidRDefault="005D6E6D">
      <w:pPr>
        <w:spacing w:line="360" w:lineRule="auto"/>
        <w:rPr>
          <w:rFonts w:ascii="宋体" w:eastAsia="宋体" w:hAnsi="宋体"/>
          <w:sz w:val="24"/>
        </w:rPr>
      </w:pPr>
      <w:r>
        <w:rPr>
          <w:rFonts w:ascii="宋体" w:eastAsia="宋体" w:hAnsi="宋体"/>
        </w:rPr>
        <w:t xml:space="preserve"> </w:t>
      </w:r>
    </w:p>
    <w:p w14:paraId="3E6B6030" w14:textId="77777777" w:rsidR="00C521E2" w:rsidRDefault="005D6E6D">
      <w:pPr>
        <w:adjustRightInd w:val="0"/>
        <w:snapToGrid w:val="0"/>
        <w:spacing w:line="360" w:lineRule="auto"/>
        <w:jc w:val="center"/>
        <w:rPr>
          <w:rFonts w:ascii="宋体" w:eastAsia="宋体" w:hAnsi="宋体"/>
          <w:b/>
          <w:sz w:val="28"/>
        </w:rPr>
      </w:pPr>
      <w:r>
        <w:rPr>
          <w:rFonts w:ascii="宋体" w:eastAsia="宋体" w:hAnsi="宋体" w:hint="eastAsia"/>
          <w:b/>
          <w:sz w:val="28"/>
        </w:rPr>
        <w:t>基金管理人：嘉实基金管理有限公司</w:t>
      </w:r>
    </w:p>
    <w:p w14:paraId="3855F9D1" w14:textId="77777777" w:rsidR="00C521E2" w:rsidRDefault="005D6E6D">
      <w:pPr>
        <w:spacing w:line="360" w:lineRule="auto"/>
        <w:jc w:val="center"/>
        <w:rPr>
          <w:rFonts w:ascii="宋体" w:eastAsia="宋体" w:hAnsi="宋体"/>
          <w:b/>
          <w:sz w:val="28"/>
        </w:rPr>
      </w:pPr>
      <w:r>
        <w:rPr>
          <w:rFonts w:ascii="宋体" w:eastAsia="宋体" w:hAnsi="宋体" w:hint="eastAsia"/>
          <w:b/>
          <w:sz w:val="28"/>
        </w:rPr>
        <w:t>基金托管人：中国建设银行股份有限公司</w:t>
      </w:r>
    </w:p>
    <w:p w14:paraId="555D86D7" w14:textId="77777777" w:rsidR="00C521E2" w:rsidRDefault="00C521E2">
      <w:pPr>
        <w:spacing w:line="360" w:lineRule="auto"/>
        <w:rPr>
          <w:rFonts w:ascii="宋体" w:eastAsia="宋体" w:hAnsi="宋体"/>
        </w:rPr>
      </w:pPr>
    </w:p>
    <w:p w14:paraId="000ABDA0" w14:textId="77777777" w:rsidR="00C521E2" w:rsidRDefault="00C521E2">
      <w:pPr>
        <w:spacing w:line="360" w:lineRule="auto"/>
        <w:rPr>
          <w:rFonts w:ascii="宋体" w:eastAsia="宋体" w:hAnsi="宋体"/>
          <w:sz w:val="22"/>
        </w:rPr>
      </w:pPr>
    </w:p>
    <w:p w14:paraId="37195C99" w14:textId="5D2B0C84" w:rsidR="00C521E2" w:rsidRDefault="00524306">
      <w:pPr>
        <w:adjustRightInd w:val="0"/>
        <w:snapToGrid w:val="0"/>
        <w:spacing w:line="360" w:lineRule="auto"/>
        <w:jc w:val="center"/>
        <w:rPr>
          <w:rFonts w:ascii="宋体" w:eastAsia="宋体" w:hAnsi="宋体" w:cs="Arial"/>
          <w:b/>
          <w:bCs/>
          <w:sz w:val="28"/>
          <w:szCs w:val="24"/>
        </w:rPr>
      </w:pPr>
      <w:r>
        <w:rPr>
          <w:rFonts w:ascii="宋体" w:eastAsia="宋体" w:hAnsi="宋体" w:cs="微软雅黑" w:hint="eastAsia"/>
          <w:b/>
          <w:sz w:val="28"/>
          <w:szCs w:val="24"/>
        </w:rPr>
        <w:t>二零二六年九</w:t>
      </w:r>
      <w:r w:rsidR="005D6E6D">
        <w:rPr>
          <w:rFonts w:ascii="宋体" w:eastAsia="宋体" w:hAnsi="宋体" w:cs="微软雅黑" w:hint="eastAsia"/>
          <w:b/>
          <w:sz w:val="28"/>
          <w:szCs w:val="24"/>
        </w:rPr>
        <w:t>月</w:t>
      </w:r>
    </w:p>
    <w:p w14:paraId="63021945" w14:textId="77777777" w:rsidR="00C521E2" w:rsidRDefault="00C521E2">
      <w:pPr>
        <w:adjustRightInd w:val="0"/>
        <w:snapToGrid w:val="0"/>
        <w:spacing w:line="360" w:lineRule="auto"/>
        <w:jc w:val="center"/>
        <w:rPr>
          <w:rFonts w:ascii="宋体" w:eastAsia="宋体" w:hAnsi="宋体" w:cs="Arial"/>
          <w:bCs/>
          <w:sz w:val="24"/>
          <w:szCs w:val="24"/>
        </w:rPr>
      </w:pPr>
    </w:p>
    <w:p w14:paraId="218A3C3A" w14:textId="77777777" w:rsidR="00C521E2" w:rsidRDefault="00C521E2">
      <w:pPr>
        <w:adjustRightInd w:val="0"/>
        <w:snapToGrid w:val="0"/>
        <w:spacing w:line="360" w:lineRule="auto"/>
        <w:jc w:val="center"/>
        <w:rPr>
          <w:rFonts w:ascii="宋体" w:eastAsia="宋体" w:hAnsi="宋体" w:cs="Arial"/>
          <w:bCs/>
          <w:sz w:val="24"/>
          <w:szCs w:val="24"/>
        </w:rPr>
        <w:sectPr w:rsidR="00C521E2">
          <w:footerReference w:type="even" r:id="rId7"/>
          <w:footerReference w:type="default" r:id="rId8"/>
          <w:pgSz w:w="11906" w:h="16838"/>
          <w:pgMar w:top="1418" w:right="1701" w:bottom="1418" w:left="1701" w:header="851" w:footer="992" w:gutter="0"/>
          <w:cols w:space="425"/>
          <w:docGrid w:type="lines" w:linePitch="312"/>
        </w:sectPr>
      </w:pPr>
    </w:p>
    <w:p w14:paraId="4F35448D" w14:textId="77777777" w:rsidR="00C521E2" w:rsidRDefault="005D6E6D">
      <w:pPr>
        <w:spacing w:line="360" w:lineRule="auto"/>
        <w:jc w:val="center"/>
        <w:rPr>
          <w:rFonts w:ascii="宋体" w:eastAsia="宋体" w:hAnsi="宋体" w:cs="Times New Roman"/>
          <w:b/>
          <w:bCs/>
          <w:sz w:val="30"/>
          <w:szCs w:val="24"/>
        </w:rPr>
      </w:pPr>
      <w:r>
        <w:rPr>
          <w:rFonts w:ascii="宋体" w:eastAsia="宋体" w:hAnsi="宋体" w:cs="微软雅黑" w:hint="eastAsia"/>
          <w:b/>
          <w:bCs/>
          <w:sz w:val="30"/>
          <w:szCs w:val="24"/>
        </w:rPr>
        <w:lastRenderedPageBreak/>
        <w:t>目</w:t>
      </w:r>
      <w:r>
        <w:rPr>
          <w:rFonts w:ascii="宋体" w:eastAsia="宋体" w:hAnsi="宋体" w:cs="Times New Roman" w:hint="eastAsia"/>
          <w:b/>
          <w:bCs/>
          <w:sz w:val="30"/>
          <w:szCs w:val="24"/>
        </w:rPr>
        <w:t xml:space="preserve">    </w:t>
      </w:r>
      <w:r>
        <w:rPr>
          <w:rFonts w:ascii="宋体" w:eastAsia="宋体" w:hAnsi="宋体" w:cs="微软雅黑" w:hint="eastAsia"/>
          <w:b/>
          <w:bCs/>
          <w:sz w:val="30"/>
          <w:szCs w:val="24"/>
        </w:rPr>
        <w:t>录</w:t>
      </w:r>
    </w:p>
    <w:sdt>
      <w:sdtPr>
        <w:rPr>
          <w:rStyle w:val="af1"/>
          <w:rFonts w:ascii="宋体" w:hAnsi="宋体" w:cs="微软雅黑"/>
          <w:b/>
          <w:sz w:val="28"/>
          <w:szCs w:val="28"/>
        </w:rPr>
        <w:id w:val="235221464"/>
        <w:docPartObj>
          <w:docPartGallery w:val="Table of Contents"/>
          <w:docPartUnique/>
        </w:docPartObj>
      </w:sdtPr>
      <w:sdtEndPr>
        <w:rPr>
          <w:rStyle w:val="a1"/>
          <w:rFonts w:ascii="Times New Roman" w:hAnsi="Times New Roman" w:cs="Times New Roman"/>
          <w:bCs/>
          <w:color w:val="auto"/>
          <w:sz w:val="21"/>
          <w:szCs w:val="24"/>
          <w:u w:val="none"/>
          <w:lang w:val="zh-CN"/>
        </w:rPr>
      </w:sdtEndPr>
      <w:sdtContent>
        <w:p w14:paraId="4993BA00" w14:textId="566300FD" w:rsidR="00C521E2" w:rsidRDefault="005D6E6D">
          <w:pPr>
            <w:pStyle w:val="22"/>
            <w:tabs>
              <w:tab w:val="right" w:leader="dot" w:pos="8494"/>
            </w:tabs>
            <w:rPr>
              <w:rStyle w:val="af1"/>
              <w:rFonts w:ascii="宋体" w:hAnsi="宋体" w:cs="微软雅黑"/>
              <w:b/>
              <w:noProof/>
              <w:sz w:val="28"/>
              <w:szCs w:val="28"/>
            </w:rPr>
          </w:pPr>
          <w:r>
            <w:rPr>
              <w:rStyle w:val="af1"/>
              <w:rFonts w:cs="微软雅黑"/>
              <w:b/>
            </w:rPr>
            <w:fldChar w:fldCharType="begin"/>
          </w:r>
          <w:r>
            <w:rPr>
              <w:rStyle w:val="af1"/>
              <w:rFonts w:cs="微软雅黑"/>
              <w:b/>
            </w:rPr>
            <w:instrText xml:space="preserve"> TOC \o "1-3" \h \z \u </w:instrText>
          </w:r>
          <w:r>
            <w:rPr>
              <w:rStyle w:val="af1"/>
              <w:rFonts w:cs="微软雅黑"/>
              <w:b/>
            </w:rPr>
            <w:fldChar w:fldCharType="separate"/>
          </w:r>
          <w:hyperlink w:anchor="_Toc204539392" w:history="1">
            <w:r w:rsidR="00C521E2">
              <w:rPr>
                <w:rStyle w:val="af1"/>
                <w:rFonts w:ascii="宋体" w:hAnsi="宋体" w:cs="微软雅黑"/>
                <w:b/>
                <w:noProof/>
                <w:sz w:val="28"/>
                <w:szCs w:val="28"/>
              </w:rPr>
              <w:t>一、基金托管协议当事人</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_Toc204539392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w:t>
            </w:r>
            <w:r w:rsidR="00C521E2">
              <w:rPr>
                <w:rStyle w:val="af1"/>
                <w:rFonts w:ascii="宋体" w:hAnsi="宋体" w:cs="微软雅黑"/>
                <w:b/>
                <w:noProof/>
                <w:sz w:val="28"/>
                <w:szCs w:val="28"/>
              </w:rPr>
              <w:fldChar w:fldCharType="end"/>
            </w:r>
          </w:hyperlink>
        </w:p>
        <w:p w14:paraId="4353779A" w14:textId="132395E8" w:rsidR="00C521E2" w:rsidRDefault="00B06E18">
          <w:pPr>
            <w:pStyle w:val="22"/>
            <w:tabs>
              <w:tab w:val="right" w:leader="dot" w:pos="8494"/>
            </w:tabs>
            <w:rPr>
              <w:rStyle w:val="af1"/>
              <w:rFonts w:ascii="宋体" w:hAnsi="宋体" w:cs="微软雅黑"/>
              <w:b/>
              <w:noProof/>
              <w:sz w:val="28"/>
              <w:szCs w:val="28"/>
            </w:rPr>
          </w:pPr>
          <w:hyperlink w:anchor="_Toc204539393" w:history="1">
            <w:r w:rsidR="00C521E2">
              <w:rPr>
                <w:rStyle w:val="af1"/>
                <w:rFonts w:ascii="宋体" w:hAnsi="宋体" w:cs="微软雅黑"/>
                <w:b/>
                <w:noProof/>
                <w:sz w:val="28"/>
                <w:szCs w:val="28"/>
              </w:rPr>
              <w:t>二、基金托管协议的依据、目的和原则</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_Toc204539393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5</w:t>
            </w:r>
            <w:r w:rsidR="00C521E2">
              <w:rPr>
                <w:rStyle w:val="af1"/>
                <w:rFonts w:ascii="宋体" w:hAnsi="宋体" w:cs="微软雅黑"/>
                <w:b/>
                <w:noProof/>
                <w:sz w:val="28"/>
                <w:szCs w:val="28"/>
              </w:rPr>
              <w:fldChar w:fldCharType="end"/>
            </w:r>
          </w:hyperlink>
        </w:p>
        <w:p w14:paraId="74203478" w14:textId="7191C073" w:rsidR="00C521E2" w:rsidRDefault="00B06E18">
          <w:pPr>
            <w:pStyle w:val="22"/>
            <w:tabs>
              <w:tab w:val="right" w:leader="dot" w:pos="8494"/>
            </w:tabs>
            <w:rPr>
              <w:rStyle w:val="af1"/>
              <w:rFonts w:ascii="宋体" w:hAnsi="宋体" w:cs="微软雅黑"/>
              <w:b/>
              <w:noProof/>
              <w:sz w:val="28"/>
              <w:szCs w:val="28"/>
            </w:rPr>
          </w:pPr>
          <w:hyperlink w:anchor="_Toc204539394" w:history="1">
            <w:r w:rsidR="00C521E2">
              <w:rPr>
                <w:rStyle w:val="af1"/>
                <w:rFonts w:ascii="宋体" w:hAnsi="宋体" w:cs="微软雅黑"/>
                <w:b/>
                <w:noProof/>
                <w:sz w:val="28"/>
                <w:szCs w:val="28"/>
              </w:rPr>
              <w:t>三、基金托管人对基金管理人的业务监督和核查</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_Toc204539394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6</w:t>
            </w:r>
            <w:r w:rsidR="00C521E2">
              <w:rPr>
                <w:rStyle w:val="af1"/>
                <w:rFonts w:ascii="宋体" w:hAnsi="宋体" w:cs="微软雅黑"/>
                <w:b/>
                <w:noProof/>
                <w:sz w:val="28"/>
                <w:szCs w:val="28"/>
              </w:rPr>
              <w:fldChar w:fldCharType="end"/>
            </w:r>
          </w:hyperlink>
        </w:p>
        <w:p w14:paraId="1289E485" w14:textId="11E41C65" w:rsidR="00C521E2" w:rsidRDefault="00B06E18">
          <w:pPr>
            <w:pStyle w:val="22"/>
            <w:tabs>
              <w:tab w:val="right" w:leader="dot" w:pos="8494"/>
            </w:tabs>
            <w:rPr>
              <w:rStyle w:val="af1"/>
              <w:rFonts w:ascii="宋体" w:hAnsi="宋体" w:cs="微软雅黑"/>
              <w:b/>
              <w:noProof/>
              <w:sz w:val="28"/>
              <w:szCs w:val="28"/>
            </w:rPr>
          </w:pPr>
          <w:hyperlink w:anchor="_Toc204539395" w:history="1">
            <w:r w:rsidR="00C521E2">
              <w:rPr>
                <w:rStyle w:val="af1"/>
                <w:rFonts w:ascii="宋体" w:hAnsi="宋体" w:cs="微软雅黑"/>
                <w:b/>
                <w:noProof/>
                <w:sz w:val="28"/>
                <w:szCs w:val="28"/>
              </w:rPr>
              <w:t>四、基金管理人对基金托管人的业务核查</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_Toc204539395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12</w:t>
            </w:r>
            <w:r w:rsidR="00C521E2">
              <w:rPr>
                <w:rStyle w:val="af1"/>
                <w:rFonts w:ascii="宋体" w:hAnsi="宋体" w:cs="微软雅黑"/>
                <w:b/>
                <w:noProof/>
                <w:sz w:val="28"/>
                <w:szCs w:val="28"/>
              </w:rPr>
              <w:fldChar w:fldCharType="end"/>
            </w:r>
          </w:hyperlink>
        </w:p>
        <w:p w14:paraId="4F107EC8" w14:textId="09E97D79" w:rsidR="00C521E2" w:rsidRDefault="00B06E18">
          <w:pPr>
            <w:pStyle w:val="22"/>
            <w:tabs>
              <w:tab w:val="right" w:leader="dot" w:pos="8494"/>
            </w:tabs>
            <w:rPr>
              <w:rStyle w:val="af1"/>
              <w:rFonts w:ascii="宋体" w:hAnsi="宋体" w:cs="微软雅黑"/>
              <w:b/>
              <w:noProof/>
              <w:sz w:val="28"/>
              <w:szCs w:val="28"/>
            </w:rPr>
          </w:pPr>
          <w:hyperlink w:anchor="_Toc204539396" w:history="1">
            <w:r w:rsidR="00C521E2">
              <w:rPr>
                <w:rStyle w:val="af1"/>
                <w:rFonts w:ascii="宋体" w:hAnsi="宋体" w:cs="微软雅黑"/>
                <w:b/>
                <w:noProof/>
                <w:sz w:val="28"/>
                <w:szCs w:val="28"/>
              </w:rPr>
              <w:t>五、基金财产的保管</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_Toc204539396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13</w:t>
            </w:r>
            <w:r w:rsidR="00C521E2">
              <w:rPr>
                <w:rStyle w:val="af1"/>
                <w:rFonts w:ascii="宋体" w:hAnsi="宋体" w:cs="微软雅黑"/>
                <w:b/>
                <w:noProof/>
                <w:sz w:val="28"/>
                <w:szCs w:val="28"/>
              </w:rPr>
              <w:fldChar w:fldCharType="end"/>
            </w:r>
          </w:hyperlink>
        </w:p>
        <w:p w14:paraId="46DCAEE6" w14:textId="45C2FDF9" w:rsidR="00C521E2" w:rsidRDefault="00B06E18">
          <w:pPr>
            <w:pStyle w:val="22"/>
            <w:tabs>
              <w:tab w:val="right" w:leader="dot" w:pos="8494"/>
            </w:tabs>
            <w:rPr>
              <w:rStyle w:val="af1"/>
              <w:rFonts w:ascii="宋体" w:hAnsi="宋体" w:cs="微软雅黑"/>
              <w:b/>
              <w:noProof/>
              <w:sz w:val="28"/>
              <w:szCs w:val="28"/>
            </w:rPr>
          </w:pPr>
          <w:hyperlink w:anchor="_Toc204539397" w:history="1">
            <w:r w:rsidR="00C521E2">
              <w:rPr>
                <w:rStyle w:val="af1"/>
                <w:rFonts w:ascii="宋体" w:hAnsi="宋体" w:cs="微软雅黑"/>
                <w:b/>
                <w:noProof/>
                <w:sz w:val="28"/>
                <w:szCs w:val="28"/>
              </w:rPr>
              <w:t>六、指令的发送、确认及执行</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_Toc204539397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16</w:t>
            </w:r>
            <w:r w:rsidR="00C521E2">
              <w:rPr>
                <w:rStyle w:val="af1"/>
                <w:rFonts w:ascii="宋体" w:hAnsi="宋体" w:cs="微软雅黑"/>
                <w:b/>
                <w:noProof/>
                <w:sz w:val="28"/>
                <w:szCs w:val="28"/>
              </w:rPr>
              <w:fldChar w:fldCharType="end"/>
            </w:r>
          </w:hyperlink>
        </w:p>
        <w:p w14:paraId="1B2E8B25" w14:textId="3C2CE916" w:rsidR="00C521E2" w:rsidRDefault="00B06E18">
          <w:pPr>
            <w:pStyle w:val="22"/>
            <w:tabs>
              <w:tab w:val="right" w:leader="dot" w:pos="8494"/>
            </w:tabs>
            <w:rPr>
              <w:rStyle w:val="af1"/>
              <w:rFonts w:ascii="宋体" w:hAnsi="宋体" w:cs="微软雅黑"/>
              <w:b/>
              <w:noProof/>
              <w:sz w:val="28"/>
              <w:szCs w:val="28"/>
            </w:rPr>
          </w:pPr>
          <w:hyperlink w:anchor="_Toc204539398" w:history="1">
            <w:r w:rsidR="00C521E2">
              <w:rPr>
                <w:rStyle w:val="af1"/>
                <w:rFonts w:ascii="宋体" w:hAnsi="宋体" w:cs="微软雅黑"/>
                <w:b/>
                <w:noProof/>
                <w:sz w:val="28"/>
                <w:szCs w:val="28"/>
              </w:rPr>
              <w:t>七、交易及清算交收安排</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_Toc204539398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19</w:t>
            </w:r>
            <w:r w:rsidR="00C521E2">
              <w:rPr>
                <w:rStyle w:val="af1"/>
                <w:rFonts w:ascii="宋体" w:hAnsi="宋体" w:cs="微软雅黑"/>
                <w:b/>
                <w:noProof/>
                <w:sz w:val="28"/>
                <w:szCs w:val="28"/>
              </w:rPr>
              <w:fldChar w:fldCharType="end"/>
            </w:r>
          </w:hyperlink>
        </w:p>
        <w:p w14:paraId="639CB8E5" w14:textId="7B114B9C" w:rsidR="00C521E2" w:rsidRDefault="00B06E18">
          <w:pPr>
            <w:pStyle w:val="22"/>
            <w:tabs>
              <w:tab w:val="right" w:leader="dot" w:pos="8494"/>
            </w:tabs>
            <w:rPr>
              <w:rStyle w:val="af1"/>
              <w:rFonts w:ascii="宋体" w:hAnsi="宋体" w:cs="微软雅黑"/>
              <w:b/>
              <w:noProof/>
              <w:sz w:val="28"/>
              <w:szCs w:val="28"/>
            </w:rPr>
          </w:pPr>
          <w:hyperlink w:anchor="_Toc204539399" w:history="1">
            <w:r w:rsidR="00C521E2">
              <w:rPr>
                <w:rStyle w:val="af1"/>
                <w:rFonts w:ascii="宋体" w:hAnsi="宋体" w:cs="微软雅黑"/>
                <w:b/>
                <w:noProof/>
                <w:sz w:val="28"/>
                <w:szCs w:val="28"/>
              </w:rPr>
              <w:t>八、基金资产净值计算和会计核算</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_Toc204539399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25</w:t>
            </w:r>
            <w:r w:rsidR="00C521E2">
              <w:rPr>
                <w:rStyle w:val="af1"/>
                <w:rFonts w:ascii="宋体" w:hAnsi="宋体" w:cs="微软雅黑"/>
                <w:b/>
                <w:noProof/>
                <w:sz w:val="28"/>
                <w:szCs w:val="28"/>
              </w:rPr>
              <w:fldChar w:fldCharType="end"/>
            </w:r>
          </w:hyperlink>
        </w:p>
        <w:p w14:paraId="0E6E1AB6" w14:textId="0A588535" w:rsidR="00C521E2" w:rsidRDefault="00B06E18">
          <w:pPr>
            <w:pStyle w:val="22"/>
            <w:tabs>
              <w:tab w:val="right" w:leader="dot" w:pos="8494"/>
            </w:tabs>
            <w:rPr>
              <w:rStyle w:val="af1"/>
              <w:rFonts w:ascii="宋体" w:hAnsi="宋体" w:cs="微软雅黑"/>
              <w:b/>
              <w:noProof/>
              <w:sz w:val="28"/>
              <w:szCs w:val="28"/>
            </w:rPr>
          </w:pPr>
          <w:hyperlink w:anchor="_Toc204539400" w:history="1">
            <w:r w:rsidR="00C521E2">
              <w:rPr>
                <w:rStyle w:val="af1"/>
                <w:rFonts w:ascii="宋体" w:hAnsi="宋体" w:cs="微软雅黑"/>
                <w:b/>
                <w:noProof/>
                <w:sz w:val="28"/>
                <w:szCs w:val="28"/>
              </w:rPr>
              <w:t>九、基金收益分配</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_Toc204539400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31</w:t>
            </w:r>
            <w:r w:rsidR="00C521E2">
              <w:rPr>
                <w:rStyle w:val="af1"/>
                <w:rFonts w:ascii="宋体" w:hAnsi="宋体" w:cs="微软雅黑"/>
                <w:b/>
                <w:noProof/>
                <w:sz w:val="28"/>
                <w:szCs w:val="28"/>
              </w:rPr>
              <w:fldChar w:fldCharType="end"/>
            </w:r>
          </w:hyperlink>
        </w:p>
        <w:p w14:paraId="310372B6" w14:textId="600DC5E9" w:rsidR="00C521E2" w:rsidRDefault="00B06E18">
          <w:pPr>
            <w:pStyle w:val="22"/>
            <w:tabs>
              <w:tab w:val="right" w:leader="dot" w:pos="8494"/>
            </w:tabs>
            <w:rPr>
              <w:rStyle w:val="af1"/>
              <w:rFonts w:ascii="宋体" w:hAnsi="宋体" w:cs="微软雅黑"/>
              <w:b/>
              <w:noProof/>
              <w:sz w:val="28"/>
              <w:szCs w:val="28"/>
            </w:rPr>
          </w:pPr>
          <w:hyperlink w:anchor="_Toc204539401" w:history="1">
            <w:r w:rsidR="00C521E2">
              <w:rPr>
                <w:rStyle w:val="af1"/>
                <w:rFonts w:ascii="宋体" w:hAnsi="宋体" w:cs="微软雅黑"/>
                <w:b/>
                <w:noProof/>
                <w:sz w:val="28"/>
                <w:szCs w:val="28"/>
              </w:rPr>
              <w:t>十、基金信息披露</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_Toc204539401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32</w:t>
            </w:r>
            <w:r w:rsidR="00C521E2">
              <w:rPr>
                <w:rStyle w:val="af1"/>
                <w:rFonts w:ascii="宋体" w:hAnsi="宋体" w:cs="微软雅黑"/>
                <w:b/>
                <w:noProof/>
                <w:sz w:val="28"/>
                <w:szCs w:val="28"/>
              </w:rPr>
              <w:fldChar w:fldCharType="end"/>
            </w:r>
          </w:hyperlink>
        </w:p>
        <w:p w14:paraId="6C548B9A" w14:textId="6D89DB91" w:rsidR="00C521E2" w:rsidRDefault="00B06E18">
          <w:pPr>
            <w:pStyle w:val="22"/>
            <w:tabs>
              <w:tab w:val="right" w:leader="dot" w:pos="8494"/>
            </w:tabs>
            <w:rPr>
              <w:rStyle w:val="af1"/>
              <w:rFonts w:ascii="宋体" w:hAnsi="宋体" w:cs="微软雅黑"/>
              <w:b/>
              <w:noProof/>
              <w:sz w:val="28"/>
              <w:szCs w:val="28"/>
            </w:rPr>
          </w:pPr>
          <w:hyperlink w:anchor="_Toc204539402" w:history="1">
            <w:r w:rsidR="00C521E2">
              <w:rPr>
                <w:rStyle w:val="af1"/>
                <w:rFonts w:ascii="宋体" w:hAnsi="宋体" w:cs="微软雅黑"/>
                <w:b/>
                <w:noProof/>
                <w:sz w:val="28"/>
                <w:szCs w:val="28"/>
              </w:rPr>
              <w:t>十一、基金费用</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_Toc204539402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34</w:t>
            </w:r>
            <w:r w:rsidR="00C521E2">
              <w:rPr>
                <w:rStyle w:val="af1"/>
                <w:rFonts w:ascii="宋体" w:hAnsi="宋体" w:cs="微软雅黑"/>
                <w:b/>
                <w:noProof/>
                <w:sz w:val="28"/>
                <w:szCs w:val="28"/>
              </w:rPr>
              <w:fldChar w:fldCharType="end"/>
            </w:r>
          </w:hyperlink>
        </w:p>
        <w:p w14:paraId="027C8AD6" w14:textId="6511D781" w:rsidR="00C521E2" w:rsidRDefault="00B06E18">
          <w:pPr>
            <w:pStyle w:val="22"/>
            <w:tabs>
              <w:tab w:val="right" w:leader="dot" w:pos="8494"/>
            </w:tabs>
            <w:rPr>
              <w:rStyle w:val="af1"/>
              <w:rFonts w:ascii="宋体" w:hAnsi="宋体" w:cs="微软雅黑"/>
              <w:b/>
              <w:noProof/>
              <w:sz w:val="28"/>
              <w:szCs w:val="28"/>
            </w:rPr>
          </w:pPr>
          <w:hyperlink w:anchor="_Toc204539403" w:history="1">
            <w:r w:rsidR="00C521E2">
              <w:rPr>
                <w:rStyle w:val="af1"/>
                <w:rFonts w:ascii="宋体" w:hAnsi="宋体" w:cs="微软雅黑"/>
                <w:b/>
                <w:noProof/>
                <w:sz w:val="28"/>
                <w:szCs w:val="28"/>
              </w:rPr>
              <w:t>十二、基金份额持有人名册的保管</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_Toc204539403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37</w:t>
            </w:r>
            <w:r w:rsidR="00C521E2">
              <w:rPr>
                <w:rStyle w:val="af1"/>
                <w:rFonts w:ascii="宋体" w:hAnsi="宋体" w:cs="微软雅黑"/>
                <w:b/>
                <w:noProof/>
                <w:sz w:val="28"/>
                <w:szCs w:val="28"/>
              </w:rPr>
              <w:fldChar w:fldCharType="end"/>
            </w:r>
          </w:hyperlink>
        </w:p>
        <w:p w14:paraId="7EE6D8D4" w14:textId="0D915F61" w:rsidR="00C521E2" w:rsidRDefault="00B06E18">
          <w:pPr>
            <w:pStyle w:val="22"/>
            <w:tabs>
              <w:tab w:val="right" w:leader="dot" w:pos="8494"/>
            </w:tabs>
            <w:rPr>
              <w:rStyle w:val="af1"/>
              <w:rFonts w:ascii="宋体" w:hAnsi="宋体" w:cs="微软雅黑"/>
              <w:b/>
              <w:noProof/>
              <w:sz w:val="28"/>
              <w:szCs w:val="28"/>
            </w:rPr>
          </w:pPr>
          <w:hyperlink w:anchor="_Toc204539404" w:history="1">
            <w:r w:rsidR="00C521E2">
              <w:rPr>
                <w:rStyle w:val="af1"/>
                <w:rFonts w:ascii="宋体" w:hAnsi="宋体" w:cs="微软雅黑"/>
                <w:b/>
                <w:noProof/>
                <w:sz w:val="28"/>
                <w:szCs w:val="28"/>
              </w:rPr>
              <w:t>十三、基金有关文件档案的保存</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_Toc204539404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37</w:t>
            </w:r>
            <w:r w:rsidR="00C521E2">
              <w:rPr>
                <w:rStyle w:val="af1"/>
                <w:rFonts w:ascii="宋体" w:hAnsi="宋体" w:cs="微软雅黑"/>
                <w:b/>
                <w:noProof/>
                <w:sz w:val="28"/>
                <w:szCs w:val="28"/>
              </w:rPr>
              <w:fldChar w:fldCharType="end"/>
            </w:r>
          </w:hyperlink>
        </w:p>
        <w:p w14:paraId="791939D8" w14:textId="2C91424D" w:rsidR="00C521E2" w:rsidRDefault="00B06E18">
          <w:pPr>
            <w:pStyle w:val="22"/>
            <w:tabs>
              <w:tab w:val="right" w:leader="dot" w:pos="8494"/>
            </w:tabs>
            <w:rPr>
              <w:rStyle w:val="af1"/>
              <w:rFonts w:ascii="宋体" w:hAnsi="宋体" w:cs="微软雅黑"/>
              <w:b/>
              <w:noProof/>
              <w:sz w:val="28"/>
              <w:szCs w:val="28"/>
            </w:rPr>
          </w:pPr>
          <w:hyperlink w:anchor="_Toc204539405" w:history="1">
            <w:r w:rsidR="00C521E2">
              <w:rPr>
                <w:rStyle w:val="af1"/>
                <w:rFonts w:ascii="宋体" w:hAnsi="宋体" w:cs="微软雅黑"/>
                <w:b/>
                <w:noProof/>
                <w:sz w:val="28"/>
                <w:szCs w:val="28"/>
              </w:rPr>
              <w:t>十四、基金管理人和基金托管人的更换</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_Toc204539405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37</w:t>
            </w:r>
            <w:r w:rsidR="00C521E2">
              <w:rPr>
                <w:rStyle w:val="af1"/>
                <w:rFonts w:ascii="宋体" w:hAnsi="宋体" w:cs="微软雅黑"/>
                <w:b/>
                <w:noProof/>
                <w:sz w:val="28"/>
                <w:szCs w:val="28"/>
              </w:rPr>
              <w:fldChar w:fldCharType="end"/>
            </w:r>
          </w:hyperlink>
        </w:p>
        <w:p w14:paraId="57CD1BE9" w14:textId="37A37ACD" w:rsidR="00C521E2" w:rsidRDefault="00B06E18">
          <w:pPr>
            <w:pStyle w:val="22"/>
            <w:tabs>
              <w:tab w:val="right" w:leader="dot" w:pos="8494"/>
            </w:tabs>
            <w:rPr>
              <w:rStyle w:val="af1"/>
              <w:rFonts w:ascii="宋体" w:hAnsi="宋体" w:cs="微软雅黑"/>
              <w:b/>
              <w:noProof/>
              <w:sz w:val="28"/>
              <w:szCs w:val="28"/>
            </w:rPr>
          </w:pPr>
          <w:hyperlink w:anchor="_Toc204539406" w:history="1">
            <w:r w:rsidR="00C521E2">
              <w:rPr>
                <w:rStyle w:val="af1"/>
                <w:rFonts w:ascii="宋体" w:hAnsi="宋体" w:cs="微软雅黑"/>
                <w:b/>
                <w:noProof/>
                <w:sz w:val="28"/>
                <w:szCs w:val="28"/>
              </w:rPr>
              <w:t>十五、禁止行为</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_Toc204539406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40</w:t>
            </w:r>
            <w:r w:rsidR="00C521E2">
              <w:rPr>
                <w:rStyle w:val="af1"/>
                <w:rFonts w:ascii="宋体" w:hAnsi="宋体" w:cs="微软雅黑"/>
                <w:b/>
                <w:noProof/>
                <w:sz w:val="28"/>
                <w:szCs w:val="28"/>
              </w:rPr>
              <w:fldChar w:fldCharType="end"/>
            </w:r>
          </w:hyperlink>
        </w:p>
        <w:p w14:paraId="72B4B101" w14:textId="6402A6C0" w:rsidR="00C521E2" w:rsidRDefault="00B06E18">
          <w:pPr>
            <w:pStyle w:val="22"/>
            <w:tabs>
              <w:tab w:val="right" w:leader="dot" w:pos="8494"/>
            </w:tabs>
            <w:rPr>
              <w:rStyle w:val="af1"/>
              <w:rFonts w:ascii="宋体" w:hAnsi="宋体" w:cs="微软雅黑"/>
              <w:b/>
              <w:noProof/>
              <w:sz w:val="28"/>
              <w:szCs w:val="28"/>
            </w:rPr>
          </w:pPr>
          <w:hyperlink w:anchor="_Toc204539407" w:history="1">
            <w:r w:rsidR="00C521E2">
              <w:rPr>
                <w:rStyle w:val="af1"/>
                <w:rFonts w:ascii="宋体" w:hAnsi="宋体" w:cs="微软雅黑"/>
                <w:b/>
                <w:noProof/>
                <w:sz w:val="28"/>
                <w:szCs w:val="28"/>
              </w:rPr>
              <w:t>十六、托管协议的变更、终止与基金财产的清算</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_Toc204539407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41</w:t>
            </w:r>
            <w:r w:rsidR="00C521E2">
              <w:rPr>
                <w:rStyle w:val="af1"/>
                <w:rFonts w:ascii="宋体" w:hAnsi="宋体" w:cs="微软雅黑"/>
                <w:b/>
                <w:noProof/>
                <w:sz w:val="28"/>
                <w:szCs w:val="28"/>
              </w:rPr>
              <w:fldChar w:fldCharType="end"/>
            </w:r>
          </w:hyperlink>
        </w:p>
        <w:p w14:paraId="18F75AC4" w14:textId="0B3179CA" w:rsidR="00C521E2" w:rsidRDefault="00B06E18">
          <w:pPr>
            <w:pStyle w:val="22"/>
            <w:tabs>
              <w:tab w:val="right" w:leader="dot" w:pos="8494"/>
            </w:tabs>
            <w:rPr>
              <w:rStyle w:val="af1"/>
              <w:rFonts w:ascii="宋体" w:hAnsi="宋体" w:cs="微软雅黑"/>
              <w:b/>
              <w:noProof/>
              <w:sz w:val="28"/>
              <w:szCs w:val="28"/>
            </w:rPr>
          </w:pPr>
          <w:hyperlink w:anchor="_Toc204539408" w:history="1">
            <w:r w:rsidR="00C521E2">
              <w:rPr>
                <w:rStyle w:val="af1"/>
                <w:rFonts w:ascii="宋体" w:hAnsi="宋体" w:cs="微软雅黑"/>
                <w:b/>
                <w:noProof/>
                <w:sz w:val="28"/>
                <w:szCs w:val="28"/>
              </w:rPr>
              <w:t>十七、违约责任</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_Toc204539408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43</w:t>
            </w:r>
            <w:r w:rsidR="00C521E2">
              <w:rPr>
                <w:rStyle w:val="af1"/>
                <w:rFonts w:ascii="宋体" w:hAnsi="宋体" w:cs="微软雅黑"/>
                <w:b/>
                <w:noProof/>
                <w:sz w:val="28"/>
                <w:szCs w:val="28"/>
              </w:rPr>
              <w:fldChar w:fldCharType="end"/>
            </w:r>
          </w:hyperlink>
        </w:p>
        <w:p w14:paraId="6461DE27" w14:textId="7A39F729" w:rsidR="00C521E2" w:rsidRDefault="00B06E18">
          <w:pPr>
            <w:pStyle w:val="22"/>
            <w:tabs>
              <w:tab w:val="right" w:leader="dot" w:pos="8494"/>
            </w:tabs>
            <w:rPr>
              <w:rStyle w:val="af1"/>
              <w:rFonts w:ascii="宋体" w:hAnsi="宋体" w:cs="微软雅黑"/>
              <w:b/>
              <w:noProof/>
              <w:sz w:val="28"/>
              <w:szCs w:val="28"/>
            </w:rPr>
          </w:pPr>
          <w:hyperlink w:anchor="_Toc204539409" w:history="1">
            <w:r w:rsidR="00C521E2">
              <w:rPr>
                <w:rStyle w:val="af1"/>
                <w:rFonts w:ascii="宋体" w:hAnsi="宋体" w:cs="微软雅黑"/>
                <w:b/>
                <w:noProof/>
                <w:sz w:val="28"/>
                <w:szCs w:val="28"/>
              </w:rPr>
              <w:t>十八、争议解决方式</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_Toc204539409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44</w:t>
            </w:r>
            <w:r w:rsidR="00C521E2">
              <w:rPr>
                <w:rStyle w:val="af1"/>
                <w:rFonts w:ascii="宋体" w:hAnsi="宋体" w:cs="微软雅黑"/>
                <w:b/>
                <w:noProof/>
                <w:sz w:val="28"/>
                <w:szCs w:val="28"/>
              </w:rPr>
              <w:fldChar w:fldCharType="end"/>
            </w:r>
          </w:hyperlink>
        </w:p>
        <w:p w14:paraId="19946CEA" w14:textId="7EC2E106" w:rsidR="00C521E2" w:rsidRDefault="00B06E18">
          <w:pPr>
            <w:pStyle w:val="22"/>
            <w:tabs>
              <w:tab w:val="right" w:leader="dot" w:pos="8494"/>
            </w:tabs>
            <w:rPr>
              <w:rStyle w:val="af1"/>
              <w:rFonts w:ascii="宋体" w:hAnsi="宋体" w:cs="微软雅黑"/>
              <w:b/>
              <w:noProof/>
              <w:sz w:val="28"/>
              <w:szCs w:val="28"/>
            </w:rPr>
          </w:pPr>
          <w:hyperlink w:anchor="_Toc204539410" w:history="1">
            <w:r w:rsidR="00C521E2">
              <w:rPr>
                <w:rStyle w:val="af1"/>
                <w:rFonts w:ascii="宋体" w:hAnsi="宋体" w:cs="微软雅黑"/>
                <w:b/>
                <w:noProof/>
                <w:sz w:val="28"/>
                <w:szCs w:val="28"/>
              </w:rPr>
              <w:t>十九、托管协议的效力</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_Toc204539410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44</w:t>
            </w:r>
            <w:r w:rsidR="00C521E2">
              <w:rPr>
                <w:rStyle w:val="af1"/>
                <w:rFonts w:ascii="宋体" w:hAnsi="宋体" w:cs="微软雅黑"/>
                <w:b/>
                <w:noProof/>
                <w:sz w:val="28"/>
                <w:szCs w:val="28"/>
              </w:rPr>
              <w:fldChar w:fldCharType="end"/>
            </w:r>
          </w:hyperlink>
        </w:p>
        <w:p w14:paraId="6E231250" w14:textId="235833F1" w:rsidR="00C521E2" w:rsidRDefault="00B06E18">
          <w:pPr>
            <w:pStyle w:val="22"/>
            <w:tabs>
              <w:tab w:val="right" w:leader="dot" w:pos="8494"/>
            </w:tabs>
            <w:rPr>
              <w:rStyle w:val="af1"/>
              <w:rFonts w:ascii="宋体" w:hAnsi="宋体" w:cs="微软雅黑"/>
              <w:b/>
              <w:noProof/>
              <w:sz w:val="28"/>
              <w:szCs w:val="28"/>
            </w:rPr>
          </w:pPr>
          <w:hyperlink w:anchor="_Toc204539411" w:history="1">
            <w:r w:rsidR="00C521E2">
              <w:rPr>
                <w:rStyle w:val="af1"/>
                <w:rFonts w:ascii="宋体" w:hAnsi="宋体" w:cs="微软雅黑"/>
                <w:b/>
                <w:noProof/>
                <w:sz w:val="28"/>
                <w:szCs w:val="28"/>
              </w:rPr>
              <w:t>二十、其他事项</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_Toc204539411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45</w:t>
            </w:r>
            <w:r w:rsidR="00C521E2">
              <w:rPr>
                <w:rStyle w:val="af1"/>
                <w:rFonts w:ascii="宋体" w:hAnsi="宋体" w:cs="微软雅黑"/>
                <w:b/>
                <w:noProof/>
                <w:sz w:val="28"/>
                <w:szCs w:val="28"/>
              </w:rPr>
              <w:fldChar w:fldCharType="end"/>
            </w:r>
          </w:hyperlink>
        </w:p>
        <w:p w14:paraId="528287F0" w14:textId="27527A98" w:rsidR="00C521E2" w:rsidRDefault="00B06E18">
          <w:pPr>
            <w:pStyle w:val="22"/>
            <w:tabs>
              <w:tab w:val="right" w:leader="dot" w:pos="8494"/>
            </w:tabs>
            <w:rPr>
              <w:rStyle w:val="af1"/>
              <w:rFonts w:cs="微软雅黑"/>
              <w:b/>
              <w:noProof/>
            </w:rPr>
          </w:pPr>
          <w:hyperlink w:anchor="_Toc204539412" w:history="1">
            <w:r w:rsidR="00C521E2">
              <w:rPr>
                <w:rStyle w:val="af1"/>
                <w:rFonts w:ascii="宋体" w:hAnsi="宋体" w:cs="微软雅黑"/>
                <w:b/>
                <w:noProof/>
                <w:sz w:val="28"/>
                <w:szCs w:val="28"/>
              </w:rPr>
              <w:t>二十一、托管协议的签订</w:t>
            </w:r>
            <w:r w:rsidR="00C521E2">
              <w:rPr>
                <w:rStyle w:val="af1"/>
                <w:rFonts w:ascii="宋体" w:hAnsi="宋体" w:cs="微软雅黑"/>
                <w:b/>
                <w:noProof/>
                <w:sz w:val="28"/>
                <w:szCs w:val="28"/>
              </w:rPr>
              <w:tab/>
            </w:r>
            <w:r w:rsidR="00C521E2">
              <w:rPr>
                <w:rStyle w:val="af1"/>
                <w:rFonts w:ascii="宋体" w:hAnsi="宋体" w:cs="微软雅黑"/>
                <w:b/>
                <w:noProof/>
                <w:sz w:val="28"/>
                <w:szCs w:val="28"/>
              </w:rPr>
              <w:fldChar w:fldCharType="begin"/>
            </w:r>
            <w:r w:rsidR="00C521E2">
              <w:rPr>
                <w:rStyle w:val="af1"/>
                <w:rFonts w:ascii="宋体" w:hAnsi="宋体" w:cs="微软雅黑"/>
                <w:b/>
                <w:noProof/>
                <w:sz w:val="28"/>
                <w:szCs w:val="28"/>
              </w:rPr>
              <w:instrText xml:space="preserve"> PAGEREF _Toc204539412 \h </w:instrText>
            </w:r>
            <w:r w:rsidR="00C521E2">
              <w:rPr>
                <w:rStyle w:val="af1"/>
                <w:rFonts w:ascii="宋体" w:hAnsi="宋体" w:cs="微软雅黑"/>
                <w:b/>
                <w:noProof/>
                <w:sz w:val="28"/>
                <w:szCs w:val="28"/>
              </w:rPr>
            </w:r>
            <w:r w:rsidR="00C521E2">
              <w:rPr>
                <w:rStyle w:val="af1"/>
                <w:rFonts w:ascii="宋体" w:hAnsi="宋体" w:cs="微软雅黑"/>
                <w:b/>
                <w:noProof/>
                <w:sz w:val="28"/>
                <w:szCs w:val="28"/>
              </w:rPr>
              <w:fldChar w:fldCharType="separate"/>
            </w:r>
            <w:r w:rsidR="004A444F">
              <w:rPr>
                <w:rStyle w:val="af1"/>
                <w:rFonts w:ascii="宋体" w:hAnsi="宋体" w:cs="微软雅黑"/>
                <w:b/>
                <w:noProof/>
                <w:sz w:val="28"/>
                <w:szCs w:val="28"/>
              </w:rPr>
              <w:t>45</w:t>
            </w:r>
            <w:r w:rsidR="00C521E2">
              <w:rPr>
                <w:rStyle w:val="af1"/>
                <w:rFonts w:ascii="宋体" w:hAnsi="宋体" w:cs="微软雅黑"/>
                <w:b/>
                <w:noProof/>
                <w:sz w:val="28"/>
                <w:szCs w:val="28"/>
              </w:rPr>
              <w:fldChar w:fldCharType="end"/>
            </w:r>
          </w:hyperlink>
        </w:p>
        <w:p w14:paraId="74A5EC35" w14:textId="77777777" w:rsidR="00C521E2" w:rsidRDefault="005D6E6D">
          <w:pPr>
            <w:pStyle w:val="22"/>
            <w:tabs>
              <w:tab w:val="right" w:leader="dot" w:pos="8494"/>
            </w:tabs>
            <w:ind w:leftChars="0" w:left="0"/>
            <w:rPr>
              <w:b/>
              <w:bCs/>
              <w:lang w:val="zh-CN"/>
            </w:rPr>
          </w:pPr>
          <w:r>
            <w:rPr>
              <w:rStyle w:val="af1"/>
              <w:rFonts w:cs="微软雅黑"/>
            </w:rPr>
            <w:lastRenderedPageBreak/>
            <w:fldChar w:fldCharType="end"/>
          </w:r>
        </w:p>
      </w:sdtContent>
    </w:sdt>
    <w:p w14:paraId="1C63AE48" w14:textId="77777777" w:rsidR="00C521E2" w:rsidRDefault="005D6E6D">
      <w:pPr>
        <w:widowControl/>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鉴于嘉实基金管理有限公司系一家依照中国法律合法成立并有效存续的有限责任公司，按照相关法律法规的规定具备担任基金管理人的资格和能力，拟募集发行嘉实中证沪港深云计算产业交易型开放式指数证券投资基金联接基金；</w:t>
      </w:r>
    </w:p>
    <w:p w14:paraId="3721D1E7" w14:textId="77777777" w:rsidR="00C521E2" w:rsidRDefault="005D6E6D">
      <w:pPr>
        <w:widowControl/>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鉴于中国建设银行股份有限公司系一家依照中国法律合法成立并有效存续的银行，按照相关法律法规的规定具备担任基金托管人的资格和能力；</w:t>
      </w:r>
    </w:p>
    <w:p w14:paraId="277E6B47" w14:textId="77777777" w:rsidR="00C521E2" w:rsidRDefault="005D6E6D">
      <w:pPr>
        <w:widowControl/>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鉴于嘉实基金管理有限公司拟担任嘉实中证沪港深云计算产业交易型开放式指数证券投资基金联接基金的基金管理人</w:t>
      </w:r>
      <w:r>
        <w:rPr>
          <w:rFonts w:ascii="宋体" w:eastAsia="宋体" w:hAnsi="宋体" w:cs="Malgun Gothic Semilight" w:hint="eastAsia"/>
          <w:sz w:val="24"/>
          <w:szCs w:val="24"/>
        </w:rPr>
        <w:t>，</w:t>
      </w:r>
      <w:r>
        <w:rPr>
          <w:rFonts w:ascii="宋体" w:eastAsia="宋体" w:hAnsi="宋体" w:cs="微软雅黑" w:hint="eastAsia"/>
          <w:sz w:val="24"/>
          <w:szCs w:val="24"/>
        </w:rPr>
        <w:t>中国建设银行股份有限公司拟担任嘉实中证沪港深云计算产业交易型开放式指数证券投资基金联接基金的基金托管人</w:t>
      </w:r>
      <w:r>
        <w:rPr>
          <w:rFonts w:ascii="宋体" w:eastAsia="宋体" w:hAnsi="宋体" w:cs="Malgun Gothic Semilight" w:hint="eastAsia"/>
          <w:sz w:val="24"/>
          <w:szCs w:val="24"/>
        </w:rPr>
        <w:t>；</w:t>
      </w:r>
    </w:p>
    <w:p w14:paraId="37E64CE6" w14:textId="77777777" w:rsidR="00C521E2" w:rsidRDefault="005D6E6D">
      <w:pPr>
        <w:widowControl/>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为明确嘉实中证沪港深云计算产业交易型开放式指数证券投资基金联接基金（以下简称“本基金”）的基金管理人和基金托管人之间的权利义务关系</w:t>
      </w:r>
      <w:r>
        <w:rPr>
          <w:rFonts w:ascii="宋体" w:eastAsia="宋体" w:hAnsi="宋体" w:cs="Malgun Gothic Semilight" w:hint="eastAsia"/>
          <w:sz w:val="24"/>
          <w:szCs w:val="24"/>
        </w:rPr>
        <w:t>，</w:t>
      </w:r>
      <w:r>
        <w:rPr>
          <w:rFonts w:ascii="宋体" w:eastAsia="宋体" w:hAnsi="宋体" w:cs="微软雅黑" w:hint="eastAsia"/>
          <w:sz w:val="24"/>
          <w:szCs w:val="24"/>
        </w:rPr>
        <w:t>特制订本托管协议</w:t>
      </w:r>
      <w:r>
        <w:rPr>
          <w:rFonts w:ascii="宋体" w:eastAsia="宋体" w:hAnsi="宋体" w:cs="Malgun Gothic Semilight" w:hint="eastAsia"/>
          <w:sz w:val="24"/>
          <w:szCs w:val="24"/>
        </w:rPr>
        <w:t>；</w:t>
      </w:r>
    </w:p>
    <w:p w14:paraId="1920DFAF" w14:textId="77777777" w:rsidR="00C521E2" w:rsidRDefault="005D6E6D">
      <w:pPr>
        <w:widowControl/>
        <w:adjustRightInd w:val="0"/>
        <w:snapToGrid w:val="0"/>
        <w:spacing w:line="360" w:lineRule="auto"/>
        <w:ind w:firstLineChars="200" w:firstLine="480"/>
        <w:rPr>
          <w:rFonts w:ascii="宋体" w:eastAsia="宋体" w:hAnsi="宋体" w:cs="Malgun Gothic Semilight"/>
          <w:sz w:val="24"/>
          <w:szCs w:val="24"/>
          <w:lang w:val="en-GB"/>
        </w:rPr>
      </w:pPr>
      <w:r>
        <w:rPr>
          <w:rFonts w:ascii="宋体" w:eastAsia="宋体" w:hAnsi="宋体" w:cs="微软雅黑" w:hint="eastAsia"/>
          <w:sz w:val="24"/>
          <w:szCs w:val="24"/>
          <w:lang w:val="en-GB"/>
        </w:rPr>
        <w:t>除非另有约定</w:t>
      </w:r>
      <w:r>
        <w:rPr>
          <w:rFonts w:ascii="宋体" w:eastAsia="宋体" w:hAnsi="宋体" w:cs="Malgun Gothic Semilight" w:hint="eastAsia"/>
          <w:sz w:val="24"/>
          <w:szCs w:val="24"/>
          <w:lang w:val="en-GB"/>
        </w:rPr>
        <w:t>，《</w:t>
      </w:r>
      <w:r>
        <w:rPr>
          <w:rFonts w:ascii="宋体" w:eastAsia="宋体" w:hAnsi="宋体" w:cs="微软雅黑" w:hint="eastAsia"/>
          <w:sz w:val="24"/>
          <w:szCs w:val="24"/>
        </w:rPr>
        <w:t>嘉实中证沪港深云计算产业交易型开放式指数证券投资基金联接基金</w:t>
      </w:r>
      <w:r>
        <w:rPr>
          <w:rFonts w:ascii="宋体" w:eastAsia="宋体" w:hAnsi="宋体" w:cs="微软雅黑" w:hint="eastAsia"/>
          <w:sz w:val="24"/>
          <w:szCs w:val="24"/>
          <w:lang w:val="en-GB"/>
        </w:rPr>
        <w:t>基金合同</w:t>
      </w:r>
      <w:r>
        <w:rPr>
          <w:rFonts w:ascii="宋体" w:eastAsia="宋体" w:hAnsi="宋体" w:cs="Malgun Gothic Semilight" w:hint="eastAsia"/>
          <w:sz w:val="24"/>
          <w:szCs w:val="24"/>
          <w:lang w:val="en-GB"/>
        </w:rPr>
        <w:t>》</w:t>
      </w:r>
      <w:r>
        <w:rPr>
          <w:rFonts w:ascii="宋体" w:eastAsia="宋体" w:hAnsi="宋体" w:cs="Arial" w:hint="eastAsia"/>
          <w:sz w:val="24"/>
          <w:szCs w:val="24"/>
          <w:lang w:val="en-GB"/>
        </w:rPr>
        <w:t>（</w:t>
      </w:r>
      <w:r>
        <w:rPr>
          <w:rFonts w:ascii="宋体" w:eastAsia="宋体" w:hAnsi="宋体" w:cs="微软雅黑" w:hint="eastAsia"/>
          <w:sz w:val="24"/>
          <w:szCs w:val="24"/>
          <w:lang w:val="en-GB"/>
        </w:rPr>
        <w:t>以下简称</w:t>
      </w:r>
      <w:r>
        <w:rPr>
          <w:rFonts w:ascii="宋体" w:eastAsia="宋体" w:hAnsi="宋体" w:cs="Malgun Gothic Semilight" w:hint="eastAsia"/>
          <w:sz w:val="24"/>
          <w:szCs w:val="24"/>
          <w:lang w:val="en-GB"/>
        </w:rPr>
        <w:t>“《</w:t>
      </w:r>
      <w:r>
        <w:rPr>
          <w:rFonts w:ascii="宋体" w:eastAsia="宋体" w:hAnsi="宋体" w:cs="微软雅黑" w:hint="eastAsia"/>
          <w:sz w:val="24"/>
          <w:szCs w:val="24"/>
          <w:lang w:val="en-GB"/>
        </w:rPr>
        <w:t>基金合同》</w:t>
      </w:r>
      <w:r>
        <w:rPr>
          <w:rFonts w:ascii="宋体" w:eastAsia="宋体" w:hAnsi="宋体" w:cs="Malgun Gothic Semilight" w:hint="eastAsia"/>
          <w:sz w:val="24"/>
          <w:szCs w:val="24"/>
          <w:lang w:val="en-GB"/>
        </w:rPr>
        <w:t>”</w:t>
      </w:r>
      <w:r>
        <w:rPr>
          <w:rFonts w:ascii="宋体" w:eastAsia="宋体" w:hAnsi="宋体" w:cs="Arial" w:hint="eastAsia"/>
          <w:sz w:val="24"/>
          <w:szCs w:val="24"/>
          <w:lang w:val="en-GB"/>
        </w:rPr>
        <w:t>）</w:t>
      </w:r>
      <w:r>
        <w:rPr>
          <w:rFonts w:ascii="宋体" w:eastAsia="宋体" w:hAnsi="宋体" w:cs="微软雅黑" w:hint="eastAsia"/>
          <w:sz w:val="24"/>
          <w:szCs w:val="24"/>
          <w:lang w:val="en-GB"/>
        </w:rPr>
        <w:t>中定义的术语在用于本托管协议时应具有相同的含义</w:t>
      </w:r>
      <w:r>
        <w:rPr>
          <w:rFonts w:ascii="宋体" w:eastAsia="宋体" w:hAnsi="宋体" w:cs="Malgun Gothic Semilight" w:hint="eastAsia"/>
          <w:sz w:val="24"/>
          <w:szCs w:val="24"/>
          <w:lang w:val="en-GB"/>
        </w:rPr>
        <w:t>；</w:t>
      </w:r>
      <w:r>
        <w:rPr>
          <w:rFonts w:ascii="宋体" w:eastAsia="宋体" w:hAnsi="宋体" w:cs="微软雅黑" w:hint="eastAsia"/>
          <w:sz w:val="24"/>
          <w:szCs w:val="24"/>
          <w:lang w:val="en-GB"/>
        </w:rPr>
        <w:t>若有抵触应以</w:t>
      </w:r>
      <w:r>
        <w:rPr>
          <w:rFonts w:ascii="宋体" w:eastAsia="宋体" w:hAnsi="宋体" w:cs="Malgun Gothic Semilight" w:hint="eastAsia"/>
          <w:sz w:val="24"/>
          <w:szCs w:val="24"/>
          <w:lang w:val="en-GB"/>
        </w:rPr>
        <w:t>《</w:t>
      </w:r>
      <w:r>
        <w:rPr>
          <w:rFonts w:ascii="宋体" w:eastAsia="宋体" w:hAnsi="宋体" w:cs="微软雅黑" w:hint="eastAsia"/>
          <w:sz w:val="24"/>
          <w:szCs w:val="24"/>
          <w:lang w:val="en-GB"/>
        </w:rPr>
        <w:t>基金合同</w:t>
      </w:r>
      <w:r>
        <w:rPr>
          <w:rFonts w:ascii="宋体" w:eastAsia="宋体" w:hAnsi="宋体" w:cs="Malgun Gothic Semilight" w:hint="eastAsia"/>
          <w:sz w:val="24"/>
          <w:szCs w:val="24"/>
          <w:lang w:val="en-GB"/>
        </w:rPr>
        <w:t>》</w:t>
      </w:r>
      <w:r>
        <w:rPr>
          <w:rFonts w:ascii="宋体" w:eastAsia="宋体" w:hAnsi="宋体" w:cs="微软雅黑" w:hint="eastAsia"/>
          <w:sz w:val="24"/>
          <w:szCs w:val="24"/>
          <w:lang w:val="en-GB"/>
        </w:rPr>
        <w:t>为准</w:t>
      </w:r>
      <w:r>
        <w:rPr>
          <w:rFonts w:ascii="宋体" w:eastAsia="宋体" w:hAnsi="宋体" w:cs="Malgun Gothic Semilight" w:hint="eastAsia"/>
          <w:sz w:val="24"/>
          <w:szCs w:val="24"/>
          <w:lang w:val="en-GB"/>
        </w:rPr>
        <w:t>，</w:t>
      </w:r>
      <w:r>
        <w:rPr>
          <w:rFonts w:ascii="宋体" w:eastAsia="宋体" w:hAnsi="宋体" w:cs="微软雅黑" w:hint="eastAsia"/>
          <w:sz w:val="24"/>
          <w:szCs w:val="24"/>
          <w:lang w:val="en-GB"/>
        </w:rPr>
        <w:t>并依其</w:t>
      </w:r>
      <w:r>
        <w:rPr>
          <w:rFonts w:ascii="宋体" w:eastAsia="宋体" w:hAnsi="宋体" w:cs="微软雅黑" w:hint="eastAsia"/>
          <w:sz w:val="24"/>
          <w:szCs w:val="24"/>
        </w:rPr>
        <w:t>条款</w:t>
      </w:r>
      <w:r>
        <w:rPr>
          <w:rFonts w:ascii="宋体" w:eastAsia="宋体" w:hAnsi="宋体" w:cs="微软雅黑" w:hint="eastAsia"/>
          <w:sz w:val="24"/>
          <w:szCs w:val="24"/>
          <w:lang w:val="en-GB"/>
        </w:rPr>
        <w:t>解释</w:t>
      </w:r>
      <w:r>
        <w:rPr>
          <w:rFonts w:ascii="宋体" w:eastAsia="宋体" w:hAnsi="宋体" w:cs="Malgun Gothic Semilight" w:hint="eastAsia"/>
          <w:sz w:val="24"/>
          <w:szCs w:val="24"/>
          <w:lang w:val="en-GB"/>
        </w:rPr>
        <w:t>。</w:t>
      </w:r>
    </w:p>
    <w:p w14:paraId="1D320508" w14:textId="77777777" w:rsidR="00C521E2" w:rsidRDefault="005D6E6D">
      <w:pPr>
        <w:widowControl/>
        <w:adjustRightInd w:val="0"/>
        <w:snapToGrid w:val="0"/>
        <w:spacing w:line="360" w:lineRule="auto"/>
        <w:ind w:firstLineChars="200" w:firstLine="480"/>
        <w:rPr>
          <w:rFonts w:ascii="宋体" w:eastAsia="宋体" w:hAnsi="宋体" w:cs="Arial"/>
          <w:sz w:val="24"/>
          <w:szCs w:val="24"/>
          <w:lang w:val="en-GB"/>
        </w:rPr>
      </w:pPr>
      <w:r>
        <w:rPr>
          <w:rFonts w:ascii="宋体" w:eastAsia="宋体" w:hAnsi="宋体" w:cs="Arial" w:hint="eastAsia"/>
          <w:sz w:val="24"/>
          <w:szCs w:val="24"/>
          <w:lang w:val="en-GB"/>
        </w:rPr>
        <w:t>若本基金实施侧袋机制的，侧袋机制实施期间的相关安排见基金合同和招募说明书的规定。</w:t>
      </w:r>
    </w:p>
    <w:p w14:paraId="22F7D02F" w14:textId="77777777" w:rsidR="00C521E2" w:rsidRDefault="00C521E2">
      <w:pPr>
        <w:widowControl/>
        <w:adjustRightInd w:val="0"/>
        <w:snapToGrid w:val="0"/>
        <w:spacing w:line="360" w:lineRule="auto"/>
        <w:ind w:firstLineChars="200" w:firstLine="480"/>
        <w:rPr>
          <w:rFonts w:ascii="宋体" w:eastAsia="宋体" w:hAnsi="宋体" w:cs="Arial"/>
          <w:sz w:val="24"/>
          <w:szCs w:val="24"/>
          <w:lang w:val="en-GB"/>
        </w:rPr>
      </w:pPr>
    </w:p>
    <w:p w14:paraId="17FA7178" w14:textId="77777777" w:rsidR="00C521E2" w:rsidRDefault="005D6E6D">
      <w:pPr>
        <w:widowControl/>
        <w:spacing w:line="360" w:lineRule="auto"/>
        <w:jc w:val="left"/>
        <w:rPr>
          <w:rFonts w:ascii="宋体" w:eastAsia="宋体" w:hAnsi="宋体" w:cs="Times New Roman"/>
          <w:sz w:val="24"/>
          <w:szCs w:val="24"/>
          <w:lang w:val="en-GB"/>
        </w:rPr>
      </w:pPr>
      <w:r>
        <w:rPr>
          <w:rFonts w:ascii="宋体" w:eastAsia="宋体" w:hAnsi="宋体" w:cs="Times New Roman"/>
          <w:sz w:val="24"/>
          <w:szCs w:val="24"/>
          <w:lang w:val="en-GB"/>
        </w:rPr>
        <w:br w:type="page"/>
      </w:r>
    </w:p>
    <w:p w14:paraId="7DDFCCA0" w14:textId="77777777" w:rsidR="00C521E2" w:rsidRDefault="005D6E6D">
      <w:pPr>
        <w:keepNext/>
        <w:keepLines/>
        <w:spacing w:before="260" w:after="260" w:line="360" w:lineRule="auto"/>
        <w:jc w:val="center"/>
        <w:outlineLvl w:val="1"/>
        <w:rPr>
          <w:rFonts w:ascii="宋体" w:eastAsia="宋体" w:hAnsi="宋体" w:cs="Times New Roman"/>
          <w:b/>
          <w:sz w:val="32"/>
          <w:szCs w:val="20"/>
        </w:rPr>
      </w:pPr>
      <w:bookmarkStart w:id="1" w:name="_Toc204539392"/>
      <w:r>
        <w:rPr>
          <w:rFonts w:ascii="宋体" w:eastAsia="宋体" w:hAnsi="宋体" w:cs="微软雅黑" w:hint="eastAsia"/>
          <w:b/>
          <w:sz w:val="32"/>
          <w:szCs w:val="20"/>
        </w:rPr>
        <w:lastRenderedPageBreak/>
        <w:t>一</w:t>
      </w:r>
      <w:r>
        <w:rPr>
          <w:rFonts w:ascii="宋体" w:eastAsia="宋体" w:hAnsi="宋体" w:cs="Malgun Gothic Semilight" w:hint="eastAsia"/>
          <w:b/>
          <w:sz w:val="32"/>
          <w:szCs w:val="20"/>
        </w:rPr>
        <w:t>、</w:t>
      </w:r>
      <w:r>
        <w:rPr>
          <w:rFonts w:ascii="宋体" w:eastAsia="宋体" w:hAnsi="宋体" w:cs="微软雅黑" w:hint="eastAsia"/>
          <w:b/>
          <w:sz w:val="32"/>
          <w:szCs w:val="20"/>
        </w:rPr>
        <w:t>基金托管协议当事人</w:t>
      </w:r>
      <w:bookmarkEnd w:id="1"/>
    </w:p>
    <w:p w14:paraId="0DBA13A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Arial" w:hint="eastAsia"/>
          <w:sz w:val="24"/>
          <w:szCs w:val="24"/>
        </w:rPr>
        <w:t>）</w:t>
      </w:r>
      <w:r>
        <w:rPr>
          <w:rFonts w:ascii="宋体" w:eastAsia="宋体" w:hAnsi="宋体" w:cs="微软雅黑" w:hint="eastAsia"/>
          <w:sz w:val="24"/>
          <w:szCs w:val="24"/>
        </w:rPr>
        <w:t>基金管理人</w:t>
      </w:r>
    </w:p>
    <w:p w14:paraId="368FEAE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名称</w:t>
      </w:r>
      <w:r>
        <w:rPr>
          <w:rFonts w:ascii="宋体" w:eastAsia="宋体" w:hAnsi="宋体" w:cs="Malgun Gothic Semilight" w:hint="eastAsia"/>
          <w:sz w:val="24"/>
          <w:szCs w:val="24"/>
        </w:rPr>
        <w:t>：</w:t>
      </w:r>
      <w:r>
        <w:rPr>
          <w:rFonts w:ascii="宋体" w:eastAsia="宋体" w:hAnsi="宋体" w:cs="微软雅黑" w:hint="eastAsia"/>
          <w:sz w:val="24"/>
          <w:szCs w:val="24"/>
        </w:rPr>
        <w:t>嘉实基金管理有限公司</w:t>
      </w:r>
    </w:p>
    <w:p w14:paraId="4A3414A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注册地址</w:t>
      </w:r>
      <w:r>
        <w:rPr>
          <w:rFonts w:ascii="宋体" w:eastAsia="宋体" w:hAnsi="宋体" w:cs="Malgun Gothic Semilight" w:hint="eastAsia"/>
          <w:sz w:val="24"/>
          <w:szCs w:val="24"/>
        </w:rPr>
        <w:t>：</w:t>
      </w:r>
      <w:r>
        <w:rPr>
          <w:rFonts w:ascii="宋体" w:eastAsia="宋体" w:hAnsi="宋体" w:cs="微软雅黑" w:hint="eastAsia"/>
          <w:sz w:val="24"/>
          <w:szCs w:val="24"/>
        </w:rPr>
        <w:t>中国</w:t>
      </w:r>
      <w:r>
        <w:rPr>
          <w:rFonts w:ascii="宋体" w:eastAsia="宋体" w:hAnsi="宋体" w:cs="Malgun Gothic Semilight" w:hint="eastAsia"/>
          <w:sz w:val="24"/>
          <w:szCs w:val="24"/>
        </w:rPr>
        <w:t>（</w:t>
      </w:r>
      <w:r>
        <w:rPr>
          <w:rFonts w:ascii="宋体" w:eastAsia="宋体" w:hAnsi="宋体" w:cs="微软雅黑" w:hint="eastAsia"/>
          <w:sz w:val="24"/>
          <w:szCs w:val="24"/>
        </w:rPr>
        <w:t>上海</w:t>
      </w:r>
      <w:r>
        <w:rPr>
          <w:rFonts w:ascii="宋体" w:eastAsia="宋体" w:hAnsi="宋体" w:cs="Malgun Gothic Semilight" w:hint="eastAsia"/>
          <w:sz w:val="24"/>
          <w:szCs w:val="24"/>
        </w:rPr>
        <w:t>）</w:t>
      </w:r>
      <w:r>
        <w:rPr>
          <w:rFonts w:ascii="宋体" w:eastAsia="宋体" w:hAnsi="宋体" w:cs="微软雅黑" w:hint="eastAsia"/>
          <w:sz w:val="24"/>
          <w:szCs w:val="24"/>
        </w:rPr>
        <w:t>自由贸易试验区陆家嘴环路</w:t>
      </w:r>
      <w:r>
        <w:rPr>
          <w:rFonts w:ascii="宋体" w:eastAsia="宋体" w:hAnsi="宋体" w:cs="Malgun Gothic Semilight"/>
          <w:sz w:val="24"/>
          <w:szCs w:val="24"/>
        </w:rPr>
        <w:t>1318</w:t>
      </w:r>
      <w:r>
        <w:rPr>
          <w:rFonts w:ascii="宋体" w:eastAsia="宋体" w:hAnsi="宋体" w:cs="微软雅黑" w:hint="eastAsia"/>
          <w:sz w:val="24"/>
          <w:szCs w:val="24"/>
        </w:rPr>
        <w:t>号</w:t>
      </w:r>
      <w:r>
        <w:rPr>
          <w:rFonts w:ascii="宋体" w:eastAsia="宋体" w:hAnsi="宋体" w:cs="Malgun Gothic Semilight"/>
          <w:sz w:val="24"/>
          <w:szCs w:val="24"/>
        </w:rPr>
        <w:t>1806A</w:t>
      </w:r>
      <w:r>
        <w:rPr>
          <w:rFonts w:ascii="宋体" w:eastAsia="宋体" w:hAnsi="宋体" w:cs="微软雅黑" w:hint="eastAsia"/>
          <w:sz w:val="24"/>
          <w:szCs w:val="24"/>
        </w:rPr>
        <w:t>单元</w:t>
      </w:r>
    </w:p>
    <w:p w14:paraId="4B086DD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办公地址</w:t>
      </w:r>
      <w:r>
        <w:rPr>
          <w:rFonts w:ascii="宋体" w:eastAsia="宋体" w:hAnsi="宋体" w:cs="Malgun Gothic Semilight" w:hint="eastAsia"/>
          <w:sz w:val="24"/>
          <w:szCs w:val="24"/>
        </w:rPr>
        <w:t>：</w:t>
      </w:r>
      <w:r>
        <w:rPr>
          <w:rFonts w:ascii="宋体" w:eastAsia="宋体" w:hAnsi="宋体" w:cs="微软雅黑" w:hint="eastAsia"/>
          <w:sz w:val="24"/>
          <w:szCs w:val="24"/>
        </w:rPr>
        <w:t>北京市朝阳区建国门外大街</w:t>
      </w:r>
      <w:r>
        <w:rPr>
          <w:rFonts w:ascii="宋体" w:eastAsia="宋体" w:hAnsi="宋体" w:cs="Malgun Gothic Semilight"/>
          <w:sz w:val="24"/>
          <w:szCs w:val="24"/>
        </w:rPr>
        <w:t>21</w:t>
      </w:r>
      <w:r>
        <w:rPr>
          <w:rFonts w:ascii="宋体" w:eastAsia="宋体" w:hAnsi="宋体" w:cs="微软雅黑" w:hint="eastAsia"/>
          <w:sz w:val="24"/>
          <w:szCs w:val="24"/>
        </w:rPr>
        <w:t>号北京国际俱乐部</w:t>
      </w:r>
      <w:r>
        <w:rPr>
          <w:rFonts w:ascii="宋体" w:eastAsia="宋体" w:hAnsi="宋体" w:cs="Malgun Gothic Semilight"/>
          <w:sz w:val="24"/>
          <w:szCs w:val="24"/>
        </w:rPr>
        <w:t>C</w:t>
      </w:r>
      <w:r>
        <w:rPr>
          <w:rFonts w:ascii="宋体" w:eastAsia="宋体" w:hAnsi="宋体" w:cs="微软雅黑" w:hint="eastAsia"/>
          <w:sz w:val="24"/>
          <w:szCs w:val="24"/>
        </w:rPr>
        <w:t>座写字楼</w:t>
      </w:r>
      <w:r>
        <w:rPr>
          <w:rFonts w:ascii="宋体" w:eastAsia="宋体" w:hAnsi="宋体" w:cs="Malgun Gothic Semilight"/>
          <w:sz w:val="24"/>
          <w:szCs w:val="24"/>
        </w:rPr>
        <w:t>12A</w:t>
      </w:r>
      <w:r>
        <w:rPr>
          <w:rFonts w:ascii="宋体" w:eastAsia="宋体" w:hAnsi="宋体" w:cs="微软雅黑" w:hint="eastAsia"/>
          <w:sz w:val="24"/>
          <w:szCs w:val="24"/>
        </w:rPr>
        <w:t>层</w:t>
      </w:r>
    </w:p>
    <w:p w14:paraId="1D6A5C3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邮政编码</w:t>
      </w:r>
      <w:r>
        <w:rPr>
          <w:rFonts w:ascii="宋体" w:eastAsia="宋体" w:hAnsi="宋体" w:cs="Malgun Gothic Semilight" w:hint="eastAsia"/>
          <w:sz w:val="24"/>
          <w:szCs w:val="24"/>
        </w:rPr>
        <w:t>：1</w:t>
      </w:r>
      <w:r>
        <w:rPr>
          <w:rFonts w:ascii="宋体" w:eastAsia="宋体" w:hAnsi="宋体" w:cs="Malgun Gothic Semilight"/>
          <w:sz w:val="24"/>
          <w:szCs w:val="24"/>
        </w:rPr>
        <w:t>00020</w:t>
      </w:r>
    </w:p>
    <w:p w14:paraId="145FBF8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法定代表人</w:t>
      </w:r>
      <w:r>
        <w:rPr>
          <w:rFonts w:ascii="宋体" w:eastAsia="宋体" w:hAnsi="宋体" w:cs="Malgun Gothic Semilight" w:hint="eastAsia"/>
          <w:sz w:val="24"/>
          <w:szCs w:val="24"/>
        </w:rPr>
        <w:t>：</w:t>
      </w:r>
      <w:r>
        <w:rPr>
          <w:rFonts w:ascii="宋体" w:eastAsia="宋体" w:hAnsi="宋体" w:cs="微软雅黑" w:hint="eastAsia"/>
          <w:sz w:val="24"/>
          <w:szCs w:val="24"/>
        </w:rPr>
        <w:t>经雷</w:t>
      </w:r>
    </w:p>
    <w:p w14:paraId="3842B3C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成立日期</w:t>
      </w:r>
      <w:r>
        <w:rPr>
          <w:rFonts w:ascii="宋体" w:eastAsia="宋体" w:hAnsi="宋体" w:cs="Malgun Gothic Semilight" w:hint="eastAsia"/>
          <w:sz w:val="24"/>
          <w:szCs w:val="24"/>
        </w:rPr>
        <w:t>：1</w:t>
      </w:r>
      <w:r>
        <w:rPr>
          <w:rFonts w:ascii="宋体" w:eastAsia="宋体" w:hAnsi="宋体" w:cs="Malgun Gothic Semilight"/>
          <w:sz w:val="24"/>
          <w:szCs w:val="24"/>
        </w:rPr>
        <w:t>999</w:t>
      </w:r>
      <w:r>
        <w:rPr>
          <w:rFonts w:ascii="宋体" w:eastAsia="宋体" w:hAnsi="宋体" w:cs="微软雅黑" w:hint="eastAsia"/>
          <w:sz w:val="24"/>
          <w:szCs w:val="24"/>
        </w:rPr>
        <w:t>年3月2</w:t>
      </w:r>
      <w:r>
        <w:rPr>
          <w:rFonts w:ascii="宋体" w:eastAsia="宋体" w:hAnsi="宋体" w:cs="微软雅黑"/>
          <w:sz w:val="24"/>
          <w:szCs w:val="24"/>
        </w:rPr>
        <w:t>5</w:t>
      </w:r>
      <w:r>
        <w:rPr>
          <w:rFonts w:ascii="宋体" w:eastAsia="宋体" w:hAnsi="宋体" w:cs="微软雅黑" w:hint="eastAsia"/>
          <w:sz w:val="24"/>
          <w:szCs w:val="24"/>
        </w:rPr>
        <w:t>日</w:t>
      </w:r>
    </w:p>
    <w:p w14:paraId="71F85D3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批准设立机关及批准设立文号</w:t>
      </w:r>
      <w:r>
        <w:rPr>
          <w:rFonts w:ascii="宋体" w:eastAsia="宋体" w:hAnsi="宋体" w:cs="Malgun Gothic Semilight" w:hint="eastAsia"/>
          <w:sz w:val="24"/>
          <w:szCs w:val="24"/>
        </w:rPr>
        <w:t>：</w:t>
      </w:r>
      <w:r>
        <w:rPr>
          <w:rFonts w:ascii="宋体" w:eastAsia="宋体" w:hAnsi="宋体" w:cs="微软雅黑" w:hint="eastAsia"/>
          <w:sz w:val="24"/>
          <w:szCs w:val="24"/>
        </w:rPr>
        <w:t>中国证监会证监基金字</w:t>
      </w:r>
      <w:r>
        <w:rPr>
          <w:rFonts w:ascii="宋体" w:eastAsia="宋体" w:hAnsi="宋体" w:cs="Arial" w:hint="eastAsia"/>
          <w:sz w:val="24"/>
          <w:szCs w:val="24"/>
        </w:rPr>
        <w:t>【1</w:t>
      </w:r>
      <w:r>
        <w:rPr>
          <w:rFonts w:ascii="宋体" w:eastAsia="宋体" w:hAnsi="宋体" w:cs="Arial"/>
          <w:sz w:val="24"/>
          <w:szCs w:val="24"/>
        </w:rPr>
        <w:t>999</w:t>
      </w:r>
      <w:r>
        <w:rPr>
          <w:rFonts w:ascii="宋体" w:eastAsia="宋体" w:hAnsi="宋体" w:cs="Arial" w:hint="eastAsia"/>
          <w:sz w:val="24"/>
          <w:szCs w:val="24"/>
        </w:rPr>
        <w:t>】</w:t>
      </w:r>
      <w:r>
        <w:rPr>
          <w:rFonts w:ascii="宋体" w:eastAsia="宋体" w:hAnsi="宋体" w:cs="Arial"/>
          <w:sz w:val="24"/>
          <w:szCs w:val="24"/>
        </w:rPr>
        <w:t>5</w:t>
      </w:r>
      <w:r>
        <w:rPr>
          <w:rFonts w:ascii="宋体" w:eastAsia="宋体" w:hAnsi="宋体" w:cs="微软雅黑" w:hint="eastAsia"/>
          <w:sz w:val="24"/>
          <w:szCs w:val="24"/>
        </w:rPr>
        <w:t>号</w:t>
      </w:r>
    </w:p>
    <w:p w14:paraId="601D0B7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组织形式</w:t>
      </w:r>
      <w:r>
        <w:rPr>
          <w:rFonts w:ascii="宋体" w:eastAsia="宋体" w:hAnsi="宋体" w:cs="Malgun Gothic Semilight" w:hint="eastAsia"/>
          <w:sz w:val="24"/>
          <w:szCs w:val="24"/>
        </w:rPr>
        <w:t>：</w:t>
      </w:r>
      <w:r>
        <w:rPr>
          <w:rFonts w:ascii="宋体" w:eastAsia="宋体" w:hAnsi="宋体" w:cs="微软雅黑" w:hint="eastAsia"/>
          <w:sz w:val="24"/>
          <w:szCs w:val="24"/>
        </w:rPr>
        <w:t>有限责任公司</w:t>
      </w:r>
      <w:r>
        <w:rPr>
          <w:rFonts w:ascii="宋体" w:eastAsia="宋体" w:hAnsi="宋体" w:cs="Malgun Gothic Semilight" w:hint="eastAsia"/>
          <w:sz w:val="24"/>
          <w:szCs w:val="24"/>
        </w:rPr>
        <w:t>（</w:t>
      </w:r>
      <w:r>
        <w:rPr>
          <w:rFonts w:ascii="宋体" w:eastAsia="宋体" w:hAnsi="宋体" w:cs="微软雅黑" w:hint="eastAsia"/>
          <w:sz w:val="24"/>
          <w:szCs w:val="24"/>
        </w:rPr>
        <w:t>外商投资</w:t>
      </w:r>
      <w:r>
        <w:rPr>
          <w:rFonts w:ascii="宋体" w:eastAsia="宋体" w:hAnsi="宋体" w:cs="Malgun Gothic Semilight" w:hint="eastAsia"/>
          <w:sz w:val="24"/>
          <w:szCs w:val="24"/>
        </w:rPr>
        <w:t>、</w:t>
      </w:r>
      <w:r>
        <w:rPr>
          <w:rFonts w:ascii="宋体" w:eastAsia="宋体" w:hAnsi="宋体" w:cs="微软雅黑" w:hint="eastAsia"/>
          <w:sz w:val="24"/>
          <w:szCs w:val="24"/>
        </w:rPr>
        <w:t>非独资</w:t>
      </w:r>
      <w:r>
        <w:rPr>
          <w:rFonts w:ascii="宋体" w:eastAsia="宋体" w:hAnsi="宋体" w:cs="Malgun Gothic Semilight" w:hint="eastAsia"/>
          <w:sz w:val="24"/>
          <w:szCs w:val="24"/>
        </w:rPr>
        <w:t>）</w:t>
      </w:r>
    </w:p>
    <w:p w14:paraId="554D406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注册资本</w:t>
      </w:r>
      <w:r>
        <w:rPr>
          <w:rFonts w:ascii="宋体" w:eastAsia="宋体" w:hAnsi="宋体" w:cs="Malgun Gothic Semilight" w:hint="eastAsia"/>
          <w:sz w:val="24"/>
          <w:szCs w:val="24"/>
        </w:rPr>
        <w:t>：</w:t>
      </w:r>
      <w:r>
        <w:rPr>
          <w:rFonts w:ascii="宋体" w:eastAsia="宋体" w:hAnsi="宋体" w:cs="微软雅黑" w:hint="eastAsia"/>
          <w:sz w:val="24"/>
          <w:szCs w:val="24"/>
        </w:rPr>
        <w:t>1</w:t>
      </w:r>
      <w:r>
        <w:rPr>
          <w:rFonts w:ascii="宋体" w:eastAsia="宋体" w:hAnsi="宋体" w:cs="微软雅黑"/>
          <w:sz w:val="24"/>
          <w:szCs w:val="24"/>
        </w:rPr>
        <w:t>.5</w:t>
      </w:r>
      <w:r>
        <w:rPr>
          <w:rFonts w:ascii="宋体" w:eastAsia="宋体" w:hAnsi="宋体" w:cs="微软雅黑" w:hint="eastAsia"/>
          <w:sz w:val="24"/>
          <w:szCs w:val="24"/>
        </w:rPr>
        <w:t>亿元人民币</w:t>
      </w:r>
    </w:p>
    <w:p w14:paraId="0FAB778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存续期间</w:t>
      </w:r>
      <w:r>
        <w:rPr>
          <w:rFonts w:ascii="宋体" w:eastAsia="宋体" w:hAnsi="宋体" w:cs="Malgun Gothic Semilight" w:hint="eastAsia"/>
          <w:sz w:val="24"/>
          <w:szCs w:val="24"/>
        </w:rPr>
        <w:t>：</w:t>
      </w:r>
      <w:r>
        <w:rPr>
          <w:rFonts w:ascii="宋体" w:eastAsia="宋体" w:hAnsi="宋体" w:cs="微软雅黑" w:hint="eastAsia"/>
          <w:sz w:val="24"/>
          <w:szCs w:val="24"/>
        </w:rPr>
        <w:t>持续经营</w:t>
      </w:r>
    </w:p>
    <w:p w14:paraId="4015F31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经营范围</w:t>
      </w:r>
      <w:r>
        <w:rPr>
          <w:rFonts w:ascii="宋体" w:eastAsia="宋体" w:hAnsi="宋体" w:cs="Malgun Gothic Semilight" w:hint="eastAsia"/>
          <w:sz w:val="24"/>
          <w:szCs w:val="24"/>
        </w:rPr>
        <w:t>：</w:t>
      </w:r>
      <w:r>
        <w:rPr>
          <w:rFonts w:ascii="宋体" w:eastAsia="宋体" w:hAnsi="宋体" w:cs="微软雅黑" w:hint="eastAsia"/>
          <w:sz w:val="24"/>
          <w:szCs w:val="24"/>
        </w:rPr>
        <w:t>基金募集</w:t>
      </w:r>
      <w:r>
        <w:rPr>
          <w:rFonts w:ascii="宋体" w:eastAsia="宋体" w:hAnsi="宋体" w:cs="Malgun Gothic Semilight" w:hint="eastAsia"/>
          <w:sz w:val="24"/>
          <w:szCs w:val="24"/>
        </w:rPr>
        <w:t>、</w:t>
      </w:r>
      <w:r>
        <w:rPr>
          <w:rFonts w:ascii="宋体" w:eastAsia="宋体" w:hAnsi="宋体" w:cs="微软雅黑" w:hint="eastAsia"/>
          <w:sz w:val="24"/>
          <w:szCs w:val="24"/>
        </w:rPr>
        <w:t>基金销售</w:t>
      </w:r>
      <w:r>
        <w:rPr>
          <w:rFonts w:ascii="宋体" w:eastAsia="宋体" w:hAnsi="宋体" w:cs="Malgun Gothic Semilight" w:hint="eastAsia"/>
          <w:sz w:val="24"/>
          <w:szCs w:val="24"/>
        </w:rPr>
        <w:t>、</w:t>
      </w:r>
      <w:r>
        <w:rPr>
          <w:rFonts w:ascii="宋体" w:eastAsia="宋体" w:hAnsi="宋体" w:cs="微软雅黑" w:hint="eastAsia"/>
          <w:sz w:val="24"/>
          <w:szCs w:val="24"/>
        </w:rPr>
        <w:t>资产管理以及中国证监会许可的其它业务</w:t>
      </w:r>
    </w:p>
    <w:p w14:paraId="251B091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Arial" w:hint="eastAsia"/>
          <w:sz w:val="24"/>
          <w:szCs w:val="24"/>
        </w:rPr>
        <w:t>）</w:t>
      </w:r>
      <w:r>
        <w:rPr>
          <w:rFonts w:ascii="宋体" w:eastAsia="宋体" w:hAnsi="宋体" w:cs="微软雅黑" w:hint="eastAsia"/>
          <w:sz w:val="24"/>
          <w:szCs w:val="24"/>
        </w:rPr>
        <w:t>基金托管人</w:t>
      </w:r>
    </w:p>
    <w:p w14:paraId="1939053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名称</w:t>
      </w:r>
      <w:r>
        <w:rPr>
          <w:rFonts w:ascii="宋体" w:eastAsia="宋体" w:hAnsi="宋体" w:cs="Malgun Gothic Semilight" w:hint="eastAsia"/>
          <w:sz w:val="24"/>
          <w:szCs w:val="24"/>
        </w:rPr>
        <w:t>：</w:t>
      </w:r>
      <w:r>
        <w:rPr>
          <w:rFonts w:ascii="宋体" w:eastAsia="宋体" w:hAnsi="宋体" w:cs="微软雅黑" w:hint="eastAsia"/>
          <w:sz w:val="24"/>
          <w:szCs w:val="24"/>
        </w:rPr>
        <w:t>中国建设银行股份有限公司</w:t>
      </w:r>
      <w:r>
        <w:rPr>
          <w:rFonts w:ascii="宋体" w:eastAsia="宋体" w:hAnsi="宋体" w:cs="Arial" w:hint="eastAsia"/>
          <w:sz w:val="24"/>
          <w:szCs w:val="24"/>
        </w:rPr>
        <w:t>（</w:t>
      </w:r>
      <w:r>
        <w:rPr>
          <w:rFonts w:ascii="宋体" w:eastAsia="宋体" w:hAnsi="宋体" w:cs="微软雅黑" w:hint="eastAsia"/>
          <w:sz w:val="24"/>
          <w:szCs w:val="24"/>
        </w:rPr>
        <w:t>简称</w:t>
      </w:r>
      <w:r>
        <w:rPr>
          <w:rFonts w:ascii="宋体" w:eastAsia="宋体" w:hAnsi="宋体" w:cs="Malgun Gothic Semilight" w:hint="eastAsia"/>
          <w:sz w:val="24"/>
          <w:szCs w:val="24"/>
        </w:rPr>
        <w:t>：</w:t>
      </w:r>
      <w:r>
        <w:rPr>
          <w:rFonts w:ascii="宋体" w:eastAsia="宋体" w:hAnsi="宋体" w:cs="微软雅黑" w:hint="eastAsia"/>
          <w:sz w:val="24"/>
          <w:szCs w:val="24"/>
        </w:rPr>
        <w:t>中国建设银行</w:t>
      </w:r>
      <w:r>
        <w:rPr>
          <w:rFonts w:ascii="宋体" w:eastAsia="宋体" w:hAnsi="宋体" w:cs="Arial" w:hint="eastAsia"/>
          <w:sz w:val="24"/>
          <w:szCs w:val="24"/>
        </w:rPr>
        <w:t>）</w:t>
      </w:r>
    </w:p>
    <w:p w14:paraId="3B88B4A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住所</w:t>
      </w:r>
      <w:r>
        <w:rPr>
          <w:rFonts w:ascii="宋体" w:eastAsia="宋体" w:hAnsi="宋体" w:cs="Malgun Gothic Semilight" w:hint="eastAsia"/>
          <w:sz w:val="24"/>
          <w:szCs w:val="24"/>
        </w:rPr>
        <w:t>：</w:t>
      </w:r>
      <w:r>
        <w:rPr>
          <w:rFonts w:ascii="宋体" w:eastAsia="宋体" w:hAnsi="宋体" w:cs="微软雅黑" w:hint="eastAsia"/>
          <w:sz w:val="24"/>
          <w:szCs w:val="24"/>
        </w:rPr>
        <w:t>北京市西城区金融大街</w:t>
      </w:r>
      <w:r>
        <w:rPr>
          <w:rFonts w:ascii="宋体" w:eastAsia="宋体" w:hAnsi="宋体" w:cs="Arial" w:hint="eastAsia"/>
          <w:sz w:val="24"/>
          <w:szCs w:val="24"/>
        </w:rPr>
        <w:t>25</w:t>
      </w:r>
      <w:r>
        <w:rPr>
          <w:rFonts w:ascii="宋体" w:eastAsia="宋体" w:hAnsi="宋体" w:cs="微软雅黑" w:hint="eastAsia"/>
          <w:sz w:val="24"/>
          <w:szCs w:val="24"/>
        </w:rPr>
        <w:t>号</w:t>
      </w:r>
    </w:p>
    <w:p w14:paraId="0686C5E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办公地址</w:t>
      </w:r>
      <w:r>
        <w:rPr>
          <w:rFonts w:ascii="宋体" w:eastAsia="宋体" w:hAnsi="宋体" w:cs="Malgun Gothic Semilight" w:hint="eastAsia"/>
          <w:sz w:val="24"/>
          <w:szCs w:val="24"/>
        </w:rPr>
        <w:t>：</w:t>
      </w:r>
      <w:r>
        <w:rPr>
          <w:rFonts w:ascii="宋体" w:eastAsia="宋体" w:hAnsi="宋体" w:cs="微软雅黑" w:hint="eastAsia"/>
          <w:sz w:val="24"/>
          <w:szCs w:val="24"/>
        </w:rPr>
        <w:t>北京市西城区闹市口大街</w:t>
      </w:r>
      <w:r>
        <w:rPr>
          <w:rFonts w:ascii="宋体" w:eastAsia="宋体" w:hAnsi="宋体" w:cs="Arial" w:hint="eastAsia"/>
          <w:sz w:val="24"/>
          <w:szCs w:val="24"/>
        </w:rPr>
        <w:t>1</w:t>
      </w:r>
      <w:r>
        <w:rPr>
          <w:rFonts w:ascii="宋体" w:eastAsia="宋体" w:hAnsi="宋体" w:cs="微软雅黑" w:hint="eastAsia"/>
          <w:sz w:val="24"/>
          <w:szCs w:val="24"/>
        </w:rPr>
        <w:t>号院</w:t>
      </w:r>
      <w:r>
        <w:rPr>
          <w:rFonts w:ascii="宋体" w:eastAsia="宋体" w:hAnsi="宋体" w:cs="Arial" w:hint="eastAsia"/>
          <w:sz w:val="24"/>
          <w:szCs w:val="24"/>
        </w:rPr>
        <w:t>1</w:t>
      </w:r>
      <w:r>
        <w:rPr>
          <w:rFonts w:ascii="宋体" w:eastAsia="宋体" w:hAnsi="宋体" w:cs="微软雅黑" w:hint="eastAsia"/>
          <w:sz w:val="24"/>
          <w:szCs w:val="24"/>
        </w:rPr>
        <w:t>号楼</w:t>
      </w:r>
    </w:p>
    <w:p w14:paraId="7B621B7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邮政编码</w:t>
      </w:r>
      <w:r>
        <w:rPr>
          <w:rFonts w:ascii="宋体" w:eastAsia="宋体" w:hAnsi="宋体" w:cs="Malgun Gothic Semilight" w:hint="eastAsia"/>
          <w:sz w:val="24"/>
          <w:szCs w:val="24"/>
        </w:rPr>
        <w:t>：</w:t>
      </w:r>
      <w:r>
        <w:rPr>
          <w:rFonts w:ascii="宋体" w:eastAsia="宋体" w:hAnsi="宋体" w:cs="Arial" w:hint="eastAsia"/>
          <w:sz w:val="24"/>
          <w:szCs w:val="24"/>
        </w:rPr>
        <w:t>100033</w:t>
      </w:r>
    </w:p>
    <w:p w14:paraId="7DC445B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法定代表人</w:t>
      </w:r>
      <w:r>
        <w:rPr>
          <w:rFonts w:ascii="宋体" w:eastAsia="宋体" w:hAnsi="宋体" w:cs="Malgun Gothic Semilight" w:hint="eastAsia"/>
          <w:sz w:val="24"/>
          <w:szCs w:val="24"/>
        </w:rPr>
        <w:t>：</w:t>
      </w:r>
      <w:r>
        <w:rPr>
          <w:rFonts w:ascii="宋体" w:eastAsia="宋体" w:hAnsi="宋体" w:cs="微软雅黑" w:hint="eastAsia"/>
          <w:sz w:val="24"/>
          <w:szCs w:val="24"/>
        </w:rPr>
        <w:t>张金良</w:t>
      </w:r>
    </w:p>
    <w:p w14:paraId="6DB3AB8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成立日期</w:t>
      </w:r>
      <w:r>
        <w:rPr>
          <w:rFonts w:ascii="宋体" w:eastAsia="宋体" w:hAnsi="宋体" w:cs="Malgun Gothic Semilight" w:hint="eastAsia"/>
          <w:sz w:val="24"/>
          <w:szCs w:val="24"/>
        </w:rPr>
        <w:t>：</w:t>
      </w:r>
      <w:r>
        <w:rPr>
          <w:rFonts w:ascii="宋体" w:eastAsia="宋体" w:hAnsi="宋体" w:cs="Arial" w:hint="eastAsia"/>
          <w:sz w:val="24"/>
          <w:szCs w:val="24"/>
        </w:rPr>
        <w:t>2004</w:t>
      </w:r>
      <w:r>
        <w:rPr>
          <w:rFonts w:ascii="宋体" w:eastAsia="宋体" w:hAnsi="宋体" w:cs="微软雅黑" w:hint="eastAsia"/>
          <w:sz w:val="24"/>
          <w:szCs w:val="24"/>
        </w:rPr>
        <w:t>年</w:t>
      </w:r>
      <w:r>
        <w:rPr>
          <w:rFonts w:ascii="宋体" w:eastAsia="宋体" w:hAnsi="宋体" w:cs="Arial" w:hint="eastAsia"/>
          <w:sz w:val="24"/>
          <w:szCs w:val="24"/>
        </w:rPr>
        <w:t>09</w:t>
      </w:r>
      <w:r>
        <w:rPr>
          <w:rFonts w:ascii="宋体" w:eastAsia="宋体" w:hAnsi="宋体" w:cs="微软雅黑" w:hint="eastAsia"/>
          <w:sz w:val="24"/>
          <w:szCs w:val="24"/>
        </w:rPr>
        <w:t>月</w:t>
      </w:r>
      <w:r>
        <w:rPr>
          <w:rFonts w:ascii="宋体" w:eastAsia="宋体" w:hAnsi="宋体" w:cs="Arial" w:hint="eastAsia"/>
          <w:sz w:val="24"/>
          <w:szCs w:val="24"/>
        </w:rPr>
        <w:t>17</w:t>
      </w:r>
      <w:r>
        <w:rPr>
          <w:rFonts w:ascii="宋体" w:eastAsia="宋体" w:hAnsi="宋体" w:cs="微软雅黑" w:hint="eastAsia"/>
          <w:sz w:val="24"/>
          <w:szCs w:val="24"/>
        </w:rPr>
        <w:t>日</w:t>
      </w:r>
    </w:p>
    <w:p w14:paraId="20C8A52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基金托管业务批准文号</w:t>
      </w:r>
      <w:r>
        <w:rPr>
          <w:rFonts w:ascii="宋体" w:eastAsia="宋体" w:hAnsi="宋体" w:cs="Malgun Gothic Semilight" w:hint="eastAsia"/>
          <w:sz w:val="24"/>
          <w:szCs w:val="24"/>
        </w:rPr>
        <w:t>：</w:t>
      </w:r>
      <w:r>
        <w:rPr>
          <w:rFonts w:ascii="宋体" w:eastAsia="宋体" w:hAnsi="宋体" w:cs="微软雅黑" w:hint="eastAsia"/>
          <w:sz w:val="24"/>
          <w:szCs w:val="24"/>
        </w:rPr>
        <w:t>中国证监会证监基字</w:t>
      </w:r>
      <w:r>
        <w:rPr>
          <w:rFonts w:ascii="宋体" w:eastAsia="宋体" w:hAnsi="宋体" w:cs="Arial" w:hint="eastAsia"/>
          <w:sz w:val="24"/>
          <w:szCs w:val="24"/>
        </w:rPr>
        <w:t>[1998</w:t>
      </w:r>
      <w:bookmarkStart w:id="2" w:name="OLE_LINK3"/>
      <w:r>
        <w:rPr>
          <w:rFonts w:ascii="宋体" w:eastAsia="宋体" w:hAnsi="宋体" w:cs="Arial" w:hint="eastAsia"/>
          <w:sz w:val="24"/>
          <w:szCs w:val="24"/>
        </w:rPr>
        <w:t>]</w:t>
      </w:r>
      <w:bookmarkEnd w:id="2"/>
      <w:r>
        <w:rPr>
          <w:rFonts w:ascii="宋体" w:eastAsia="宋体" w:hAnsi="宋体" w:cs="Arial" w:hint="eastAsia"/>
          <w:sz w:val="24"/>
          <w:szCs w:val="24"/>
        </w:rPr>
        <w:t>12</w:t>
      </w:r>
      <w:r>
        <w:rPr>
          <w:rFonts w:ascii="宋体" w:eastAsia="宋体" w:hAnsi="宋体" w:cs="微软雅黑" w:hint="eastAsia"/>
          <w:sz w:val="24"/>
          <w:szCs w:val="24"/>
        </w:rPr>
        <w:t>号</w:t>
      </w:r>
    </w:p>
    <w:p w14:paraId="4C75734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组织形式</w:t>
      </w:r>
      <w:r>
        <w:rPr>
          <w:rFonts w:ascii="宋体" w:eastAsia="宋体" w:hAnsi="宋体" w:cs="Malgun Gothic Semilight" w:hint="eastAsia"/>
          <w:sz w:val="24"/>
          <w:szCs w:val="24"/>
        </w:rPr>
        <w:t>：</w:t>
      </w:r>
      <w:r>
        <w:rPr>
          <w:rFonts w:ascii="宋体" w:eastAsia="宋体" w:hAnsi="宋体" w:cs="微软雅黑" w:hint="eastAsia"/>
          <w:sz w:val="24"/>
          <w:szCs w:val="24"/>
        </w:rPr>
        <w:t>股份有限公司</w:t>
      </w:r>
    </w:p>
    <w:p w14:paraId="50D56DD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注册资本</w:t>
      </w:r>
      <w:r>
        <w:rPr>
          <w:rFonts w:ascii="宋体" w:eastAsia="宋体" w:hAnsi="宋体" w:cs="Malgun Gothic Semilight" w:hint="eastAsia"/>
          <w:sz w:val="24"/>
          <w:szCs w:val="24"/>
        </w:rPr>
        <w:t>：贰仟陆佰壹拾陆亿零叁拾捌万壹仟肆佰伍拾玖元整</w:t>
      </w:r>
    </w:p>
    <w:p w14:paraId="26E4EB7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存续期间</w:t>
      </w:r>
      <w:r>
        <w:rPr>
          <w:rFonts w:ascii="宋体" w:eastAsia="宋体" w:hAnsi="宋体" w:cs="Malgun Gothic Semilight" w:hint="eastAsia"/>
          <w:sz w:val="24"/>
          <w:szCs w:val="24"/>
        </w:rPr>
        <w:t>：</w:t>
      </w:r>
      <w:r>
        <w:rPr>
          <w:rFonts w:ascii="宋体" w:eastAsia="宋体" w:hAnsi="宋体" w:cs="微软雅黑" w:hint="eastAsia"/>
          <w:sz w:val="24"/>
          <w:szCs w:val="24"/>
        </w:rPr>
        <w:t>持续经营</w:t>
      </w:r>
    </w:p>
    <w:p w14:paraId="372AEE55" w14:textId="77777777" w:rsidR="00C521E2" w:rsidRDefault="005D6E6D">
      <w:pPr>
        <w:tabs>
          <w:tab w:val="left" w:pos="540"/>
        </w:tabs>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经营范围</w:t>
      </w:r>
      <w:r>
        <w:rPr>
          <w:rFonts w:ascii="宋体" w:eastAsia="宋体" w:hAnsi="宋体" w:cs="Malgun Gothic Semilight" w:hint="eastAsia"/>
          <w:sz w:val="24"/>
          <w:szCs w:val="24"/>
        </w:rPr>
        <w:t>：</w:t>
      </w:r>
      <w:r>
        <w:rPr>
          <w:rFonts w:ascii="宋体" w:eastAsia="宋体" w:hAnsi="宋体" w:cs="微软雅黑" w:hint="eastAsia"/>
          <w:sz w:val="24"/>
          <w:szCs w:val="24"/>
        </w:rPr>
        <w:t>吸收公众存款</w:t>
      </w:r>
      <w:r>
        <w:rPr>
          <w:rFonts w:ascii="宋体" w:eastAsia="宋体" w:hAnsi="宋体" w:cs="Malgun Gothic Semilight" w:hint="eastAsia"/>
          <w:sz w:val="24"/>
          <w:szCs w:val="24"/>
        </w:rPr>
        <w:t>；</w:t>
      </w:r>
      <w:r>
        <w:rPr>
          <w:rFonts w:ascii="宋体" w:eastAsia="宋体" w:hAnsi="宋体" w:cs="微软雅黑" w:hint="eastAsia"/>
          <w:sz w:val="24"/>
          <w:szCs w:val="24"/>
        </w:rPr>
        <w:t>发放短期</w:t>
      </w:r>
      <w:r>
        <w:rPr>
          <w:rFonts w:ascii="宋体" w:eastAsia="宋体" w:hAnsi="宋体" w:cs="Malgun Gothic Semilight" w:hint="eastAsia"/>
          <w:sz w:val="24"/>
          <w:szCs w:val="24"/>
        </w:rPr>
        <w:t>、</w:t>
      </w:r>
      <w:r>
        <w:rPr>
          <w:rFonts w:ascii="宋体" w:eastAsia="宋体" w:hAnsi="宋体" w:cs="微软雅黑" w:hint="eastAsia"/>
          <w:sz w:val="24"/>
          <w:szCs w:val="24"/>
        </w:rPr>
        <w:t>中期</w:t>
      </w:r>
      <w:r>
        <w:rPr>
          <w:rFonts w:ascii="宋体" w:eastAsia="宋体" w:hAnsi="宋体" w:cs="Malgun Gothic Semilight" w:hint="eastAsia"/>
          <w:sz w:val="24"/>
          <w:szCs w:val="24"/>
        </w:rPr>
        <w:t>、</w:t>
      </w:r>
      <w:r>
        <w:rPr>
          <w:rFonts w:ascii="宋体" w:eastAsia="宋体" w:hAnsi="宋体" w:cs="微软雅黑" w:hint="eastAsia"/>
          <w:sz w:val="24"/>
          <w:szCs w:val="24"/>
        </w:rPr>
        <w:t>长期贷款</w:t>
      </w:r>
      <w:r>
        <w:rPr>
          <w:rFonts w:ascii="宋体" w:eastAsia="宋体" w:hAnsi="宋体" w:cs="Malgun Gothic Semilight" w:hint="eastAsia"/>
          <w:sz w:val="24"/>
          <w:szCs w:val="24"/>
        </w:rPr>
        <w:t>；</w:t>
      </w:r>
      <w:r>
        <w:rPr>
          <w:rFonts w:ascii="宋体" w:eastAsia="宋体" w:hAnsi="宋体" w:cs="微软雅黑" w:hint="eastAsia"/>
          <w:sz w:val="24"/>
          <w:szCs w:val="24"/>
        </w:rPr>
        <w:t>办理国内外结算</w:t>
      </w:r>
      <w:r>
        <w:rPr>
          <w:rFonts w:ascii="宋体" w:eastAsia="宋体" w:hAnsi="宋体" w:cs="Malgun Gothic Semilight" w:hint="eastAsia"/>
          <w:sz w:val="24"/>
          <w:szCs w:val="24"/>
        </w:rPr>
        <w:t>；</w:t>
      </w:r>
      <w:r>
        <w:rPr>
          <w:rFonts w:ascii="宋体" w:eastAsia="宋体" w:hAnsi="宋体" w:cs="微软雅黑" w:hint="eastAsia"/>
          <w:sz w:val="24"/>
          <w:szCs w:val="24"/>
        </w:rPr>
        <w:t>办理票据承兑与贴现</w:t>
      </w:r>
      <w:r>
        <w:rPr>
          <w:rFonts w:ascii="宋体" w:eastAsia="宋体" w:hAnsi="宋体" w:cs="Malgun Gothic Semilight" w:hint="eastAsia"/>
          <w:sz w:val="24"/>
          <w:szCs w:val="24"/>
        </w:rPr>
        <w:t>；</w:t>
      </w:r>
      <w:r>
        <w:rPr>
          <w:rFonts w:ascii="宋体" w:eastAsia="宋体" w:hAnsi="宋体" w:cs="微软雅黑" w:hint="eastAsia"/>
          <w:sz w:val="24"/>
          <w:szCs w:val="24"/>
        </w:rPr>
        <w:t>发行金融债券</w:t>
      </w:r>
      <w:r>
        <w:rPr>
          <w:rFonts w:ascii="宋体" w:eastAsia="宋体" w:hAnsi="宋体" w:cs="Malgun Gothic Semilight" w:hint="eastAsia"/>
          <w:sz w:val="24"/>
          <w:szCs w:val="24"/>
        </w:rPr>
        <w:t>；</w:t>
      </w:r>
      <w:r>
        <w:rPr>
          <w:rFonts w:ascii="宋体" w:eastAsia="宋体" w:hAnsi="宋体" w:cs="微软雅黑" w:hint="eastAsia"/>
          <w:sz w:val="24"/>
          <w:szCs w:val="24"/>
        </w:rPr>
        <w:t>代理发行</w:t>
      </w:r>
      <w:r>
        <w:rPr>
          <w:rFonts w:ascii="宋体" w:eastAsia="宋体" w:hAnsi="宋体" w:cs="Malgun Gothic Semilight" w:hint="eastAsia"/>
          <w:sz w:val="24"/>
          <w:szCs w:val="24"/>
        </w:rPr>
        <w:t>、</w:t>
      </w:r>
      <w:r>
        <w:rPr>
          <w:rFonts w:ascii="宋体" w:eastAsia="宋体" w:hAnsi="宋体" w:cs="微软雅黑" w:hint="eastAsia"/>
          <w:sz w:val="24"/>
          <w:szCs w:val="24"/>
        </w:rPr>
        <w:t>代理兑付</w:t>
      </w:r>
      <w:r>
        <w:rPr>
          <w:rFonts w:ascii="宋体" w:eastAsia="宋体" w:hAnsi="宋体" w:cs="Malgun Gothic Semilight" w:hint="eastAsia"/>
          <w:sz w:val="24"/>
          <w:szCs w:val="24"/>
        </w:rPr>
        <w:t>、</w:t>
      </w:r>
      <w:r>
        <w:rPr>
          <w:rFonts w:ascii="宋体" w:eastAsia="宋体" w:hAnsi="宋体" w:cs="微软雅黑" w:hint="eastAsia"/>
          <w:sz w:val="24"/>
          <w:szCs w:val="24"/>
        </w:rPr>
        <w:t>承销政府债券</w:t>
      </w:r>
      <w:r>
        <w:rPr>
          <w:rFonts w:ascii="宋体" w:eastAsia="宋体" w:hAnsi="宋体" w:cs="Malgun Gothic Semilight" w:hint="eastAsia"/>
          <w:sz w:val="24"/>
          <w:szCs w:val="24"/>
        </w:rPr>
        <w:t>；</w:t>
      </w:r>
      <w:r>
        <w:rPr>
          <w:rFonts w:ascii="宋体" w:eastAsia="宋体" w:hAnsi="宋体" w:cs="微软雅黑" w:hint="eastAsia"/>
          <w:sz w:val="24"/>
          <w:szCs w:val="24"/>
        </w:rPr>
        <w:t>买卖政府债券</w:t>
      </w:r>
      <w:r>
        <w:rPr>
          <w:rFonts w:ascii="宋体" w:eastAsia="宋体" w:hAnsi="宋体" w:cs="Malgun Gothic Semilight" w:hint="eastAsia"/>
          <w:sz w:val="24"/>
          <w:szCs w:val="24"/>
        </w:rPr>
        <w:t>、</w:t>
      </w:r>
      <w:r>
        <w:rPr>
          <w:rFonts w:ascii="宋体" w:eastAsia="宋体" w:hAnsi="宋体" w:cs="微软雅黑" w:hint="eastAsia"/>
          <w:sz w:val="24"/>
          <w:szCs w:val="24"/>
        </w:rPr>
        <w:t>金融债券</w:t>
      </w:r>
      <w:r>
        <w:rPr>
          <w:rFonts w:ascii="宋体" w:eastAsia="宋体" w:hAnsi="宋体" w:cs="Malgun Gothic Semilight" w:hint="eastAsia"/>
          <w:sz w:val="24"/>
          <w:szCs w:val="24"/>
        </w:rPr>
        <w:t>；</w:t>
      </w:r>
      <w:r>
        <w:rPr>
          <w:rFonts w:ascii="宋体" w:eastAsia="宋体" w:hAnsi="宋体" w:cs="微软雅黑" w:hint="eastAsia"/>
          <w:sz w:val="24"/>
          <w:szCs w:val="24"/>
        </w:rPr>
        <w:t>从事同业拆借</w:t>
      </w:r>
      <w:r>
        <w:rPr>
          <w:rFonts w:ascii="宋体" w:eastAsia="宋体" w:hAnsi="宋体" w:cs="Malgun Gothic Semilight" w:hint="eastAsia"/>
          <w:sz w:val="24"/>
          <w:szCs w:val="24"/>
        </w:rPr>
        <w:t>；</w:t>
      </w:r>
      <w:r>
        <w:rPr>
          <w:rFonts w:ascii="宋体" w:eastAsia="宋体" w:hAnsi="宋体" w:cs="微软雅黑" w:hint="eastAsia"/>
          <w:sz w:val="24"/>
          <w:szCs w:val="24"/>
        </w:rPr>
        <w:t>买卖</w:t>
      </w:r>
      <w:r>
        <w:rPr>
          <w:rFonts w:ascii="宋体" w:eastAsia="宋体" w:hAnsi="宋体" w:cs="Malgun Gothic Semilight" w:hint="eastAsia"/>
          <w:sz w:val="24"/>
          <w:szCs w:val="24"/>
        </w:rPr>
        <w:t>、</w:t>
      </w:r>
      <w:r>
        <w:rPr>
          <w:rFonts w:ascii="宋体" w:eastAsia="宋体" w:hAnsi="宋体" w:cs="微软雅黑" w:hint="eastAsia"/>
          <w:sz w:val="24"/>
          <w:szCs w:val="24"/>
        </w:rPr>
        <w:t>代理买卖外汇</w:t>
      </w:r>
      <w:r>
        <w:rPr>
          <w:rFonts w:ascii="宋体" w:eastAsia="宋体" w:hAnsi="宋体" w:cs="Malgun Gothic Semilight" w:hint="eastAsia"/>
          <w:sz w:val="24"/>
          <w:szCs w:val="24"/>
        </w:rPr>
        <w:t>；</w:t>
      </w:r>
      <w:r>
        <w:rPr>
          <w:rFonts w:ascii="宋体" w:eastAsia="宋体" w:hAnsi="宋体" w:cs="微软雅黑" w:hint="eastAsia"/>
          <w:sz w:val="24"/>
          <w:szCs w:val="24"/>
        </w:rPr>
        <w:t>从事银行卡业务</w:t>
      </w:r>
      <w:r>
        <w:rPr>
          <w:rFonts w:ascii="宋体" w:eastAsia="宋体" w:hAnsi="宋体" w:cs="Malgun Gothic Semilight" w:hint="eastAsia"/>
          <w:sz w:val="24"/>
          <w:szCs w:val="24"/>
        </w:rPr>
        <w:t>；</w:t>
      </w:r>
      <w:r>
        <w:rPr>
          <w:rFonts w:ascii="宋体" w:eastAsia="宋体" w:hAnsi="宋体" w:cs="微软雅黑" w:hint="eastAsia"/>
          <w:sz w:val="24"/>
          <w:szCs w:val="24"/>
        </w:rPr>
        <w:t>提供信用证服务及担保</w:t>
      </w:r>
      <w:r>
        <w:rPr>
          <w:rFonts w:ascii="宋体" w:eastAsia="宋体" w:hAnsi="宋体" w:cs="Malgun Gothic Semilight" w:hint="eastAsia"/>
          <w:sz w:val="24"/>
          <w:szCs w:val="24"/>
        </w:rPr>
        <w:t>；</w:t>
      </w:r>
      <w:r>
        <w:rPr>
          <w:rFonts w:ascii="宋体" w:eastAsia="宋体" w:hAnsi="宋体" w:cs="微软雅黑" w:hint="eastAsia"/>
          <w:sz w:val="24"/>
          <w:szCs w:val="24"/>
        </w:rPr>
        <w:t>代理收付款项及代理保险业务</w:t>
      </w:r>
      <w:r>
        <w:rPr>
          <w:rFonts w:ascii="宋体" w:eastAsia="宋体" w:hAnsi="宋体" w:cs="Malgun Gothic Semilight" w:hint="eastAsia"/>
          <w:sz w:val="24"/>
          <w:szCs w:val="24"/>
        </w:rPr>
        <w:t>；</w:t>
      </w:r>
      <w:r>
        <w:rPr>
          <w:rFonts w:ascii="宋体" w:eastAsia="宋体" w:hAnsi="宋体" w:cs="微软雅黑" w:hint="eastAsia"/>
          <w:sz w:val="24"/>
          <w:szCs w:val="24"/>
        </w:rPr>
        <w:t>提供保管箱服务</w:t>
      </w:r>
      <w:r>
        <w:rPr>
          <w:rFonts w:ascii="宋体" w:eastAsia="宋体" w:hAnsi="宋体" w:cs="Malgun Gothic Semilight" w:hint="eastAsia"/>
          <w:sz w:val="24"/>
          <w:szCs w:val="24"/>
        </w:rPr>
        <w:t>；</w:t>
      </w:r>
      <w:r>
        <w:rPr>
          <w:rFonts w:ascii="宋体" w:eastAsia="宋体" w:hAnsi="宋体" w:cs="微软雅黑" w:hint="eastAsia"/>
          <w:sz w:val="24"/>
          <w:szCs w:val="24"/>
        </w:rPr>
        <w:t>经中</w:t>
      </w:r>
      <w:r>
        <w:rPr>
          <w:rFonts w:ascii="宋体" w:eastAsia="宋体" w:hAnsi="宋体" w:cs="微软雅黑" w:hint="eastAsia"/>
          <w:sz w:val="24"/>
          <w:szCs w:val="24"/>
        </w:rPr>
        <w:lastRenderedPageBreak/>
        <w:t>国银行业监督管理机构等监管部门批准的其他业务</w:t>
      </w:r>
      <w:r>
        <w:rPr>
          <w:rFonts w:ascii="宋体" w:eastAsia="宋体" w:hAnsi="宋体" w:cs="Malgun Gothic Semilight" w:hint="eastAsia"/>
          <w:sz w:val="24"/>
          <w:szCs w:val="24"/>
        </w:rPr>
        <w:t>。</w:t>
      </w:r>
    </w:p>
    <w:p w14:paraId="0505F724" w14:textId="77777777" w:rsidR="00C521E2" w:rsidRDefault="00C521E2">
      <w:pPr>
        <w:spacing w:line="360" w:lineRule="auto"/>
        <w:rPr>
          <w:rFonts w:ascii="宋体" w:eastAsia="宋体" w:hAnsi="宋体" w:cs="Times New Roman"/>
          <w:sz w:val="24"/>
          <w:szCs w:val="24"/>
        </w:rPr>
      </w:pPr>
    </w:p>
    <w:p w14:paraId="50E6E5C3"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3" w:name="_Toc204539393"/>
      <w:r>
        <w:rPr>
          <w:rFonts w:ascii="宋体" w:eastAsia="宋体" w:hAnsi="宋体" w:cs="微软雅黑" w:hint="eastAsia"/>
          <w:b/>
          <w:sz w:val="30"/>
          <w:szCs w:val="20"/>
        </w:rPr>
        <w:t>二</w:t>
      </w:r>
      <w:r>
        <w:rPr>
          <w:rFonts w:ascii="宋体" w:eastAsia="宋体" w:hAnsi="宋体" w:cs="Malgun Gothic Semilight" w:hint="eastAsia"/>
          <w:b/>
          <w:sz w:val="30"/>
          <w:szCs w:val="20"/>
        </w:rPr>
        <w:t>、</w:t>
      </w:r>
      <w:r>
        <w:rPr>
          <w:rFonts w:ascii="宋体" w:eastAsia="宋体" w:hAnsi="宋体" w:cs="微软雅黑" w:hint="eastAsia"/>
          <w:b/>
          <w:sz w:val="30"/>
          <w:szCs w:val="20"/>
        </w:rPr>
        <w:t>基金托管协议的依据</w:t>
      </w:r>
      <w:r>
        <w:rPr>
          <w:rFonts w:ascii="宋体" w:eastAsia="宋体" w:hAnsi="宋体" w:cs="Malgun Gothic Semilight" w:hint="eastAsia"/>
          <w:b/>
          <w:sz w:val="30"/>
          <w:szCs w:val="20"/>
        </w:rPr>
        <w:t>、</w:t>
      </w:r>
      <w:r>
        <w:rPr>
          <w:rFonts w:ascii="宋体" w:eastAsia="宋体" w:hAnsi="宋体" w:cs="微软雅黑" w:hint="eastAsia"/>
          <w:b/>
          <w:sz w:val="30"/>
          <w:szCs w:val="20"/>
        </w:rPr>
        <w:t>目的和原则</w:t>
      </w:r>
      <w:bookmarkEnd w:id="3"/>
    </w:p>
    <w:p w14:paraId="450940D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Arial" w:hint="eastAsia"/>
          <w:sz w:val="24"/>
          <w:szCs w:val="24"/>
        </w:rPr>
        <w:t>）</w:t>
      </w:r>
      <w:r>
        <w:rPr>
          <w:rFonts w:ascii="宋体" w:eastAsia="宋体" w:hAnsi="宋体" w:cs="微软雅黑" w:hint="eastAsia"/>
          <w:sz w:val="24"/>
          <w:szCs w:val="24"/>
        </w:rPr>
        <w:t>订立托管协议的依据</w:t>
      </w:r>
    </w:p>
    <w:p w14:paraId="0F0900C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本协议依据《中华人民共和国证券投资基金法》（以下简称“《基金法》”）、《公开募集证券投资基金运作管理办法》（以下简称“《运作办法》”）、《公开募集证券投资基金信息披露管理办法》（以下简称“《信息披露办法》”）、《公开募集开放式证券投资基金流动性风险管理规定》（以下简称“《流动性风险管理规定》”）、《公开募集证券投资基金运作指引第</w:t>
      </w:r>
      <w:r>
        <w:rPr>
          <w:rFonts w:ascii="宋体" w:eastAsia="宋体" w:hAnsi="宋体" w:cs="微软雅黑"/>
          <w:sz w:val="24"/>
          <w:szCs w:val="24"/>
        </w:rPr>
        <w:t>3号——指数基金指引》等有关法律法规、基金合同及其他有关规定制订</w:t>
      </w:r>
      <w:r>
        <w:rPr>
          <w:rFonts w:ascii="宋体" w:eastAsia="宋体" w:hAnsi="宋体" w:cs="Malgun Gothic Semilight" w:hint="eastAsia"/>
          <w:sz w:val="24"/>
          <w:szCs w:val="24"/>
        </w:rPr>
        <w:t>。</w:t>
      </w:r>
    </w:p>
    <w:p w14:paraId="67706EA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订立托管协议的目的</w:t>
      </w:r>
    </w:p>
    <w:p w14:paraId="5F51964B" w14:textId="77777777" w:rsidR="00C521E2" w:rsidRDefault="005D6E6D">
      <w:pPr>
        <w:adjustRightInd w:val="0"/>
        <w:snapToGrid w:val="0"/>
        <w:spacing w:line="360" w:lineRule="auto"/>
        <w:ind w:firstLineChars="200" w:firstLine="480"/>
        <w:rPr>
          <w:rFonts w:ascii="宋体" w:eastAsia="宋体" w:hAnsi="宋体" w:cs="Times New Roman"/>
          <w:sz w:val="24"/>
          <w:szCs w:val="30"/>
        </w:rPr>
      </w:pPr>
      <w:r>
        <w:rPr>
          <w:rFonts w:ascii="宋体" w:eastAsia="宋体" w:hAnsi="宋体" w:cs="微软雅黑" w:hint="eastAsia"/>
          <w:sz w:val="24"/>
          <w:szCs w:val="24"/>
        </w:rPr>
        <w:t>订立本协议的目的是明确基金管理人与基金托管人之间在基金财产的保管</w:t>
      </w:r>
      <w:r>
        <w:rPr>
          <w:rFonts w:ascii="宋体" w:eastAsia="宋体" w:hAnsi="宋体" w:cs="Malgun Gothic Semilight" w:hint="eastAsia"/>
          <w:sz w:val="24"/>
          <w:szCs w:val="24"/>
        </w:rPr>
        <w:t>、</w:t>
      </w:r>
      <w:r>
        <w:rPr>
          <w:rFonts w:ascii="宋体" w:eastAsia="宋体" w:hAnsi="宋体" w:cs="微软雅黑" w:hint="eastAsia"/>
          <w:sz w:val="24"/>
          <w:szCs w:val="24"/>
        </w:rPr>
        <w:t>投资运作</w:t>
      </w:r>
      <w:r>
        <w:rPr>
          <w:rFonts w:ascii="宋体" w:eastAsia="宋体" w:hAnsi="宋体" w:cs="Malgun Gothic Semilight" w:hint="eastAsia"/>
          <w:sz w:val="24"/>
          <w:szCs w:val="24"/>
        </w:rPr>
        <w:t>、</w:t>
      </w:r>
      <w:r>
        <w:rPr>
          <w:rFonts w:ascii="宋体" w:eastAsia="宋体" w:hAnsi="宋体" w:cs="微软雅黑" w:hint="eastAsia"/>
          <w:sz w:val="24"/>
          <w:szCs w:val="24"/>
        </w:rPr>
        <w:t>净值计算</w:t>
      </w:r>
      <w:r>
        <w:rPr>
          <w:rFonts w:ascii="宋体" w:eastAsia="宋体" w:hAnsi="宋体" w:cs="Malgun Gothic Semilight" w:hint="eastAsia"/>
          <w:sz w:val="24"/>
          <w:szCs w:val="24"/>
        </w:rPr>
        <w:t>、</w:t>
      </w:r>
      <w:r>
        <w:rPr>
          <w:rFonts w:ascii="宋体" w:eastAsia="宋体" w:hAnsi="宋体" w:cs="微软雅黑" w:hint="eastAsia"/>
          <w:sz w:val="24"/>
          <w:szCs w:val="24"/>
        </w:rPr>
        <w:t>收益分配</w:t>
      </w:r>
      <w:r>
        <w:rPr>
          <w:rFonts w:ascii="宋体" w:eastAsia="宋体" w:hAnsi="宋体" w:cs="Malgun Gothic Semilight" w:hint="eastAsia"/>
          <w:sz w:val="24"/>
          <w:szCs w:val="24"/>
        </w:rPr>
        <w:t>、基金份额持有人名册的建立和保管、</w:t>
      </w:r>
      <w:r>
        <w:rPr>
          <w:rFonts w:ascii="宋体" w:eastAsia="宋体" w:hAnsi="宋体" w:cs="微软雅黑" w:hint="eastAsia"/>
          <w:sz w:val="24"/>
          <w:szCs w:val="24"/>
        </w:rPr>
        <w:t>信息披露及相互监督等相关事宜中的权利义务及职责</w:t>
      </w:r>
      <w:r>
        <w:rPr>
          <w:rFonts w:ascii="宋体" w:eastAsia="宋体" w:hAnsi="宋体" w:cs="Malgun Gothic Semilight" w:hint="eastAsia"/>
          <w:sz w:val="24"/>
          <w:szCs w:val="24"/>
        </w:rPr>
        <w:t>，</w:t>
      </w:r>
      <w:r>
        <w:rPr>
          <w:rFonts w:ascii="宋体" w:eastAsia="宋体" w:hAnsi="宋体" w:cs="微软雅黑" w:hint="eastAsia"/>
          <w:sz w:val="24"/>
          <w:szCs w:val="24"/>
        </w:rPr>
        <w:t>确保基金财产的安全</w:t>
      </w:r>
      <w:r>
        <w:rPr>
          <w:rFonts w:ascii="宋体" w:eastAsia="宋体" w:hAnsi="宋体" w:cs="Malgun Gothic Semilight" w:hint="eastAsia"/>
          <w:sz w:val="24"/>
          <w:szCs w:val="24"/>
        </w:rPr>
        <w:t>，</w:t>
      </w:r>
      <w:r>
        <w:rPr>
          <w:rFonts w:ascii="宋体" w:eastAsia="宋体" w:hAnsi="宋体" w:cs="微软雅黑" w:hint="eastAsia"/>
          <w:sz w:val="24"/>
          <w:szCs w:val="24"/>
        </w:rPr>
        <w:t>保护基金份额持有人的合法权益</w:t>
      </w:r>
      <w:r>
        <w:rPr>
          <w:rFonts w:ascii="宋体" w:eastAsia="宋体" w:hAnsi="宋体" w:cs="Malgun Gothic Semilight" w:hint="eastAsia"/>
          <w:sz w:val="24"/>
          <w:szCs w:val="24"/>
        </w:rPr>
        <w:t>。</w:t>
      </w:r>
    </w:p>
    <w:p w14:paraId="57FF99B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订立托管协议的原则</w:t>
      </w:r>
    </w:p>
    <w:p w14:paraId="03B976A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基金管理人和基金托管人本着平等自愿</w:t>
      </w:r>
      <w:r>
        <w:rPr>
          <w:rFonts w:ascii="宋体" w:eastAsia="宋体" w:hAnsi="宋体" w:cs="Malgun Gothic Semilight" w:hint="eastAsia"/>
          <w:sz w:val="24"/>
          <w:szCs w:val="24"/>
        </w:rPr>
        <w:t>、</w:t>
      </w:r>
      <w:r>
        <w:rPr>
          <w:rFonts w:ascii="宋体" w:eastAsia="宋体" w:hAnsi="宋体" w:cs="微软雅黑" w:hint="eastAsia"/>
          <w:sz w:val="24"/>
          <w:szCs w:val="24"/>
        </w:rPr>
        <w:t>诚实信用</w:t>
      </w:r>
      <w:r>
        <w:rPr>
          <w:rFonts w:ascii="宋体" w:eastAsia="宋体" w:hAnsi="宋体" w:cs="Malgun Gothic Semilight" w:hint="eastAsia"/>
          <w:sz w:val="24"/>
          <w:szCs w:val="24"/>
        </w:rPr>
        <w:t>、</w:t>
      </w:r>
      <w:r>
        <w:rPr>
          <w:rFonts w:ascii="宋体" w:eastAsia="宋体" w:hAnsi="宋体" w:cs="微软雅黑" w:hint="eastAsia"/>
          <w:sz w:val="24"/>
          <w:szCs w:val="24"/>
        </w:rPr>
        <w:t>充分保护基金份额持有人合法权益的原则</w:t>
      </w:r>
      <w:r>
        <w:rPr>
          <w:rFonts w:ascii="宋体" w:eastAsia="宋体" w:hAnsi="宋体" w:cs="Malgun Gothic Semilight" w:hint="eastAsia"/>
          <w:sz w:val="24"/>
          <w:szCs w:val="24"/>
        </w:rPr>
        <w:t>，</w:t>
      </w:r>
      <w:r>
        <w:rPr>
          <w:rFonts w:ascii="宋体" w:eastAsia="宋体" w:hAnsi="宋体" w:cs="微软雅黑" w:hint="eastAsia"/>
          <w:sz w:val="24"/>
          <w:szCs w:val="24"/>
        </w:rPr>
        <w:t>经协商一致</w:t>
      </w:r>
      <w:r>
        <w:rPr>
          <w:rFonts w:ascii="宋体" w:eastAsia="宋体" w:hAnsi="宋体" w:cs="Malgun Gothic Semilight" w:hint="eastAsia"/>
          <w:sz w:val="24"/>
          <w:szCs w:val="24"/>
        </w:rPr>
        <w:t>，</w:t>
      </w:r>
      <w:r>
        <w:rPr>
          <w:rFonts w:ascii="宋体" w:eastAsia="宋体" w:hAnsi="宋体" w:cs="微软雅黑" w:hint="eastAsia"/>
          <w:sz w:val="24"/>
          <w:szCs w:val="24"/>
        </w:rPr>
        <w:t>签订本协议</w:t>
      </w:r>
      <w:r>
        <w:rPr>
          <w:rFonts w:ascii="宋体" w:eastAsia="宋体" w:hAnsi="宋体" w:cs="Malgun Gothic Semilight" w:hint="eastAsia"/>
          <w:sz w:val="24"/>
          <w:szCs w:val="24"/>
        </w:rPr>
        <w:t>。</w:t>
      </w:r>
    </w:p>
    <w:p w14:paraId="7D097E5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(四) 托管人免责声明</w:t>
      </w:r>
    </w:p>
    <w:p w14:paraId="7041C199"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基金托管人开展托管业务，不得承担以下职责：</w:t>
      </w:r>
    </w:p>
    <w:p w14:paraId="25AD08B0"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1.承担基金财产的信用风险、市场风险等；</w:t>
      </w:r>
    </w:p>
    <w:p w14:paraId="7A331662"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2.为基金提供直接或间接、显性或隐性担保，包括承诺本金或保证收益；</w:t>
      </w:r>
    </w:p>
    <w:p w14:paraId="14EEB4A0"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3.为基金垫付资金、提供流动性支持或融资承诺等；</w:t>
      </w:r>
    </w:p>
    <w:p w14:paraId="24941DE4"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4.参与投资者适当性管理；</w:t>
      </w:r>
    </w:p>
    <w:p w14:paraId="614B7D68"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5.保证投资项目及交易信息真实性；</w:t>
      </w:r>
    </w:p>
    <w:p w14:paraId="2816E6DC"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6.保证基金资金来源的合法合规性；</w:t>
      </w:r>
    </w:p>
    <w:p w14:paraId="11A344D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7.对已划出托管账户以及处于基金托管人实际控制之外的资产承担保管责任；</w:t>
      </w:r>
    </w:p>
    <w:p w14:paraId="3F959BF1"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8.参与基金管理人对基金的投资决策；</w:t>
      </w:r>
    </w:p>
    <w:p w14:paraId="698C353B"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lastRenderedPageBreak/>
        <w:t>9.违规代替基金管理人向其他机构或者个人进行基金信息披露或提供相关数据信息；</w:t>
      </w:r>
    </w:p>
    <w:p w14:paraId="42E2F99E"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10.基金管理人未接受基金托管人的复核意见进行信息披露产生的相应责任；</w:t>
      </w:r>
    </w:p>
    <w:p w14:paraId="188EEC6E"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11.负责未兑付产品的资金追偿、财产保全、诉讼仲裁、债务重组和破产程序等，法律另有规定的除外；</w:t>
      </w:r>
    </w:p>
    <w:p w14:paraId="3E10FD1F"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12.因不可抗力，以及非本机构履职错误或过失造成的托管资产损失；</w:t>
      </w:r>
    </w:p>
    <w:p w14:paraId="2CCB5AD7"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13.国务院金融监管部门规定的不属于基金托管人托管业务范围的其他职责。</w:t>
      </w:r>
    </w:p>
    <w:p w14:paraId="1068B603" w14:textId="77777777" w:rsidR="00C521E2" w:rsidRDefault="00C521E2">
      <w:pPr>
        <w:spacing w:line="360" w:lineRule="auto"/>
        <w:rPr>
          <w:rFonts w:ascii="宋体" w:eastAsia="宋体" w:hAnsi="宋体" w:cs="Times New Roman"/>
          <w:sz w:val="24"/>
          <w:szCs w:val="24"/>
        </w:rPr>
      </w:pPr>
    </w:p>
    <w:p w14:paraId="1C1B44A5" w14:textId="77777777" w:rsidR="00C521E2" w:rsidRDefault="005D6E6D">
      <w:pPr>
        <w:keepNext/>
        <w:keepLines/>
        <w:spacing w:before="260" w:after="260" w:line="360" w:lineRule="auto"/>
        <w:jc w:val="center"/>
        <w:outlineLvl w:val="1"/>
        <w:rPr>
          <w:rFonts w:ascii="宋体" w:eastAsia="宋体" w:hAnsi="宋体" w:cs="Times New Roman"/>
          <w:b/>
          <w:sz w:val="30"/>
          <w:szCs w:val="24"/>
        </w:rPr>
      </w:pPr>
      <w:bookmarkStart w:id="4" w:name="_Toc204539394"/>
      <w:r>
        <w:rPr>
          <w:rFonts w:ascii="宋体" w:eastAsia="宋体" w:hAnsi="宋体" w:cs="微软雅黑" w:hint="eastAsia"/>
          <w:b/>
          <w:sz w:val="30"/>
          <w:szCs w:val="20"/>
        </w:rPr>
        <w:t>三</w:t>
      </w:r>
      <w:r>
        <w:rPr>
          <w:rFonts w:ascii="宋体" w:eastAsia="宋体" w:hAnsi="宋体" w:cs="Malgun Gothic Semilight" w:hint="eastAsia"/>
          <w:b/>
          <w:sz w:val="30"/>
          <w:szCs w:val="20"/>
        </w:rPr>
        <w:t>、</w:t>
      </w:r>
      <w:r>
        <w:rPr>
          <w:rFonts w:ascii="宋体" w:eastAsia="宋体" w:hAnsi="宋体" w:cs="微软雅黑" w:hint="eastAsia"/>
          <w:b/>
          <w:sz w:val="30"/>
          <w:szCs w:val="20"/>
        </w:rPr>
        <w:t>基金托管人对基金管理人的业务监督和核查</w:t>
      </w:r>
      <w:bookmarkEnd w:id="4"/>
    </w:p>
    <w:p w14:paraId="5D252038"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基金托管人根据有关法律法规的规定及</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r>
        <w:rPr>
          <w:rFonts w:ascii="宋体" w:eastAsia="宋体" w:hAnsi="宋体" w:cs="微软雅黑" w:hint="eastAsia"/>
          <w:sz w:val="24"/>
          <w:szCs w:val="24"/>
        </w:rPr>
        <w:t>对基金投资范围</w:t>
      </w:r>
      <w:r>
        <w:rPr>
          <w:rFonts w:ascii="宋体" w:eastAsia="宋体" w:hAnsi="宋体" w:cs="Malgun Gothic Semilight" w:hint="eastAsia"/>
          <w:sz w:val="24"/>
          <w:szCs w:val="24"/>
        </w:rPr>
        <w:t>、</w:t>
      </w:r>
      <w:r>
        <w:rPr>
          <w:rFonts w:ascii="宋体" w:eastAsia="宋体" w:hAnsi="宋体" w:cs="微软雅黑" w:hint="eastAsia"/>
          <w:sz w:val="24"/>
          <w:szCs w:val="24"/>
        </w:rPr>
        <w:t>投资对象进行监督</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明确约定基金投资风格或证券选择标准的</w:t>
      </w:r>
      <w:r>
        <w:rPr>
          <w:rFonts w:ascii="宋体" w:eastAsia="宋体" w:hAnsi="宋体" w:cs="Malgun Gothic Semilight" w:hint="eastAsia"/>
          <w:sz w:val="24"/>
          <w:szCs w:val="24"/>
        </w:rPr>
        <w:t>，</w:t>
      </w:r>
      <w:r>
        <w:rPr>
          <w:rFonts w:ascii="宋体" w:eastAsia="宋体" w:hAnsi="宋体" w:cs="微软雅黑" w:hint="eastAsia"/>
          <w:sz w:val="24"/>
          <w:szCs w:val="24"/>
        </w:rPr>
        <w:t>基金管理人应按照基金托管人要求的格式</w:t>
      </w:r>
      <w:r>
        <w:rPr>
          <w:rFonts w:ascii="宋体" w:eastAsia="宋体" w:hAnsi="宋体" w:cs="Malgun Gothic Semilight" w:hint="eastAsia"/>
          <w:sz w:val="24"/>
          <w:szCs w:val="24"/>
        </w:rPr>
        <w:t>，</w:t>
      </w:r>
      <w:r>
        <w:rPr>
          <w:rFonts w:ascii="宋体" w:eastAsia="宋体" w:hAnsi="宋体" w:cs="微软雅黑" w:hint="eastAsia"/>
          <w:sz w:val="24"/>
          <w:szCs w:val="24"/>
        </w:rPr>
        <w:t>将拟投资的标的证券库提供给基金托管人</w:t>
      </w:r>
      <w:r>
        <w:rPr>
          <w:rFonts w:ascii="宋体" w:eastAsia="宋体" w:hAnsi="宋体" w:cs="Malgun Gothic Semilight" w:hint="eastAsia"/>
          <w:sz w:val="24"/>
          <w:szCs w:val="24"/>
        </w:rPr>
        <w:t>。</w:t>
      </w:r>
      <w:r>
        <w:rPr>
          <w:rFonts w:ascii="宋体" w:eastAsia="宋体" w:hAnsi="宋体" w:cs="微软雅黑" w:hint="eastAsia"/>
          <w:sz w:val="24"/>
          <w:szCs w:val="24"/>
        </w:rPr>
        <w:t>基金管理人可以根据实际情况的变化</w:t>
      </w:r>
      <w:r>
        <w:rPr>
          <w:rFonts w:ascii="宋体" w:eastAsia="宋体" w:hAnsi="宋体" w:cs="Malgun Gothic Semilight" w:hint="eastAsia"/>
          <w:sz w:val="24"/>
          <w:szCs w:val="24"/>
        </w:rPr>
        <w:t>，</w:t>
      </w:r>
      <w:r>
        <w:rPr>
          <w:rFonts w:ascii="宋体" w:eastAsia="宋体" w:hAnsi="宋体" w:cs="微软雅黑" w:hint="eastAsia"/>
          <w:sz w:val="24"/>
          <w:szCs w:val="24"/>
        </w:rPr>
        <w:t>对标的证券库予以更新和调整并及时书面通知基金托管人</w:t>
      </w:r>
      <w:r>
        <w:rPr>
          <w:rFonts w:ascii="宋体" w:eastAsia="宋体" w:hAnsi="宋体" w:cs="Malgun Gothic Semilight" w:hint="eastAsia"/>
          <w:sz w:val="24"/>
          <w:szCs w:val="24"/>
        </w:rPr>
        <w:t>。</w:t>
      </w:r>
      <w:r>
        <w:rPr>
          <w:rFonts w:ascii="宋体" w:eastAsia="宋体" w:hAnsi="宋体" w:cs="微软雅黑" w:hint="eastAsia"/>
          <w:sz w:val="24"/>
          <w:szCs w:val="24"/>
        </w:rPr>
        <w:t>基金托管人根据上述投资范围对基金实际投资是否符合</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关于证券选择标准的约定进行监督</w:t>
      </w:r>
      <w:r>
        <w:rPr>
          <w:rFonts w:ascii="宋体" w:eastAsia="宋体" w:hAnsi="宋体" w:cs="Malgun Gothic Semilight" w:hint="eastAsia"/>
          <w:sz w:val="24"/>
          <w:szCs w:val="24"/>
        </w:rPr>
        <w:t>。</w:t>
      </w:r>
    </w:p>
    <w:p w14:paraId="7451D99C" w14:textId="77777777" w:rsidR="00C521E2" w:rsidRDefault="005D6E6D">
      <w:pPr>
        <w:adjustRightInd w:val="0"/>
        <w:snapToGrid w:val="0"/>
        <w:spacing w:line="360" w:lineRule="auto"/>
        <w:ind w:firstLineChars="200" w:firstLine="480"/>
        <w:rPr>
          <w:rFonts w:ascii="宋体" w:eastAsia="宋体" w:hAnsi="宋体" w:cs="微软雅黑"/>
          <w:sz w:val="24"/>
          <w:szCs w:val="30"/>
        </w:rPr>
      </w:pPr>
      <w:r>
        <w:rPr>
          <w:rFonts w:ascii="宋体" w:eastAsia="宋体" w:hAnsi="宋体" w:cs="微软雅黑" w:hint="eastAsia"/>
          <w:sz w:val="24"/>
          <w:szCs w:val="30"/>
        </w:rPr>
        <w:t>本基金以目标</w:t>
      </w:r>
      <w:r>
        <w:rPr>
          <w:rFonts w:ascii="宋体" w:eastAsia="宋体" w:hAnsi="宋体" w:cs="微软雅黑"/>
          <w:sz w:val="24"/>
          <w:szCs w:val="30"/>
        </w:rPr>
        <w:t>ETF基金份额、标的指数成份股及备选成份股（含存托凭证，下同）为主要投资对象。此外，为更好地实现投资目标，本基金可少量投资于部分非成份股（包含主板、创业板、科创板、</w:t>
      </w:r>
      <w:r>
        <w:rPr>
          <w:rFonts w:ascii="宋体" w:eastAsia="宋体" w:hAnsi="宋体" w:cs="微软雅黑" w:hint="eastAsia"/>
          <w:sz w:val="24"/>
          <w:szCs w:val="30"/>
        </w:rPr>
        <w:t>北京证券交易所股票、</w:t>
      </w:r>
      <w:r>
        <w:rPr>
          <w:rFonts w:ascii="宋体" w:eastAsia="宋体" w:hAnsi="宋体" w:cs="微软雅黑"/>
          <w:sz w:val="24"/>
          <w:szCs w:val="30"/>
        </w:rPr>
        <w:t>依法发行上市的其他港股通标的股票及其他依法发行上市的股票、存托凭证）、债券资产（国债、地方政府债、金融债、企业债、公司债、次级债、可转换债券（含分离交易可转债）、可交换债券、央行票据、中期票据、短期融资券、超短期融资券等）、资产支持证券、衍生工具（股指期货、股票期权、国债期货等）、债券回购、银行存款、同业存单、现金资产以及中国证监会允</w:t>
      </w:r>
      <w:r>
        <w:rPr>
          <w:rFonts w:ascii="宋体" w:eastAsia="宋体" w:hAnsi="宋体" w:cs="微软雅黑" w:hint="eastAsia"/>
          <w:sz w:val="24"/>
          <w:szCs w:val="30"/>
        </w:rPr>
        <w:t>许基金投资的其他金融工具（但须符合中国证监会的相关规定）。</w:t>
      </w:r>
    </w:p>
    <w:p w14:paraId="1CEC0E06" w14:textId="77777777" w:rsidR="00C521E2" w:rsidRDefault="005D6E6D">
      <w:pPr>
        <w:adjustRightInd w:val="0"/>
        <w:snapToGrid w:val="0"/>
        <w:spacing w:line="360" w:lineRule="auto"/>
        <w:ind w:firstLineChars="200" w:firstLine="480"/>
        <w:rPr>
          <w:rFonts w:ascii="宋体" w:eastAsia="宋体" w:hAnsi="宋体" w:cs="微软雅黑"/>
          <w:sz w:val="24"/>
          <w:szCs w:val="30"/>
        </w:rPr>
      </w:pPr>
      <w:r>
        <w:rPr>
          <w:rFonts w:ascii="宋体" w:eastAsia="宋体" w:hAnsi="宋体" w:cs="微软雅黑" w:hint="eastAsia"/>
          <w:sz w:val="24"/>
          <w:szCs w:val="30"/>
        </w:rPr>
        <w:t>本基金可根据相关法律法规和基金合同的约定，参与融资业务和转融通证券出借业务。</w:t>
      </w:r>
    </w:p>
    <w:p w14:paraId="26E2CB72" w14:textId="77777777" w:rsidR="00C521E2" w:rsidRDefault="005D6E6D">
      <w:pPr>
        <w:adjustRightInd w:val="0"/>
        <w:snapToGrid w:val="0"/>
        <w:spacing w:line="360" w:lineRule="auto"/>
        <w:ind w:firstLineChars="200" w:firstLine="480"/>
        <w:rPr>
          <w:rFonts w:ascii="宋体" w:eastAsia="宋体" w:hAnsi="宋体" w:cs="Times New Roman"/>
          <w:sz w:val="24"/>
          <w:szCs w:val="30"/>
        </w:rPr>
      </w:pPr>
      <w:r>
        <w:rPr>
          <w:rFonts w:ascii="宋体" w:eastAsia="宋体" w:hAnsi="宋体" w:cs="微软雅黑" w:hint="eastAsia"/>
          <w:sz w:val="24"/>
          <w:szCs w:val="30"/>
        </w:rPr>
        <w:t>如法律法规或监管机构以后允许基金投资其他品种，基金管理人在履行适当程序后，可以将其纳入投资范围。</w:t>
      </w:r>
    </w:p>
    <w:p w14:paraId="65A3A5BF" w14:textId="77777777" w:rsidR="00C521E2" w:rsidRDefault="005D6E6D">
      <w:pPr>
        <w:adjustRightInd w:val="0"/>
        <w:snapToGrid w:val="0"/>
        <w:spacing w:line="360" w:lineRule="auto"/>
        <w:ind w:firstLineChars="200" w:firstLine="480"/>
        <w:rPr>
          <w:rFonts w:ascii="宋体" w:eastAsia="宋体" w:hAnsi="宋体" w:cs="Times New Roman"/>
          <w:sz w:val="24"/>
          <w:szCs w:val="30"/>
        </w:rPr>
      </w:pPr>
      <w:r>
        <w:rPr>
          <w:rFonts w:ascii="宋体" w:eastAsia="宋体" w:hAnsi="宋体" w:cs="Times New Roman" w:hint="eastAsia"/>
          <w:sz w:val="24"/>
          <w:szCs w:val="30"/>
        </w:rPr>
        <w:lastRenderedPageBreak/>
        <w:t>本基金投资于目标</w:t>
      </w:r>
      <w:r>
        <w:rPr>
          <w:rFonts w:ascii="宋体" w:eastAsia="宋体" w:hAnsi="宋体" w:cs="Times New Roman"/>
          <w:sz w:val="24"/>
          <w:szCs w:val="30"/>
        </w:rPr>
        <w:t>ETF的资产比例不低于基金资产净值的90%；本基金应当保持不低于基金资产净值的5%的现金或到期日在一年以内的政府债券，其中，现金不包括结算备付金、存出保证金、应收申购款等。股指期货、股票期权和国债期货及其他金融工具的投资比例依照法律法规或监管机构的规定执行。</w:t>
      </w:r>
    </w:p>
    <w:p w14:paraId="521A83F6"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基金托管人根据有关法律法规的规定及</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r>
        <w:rPr>
          <w:rFonts w:ascii="宋体" w:eastAsia="宋体" w:hAnsi="宋体" w:cs="微软雅黑" w:hint="eastAsia"/>
          <w:sz w:val="24"/>
          <w:szCs w:val="24"/>
        </w:rPr>
        <w:t>对基金投资</w:t>
      </w:r>
      <w:r>
        <w:rPr>
          <w:rFonts w:ascii="宋体" w:eastAsia="宋体" w:hAnsi="宋体" w:cs="Malgun Gothic Semilight" w:hint="eastAsia"/>
          <w:sz w:val="24"/>
          <w:szCs w:val="24"/>
        </w:rPr>
        <w:t>、</w:t>
      </w:r>
      <w:r>
        <w:rPr>
          <w:rFonts w:ascii="宋体" w:eastAsia="宋体" w:hAnsi="宋体" w:cs="微软雅黑" w:hint="eastAsia"/>
          <w:sz w:val="24"/>
          <w:szCs w:val="24"/>
        </w:rPr>
        <w:t>融资比例进行监督</w:t>
      </w:r>
      <w:r>
        <w:rPr>
          <w:rFonts w:ascii="宋体" w:eastAsia="宋体" w:hAnsi="宋体" w:cs="Malgun Gothic Semilight" w:hint="eastAsia"/>
          <w:sz w:val="24"/>
          <w:szCs w:val="24"/>
        </w:rPr>
        <w:t>。</w:t>
      </w:r>
      <w:r>
        <w:rPr>
          <w:rFonts w:ascii="宋体" w:eastAsia="宋体" w:hAnsi="宋体" w:cs="微软雅黑" w:hint="eastAsia"/>
          <w:sz w:val="24"/>
          <w:szCs w:val="24"/>
        </w:rPr>
        <w:t>基金托管人按下述比例和调整期限进行监督</w:t>
      </w:r>
      <w:r>
        <w:rPr>
          <w:rFonts w:ascii="宋体" w:eastAsia="宋体" w:hAnsi="宋体" w:cs="Malgun Gothic Semilight" w:hint="eastAsia"/>
          <w:sz w:val="24"/>
          <w:szCs w:val="24"/>
        </w:rPr>
        <w:t>：</w:t>
      </w:r>
    </w:p>
    <w:p w14:paraId="27C14BCB"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1）本基金投资于目标ETF的资产比例不低于基金资产净值的90%；</w:t>
      </w:r>
    </w:p>
    <w:p w14:paraId="3D857154"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2）本基金应当保持不低于基金资产净值5％的现金或者到期日在一年以内的政府债券，其中现金不包括结算备付金、存出保证金和应收申购款等；</w:t>
      </w:r>
    </w:p>
    <w:p w14:paraId="4359816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3）本基金投资于同一原始权益人的各类资产支持证券的比例，不得超过基金资产净值的10％；</w:t>
      </w:r>
    </w:p>
    <w:p w14:paraId="5BC616BF"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4）本基金持有的全部资产支持证券，其市值不得超过基金资产净值的20％；</w:t>
      </w:r>
    </w:p>
    <w:p w14:paraId="59637E6B"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5）本基金持有的同一(指同一信用级别)资产支持证券的比例，不得超过该资产支持证券规模的10％；</w:t>
      </w:r>
    </w:p>
    <w:p w14:paraId="58F5B153"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6）本基金管理人管理的</w:t>
      </w:r>
      <w:r>
        <w:rPr>
          <w:rFonts w:ascii="宋体" w:eastAsia="宋体" w:hAnsi="宋体" w:cs="Times New Roman" w:hint="eastAsia"/>
          <w:sz w:val="24"/>
          <w:szCs w:val="24"/>
        </w:rPr>
        <w:t>且在本基金托管人处托管的</w:t>
      </w:r>
      <w:r>
        <w:rPr>
          <w:rFonts w:ascii="宋体" w:eastAsia="宋体" w:hAnsi="宋体" w:cs="Times New Roman"/>
          <w:sz w:val="24"/>
          <w:szCs w:val="24"/>
        </w:rPr>
        <w:t>全部基金投资于同一原始权益人的各类资产支持证券，不得超过其各类资产支持证券合计规模的10％；</w:t>
      </w:r>
    </w:p>
    <w:p w14:paraId="64A0B0E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7）本基金应投资于信用级别评级为BBB以上(含BBB)的资产支持证券。基金持有资产支持证券期间，如果其信用等级下降、不再符合投资标准，应在评级报告发布之日起3个月内予以全部卖出；</w:t>
      </w:r>
    </w:p>
    <w:p w14:paraId="03AFF334"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8）基金财产参与股票发行申购，本基金所申报的金额不超过本基金的总资产，本基金所申报的股票数量不超过拟发行股票公司本次发行股票的总量；</w:t>
      </w:r>
    </w:p>
    <w:p w14:paraId="1011BE7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9）本基金若参与股指期货交易，应当符合下列投资限制：</w:t>
      </w:r>
    </w:p>
    <w:p w14:paraId="13C504B9"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①本基金在任何交易日日终，持有的买入股指期货合约价值，不得超过基金资产净值的</w:t>
      </w:r>
      <w:r>
        <w:rPr>
          <w:rFonts w:ascii="宋体" w:eastAsia="宋体" w:hAnsi="宋体" w:cs="Times New Roman"/>
          <w:sz w:val="24"/>
          <w:szCs w:val="24"/>
        </w:rPr>
        <w:t>10%；</w:t>
      </w:r>
    </w:p>
    <w:p w14:paraId="0852DBBE"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②每个交易日日终，在扣除股指期货和国债期货合约需缴纳的交易保证金后，本基金应当保持不低于基金资产净值的</w:t>
      </w:r>
      <w:r>
        <w:rPr>
          <w:rFonts w:ascii="宋体" w:eastAsia="宋体" w:hAnsi="宋体" w:cs="Times New Roman"/>
          <w:sz w:val="24"/>
          <w:szCs w:val="24"/>
        </w:rPr>
        <w:t>5%的现金或到期日在一年以内的政府债券，其中现金不包括结算备付金、存出保证金、应收申购款等；</w:t>
      </w:r>
    </w:p>
    <w:p w14:paraId="6DC4B3C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③本基金在任何交易日日终，持有的买入股指期货、国债期货合约价值与有价证券市值之和，不得超过基金资产净值的</w:t>
      </w:r>
      <w:r>
        <w:rPr>
          <w:rFonts w:ascii="宋体" w:eastAsia="宋体" w:hAnsi="宋体" w:cs="Times New Roman"/>
          <w:sz w:val="24"/>
          <w:szCs w:val="24"/>
        </w:rPr>
        <w:t>100%。</w:t>
      </w:r>
    </w:p>
    <w:p w14:paraId="2E31DC7E"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其中，有价证券指股票、目标</w:t>
      </w:r>
      <w:r>
        <w:rPr>
          <w:rFonts w:ascii="宋体" w:eastAsia="宋体" w:hAnsi="宋体" w:cs="Times New Roman"/>
          <w:sz w:val="24"/>
          <w:szCs w:val="24"/>
        </w:rPr>
        <w:t>ETF、债券（不含到期日在一年以内的政府债券）、</w:t>
      </w:r>
      <w:r>
        <w:rPr>
          <w:rFonts w:ascii="宋体" w:eastAsia="宋体" w:hAnsi="宋体" w:cs="Times New Roman"/>
          <w:sz w:val="24"/>
          <w:szCs w:val="24"/>
        </w:rPr>
        <w:lastRenderedPageBreak/>
        <w:t>资产支持证券、买入返售金融资产（不含质押式回购）等；</w:t>
      </w:r>
    </w:p>
    <w:p w14:paraId="49E4A9B6"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④本基金在任何交易日日终，持有的卖出股指期货合约价值不得超过基金持有的股票总市值及目标</w:t>
      </w:r>
      <w:r>
        <w:rPr>
          <w:rFonts w:ascii="宋体" w:eastAsia="宋体" w:hAnsi="宋体" w:cs="Times New Roman"/>
          <w:sz w:val="24"/>
          <w:szCs w:val="24"/>
        </w:rPr>
        <w:t>ETF的20%；</w:t>
      </w:r>
    </w:p>
    <w:p w14:paraId="644F8015"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⑤本基金所持有的股票市值和买入、卖出股指期货合约价值，合计（轧差计算）应当符合基金合同关于股票投资比例的有关约定；</w:t>
      </w:r>
    </w:p>
    <w:p w14:paraId="58F1A515"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⑥本基金在任何交易日内交易（不包括平仓）的股指期货合约的成交金额不得超过上一交易日基金资产净值的</w:t>
      </w:r>
      <w:r>
        <w:rPr>
          <w:rFonts w:ascii="宋体" w:eastAsia="宋体" w:hAnsi="宋体" w:cs="Times New Roman"/>
          <w:sz w:val="24"/>
          <w:szCs w:val="24"/>
        </w:rPr>
        <w:t>20%；</w:t>
      </w:r>
    </w:p>
    <w:p w14:paraId="4956EF58"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10）本基金若参与国债期货交易，应当符合下列投资限制：</w:t>
      </w:r>
    </w:p>
    <w:p w14:paraId="2728DF35"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①本基金在任何交易日日终，持有的买入国债期货合约价值，不得超过基金资产净值的</w:t>
      </w:r>
      <w:r>
        <w:rPr>
          <w:rFonts w:ascii="宋体" w:eastAsia="宋体" w:hAnsi="宋体" w:cs="Times New Roman"/>
          <w:sz w:val="24"/>
          <w:szCs w:val="24"/>
        </w:rPr>
        <w:t>15%；</w:t>
      </w:r>
    </w:p>
    <w:p w14:paraId="6607BEBB"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②本基金在任何交易日日终，在扣除股指期货和国债期货合约需缴纳的交易保证金后，应当保持不低于基金资产净值的</w:t>
      </w:r>
      <w:r>
        <w:rPr>
          <w:rFonts w:ascii="宋体" w:eastAsia="宋体" w:hAnsi="宋体" w:cs="Times New Roman"/>
          <w:sz w:val="24"/>
          <w:szCs w:val="24"/>
        </w:rPr>
        <w:t>5%的现金或到期日在一年以内的政府债券，其中现金不包括结算备付金、存出保证金、应收申购款等；</w:t>
      </w:r>
    </w:p>
    <w:p w14:paraId="522CFAE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③本基金在任何交易日日终，持有的买入股指期货、国债期货合约价值与有价证券市值之和，不得超过基金资产净值的</w:t>
      </w:r>
      <w:r>
        <w:rPr>
          <w:rFonts w:ascii="宋体" w:eastAsia="宋体" w:hAnsi="宋体" w:cs="Times New Roman"/>
          <w:sz w:val="24"/>
          <w:szCs w:val="24"/>
        </w:rPr>
        <w:t>100%。</w:t>
      </w:r>
    </w:p>
    <w:p w14:paraId="22A24A22"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其中，有价证券指股票、目标</w:t>
      </w:r>
      <w:r>
        <w:rPr>
          <w:rFonts w:ascii="宋体" w:eastAsia="宋体" w:hAnsi="宋体" w:cs="Times New Roman"/>
          <w:sz w:val="24"/>
          <w:szCs w:val="24"/>
        </w:rPr>
        <w:t>ETF、债券（不含到期日在一年以内的政府债券）、资产支持证券、买入返售金融资产（不含质押式回购）等；</w:t>
      </w:r>
    </w:p>
    <w:p w14:paraId="4702C880"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④本基金在任何交易日日终，持有的卖出国债期货合约价值不得超过基金持有的债券总市值的</w:t>
      </w:r>
      <w:r>
        <w:rPr>
          <w:rFonts w:ascii="宋体" w:eastAsia="宋体" w:hAnsi="宋体" w:cs="Times New Roman"/>
          <w:sz w:val="24"/>
          <w:szCs w:val="24"/>
        </w:rPr>
        <w:t>30%；</w:t>
      </w:r>
    </w:p>
    <w:p w14:paraId="50D2C1A6" w14:textId="6FF92DE7" w:rsidR="00C521E2" w:rsidRDefault="00D225FC">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fldChar w:fldCharType="begin"/>
      </w:r>
      <w:r>
        <w:rPr>
          <w:rFonts w:ascii="宋体" w:eastAsia="宋体" w:hAnsi="宋体" w:cs="Times New Roman" w:hint="eastAsia"/>
          <w:sz w:val="24"/>
          <w:szCs w:val="24"/>
        </w:rPr>
        <w:instrText xml:space="preserve"> = 5 \* GB3 </w:instrText>
      </w:r>
      <w:r>
        <w:rPr>
          <w:rFonts w:ascii="宋体" w:eastAsia="宋体" w:hAnsi="宋体" w:cs="Times New Roman" w:hint="eastAsia"/>
          <w:sz w:val="24"/>
          <w:szCs w:val="24"/>
        </w:rPr>
        <w:fldChar w:fldCharType="separate"/>
      </w:r>
      <w:r>
        <w:rPr>
          <w:rFonts w:ascii="宋体" w:eastAsia="宋体" w:hAnsi="宋体" w:cs="Times New Roman" w:hint="eastAsia"/>
          <w:noProof/>
          <w:sz w:val="24"/>
          <w:szCs w:val="24"/>
        </w:rPr>
        <w:t>⑤</w:t>
      </w:r>
      <w:r>
        <w:rPr>
          <w:rFonts w:ascii="宋体" w:eastAsia="宋体" w:hAnsi="宋体" w:cs="Times New Roman" w:hint="eastAsia"/>
          <w:sz w:val="24"/>
          <w:szCs w:val="24"/>
        </w:rPr>
        <w:fldChar w:fldCharType="end"/>
      </w:r>
      <w:r>
        <w:rPr>
          <w:rFonts w:ascii="宋体" w:eastAsia="宋体" w:hAnsi="宋体" w:cs="Times New Roman" w:hint="eastAsia"/>
          <w:sz w:val="24"/>
          <w:szCs w:val="24"/>
        </w:rPr>
        <w:t>本基金在任何交易日内交易（不包括平仓）的国债期货合约的成交金额不得超过上一交易日基金资产净值的</w:t>
      </w:r>
      <w:r>
        <w:rPr>
          <w:rFonts w:ascii="宋体" w:eastAsia="宋体" w:hAnsi="宋体" w:cs="Times New Roman"/>
          <w:sz w:val="24"/>
          <w:szCs w:val="24"/>
        </w:rPr>
        <w:t>30%；</w:t>
      </w:r>
    </w:p>
    <w:p w14:paraId="405BCD6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11）本基金若参与股票期权交易，应当符合下列投资限制：</w:t>
      </w:r>
    </w:p>
    <w:p w14:paraId="1CE3C8EE"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①本基金因未平仓的期权合约支付和收取的权利金总额不得超过基金资产净值的</w:t>
      </w:r>
      <w:r>
        <w:rPr>
          <w:rFonts w:ascii="宋体" w:eastAsia="宋体" w:hAnsi="宋体" w:cs="Times New Roman"/>
          <w:sz w:val="24"/>
          <w:szCs w:val="24"/>
        </w:rPr>
        <w:t>10%；</w:t>
      </w:r>
    </w:p>
    <w:p w14:paraId="69A00423" w14:textId="4562DD0C" w:rsidR="00C521E2" w:rsidRDefault="00D225FC">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fldChar w:fldCharType="begin"/>
      </w:r>
      <w:r>
        <w:rPr>
          <w:rFonts w:ascii="宋体" w:eastAsia="宋体" w:hAnsi="宋体" w:cs="Times New Roman" w:hint="eastAsia"/>
          <w:sz w:val="24"/>
          <w:szCs w:val="24"/>
        </w:rPr>
        <w:instrText xml:space="preserve"> = 2 \* GB3 </w:instrText>
      </w:r>
      <w:r>
        <w:rPr>
          <w:rFonts w:ascii="宋体" w:eastAsia="宋体" w:hAnsi="宋体" w:cs="Times New Roman" w:hint="eastAsia"/>
          <w:sz w:val="24"/>
          <w:szCs w:val="24"/>
        </w:rPr>
        <w:fldChar w:fldCharType="separate"/>
      </w:r>
      <w:r>
        <w:rPr>
          <w:rFonts w:ascii="宋体" w:eastAsia="宋体" w:hAnsi="宋体" w:cs="Times New Roman" w:hint="eastAsia"/>
          <w:noProof/>
          <w:sz w:val="24"/>
          <w:szCs w:val="24"/>
        </w:rPr>
        <w:t>②</w:t>
      </w:r>
      <w:r>
        <w:rPr>
          <w:rFonts w:ascii="宋体" w:eastAsia="宋体" w:hAnsi="宋体" w:cs="Times New Roman" w:hint="eastAsia"/>
          <w:sz w:val="24"/>
          <w:szCs w:val="24"/>
        </w:rPr>
        <w:fldChar w:fldCharType="end"/>
      </w:r>
      <w:r>
        <w:rPr>
          <w:rFonts w:ascii="宋体" w:eastAsia="宋体" w:hAnsi="宋体" w:cs="Times New Roman" w:hint="eastAsia"/>
          <w:sz w:val="24"/>
          <w:szCs w:val="24"/>
        </w:rPr>
        <w:t>未平仓的期权合约面值不得超过基金资产净值的</w:t>
      </w:r>
      <w:r>
        <w:rPr>
          <w:rFonts w:ascii="宋体" w:eastAsia="宋体" w:hAnsi="宋体" w:cs="Times New Roman"/>
          <w:sz w:val="24"/>
          <w:szCs w:val="24"/>
        </w:rPr>
        <w:t>20%。其中，合约面值按照行权价乘以合约乘数计算；</w:t>
      </w:r>
    </w:p>
    <w:p w14:paraId="3ACB9CF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12）本基金参与融资业务后，在任何交易日日终，持有的融资买入股票与其他有价证券市值之和，不得超过基金资产净值的95%；</w:t>
      </w:r>
    </w:p>
    <w:p w14:paraId="305178F0"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13）本基金若参与转融通证券出借业务，应当符合下列投资限制：</w:t>
      </w:r>
    </w:p>
    <w:p w14:paraId="4099546C"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①出借证券资产不得超过基金资产净值的</w:t>
      </w:r>
      <w:r>
        <w:rPr>
          <w:rFonts w:ascii="宋体" w:eastAsia="宋体" w:hAnsi="宋体" w:cs="Times New Roman"/>
          <w:sz w:val="24"/>
          <w:szCs w:val="24"/>
        </w:rPr>
        <w:t>30%，出借期限在10个交易日以上</w:t>
      </w:r>
      <w:r>
        <w:rPr>
          <w:rFonts w:ascii="宋体" w:eastAsia="宋体" w:hAnsi="宋体" w:cs="Times New Roman"/>
          <w:sz w:val="24"/>
          <w:szCs w:val="24"/>
        </w:rPr>
        <w:lastRenderedPageBreak/>
        <w:t>的出借证券应纳入《流动性风险管理规定》所述流动性受限证券的范围；</w:t>
      </w:r>
    </w:p>
    <w:p w14:paraId="554886C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②本基金参与出借业务的单只证券不得超过基金持有该证券总量的</w:t>
      </w:r>
      <w:r>
        <w:rPr>
          <w:rFonts w:ascii="宋体" w:eastAsia="宋体" w:hAnsi="宋体" w:cs="Times New Roman"/>
          <w:sz w:val="24"/>
          <w:szCs w:val="24"/>
        </w:rPr>
        <w:t>50%；</w:t>
      </w:r>
    </w:p>
    <w:p w14:paraId="5A676E70"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③最近</w:t>
      </w:r>
      <w:r>
        <w:rPr>
          <w:rFonts w:ascii="宋体" w:eastAsia="宋体" w:hAnsi="宋体" w:cs="Times New Roman"/>
          <w:sz w:val="24"/>
          <w:szCs w:val="24"/>
        </w:rPr>
        <w:t>6个月内日均基金资产净值不得低于2亿元；</w:t>
      </w:r>
    </w:p>
    <w:p w14:paraId="4D0498F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④证券出借的平均剩余期限不得超过</w:t>
      </w:r>
      <w:r>
        <w:rPr>
          <w:rFonts w:ascii="宋体" w:eastAsia="宋体" w:hAnsi="宋体" w:cs="Times New Roman"/>
          <w:sz w:val="24"/>
          <w:szCs w:val="24"/>
        </w:rPr>
        <w:t>30天，平均剩余期限按照市值加权平均计算；</w:t>
      </w:r>
    </w:p>
    <w:p w14:paraId="446D83F0"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因证券市场波动、上市公司合并、基金规模变动等基金管理人之外的因素致使基金投资不符合上述规定的，基金管理人不得新增出借业务；</w:t>
      </w:r>
    </w:p>
    <w:p w14:paraId="386B7537"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14）本基金资产总值不得超过基金资产净值的140%；</w:t>
      </w:r>
    </w:p>
    <w:p w14:paraId="0D7C8F75"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15）本基金主动投资于流动性受限资产的市值合计不得超过基金资产净值的15%；因证券市场波动、上市公司股票停牌、基金规模变动等基金管理人之外的因素致使基金不符合本款所规定比例限制的，本基金管理人不得主动新增流动性受限资产的投资；</w:t>
      </w:r>
    </w:p>
    <w:p w14:paraId="7E983220" w14:textId="7CC6DF03"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16）本基金投资存托凭证的比例限制依照国内依法发行上市的股票执行，与国内依法发行上市的股票合并计算；</w:t>
      </w:r>
    </w:p>
    <w:p w14:paraId="2FC7DF6D" w14:textId="74666521"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17）法律法规及中国证监会规定的和《基金合同》约定的其他投资限制。</w:t>
      </w:r>
    </w:p>
    <w:p w14:paraId="21D31E5C" w14:textId="15B51849"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除上述第（</w:t>
      </w:r>
      <w:r>
        <w:rPr>
          <w:rFonts w:ascii="宋体" w:eastAsia="宋体" w:hAnsi="宋体" w:cs="Times New Roman"/>
          <w:sz w:val="24"/>
          <w:szCs w:val="24"/>
        </w:rPr>
        <w:t>1）、（2）、（7）、（13）、（15）项外，因证券、期货市场波动、证券发行人合并、基金规模变动、标的指数成份股调整、标的指数成份股流动性限制、目标ETF暂停申购、赎回或二级市场交易停牌等基金管理人之外的因素致使基金投资比例不符合上述规定投资比例的，基金管理人应当在所涉证券可交易之日起10个交易日内进行调整，但中国证监会规定的特殊情形除外。因证券市场波动、基金规模变动等基金管理人之外的因素致使基金投资不符合第（1）项规定的比例，基金管理人应当在20个交易日内进行调整，但中国证监会规定的特</w:t>
      </w:r>
      <w:r>
        <w:rPr>
          <w:rFonts w:ascii="宋体" w:eastAsia="宋体" w:hAnsi="宋体" w:cs="Times New Roman" w:hint="eastAsia"/>
          <w:sz w:val="24"/>
          <w:szCs w:val="24"/>
        </w:rPr>
        <w:t>殊情形除外。法律法规另有规定的，从其规定</w:t>
      </w:r>
      <w:r>
        <w:rPr>
          <w:rFonts w:ascii="宋体" w:eastAsia="宋体" w:hAnsi="宋体" w:cs="Times New Roman"/>
          <w:sz w:val="24"/>
          <w:szCs w:val="24"/>
        </w:rPr>
        <w:t>。</w:t>
      </w:r>
    </w:p>
    <w:p w14:paraId="3B406705"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基金管理人应当自基金合同生效之日起</w:t>
      </w:r>
      <w:r>
        <w:rPr>
          <w:rFonts w:ascii="宋体" w:eastAsia="宋体" w:hAnsi="宋体" w:cs="Times New Roman"/>
          <w:sz w:val="24"/>
          <w:szCs w:val="24"/>
        </w:rPr>
        <w:t>6个月内使基金的投资组合比例符合基金合同的有关约定。在上述期间内，本基金的投资范围、投资策略应当符合基金合同的约定。基金托管人对基金投资的监督与检查自基金合同生效之日起开始。</w:t>
      </w:r>
    </w:p>
    <w:p w14:paraId="30BCFC1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基金托管人</w:t>
      </w:r>
      <w:bookmarkStart w:id="5" w:name="OLE_LINK1"/>
      <w:r>
        <w:rPr>
          <w:rFonts w:ascii="宋体" w:eastAsia="宋体" w:hAnsi="宋体" w:cs="微软雅黑" w:hint="eastAsia"/>
          <w:sz w:val="24"/>
          <w:szCs w:val="24"/>
        </w:rPr>
        <w:t>根据有关法律法规的规定及</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bookmarkEnd w:id="5"/>
      <w:r>
        <w:rPr>
          <w:rFonts w:ascii="宋体" w:eastAsia="宋体" w:hAnsi="宋体" w:cs="微软雅黑" w:hint="eastAsia"/>
          <w:sz w:val="24"/>
          <w:szCs w:val="24"/>
        </w:rPr>
        <w:t>对本托管协议第十五条第</w:t>
      </w:r>
      <w:r>
        <w:rPr>
          <w:rFonts w:ascii="宋体" w:eastAsia="宋体" w:hAnsi="宋体" w:cs="Arial" w:hint="eastAsia"/>
          <w:sz w:val="24"/>
          <w:szCs w:val="24"/>
        </w:rPr>
        <w:t>（</w:t>
      </w:r>
      <w:r>
        <w:rPr>
          <w:rFonts w:ascii="宋体" w:eastAsia="宋体" w:hAnsi="宋体" w:cs="微软雅黑" w:hint="eastAsia"/>
          <w:sz w:val="24"/>
          <w:szCs w:val="24"/>
        </w:rPr>
        <w:t>九</w:t>
      </w:r>
      <w:r>
        <w:rPr>
          <w:rFonts w:ascii="宋体" w:eastAsia="宋体" w:hAnsi="宋体" w:cs="Arial" w:hint="eastAsia"/>
          <w:sz w:val="24"/>
          <w:szCs w:val="24"/>
        </w:rPr>
        <w:t>）</w:t>
      </w:r>
      <w:r>
        <w:rPr>
          <w:rFonts w:ascii="宋体" w:eastAsia="宋体" w:hAnsi="宋体" w:cs="微软雅黑" w:hint="eastAsia"/>
          <w:sz w:val="24"/>
          <w:szCs w:val="24"/>
        </w:rPr>
        <w:t>款基金投资禁止行为通过事后监督方式进行监督</w:t>
      </w:r>
      <w:r>
        <w:rPr>
          <w:rFonts w:ascii="宋体" w:eastAsia="宋体" w:hAnsi="宋体" w:cs="Malgun Gothic Semilight" w:hint="eastAsia"/>
          <w:sz w:val="24"/>
          <w:szCs w:val="24"/>
        </w:rPr>
        <w:t>。</w:t>
      </w:r>
    </w:p>
    <w:p w14:paraId="5D20C172"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微软雅黑" w:hint="eastAsia"/>
          <w:sz w:val="24"/>
          <w:szCs w:val="24"/>
        </w:rPr>
        <w:t>除标的指数成份股、备选成份股之外，基金管理人运用基金财产买卖基金管理人</w:t>
      </w:r>
      <w:r>
        <w:rPr>
          <w:rFonts w:ascii="宋体" w:eastAsia="宋体" w:hAnsi="宋体" w:cs="Malgun Gothic Semilight" w:hint="eastAsia"/>
          <w:sz w:val="24"/>
          <w:szCs w:val="24"/>
        </w:rPr>
        <w:t>、</w:t>
      </w:r>
      <w:r>
        <w:rPr>
          <w:rFonts w:ascii="宋体" w:eastAsia="宋体" w:hAnsi="宋体" w:cs="微软雅黑" w:hint="eastAsia"/>
          <w:sz w:val="24"/>
          <w:szCs w:val="24"/>
        </w:rPr>
        <w:t>基金托管人及其控股股东</w:t>
      </w:r>
      <w:r>
        <w:rPr>
          <w:rFonts w:ascii="宋体" w:eastAsia="宋体" w:hAnsi="宋体" w:cs="Malgun Gothic Semilight" w:hint="eastAsia"/>
          <w:sz w:val="24"/>
          <w:szCs w:val="24"/>
        </w:rPr>
        <w:t>、</w:t>
      </w:r>
      <w:r>
        <w:rPr>
          <w:rFonts w:ascii="宋体" w:eastAsia="宋体" w:hAnsi="宋体" w:cs="微软雅黑" w:hint="eastAsia"/>
          <w:sz w:val="24"/>
          <w:szCs w:val="24"/>
        </w:rPr>
        <w:t>实际控制人或者与其有重大利害关系的公司发</w:t>
      </w:r>
      <w:r>
        <w:rPr>
          <w:rFonts w:ascii="宋体" w:eastAsia="宋体" w:hAnsi="宋体" w:cs="微软雅黑" w:hint="eastAsia"/>
          <w:sz w:val="24"/>
          <w:szCs w:val="24"/>
        </w:rPr>
        <w:lastRenderedPageBreak/>
        <w:t>行的证券或者承销期内承销的证券</w:t>
      </w:r>
      <w:r>
        <w:rPr>
          <w:rFonts w:ascii="宋体" w:eastAsia="宋体" w:hAnsi="宋体" w:cs="Malgun Gothic Semilight" w:hint="eastAsia"/>
          <w:sz w:val="24"/>
          <w:szCs w:val="24"/>
        </w:rPr>
        <w:t>，</w:t>
      </w:r>
      <w:r>
        <w:rPr>
          <w:rFonts w:ascii="宋体" w:eastAsia="宋体" w:hAnsi="宋体" w:cs="微软雅黑" w:hint="eastAsia"/>
          <w:sz w:val="24"/>
          <w:szCs w:val="24"/>
        </w:rPr>
        <w:t>或者从事其他重大关联交易的</w:t>
      </w:r>
      <w:r>
        <w:rPr>
          <w:rFonts w:ascii="宋体" w:eastAsia="宋体" w:hAnsi="宋体" w:cs="Malgun Gothic Semilight" w:hint="eastAsia"/>
          <w:sz w:val="24"/>
          <w:szCs w:val="24"/>
        </w:rPr>
        <w:t>，</w:t>
      </w:r>
      <w:r>
        <w:rPr>
          <w:rFonts w:ascii="宋体" w:eastAsia="宋体" w:hAnsi="宋体" w:cs="微软雅黑" w:hint="eastAsia"/>
          <w:sz w:val="24"/>
          <w:szCs w:val="24"/>
        </w:rPr>
        <w:t>应当符合基金的投资目标和投资策略</w:t>
      </w:r>
      <w:r>
        <w:rPr>
          <w:rFonts w:ascii="宋体" w:eastAsia="宋体" w:hAnsi="宋体" w:cs="Malgun Gothic Semilight" w:hint="eastAsia"/>
          <w:sz w:val="24"/>
          <w:szCs w:val="24"/>
        </w:rPr>
        <w:t>，</w:t>
      </w:r>
      <w:r>
        <w:rPr>
          <w:rFonts w:ascii="宋体" w:eastAsia="宋体" w:hAnsi="宋体" w:cs="微软雅黑" w:hint="eastAsia"/>
          <w:sz w:val="24"/>
          <w:szCs w:val="24"/>
        </w:rPr>
        <w:t>遵循基金份额持有人利益优先原则</w:t>
      </w:r>
      <w:r>
        <w:rPr>
          <w:rFonts w:ascii="宋体" w:eastAsia="宋体" w:hAnsi="宋体" w:cs="Malgun Gothic Semilight" w:hint="eastAsia"/>
          <w:sz w:val="24"/>
          <w:szCs w:val="24"/>
        </w:rPr>
        <w:t>，</w:t>
      </w:r>
      <w:r>
        <w:rPr>
          <w:rFonts w:ascii="宋体" w:eastAsia="宋体" w:hAnsi="宋体" w:cs="微软雅黑" w:hint="eastAsia"/>
          <w:sz w:val="24"/>
          <w:szCs w:val="24"/>
        </w:rPr>
        <w:t>防范利益冲突</w:t>
      </w:r>
      <w:r>
        <w:rPr>
          <w:rFonts w:ascii="宋体" w:eastAsia="宋体" w:hAnsi="宋体" w:cs="Malgun Gothic Semilight" w:hint="eastAsia"/>
          <w:sz w:val="24"/>
          <w:szCs w:val="24"/>
        </w:rPr>
        <w:t>，</w:t>
      </w:r>
      <w:r>
        <w:rPr>
          <w:rFonts w:ascii="宋体" w:eastAsia="宋体" w:hAnsi="宋体" w:cs="微软雅黑" w:hint="eastAsia"/>
          <w:sz w:val="24"/>
          <w:szCs w:val="24"/>
        </w:rPr>
        <w:t>建立健全内部审批机制和评估机制</w:t>
      </w:r>
      <w:r>
        <w:rPr>
          <w:rFonts w:ascii="宋体" w:eastAsia="宋体" w:hAnsi="宋体" w:cs="Malgun Gothic Semilight" w:hint="eastAsia"/>
          <w:sz w:val="24"/>
          <w:szCs w:val="24"/>
        </w:rPr>
        <w:t>，</w:t>
      </w:r>
      <w:r>
        <w:rPr>
          <w:rFonts w:ascii="宋体" w:eastAsia="宋体" w:hAnsi="宋体" w:cs="微软雅黑" w:hint="eastAsia"/>
          <w:sz w:val="24"/>
          <w:szCs w:val="24"/>
        </w:rPr>
        <w:t>按照市场公平合理价格执行</w:t>
      </w:r>
      <w:r>
        <w:rPr>
          <w:rFonts w:ascii="宋体" w:eastAsia="宋体" w:hAnsi="宋体" w:cs="Malgun Gothic Semilight" w:hint="eastAsia"/>
          <w:sz w:val="24"/>
          <w:szCs w:val="24"/>
        </w:rPr>
        <w:t>。</w:t>
      </w:r>
      <w:r>
        <w:rPr>
          <w:rFonts w:ascii="宋体" w:eastAsia="宋体" w:hAnsi="宋体" w:cs="微软雅黑" w:hint="eastAsia"/>
          <w:sz w:val="24"/>
          <w:szCs w:val="24"/>
        </w:rPr>
        <w:t>相关交易必须事先得到基金托管人的同意</w:t>
      </w:r>
      <w:r>
        <w:rPr>
          <w:rFonts w:ascii="宋体" w:eastAsia="宋体" w:hAnsi="宋体" w:cs="Malgun Gothic Semilight" w:hint="eastAsia"/>
          <w:sz w:val="24"/>
          <w:szCs w:val="24"/>
        </w:rPr>
        <w:t>，</w:t>
      </w:r>
      <w:r>
        <w:rPr>
          <w:rFonts w:ascii="宋体" w:eastAsia="宋体" w:hAnsi="宋体" w:cs="微软雅黑" w:hint="eastAsia"/>
          <w:sz w:val="24"/>
          <w:szCs w:val="24"/>
        </w:rPr>
        <w:t>并按法律法规予以披露</w:t>
      </w:r>
      <w:r>
        <w:rPr>
          <w:rFonts w:ascii="宋体" w:eastAsia="宋体" w:hAnsi="宋体" w:cs="Malgun Gothic Semilight" w:hint="eastAsia"/>
          <w:sz w:val="24"/>
          <w:szCs w:val="24"/>
        </w:rPr>
        <w:t>。</w:t>
      </w:r>
      <w:r>
        <w:rPr>
          <w:rFonts w:ascii="宋体" w:eastAsia="宋体" w:hAnsi="宋体" w:cs="微软雅黑" w:hint="eastAsia"/>
          <w:sz w:val="24"/>
          <w:szCs w:val="24"/>
        </w:rPr>
        <w:t>重大关联交易应提交基金管理人董事会审议</w:t>
      </w:r>
      <w:r>
        <w:rPr>
          <w:rFonts w:ascii="宋体" w:eastAsia="宋体" w:hAnsi="宋体" w:cs="Malgun Gothic Semilight" w:hint="eastAsia"/>
          <w:sz w:val="24"/>
          <w:szCs w:val="24"/>
        </w:rPr>
        <w:t>，</w:t>
      </w:r>
      <w:r>
        <w:rPr>
          <w:rFonts w:ascii="宋体" w:eastAsia="宋体" w:hAnsi="宋体" w:cs="微软雅黑" w:hint="eastAsia"/>
          <w:sz w:val="24"/>
          <w:szCs w:val="24"/>
        </w:rPr>
        <w:t>并经过三分之二以上（含三分之二）的独立董事通过</w:t>
      </w:r>
      <w:r>
        <w:rPr>
          <w:rFonts w:ascii="宋体" w:eastAsia="宋体" w:hAnsi="宋体" w:cs="Malgun Gothic Semilight" w:hint="eastAsia"/>
          <w:sz w:val="24"/>
          <w:szCs w:val="24"/>
        </w:rPr>
        <w:t>。基金管理人董事会应至少每半年对关联交易事项进行审查。</w:t>
      </w:r>
    </w:p>
    <w:p w14:paraId="4CAA153E"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（四）法律法规或监管部门对基金合同所述投资比例、投资限制、组合限制、禁止行为等作出强制性调整的，本基金应当按照法律法规或监管部门的规定执行。</w:t>
      </w:r>
    </w:p>
    <w:p w14:paraId="33FDDBC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五</w:t>
      </w:r>
      <w:r>
        <w:rPr>
          <w:rFonts w:ascii="宋体" w:eastAsia="宋体" w:hAnsi="宋体" w:cs="Arial" w:hint="eastAsia"/>
          <w:sz w:val="24"/>
          <w:szCs w:val="24"/>
        </w:rPr>
        <w:t>）</w:t>
      </w:r>
      <w:r>
        <w:rPr>
          <w:rFonts w:ascii="宋体" w:eastAsia="宋体" w:hAnsi="宋体" w:cs="微软雅黑" w:hint="eastAsia"/>
          <w:sz w:val="24"/>
          <w:szCs w:val="24"/>
        </w:rPr>
        <w:t>基金托管人根据有关法律法规的规定及</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r>
        <w:rPr>
          <w:rFonts w:ascii="宋体" w:eastAsia="宋体" w:hAnsi="宋体" w:cs="微软雅黑" w:hint="eastAsia"/>
          <w:sz w:val="24"/>
          <w:szCs w:val="24"/>
        </w:rPr>
        <w:t>对基金管理人投资流通受限证券进行监督</w:t>
      </w:r>
      <w:r>
        <w:rPr>
          <w:rFonts w:ascii="宋体" w:eastAsia="宋体" w:hAnsi="宋体" w:cs="Malgun Gothic Semilight" w:hint="eastAsia"/>
          <w:sz w:val="24"/>
          <w:szCs w:val="24"/>
        </w:rPr>
        <w:t>。</w:t>
      </w:r>
    </w:p>
    <w:p w14:paraId="2CE4CBCA"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微软雅黑" w:hint="eastAsia"/>
          <w:sz w:val="24"/>
          <w:szCs w:val="24"/>
        </w:rPr>
        <w:t>基金管理人投资流通受限证券</w:t>
      </w:r>
      <w:r>
        <w:rPr>
          <w:rFonts w:ascii="宋体" w:eastAsia="宋体" w:hAnsi="宋体" w:cs="Malgun Gothic Semilight" w:hint="eastAsia"/>
          <w:sz w:val="24"/>
          <w:szCs w:val="24"/>
        </w:rPr>
        <w:t>，</w:t>
      </w:r>
      <w:r>
        <w:rPr>
          <w:rFonts w:ascii="宋体" w:eastAsia="宋体" w:hAnsi="宋体" w:cs="微软雅黑" w:hint="eastAsia"/>
          <w:sz w:val="24"/>
          <w:szCs w:val="24"/>
        </w:rPr>
        <w:t>应事先根据中国证监会相关规定</w:t>
      </w:r>
      <w:r>
        <w:rPr>
          <w:rFonts w:ascii="宋体" w:eastAsia="宋体" w:hAnsi="宋体" w:cs="Malgun Gothic Semilight" w:hint="eastAsia"/>
          <w:sz w:val="24"/>
          <w:szCs w:val="24"/>
        </w:rPr>
        <w:t>，</w:t>
      </w:r>
      <w:r>
        <w:rPr>
          <w:rFonts w:ascii="宋体" w:eastAsia="宋体" w:hAnsi="宋体" w:cs="微软雅黑" w:hint="eastAsia"/>
          <w:sz w:val="24"/>
          <w:szCs w:val="24"/>
        </w:rPr>
        <w:t>明确基金投资流通受限证券的比例</w:t>
      </w:r>
      <w:r>
        <w:rPr>
          <w:rFonts w:ascii="宋体" w:eastAsia="宋体" w:hAnsi="宋体" w:cs="Malgun Gothic Semilight" w:hint="eastAsia"/>
          <w:sz w:val="24"/>
          <w:szCs w:val="24"/>
        </w:rPr>
        <w:t>，</w:t>
      </w:r>
      <w:r>
        <w:rPr>
          <w:rFonts w:ascii="宋体" w:eastAsia="宋体" w:hAnsi="宋体" w:cs="微软雅黑" w:hint="eastAsia"/>
          <w:sz w:val="24"/>
          <w:szCs w:val="24"/>
        </w:rPr>
        <w:t>制订严格的投资决策流程和风险控制制度</w:t>
      </w:r>
      <w:r>
        <w:rPr>
          <w:rFonts w:ascii="宋体" w:eastAsia="宋体" w:hAnsi="宋体" w:cs="Malgun Gothic Semilight" w:hint="eastAsia"/>
          <w:sz w:val="24"/>
          <w:szCs w:val="24"/>
        </w:rPr>
        <w:t>，</w:t>
      </w:r>
      <w:r>
        <w:rPr>
          <w:rFonts w:ascii="宋体" w:eastAsia="宋体" w:hAnsi="宋体" w:cs="微软雅黑" w:hint="eastAsia"/>
          <w:sz w:val="24"/>
          <w:szCs w:val="24"/>
        </w:rPr>
        <w:t>防范流动性风险</w:t>
      </w:r>
      <w:r>
        <w:rPr>
          <w:rFonts w:ascii="宋体" w:eastAsia="宋体" w:hAnsi="宋体" w:cs="Malgun Gothic Semilight" w:hint="eastAsia"/>
          <w:sz w:val="24"/>
          <w:szCs w:val="24"/>
        </w:rPr>
        <w:t>、</w:t>
      </w:r>
      <w:r>
        <w:rPr>
          <w:rFonts w:ascii="宋体" w:eastAsia="宋体" w:hAnsi="宋体" w:cs="微软雅黑" w:hint="eastAsia"/>
          <w:sz w:val="24"/>
          <w:szCs w:val="24"/>
        </w:rPr>
        <w:t>法律风险和操作风险等各种风险</w:t>
      </w:r>
      <w:r>
        <w:rPr>
          <w:rFonts w:ascii="宋体" w:eastAsia="宋体" w:hAnsi="宋体" w:cs="Malgun Gothic Semilight" w:hint="eastAsia"/>
          <w:sz w:val="24"/>
          <w:szCs w:val="24"/>
        </w:rPr>
        <w:t>。</w:t>
      </w:r>
    </w:p>
    <w:p w14:paraId="606AD933"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Arial" w:hint="eastAsia"/>
          <w:sz w:val="24"/>
          <w:szCs w:val="24"/>
        </w:rPr>
        <w:t>1.</w:t>
      </w:r>
      <w:r>
        <w:rPr>
          <w:rFonts w:ascii="宋体" w:eastAsia="宋体" w:hAnsi="宋体" w:cs="微软雅黑" w:hint="eastAsia"/>
          <w:sz w:val="24"/>
          <w:szCs w:val="24"/>
        </w:rPr>
        <w:t>本基金投资的流通受限证券须为经中国证监会批准的非公开发行股票</w:t>
      </w:r>
      <w:r>
        <w:rPr>
          <w:rFonts w:ascii="宋体" w:eastAsia="宋体" w:hAnsi="宋体" w:cs="Malgun Gothic Semilight" w:hint="eastAsia"/>
          <w:sz w:val="24"/>
          <w:szCs w:val="24"/>
        </w:rPr>
        <w:t>、</w:t>
      </w:r>
      <w:r>
        <w:rPr>
          <w:rFonts w:ascii="宋体" w:eastAsia="宋体" w:hAnsi="宋体" w:cs="微软雅黑" w:hint="eastAsia"/>
          <w:sz w:val="24"/>
          <w:szCs w:val="24"/>
        </w:rPr>
        <w:t>公开发行股票网下配售部分等在发行时明确一定期限锁定期的可交易证券</w:t>
      </w:r>
      <w:r>
        <w:rPr>
          <w:rFonts w:ascii="宋体" w:eastAsia="宋体" w:hAnsi="宋体" w:cs="Malgun Gothic Semilight" w:hint="eastAsia"/>
          <w:sz w:val="24"/>
          <w:szCs w:val="24"/>
        </w:rPr>
        <w:t>，</w:t>
      </w:r>
      <w:r>
        <w:rPr>
          <w:rFonts w:ascii="宋体" w:eastAsia="宋体" w:hAnsi="宋体" w:cs="微软雅黑" w:hint="eastAsia"/>
          <w:sz w:val="24"/>
          <w:szCs w:val="24"/>
        </w:rPr>
        <w:t>不包括由于发布重大消息或其他原因而临时停牌的证券</w:t>
      </w:r>
      <w:r>
        <w:rPr>
          <w:rFonts w:ascii="宋体" w:eastAsia="宋体" w:hAnsi="宋体" w:cs="Malgun Gothic Semilight" w:hint="eastAsia"/>
          <w:sz w:val="24"/>
          <w:szCs w:val="24"/>
        </w:rPr>
        <w:t>、</w:t>
      </w:r>
      <w:r>
        <w:rPr>
          <w:rFonts w:ascii="宋体" w:eastAsia="宋体" w:hAnsi="宋体" w:cs="微软雅黑" w:hint="eastAsia"/>
          <w:sz w:val="24"/>
          <w:szCs w:val="24"/>
        </w:rPr>
        <w:t>已发行未上市证券</w:t>
      </w:r>
      <w:r>
        <w:rPr>
          <w:rFonts w:ascii="宋体" w:eastAsia="宋体" w:hAnsi="宋体" w:cs="Malgun Gothic Semilight" w:hint="eastAsia"/>
          <w:sz w:val="24"/>
          <w:szCs w:val="24"/>
        </w:rPr>
        <w:t>、</w:t>
      </w:r>
      <w:r>
        <w:rPr>
          <w:rFonts w:ascii="宋体" w:eastAsia="宋体" w:hAnsi="宋体" w:cs="微软雅黑" w:hint="eastAsia"/>
          <w:sz w:val="24"/>
          <w:szCs w:val="24"/>
        </w:rPr>
        <w:t>回购交易中的质押券等流通受限证券</w:t>
      </w:r>
      <w:r>
        <w:rPr>
          <w:rFonts w:ascii="宋体" w:eastAsia="宋体" w:hAnsi="宋体" w:cs="Malgun Gothic Semilight" w:hint="eastAsia"/>
          <w:sz w:val="24"/>
          <w:szCs w:val="24"/>
        </w:rPr>
        <w:t>。</w:t>
      </w:r>
      <w:r>
        <w:rPr>
          <w:rFonts w:ascii="宋体" w:eastAsia="宋体" w:hAnsi="宋体" w:cs="微软雅黑" w:hint="eastAsia"/>
          <w:sz w:val="24"/>
          <w:szCs w:val="24"/>
        </w:rPr>
        <w:t>本基金不投资有锁定期但锁定期不明确的证券。</w:t>
      </w:r>
    </w:p>
    <w:p w14:paraId="7E1B6B0A"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本基金投资的流通受限证券限于可由中国证券登记结算有限责任公司或中央国债登记结算有限责任公司负责登记和存管，并可在证券交易所或全国银行间债券市场交易的证券。</w:t>
      </w:r>
    </w:p>
    <w:p w14:paraId="7CE665F3"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微软雅黑" w:hint="eastAsia"/>
          <w:sz w:val="24"/>
          <w:szCs w:val="24"/>
        </w:rPr>
        <w:t>本基金投资的流通受限证券应保证登记存管在本基金名下</w:t>
      </w:r>
      <w:r>
        <w:rPr>
          <w:rFonts w:ascii="宋体" w:eastAsia="宋体" w:hAnsi="宋体" w:cs="Malgun Gothic Semilight" w:hint="eastAsia"/>
          <w:sz w:val="24"/>
          <w:szCs w:val="24"/>
        </w:rPr>
        <w:t>，</w:t>
      </w:r>
      <w:r>
        <w:rPr>
          <w:rFonts w:ascii="宋体" w:eastAsia="宋体" w:hAnsi="宋体" w:cs="微软雅黑" w:hint="eastAsia"/>
          <w:sz w:val="24"/>
          <w:szCs w:val="24"/>
        </w:rPr>
        <w:t>基金管理人负责相关工作的落实和协调</w:t>
      </w:r>
      <w:r>
        <w:rPr>
          <w:rFonts w:ascii="宋体" w:eastAsia="宋体" w:hAnsi="宋体" w:cs="Malgun Gothic Semilight" w:hint="eastAsia"/>
          <w:sz w:val="24"/>
          <w:szCs w:val="24"/>
        </w:rPr>
        <w:t>，</w:t>
      </w:r>
      <w:r>
        <w:rPr>
          <w:rFonts w:ascii="宋体" w:eastAsia="宋体" w:hAnsi="宋体" w:cs="微软雅黑" w:hint="eastAsia"/>
          <w:sz w:val="24"/>
          <w:szCs w:val="24"/>
        </w:rPr>
        <w:t>并确保基金托管人能够正常查询</w:t>
      </w:r>
      <w:r>
        <w:rPr>
          <w:rFonts w:ascii="宋体" w:eastAsia="宋体" w:hAnsi="宋体" w:cs="Malgun Gothic Semilight" w:hint="eastAsia"/>
          <w:sz w:val="24"/>
          <w:szCs w:val="24"/>
        </w:rPr>
        <w:t>。</w:t>
      </w:r>
      <w:r>
        <w:rPr>
          <w:rFonts w:ascii="宋体" w:eastAsia="宋体" w:hAnsi="宋体" w:cs="微软雅黑" w:hint="eastAsia"/>
          <w:sz w:val="24"/>
          <w:szCs w:val="24"/>
        </w:rPr>
        <w:t>因基金管理人原因产生的流通受限证券登记存管问题</w:t>
      </w:r>
      <w:r>
        <w:rPr>
          <w:rFonts w:ascii="宋体" w:eastAsia="宋体" w:hAnsi="宋体" w:cs="Malgun Gothic Semilight" w:hint="eastAsia"/>
          <w:sz w:val="24"/>
          <w:szCs w:val="24"/>
        </w:rPr>
        <w:t>，</w:t>
      </w:r>
      <w:r>
        <w:rPr>
          <w:rFonts w:ascii="宋体" w:eastAsia="宋体" w:hAnsi="宋体" w:cs="微软雅黑" w:hint="eastAsia"/>
          <w:sz w:val="24"/>
          <w:szCs w:val="24"/>
        </w:rPr>
        <w:t>造成基金托管人无法安全保管本基金资产的责任与损失</w:t>
      </w:r>
      <w:r>
        <w:rPr>
          <w:rFonts w:ascii="宋体" w:eastAsia="宋体" w:hAnsi="宋体" w:cs="Malgun Gothic Semilight" w:hint="eastAsia"/>
          <w:sz w:val="24"/>
          <w:szCs w:val="24"/>
        </w:rPr>
        <w:t>，</w:t>
      </w:r>
      <w:r>
        <w:rPr>
          <w:rFonts w:ascii="宋体" w:eastAsia="宋体" w:hAnsi="宋体" w:cs="微软雅黑" w:hint="eastAsia"/>
          <w:sz w:val="24"/>
          <w:szCs w:val="24"/>
        </w:rPr>
        <w:t>及因流通受限证券存管直接影响本基金安全的责任及损失</w:t>
      </w:r>
      <w:r>
        <w:rPr>
          <w:rFonts w:ascii="宋体" w:eastAsia="宋体" w:hAnsi="宋体" w:cs="Malgun Gothic Semilight" w:hint="eastAsia"/>
          <w:sz w:val="24"/>
          <w:szCs w:val="24"/>
        </w:rPr>
        <w:t>，</w:t>
      </w:r>
      <w:r>
        <w:rPr>
          <w:rFonts w:ascii="宋体" w:eastAsia="宋体" w:hAnsi="宋体" w:cs="微软雅黑" w:hint="eastAsia"/>
          <w:sz w:val="24"/>
          <w:szCs w:val="24"/>
        </w:rPr>
        <w:t>由基金管理人承担</w:t>
      </w:r>
      <w:r>
        <w:rPr>
          <w:rFonts w:ascii="宋体" w:eastAsia="宋体" w:hAnsi="宋体" w:cs="Malgun Gothic Semilight" w:hint="eastAsia"/>
          <w:sz w:val="24"/>
          <w:szCs w:val="24"/>
        </w:rPr>
        <w:t>。</w:t>
      </w:r>
    </w:p>
    <w:p w14:paraId="2DE21D4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本基金投资流通受限证券</w:t>
      </w:r>
      <w:r>
        <w:rPr>
          <w:rFonts w:ascii="宋体" w:eastAsia="宋体" w:hAnsi="宋体" w:cs="Arial" w:hint="eastAsia"/>
          <w:sz w:val="24"/>
          <w:szCs w:val="24"/>
        </w:rPr>
        <w:t>，</w:t>
      </w:r>
      <w:r>
        <w:rPr>
          <w:rFonts w:ascii="宋体" w:eastAsia="宋体" w:hAnsi="宋体" w:cs="微软雅黑" w:hint="eastAsia"/>
          <w:sz w:val="24"/>
          <w:szCs w:val="24"/>
        </w:rPr>
        <w:t>不得预付任何形式的保证金</w:t>
      </w:r>
      <w:r>
        <w:rPr>
          <w:rFonts w:ascii="宋体" w:eastAsia="宋体" w:hAnsi="宋体" w:cs="Arial" w:hint="eastAsia"/>
          <w:sz w:val="24"/>
          <w:szCs w:val="24"/>
        </w:rPr>
        <w:t>。</w:t>
      </w:r>
      <w:r>
        <w:rPr>
          <w:rFonts w:ascii="宋体" w:eastAsia="宋体" w:hAnsi="宋体" w:cs="微软雅黑" w:hint="eastAsia"/>
          <w:sz w:val="24"/>
          <w:szCs w:val="24"/>
        </w:rPr>
        <w:t>若有最新法律法规</w:t>
      </w:r>
      <w:r>
        <w:rPr>
          <w:rFonts w:ascii="宋体" w:eastAsia="宋体" w:hAnsi="宋体" w:cs="Arial" w:hint="eastAsia"/>
          <w:sz w:val="24"/>
          <w:szCs w:val="24"/>
        </w:rPr>
        <w:t>、</w:t>
      </w:r>
      <w:r>
        <w:rPr>
          <w:rFonts w:ascii="宋体" w:eastAsia="宋体" w:hAnsi="宋体" w:cs="微软雅黑" w:hint="eastAsia"/>
          <w:sz w:val="24"/>
          <w:szCs w:val="24"/>
        </w:rPr>
        <w:t>监管政策变更规定的</w:t>
      </w:r>
      <w:r>
        <w:rPr>
          <w:rFonts w:ascii="宋体" w:eastAsia="宋体" w:hAnsi="宋体" w:cs="Arial" w:hint="eastAsia"/>
          <w:sz w:val="24"/>
          <w:szCs w:val="24"/>
        </w:rPr>
        <w:t>，</w:t>
      </w:r>
      <w:r>
        <w:rPr>
          <w:rFonts w:ascii="宋体" w:eastAsia="宋体" w:hAnsi="宋体" w:cs="微软雅黑" w:hint="eastAsia"/>
          <w:sz w:val="24"/>
          <w:szCs w:val="24"/>
        </w:rPr>
        <w:t>根据最新法律法规</w:t>
      </w:r>
      <w:r>
        <w:rPr>
          <w:rFonts w:ascii="宋体" w:eastAsia="宋体" w:hAnsi="宋体" w:cs="Arial" w:hint="eastAsia"/>
          <w:sz w:val="24"/>
          <w:szCs w:val="24"/>
        </w:rPr>
        <w:t>、</w:t>
      </w:r>
      <w:r>
        <w:rPr>
          <w:rFonts w:ascii="宋体" w:eastAsia="宋体" w:hAnsi="宋体" w:cs="微软雅黑" w:hint="eastAsia"/>
          <w:sz w:val="24"/>
          <w:szCs w:val="24"/>
        </w:rPr>
        <w:t>监管政策执行。</w:t>
      </w:r>
    </w:p>
    <w:p w14:paraId="568A0C53" w14:textId="5F7171DF"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基金管理人投资非公开发行股票</w:t>
      </w:r>
      <w:r>
        <w:rPr>
          <w:rFonts w:ascii="宋体" w:eastAsia="宋体" w:hAnsi="宋体" w:cs="Arial" w:hint="eastAsia"/>
          <w:sz w:val="24"/>
          <w:szCs w:val="24"/>
        </w:rPr>
        <w:t>，</w:t>
      </w:r>
      <w:r>
        <w:rPr>
          <w:rFonts w:ascii="宋体" w:eastAsia="宋体" w:hAnsi="宋体" w:cs="微软雅黑" w:hint="eastAsia"/>
          <w:sz w:val="24"/>
          <w:szCs w:val="24"/>
        </w:rPr>
        <w:t>应制订流动性风险处置预案并经其董事会批准</w:t>
      </w:r>
      <w:r>
        <w:rPr>
          <w:rFonts w:ascii="宋体" w:eastAsia="宋体" w:hAnsi="宋体" w:cs="Arial" w:hint="eastAsia"/>
          <w:sz w:val="24"/>
          <w:szCs w:val="24"/>
        </w:rPr>
        <w:t>。</w:t>
      </w:r>
      <w:r>
        <w:rPr>
          <w:rFonts w:ascii="宋体" w:eastAsia="宋体" w:hAnsi="宋体" w:cs="微软雅黑" w:hint="eastAsia"/>
          <w:sz w:val="24"/>
          <w:szCs w:val="24"/>
        </w:rPr>
        <w:t>风险处置预案应包括但不限于因投资流通受限证券需要解决的基金投资比例限制失调</w:t>
      </w:r>
      <w:r>
        <w:rPr>
          <w:rFonts w:ascii="宋体" w:eastAsia="宋体" w:hAnsi="宋体" w:cs="Arial" w:hint="eastAsia"/>
          <w:sz w:val="24"/>
          <w:szCs w:val="24"/>
        </w:rPr>
        <w:t>、</w:t>
      </w:r>
      <w:r>
        <w:rPr>
          <w:rFonts w:ascii="宋体" w:eastAsia="宋体" w:hAnsi="宋体" w:cs="微软雅黑" w:hint="eastAsia"/>
          <w:sz w:val="24"/>
          <w:szCs w:val="24"/>
        </w:rPr>
        <w:t>基金流动性困难以及相关损失的应对解决措施</w:t>
      </w:r>
      <w:r>
        <w:rPr>
          <w:rFonts w:ascii="宋体" w:eastAsia="宋体" w:hAnsi="宋体" w:cs="Arial" w:hint="eastAsia"/>
          <w:sz w:val="24"/>
          <w:szCs w:val="24"/>
        </w:rPr>
        <w:t>，</w:t>
      </w:r>
      <w:r>
        <w:rPr>
          <w:rFonts w:ascii="宋体" w:eastAsia="宋体" w:hAnsi="宋体" w:cs="微软雅黑" w:hint="eastAsia"/>
          <w:sz w:val="24"/>
          <w:szCs w:val="24"/>
        </w:rPr>
        <w:t>以及有关异常情</w:t>
      </w:r>
      <w:r>
        <w:rPr>
          <w:rFonts w:ascii="宋体" w:eastAsia="宋体" w:hAnsi="宋体" w:cs="微软雅黑" w:hint="eastAsia"/>
          <w:sz w:val="24"/>
          <w:szCs w:val="24"/>
        </w:rPr>
        <w:lastRenderedPageBreak/>
        <w:t>况的处置</w:t>
      </w:r>
      <w:r>
        <w:rPr>
          <w:rFonts w:ascii="宋体" w:eastAsia="宋体" w:hAnsi="宋体" w:cs="Arial" w:hint="eastAsia"/>
          <w:sz w:val="24"/>
          <w:szCs w:val="24"/>
        </w:rPr>
        <w:t>。</w:t>
      </w:r>
      <w:r>
        <w:rPr>
          <w:rFonts w:ascii="宋体" w:eastAsia="宋体" w:hAnsi="宋体" w:cs="微软雅黑" w:hint="eastAsia"/>
          <w:sz w:val="24"/>
          <w:szCs w:val="24"/>
        </w:rPr>
        <w:t>基金管理人对本基金投资流通受限证券的流动性风险负责</w:t>
      </w:r>
      <w:r>
        <w:rPr>
          <w:rFonts w:ascii="宋体" w:eastAsia="宋体" w:hAnsi="宋体" w:cs="Arial" w:hint="eastAsia"/>
          <w:sz w:val="24"/>
          <w:szCs w:val="24"/>
        </w:rPr>
        <w:t>，</w:t>
      </w:r>
      <w:r>
        <w:rPr>
          <w:rFonts w:ascii="宋体" w:eastAsia="宋体" w:hAnsi="宋体" w:cs="微软雅黑" w:hint="eastAsia"/>
          <w:sz w:val="24"/>
          <w:szCs w:val="24"/>
        </w:rPr>
        <w:t>确保对相关风险采取积极有效的措施</w:t>
      </w:r>
      <w:r>
        <w:rPr>
          <w:rFonts w:ascii="宋体" w:eastAsia="宋体" w:hAnsi="宋体" w:cs="Arial" w:hint="eastAsia"/>
          <w:sz w:val="24"/>
          <w:szCs w:val="24"/>
        </w:rPr>
        <w:t>，</w:t>
      </w:r>
      <w:r>
        <w:rPr>
          <w:rFonts w:ascii="宋体" w:eastAsia="宋体" w:hAnsi="宋体" w:cs="微软雅黑" w:hint="eastAsia"/>
          <w:sz w:val="24"/>
          <w:szCs w:val="24"/>
        </w:rPr>
        <w:t>在合理的时间内有效解决基金运作的流动性问题</w:t>
      </w:r>
      <w:r>
        <w:rPr>
          <w:rFonts w:ascii="宋体" w:eastAsia="宋体" w:hAnsi="宋体" w:cs="Arial" w:hint="eastAsia"/>
          <w:sz w:val="24"/>
          <w:szCs w:val="24"/>
        </w:rPr>
        <w:t>。</w:t>
      </w:r>
      <w:r>
        <w:rPr>
          <w:rFonts w:ascii="宋体" w:eastAsia="宋体" w:hAnsi="宋体" w:cs="微软雅黑" w:hint="eastAsia"/>
          <w:sz w:val="24"/>
          <w:szCs w:val="24"/>
        </w:rPr>
        <w:t>如因基金巨额赎回或市场发生剧烈变动等原因而导致基金现金周转困难时</w:t>
      </w:r>
      <w:r>
        <w:rPr>
          <w:rFonts w:ascii="宋体" w:eastAsia="宋体" w:hAnsi="宋体" w:cs="Arial" w:hint="eastAsia"/>
          <w:sz w:val="24"/>
          <w:szCs w:val="24"/>
        </w:rPr>
        <w:t>，</w:t>
      </w:r>
      <w:r>
        <w:rPr>
          <w:rFonts w:ascii="宋体" w:eastAsia="宋体" w:hAnsi="宋体" w:cs="微软雅黑" w:hint="eastAsia"/>
          <w:sz w:val="24"/>
          <w:szCs w:val="24"/>
        </w:rPr>
        <w:t>基金管理人应保证提供足额现金确保基金的支付结算，并承担所有损失。对本基金因投资流通受限证券导致的流动性风险</w:t>
      </w:r>
      <w:r>
        <w:rPr>
          <w:rFonts w:ascii="宋体" w:eastAsia="宋体" w:hAnsi="宋体" w:cs="Arial" w:hint="eastAsia"/>
          <w:sz w:val="24"/>
          <w:szCs w:val="24"/>
        </w:rPr>
        <w:t>，</w:t>
      </w:r>
      <w:r>
        <w:rPr>
          <w:rFonts w:ascii="宋体" w:eastAsia="宋体" w:hAnsi="宋体" w:cs="微软雅黑" w:hint="eastAsia"/>
          <w:sz w:val="24"/>
          <w:szCs w:val="24"/>
        </w:rPr>
        <w:t>基金托管人不承担任何责任</w:t>
      </w:r>
      <w:r>
        <w:rPr>
          <w:rFonts w:ascii="宋体" w:eastAsia="宋体" w:hAnsi="宋体" w:cs="Arial" w:hint="eastAsia"/>
          <w:sz w:val="24"/>
          <w:szCs w:val="24"/>
        </w:rPr>
        <w:t>。</w:t>
      </w:r>
      <w:r>
        <w:rPr>
          <w:rFonts w:ascii="宋体" w:eastAsia="宋体" w:hAnsi="宋体" w:cs="微软雅黑" w:hint="eastAsia"/>
          <w:sz w:val="24"/>
          <w:szCs w:val="24"/>
        </w:rPr>
        <w:t>如因基金管理人原因导致本基金出现损失致使基金托管人承担连带赔偿责任的</w:t>
      </w:r>
      <w:r>
        <w:rPr>
          <w:rFonts w:ascii="宋体" w:eastAsia="宋体" w:hAnsi="宋体" w:cs="Arial" w:hint="eastAsia"/>
          <w:sz w:val="24"/>
          <w:szCs w:val="24"/>
        </w:rPr>
        <w:t>，</w:t>
      </w:r>
      <w:r>
        <w:rPr>
          <w:rFonts w:ascii="宋体" w:eastAsia="宋体" w:hAnsi="宋体" w:cs="微软雅黑" w:hint="eastAsia"/>
          <w:sz w:val="24"/>
          <w:szCs w:val="24"/>
        </w:rPr>
        <w:t>基金管理人应赔偿基金托管人由此遭受的损失</w:t>
      </w:r>
      <w:r>
        <w:rPr>
          <w:rFonts w:ascii="宋体" w:eastAsia="宋体" w:hAnsi="宋体" w:cs="Arial" w:hint="eastAsia"/>
          <w:sz w:val="24"/>
          <w:szCs w:val="24"/>
        </w:rPr>
        <w:t>。</w:t>
      </w:r>
    </w:p>
    <w:p w14:paraId="1CAED70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本基金投资非公开发行股票</w:t>
      </w:r>
      <w:r>
        <w:rPr>
          <w:rFonts w:ascii="宋体" w:eastAsia="宋体" w:hAnsi="宋体" w:cs="Arial" w:hint="eastAsia"/>
          <w:sz w:val="24"/>
          <w:szCs w:val="24"/>
        </w:rPr>
        <w:t>，</w:t>
      </w:r>
      <w:r>
        <w:rPr>
          <w:rFonts w:ascii="宋体" w:eastAsia="宋体" w:hAnsi="宋体" w:cs="微软雅黑" w:hint="eastAsia"/>
          <w:sz w:val="24"/>
          <w:szCs w:val="24"/>
        </w:rPr>
        <w:t>基金管理人应至少于投资前三个工作日向基金托管人提交有关书面资料</w:t>
      </w:r>
      <w:r>
        <w:rPr>
          <w:rFonts w:ascii="宋体" w:eastAsia="宋体" w:hAnsi="宋体" w:cs="Arial" w:hint="eastAsia"/>
          <w:sz w:val="24"/>
          <w:szCs w:val="24"/>
        </w:rPr>
        <w:t>，</w:t>
      </w:r>
      <w:r>
        <w:rPr>
          <w:rFonts w:ascii="宋体" w:eastAsia="宋体" w:hAnsi="宋体" w:cs="微软雅黑" w:hint="eastAsia"/>
          <w:sz w:val="24"/>
          <w:szCs w:val="24"/>
        </w:rPr>
        <w:t>并保证向基金托管人提供的有关资料真实</w:t>
      </w:r>
      <w:r>
        <w:rPr>
          <w:rFonts w:ascii="宋体" w:eastAsia="宋体" w:hAnsi="宋体" w:cs="Arial" w:hint="eastAsia"/>
          <w:sz w:val="24"/>
          <w:szCs w:val="24"/>
        </w:rPr>
        <w:t>、</w:t>
      </w:r>
      <w:r>
        <w:rPr>
          <w:rFonts w:ascii="宋体" w:eastAsia="宋体" w:hAnsi="宋体" w:cs="微软雅黑" w:hint="eastAsia"/>
          <w:sz w:val="24"/>
          <w:szCs w:val="24"/>
        </w:rPr>
        <w:t>准确</w:t>
      </w:r>
      <w:r>
        <w:rPr>
          <w:rFonts w:ascii="宋体" w:eastAsia="宋体" w:hAnsi="宋体" w:cs="Arial" w:hint="eastAsia"/>
          <w:sz w:val="24"/>
          <w:szCs w:val="24"/>
        </w:rPr>
        <w:t>、</w:t>
      </w:r>
      <w:r>
        <w:rPr>
          <w:rFonts w:ascii="宋体" w:eastAsia="宋体" w:hAnsi="宋体" w:cs="微软雅黑" w:hint="eastAsia"/>
          <w:sz w:val="24"/>
          <w:szCs w:val="24"/>
        </w:rPr>
        <w:t>完整</w:t>
      </w:r>
      <w:r>
        <w:rPr>
          <w:rFonts w:ascii="宋体" w:eastAsia="宋体" w:hAnsi="宋体" w:cs="Arial" w:hint="eastAsia"/>
          <w:sz w:val="24"/>
          <w:szCs w:val="24"/>
        </w:rPr>
        <w:t>。</w:t>
      </w:r>
      <w:r>
        <w:rPr>
          <w:rFonts w:ascii="宋体" w:eastAsia="宋体" w:hAnsi="宋体" w:cs="微软雅黑" w:hint="eastAsia"/>
          <w:sz w:val="24"/>
          <w:szCs w:val="24"/>
        </w:rPr>
        <w:t>有关资料如有调整</w:t>
      </w:r>
      <w:r>
        <w:rPr>
          <w:rFonts w:ascii="宋体" w:eastAsia="宋体" w:hAnsi="宋体" w:cs="Arial" w:hint="eastAsia"/>
          <w:sz w:val="24"/>
          <w:szCs w:val="24"/>
        </w:rPr>
        <w:t>，</w:t>
      </w:r>
      <w:r>
        <w:rPr>
          <w:rFonts w:ascii="宋体" w:eastAsia="宋体" w:hAnsi="宋体" w:cs="微软雅黑" w:hint="eastAsia"/>
          <w:sz w:val="24"/>
          <w:szCs w:val="24"/>
        </w:rPr>
        <w:t>基金管理人应及时提供调整后的资料</w:t>
      </w:r>
      <w:r>
        <w:rPr>
          <w:rFonts w:ascii="宋体" w:eastAsia="宋体" w:hAnsi="宋体" w:cs="Arial" w:hint="eastAsia"/>
          <w:sz w:val="24"/>
          <w:szCs w:val="24"/>
        </w:rPr>
        <w:t>。</w:t>
      </w:r>
      <w:r>
        <w:rPr>
          <w:rFonts w:ascii="宋体" w:eastAsia="宋体" w:hAnsi="宋体" w:cs="微软雅黑" w:hint="eastAsia"/>
          <w:sz w:val="24"/>
          <w:szCs w:val="24"/>
        </w:rPr>
        <w:t>上述书面资料包括但不限于</w:t>
      </w:r>
      <w:r>
        <w:rPr>
          <w:rFonts w:ascii="宋体" w:eastAsia="宋体" w:hAnsi="宋体" w:cs="Arial" w:hint="eastAsia"/>
          <w:sz w:val="24"/>
          <w:szCs w:val="24"/>
        </w:rPr>
        <w:t>：</w:t>
      </w:r>
    </w:p>
    <w:p w14:paraId="590459C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中国证监会批准发行非公开发行股票的批准文件</w:t>
      </w:r>
      <w:r>
        <w:rPr>
          <w:rFonts w:ascii="宋体" w:eastAsia="宋体" w:hAnsi="宋体" w:cs="Arial" w:hint="eastAsia"/>
          <w:sz w:val="24"/>
          <w:szCs w:val="24"/>
        </w:rPr>
        <w:t>。</w:t>
      </w:r>
    </w:p>
    <w:p w14:paraId="16F60CE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非公开发行股票有关发行数量</w:t>
      </w:r>
      <w:r>
        <w:rPr>
          <w:rFonts w:ascii="宋体" w:eastAsia="宋体" w:hAnsi="宋体" w:cs="Arial" w:hint="eastAsia"/>
          <w:sz w:val="24"/>
          <w:szCs w:val="24"/>
        </w:rPr>
        <w:t>、</w:t>
      </w:r>
      <w:r>
        <w:rPr>
          <w:rFonts w:ascii="宋体" w:eastAsia="宋体" w:hAnsi="宋体" w:cs="微软雅黑" w:hint="eastAsia"/>
          <w:sz w:val="24"/>
          <w:szCs w:val="24"/>
        </w:rPr>
        <w:t>发行价格</w:t>
      </w:r>
      <w:r>
        <w:rPr>
          <w:rFonts w:ascii="宋体" w:eastAsia="宋体" w:hAnsi="宋体" w:cs="Arial" w:hint="eastAsia"/>
          <w:sz w:val="24"/>
          <w:szCs w:val="24"/>
        </w:rPr>
        <w:t>、</w:t>
      </w:r>
      <w:r>
        <w:rPr>
          <w:rFonts w:ascii="宋体" w:eastAsia="宋体" w:hAnsi="宋体" w:cs="微软雅黑" w:hint="eastAsia"/>
          <w:sz w:val="24"/>
          <w:szCs w:val="24"/>
        </w:rPr>
        <w:t>锁定期等发行资料</w:t>
      </w:r>
      <w:r>
        <w:rPr>
          <w:rFonts w:ascii="宋体" w:eastAsia="宋体" w:hAnsi="宋体" w:cs="Arial" w:hint="eastAsia"/>
          <w:sz w:val="24"/>
          <w:szCs w:val="24"/>
        </w:rPr>
        <w:t>。</w:t>
      </w:r>
    </w:p>
    <w:p w14:paraId="785AB8C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3</w:t>
      </w:r>
      <w:r>
        <w:rPr>
          <w:rFonts w:ascii="宋体" w:eastAsia="宋体" w:hAnsi="宋体" w:cs="Arial" w:hint="eastAsia"/>
          <w:sz w:val="24"/>
          <w:szCs w:val="24"/>
        </w:rPr>
        <w:t>）</w:t>
      </w:r>
      <w:r>
        <w:rPr>
          <w:rFonts w:ascii="宋体" w:eastAsia="宋体" w:hAnsi="宋体" w:cs="微软雅黑" w:hint="eastAsia"/>
          <w:sz w:val="24"/>
          <w:szCs w:val="24"/>
        </w:rPr>
        <w:t>基金拟认购的数量</w:t>
      </w:r>
      <w:r>
        <w:rPr>
          <w:rFonts w:ascii="宋体" w:eastAsia="宋体" w:hAnsi="宋体" w:cs="Arial" w:hint="eastAsia"/>
          <w:sz w:val="24"/>
          <w:szCs w:val="24"/>
        </w:rPr>
        <w:t>、</w:t>
      </w:r>
      <w:r>
        <w:rPr>
          <w:rFonts w:ascii="宋体" w:eastAsia="宋体" w:hAnsi="宋体" w:cs="微软雅黑" w:hint="eastAsia"/>
          <w:sz w:val="24"/>
          <w:szCs w:val="24"/>
        </w:rPr>
        <w:t>价格</w:t>
      </w:r>
      <w:r>
        <w:rPr>
          <w:rFonts w:ascii="宋体" w:eastAsia="宋体" w:hAnsi="宋体" w:cs="Arial" w:hint="eastAsia"/>
          <w:sz w:val="24"/>
          <w:szCs w:val="24"/>
        </w:rPr>
        <w:t>、</w:t>
      </w:r>
      <w:r>
        <w:rPr>
          <w:rFonts w:ascii="宋体" w:eastAsia="宋体" w:hAnsi="宋体" w:cs="微软雅黑" w:hint="eastAsia"/>
          <w:sz w:val="24"/>
          <w:szCs w:val="24"/>
        </w:rPr>
        <w:t>总成本</w:t>
      </w:r>
      <w:r>
        <w:rPr>
          <w:rFonts w:ascii="宋体" w:eastAsia="宋体" w:hAnsi="宋体" w:cs="Arial" w:hint="eastAsia"/>
          <w:sz w:val="24"/>
          <w:szCs w:val="24"/>
        </w:rPr>
        <w:t>、</w:t>
      </w:r>
      <w:r>
        <w:rPr>
          <w:rFonts w:ascii="宋体" w:eastAsia="宋体" w:hAnsi="宋体" w:cs="微软雅黑" w:hint="eastAsia"/>
          <w:sz w:val="24"/>
          <w:szCs w:val="24"/>
        </w:rPr>
        <w:t>账面价值</w:t>
      </w:r>
      <w:r>
        <w:rPr>
          <w:rFonts w:ascii="宋体" w:eastAsia="宋体" w:hAnsi="宋体" w:cs="Arial" w:hint="eastAsia"/>
          <w:sz w:val="24"/>
          <w:szCs w:val="24"/>
        </w:rPr>
        <w:t>。</w:t>
      </w:r>
    </w:p>
    <w:p w14:paraId="4B70DFC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基金管理人应在本基金投资非公开发行股票后两个交易日内</w:t>
      </w:r>
      <w:r>
        <w:rPr>
          <w:rFonts w:ascii="宋体" w:eastAsia="宋体" w:hAnsi="宋体" w:cs="Arial" w:hint="eastAsia"/>
          <w:sz w:val="24"/>
          <w:szCs w:val="24"/>
        </w:rPr>
        <w:t>，</w:t>
      </w:r>
      <w:r>
        <w:rPr>
          <w:rFonts w:ascii="宋体" w:eastAsia="宋体" w:hAnsi="宋体" w:cs="微软雅黑" w:hint="eastAsia"/>
          <w:sz w:val="24"/>
          <w:szCs w:val="24"/>
        </w:rPr>
        <w:t>在中国证监会规定媒介披露所投资非公开发行股票的名称</w:t>
      </w:r>
      <w:r>
        <w:rPr>
          <w:rFonts w:ascii="宋体" w:eastAsia="宋体" w:hAnsi="宋体" w:cs="Arial" w:hint="eastAsia"/>
          <w:sz w:val="24"/>
          <w:szCs w:val="24"/>
        </w:rPr>
        <w:t>、</w:t>
      </w:r>
      <w:r>
        <w:rPr>
          <w:rFonts w:ascii="宋体" w:eastAsia="宋体" w:hAnsi="宋体" w:cs="微软雅黑" w:hint="eastAsia"/>
          <w:sz w:val="24"/>
          <w:szCs w:val="24"/>
        </w:rPr>
        <w:t>数量</w:t>
      </w:r>
      <w:r>
        <w:rPr>
          <w:rFonts w:ascii="宋体" w:eastAsia="宋体" w:hAnsi="宋体" w:cs="Arial" w:hint="eastAsia"/>
          <w:sz w:val="24"/>
          <w:szCs w:val="24"/>
        </w:rPr>
        <w:t>、</w:t>
      </w:r>
      <w:r>
        <w:rPr>
          <w:rFonts w:ascii="宋体" w:eastAsia="宋体" w:hAnsi="宋体" w:cs="微软雅黑" w:hint="eastAsia"/>
          <w:sz w:val="24"/>
          <w:szCs w:val="24"/>
        </w:rPr>
        <w:t>总成本</w:t>
      </w:r>
      <w:r>
        <w:rPr>
          <w:rFonts w:ascii="宋体" w:eastAsia="宋体" w:hAnsi="宋体" w:cs="Arial" w:hint="eastAsia"/>
          <w:sz w:val="24"/>
          <w:szCs w:val="24"/>
        </w:rPr>
        <w:t>、</w:t>
      </w:r>
      <w:r>
        <w:rPr>
          <w:rFonts w:ascii="宋体" w:eastAsia="宋体" w:hAnsi="宋体" w:cs="微软雅黑" w:hint="eastAsia"/>
          <w:sz w:val="24"/>
          <w:szCs w:val="24"/>
        </w:rPr>
        <w:t>账面价值</w:t>
      </w:r>
      <w:r>
        <w:rPr>
          <w:rFonts w:ascii="宋体" w:eastAsia="宋体" w:hAnsi="宋体" w:cs="Arial" w:hint="eastAsia"/>
          <w:sz w:val="24"/>
          <w:szCs w:val="24"/>
        </w:rPr>
        <w:t>，</w:t>
      </w:r>
      <w:r>
        <w:rPr>
          <w:rFonts w:ascii="宋体" w:eastAsia="宋体" w:hAnsi="宋体" w:cs="微软雅黑" w:hint="eastAsia"/>
          <w:sz w:val="24"/>
          <w:szCs w:val="24"/>
        </w:rPr>
        <w:t>以及总成本和账面价值占基金资产净值的比例</w:t>
      </w:r>
      <w:r>
        <w:rPr>
          <w:rFonts w:ascii="宋体" w:eastAsia="宋体" w:hAnsi="宋体" w:cs="Arial" w:hint="eastAsia"/>
          <w:sz w:val="24"/>
          <w:szCs w:val="24"/>
        </w:rPr>
        <w:t>、</w:t>
      </w:r>
      <w:r>
        <w:rPr>
          <w:rFonts w:ascii="宋体" w:eastAsia="宋体" w:hAnsi="宋体" w:cs="微软雅黑" w:hint="eastAsia"/>
          <w:sz w:val="24"/>
          <w:szCs w:val="24"/>
        </w:rPr>
        <w:t>锁定期等信息</w:t>
      </w:r>
      <w:r>
        <w:rPr>
          <w:rFonts w:ascii="宋体" w:eastAsia="宋体" w:hAnsi="宋体" w:cs="Arial" w:hint="eastAsia"/>
          <w:sz w:val="24"/>
          <w:szCs w:val="24"/>
        </w:rPr>
        <w:t>。</w:t>
      </w:r>
    </w:p>
    <w:p w14:paraId="44468607"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本基金有关投资流通受限证券比例如违反有关限制规定，在合理期限内未能进行及时调整，基金管理人按照《信息披露办法》规定披露。</w:t>
      </w:r>
    </w:p>
    <w:p w14:paraId="60908A1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5</w:t>
      </w:r>
      <w:r>
        <w:rPr>
          <w:rFonts w:ascii="宋体" w:eastAsia="宋体" w:hAnsi="宋体" w:cs="微软雅黑" w:hint="eastAsia"/>
          <w:sz w:val="24"/>
          <w:szCs w:val="24"/>
        </w:rPr>
        <w:t>.相关法律法规对基金投资流通受限证券有新规定的，从其规定。</w:t>
      </w:r>
    </w:p>
    <w:p w14:paraId="4DDBC5B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（六）基金参与融</w:t>
      </w:r>
      <w:r>
        <w:rPr>
          <w:rFonts w:ascii="宋体" w:eastAsia="宋体" w:hAnsi="宋体" w:cs="Arial" w:hint="eastAsia"/>
          <w:sz w:val="24"/>
          <w:szCs w:val="24"/>
        </w:rPr>
        <w:t>资及转融通证券出借业务，基金管理人应当遵守谨慎经营的原则，配备技术系统和专业人员，制定科学合理的投资策略和风险管理制度，完善业务流程，有效防范和控制风险。基金托管人将对基金参与融资及转融通证券出借业务进行监督。</w:t>
      </w:r>
    </w:p>
    <w:p w14:paraId="033D9F2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（七）</w:t>
      </w:r>
      <w:r>
        <w:rPr>
          <w:rFonts w:ascii="宋体" w:eastAsia="宋体" w:hAnsi="宋体" w:cs="微软雅黑" w:hint="eastAsia"/>
          <w:sz w:val="24"/>
          <w:szCs w:val="24"/>
        </w:rPr>
        <w:t>基金托管人根据有关法律法规的规定及</w:t>
      </w:r>
      <w:r>
        <w:rPr>
          <w:rFonts w:ascii="宋体" w:eastAsia="宋体" w:hAnsi="宋体" w:cs="Arial" w:hint="eastAsia"/>
          <w:sz w:val="24"/>
          <w:szCs w:val="24"/>
        </w:rPr>
        <w:t>《</w:t>
      </w:r>
      <w:r>
        <w:rPr>
          <w:rFonts w:ascii="宋体" w:eastAsia="宋体" w:hAnsi="宋体" w:cs="微软雅黑" w:hint="eastAsia"/>
          <w:sz w:val="24"/>
          <w:szCs w:val="24"/>
        </w:rPr>
        <w:t>基金合同</w:t>
      </w:r>
      <w:r>
        <w:rPr>
          <w:rFonts w:ascii="宋体" w:eastAsia="宋体" w:hAnsi="宋体" w:cs="Arial" w:hint="eastAsia"/>
          <w:sz w:val="24"/>
          <w:szCs w:val="24"/>
        </w:rPr>
        <w:t>》</w:t>
      </w:r>
      <w:r>
        <w:rPr>
          <w:rFonts w:ascii="宋体" w:eastAsia="宋体" w:hAnsi="宋体" w:cs="微软雅黑" w:hint="eastAsia"/>
          <w:sz w:val="24"/>
          <w:szCs w:val="24"/>
        </w:rPr>
        <w:t>的约定</w:t>
      </w:r>
      <w:r>
        <w:rPr>
          <w:rFonts w:ascii="宋体" w:eastAsia="宋体" w:hAnsi="宋体" w:cs="Arial" w:hint="eastAsia"/>
          <w:sz w:val="24"/>
          <w:szCs w:val="24"/>
        </w:rPr>
        <w:t>，</w:t>
      </w:r>
      <w:r>
        <w:rPr>
          <w:rFonts w:ascii="宋体" w:eastAsia="宋体" w:hAnsi="宋体" w:cs="微软雅黑" w:hint="eastAsia"/>
          <w:sz w:val="24"/>
          <w:szCs w:val="24"/>
        </w:rPr>
        <w:t>对基金资产净值计算</w:t>
      </w:r>
      <w:r>
        <w:rPr>
          <w:rFonts w:ascii="宋体" w:eastAsia="宋体" w:hAnsi="宋体" w:cs="Arial" w:hint="eastAsia"/>
          <w:sz w:val="24"/>
          <w:szCs w:val="24"/>
        </w:rPr>
        <w:t>、各类</w:t>
      </w:r>
      <w:r>
        <w:rPr>
          <w:rFonts w:ascii="宋体" w:eastAsia="宋体" w:hAnsi="宋体" w:cs="微软雅黑" w:hint="eastAsia"/>
          <w:sz w:val="24"/>
          <w:szCs w:val="24"/>
        </w:rPr>
        <w:t>基金份额净值计算</w:t>
      </w:r>
      <w:r>
        <w:rPr>
          <w:rFonts w:ascii="宋体" w:eastAsia="宋体" w:hAnsi="宋体" w:cs="Arial" w:hint="eastAsia"/>
          <w:sz w:val="24"/>
          <w:szCs w:val="24"/>
        </w:rPr>
        <w:t>、</w:t>
      </w:r>
      <w:r>
        <w:rPr>
          <w:rFonts w:ascii="宋体" w:eastAsia="宋体" w:hAnsi="宋体" w:cs="微软雅黑" w:hint="eastAsia"/>
          <w:sz w:val="24"/>
          <w:szCs w:val="24"/>
        </w:rPr>
        <w:t>应收资金到账</w:t>
      </w:r>
      <w:r>
        <w:rPr>
          <w:rFonts w:ascii="宋体" w:eastAsia="宋体" w:hAnsi="宋体" w:cs="Arial" w:hint="eastAsia"/>
          <w:sz w:val="24"/>
          <w:szCs w:val="24"/>
        </w:rPr>
        <w:t>、</w:t>
      </w:r>
      <w:r>
        <w:rPr>
          <w:rFonts w:ascii="宋体" w:eastAsia="宋体" w:hAnsi="宋体" w:cs="微软雅黑" w:hint="eastAsia"/>
          <w:sz w:val="24"/>
          <w:szCs w:val="24"/>
        </w:rPr>
        <w:t>基金费用开支及收入确定</w:t>
      </w:r>
      <w:r>
        <w:rPr>
          <w:rFonts w:ascii="宋体" w:eastAsia="宋体" w:hAnsi="宋体" w:cs="Arial" w:hint="eastAsia"/>
          <w:sz w:val="24"/>
          <w:szCs w:val="24"/>
        </w:rPr>
        <w:t>、</w:t>
      </w:r>
      <w:r>
        <w:rPr>
          <w:rFonts w:ascii="宋体" w:eastAsia="宋体" w:hAnsi="宋体" w:cs="微软雅黑" w:hint="eastAsia"/>
          <w:sz w:val="24"/>
          <w:szCs w:val="24"/>
        </w:rPr>
        <w:t>基金收益分配</w:t>
      </w:r>
      <w:r>
        <w:rPr>
          <w:rFonts w:ascii="宋体" w:eastAsia="宋体" w:hAnsi="宋体" w:cs="Arial" w:hint="eastAsia"/>
          <w:sz w:val="24"/>
          <w:szCs w:val="24"/>
        </w:rPr>
        <w:t>、</w:t>
      </w:r>
      <w:r>
        <w:rPr>
          <w:rFonts w:ascii="宋体" w:eastAsia="宋体" w:hAnsi="宋体" w:cs="微软雅黑" w:hint="eastAsia"/>
          <w:sz w:val="24"/>
          <w:szCs w:val="24"/>
        </w:rPr>
        <w:t>相关信息披露</w:t>
      </w:r>
      <w:r>
        <w:rPr>
          <w:rFonts w:ascii="宋体" w:eastAsia="宋体" w:hAnsi="宋体" w:cs="Arial" w:hint="eastAsia"/>
          <w:sz w:val="24"/>
          <w:szCs w:val="24"/>
        </w:rPr>
        <w:t>、</w:t>
      </w:r>
      <w:r>
        <w:rPr>
          <w:rFonts w:ascii="宋体" w:eastAsia="宋体" w:hAnsi="宋体" w:cs="微软雅黑" w:hint="eastAsia"/>
          <w:sz w:val="24"/>
          <w:szCs w:val="24"/>
        </w:rPr>
        <w:t>基金宣传推介材料中登载基金业绩表现数据等进行监督和核查</w:t>
      </w:r>
      <w:r>
        <w:rPr>
          <w:rFonts w:ascii="宋体" w:eastAsia="宋体" w:hAnsi="宋体" w:cs="Arial" w:hint="eastAsia"/>
          <w:sz w:val="24"/>
          <w:szCs w:val="24"/>
        </w:rPr>
        <w:t>。</w:t>
      </w:r>
    </w:p>
    <w:p w14:paraId="6E0F8BEF"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Arial" w:hint="eastAsia"/>
          <w:sz w:val="24"/>
          <w:szCs w:val="24"/>
        </w:rPr>
        <w:t>（</w:t>
      </w:r>
      <w:r>
        <w:rPr>
          <w:rFonts w:ascii="宋体" w:eastAsia="宋体" w:hAnsi="宋体" w:cs="微软雅黑" w:hint="eastAsia"/>
          <w:sz w:val="24"/>
          <w:szCs w:val="24"/>
        </w:rPr>
        <w:t>八</w:t>
      </w:r>
      <w:r>
        <w:rPr>
          <w:rFonts w:ascii="宋体" w:eastAsia="宋体" w:hAnsi="宋体" w:cs="Arial" w:hint="eastAsia"/>
          <w:sz w:val="24"/>
          <w:szCs w:val="24"/>
        </w:rPr>
        <w:t>）</w:t>
      </w:r>
      <w:r>
        <w:rPr>
          <w:rFonts w:ascii="宋体" w:eastAsia="宋体" w:hAnsi="宋体" w:cs="微软雅黑" w:hint="eastAsia"/>
          <w:sz w:val="24"/>
          <w:szCs w:val="24"/>
        </w:rPr>
        <w:t>基金托管人发现基金管理人的上述事项及投资指令或实际投资运作违反法律法规</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和本托管协议的规定</w:t>
      </w:r>
      <w:r>
        <w:rPr>
          <w:rFonts w:ascii="宋体" w:eastAsia="宋体" w:hAnsi="宋体" w:cs="Malgun Gothic Semilight" w:hint="eastAsia"/>
          <w:sz w:val="24"/>
          <w:szCs w:val="24"/>
        </w:rPr>
        <w:t>，</w:t>
      </w:r>
      <w:r>
        <w:rPr>
          <w:rFonts w:ascii="宋体" w:eastAsia="宋体" w:hAnsi="宋体" w:cs="微软雅黑" w:hint="eastAsia"/>
          <w:sz w:val="24"/>
          <w:szCs w:val="24"/>
        </w:rPr>
        <w:t>应及时以电话提醒或书面提示等</w:t>
      </w:r>
      <w:r>
        <w:rPr>
          <w:rFonts w:ascii="宋体" w:eastAsia="宋体" w:hAnsi="宋体" w:cs="微软雅黑" w:hint="eastAsia"/>
          <w:sz w:val="24"/>
          <w:szCs w:val="24"/>
        </w:rPr>
        <w:lastRenderedPageBreak/>
        <w:t>方式通知基金管理人限期纠正</w:t>
      </w:r>
      <w:r>
        <w:rPr>
          <w:rFonts w:ascii="宋体" w:eastAsia="宋体" w:hAnsi="宋体" w:cs="Malgun Gothic Semilight" w:hint="eastAsia"/>
          <w:sz w:val="24"/>
          <w:szCs w:val="24"/>
        </w:rPr>
        <w:t>。</w:t>
      </w:r>
      <w:r>
        <w:rPr>
          <w:rFonts w:ascii="宋体" w:eastAsia="宋体" w:hAnsi="宋体" w:cs="微软雅黑" w:hint="eastAsia"/>
          <w:sz w:val="24"/>
          <w:szCs w:val="24"/>
        </w:rPr>
        <w:t>基金管理人应积极配合和协助基金托管人的监督和核查</w:t>
      </w:r>
      <w:r>
        <w:rPr>
          <w:rFonts w:ascii="宋体" w:eastAsia="宋体" w:hAnsi="宋体" w:cs="Malgun Gothic Semilight" w:hint="eastAsia"/>
          <w:sz w:val="24"/>
          <w:szCs w:val="24"/>
        </w:rPr>
        <w:t>。</w:t>
      </w:r>
      <w:r>
        <w:rPr>
          <w:rFonts w:ascii="宋体" w:eastAsia="宋体" w:hAnsi="宋体" w:cs="微软雅黑" w:hint="eastAsia"/>
          <w:sz w:val="24"/>
          <w:szCs w:val="24"/>
        </w:rPr>
        <w:t>基金管理人收到书面通</w:t>
      </w:r>
      <w:r w:rsidRPr="00C90332">
        <w:rPr>
          <w:rFonts w:ascii="宋体" w:eastAsia="宋体" w:hAnsi="宋体" w:cs="微软雅黑" w:hint="eastAsia"/>
          <w:sz w:val="24"/>
          <w:szCs w:val="24"/>
        </w:rPr>
        <w:t>知后应在下一个工作日前及时核对</w:t>
      </w:r>
      <w:r>
        <w:rPr>
          <w:rFonts w:ascii="宋体" w:eastAsia="宋体" w:hAnsi="宋体" w:cs="微软雅黑" w:hint="eastAsia"/>
          <w:sz w:val="24"/>
          <w:szCs w:val="24"/>
        </w:rPr>
        <w:t>并以书面形式给基金托管人发出回函</w:t>
      </w:r>
      <w:r>
        <w:rPr>
          <w:rFonts w:ascii="宋体" w:eastAsia="宋体" w:hAnsi="宋体" w:cs="Malgun Gothic Semilight" w:hint="eastAsia"/>
          <w:sz w:val="24"/>
          <w:szCs w:val="24"/>
        </w:rPr>
        <w:t>，</w:t>
      </w:r>
      <w:r>
        <w:rPr>
          <w:rFonts w:ascii="宋体" w:eastAsia="宋体" w:hAnsi="宋体" w:cs="微软雅黑" w:hint="eastAsia"/>
          <w:sz w:val="24"/>
          <w:szCs w:val="24"/>
        </w:rPr>
        <w:t>就基金托管人的疑义进行解释或举证</w:t>
      </w:r>
      <w:r>
        <w:rPr>
          <w:rFonts w:ascii="宋体" w:eastAsia="宋体" w:hAnsi="宋体" w:cs="Malgun Gothic Semilight" w:hint="eastAsia"/>
          <w:sz w:val="24"/>
          <w:szCs w:val="24"/>
        </w:rPr>
        <w:t>，</w:t>
      </w:r>
      <w:r>
        <w:rPr>
          <w:rFonts w:ascii="宋体" w:eastAsia="宋体" w:hAnsi="宋体" w:cs="微软雅黑" w:hint="eastAsia"/>
          <w:sz w:val="24"/>
          <w:szCs w:val="24"/>
        </w:rPr>
        <w:t>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50028F10"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基金托管人投资监督的准确性和完整性受限于基金管理人、证券经纪商及其他中介机构提供的数据和信息。基金托管人在充分获取所必需数据信息的前提下提供投资监督服务。</w:t>
      </w:r>
    </w:p>
    <w:p w14:paraId="0D374AD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（九）基金管理人有义务配合和协助基金托管人依照法律法规、《基金合同》和本托管协议对基金业务执行核查</w:t>
      </w:r>
      <w:r>
        <w:rPr>
          <w:rFonts w:ascii="宋体" w:eastAsia="宋体" w:hAnsi="宋体" w:cs="Malgun Gothic Semilight" w:hint="eastAsia"/>
          <w:sz w:val="24"/>
          <w:szCs w:val="24"/>
        </w:rPr>
        <w:t>。</w:t>
      </w:r>
      <w:r>
        <w:rPr>
          <w:rFonts w:ascii="宋体" w:eastAsia="宋体" w:hAnsi="宋体" w:cs="微软雅黑" w:hint="eastAsia"/>
          <w:sz w:val="24"/>
          <w:szCs w:val="24"/>
        </w:rPr>
        <w:t>对基金托管人发出的书面提示</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基金管理人应在规定时间内答复并改正</w:t>
      </w:r>
      <w:r>
        <w:rPr>
          <w:rFonts w:ascii="宋体" w:eastAsia="宋体" w:hAnsi="宋体" w:cs="Malgun Gothic Semilight" w:hint="eastAsia"/>
          <w:sz w:val="24"/>
          <w:szCs w:val="24"/>
        </w:rPr>
        <w:t>，</w:t>
      </w:r>
      <w:r>
        <w:rPr>
          <w:rFonts w:ascii="宋体" w:eastAsia="宋体" w:hAnsi="宋体" w:cs="微软雅黑" w:hint="eastAsia"/>
          <w:sz w:val="24"/>
          <w:szCs w:val="24"/>
        </w:rPr>
        <w:t>或就基金托管人的疑义进行解释或举证</w:t>
      </w:r>
      <w:r>
        <w:rPr>
          <w:rFonts w:ascii="宋体" w:eastAsia="宋体" w:hAnsi="宋体" w:cs="Malgun Gothic Semilight" w:hint="eastAsia"/>
          <w:sz w:val="24"/>
          <w:szCs w:val="24"/>
        </w:rPr>
        <w:t>；</w:t>
      </w:r>
      <w:r>
        <w:rPr>
          <w:rFonts w:ascii="宋体" w:eastAsia="宋体" w:hAnsi="宋体" w:cs="微软雅黑" w:hint="eastAsia"/>
          <w:sz w:val="24"/>
          <w:szCs w:val="24"/>
        </w:rPr>
        <w:t>对基金托管人按照法律法规</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和本托管协议的要求需向中国证监会报送基金监督报告的事项</w:t>
      </w:r>
      <w:r>
        <w:rPr>
          <w:rFonts w:ascii="宋体" w:eastAsia="宋体" w:hAnsi="宋体" w:cs="Malgun Gothic Semilight" w:hint="eastAsia"/>
          <w:sz w:val="24"/>
          <w:szCs w:val="24"/>
        </w:rPr>
        <w:t>，</w:t>
      </w:r>
      <w:r>
        <w:rPr>
          <w:rFonts w:ascii="宋体" w:eastAsia="宋体" w:hAnsi="宋体" w:cs="微软雅黑" w:hint="eastAsia"/>
          <w:sz w:val="24"/>
          <w:szCs w:val="24"/>
        </w:rPr>
        <w:t>基金管理人应积极配合提供相关数据资料和制度等</w:t>
      </w:r>
      <w:r>
        <w:rPr>
          <w:rFonts w:ascii="宋体" w:eastAsia="宋体" w:hAnsi="宋体" w:cs="Malgun Gothic Semilight" w:hint="eastAsia"/>
          <w:sz w:val="24"/>
          <w:szCs w:val="24"/>
        </w:rPr>
        <w:t>。</w:t>
      </w:r>
    </w:p>
    <w:p w14:paraId="1D3F789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十</w:t>
      </w:r>
      <w:r>
        <w:rPr>
          <w:rFonts w:ascii="宋体" w:eastAsia="宋体" w:hAnsi="宋体" w:cs="Arial" w:hint="eastAsia"/>
          <w:sz w:val="24"/>
          <w:szCs w:val="24"/>
        </w:rPr>
        <w:t>）</w:t>
      </w:r>
      <w:r>
        <w:rPr>
          <w:rFonts w:ascii="宋体" w:eastAsia="宋体" w:hAnsi="宋体" w:cs="微软雅黑" w:hint="eastAsia"/>
          <w:sz w:val="24"/>
          <w:szCs w:val="24"/>
        </w:rPr>
        <w:t>若基金托管人发现基金管理人依据交易程序已经生效的指令违反法律</w:t>
      </w:r>
      <w:r>
        <w:rPr>
          <w:rFonts w:ascii="宋体" w:eastAsia="宋体" w:hAnsi="宋体" w:cs="Malgun Gothic Semilight" w:hint="eastAsia"/>
          <w:sz w:val="24"/>
          <w:szCs w:val="24"/>
        </w:rPr>
        <w:t>、</w:t>
      </w:r>
      <w:r>
        <w:rPr>
          <w:rFonts w:ascii="宋体" w:eastAsia="宋体" w:hAnsi="宋体" w:cs="微软雅黑" w:hint="eastAsia"/>
          <w:sz w:val="24"/>
          <w:szCs w:val="24"/>
        </w:rPr>
        <w:t>行政法规和其他有关规定</w:t>
      </w:r>
      <w:r>
        <w:rPr>
          <w:rFonts w:ascii="宋体" w:eastAsia="宋体" w:hAnsi="宋体" w:cs="Malgun Gothic Semilight" w:hint="eastAsia"/>
          <w:sz w:val="24"/>
          <w:szCs w:val="24"/>
        </w:rPr>
        <w:t>，</w:t>
      </w:r>
      <w:r>
        <w:rPr>
          <w:rFonts w:ascii="宋体" w:eastAsia="宋体" w:hAnsi="宋体" w:cs="微软雅黑" w:hint="eastAsia"/>
          <w:sz w:val="24"/>
          <w:szCs w:val="24"/>
        </w:rPr>
        <w:t>或者违反</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约定的</w:t>
      </w:r>
      <w:r>
        <w:rPr>
          <w:rFonts w:ascii="宋体" w:eastAsia="宋体" w:hAnsi="宋体" w:cs="Malgun Gothic Semilight" w:hint="eastAsia"/>
          <w:sz w:val="24"/>
          <w:szCs w:val="24"/>
        </w:rPr>
        <w:t>，</w:t>
      </w:r>
      <w:r>
        <w:rPr>
          <w:rFonts w:ascii="宋体" w:eastAsia="宋体" w:hAnsi="宋体" w:cs="微软雅黑" w:hint="eastAsia"/>
          <w:sz w:val="24"/>
          <w:szCs w:val="24"/>
        </w:rPr>
        <w:t>应当及时通知基金管理人</w:t>
      </w:r>
      <w:r>
        <w:rPr>
          <w:rFonts w:ascii="宋体" w:eastAsia="宋体" w:hAnsi="宋体" w:cs="Malgun Gothic Semilight" w:hint="eastAsia"/>
          <w:sz w:val="24"/>
          <w:szCs w:val="24"/>
        </w:rPr>
        <w:t>，</w:t>
      </w:r>
      <w:r>
        <w:rPr>
          <w:rFonts w:ascii="宋体" w:eastAsia="宋体" w:hAnsi="宋体" w:cs="微软雅黑" w:hint="eastAsia"/>
          <w:sz w:val="24"/>
          <w:szCs w:val="24"/>
        </w:rPr>
        <w:t>由此造成的损失由基金管理人承担</w:t>
      </w:r>
      <w:r>
        <w:rPr>
          <w:rFonts w:ascii="宋体" w:eastAsia="宋体" w:hAnsi="宋体" w:cs="Malgun Gothic Semilight" w:hint="eastAsia"/>
          <w:sz w:val="24"/>
          <w:szCs w:val="24"/>
        </w:rPr>
        <w:t>。</w:t>
      </w:r>
    </w:p>
    <w:p w14:paraId="270137A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十一</w:t>
      </w:r>
      <w:r>
        <w:rPr>
          <w:rFonts w:ascii="宋体" w:eastAsia="宋体" w:hAnsi="宋体" w:cs="Malgun Gothic Semilight" w:hint="eastAsia"/>
          <w:sz w:val="24"/>
          <w:szCs w:val="24"/>
        </w:rPr>
        <w:t>）</w:t>
      </w:r>
      <w:r>
        <w:rPr>
          <w:rFonts w:ascii="宋体" w:eastAsia="宋体" w:hAnsi="宋体" w:cs="微软雅黑" w:hint="eastAsia"/>
          <w:sz w:val="24"/>
          <w:szCs w:val="24"/>
        </w:rPr>
        <w:t>基金托管人发现基金管理人有重大违规行为</w:t>
      </w:r>
      <w:r>
        <w:rPr>
          <w:rFonts w:ascii="宋体" w:eastAsia="宋体" w:hAnsi="宋体" w:cs="Malgun Gothic Semilight" w:hint="eastAsia"/>
          <w:sz w:val="24"/>
          <w:szCs w:val="24"/>
        </w:rPr>
        <w:t>，</w:t>
      </w:r>
      <w:r>
        <w:rPr>
          <w:rFonts w:ascii="宋体" w:eastAsia="宋体" w:hAnsi="宋体" w:cs="微软雅黑" w:hint="eastAsia"/>
          <w:sz w:val="24"/>
          <w:szCs w:val="24"/>
        </w:rPr>
        <w:t>应及时报告中国证监会</w:t>
      </w:r>
      <w:r>
        <w:rPr>
          <w:rFonts w:ascii="宋体" w:eastAsia="宋体" w:hAnsi="宋体" w:cs="Malgun Gothic Semilight" w:hint="eastAsia"/>
          <w:sz w:val="24"/>
          <w:szCs w:val="24"/>
        </w:rPr>
        <w:t>，</w:t>
      </w:r>
      <w:r>
        <w:rPr>
          <w:rFonts w:ascii="宋体" w:eastAsia="宋体" w:hAnsi="宋体" w:cs="微软雅黑" w:hint="eastAsia"/>
          <w:sz w:val="24"/>
          <w:szCs w:val="24"/>
        </w:rPr>
        <w:t>同时通知基金管理人限期纠正</w:t>
      </w:r>
      <w:r>
        <w:rPr>
          <w:rFonts w:ascii="宋体" w:eastAsia="宋体" w:hAnsi="宋体" w:cs="Malgun Gothic Semilight" w:hint="eastAsia"/>
          <w:sz w:val="24"/>
          <w:szCs w:val="24"/>
        </w:rPr>
        <w:t>，</w:t>
      </w:r>
      <w:r>
        <w:rPr>
          <w:rFonts w:ascii="宋体" w:eastAsia="宋体" w:hAnsi="宋体" w:cs="微软雅黑" w:hint="eastAsia"/>
          <w:sz w:val="24"/>
          <w:szCs w:val="24"/>
        </w:rPr>
        <w:t>并将纠正结果报告中国证监会</w:t>
      </w:r>
      <w:r>
        <w:rPr>
          <w:rFonts w:ascii="宋体" w:eastAsia="宋体" w:hAnsi="宋体" w:cs="Malgun Gothic Semilight" w:hint="eastAsia"/>
          <w:sz w:val="24"/>
          <w:szCs w:val="24"/>
        </w:rPr>
        <w:t>。</w:t>
      </w:r>
      <w:r>
        <w:rPr>
          <w:rFonts w:ascii="宋体" w:eastAsia="宋体" w:hAnsi="宋体" w:cs="微软雅黑" w:hint="eastAsia"/>
          <w:sz w:val="24"/>
          <w:szCs w:val="24"/>
        </w:rPr>
        <w:t>基金管理人无正当理由</w:t>
      </w:r>
      <w:r>
        <w:rPr>
          <w:rFonts w:ascii="宋体" w:eastAsia="宋体" w:hAnsi="宋体" w:cs="Malgun Gothic Semilight" w:hint="eastAsia"/>
          <w:sz w:val="24"/>
          <w:szCs w:val="24"/>
        </w:rPr>
        <w:t>，</w:t>
      </w:r>
      <w:r>
        <w:rPr>
          <w:rFonts w:ascii="宋体" w:eastAsia="宋体" w:hAnsi="宋体" w:cs="微软雅黑" w:hint="eastAsia"/>
          <w:sz w:val="24"/>
          <w:szCs w:val="24"/>
        </w:rPr>
        <w:t>拒绝</w:t>
      </w:r>
      <w:r>
        <w:rPr>
          <w:rFonts w:ascii="宋体" w:eastAsia="宋体" w:hAnsi="宋体" w:cs="Malgun Gothic Semilight" w:hint="eastAsia"/>
          <w:sz w:val="24"/>
          <w:szCs w:val="24"/>
        </w:rPr>
        <w:t>、</w:t>
      </w:r>
      <w:r>
        <w:rPr>
          <w:rFonts w:ascii="宋体" w:eastAsia="宋体" w:hAnsi="宋体" w:cs="微软雅黑" w:hint="eastAsia"/>
          <w:sz w:val="24"/>
          <w:szCs w:val="24"/>
        </w:rPr>
        <w:t>阻挠基金托管人根据本托管协议规定行使监督权</w:t>
      </w:r>
      <w:r>
        <w:rPr>
          <w:rFonts w:ascii="宋体" w:eastAsia="宋体" w:hAnsi="宋体" w:cs="Malgun Gothic Semilight" w:hint="eastAsia"/>
          <w:sz w:val="24"/>
          <w:szCs w:val="24"/>
        </w:rPr>
        <w:t>，</w:t>
      </w:r>
      <w:r>
        <w:rPr>
          <w:rFonts w:ascii="宋体" w:eastAsia="宋体" w:hAnsi="宋体" w:cs="微软雅黑" w:hint="eastAsia"/>
          <w:sz w:val="24"/>
          <w:szCs w:val="24"/>
        </w:rPr>
        <w:t>或采取拖延</w:t>
      </w:r>
      <w:r>
        <w:rPr>
          <w:rFonts w:ascii="宋体" w:eastAsia="宋体" w:hAnsi="宋体" w:cs="Malgun Gothic Semilight" w:hint="eastAsia"/>
          <w:sz w:val="24"/>
          <w:szCs w:val="24"/>
        </w:rPr>
        <w:t>、</w:t>
      </w:r>
      <w:r>
        <w:rPr>
          <w:rFonts w:ascii="宋体" w:eastAsia="宋体" w:hAnsi="宋体" w:cs="微软雅黑" w:hint="eastAsia"/>
          <w:sz w:val="24"/>
          <w:szCs w:val="24"/>
        </w:rPr>
        <w:t>欺诈等手段妨碍基金托管人进行有效监督</w:t>
      </w:r>
      <w:r>
        <w:rPr>
          <w:rFonts w:ascii="宋体" w:eastAsia="宋体" w:hAnsi="宋体" w:cs="Arial" w:hint="eastAsia"/>
          <w:sz w:val="24"/>
          <w:szCs w:val="24"/>
        </w:rPr>
        <w:t>，</w:t>
      </w:r>
      <w:r>
        <w:rPr>
          <w:rFonts w:ascii="宋体" w:eastAsia="宋体" w:hAnsi="宋体" w:cs="微软雅黑" w:hint="eastAsia"/>
          <w:sz w:val="24"/>
          <w:szCs w:val="24"/>
        </w:rPr>
        <w:t>情节严重或经基金托管人提出警告仍不改正的</w:t>
      </w:r>
      <w:r>
        <w:rPr>
          <w:rFonts w:ascii="宋体" w:eastAsia="宋体" w:hAnsi="宋体" w:cs="Malgun Gothic Semilight" w:hint="eastAsia"/>
          <w:sz w:val="24"/>
          <w:szCs w:val="24"/>
        </w:rPr>
        <w:t>，</w:t>
      </w:r>
      <w:r>
        <w:rPr>
          <w:rFonts w:ascii="宋体" w:eastAsia="宋体" w:hAnsi="宋体" w:cs="微软雅黑" w:hint="eastAsia"/>
          <w:sz w:val="24"/>
          <w:szCs w:val="24"/>
        </w:rPr>
        <w:t>基金托管人应报告中国证监会</w:t>
      </w:r>
      <w:r>
        <w:rPr>
          <w:rFonts w:ascii="宋体" w:eastAsia="宋体" w:hAnsi="宋体" w:cs="Malgun Gothic Semilight" w:hint="eastAsia"/>
          <w:sz w:val="24"/>
          <w:szCs w:val="24"/>
        </w:rPr>
        <w:t>。</w:t>
      </w:r>
    </w:p>
    <w:p w14:paraId="74C1E25A" w14:textId="77777777" w:rsidR="00C521E2" w:rsidRDefault="00C521E2">
      <w:pPr>
        <w:spacing w:line="360" w:lineRule="auto"/>
        <w:rPr>
          <w:rFonts w:ascii="宋体" w:eastAsia="宋体" w:hAnsi="宋体" w:cs="Times New Roman"/>
          <w:sz w:val="24"/>
          <w:szCs w:val="24"/>
        </w:rPr>
      </w:pPr>
    </w:p>
    <w:p w14:paraId="4D159639"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6" w:name="_Toc204539395"/>
      <w:bookmarkStart w:id="7" w:name="_Toc110761796"/>
      <w:bookmarkStart w:id="8" w:name="_Toc118972648"/>
      <w:bookmarkStart w:id="9" w:name="_Toc119402710"/>
      <w:bookmarkStart w:id="10" w:name="_Toc120435783"/>
      <w:bookmarkStart w:id="11" w:name="_Toc118212950"/>
      <w:bookmarkStart w:id="12" w:name="_Toc86737929"/>
      <w:bookmarkStart w:id="13" w:name="_Toc89163368"/>
      <w:bookmarkStart w:id="14" w:name="_Toc86223242"/>
      <w:bookmarkStart w:id="15" w:name="_Toc86727355"/>
      <w:bookmarkStart w:id="16" w:name="_Toc118774803"/>
      <w:bookmarkStart w:id="17" w:name="_Toc86649722"/>
      <w:bookmarkStart w:id="18" w:name="_Toc108512358"/>
      <w:bookmarkStart w:id="19" w:name="_Toc86225291"/>
      <w:bookmarkStart w:id="20" w:name="_Toc110765660"/>
      <w:bookmarkStart w:id="21" w:name="_Toc110830492"/>
      <w:bookmarkStart w:id="22" w:name="_Toc86726439"/>
      <w:r>
        <w:rPr>
          <w:rFonts w:ascii="宋体" w:eastAsia="宋体" w:hAnsi="宋体" w:cs="微软雅黑" w:hint="eastAsia"/>
          <w:b/>
          <w:sz w:val="30"/>
          <w:szCs w:val="20"/>
        </w:rPr>
        <w:t>四</w:t>
      </w:r>
      <w:r>
        <w:rPr>
          <w:rFonts w:ascii="宋体" w:eastAsia="宋体" w:hAnsi="宋体" w:cs="Malgun Gothic Semilight" w:hint="eastAsia"/>
          <w:b/>
          <w:sz w:val="30"/>
          <w:szCs w:val="20"/>
        </w:rPr>
        <w:t>、</w:t>
      </w:r>
      <w:r>
        <w:rPr>
          <w:rFonts w:ascii="宋体" w:eastAsia="宋体" w:hAnsi="宋体" w:cs="微软雅黑" w:hint="eastAsia"/>
          <w:b/>
          <w:sz w:val="30"/>
          <w:szCs w:val="20"/>
        </w:rPr>
        <w:t>基金管理人对基金托管人的业务核查</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030E88A"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基金管理人对基金托管人履行托管职责情况进行核查</w:t>
      </w:r>
      <w:r>
        <w:rPr>
          <w:rFonts w:ascii="宋体" w:eastAsia="宋体" w:hAnsi="宋体" w:cs="Malgun Gothic Semilight" w:hint="eastAsia"/>
          <w:sz w:val="24"/>
          <w:szCs w:val="24"/>
        </w:rPr>
        <w:t>，</w:t>
      </w:r>
      <w:r>
        <w:rPr>
          <w:rFonts w:ascii="宋体" w:eastAsia="宋体" w:hAnsi="宋体" w:cs="微软雅黑" w:hint="eastAsia"/>
          <w:sz w:val="24"/>
          <w:szCs w:val="24"/>
        </w:rPr>
        <w:t>核查事项包括基金托管人安全保管基金财产</w:t>
      </w:r>
      <w:r>
        <w:rPr>
          <w:rFonts w:ascii="宋体" w:eastAsia="宋体" w:hAnsi="宋体" w:cs="Malgun Gothic Semilight" w:hint="eastAsia"/>
          <w:sz w:val="24"/>
          <w:szCs w:val="24"/>
        </w:rPr>
        <w:t>、</w:t>
      </w:r>
      <w:r>
        <w:rPr>
          <w:rFonts w:ascii="宋体" w:eastAsia="宋体" w:hAnsi="宋体" w:cs="微软雅黑" w:hint="eastAsia"/>
          <w:sz w:val="24"/>
          <w:szCs w:val="24"/>
        </w:rPr>
        <w:t>开设基金财产的资金账户和证券账户等投资所需账户</w:t>
      </w:r>
      <w:r>
        <w:rPr>
          <w:rFonts w:ascii="宋体" w:eastAsia="宋体" w:hAnsi="宋体" w:cs="Malgun Gothic Semilight" w:hint="eastAsia"/>
          <w:sz w:val="24"/>
          <w:szCs w:val="24"/>
        </w:rPr>
        <w:t>、</w:t>
      </w:r>
      <w:r>
        <w:rPr>
          <w:rFonts w:ascii="宋体" w:eastAsia="宋体" w:hAnsi="宋体" w:cs="微软雅黑" w:hint="eastAsia"/>
          <w:sz w:val="24"/>
          <w:szCs w:val="24"/>
        </w:rPr>
        <w:t>复核基金管理人计算的基金资产净值和各类基金份额净值</w:t>
      </w:r>
      <w:r>
        <w:rPr>
          <w:rFonts w:ascii="宋体" w:eastAsia="宋体" w:hAnsi="宋体" w:cs="Malgun Gothic Semilight" w:hint="eastAsia"/>
          <w:sz w:val="24"/>
          <w:szCs w:val="24"/>
        </w:rPr>
        <w:t>、</w:t>
      </w:r>
      <w:r>
        <w:rPr>
          <w:rFonts w:ascii="宋体" w:eastAsia="宋体" w:hAnsi="宋体" w:cs="微软雅黑" w:hint="eastAsia"/>
          <w:sz w:val="24"/>
          <w:szCs w:val="24"/>
        </w:rPr>
        <w:t>根据基金管理人指令办理清算交收</w:t>
      </w:r>
      <w:r>
        <w:rPr>
          <w:rFonts w:ascii="宋体" w:eastAsia="宋体" w:hAnsi="宋体" w:cs="Malgun Gothic Semilight" w:hint="eastAsia"/>
          <w:sz w:val="24"/>
          <w:szCs w:val="24"/>
        </w:rPr>
        <w:t>、</w:t>
      </w:r>
      <w:r>
        <w:rPr>
          <w:rFonts w:ascii="宋体" w:eastAsia="宋体" w:hAnsi="宋体" w:cs="微软雅黑" w:hint="eastAsia"/>
          <w:sz w:val="24"/>
          <w:szCs w:val="24"/>
        </w:rPr>
        <w:t>相关信息披露和监督基金投资运作等行为</w:t>
      </w:r>
      <w:r>
        <w:rPr>
          <w:rFonts w:ascii="宋体" w:eastAsia="宋体" w:hAnsi="宋体" w:cs="Malgun Gothic Semilight" w:hint="eastAsia"/>
          <w:sz w:val="24"/>
          <w:szCs w:val="24"/>
        </w:rPr>
        <w:t>。</w:t>
      </w:r>
    </w:p>
    <w:p w14:paraId="7F55DC2E"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lastRenderedPageBreak/>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基金管理人发现基金托管人擅自挪用基金财产</w:t>
      </w:r>
      <w:r>
        <w:rPr>
          <w:rFonts w:ascii="宋体" w:eastAsia="宋体" w:hAnsi="宋体" w:cs="Malgun Gothic Semilight" w:hint="eastAsia"/>
          <w:sz w:val="24"/>
          <w:szCs w:val="24"/>
        </w:rPr>
        <w:t>、</w:t>
      </w:r>
      <w:r>
        <w:rPr>
          <w:rFonts w:ascii="宋体" w:eastAsia="宋体" w:hAnsi="宋体" w:cs="微软雅黑" w:hint="eastAsia"/>
          <w:sz w:val="24"/>
          <w:szCs w:val="24"/>
        </w:rPr>
        <w:t>未对基金财产实行分账管理</w:t>
      </w:r>
      <w:r>
        <w:rPr>
          <w:rFonts w:ascii="宋体" w:eastAsia="宋体" w:hAnsi="宋体" w:cs="Malgun Gothic Semilight" w:hint="eastAsia"/>
          <w:sz w:val="24"/>
          <w:szCs w:val="24"/>
        </w:rPr>
        <w:t>、</w:t>
      </w:r>
      <w:r>
        <w:rPr>
          <w:rFonts w:ascii="宋体" w:eastAsia="宋体" w:hAnsi="宋体" w:cs="微软雅黑" w:hint="eastAsia"/>
          <w:sz w:val="24"/>
          <w:szCs w:val="24"/>
        </w:rPr>
        <w:t>未执行或无故延迟执行基金管理人资金划拨指令</w:t>
      </w:r>
      <w:r>
        <w:rPr>
          <w:rFonts w:ascii="宋体" w:eastAsia="宋体" w:hAnsi="宋体" w:cs="Malgun Gothic Semilight" w:hint="eastAsia"/>
          <w:sz w:val="24"/>
          <w:szCs w:val="24"/>
        </w:rPr>
        <w:t>、</w:t>
      </w:r>
      <w:r>
        <w:rPr>
          <w:rFonts w:ascii="宋体" w:eastAsia="宋体" w:hAnsi="宋体" w:cs="微软雅黑" w:hint="eastAsia"/>
          <w:sz w:val="24"/>
          <w:szCs w:val="24"/>
        </w:rPr>
        <w:t>泄露基金投资信息等违反</w:t>
      </w:r>
      <w:r>
        <w:rPr>
          <w:rFonts w:ascii="宋体" w:eastAsia="宋体" w:hAnsi="宋体" w:cs="Malgun Gothic Semilight" w:hint="eastAsia"/>
          <w:sz w:val="24"/>
          <w:szCs w:val="24"/>
        </w:rPr>
        <w:t>《</w:t>
      </w:r>
      <w:r>
        <w:rPr>
          <w:rFonts w:ascii="宋体" w:eastAsia="宋体" w:hAnsi="宋体" w:cs="微软雅黑" w:hint="eastAsia"/>
          <w:sz w:val="24"/>
          <w:szCs w:val="24"/>
        </w:rPr>
        <w:t>基金法</w:t>
      </w:r>
      <w:r>
        <w:rPr>
          <w:rFonts w:ascii="宋体" w:eastAsia="宋体" w:hAnsi="宋体" w:cs="Malgun Gothic Semilight" w:hint="eastAsia"/>
          <w:sz w:val="24"/>
          <w:szCs w:val="24"/>
        </w:rPr>
        <w:t>》</w:t>
      </w:r>
      <w:r>
        <w:rPr>
          <w:rFonts w:ascii="宋体" w:eastAsia="宋体" w:hAnsi="宋体" w:cs="Arial"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本协议及其他有关规定时</w:t>
      </w:r>
      <w:r>
        <w:rPr>
          <w:rFonts w:ascii="宋体" w:eastAsia="宋体" w:hAnsi="宋体" w:cs="Malgun Gothic Semilight" w:hint="eastAsia"/>
          <w:sz w:val="24"/>
          <w:szCs w:val="24"/>
        </w:rPr>
        <w:t>，</w:t>
      </w:r>
      <w:r>
        <w:rPr>
          <w:rFonts w:ascii="宋体" w:eastAsia="宋体" w:hAnsi="宋体" w:cs="微软雅黑" w:hint="eastAsia"/>
          <w:sz w:val="24"/>
          <w:szCs w:val="24"/>
        </w:rPr>
        <w:t>应及时以书面形式通知基金托管人限期纠正</w:t>
      </w:r>
      <w:r>
        <w:rPr>
          <w:rFonts w:ascii="宋体" w:eastAsia="宋体" w:hAnsi="宋体" w:cs="Malgun Gothic Semilight" w:hint="eastAsia"/>
          <w:sz w:val="24"/>
          <w:szCs w:val="24"/>
        </w:rPr>
        <w:t>。</w:t>
      </w:r>
      <w:r>
        <w:rPr>
          <w:rFonts w:ascii="宋体" w:eastAsia="宋体" w:hAnsi="宋体" w:cs="微软雅黑" w:hint="eastAsia"/>
          <w:sz w:val="24"/>
          <w:szCs w:val="24"/>
        </w:rPr>
        <w:t>基金托管人收到通知后应及时核对并以书面形式给基金管理人发出回函</w:t>
      </w:r>
      <w:r>
        <w:rPr>
          <w:rFonts w:ascii="宋体" w:eastAsia="宋体" w:hAnsi="宋体" w:cs="Malgun Gothic Semilight" w:hint="eastAsia"/>
          <w:sz w:val="24"/>
          <w:szCs w:val="24"/>
        </w:rPr>
        <w:t>，</w:t>
      </w:r>
      <w:r>
        <w:rPr>
          <w:rFonts w:ascii="宋体" w:eastAsia="宋体" w:hAnsi="宋体" w:cs="微软雅黑" w:hint="eastAsia"/>
          <w:sz w:val="24"/>
          <w:szCs w:val="24"/>
        </w:rPr>
        <w:t>说明违规原因及纠正期限</w:t>
      </w:r>
      <w:r>
        <w:rPr>
          <w:rFonts w:ascii="宋体" w:eastAsia="宋体" w:hAnsi="宋体" w:cs="Malgun Gothic Semilight" w:hint="eastAsia"/>
          <w:sz w:val="24"/>
          <w:szCs w:val="24"/>
        </w:rPr>
        <w:t>，</w:t>
      </w:r>
      <w:r>
        <w:rPr>
          <w:rFonts w:ascii="宋体" w:eastAsia="宋体" w:hAnsi="宋体" w:cs="微软雅黑" w:hint="eastAsia"/>
          <w:sz w:val="24"/>
          <w:szCs w:val="24"/>
        </w:rPr>
        <w:t>并保证在规定期限内及时改正</w:t>
      </w:r>
      <w:r>
        <w:rPr>
          <w:rFonts w:ascii="宋体" w:eastAsia="宋体" w:hAnsi="宋体" w:cs="Malgun Gothic Semilight" w:hint="eastAsia"/>
          <w:sz w:val="24"/>
          <w:szCs w:val="24"/>
        </w:rPr>
        <w:t>。</w:t>
      </w:r>
      <w:r>
        <w:rPr>
          <w:rFonts w:ascii="宋体" w:eastAsia="宋体" w:hAnsi="宋体" w:cs="微软雅黑" w:hint="eastAsia"/>
          <w:sz w:val="24"/>
          <w:szCs w:val="24"/>
        </w:rPr>
        <w:t>在上述规定期限内</w:t>
      </w:r>
      <w:r>
        <w:rPr>
          <w:rFonts w:ascii="宋体" w:eastAsia="宋体" w:hAnsi="宋体" w:cs="Malgun Gothic Semilight" w:hint="eastAsia"/>
          <w:sz w:val="24"/>
          <w:szCs w:val="24"/>
        </w:rPr>
        <w:t>，</w:t>
      </w:r>
      <w:r>
        <w:rPr>
          <w:rFonts w:ascii="宋体" w:eastAsia="宋体" w:hAnsi="宋体" w:cs="微软雅黑" w:hint="eastAsia"/>
          <w:sz w:val="24"/>
          <w:szCs w:val="24"/>
        </w:rPr>
        <w:t>基金管理人有权随时对通知事项进行复查</w:t>
      </w:r>
      <w:r>
        <w:rPr>
          <w:rFonts w:ascii="宋体" w:eastAsia="宋体" w:hAnsi="宋体" w:cs="Malgun Gothic Semilight" w:hint="eastAsia"/>
          <w:sz w:val="24"/>
          <w:szCs w:val="24"/>
        </w:rPr>
        <w:t>，</w:t>
      </w:r>
      <w:r>
        <w:rPr>
          <w:rFonts w:ascii="宋体" w:eastAsia="宋体" w:hAnsi="宋体" w:cs="微软雅黑" w:hint="eastAsia"/>
          <w:sz w:val="24"/>
          <w:szCs w:val="24"/>
        </w:rPr>
        <w:t>督促基金托管人改正</w:t>
      </w:r>
      <w:r>
        <w:rPr>
          <w:rFonts w:ascii="宋体" w:eastAsia="宋体" w:hAnsi="宋体" w:cs="Malgun Gothic Semilight" w:hint="eastAsia"/>
          <w:sz w:val="24"/>
          <w:szCs w:val="24"/>
        </w:rPr>
        <w:t>。</w:t>
      </w:r>
      <w:r>
        <w:rPr>
          <w:rFonts w:ascii="宋体" w:eastAsia="宋体" w:hAnsi="宋体" w:cs="微软雅黑" w:hint="eastAsia"/>
          <w:sz w:val="24"/>
          <w:szCs w:val="24"/>
        </w:rPr>
        <w:t>基金托管人应积极配合基金管理人的核查行为</w:t>
      </w:r>
      <w:r>
        <w:rPr>
          <w:rFonts w:ascii="宋体" w:eastAsia="宋体" w:hAnsi="宋体" w:cs="Malgun Gothic Semilight" w:hint="eastAsia"/>
          <w:sz w:val="24"/>
          <w:szCs w:val="24"/>
        </w:rPr>
        <w:t>，</w:t>
      </w:r>
      <w:r>
        <w:rPr>
          <w:rFonts w:ascii="宋体" w:eastAsia="宋体" w:hAnsi="宋体" w:cs="微软雅黑" w:hint="eastAsia"/>
          <w:sz w:val="24"/>
          <w:szCs w:val="24"/>
        </w:rPr>
        <w:t>包括但不限于</w:t>
      </w:r>
      <w:r>
        <w:rPr>
          <w:rFonts w:ascii="宋体" w:eastAsia="宋体" w:hAnsi="宋体" w:cs="Malgun Gothic Semilight" w:hint="eastAsia"/>
          <w:sz w:val="24"/>
          <w:szCs w:val="24"/>
        </w:rPr>
        <w:t>：</w:t>
      </w:r>
      <w:r>
        <w:rPr>
          <w:rFonts w:ascii="宋体" w:eastAsia="宋体" w:hAnsi="宋体" w:cs="微软雅黑" w:hint="eastAsia"/>
          <w:sz w:val="24"/>
          <w:szCs w:val="24"/>
        </w:rPr>
        <w:t>提交相关资料以供基金管理人核查托管财产的完整性和真实性</w:t>
      </w:r>
      <w:r>
        <w:rPr>
          <w:rFonts w:ascii="宋体" w:eastAsia="宋体" w:hAnsi="宋体" w:cs="Malgun Gothic Semilight" w:hint="eastAsia"/>
          <w:sz w:val="24"/>
          <w:szCs w:val="24"/>
        </w:rPr>
        <w:t>，</w:t>
      </w:r>
      <w:r>
        <w:rPr>
          <w:rFonts w:ascii="宋体" w:eastAsia="宋体" w:hAnsi="宋体" w:cs="微软雅黑" w:hint="eastAsia"/>
          <w:sz w:val="24"/>
          <w:szCs w:val="24"/>
        </w:rPr>
        <w:t>在规定时间内答复基金管理人并改正</w:t>
      </w:r>
      <w:r>
        <w:rPr>
          <w:rFonts w:ascii="宋体" w:eastAsia="宋体" w:hAnsi="宋体" w:cs="Malgun Gothic Semilight" w:hint="eastAsia"/>
          <w:sz w:val="24"/>
          <w:szCs w:val="24"/>
        </w:rPr>
        <w:t>。</w:t>
      </w:r>
    </w:p>
    <w:p w14:paraId="1BECE00D"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基金管理人发现基金托管人有重大违规行为</w:t>
      </w:r>
      <w:r>
        <w:rPr>
          <w:rFonts w:ascii="宋体" w:eastAsia="宋体" w:hAnsi="宋体" w:cs="Malgun Gothic Semilight" w:hint="eastAsia"/>
          <w:sz w:val="24"/>
          <w:szCs w:val="24"/>
        </w:rPr>
        <w:t>，</w:t>
      </w:r>
      <w:r>
        <w:rPr>
          <w:rFonts w:ascii="宋体" w:eastAsia="宋体" w:hAnsi="宋体" w:cs="微软雅黑" w:hint="eastAsia"/>
          <w:sz w:val="24"/>
          <w:szCs w:val="24"/>
        </w:rPr>
        <w:t>应及时报告中国证监会</w:t>
      </w:r>
      <w:r>
        <w:rPr>
          <w:rFonts w:ascii="宋体" w:eastAsia="宋体" w:hAnsi="宋体" w:cs="Malgun Gothic Semilight" w:hint="eastAsia"/>
          <w:sz w:val="24"/>
          <w:szCs w:val="24"/>
        </w:rPr>
        <w:t>，</w:t>
      </w:r>
      <w:r>
        <w:rPr>
          <w:rFonts w:ascii="宋体" w:eastAsia="宋体" w:hAnsi="宋体" w:cs="微软雅黑" w:hint="eastAsia"/>
          <w:sz w:val="24"/>
          <w:szCs w:val="24"/>
        </w:rPr>
        <w:t>同时通知基金托管人限期纠正</w:t>
      </w:r>
      <w:r>
        <w:rPr>
          <w:rFonts w:ascii="宋体" w:eastAsia="宋体" w:hAnsi="宋体" w:cs="Malgun Gothic Semilight" w:hint="eastAsia"/>
          <w:sz w:val="24"/>
          <w:szCs w:val="24"/>
        </w:rPr>
        <w:t>，</w:t>
      </w:r>
      <w:r>
        <w:rPr>
          <w:rFonts w:ascii="宋体" w:eastAsia="宋体" w:hAnsi="宋体" w:cs="微软雅黑" w:hint="eastAsia"/>
          <w:sz w:val="24"/>
          <w:szCs w:val="24"/>
        </w:rPr>
        <w:t>并将纠正结果报告中国证监会</w:t>
      </w:r>
      <w:r>
        <w:rPr>
          <w:rFonts w:ascii="宋体" w:eastAsia="宋体" w:hAnsi="宋体" w:cs="Malgun Gothic Semilight" w:hint="eastAsia"/>
          <w:sz w:val="24"/>
          <w:szCs w:val="24"/>
        </w:rPr>
        <w:t>。</w:t>
      </w:r>
      <w:r>
        <w:rPr>
          <w:rFonts w:ascii="宋体" w:eastAsia="宋体" w:hAnsi="宋体" w:cs="微软雅黑" w:hint="eastAsia"/>
          <w:sz w:val="24"/>
          <w:szCs w:val="24"/>
        </w:rPr>
        <w:t>基金托管人无正当理由</w:t>
      </w:r>
      <w:r>
        <w:rPr>
          <w:rFonts w:ascii="宋体" w:eastAsia="宋体" w:hAnsi="宋体" w:cs="Malgun Gothic Semilight" w:hint="eastAsia"/>
          <w:sz w:val="24"/>
          <w:szCs w:val="24"/>
        </w:rPr>
        <w:t>，</w:t>
      </w:r>
      <w:r>
        <w:rPr>
          <w:rFonts w:ascii="宋体" w:eastAsia="宋体" w:hAnsi="宋体" w:cs="微软雅黑" w:hint="eastAsia"/>
          <w:sz w:val="24"/>
          <w:szCs w:val="24"/>
        </w:rPr>
        <w:t>拒绝</w:t>
      </w:r>
      <w:r>
        <w:rPr>
          <w:rFonts w:ascii="宋体" w:eastAsia="宋体" w:hAnsi="宋体" w:cs="Malgun Gothic Semilight" w:hint="eastAsia"/>
          <w:sz w:val="24"/>
          <w:szCs w:val="24"/>
        </w:rPr>
        <w:t>、</w:t>
      </w:r>
      <w:r>
        <w:rPr>
          <w:rFonts w:ascii="宋体" w:eastAsia="宋体" w:hAnsi="宋体" w:cs="微软雅黑" w:hint="eastAsia"/>
          <w:sz w:val="24"/>
          <w:szCs w:val="24"/>
        </w:rPr>
        <w:t>阻挠基金管理人根据本协议规定行使监督权</w:t>
      </w:r>
      <w:r>
        <w:rPr>
          <w:rFonts w:ascii="宋体" w:eastAsia="宋体" w:hAnsi="宋体" w:cs="Malgun Gothic Semilight" w:hint="eastAsia"/>
          <w:sz w:val="24"/>
          <w:szCs w:val="24"/>
        </w:rPr>
        <w:t>，</w:t>
      </w:r>
      <w:r>
        <w:rPr>
          <w:rFonts w:ascii="宋体" w:eastAsia="宋体" w:hAnsi="宋体" w:cs="微软雅黑" w:hint="eastAsia"/>
          <w:sz w:val="24"/>
          <w:szCs w:val="24"/>
        </w:rPr>
        <w:t>或采取拖延</w:t>
      </w:r>
      <w:r>
        <w:rPr>
          <w:rFonts w:ascii="宋体" w:eastAsia="宋体" w:hAnsi="宋体" w:cs="Malgun Gothic Semilight" w:hint="eastAsia"/>
          <w:sz w:val="24"/>
          <w:szCs w:val="24"/>
        </w:rPr>
        <w:t>、</w:t>
      </w:r>
      <w:r>
        <w:rPr>
          <w:rFonts w:ascii="宋体" w:eastAsia="宋体" w:hAnsi="宋体" w:cs="微软雅黑" w:hint="eastAsia"/>
          <w:sz w:val="24"/>
          <w:szCs w:val="24"/>
        </w:rPr>
        <w:t>欺诈等手段妨碍基金管理人进行有效监督</w:t>
      </w:r>
      <w:r>
        <w:rPr>
          <w:rFonts w:ascii="宋体" w:eastAsia="宋体" w:hAnsi="宋体" w:cs="Malgun Gothic Semilight" w:hint="eastAsia"/>
          <w:sz w:val="24"/>
          <w:szCs w:val="24"/>
        </w:rPr>
        <w:t>，</w:t>
      </w:r>
      <w:r>
        <w:rPr>
          <w:rFonts w:ascii="宋体" w:eastAsia="宋体" w:hAnsi="宋体" w:cs="微软雅黑" w:hint="eastAsia"/>
          <w:sz w:val="24"/>
          <w:szCs w:val="24"/>
        </w:rPr>
        <w:t>情节严重或经基金管理人提出警告仍不改正的</w:t>
      </w:r>
      <w:r>
        <w:rPr>
          <w:rFonts w:ascii="宋体" w:eastAsia="宋体" w:hAnsi="宋体" w:cs="Malgun Gothic Semilight" w:hint="eastAsia"/>
          <w:sz w:val="24"/>
          <w:szCs w:val="24"/>
        </w:rPr>
        <w:t>，</w:t>
      </w:r>
      <w:r>
        <w:rPr>
          <w:rFonts w:ascii="宋体" w:eastAsia="宋体" w:hAnsi="宋体" w:cs="微软雅黑" w:hint="eastAsia"/>
          <w:sz w:val="24"/>
          <w:szCs w:val="24"/>
        </w:rPr>
        <w:t>基金管理人应报告中国证监会</w:t>
      </w:r>
      <w:r>
        <w:rPr>
          <w:rFonts w:ascii="宋体" w:eastAsia="宋体" w:hAnsi="宋体" w:cs="Malgun Gothic Semilight" w:hint="eastAsia"/>
          <w:sz w:val="24"/>
          <w:szCs w:val="24"/>
        </w:rPr>
        <w:t>。</w:t>
      </w:r>
    </w:p>
    <w:p w14:paraId="695C18A1" w14:textId="77777777" w:rsidR="00C521E2" w:rsidRDefault="00C521E2">
      <w:pPr>
        <w:spacing w:line="360" w:lineRule="auto"/>
        <w:rPr>
          <w:rFonts w:ascii="宋体" w:eastAsia="宋体" w:hAnsi="宋体" w:cs="Times New Roman"/>
          <w:sz w:val="24"/>
          <w:szCs w:val="24"/>
        </w:rPr>
      </w:pPr>
    </w:p>
    <w:p w14:paraId="0D29C463"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23" w:name="_Toc204539396"/>
      <w:bookmarkStart w:id="24" w:name="_Toc108512359"/>
      <w:bookmarkStart w:id="25" w:name="_Toc118212951"/>
      <w:bookmarkStart w:id="26" w:name="_Toc86726440"/>
      <w:bookmarkStart w:id="27" w:name="_Toc84234435"/>
      <w:bookmarkStart w:id="28" w:name="_Toc86225292"/>
      <w:bookmarkStart w:id="29" w:name="_Toc110761797"/>
      <w:bookmarkStart w:id="30" w:name="_Toc86649723"/>
      <w:bookmarkStart w:id="31" w:name="_Toc86737930"/>
      <w:bookmarkStart w:id="32" w:name="_Toc110830493"/>
      <w:bookmarkStart w:id="33" w:name="_Toc84133786"/>
      <w:bookmarkStart w:id="34" w:name="_Toc86223243"/>
      <w:bookmarkStart w:id="35" w:name="_Toc118774804"/>
      <w:bookmarkStart w:id="36" w:name="_Toc86204789"/>
      <w:bookmarkStart w:id="37" w:name="_Toc84234388"/>
      <w:bookmarkStart w:id="38" w:name="_Toc118972649"/>
      <w:bookmarkStart w:id="39" w:name="_Toc110765661"/>
      <w:bookmarkStart w:id="40" w:name="_Toc86727356"/>
      <w:bookmarkStart w:id="41" w:name="_Toc119402711"/>
      <w:bookmarkStart w:id="42" w:name="_Toc89163369"/>
      <w:bookmarkStart w:id="43" w:name="_Toc120435784"/>
      <w:r>
        <w:rPr>
          <w:rFonts w:ascii="宋体" w:eastAsia="宋体" w:hAnsi="宋体" w:cs="微软雅黑" w:hint="eastAsia"/>
          <w:b/>
          <w:sz w:val="30"/>
          <w:szCs w:val="20"/>
        </w:rPr>
        <w:t>五</w:t>
      </w:r>
      <w:r>
        <w:rPr>
          <w:rFonts w:ascii="宋体" w:eastAsia="宋体" w:hAnsi="宋体" w:cs="Malgun Gothic Semilight" w:hint="eastAsia"/>
          <w:b/>
          <w:sz w:val="30"/>
          <w:szCs w:val="20"/>
        </w:rPr>
        <w:t>、</w:t>
      </w:r>
      <w:r>
        <w:rPr>
          <w:rFonts w:ascii="宋体" w:eastAsia="宋体" w:hAnsi="宋体" w:cs="微软雅黑" w:hint="eastAsia"/>
          <w:b/>
          <w:sz w:val="30"/>
          <w:szCs w:val="20"/>
        </w:rPr>
        <w:t>基金财产的保管</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165FD306"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基金财产保管的原则</w:t>
      </w:r>
    </w:p>
    <w:p w14:paraId="752F4479"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基金财产应独立于基金管理人</w:t>
      </w:r>
      <w:r>
        <w:rPr>
          <w:rFonts w:ascii="宋体" w:eastAsia="宋体" w:hAnsi="宋体" w:cs="Malgun Gothic Semilight" w:hint="eastAsia"/>
          <w:sz w:val="24"/>
          <w:szCs w:val="24"/>
        </w:rPr>
        <w:t>、</w:t>
      </w:r>
      <w:r>
        <w:rPr>
          <w:rFonts w:ascii="宋体" w:eastAsia="宋体" w:hAnsi="宋体" w:cs="微软雅黑" w:hint="eastAsia"/>
          <w:sz w:val="24"/>
          <w:szCs w:val="24"/>
        </w:rPr>
        <w:t>基金托管人的固有财产</w:t>
      </w:r>
      <w:r>
        <w:rPr>
          <w:rFonts w:ascii="宋体" w:eastAsia="宋体" w:hAnsi="宋体" w:cs="Malgun Gothic Semilight" w:hint="eastAsia"/>
          <w:sz w:val="24"/>
          <w:szCs w:val="24"/>
        </w:rPr>
        <w:t>。</w:t>
      </w:r>
    </w:p>
    <w:p w14:paraId="3162D81C"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基金托管人应安全保管基金财产</w:t>
      </w:r>
      <w:r>
        <w:rPr>
          <w:rFonts w:ascii="宋体" w:eastAsia="宋体" w:hAnsi="宋体" w:cs="Malgun Gothic Semilight" w:hint="eastAsia"/>
          <w:sz w:val="24"/>
          <w:szCs w:val="24"/>
        </w:rPr>
        <w:t>。</w:t>
      </w:r>
    </w:p>
    <w:p w14:paraId="38097148"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基金托管人按照规定开设基金财产的资金账户和证券账户等投资所需账户</w:t>
      </w:r>
      <w:r>
        <w:rPr>
          <w:rFonts w:ascii="宋体" w:eastAsia="宋体" w:hAnsi="宋体" w:cs="Malgun Gothic Semilight" w:hint="eastAsia"/>
          <w:sz w:val="24"/>
          <w:szCs w:val="24"/>
        </w:rPr>
        <w:t>。</w:t>
      </w:r>
    </w:p>
    <w:p w14:paraId="5D4B9917"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基金托管人对所托管的不同基金财产分别设置账户</w:t>
      </w:r>
      <w:r>
        <w:rPr>
          <w:rFonts w:ascii="宋体" w:eastAsia="宋体" w:hAnsi="宋体" w:cs="Malgun Gothic Semilight" w:hint="eastAsia"/>
          <w:sz w:val="24"/>
          <w:szCs w:val="24"/>
        </w:rPr>
        <w:t>，</w:t>
      </w:r>
      <w:r>
        <w:rPr>
          <w:rFonts w:ascii="宋体" w:eastAsia="宋体" w:hAnsi="宋体" w:cs="微软雅黑" w:hint="eastAsia"/>
          <w:sz w:val="24"/>
          <w:szCs w:val="24"/>
        </w:rPr>
        <w:t>确保基金财产的完整与独立</w:t>
      </w:r>
      <w:r>
        <w:rPr>
          <w:rFonts w:ascii="宋体" w:eastAsia="宋体" w:hAnsi="宋体" w:cs="Malgun Gothic Semilight" w:hint="eastAsia"/>
          <w:sz w:val="24"/>
          <w:szCs w:val="24"/>
        </w:rPr>
        <w:t>。</w:t>
      </w:r>
    </w:p>
    <w:p w14:paraId="383D019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5.</w:t>
      </w:r>
      <w:r>
        <w:rPr>
          <w:rFonts w:ascii="宋体" w:eastAsia="宋体" w:hAnsi="宋体" w:cs="微软雅黑" w:hint="eastAsia"/>
          <w:sz w:val="24"/>
          <w:szCs w:val="24"/>
        </w:rPr>
        <w:t>基金托管人按照</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和本协议的约定保管基金财产</w:t>
      </w:r>
      <w:r>
        <w:rPr>
          <w:rFonts w:ascii="宋体" w:eastAsia="宋体" w:hAnsi="宋体" w:cs="Malgun Gothic Semilight" w:hint="eastAsia"/>
          <w:sz w:val="24"/>
          <w:szCs w:val="24"/>
        </w:rPr>
        <w:t>，</w:t>
      </w:r>
      <w:r>
        <w:rPr>
          <w:rFonts w:ascii="宋体" w:eastAsia="宋体" w:hAnsi="宋体" w:cs="微软雅黑" w:hint="eastAsia"/>
          <w:sz w:val="24"/>
          <w:szCs w:val="24"/>
        </w:rPr>
        <w:t>如有特殊情况双方可另行协商解决</w:t>
      </w:r>
      <w:r>
        <w:rPr>
          <w:rFonts w:ascii="宋体" w:eastAsia="宋体" w:hAnsi="宋体" w:cs="Malgun Gothic Semilight" w:hint="eastAsia"/>
          <w:sz w:val="24"/>
          <w:szCs w:val="24"/>
        </w:rPr>
        <w:t>。</w:t>
      </w:r>
      <w:r>
        <w:rPr>
          <w:rFonts w:ascii="宋体" w:eastAsia="宋体" w:hAnsi="宋体" w:cs="微软雅黑" w:hint="eastAsia"/>
          <w:sz w:val="24"/>
          <w:szCs w:val="24"/>
        </w:rPr>
        <w:t>基金托管人未经基金管理人的指令</w:t>
      </w:r>
      <w:r>
        <w:rPr>
          <w:rFonts w:ascii="宋体" w:eastAsia="宋体" w:hAnsi="宋体" w:cs="Malgun Gothic Semilight" w:hint="eastAsia"/>
          <w:sz w:val="24"/>
          <w:szCs w:val="24"/>
        </w:rPr>
        <w:t>，</w:t>
      </w:r>
      <w:r>
        <w:rPr>
          <w:rFonts w:ascii="宋体" w:eastAsia="宋体" w:hAnsi="宋体" w:cs="微软雅黑" w:hint="eastAsia"/>
          <w:sz w:val="24"/>
          <w:szCs w:val="24"/>
        </w:rPr>
        <w:t>不得自行运用</w:t>
      </w:r>
      <w:r>
        <w:rPr>
          <w:rFonts w:ascii="宋体" w:eastAsia="宋体" w:hAnsi="宋体" w:cs="Malgun Gothic Semilight" w:hint="eastAsia"/>
          <w:sz w:val="24"/>
          <w:szCs w:val="24"/>
        </w:rPr>
        <w:t>、</w:t>
      </w:r>
      <w:r>
        <w:rPr>
          <w:rFonts w:ascii="宋体" w:eastAsia="宋体" w:hAnsi="宋体" w:cs="微软雅黑" w:hint="eastAsia"/>
          <w:sz w:val="24"/>
          <w:szCs w:val="24"/>
        </w:rPr>
        <w:t>处分</w:t>
      </w:r>
      <w:r>
        <w:rPr>
          <w:rFonts w:ascii="宋体" w:eastAsia="宋体" w:hAnsi="宋体" w:cs="Malgun Gothic Semilight" w:hint="eastAsia"/>
          <w:sz w:val="24"/>
          <w:szCs w:val="24"/>
        </w:rPr>
        <w:t>、</w:t>
      </w:r>
      <w:r>
        <w:rPr>
          <w:rFonts w:ascii="宋体" w:eastAsia="宋体" w:hAnsi="宋体" w:cs="微软雅黑" w:hint="eastAsia"/>
          <w:sz w:val="24"/>
          <w:szCs w:val="24"/>
        </w:rPr>
        <w:t>分配本基金的任何资产</w:t>
      </w:r>
      <w:r>
        <w:rPr>
          <w:rFonts w:ascii="宋体" w:eastAsia="宋体" w:hAnsi="宋体" w:cs="Malgun Gothic Semilight" w:hint="eastAsia"/>
          <w:sz w:val="24"/>
          <w:szCs w:val="24"/>
        </w:rPr>
        <w:t>（</w:t>
      </w:r>
      <w:r>
        <w:rPr>
          <w:rFonts w:ascii="宋体" w:eastAsia="宋体" w:hAnsi="宋体" w:cs="微软雅黑" w:hint="eastAsia"/>
          <w:sz w:val="24"/>
          <w:szCs w:val="24"/>
        </w:rPr>
        <w:t>不包含基金托管人依据中国证券登记结算有限责任公司结算数据完成场内交易交收、开户银行或交易</w:t>
      </w:r>
      <w:r>
        <w:rPr>
          <w:rFonts w:ascii="宋体" w:eastAsia="宋体" w:hAnsi="宋体" w:cs="Times New Roman" w:hint="eastAsia"/>
          <w:sz w:val="24"/>
          <w:szCs w:val="24"/>
        </w:rPr>
        <w:t>/</w:t>
      </w:r>
      <w:r>
        <w:rPr>
          <w:rFonts w:ascii="宋体" w:eastAsia="宋体" w:hAnsi="宋体" w:cs="微软雅黑" w:hint="eastAsia"/>
          <w:sz w:val="24"/>
          <w:szCs w:val="24"/>
        </w:rPr>
        <w:t>登记结算机构扣收交易费</w:t>
      </w:r>
      <w:r>
        <w:rPr>
          <w:rFonts w:ascii="宋体" w:eastAsia="宋体" w:hAnsi="宋体" w:cs="Malgun Gothic Semilight" w:hint="eastAsia"/>
          <w:sz w:val="24"/>
          <w:szCs w:val="24"/>
        </w:rPr>
        <w:t>、</w:t>
      </w:r>
      <w:r>
        <w:rPr>
          <w:rFonts w:ascii="宋体" w:eastAsia="宋体" w:hAnsi="宋体" w:cs="微软雅黑" w:hint="eastAsia"/>
          <w:sz w:val="24"/>
          <w:szCs w:val="24"/>
        </w:rPr>
        <w:t>结算费和账户维护费等费用</w:t>
      </w:r>
      <w:r>
        <w:rPr>
          <w:rFonts w:ascii="宋体" w:eastAsia="宋体" w:hAnsi="宋体" w:cs="Malgun Gothic Semilight" w:hint="eastAsia"/>
          <w:sz w:val="24"/>
          <w:szCs w:val="24"/>
        </w:rPr>
        <w:t>）。</w:t>
      </w:r>
    </w:p>
    <w:p w14:paraId="1771D4F8"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6.</w:t>
      </w:r>
      <w:r>
        <w:rPr>
          <w:rFonts w:ascii="宋体" w:eastAsia="宋体" w:hAnsi="宋体" w:cs="微软雅黑" w:hint="eastAsia"/>
          <w:sz w:val="24"/>
          <w:szCs w:val="24"/>
        </w:rPr>
        <w:t>对于因为基金投资产生的应收资产</w:t>
      </w:r>
      <w:r>
        <w:rPr>
          <w:rFonts w:ascii="宋体" w:eastAsia="宋体" w:hAnsi="宋体" w:cs="Malgun Gothic Semilight" w:hint="eastAsia"/>
          <w:sz w:val="24"/>
          <w:szCs w:val="24"/>
        </w:rPr>
        <w:t>，</w:t>
      </w:r>
      <w:r>
        <w:rPr>
          <w:rFonts w:ascii="宋体" w:eastAsia="宋体" w:hAnsi="宋体" w:cs="微软雅黑" w:hint="eastAsia"/>
          <w:sz w:val="24"/>
          <w:szCs w:val="24"/>
        </w:rPr>
        <w:t>应由基金管理人负责与有关当事人确</w:t>
      </w:r>
      <w:r>
        <w:rPr>
          <w:rFonts w:ascii="宋体" w:eastAsia="宋体" w:hAnsi="宋体" w:cs="微软雅黑" w:hint="eastAsia"/>
          <w:sz w:val="24"/>
          <w:szCs w:val="24"/>
        </w:rPr>
        <w:lastRenderedPageBreak/>
        <w:t>定到账日期并通知基金托管人</w:t>
      </w:r>
      <w:r>
        <w:rPr>
          <w:rFonts w:ascii="宋体" w:eastAsia="宋体" w:hAnsi="宋体" w:cs="Malgun Gothic Semilight" w:hint="eastAsia"/>
          <w:sz w:val="24"/>
          <w:szCs w:val="24"/>
        </w:rPr>
        <w:t>，</w:t>
      </w:r>
      <w:r>
        <w:rPr>
          <w:rFonts w:ascii="宋体" w:eastAsia="宋体" w:hAnsi="宋体" w:cs="微软雅黑" w:hint="eastAsia"/>
          <w:sz w:val="24"/>
          <w:szCs w:val="24"/>
        </w:rPr>
        <w:t>到账日基金财产没有到达基金账户的</w:t>
      </w:r>
      <w:r>
        <w:rPr>
          <w:rFonts w:ascii="宋体" w:eastAsia="宋体" w:hAnsi="宋体" w:cs="Malgun Gothic Semilight" w:hint="eastAsia"/>
          <w:sz w:val="24"/>
          <w:szCs w:val="24"/>
        </w:rPr>
        <w:t>，</w:t>
      </w:r>
      <w:r>
        <w:rPr>
          <w:rFonts w:ascii="宋体" w:eastAsia="宋体" w:hAnsi="宋体" w:cs="微软雅黑" w:hint="eastAsia"/>
          <w:sz w:val="24"/>
          <w:szCs w:val="24"/>
        </w:rPr>
        <w:t>基金托管人应及时通知基金管理人采取措施进行催收</w:t>
      </w:r>
      <w:r>
        <w:rPr>
          <w:rFonts w:ascii="宋体" w:eastAsia="宋体" w:hAnsi="宋体" w:cs="Malgun Gothic Semilight" w:hint="eastAsia"/>
          <w:sz w:val="24"/>
          <w:szCs w:val="24"/>
        </w:rPr>
        <w:t>。</w:t>
      </w:r>
      <w:r>
        <w:rPr>
          <w:rFonts w:ascii="宋体" w:eastAsia="宋体" w:hAnsi="宋体" w:cs="微软雅黑" w:hint="eastAsia"/>
          <w:sz w:val="24"/>
          <w:szCs w:val="24"/>
        </w:rPr>
        <w:t>由此给基金财产造成损失的</w:t>
      </w:r>
      <w:r>
        <w:rPr>
          <w:rFonts w:ascii="宋体" w:eastAsia="宋体" w:hAnsi="宋体" w:cs="Malgun Gothic Semilight" w:hint="eastAsia"/>
          <w:sz w:val="24"/>
          <w:szCs w:val="24"/>
        </w:rPr>
        <w:t>，</w:t>
      </w:r>
      <w:r>
        <w:rPr>
          <w:rFonts w:ascii="宋体" w:eastAsia="宋体" w:hAnsi="宋体" w:cs="微软雅黑" w:hint="eastAsia"/>
          <w:sz w:val="24"/>
          <w:szCs w:val="24"/>
        </w:rPr>
        <w:t>基金管理人应负责向有关当事人追偿基金财产的损失</w:t>
      </w:r>
      <w:r>
        <w:rPr>
          <w:rFonts w:ascii="宋体" w:eastAsia="宋体" w:hAnsi="宋体" w:cs="Malgun Gothic Semilight" w:hint="eastAsia"/>
          <w:sz w:val="24"/>
          <w:szCs w:val="24"/>
        </w:rPr>
        <w:t>，</w:t>
      </w:r>
      <w:r>
        <w:rPr>
          <w:rFonts w:ascii="宋体" w:eastAsia="宋体" w:hAnsi="宋体" w:cs="微软雅黑" w:hint="eastAsia"/>
          <w:sz w:val="24"/>
          <w:szCs w:val="24"/>
        </w:rPr>
        <w:t>基金托管人对此不承担任何责任，但应予以必要协助和配合</w:t>
      </w:r>
      <w:r>
        <w:rPr>
          <w:rFonts w:ascii="宋体" w:eastAsia="宋体" w:hAnsi="宋体" w:cs="Malgun Gothic Semilight" w:hint="eastAsia"/>
          <w:sz w:val="24"/>
          <w:szCs w:val="24"/>
        </w:rPr>
        <w:t>。</w:t>
      </w:r>
    </w:p>
    <w:p w14:paraId="0503F7E7"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7.</w:t>
      </w:r>
      <w:r>
        <w:rPr>
          <w:rFonts w:ascii="宋体" w:eastAsia="宋体" w:hAnsi="宋体" w:cs="微软雅黑" w:hint="eastAsia"/>
          <w:sz w:val="24"/>
          <w:szCs w:val="24"/>
        </w:rPr>
        <w:t>除依据法律法规和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的规定外</w:t>
      </w:r>
      <w:r>
        <w:rPr>
          <w:rFonts w:ascii="宋体" w:eastAsia="宋体" w:hAnsi="宋体" w:cs="Malgun Gothic Semilight" w:hint="eastAsia"/>
          <w:sz w:val="24"/>
          <w:szCs w:val="24"/>
        </w:rPr>
        <w:t>，</w:t>
      </w:r>
      <w:r>
        <w:rPr>
          <w:rFonts w:ascii="宋体" w:eastAsia="宋体" w:hAnsi="宋体" w:cs="微软雅黑" w:hint="eastAsia"/>
          <w:sz w:val="24"/>
          <w:szCs w:val="24"/>
        </w:rPr>
        <w:t>基金托管人不得委托第三人托管基金财产</w:t>
      </w:r>
      <w:r>
        <w:rPr>
          <w:rFonts w:ascii="宋体" w:eastAsia="宋体" w:hAnsi="宋体" w:cs="Malgun Gothic Semilight" w:hint="eastAsia"/>
          <w:sz w:val="24"/>
          <w:szCs w:val="24"/>
        </w:rPr>
        <w:t>。</w:t>
      </w:r>
    </w:p>
    <w:p w14:paraId="044A092D"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基金募集期间及募集资金的验资</w:t>
      </w:r>
    </w:p>
    <w:p w14:paraId="274EB5ED"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sz w:val="24"/>
          <w:szCs w:val="24"/>
        </w:rPr>
        <w:t>1.基金募集期间募集的资金应存于基金管理人在具有托管资格的商业银行开立的“基金募集专户”。该账户由基金管理人开立并管理。</w:t>
      </w:r>
    </w:p>
    <w:p w14:paraId="11A60FE1"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sz w:val="24"/>
          <w:szCs w:val="24"/>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中华人民共和国证券法》（以下简称“《证券法》”）规定的会计师事务所进行验资，出具验资报告。出具的验资报告由参加验资的2名或2名以上中国注册会计师签字方为有效。</w:t>
      </w:r>
    </w:p>
    <w:p w14:paraId="2ABBE8DB"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sz w:val="24"/>
          <w:szCs w:val="24"/>
        </w:rPr>
        <w:t>3.若基金募集期限届满，未能达到</w:t>
      </w:r>
      <w:r>
        <w:rPr>
          <w:rFonts w:ascii="宋体" w:eastAsia="宋体" w:hAnsi="宋体" w:cs="Arial" w:hint="eastAsia"/>
          <w:sz w:val="24"/>
          <w:szCs w:val="24"/>
        </w:rPr>
        <w:t>《基金合同》生效</w:t>
      </w:r>
      <w:r>
        <w:rPr>
          <w:rFonts w:ascii="宋体" w:eastAsia="宋体" w:hAnsi="宋体" w:cs="Arial"/>
          <w:sz w:val="24"/>
          <w:szCs w:val="24"/>
        </w:rPr>
        <w:t>的条件，由基金管理人按规定办理退款等事宜，基金托管人应提供必要的协助配合。</w:t>
      </w:r>
    </w:p>
    <w:p w14:paraId="05E0E34B"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基金托管资金账户的开立和管理</w:t>
      </w:r>
    </w:p>
    <w:p w14:paraId="1F7C5D89"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基金托管人可以基金的名义在其营业机构开立基金的托管资金账户</w:t>
      </w:r>
      <w:r>
        <w:rPr>
          <w:rFonts w:ascii="宋体" w:eastAsia="宋体" w:hAnsi="宋体" w:cs="Malgun Gothic Semilight" w:hint="eastAsia"/>
          <w:sz w:val="24"/>
          <w:szCs w:val="24"/>
        </w:rPr>
        <w:t>，</w:t>
      </w:r>
      <w:r>
        <w:rPr>
          <w:rFonts w:ascii="宋体" w:eastAsia="宋体" w:hAnsi="宋体" w:cs="微软雅黑" w:hint="eastAsia"/>
          <w:sz w:val="24"/>
          <w:szCs w:val="24"/>
        </w:rPr>
        <w:t>并根据基金管理人合法合规的指令办理资金收付</w:t>
      </w:r>
      <w:r>
        <w:rPr>
          <w:rFonts w:ascii="宋体" w:eastAsia="宋体" w:hAnsi="宋体" w:cs="Malgun Gothic Semilight" w:hint="eastAsia"/>
          <w:sz w:val="24"/>
          <w:szCs w:val="24"/>
        </w:rPr>
        <w:t>。户名原则上应当包含开户主体和产品名称字样。如法律法规或监管部门另有规定的，从其规定。</w:t>
      </w:r>
      <w:r>
        <w:rPr>
          <w:rFonts w:ascii="宋体" w:eastAsia="宋体" w:hAnsi="宋体" w:cs="微软雅黑" w:hint="eastAsia"/>
          <w:sz w:val="24"/>
          <w:szCs w:val="24"/>
        </w:rPr>
        <w:t>本基金的银行预留印鉴由基金托管人保管和使用</w:t>
      </w:r>
      <w:r>
        <w:rPr>
          <w:rFonts w:ascii="宋体" w:eastAsia="宋体" w:hAnsi="宋体" w:cs="Malgun Gothic Semilight" w:hint="eastAsia"/>
          <w:sz w:val="24"/>
          <w:szCs w:val="24"/>
        </w:rPr>
        <w:t>。</w:t>
      </w:r>
    </w:p>
    <w:p w14:paraId="011D0779"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基金托管资金账户的开立和使用</w:t>
      </w:r>
      <w:r>
        <w:rPr>
          <w:rFonts w:ascii="宋体" w:eastAsia="宋体" w:hAnsi="宋体" w:cs="Malgun Gothic Semilight" w:hint="eastAsia"/>
          <w:sz w:val="24"/>
          <w:szCs w:val="24"/>
        </w:rPr>
        <w:t>，</w:t>
      </w:r>
      <w:r>
        <w:rPr>
          <w:rFonts w:ascii="宋体" w:eastAsia="宋体" w:hAnsi="宋体" w:cs="微软雅黑" w:hint="eastAsia"/>
          <w:sz w:val="24"/>
          <w:szCs w:val="24"/>
        </w:rPr>
        <w:t>限于满足开展本基金业务的需要</w:t>
      </w:r>
      <w:r>
        <w:rPr>
          <w:rFonts w:ascii="宋体" w:eastAsia="宋体" w:hAnsi="宋体" w:cs="Malgun Gothic Semilight" w:hint="eastAsia"/>
          <w:sz w:val="24"/>
          <w:szCs w:val="24"/>
        </w:rPr>
        <w:t>。</w:t>
      </w:r>
      <w:r>
        <w:rPr>
          <w:rFonts w:ascii="宋体" w:eastAsia="宋体" w:hAnsi="宋体" w:cs="微软雅黑" w:hint="eastAsia"/>
          <w:sz w:val="24"/>
          <w:szCs w:val="24"/>
        </w:rPr>
        <w:t>基金托管人和基金管理人不得假借本基金的名义开立任何其他银行账户</w:t>
      </w:r>
      <w:r>
        <w:rPr>
          <w:rFonts w:ascii="宋体" w:eastAsia="宋体" w:hAnsi="宋体" w:cs="Malgun Gothic Semilight" w:hint="eastAsia"/>
          <w:sz w:val="24"/>
          <w:szCs w:val="24"/>
        </w:rPr>
        <w:t>；</w:t>
      </w:r>
      <w:r>
        <w:rPr>
          <w:rFonts w:ascii="宋体" w:eastAsia="宋体" w:hAnsi="宋体" w:cs="微软雅黑" w:hint="eastAsia"/>
          <w:sz w:val="24"/>
          <w:szCs w:val="24"/>
        </w:rPr>
        <w:t>亦不得使用基金的任何账户进行本基金业务以外的活动</w:t>
      </w:r>
      <w:r>
        <w:rPr>
          <w:rFonts w:ascii="宋体" w:eastAsia="宋体" w:hAnsi="宋体" w:cs="Malgun Gothic Semilight" w:hint="eastAsia"/>
          <w:sz w:val="24"/>
          <w:szCs w:val="24"/>
        </w:rPr>
        <w:t>。</w:t>
      </w:r>
    </w:p>
    <w:p w14:paraId="51B450FF"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基金托管资金账户的开立和管理应符合银行业监督管理机构的有关规定</w:t>
      </w:r>
      <w:r>
        <w:rPr>
          <w:rFonts w:ascii="宋体" w:eastAsia="宋体" w:hAnsi="宋体" w:cs="Malgun Gothic Semilight" w:hint="eastAsia"/>
          <w:sz w:val="24"/>
          <w:szCs w:val="24"/>
        </w:rPr>
        <w:t>。</w:t>
      </w:r>
    </w:p>
    <w:p w14:paraId="0D942EA4"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Arial" w:hint="eastAsia"/>
          <w:sz w:val="24"/>
          <w:szCs w:val="24"/>
        </w:rPr>
        <w:t>4.</w:t>
      </w:r>
      <w:r>
        <w:rPr>
          <w:rFonts w:ascii="宋体" w:eastAsia="宋体" w:hAnsi="宋体" w:cs="微软雅黑" w:hint="eastAsia"/>
          <w:sz w:val="24"/>
          <w:szCs w:val="24"/>
        </w:rPr>
        <w:t>在符合法律法规规定的条件下</w:t>
      </w:r>
      <w:r>
        <w:rPr>
          <w:rFonts w:ascii="宋体" w:eastAsia="宋体" w:hAnsi="宋体" w:cs="Malgun Gothic Semilight" w:hint="eastAsia"/>
          <w:sz w:val="24"/>
          <w:szCs w:val="24"/>
        </w:rPr>
        <w:t>，</w:t>
      </w:r>
      <w:r>
        <w:rPr>
          <w:rFonts w:ascii="宋体" w:eastAsia="宋体" w:hAnsi="宋体" w:cs="微软雅黑" w:hint="eastAsia"/>
          <w:sz w:val="24"/>
          <w:szCs w:val="24"/>
        </w:rPr>
        <w:t>基金托管人可以通过基金托管人专用账户办理基金资产的支付。</w:t>
      </w:r>
    </w:p>
    <w:p w14:paraId="08CE0D04"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Arial"/>
          <w:sz w:val="24"/>
          <w:szCs w:val="24"/>
        </w:rPr>
        <w:t>5</w:t>
      </w:r>
      <w:r>
        <w:rPr>
          <w:rFonts w:ascii="宋体" w:eastAsia="宋体" w:hAnsi="宋体" w:cs="Arial" w:hint="eastAsia"/>
          <w:sz w:val="24"/>
          <w:szCs w:val="24"/>
        </w:rPr>
        <w:t>.</w:t>
      </w:r>
      <w:r>
        <w:rPr>
          <w:rFonts w:ascii="宋体" w:eastAsia="宋体" w:hAnsi="宋体" w:cs="微软雅黑" w:hint="eastAsia"/>
          <w:sz w:val="24"/>
          <w:szCs w:val="24"/>
        </w:rPr>
        <w:t>基金管理人应于基金清算后及时完成收益兑付</w:t>
      </w:r>
      <w:r>
        <w:rPr>
          <w:rFonts w:ascii="宋体" w:eastAsia="宋体" w:hAnsi="宋体" w:cs="Malgun Gothic Semilight" w:hint="eastAsia"/>
          <w:sz w:val="24"/>
          <w:szCs w:val="24"/>
        </w:rPr>
        <w:t>、</w:t>
      </w:r>
      <w:r>
        <w:rPr>
          <w:rFonts w:ascii="宋体" w:eastAsia="宋体" w:hAnsi="宋体" w:cs="微软雅黑" w:hint="eastAsia"/>
          <w:sz w:val="24"/>
          <w:szCs w:val="24"/>
        </w:rPr>
        <w:t>费用结清及其他应收应付款项资金划转，在确保后续不再发生款项进出后的10个工作日内向托管人发出销</w:t>
      </w:r>
      <w:r>
        <w:rPr>
          <w:rFonts w:ascii="宋体" w:eastAsia="宋体" w:hAnsi="宋体" w:cs="微软雅黑" w:hint="eastAsia"/>
          <w:sz w:val="24"/>
          <w:szCs w:val="24"/>
        </w:rPr>
        <w:lastRenderedPageBreak/>
        <w:t>户申请。</w:t>
      </w:r>
    </w:p>
    <w:p w14:paraId="63D61836"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四</w:t>
      </w:r>
      <w:r>
        <w:rPr>
          <w:rFonts w:ascii="宋体" w:eastAsia="宋体" w:hAnsi="宋体" w:cs="Malgun Gothic Semilight" w:hint="eastAsia"/>
          <w:sz w:val="24"/>
          <w:szCs w:val="24"/>
        </w:rPr>
        <w:t>）</w:t>
      </w:r>
      <w:r>
        <w:rPr>
          <w:rFonts w:ascii="宋体" w:eastAsia="宋体" w:hAnsi="宋体" w:cs="微软雅黑" w:hint="eastAsia"/>
          <w:sz w:val="24"/>
          <w:szCs w:val="24"/>
        </w:rPr>
        <w:t>基金证券账户和结算备付金账户的开立和管理</w:t>
      </w:r>
    </w:p>
    <w:p w14:paraId="276BAD9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基金托管人在中国证券登记结算有限责任公司为基金开立基金托管人与基金联名的证券账户</w:t>
      </w:r>
      <w:r>
        <w:rPr>
          <w:rFonts w:ascii="宋体" w:eastAsia="宋体" w:hAnsi="宋体" w:cs="Malgun Gothic Semilight" w:hint="eastAsia"/>
          <w:sz w:val="24"/>
          <w:szCs w:val="24"/>
        </w:rPr>
        <w:t>。</w:t>
      </w:r>
    </w:p>
    <w:p w14:paraId="68EED81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基金证券账户的开立和使用</w:t>
      </w:r>
      <w:r>
        <w:rPr>
          <w:rFonts w:ascii="宋体" w:eastAsia="宋体" w:hAnsi="宋体" w:cs="Malgun Gothic Semilight" w:hint="eastAsia"/>
          <w:sz w:val="24"/>
          <w:szCs w:val="24"/>
        </w:rPr>
        <w:t>，</w:t>
      </w:r>
      <w:r>
        <w:rPr>
          <w:rFonts w:ascii="宋体" w:eastAsia="宋体" w:hAnsi="宋体" w:cs="微软雅黑" w:hint="eastAsia"/>
          <w:sz w:val="24"/>
          <w:szCs w:val="24"/>
        </w:rPr>
        <w:t>仅限于满足开展本基金业务的需要</w:t>
      </w:r>
      <w:r>
        <w:rPr>
          <w:rFonts w:ascii="宋体" w:eastAsia="宋体" w:hAnsi="宋体" w:cs="Malgun Gothic Semilight" w:hint="eastAsia"/>
          <w:sz w:val="24"/>
          <w:szCs w:val="24"/>
        </w:rPr>
        <w:t>。</w:t>
      </w:r>
      <w:r>
        <w:rPr>
          <w:rFonts w:ascii="宋体" w:eastAsia="宋体" w:hAnsi="宋体" w:cs="微软雅黑" w:hint="eastAsia"/>
          <w:sz w:val="24"/>
          <w:szCs w:val="24"/>
        </w:rPr>
        <w:t>基金托管人和基金管理人不得出借或未经对方书面同意擅自转让基金的任何证券账户</w:t>
      </w:r>
      <w:r>
        <w:rPr>
          <w:rFonts w:ascii="宋体" w:eastAsia="宋体" w:hAnsi="宋体" w:cs="Malgun Gothic Semilight" w:hint="eastAsia"/>
          <w:sz w:val="24"/>
          <w:szCs w:val="24"/>
        </w:rPr>
        <w:t>，</w:t>
      </w:r>
      <w:r>
        <w:rPr>
          <w:rFonts w:ascii="宋体" w:eastAsia="宋体" w:hAnsi="宋体" w:cs="微软雅黑" w:hint="eastAsia"/>
          <w:sz w:val="24"/>
          <w:szCs w:val="24"/>
        </w:rPr>
        <w:t>亦不得使用基金的任何账户进行本基金业务以外的活动</w:t>
      </w:r>
      <w:r>
        <w:rPr>
          <w:rFonts w:ascii="宋体" w:eastAsia="宋体" w:hAnsi="宋体" w:cs="Malgun Gothic Semilight" w:hint="eastAsia"/>
          <w:sz w:val="24"/>
          <w:szCs w:val="24"/>
        </w:rPr>
        <w:t>。</w:t>
      </w:r>
    </w:p>
    <w:p w14:paraId="2DE3BAB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基金证券账户的开立和证券账户卡的保管由基金托管人负责</w:t>
      </w:r>
      <w:r>
        <w:rPr>
          <w:rFonts w:ascii="宋体" w:eastAsia="宋体" w:hAnsi="宋体" w:cs="Malgun Gothic Semilight" w:hint="eastAsia"/>
          <w:sz w:val="24"/>
          <w:szCs w:val="24"/>
        </w:rPr>
        <w:t>，</w:t>
      </w:r>
      <w:r>
        <w:rPr>
          <w:rFonts w:ascii="宋体" w:eastAsia="宋体" w:hAnsi="宋体" w:cs="微软雅黑" w:hint="eastAsia"/>
          <w:sz w:val="24"/>
          <w:szCs w:val="24"/>
        </w:rPr>
        <w:t>账户资产的管理和运用由基金管理人负责</w:t>
      </w:r>
      <w:r>
        <w:rPr>
          <w:rFonts w:ascii="宋体" w:eastAsia="宋体" w:hAnsi="宋体" w:cs="Malgun Gothic Semilight" w:hint="eastAsia"/>
          <w:sz w:val="24"/>
          <w:szCs w:val="24"/>
        </w:rPr>
        <w:t>。</w:t>
      </w:r>
    </w:p>
    <w:p w14:paraId="147F2E0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证券账户开户费由基金管理人先行垫付</w:t>
      </w:r>
      <w:r>
        <w:rPr>
          <w:rFonts w:ascii="宋体" w:eastAsia="宋体" w:hAnsi="宋体" w:cs="Arial" w:hint="eastAsia"/>
          <w:sz w:val="24"/>
          <w:szCs w:val="24"/>
        </w:rPr>
        <w:t>，</w:t>
      </w:r>
      <w:r>
        <w:rPr>
          <w:rFonts w:ascii="宋体" w:eastAsia="宋体" w:hAnsi="宋体" w:cs="微软雅黑" w:hint="eastAsia"/>
          <w:sz w:val="24"/>
          <w:szCs w:val="24"/>
        </w:rPr>
        <w:t>待基金启始运营后</w:t>
      </w:r>
      <w:r>
        <w:rPr>
          <w:rFonts w:ascii="宋体" w:eastAsia="宋体" w:hAnsi="宋体" w:cs="Arial" w:hint="eastAsia"/>
          <w:sz w:val="24"/>
          <w:szCs w:val="24"/>
        </w:rPr>
        <w:t>，</w:t>
      </w:r>
      <w:r>
        <w:rPr>
          <w:rFonts w:ascii="宋体" w:eastAsia="宋体" w:hAnsi="宋体" w:cs="微软雅黑" w:hint="eastAsia"/>
          <w:sz w:val="24"/>
          <w:szCs w:val="24"/>
        </w:rPr>
        <w:t>基金管理人可向基金托管人发送划款指令</w:t>
      </w:r>
      <w:r>
        <w:rPr>
          <w:rFonts w:ascii="宋体" w:eastAsia="宋体" w:hAnsi="宋体" w:cs="Arial" w:hint="eastAsia"/>
          <w:sz w:val="24"/>
          <w:szCs w:val="24"/>
        </w:rPr>
        <w:t>，</w:t>
      </w:r>
      <w:r>
        <w:rPr>
          <w:rFonts w:ascii="宋体" w:eastAsia="宋体" w:hAnsi="宋体" w:cs="微软雅黑" w:hint="eastAsia"/>
          <w:sz w:val="24"/>
          <w:szCs w:val="24"/>
        </w:rPr>
        <w:t>将代垫开户费从本基金托管资金账户中扣还基金管理人</w:t>
      </w:r>
      <w:r>
        <w:rPr>
          <w:rFonts w:ascii="宋体" w:eastAsia="宋体" w:hAnsi="宋体" w:cs="Malgun Gothic Semilight" w:hint="eastAsia"/>
          <w:sz w:val="24"/>
          <w:szCs w:val="24"/>
        </w:rPr>
        <w:t>。</w:t>
      </w:r>
    </w:p>
    <w:p w14:paraId="6E15FF8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收资金等的收取按照中国证券登记结算有限责任公司的规定以及基金管理人与基金托管人签署的《托管银行证券资金结算协议》的约定执行</w:t>
      </w:r>
      <w:r>
        <w:rPr>
          <w:rFonts w:ascii="宋体" w:eastAsia="宋体" w:hAnsi="宋体" w:cs="Malgun Gothic Semilight" w:hint="eastAsia"/>
          <w:sz w:val="24"/>
          <w:szCs w:val="24"/>
        </w:rPr>
        <w:t>。</w:t>
      </w:r>
    </w:p>
    <w:p w14:paraId="3643ED3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5.</w:t>
      </w:r>
      <w:r>
        <w:rPr>
          <w:rFonts w:ascii="宋体" w:eastAsia="宋体" w:hAnsi="宋体" w:cs="微软雅黑" w:hint="eastAsia"/>
          <w:sz w:val="24"/>
          <w:szCs w:val="24"/>
        </w:rPr>
        <w:t>账户注销时</w:t>
      </w:r>
      <w:r>
        <w:rPr>
          <w:rFonts w:ascii="宋体" w:eastAsia="宋体" w:hAnsi="宋体" w:cs="Malgun Gothic Semilight" w:hint="eastAsia"/>
          <w:sz w:val="24"/>
          <w:szCs w:val="24"/>
        </w:rPr>
        <w:t>，</w:t>
      </w:r>
      <w:r>
        <w:rPr>
          <w:rFonts w:ascii="宋体" w:eastAsia="宋体" w:hAnsi="宋体" w:cs="微软雅黑" w:hint="eastAsia"/>
          <w:sz w:val="24"/>
          <w:szCs w:val="24"/>
        </w:rPr>
        <w:t>在遵守中国证券登记结算有限责任公司的相关规定下</w:t>
      </w:r>
      <w:r>
        <w:rPr>
          <w:rFonts w:ascii="宋体" w:eastAsia="宋体" w:hAnsi="宋体" w:cs="Malgun Gothic Semilight" w:hint="eastAsia"/>
          <w:sz w:val="24"/>
          <w:szCs w:val="24"/>
        </w:rPr>
        <w:t>，</w:t>
      </w:r>
      <w:r>
        <w:rPr>
          <w:rFonts w:ascii="宋体" w:eastAsia="宋体" w:hAnsi="宋体" w:cs="微软雅黑" w:hint="eastAsia"/>
          <w:sz w:val="24"/>
          <w:szCs w:val="24"/>
        </w:rPr>
        <w:t>由基金管理人和基金托管人协商确认主要办理人</w:t>
      </w:r>
      <w:r>
        <w:rPr>
          <w:rFonts w:ascii="宋体" w:eastAsia="宋体" w:hAnsi="宋体" w:cs="Malgun Gothic Semilight" w:hint="eastAsia"/>
          <w:sz w:val="24"/>
          <w:szCs w:val="24"/>
        </w:rPr>
        <w:t>。</w:t>
      </w:r>
      <w:r>
        <w:rPr>
          <w:rFonts w:ascii="宋体" w:eastAsia="宋体" w:hAnsi="宋体" w:cs="微软雅黑" w:hint="eastAsia"/>
          <w:sz w:val="24"/>
          <w:szCs w:val="24"/>
        </w:rPr>
        <w:t>账户注销期间</w:t>
      </w:r>
      <w:r>
        <w:rPr>
          <w:rFonts w:ascii="宋体" w:eastAsia="宋体" w:hAnsi="宋体" w:cs="Malgun Gothic Semilight" w:hint="eastAsia"/>
          <w:sz w:val="24"/>
          <w:szCs w:val="24"/>
        </w:rPr>
        <w:t>，</w:t>
      </w:r>
      <w:r>
        <w:rPr>
          <w:rFonts w:ascii="宋体" w:eastAsia="宋体" w:hAnsi="宋体" w:cs="微软雅黑" w:hint="eastAsia"/>
          <w:sz w:val="24"/>
          <w:szCs w:val="24"/>
        </w:rPr>
        <w:t>主要办理人如需另一方提供配合的</w:t>
      </w:r>
      <w:r>
        <w:rPr>
          <w:rFonts w:ascii="宋体" w:eastAsia="宋体" w:hAnsi="宋体" w:cs="Malgun Gothic Semilight" w:hint="eastAsia"/>
          <w:sz w:val="24"/>
          <w:szCs w:val="24"/>
        </w:rPr>
        <w:t>，</w:t>
      </w:r>
      <w:r>
        <w:rPr>
          <w:rFonts w:ascii="宋体" w:eastAsia="宋体" w:hAnsi="宋体" w:cs="微软雅黑" w:hint="eastAsia"/>
          <w:sz w:val="24"/>
          <w:szCs w:val="24"/>
        </w:rPr>
        <w:t>另一方应予以配合</w:t>
      </w:r>
      <w:r>
        <w:rPr>
          <w:rFonts w:ascii="宋体" w:eastAsia="宋体" w:hAnsi="宋体" w:cs="Malgun Gothic Semilight" w:hint="eastAsia"/>
          <w:sz w:val="24"/>
          <w:szCs w:val="24"/>
        </w:rPr>
        <w:t>。</w:t>
      </w:r>
    </w:p>
    <w:p w14:paraId="66F135A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6.</w:t>
      </w:r>
      <w:r>
        <w:rPr>
          <w:rFonts w:ascii="宋体" w:eastAsia="宋体" w:hAnsi="宋体" w:cs="微软雅黑" w:hint="eastAsia"/>
          <w:sz w:val="24"/>
          <w:szCs w:val="24"/>
        </w:rPr>
        <w:t>若中国证监会或其他监管机构在本托管协议订立日之后允许基金从事其他投资品种的投资业务</w:t>
      </w:r>
      <w:r>
        <w:rPr>
          <w:rFonts w:ascii="宋体" w:eastAsia="宋体" w:hAnsi="宋体" w:cs="Malgun Gothic Semilight" w:hint="eastAsia"/>
          <w:sz w:val="24"/>
          <w:szCs w:val="24"/>
        </w:rPr>
        <w:t>，</w:t>
      </w:r>
      <w:r>
        <w:rPr>
          <w:rFonts w:ascii="宋体" w:eastAsia="宋体" w:hAnsi="宋体" w:cs="微软雅黑" w:hint="eastAsia"/>
          <w:sz w:val="24"/>
          <w:szCs w:val="24"/>
        </w:rPr>
        <w:t>涉及相关账户的开立</w:t>
      </w:r>
      <w:r>
        <w:rPr>
          <w:rFonts w:ascii="宋体" w:eastAsia="宋体" w:hAnsi="宋体" w:cs="Malgun Gothic Semilight" w:hint="eastAsia"/>
          <w:sz w:val="24"/>
          <w:szCs w:val="24"/>
        </w:rPr>
        <w:t>、</w:t>
      </w:r>
      <w:r>
        <w:rPr>
          <w:rFonts w:ascii="宋体" w:eastAsia="宋体" w:hAnsi="宋体" w:cs="微软雅黑" w:hint="eastAsia"/>
          <w:sz w:val="24"/>
          <w:szCs w:val="24"/>
        </w:rPr>
        <w:t>使用的</w:t>
      </w:r>
      <w:r>
        <w:rPr>
          <w:rFonts w:ascii="宋体" w:eastAsia="宋体" w:hAnsi="宋体" w:cs="Malgun Gothic Semilight" w:hint="eastAsia"/>
          <w:sz w:val="24"/>
          <w:szCs w:val="24"/>
        </w:rPr>
        <w:t>，</w:t>
      </w:r>
      <w:r>
        <w:rPr>
          <w:rFonts w:ascii="宋体" w:eastAsia="宋体" w:hAnsi="宋体" w:cs="微软雅黑" w:hint="eastAsia"/>
          <w:sz w:val="24"/>
          <w:szCs w:val="24"/>
        </w:rPr>
        <w:t>若无相关规定</w:t>
      </w:r>
      <w:r>
        <w:rPr>
          <w:rFonts w:ascii="宋体" w:eastAsia="宋体" w:hAnsi="宋体" w:cs="Malgun Gothic Semilight" w:hint="eastAsia"/>
          <w:sz w:val="24"/>
          <w:szCs w:val="24"/>
        </w:rPr>
        <w:t>，</w:t>
      </w:r>
      <w:r>
        <w:rPr>
          <w:rFonts w:ascii="宋体" w:eastAsia="宋体" w:hAnsi="宋体" w:cs="微软雅黑" w:hint="eastAsia"/>
          <w:sz w:val="24"/>
          <w:szCs w:val="24"/>
        </w:rPr>
        <w:t>则基金托管人比照上述关于账户开立</w:t>
      </w:r>
      <w:r>
        <w:rPr>
          <w:rFonts w:ascii="宋体" w:eastAsia="宋体" w:hAnsi="宋体" w:cs="Malgun Gothic Semilight" w:hint="eastAsia"/>
          <w:sz w:val="24"/>
          <w:szCs w:val="24"/>
        </w:rPr>
        <w:t>、</w:t>
      </w:r>
      <w:r>
        <w:rPr>
          <w:rFonts w:ascii="宋体" w:eastAsia="宋体" w:hAnsi="宋体" w:cs="微软雅黑" w:hint="eastAsia"/>
          <w:sz w:val="24"/>
          <w:szCs w:val="24"/>
        </w:rPr>
        <w:t>使用的规定执行</w:t>
      </w:r>
      <w:r>
        <w:rPr>
          <w:rFonts w:ascii="宋体" w:eastAsia="宋体" w:hAnsi="宋体" w:cs="Malgun Gothic Semilight" w:hint="eastAsia"/>
          <w:sz w:val="24"/>
          <w:szCs w:val="24"/>
        </w:rPr>
        <w:t>。</w:t>
      </w:r>
    </w:p>
    <w:p w14:paraId="4EA3D7C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五</w:t>
      </w:r>
      <w:r>
        <w:rPr>
          <w:rFonts w:ascii="宋体" w:eastAsia="宋体" w:hAnsi="宋体" w:cs="Malgun Gothic Semilight" w:hint="eastAsia"/>
          <w:sz w:val="24"/>
          <w:szCs w:val="24"/>
        </w:rPr>
        <w:t>）</w:t>
      </w:r>
      <w:r>
        <w:rPr>
          <w:rFonts w:ascii="宋体" w:eastAsia="宋体" w:hAnsi="宋体" w:cs="微软雅黑" w:hint="eastAsia"/>
          <w:sz w:val="24"/>
          <w:szCs w:val="24"/>
        </w:rPr>
        <w:t>银行间账户的开设和管理</w:t>
      </w:r>
    </w:p>
    <w:p w14:paraId="7E99C92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生效后</w:t>
      </w:r>
      <w:r>
        <w:rPr>
          <w:rFonts w:ascii="宋体" w:eastAsia="宋体" w:hAnsi="宋体" w:cs="Malgun Gothic Semilight" w:hint="eastAsia"/>
          <w:sz w:val="24"/>
          <w:szCs w:val="24"/>
        </w:rPr>
        <w:t>，</w:t>
      </w:r>
      <w:r>
        <w:rPr>
          <w:rFonts w:ascii="宋体" w:eastAsia="宋体" w:hAnsi="宋体" w:cs="微软雅黑" w:hint="eastAsia"/>
          <w:sz w:val="24"/>
          <w:szCs w:val="24"/>
        </w:rPr>
        <w:t>基金管理人负责以基金的名义申请并取得进入全国银行间同业拆借市场的交易资格</w:t>
      </w:r>
      <w:r>
        <w:rPr>
          <w:rFonts w:ascii="宋体" w:eastAsia="宋体" w:hAnsi="宋体" w:cs="Malgun Gothic Semilight" w:hint="eastAsia"/>
          <w:sz w:val="24"/>
          <w:szCs w:val="24"/>
        </w:rPr>
        <w:t>，</w:t>
      </w:r>
      <w:r>
        <w:rPr>
          <w:rFonts w:ascii="宋体" w:eastAsia="宋体" w:hAnsi="宋体" w:cs="微软雅黑" w:hint="eastAsia"/>
          <w:sz w:val="24"/>
          <w:szCs w:val="24"/>
        </w:rPr>
        <w:t>并代表基金进行交易</w:t>
      </w:r>
      <w:r>
        <w:rPr>
          <w:rFonts w:ascii="宋体" w:eastAsia="宋体" w:hAnsi="宋体" w:cs="Malgun Gothic Semilight" w:hint="eastAsia"/>
          <w:sz w:val="24"/>
          <w:szCs w:val="24"/>
        </w:rPr>
        <w:t>；</w:t>
      </w:r>
      <w:r>
        <w:rPr>
          <w:rFonts w:ascii="宋体" w:eastAsia="宋体" w:hAnsi="宋体" w:cs="微软雅黑" w:hint="eastAsia"/>
          <w:sz w:val="24"/>
          <w:szCs w:val="24"/>
        </w:rPr>
        <w:t>基金托管人根据中国人民银行</w:t>
      </w:r>
      <w:r>
        <w:rPr>
          <w:rFonts w:ascii="宋体" w:eastAsia="宋体" w:hAnsi="宋体" w:cs="Malgun Gothic Semilight" w:hint="eastAsia"/>
          <w:sz w:val="24"/>
          <w:szCs w:val="24"/>
        </w:rPr>
        <w:t>、</w:t>
      </w:r>
      <w:r>
        <w:rPr>
          <w:rFonts w:ascii="宋体" w:eastAsia="宋体" w:hAnsi="宋体" w:cs="微软雅黑" w:hint="eastAsia"/>
          <w:sz w:val="24"/>
          <w:szCs w:val="24"/>
        </w:rPr>
        <w:t>银行间市场登记结算机构的有关规定</w:t>
      </w:r>
      <w:r>
        <w:rPr>
          <w:rFonts w:ascii="宋体" w:eastAsia="宋体" w:hAnsi="宋体" w:cs="Malgun Gothic Semilight" w:hint="eastAsia"/>
          <w:sz w:val="24"/>
          <w:szCs w:val="24"/>
        </w:rPr>
        <w:t>，</w:t>
      </w:r>
      <w:r>
        <w:rPr>
          <w:rFonts w:ascii="宋体" w:eastAsia="宋体" w:hAnsi="宋体" w:cs="微软雅黑" w:hint="eastAsia"/>
          <w:sz w:val="24"/>
          <w:szCs w:val="24"/>
        </w:rPr>
        <w:t>在银行间市场登记结算机构开立债券托管账户和资金结算专户</w:t>
      </w:r>
      <w:r>
        <w:rPr>
          <w:rFonts w:ascii="宋体" w:eastAsia="宋体" w:hAnsi="宋体" w:cs="Malgun Gothic Semilight" w:hint="eastAsia"/>
          <w:sz w:val="24"/>
          <w:szCs w:val="24"/>
        </w:rPr>
        <w:t>，</w:t>
      </w:r>
      <w:r>
        <w:rPr>
          <w:rFonts w:ascii="宋体" w:eastAsia="宋体" w:hAnsi="宋体" w:cs="微软雅黑" w:hint="eastAsia"/>
          <w:sz w:val="24"/>
          <w:szCs w:val="24"/>
        </w:rPr>
        <w:t>并代表基金进行银行间市场债券的结算</w:t>
      </w:r>
      <w:r>
        <w:rPr>
          <w:rFonts w:ascii="宋体" w:eastAsia="宋体" w:hAnsi="宋体" w:cs="Malgun Gothic Semilight" w:hint="eastAsia"/>
          <w:sz w:val="24"/>
          <w:szCs w:val="24"/>
        </w:rPr>
        <w:t>。</w:t>
      </w:r>
    </w:p>
    <w:p w14:paraId="6CC6D18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六</w:t>
      </w:r>
      <w:r>
        <w:rPr>
          <w:rFonts w:ascii="宋体" w:eastAsia="宋体" w:hAnsi="宋体" w:cs="Arial" w:hint="eastAsia"/>
          <w:sz w:val="24"/>
          <w:szCs w:val="24"/>
        </w:rPr>
        <w:t>）</w:t>
      </w:r>
      <w:r>
        <w:rPr>
          <w:rFonts w:ascii="宋体" w:eastAsia="宋体" w:hAnsi="宋体" w:cs="微软雅黑" w:hint="eastAsia"/>
          <w:sz w:val="24"/>
          <w:szCs w:val="24"/>
        </w:rPr>
        <w:t>其他账户的开立和管理</w:t>
      </w:r>
    </w:p>
    <w:p w14:paraId="22612BB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在本托管协议订立日之后</w:t>
      </w:r>
      <w:r>
        <w:rPr>
          <w:rFonts w:ascii="宋体" w:eastAsia="宋体" w:hAnsi="宋体" w:cs="Malgun Gothic Semilight" w:hint="eastAsia"/>
          <w:sz w:val="24"/>
          <w:szCs w:val="24"/>
        </w:rPr>
        <w:t>，</w:t>
      </w:r>
      <w:r>
        <w:rPr>
          <w:rFonts w:ascii="宋体" w:eastAsia="宋体" w:hAnsi="宋体" w:cs="微软雅黑" w:hint="eastAsia"/>
          <w:sz w:val="24"/>
          <w:szCs w:val="24"/>
        </w:rPr>
        <w:t>本基金被允许从事符合法律法规规定和</w:t>
      </w:r>
      <w:r>
        <w:rPr>
          <w:rFonts w:ascii="宋体" w:eastAsia="宋体" w:hAnsi="宋体" w:cs="Malgun Gothic Semilight" w:hint="eastAsia"/>
          <w:sz w:val="24"/>
          <w:szCs w:val="24"/>
        </w:rPr>
        <w:t>《</w:t>
      </w:r>
      <w:r>
        <w:rPr>
          <w:rFonts w:ascii="宋体" w:eastAsia="宋体" w:hAnsi="宋体" w:cs="微软雅黑" w:hint="eastAsia"/>
          <w:sz w:val="24"/>
          <w:szCs w:val="24"/>
        </w:rPr>
        <w:t>基金</w:t>
      </w:r>
      <w:r>
        <w:rPr>
          <w:rFonts w:ascii="宋体" w:eastAsia="宋体" w:hAnsi="宋体" w:cs="微软雅黑" w:hint="eastAsia"/>
          <w:sz w:val="24"/>
          <w:szCs w:val="24"/>
        </w:rPr>
        <w:lastRenderedPageBreak/>
        <w:t>合同</w:t>
      </w:r>
      <w:r>
        <w:rPr>
          <w:rFonts w:ascii="宋体" w:eastAsia="宋体" w:hAnsi="宋体" w:cs="Malgun Gothic Semilight" w:hint="eastAsia"/>
          <w:sz w:val="24"/>
          <w:szCs w:val="24"/>
        </w:rPr>
        <w:t>》</w:t>
      </w:r>
      <w:r>
        <w:rPr>
          <w:rFonts w:ascii="宋体" w:eastAsia="宋体" w:hAnsi="宋体" w:cs="微软雅黑" w:hint="eastAsia"/>
          <w:sz w:val="24"/>
          <w:szCs w:val="24"/>
        </w:rPr>
        <w:t>约定的其他投资品种的投资业务时</w:t>
      </w:r>
      <w:r>
        <w:rPr>
          <w:rFonts w:ascii="宋体" w:eastAsia="宋体" w:hAnsi="宋体" w:cs="Malgun Gothic Semilight" w:hint="eastAsia"/>
          <w:sz w:val="24"/>
          <w:szCs w:val="24"/>
        </w:rPr>
        <w:t>，</w:t>
      </w:r>
      <w:r>
        <w:rPr>
          <w:rFonts w:ascii="宋体" w:eastAsia="宋体" w:hAnsi="宋体" w:cs="微软雅黑" w:hint="eastAsia"/>
          <w:sz w:val="24"/>
          <w:szCs w:val="24"/>
        </w:rPr>
        <w:t>如果涉及相关账户的开设和使用</w:t>
      </w:r>
      <w:r>
        <w:rPr>
          <w:rFonts w:ascii="宋体" w:eastAsia="宋体" w:hAnsi="宋体" w:cs="Malgun Gothic Semilight" w:hint="eastAsia"/>
          <w:sz w:val="24"/>
          <w:szCs w:val="24"/>
        </w:rPr>
        <w:t>，</w:t>
      </w:r>
      <w:r>
        <w:rPr>
          <w:rFonts w:ascii="宋体" w:eastAsia="宋体" w:hAnsi="宋体" w:cs="微软雅黑" w:hint="eastAsia"/>
          <w:sz w:val="24"/>
          <w:szCs w:val="24"/>
        </w:rPr>
        <w:t>由基金管理人协助托管人根据有关法律法规的规定和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r>
        <w:rPr>
          <w:rFonts w:ascii="宋体" w:eastAsia="宋体" w:hAnsi="宋体" w:cs="微软雅黑" w:hint="eastAsia"/>
          <w:sz w:val="24"/>
          <w:szCs w:val="24"/>
        </w:rPr>
        <w:t>开立有关账户</w:t>
      </w:r>
      <w:r>
        <w:rPr>
          <w:rFonts w:ascii="宋体" w:eastAsia="宋体" w:hAnsi="宋体" w:cs="Malgun Gothic Semilight" w:hint="eastAsia"/>
          <w:sz w:val="24"/>
          <w:szCs w:val="24"/>
        </w:rPr>
        <w:t>。</w:t>
      </w:r>
      <w:r>
        <w:rPr>
          <w:rFonts w:ascii="宋体" w:eastAsia="宋体" w:hAnsi="宋体" w:cs="微软雅黑" w:hint="eastAsia"/>
          <w:sz w:val="24"/>
          <w:szCs w:val="24"/>
        </w:rPr>
        <w:t>该账户按有关规则使用并管理</w:t>
      </w:r>
      <w:r>
        <w:rPr>
          <w:rFonts w:ascii="宋体" w:eastAsia="宋体" w:hAnsi="宋体" w:cs="Malgun Gothic Semilight" w:hint="eastAsia"/>
          <w:sz w:val="24"/>
          <w:szCs w:val="24"/>
        </w:rPr>
        <w:t>。</w:t>
      </w:r>
    </w:p>
    <w:p w14:paraId="04D604B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法律法规等有关规定对相关账户的开立和管理另有规定的</w:t>
      </w:r>
      <w:r>
        <w:rPr>
          <w:rFonts w:ascii="宋体" w:eastAsia="宋体" w:hAnsi="宋体" w:cs="Malgun Gothic Semilight" w:hint="eastAsia"/>
          <w:sz w:val="24"/>
          <w:szCs w:val="24"/>
        </w:rPr>
        <w:t>，</w:t>
      </w:r>
      <w:r>
        <w:rPr>
          <w:rFonts w:ascii="宋体" w:eastAsia="宋体" w:hAnsi="宋体" w:cs="微软雅黑" w:hint="eastAsia"/>
          <w:sz w:val="24"/>
          <w:szCs w:val="24"/>
        </w:rPr>
        <w:t>从其规定办理</w:t>
      </w:r>
      <w:r>
        <w:rPr>
          <w:rFonts w:ascii="宋体" w:eastAsia="宋体" w:hAnsi="宋体" w:cs="Malgun Gothic Semilight" w:hint="eastAsia"/>
          <w:sz w:val="24"/>
          <w:szCs w:val="24"/>
        </w:rPr>
        <w:t>。</w:t>
      </w:r>
    </w:p>
    <w:p w14:paraId="217E902F"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七</w:t>
      </w:r>
      <w:r>
        <w:rPr>
          <w:rFonts w:ascii="宋体" w:eastAsia="宋体" w:hAnsi="宋体" w:cs="Arial" w:hint="eastAsia"/>
          <w:sz w:val="24"/>
          <w:szCs w:val="24"/>
        </w:rPr>
        <w:t>）</w:t>
      </w:r>
      <w:r>
        <w:rPr>
          <w:rFonts w:ascii="宋体" w:eastAsia="宋体" w:hAnsi="宋体" w:cs="微软雅黑" w:hint="eastAsia"/>
          <w:sz w:val="24"/>
          <w:szCs w:val="24"/>
        </w:rPr>
        <w:t>基金财产投资的有关有价凭证等的保管</w:t>
      </w:r>
    </w:p>
    <w:p w14:paraId="0F6E100D" w14:textId="77777777" w:rsidR="00C521E2" w:rsidRDefault="005D6E6D">
      <w:pPr>
        <w:adjustRightInd w:val="0"/>
        <w:snapToGrid w:val="0"/>
        <w:spacing w:line="360" w:lineRule="auto"/>
        <w:ind w:firstLineChars="200" w:firstLine="480"/>
        <w:rPr>
          <w:rFonts w:ascii="宋体" w:eastAsia="宋体" w:hAnsi="宋体" w:cs="Arial"/>
          <w:szCs w:val="24"/>
        </w:rPr>
      </w:pPr>
      <w:r>
        <w:rPr>
          <w:rFonts w:ascii="宋体" w:eastAsia="宋体" w:hAnsi="宋体" w:cs="微软雅黑" w:hint="eastAsia"/>
          <w:sz w:val="24"/>
          <w:szCs w:val="24"/>
        </w:rPr>
        <w:t>基金财产投资的有关实物证券</w:t>
      </w:r>
      <w:r>
        <w:rPr>
          <w:rFonts w:ascii="宋体" w:eastAsia="宋体" w:hAnsi="宋体" w:cs="Malgun Gothic Semilight" w:hint="eastAsia"/>
          <w:sz w:val="24"/>
          <w:szCs w:val="24"/>
        </w:rPr>
        <w:t>、</w:t>
      </w:r>
      <w:r>
        <w:rPr>
          <w:rFonts w:ascii="宋体" w:eastAsia="宋体" w:hAnsi="宋体" w:cs="微软雅黑" w:hint="eastAsia"/>
          <w:sz w:val="24"/>
          <w:szCs w:val="24"/>
        </w:rPr>
        <w:t>银行存款开户证实书等有价凭证由基金托管人存放于基金托管人的保管库</w:t>
      </w:r>
      <w:r>
        <w:rPr>
          <w:rFonts w:ascii="宋体" w:eastAsia="宋体" w:hAnsi="宋体" w:cs="Malgun Gothic Semilight" w:hint="eastAsia"/>
          <w:sz w:val="24"/>
          <w:szCs w:val="24"/>
        </w:rPr>
        <w:t>，</w:t>
      </w:r>
      <w:r>
        <w:rPr>
          <w:rFonts w:ascii="宋体" w:eastAsia="宋体" w:hAnsi="宋体" w:cs="微软雅黑" w:hint="eastAsia"/>
          <w:sz w:val="24"/>
          <w:szCs w:val="24"/>
        </w:rPr>
        <w:t>也可存入法律法规有关规定允许的各类代保管库</w:t>
      </w:r>
      <w:r>
        <w:rPr>
          <w:rFonts w:ascii="宋体" w:eastAsia="宋体" w:hAnsi="宋体" w:cs="Malgun Gothic Semilight" w:hint="eastAsia"/>
          <w:sz w:val="24"/>
          <w:szCs w:val="24"/>
        </w:rPr>
        <w:t>，</w:t>
      </w:r>
      <w:r>
        <w:rPr>
          <w:rFonts w:ascii="宋体" w:eastAsia="宋体" w:hAnsi="宋体" w:cs="微软雅黑" w:hint="eastAsia"/>
          <w:sz w:val="24"/>
          <w:szCs w:val="24"/>
        </w:rPr>
        <w:t>保管凭证由基金托管人持有</w:t>
      </w:r>
      <w:r>
        <w:rPr>
          <w:rFonts w:ascii="宋体" w:eastAsia="宋体" w:hAnsi="宋体" w:cs="Malgun Gothic Semilight" w:hint="eastAsia"/>
          <w:sz w:val="24"/>
          <w:szCs w:val="24"/>
        </w:rPr>
        <w:t>。</w:t>
      </w:r>
      <w:r>
        <w:rPr>
          <w:rFonts w:ascii="宋体" w:eastAsia="宋体" w:hAnsi="宋体" w:cs="微软雅黑" w:hint="eastAsia"/>
          <w:sz w:val="24"/>
          <w:szCs w:val="24"/>
        </w:rPr>
        <w:t>实物证券</w:t>
      </w:r>
      <w:r>
        <w:rPr>
          <w:rFonts w:ascii="宋体" w:eastAsia="宋体" w:hAnsi="宋体" w:cs="Malgun Gothic Semilight" w:hint="eastAsia"/>
          <w:sz w:val="24"/>
          <w:szCs w:val="24"/>
        </w:rPr>
        <w:t>、</w:t>
      </w:r>
      <w:r>
        <w:rPr>
          <w:rFonts w:ascii="宋体" w:eastAsia="宋体" w:hAnsi="宋体" w:cs="微软雅黑" w:hint="eastAsia"/>
          <w:sz w:val="24"/>
          <w:szCs w:val="24"/>
        </w:rPr>
        <w:t>银行定期存款证实书等有价凭证的购买和转让</w:t>
      </w:r>
      <w:r>
        <w:rPr>
          <w:rFonts w:ascii="宋体" w:eastAsia="宋体" w:hAnsi="宋体" w:cs="Malgun Gothic Semilight" w:hint="eastAsia"/>
          <w:sz w:val="24"/>
          <w:szCs w:val="24"/>
        </w:rPr>
        <w:t>，</w:t>
      </w:r>
      <w:r>
        <w:rPr>
          <w:rFonts w:ascii="宋体" w:eastAsia="宋体" w:hAnsi="宋体" w:cs="微软雅黑" w:hint="eastAsia"/>
          <w:sz w:val="24"/>
          <w:szCs w:val="24"/>
        </w:rPr>
        <w:t>按基金管理人和基金托管人双方约定办理</w:t>
      </w:r>
      <w:r>
        <w:rPr>
          <w:rFonts w:ascii="宋体" w:eastAsia="宋体" w:hAnsi="宋体" w:cs="Malgun Gothic Semilight" w:hint="eastAsia"/>
          <w:sz w:val="24"/>
          <w:szCs w:val="24"/>
        </w:rPr>
        <w:t>。</w:t>
      </w:r>
      <w:r>
        <w:rPr>
          <w:rFonts w:ascii="宋体" w:eastAsia="宋体" w:hAnsi="宋体" w:cs="微软雅黑" w:hint="eastAsia"/>
          <w:sz w:val="24"/>
          <w:szCs w:val="24"/>
        </w:rPr>
        <w:t>基金托管人对由基金托管人以外机构实际有效控制或保管的资产不承担任何责任</w:t>
      </w:r>
      <w:r>
        <w:rPr>
          <w:rFonts w:ascii="宋体" w:eastAsia="宋体" w:hAnsi="宋体" w:cs="Malgun Gothic Semilight" w:hint="eastAsia"/>
          <w:sz w:val="24"/>
          <w:szCs w:val="24"/>
        </w:rPr>
        <w:t>。</w:t>
      </w:r>
    </w:p>
    <w:p w14:paraId="0C6A865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八</w:t>
      </w:r>
      <w:r>
        <w:rPr>
          <w:rFonts w:ascii="宋体" w:eastAsia="宋体" w:hAnsi="宋体" w:cs="Arial" w:hint="eastAsia"/>
          <w:sz w:val="24"/>
          <w:szCs w:val="24"/>
        </w:rPr>
        <w:t>）</w:t>
      </w:r>
      <w:r>
        <w:rPr>
          <w:rFonts w:ascii="宋体" w:eastAsia="宋体" w:hAnsi="宋体" w:cs="微软雅黑" w:hint="eastAsia"/>
          <w:sz w:val="24"/>
          <w:szCs w:val="24"/>
        </w:rPr>
        <w:t>与基金财产有关的重大合同的保管</w:t>
      </w:r>
    </w:p>
    <w:p w14:paraId="6DAF586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由基金管理人代表基金签署的</w:t>
      </w:r>
      <w:r>
        <w:rPr>
          <w:rFonts w:ascii="宋体" w:eastAsia="宋体" w:hAnsi="宋体" w:cs="Malgun Gothic Semilight" w:hint="eastAsia"/>
          <w:sz w:val="24"/>
          <w:szCs w:val="24"/>
        </w:rPr>
        <w:t>、</w:t>
      </w:r>
      <w:r>
        <w:rPr>
          <w:rFonts w:ascii="宋体" w:eastAsia="宋体" w:hAnsi="宋体" w:cs="微软雅黑" w:hint="eastAsia"/>
          <w:sz w:val="24"/>
          <w:szCs w:val="24"/>
        </w:rPr>
        <w:t>与基金有关的重大合同的原件分别由基金管理人</w:t>
      </w:r>
      <w:r>
        <w:rPr>
          <w:rFonts w:ascii="宋体" w:eastAsia="宋体" w:hAnsi="宋体" w:cs="Malgun Gothic Semilight" w:hint="eastAsia"/>
          <w:sz w:val="24"/>
          <w:szCs w:val="24"/>
        </w:rPr>
        <w:t>、</w:t>
      </w:r>
      <w:r>
        <w:rPr>
          <w:rFonts w:ascii="宋体" w:eastAsia="宋体" w:hAnsi="宋体" w:cs="微软雅黑" w:hint="eastAsia"/>
          <w:sz w:val="24"/>
          <w:szCs w:val="24"/>
        </w:rPr>
        <w:t>基金托管人保管</w:t>
      </w:r>
      <w:r>
        <w:rPr>
          <w:rFonts w:ascii="宋体" w:eastAsia="宋体" w:hAnsi="宋体" w:cs="Malgun Gothic Semilight" w:hint="eastAsia"/>
          <w:sz w:val="24"/>
          <w:szCs w:val="24"/>
        </w:rPr>
        <w:t>。</w:t>
      </w:r>
      <w:r>
        <w:rPr>
          <w:rFonts w:ascii="宋体" w:eastAsia="宋体" w:hAnsi="宋体" w:cs="微软雅黑" w:hint="eastAsia"/>
          <w:sz w:val="24"/>
          <w:szCs w:val="24"/>
        </w:rPr>
        <w:t>除本协议另有规定外</w:t>
      </w:r>
      <w:r>
        <w:rPr>
          <w:rFonts w:ascii="宋体" w:eastAsia="宋体" w:hAnsi="宋体" w:cs="Malgun Gothic Semilight" w:hint="eastAsia"/>
          <w:sz w:val="24"/>
          <w:szCs w:val="24"/>
        </w:rPr>
        <w:t>，</w:t>
      </w:r>
      <w:r>
        <w:rPr>
          <w:rFonts w:ascii="宋体" w:eastAsia="宋体" w:hAnsi="宋体" w:cs="微软雅黑" w:hint="eastAsia"/>
          <w:sz w:val="24"/>
          <w:szCs w:val="24"/>
        </w:rPr>
        <w:t>基金管理人在代表基金签署与基金有关的重大合同时应尽量保证基金管理人和基金托管人至少各持有一份正本的原件</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基金管理人应在重大合同签署后及时将重大合同以传真或其它经双方认可的方式</w:t>
      </w:r>
      <w:r>
        <w:rPr>
          <w:rFonts w:ascii="宋体" w:eastAsia="宋体" w:hAnsi="宋体" w:cs="微软雅黑"/>
          <w:sz w:val="24"/>
          <w:szCs w:val="24"/>
        </w:rPr>
        <w:t>发送</w:t>
      </w:r>
      <w:r>
        <w:rPr>
          <w:rFonts w:ascii="宋体" w:eastAsia="宋体" w:hAnsi="宋体" w:cs="微软雅黑" w:hint="eastAsia"/>
          <w:sz w:val="24"/>
          <w:szCs w:val="24"/>
        </w:rPr>
        <w:t>给基金托管人</w:t>
      </w:r>
      <w:r>
        <w:rPr>
          <w:rFonts w:ascii="宋体" w:eastAsia="宋体" w:hAnsi="宋体" w:cs="Malgun Gothic Semilight" w:hint="eastAsia"/>
          <w:sz w:val="24"/>
          <w:szCs w:val="24"/>
        </w:rPr>
        <w:t>，</w:t>
      </w:r>
      <w:r>
        <w:rPr>
          <w:rFonts w:ascii="宋体" w:eastAsia="宋体" w:hAnsi="宋体" w:cs="微软雅黑" w:hint="eastAsia"/>
          <w:sz w:val="24"/>
          <w:szCs w:val="24"/>
        </w:rPr>
        <w:t>并在三十个工作日内将正本送达基金托管人处</w:t>
      </w:r>
      <w:r>
        <w:rPr>
          <w:rFonts w:ascii="宋体" w:eastAsia="宋体" w:hAnsi="宋体" w:cs="Malgun Gothic Semilight" w:hint="eastAsia"/>
          <w:sz w:val="24"/>
          <w:szCs w:val="24"/>
        </w:rPr>
        <w:t>。</w:t>
      </w:r>
      <w:r>
        <w:rPr>
          <w:rFonts w:ascii="宋体" w:eastAsia="宋体" w:hAnsi="宋体" w:cs="微软雅黑" w:hint="eastAsia"/>
          <w:sz w:val="24"/>
          <w:szCs w:val="24"/>
        </w:rPr>
        <w:t>重大合同的保管期限按照法律法规的规定执行</w:t>
      </w:r>
      <w:r>
        <w:rPr>
          <w:rFonts w:ascii="宋体" w:eastAsia="宋体" w:hAnsi="宋体" w:cs="Arial" w:hint="eastAsia"/>
          <w:sz w:val="24"/>
          <w:szCs w:val="24"/>
        </w:rPr>
        <w:t>。</w:t>
      </w:r>
    </w:p>
    <w:p w14:paraId="7ADEF06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对于无法取得二份以上的正本的，基金管理人应向基金托管人提供加盖公章或授权业务章的合同复印件或扫描件。未经双方协商一致或未在合同约定范围内，合同原件不得转移。</w:t>
      </w:r>
    </w:p>
    <w:p w14:paraId="55B9BE31" w14:textId="77777777" w:rsidR="00C521E2" w:rsidRDefault="00C521E2">
      <w:pPr>
        <w:spacing w:line="360" w:lineRule="auto"/>
        <w:rPr>
          <w:rFonts w:ascii="宋体" w:eastAsia="宋体" w:hAnsi="宋体" w:cs="Times New Roman"/>
          <w:sz w:val="24"/>
          <w:szCs w:val="24"/>
        </w:rPr>
      </w:pPr>
    </w:p>
    <w:p w14:paraId="51C233BE"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44" w:name="_Toc84133787"/>
      <w:bookmarkStart w:id="45" w:name="_Toc86223244"/>
      <w:bookmarkStart w:id="46" w:name="_Toc86727357"/>
      <w:bookmarkStart w:id="47" w:name="_Toc89163370"/>
      <w:bookmarkStart w:id="48" w:name="_Toc118774805"/>
      <w:bookmarkStart w:id="49" w:name="_Toc84234389"/>
      <w:bookmarkStart w:id="50" w:name="_Toc204539397"/>
      <w:bookmarkStart w:id="51" w:name="_Toc86726441"/>
      <w:bookmarkStart w:id="52" w:name="_Toc110830494"/>
      <w:bookmarkStart w:id="53" w:name="_Toc119402712"/>
      <w:bookmarkStart w:id="54" w:name="_Toc110761798"/>
      <w:bookmarkStart w:id="55" w:name="_Toc86737931"/>
      <w:bookmarkStart w:id="56" w:name="_Toc84234436"/>
      <w:bookmarkStart w:id="57" w:name="_Toc120435785"/>
      <w:bookmarkStart w:id="58" w:name="_Toc86204790"/>
      <w:bookmarkStart w:id="59" w:name="_Toc86225293"/>
      <w:bookmarkStart w:id="60" w:name="_Toc86649724"/>
      <w:bookmarkStart w:id="61" w:name="_Toc110765662"/>
      <w:bookmarkStart w:id="62" w:name="_Toc118972650"/>
      <w:bookmarkStart w:id="63" w:name="_Toc118212952"/>
      <w:bookmarkStart w:id="64" w:name="_Toc108512360"/>
      <w:r>
        <w:rPr>
          <w:rFonts w:ascii="宋体" w:eastAsia="宋体" w:hAnsi="宋体" w:cs="微软雅黑" w:hint="eastAsia"/>
          <w:b/>
          <w:sz w:val="30"/>
          <w:szCs w:val="20"/>
        </w:rPr>
        <w:t>六</w:t>
      </w:r>
      <w:r>
        <w:rPr>
          <w:rFonts w:ascii="宋体" w:eastAsia="宋体" w:hAnsi="宋体" w:cs="Malgun Gothic Semilight" w:hint="eastAsia"/>
          <w:b/>
          <w:sz w:val="30"/>
          <w:szCs w:val="20"/>
        </w:rPr>
        <w:t>、</w:t>
      </w:r>
      <w:r>
        <w:rPr>
          <w:rFonts w:ascii="宋体" w:eastAsia="宋体" w:hAnsi="宋体" w:cs="微软雅黑" w:hint="eastAsia"/>
          <w:b/>
          <w:sz w:val="30"/>
          <w:szCs w:val="20"/>
        </w:rPr>
        <w:t>指令的发送</w:t>
      </w:r>
      <w:r>
        <w:rPr>
          <w:rFonts w:ascii="宋体" w:eastAsia="宋体" w:hAnsi="宋体" w:cs="Malgun Gothic Semilight" w:hint="eastAsia"/>
          <w:b/>
          <w:sz w:val="30"/>
          <w:szCs w:val="20"/>
        </w:rPr>
        <w:t>、</w:t>
      </w:r>
      <w:r>
        <w:rPr>
          <w:rFonts w:ascii="宋体" w:eastAsia="宋体" w:hAnsi="宋体" w:cs="微软雅黑" w:hint="eastAsia"/>
          <w:b/>
          <w:sz w:val="30"/>
          <w:szCs w:val="20"/>
        </w:rPr>
        <w:t>确认及执行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247E6FA"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基金管理人在运用基金财产时向基金托管人发送资金划拨及其他款项付款指令，基金托管人执行基金管理人的指令、办理基金名下的资金往来等有关事项。</w:t>
      </w:r>
    </w:p>
    <w:p w14:paraId="3B74CE53"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基金管理人对发送指令人员的书面授权</w:t>
      </w:r>
    </w:p>
    <w:p w14:paraId="0B1C2743"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14:paraId="521AF866"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lastRenderedPageBreak/>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14:paraId="6FB850B2"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特殊情况下，经基金托管人同意，基金管理人可至少提前一个工作日将授权文件以邮件发送扫描件的方式先行通知基金托管人并确认生效。授权文件原件应在邮件发送后</w:t>
      </w:r>
      <w:r>
        <w:rPr>
          <w:rFonts w:ascii="宋体" w:eastAsia="宋体" w:hAnsi="宋体" w:cs="Arial"/>
          <w:sz w:val="24"/>
          <w:szCs w:val="24"/>
        </w:rPr>
        <w:t>7个工作日内送达</w:t>
      </w:r>
      <w:r>
        <w:rPr>
          <w:rFonts w:ascii="宋体" w:eastAsia="宋体" w:hAnsi="宋体" w:cs="Arial" w:hint="eastAsia"/>
          <w:sz w:val="24"/>
          <w:szCs w:val="24"/>
        </w:rPr>
        <w:t>基金</w:t>
      </w:r>
      <w:r>
        <w:rPr>
          <w:rFonts w:ascii="宋体" w:eastAsia="宋体" w:hAnsi="宋体" w:cs="Arial"/>
          <w:sz w:val="24"/>
          <w:szCs w:val="24"/>
        </w:rPr>
        <w:t>托管人。授权文件生效之后，原件送达之前，</w:t>
      </w:r>
      <w:r>
        <w:rPr>
          <w:rFonts w:ascii="宋体" w:eastAsia="宋体" w:hAnsi="宋体" w:cs="Arial" w:hint="eastAsia"/>
          <w:sz w:val="24"/>
          <w:szCs w:val="24"/>
        </w:rPr>
        <w:t>基金</w:t>
      </w:r>
      <w:r>
        <w:rPr>
          <w:rFonts w:ascii="宋体" w:eastAsia="宋体" w:hAnsi="宋体" w:cs="Arial"/>
          <w:sz w:val="24"/>
          <w:szCs w:val="24"/>
        </w:rPr>
        <w:t>托管人按照新授权文件扫描件内容执行有关业务，如果授权文件原件与</w:t>
      </w:r>
      <w:r>
        <w:rPr>
          <w:rFonts w:ascii="宋体" w:eastAsia="宋体" w:hAnsi="宋体" w:cs="Arial" w:hint="eastAsia"/>
          <w:sz w:val="24"/>
          <w:szCs w:val="24"/>
        </w:rPr>
        <w:t>基金</w:t>
      </w:r>
      <w:r>
        <w:rPr>
          <w:rFonts w:ascii="宋体" w:eastAsia="宋体" w:hAnsi="宋体" w:cs="Arial"/>
          <w:sz w:val="24"/>
          <w:szCs w:val="24"/>
        </w:rPr>
        <w:t>托管人收到的扫描件不同，由此产生的责任由</w:t>
      </w:r>
      <w:r>
        <w:rPr>
          <w:rFonts w:ascii="宋体" w:eastAsia="宋体" w:hAnsi="宋体" w:cs="Arial" w:hint="eastAsia"/>
          <w:sz w:val="24"/>
          <w:szCs w:val="24"/>
        </w:rPr>
        <w:t>基金</w:t>
      </w:r>
      <w:r>
        <w:rPr>
          <w:rFonts w:ascii="宋体" w:eastAsia="宋体" w:hAnsi="宋体" w:cs="Arial"/>
          <w:sz w:val="24"/>
          <w:szCs w:val="24"/>
        </w:rPr>
        <w:t>管理人承担。</w:t>
      </w:r>
    </w:p>
    <w:p w14:paraId="0CFCAF3C"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基金管理人更换被授权人、更改或终止对被授权人的授权、变更预留印鉴应按上述要求提供新的授权文件。在授权变更生效前，基金托管人仍应按原授权文件执行指令，基金管理人不得否认其效力。</w:t>
      </w:r>
    </w:p>
    <w:p w14:paraId="54DB39EE"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基金托管人更换接受基金管理人指令的传真号或邮箱地址，应提前通知基金管理人。</w:t>
      </w:r>
      <w:r>
        <w:rPr>
          <w:rFonts w:ascii="宋体" w:eastAsia="宋体" w:hAnsi="宋体" w:cs="微软雅黑" w:hint="eastAsia"/>
          <w:sz w:val="24"/>
          <w:szCs w:val="24"/>
        </w:rPr>
        <w:t>基金管理人和基金托管人对授权文件负有保密义务</w:t>
      </w:r>
      <w:r>
        <w:rPr>
          <w:rFonts w:ascii="宋体" w:eastAsia="宋体" w:hAnsi="宋体" w:cs="Malgun Gothic Semilight" w:hint="eastAsia"/>
          <w:sz w:val="24"/>
          <w:szCs w:val="24"/>
        </w:rPr>
        <w:t>，</w:t>
      </w:r>
      <w:r>
        <w:rPr>
          <w:rFonts w:ascii="宋体" w:eastAsia="宋体" w:hAnsi="宋体" w:cs="微软雅黑" w:hint="eastAsia"/>
          <w:sz w:val="24"/>
          <w:szCs w:val="24"/>
        </w:rPr>
        <w:t>其内容不得向被授权人及相关操作人员以外的任何人泄露</w:t>
      </w:r>
      <w:r>
        <w:rPr>
          <w:rFonts w:ascii="宋体" w:eastAsia="宋体" w:hAnsi="宋体" w:cs="Malgun Gothic Semilight" w:hint="eastAsia"/>
          <w:sz w:val="24"/>
          <w:szCs w:val="24"/>
        </w:rPr>
        <w:t>。</w:t>
      </w:r>
      <w:r>
        <w:rPr>
          <w:rFonts w:ascii="宋体" w:eastAsia="宋体" w:hAnsi="宋体" w:cs="微软雅黑" w:hint="eastAsia"/>
          <w:sz w:val="24"/>
          <w:szCs w:val="24"/>
        </w:rPr>
        <w:t>但法律法规另有规定或有权机关另有要求的除外</w:t>
      </w:r>
      <w:r>
        <w:rPr>
          <w:rFonts w:ascii="宋体" w:eastAsia="宋体" w:hAnsi="宋体" w:cs="Malgun Gothic Semilight" w:hint="eastAsia"/>
          <w:sz w:val="24"/>
          <w:szCs w:val="24"/>
        </w:rPr>
        <w:t>。</w:t>
      </w:r>
    </w:p>
    <w:p w14:paraId="794A54F2"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指令的内容</w:t>
      </w:r>
    </w:p>
    <w:p w14:paraId="33A9C0ED"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指令包括付款指令以及其他资金划拨指令等</w:t>
      </w:r>
      <w:r>
        <w:rPr>
          <w:rFonts w:ascii="宋体" w:eastAsia="宋体" w:hAnsi="宋体" w:cs="Malgun Gothic Semilight" w:hint="eastAsia"/>
          <w:sz w:val="24"/>
          <w:szCs w:val="24"/>
        </w:rPr>
        <w:t>。</w:t>
      </w:r>
    </w:p>
    <w:p w14:paraId="125B051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基金管理人发给基金托管人的指令应写明款项事由</w:t>
      </w:r>
      <w:r>
        <w:rPr>
          <w:rFonts w:ascii="宋体" w:eastAsia="宋体" w:hAnsi="宋体" w:cs="Malgun Gothic Semilight" w:hint="eastAsia"/>
          <w:sz w:val="24"/>
          <w:szCs w:val="24"/>
        </w:rPr>
        <w:t>、</w:t>
      </w:r>
      <w:r>
        <w:rPr>
          <w:rFonts w:ascii="宋体" w:eastAsia="宋体" w:hAnsi="宋体" w:cs="微软雅黑" w:hint="eastAsia"/>
          <w:sz w:val="24"/>
          <w:szCs w:val="24"/>
        </w:rPr>
        <w:t>支付时间</w:t>
      </w:r>
      <w:r>
        <w:rPr>
          <w:rFonts w:ascii="宋体" w:eastAsia="宋体" w:hAnsi="宋体" w:cs="Malgun Gothic Semilight" w:hint="eastAsia"/>
          <w:sz w:val="24"/>
          <w:szCs w:val="24"/>
        </w:rPr>
        <w:t>、</w:t>
      </w:r>
      <w:r>
        <w:rPr>
          <w:rFonts w:ascii="宋体" w:eastAsia="宋体" w:hAnsi="宋体" w:cs="微软雅黑" w:hint="eastAsia"/>
          <w:sz w:val="24"/>
          <w:szCs w:val="24"/>
        </w:rPr>
        <w:t>到账时间</w:t>
      </w:r>
      <w:r>
        <w:rPr>
          <w:rFonts w:ascii="宋体" w:eastAsia="宋体" w:hAnsi="宋体" w:cs="Malgun Gothic Semilight" w:hint="eastAsia"/>
          <w:sz w:val="24"/>
          <w:szCs w:val="24"/>
        </w:rPr>
        <w:t>、</w:t>
      </w:r>
      <w:r>
        <w:rPr>
          <w:rFonts w:ascii="宋体" w:eastAsia="宋体" w:hAnsi="宋体" w:cs="微软雅黑" w:hint="eastAsia"/>
          <w:sz w:val="24"/>
          <w:szCs w:val="24"/>
        </w:rPr>
        <w:t>金额</w:t>
      </w:r>
      <w:r>
        <w:rPr>
          <w:rFonts w:ascii="宋体" w:eastAsia="宋体" w:hAnsi="宋体" w:cs="Malgun Gothic Semilight" w:hint="eastAsia"/>
          <w:sz w:val="24"/>
          <w:szCs w:val="24"/>
        </w:rPr>
        <w:t>、</w:t>
      </w:r>
      <w:r>
        <w:rPr>
          <w:rFonts w:ascii="宋体" w:eastAsia="宋体" w:hAnsi="宋体" w:cs="微软雅黑" w:hint="eastAsia"/>
          <w:sz w:val="24"/>
          <w:szCs w:val="24"/>
        </w:rPr>
        <w:t>收付款账户等</w:t>
      </w:r>
      <w:r>
        <w:rPr>
          <w:rFonts w:ascii="宋体" w:eastAsia="宋体" w:hAnsi="宋体" w:cs="Malgun Gothic Semilight" w:hint="eastAsia"/>
          <w:sz w:val="24"/>
          <w:szCs w:val="24"/>
        </w:rPr>
        <w:t>，</w:t>
      </w:r>
      <w:r>
        <w:rPr>
          <w:rFonts w:ascii="宋体" w:eastAsia="宋体" w:hAnsi="宋体" w:cs="微软雅黑" w:hint="eastAsia"/>
          <w:sz w:val="24"/>
          <w:szCs w:val="24"/>
        </w:rPr>
        <w:t>加盖预留印鉴并由被授权人签字</w:t>
      </w:r>
      <w:r>
        <w:rPr>
          <w:rFonts w:ascii="宋体" w:eastAsia="宋体" w:hAnsi="宋体" w:cs="Malgun Gothic Semilight" w:hint="eastAsia"/>
          <w:sz w:val="24"/>
          <w:szCs w:val="24"/>
        </w:rPr>
        <w:t>。</w:t>
      </w:r>
    </w:p>
    <w:p w14:paraId="48DDFCCC"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指令的发送</w:t>
      </w:r>
      <w:r>
        <w:rPr>
          <w:rFonts w:ascii="宋体" w:eastAsia="宋体" w:hAnsi="宋体" w:cs="Malgun Gothic Semilight" w:hint="eastAsia"/>
          <w:sz w:val="24"/>
          <w:szCs w:val="24"/>
        </w:rPr>
        <w:t>、</w:t>
      </w:r>
      <w:r>
        <w:rPr>
          <w:rFonts w:ascii="宋体" w:eastAsia="宋体" w:hAnsi="宋体" w:cs="微软雅黑" w:hint="eastAsia"/>
          <w:sz w:val="24"/>
          <w:szCs w:val="24"/>
        </w:rPr>
        <w:t>确认及执行的时间和程序</w:t>
      </w:r>
    </w:p>
    <w:p w14:paraId="0737EA9D"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指令的发送</w:t>
      </w:r>
    </w:p>
    <w:p w14:paraId="07304DF9"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基金管理人发送指令应采用传真方式或双方协商一致的其他方式</w:t>
      </w:r>
      <w:r>
        <w:rPr>
          <w:rFonts w:ascii="宋体" w:eastAsia="宋体" w:hAnsi="宋体" w:cs="Malgun Gothic Semilight" w:hint="eastAsia"/>
          <w:sz w:val="24"/>
          <w:szCs w:val="24"/>
        </w:rPr>
        <w:t>。</w:t>
      </w:r>
    </w:p>
    <w:p w14:paraId="632C012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基金管理人应按照法律法规和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的规定</w:t>
      </w:r>
      <w:r>
        <w:rPr>
          <w:rFonts w:ascii="宋体" w:eastAsia="宋体" w:hAnsi="宋体" w:cs="Malgun Gothic Semilight" w:hint="eastAsia"/>
          <w:sz w:val="24"/>
          <w:szCs w:val="24"/>
        </w:rPr>
        <w:t>，</w:t>
      </w:r>
      <w:r>
        <w:rPr>
          <w:rFonts w:ascii="宋体" w:eastAsia="宋体" w:hAnsi="宋体" w:cs="微软雅黑" w:hint="eastAsia"/>
          <w:sz w:val="24"/>
          <w:szCs w:val="24"/>
        </w:rPr>
        <w:t>在其合法的经营权限和交易权限内发送指令</w:t>
      </w:r>
      <w:r>
        <w:rPr>
          <w:rFonts w:ascii="宋体" w:eastAsia="宋体" w:hAnsi="宋体" w:cs="Malgun Gothic Semilight" w:hint="eastAsia"/>
          <w:sz w:val="24"/>
          <w:szCs w:val="24"/>
        </w:rPr>
        <w:t>；</w:t>
      </w:r>
      <w:r>
        <w:rPr>
          <w:rFonts w:ascii="宋体" w:eastAsia="宋体" w:hAnsi="宋体" w:cs="微软雅黑" w:hint="eastAsia"/>
          <w:sz w:val="24"/>
          <w:szCs w:val="24"/>
        </w:rPr>
        <w:t>被授权人应严格按照其授权权限发送指令</w:t>
      </w:r>
      <w:r>
        <w:rPr>
          <w:rFonts w:ascii="宋体" w:eastAsia="宋体" w:hAnsi="宋体" w:cs="Malgun Gothic Semilight" w:hint="eastAsia"/>
          <w:sz w:val="24"/>
          <w:szCs w:val="24"/>
        </w:rPr>
        <w:t>。</w:t>
      </w:r>
      <w:r>
        <w:rPr>
          <w:rFonts w:ascii="宋体" w:eastAsia="宋体" w:hAnsi="宋体" w:cs="微软雅黑" w:hint="eastAsia"/>
          <w:sz w:val="24"/>
          <w:szCs w:val="24"/>
        </w:rPr>
        <w:t>对于被授权人依约定程序发出的指令</w:t>
      </w:r>
      <w:r>
        <w:rPr>
          <w:rFonts w:ascii="宋体" w:eastAsia="宋体" w:hAnsi="宋体" w:cs="Malgun Gothic Semilight" w:hint="eastAsia"/>
          <w:sz w:val="24"/>
          <w:szCs w:val="24"/>
        </w:rPr>
        <w:t>，</w:t>
      </w:r>
      <w:r>
        <w:rPr>
          <w:rFonts w:ascii="宋体" w:eastAsia="宋体" w:hAnsi="宋体" w:cs="微软雅黑" w:hint="eastAsia"/>
          <w:sz w:val="24"/>
          <w:szCs w:val="24"/>
        </w:rPr>
        <w:t>基金管理人不得否认其效力</w:t>
      </w:r>
      <w:r>
        <w:rPr>
          <w:rFonts w:ascii="宋体" w:eastAsia="宋体" w:hAnsi="宋体" w:cs="Malgun Gothic Semilight" w:hint="eastAsia"/>
          <w:sz w:val="24"/>
          <w:szCs w:val="24"/>
        </w:rPr>
        <w:t>。</w:t>
      </w:r>
      <w:r>
        <w:rPr>
          <w:rFonts w:ascii="宋体" w:eastAsia="宋体" w:hAnsi="宋体" w:cs="微软雅黑" w:hint="eastAsia"/>
          <w:sz w:val="24"/>
          <w:szCs w:val="24"/>
        </w:rPr>
        <w:t>但如果基金管理人已经撤销或更改对被授权人的授权</w:t>
      </w:r>
      <w:r>
        <w:rPr>
          <w:rFonts w:ascii="宋体" w:eastAsia="宋体" w:hAnsi="宋体" w:cs="Malgun Gothic Semilight" w:hint="eastAsia"/>
          <w:sz w:val="24"/>
          <w:szCs w:val="24"/>
        </w:rPr>
        <w:t>，</w:t>
      </w:r>
      <w:r>
        <w:rPr>
          <w:rFonts w:ascii="宋体" w:eastAsia="宋体" w:hAnsi="宋体" w:cs="微软雅黑" w:hint="eastAsia"/>
          <w:sz w:val="24"/>
          <w:szCs w:val="24"/>
        </w:rPr>
        <w:t>并且基金托管人根据本协议确认后</w:t>
      </w:r>
      <w:r>
        <w:rPr>
          <w:rFonts w:ascii="宋体" w:eastAsia="宋体" w:hAnsi="宋体" w:cs="Malgun Gothic Semilight" w:hint="eastAsia"/>
          <w:sz w:val="24"/>
          <w:szCs w:val="24"/>
        </w:rPr>
        <w:t>，</w:t>
      </w:r>
      <w:r>
        <w:rPr>
          <w:rFonts w:ascii="宋体" w:eastAsia="宋体" w:hAnsi="宋体" w:cs="微软雅黑" w:hint="eastAsia"/>
          <w:sz w:val="24"/>
          <w:szCs w:val="24"/>
        </w:rPr>
        <w:t>则对于此后该被授权人无权发送的指令</w:t>
      </w:r>
      <w:r>
        <w:rPr>
          <w:rFonts w:ascii="宋体" w:eastAsia="宋体" w:hAnsi="宋体" w:cs="Malgun Gothic Semilight" w:hint="eastAsia"/>
          <w:sz w:val="24"/>
          <w:szCs w:val="24"/>
        </w:rPr>
        <w:t>，</w:t>
      </w:r>
      <w:r>
        <w:rPr>
          <w:rFonts w:ascii="宋体" w:eastAsia="宋体" w:hAnsi="宋体" w:cs="微软雅黑" w:hint="eastAsia"/>
          <w:sz w:val="24"/>
          <w:szCs w:val="24"/>
        </w:rPr>
        <w:t>或超权限发送的指令</w:t>
      </w:r>
      <w:r>
        <w:rPr>
          <w:rFonts w:ascii="宋体" w:eastAsia="宋体" w:hAnsi="宋体" w:cs="Malgun Gothic Semilight" w:hint="eastAsia"/>
          <w:sz w:val="24"/>
          <w:szCs w:val="24"/>
        </w:rPr>
        <w:t>，</w:t>
      </w:r>
      <w:r>
        <w:rPr>
          <w:rFonts w:ascii="宋体" w:eastAsia="宋体" w:hAnsi="宋体" w:cs="微软雅黑" w:hint="eastAsia"/>
          <w:sz w:val="24"/>
          <w:szCs w:val="24"/>
        </w:rPr>
        <w:t>基金管理人不承担责任</w:t>
      </w:r>
      <w:r>
        <w:rPr>
          <w:rFonts w:ascii="宋体" w:eastAsia="宋体" w:hAnsi="宋体" w:cs="Malgun Gothic Semilight" w:hint="eastAsia"/>
          <w:sz w:val="24"/>
          <w:szCs w:val="24"/>
        </w:rPr>
        <w:t>，</w:t>
      </w:r>
      <w:r>
        <w:rPr>
          <w:rFonts w:ascii="宋体" w:eastAsia="宋体" w:hAnsi="宋体" w:cs="微软雅黑" w:hint="eastAsia"/>
          <w:sz w:val="24"/>
          <w:szCs w:val="24"/>
        </w:rPr>
        <w:t>授权已更改但未经基金托管人确认的情况除外</w:t>
      </w:r>
      <w:r>
        <w:rPr>
          <w:rFonts w:ascii="宋体" w:eastAsia="宋体" w:hAnsi="宋体" w:cs="Malgun Gothic Semilight" w:hint="eastAsia"/>
          <w:sz w:val="24"/>
          <w:szCs w:val="24"/>
        </w:rPr>
        <w:t>。</w:t>
      </w:r>
    </w:p>
    <w:p w14:paraId="2A342741"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lastRenderedPageBreak/>
        <w:t>指令发出后</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基金管理人应及时以电话方式向基金托管人确认</w:t>
      </w:r>
      <w:r>
        <w:rPr>
          <w:rFonts w:ascii="宋体" w:eastAsia="宋体" w:hAnsi="宋体" w:cs="Malgun Gothic Semilight" w:hint="eastAsia"/>
          <w:sz w:val="24"/>
          <w:szCs w:val="24"/>
        </w:rPr>
        <w:t>。</w:t>
      </w:r>
    </w:p>
    <w:p w14:paraId="2DD2C168"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基金管理人应在银行间交易成交后</w:t>
      </w:r>
      <w:r>
        <w:rPr>
          <w:rFonts w:ascii="宋体" w:eastAsia="宋体" w:hAnsi="宋体" w:cs="Malgun Gothic Semilight" w:hint="eastAsia"/>
          <w:sz w:val="24"/>
          <w:szCs w:val="24"/>
        </w:rPr>
        <w:t>，</w:t>
      </w:r>
      <w:r>
        <w:rPr>
          <w:rFonts w:ascii="宋体" w:eastAsia="宋体" w:hAnsi="宋体" w:cs="微软雅黑" w:hint="eastAsia"/>
          <w:sz w:val="24"/>
          <w:szCs w:val="24"/>
        </w:rPr>
        <w:t>及时将通知单</w:t>
      </w:r>
      <w:r>
        <w:rPr>
          <w:rFonts w:ascii="宋体" w:eastAsia="宋体" w:hAnsi="宋体" w:cs="Malgun Gothic Semilight" w:hint="eastAsia"/>
          <w:sz w:val="24"/>
          <w:szCs w:val="24"/>
        </w:rPr>
        <w:t>、</w:t>
      </w:r>
      <w:r>
        <w:rPr>
          <w:rFonts w:ascii="宋体" w:eastAsia="宋体" w:hAnsi="宋体" w:cs="微软雅黑" w:hint="eastAsia"/>
          <w:sz w:val="24"/>
          <w:szCs w:val="24"/>
        </w:rPr>
        <w:t>相关文件及划款指令加盖印章后发至基金托管人并电话确认</w:t>
      </w:r>
      <w:r>
        <w:rPr>
          <w:rFonts w:ascii="宋体" w:eastAsia="宋体" w:hAnsi="宋体" w:cs="Malgun Gothic Semilight" w:hint="eastAsia"/>
          <w:sz w:val="24"/>
          <w:szCs w:val="24"/>
        </w:rPr>
        <w:t>，</w:t>
      </w:r>
      <w:r>
        <w:rPr>
          <w:rFonts w:ascii="宋体" w:eastAsia="宋体" w:hAnsi="宋体" w:cs="微软雅黑" w:hint="eastAsia"/>
          <w:sz w:val="24"/>
          <w:szCs w:val="24"/>
        </w:rPr>
        <w:t>由基金托管人完成后台交易匹配及资金交收事宜</w:t>
      </w:r>
      <w:r>
        <w:rPr>
          <w:rFonts w:ascii="宋体" w:eastAsia="宋体" w:hAnsi="宋体" w:cs="Malgun Gothic Semilight" w:hint="eastAsia"/>
          <w:sz w:val="24"/>
          <w:szCs w:val="24"/>
        </w:rPr>
        <w:t>。</w:t>
      </w:r>
      <w:r>
        <w:rPr>
          <w:rFonts w:ascii="宋体" w:eastAsia="宋体" w:hAnsi="宋体" w:cs="微软雅黑" w:hint="eastAsia"/>
          <w:sz w:val="24"/>
          <w:szCs w:val="24"/>
        </w:rPr>
        <w:t>如果银行间结算系统已经生成的交易需要取消或终止</w:t>
      </w:r>
      <w:r>
        <w:rPr>
          <w:rFonts w:ascii="宋体" w:eastAsia="宋体" w:hAnsi="宋体" w:cs="Malgun Gothic Semilight" w:hint="eastAsia"/>
          <w:sz w:val="24"/>
          <w:szCs w:val="24"/>
        </w:rPr>
        <w:t>，</w:t>
      </w:r>
      <w:r>
        <w:rPr>
          <w:rFonts w:ascii="宋体" w:eastAsia="宋体" w:hAnsi="宋体" w:cs="微软雅黑" w:hint="eastAsia"/>
          <w:sz w:val="24"/>
          <w:szCs w:val="24"/>
        </w:rPr>
        <w:t>基金管理人要书面通知基金托管人</w:t>
      </w:r>
      <w:r>
        <w:rPr>
          <w:rFonts w:ascii="宋体" w:eastAsia="宋体" w:hAnsi="宋体" w:cs="Malgun Gothic Semilight" w:hint="eastAsia"/>
          <w:sz w:val="24"/>
          <w:szCs w:val="24"/>
        </w:rPr>
        <w:t>。</w:t>
      </w:r>
    </w:p>
    <w:p w14:paraId="09526FA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指令的确认</w:t>
      </w:r>
    </w:p>
    <w:p w14:paraId="3A91137C"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基金托管人应指定专人接收基金管理人的指令</w:t>
      </w:r>
      <w:r>
        <w:rPr>
          <w:rFonts w:ascii="宋体" w:eastAsia="宋体" w:hAnsi="宋体" w:cs="Malgun Gothic Semilight" w:hint="eastAsia"/>
          <w:sz w:val="24"/>
          <w:szCs w:val="24"/>
        </w:rPr>
        <w:t>，</w:t>
      </w:r>
      <w:r>
        <w:rPr>
          <w:rFonts w:ascii="宋体" w:eastAsia="宋体" w:hAnsi="宋体" w:cs="微软雅黑" w:hint="eastAsia"/>
          <w:sz w:val="24"/>
          <w:szCs w:val="24"/>
        </w:rPr>
        <w:t>预先通知基金管理人其名单</w:t>
      </w:r>
      <w:r>
        <w:rPr>
          <w:rFonts w:ascii="宋体" w:eastAsia="宋体" w:hAnsi="宋体" w:cs="Malgun Gothic Semilight" w:hint="eastAsia"/>
          <w:sz w:val="24"/>
          <w:szCs w:val="24"/>
        </w:rPr>
        <w:t>，</w:t>
      </w:r>
      <w:r>
        <w:rPr>
          <w:rFonts w:ascii="宋体" w:eastAsia="宋体" w:hAnsi="宋体" w:cs="微软雅黑" w:hint="eastAsia"/>
          <w:sz w:val="24"/>
          <w:szCs w:val="24"/>
        </w:rPr>
        <w:t>并与基金管理人商定指令发送和接收方式</w:t>
      </w:r>
      <w:r>
        <w:rPr>
          <w:rFonts w:ascii="宋体" w:eastAsia="宋体" w:hAnsi="宋体" w:cs="Malgun Gothic Semilight" w:hint="eastAsia"/>
          <w:sz w:val="24"/>
          <w:szCs w:val="24"/>
        </w:rPr>
        <w:t>。</w:t>
      </w:r>
      <w:r>
        <w:rPr>
          <w:rFonts w:ascii="宋体" w:eastAsia="宋体" w:hAnsi="宋体" w:cs="微软雅黑" w:hint="eastAsia"/>
          <w:sz w:val="24"/>
          <w:szCs w:val="24"/>
        </w:rPr>
        <w:t>指令到达基金托管人后</w:t>
      </w:r>
      <w:r>
        <w:rPr>
          <w:rFonts w:ascii="宋体" w:eastAsia="宋体" w:hAnsi="宋体" w:cs="Malgun Gothic Semilight" w:hint="eastAsia"/>
          <w:sz w:val="24"/>
          <w:szCs w:val="24"/>
        </w:rPr>
        <w:t>，</w:t>
      </w:r>
      <w:r>
        <w:rPr>
          <w:rFonts w:ascii="宋体" w:eastAsia="宋体" w:hAnsi="宋体" w:cs="微软雅黑" w:hint="eastAsia"/>
          <w:sz w:val="24"/>
          <w:szCs w:val="24"/>
        </w:rPr>
        <w:t>基金托管人应指定专人立即审慎验证指令的要素是否齐全</w:t>
      </w:r>
      <w:r>
        <w:rPr>
          <w:rFonts w:ascii="宋体" w:eastAsia="宋体" w:hAnsi="宋体" w:cs="Malgun Gothic Semilight" w:hint="eastAsia"/>
          <w:sz w:val="24"/>
          <w:szCs w:val="24"/>
        </w:rPr>
        <w:t>，</w:t>
      </w:r>
      <w:r>
        <w:rPr>
          <w:rFonts w:ascii="宋体" w:eastAsia="宋体" w:hAnsi="宋体" w:cs="微软雅黑" w:hint="eastAsia"/>
          <w:sz w:val="24"/>
          <w:szCs w:val="24"/>
        </w:rPr>
        <w:t>并将指令所载签字和印鉴与授权文件进行表面真实性及权限范围核对</w:t>
      </w:r>
      <w:r>
        <w:rPr>
          <w:rFonts w:ascii="宋体" w:eastAsia="宋体" w:hAnsi="宋体" w:cs="Malgun Gothic Semilight" w:hint="eastAsia"/>
          <w:sz w:val="24"/>
          <w:szCs w:val="24"/>
        </w:rPr>
        <w:t>，</w:t>
      </w:r>
      <w:r>
        <w:rPr>
          <w:rFonts w:ascii="宋体" w:eastAsia="宋体" w:hAnsi="宋体" w:cs="微软雅黑" w:hint="eastAsia"/>
          <w:sz w:val="24"/>
          <w:szCs w:val="24"/>
        </w:rPr>
        <w:t>复核无误后应在规定期限内执行</w:t>
      </w:r>
      <w:r>
        <w:rPr>
          <w:rFonts w:ascii="宋体" w:eastAsia="宋体" w:hAnsi="宋体" w:cs="Malgun Gothic Semilight" w:hint="eastAsia"/>
          <w:sz w:val="24"/>
          <w:szCs w:val="24"/>
        </w:rPr>
        <w:t>，</w:t>
      </w:r>
      <w:r>
        <w:rPr>
          <w:rFonts w:ascii="宋体" w:eastAsia="宋体" w:hAnsi="宋体" w:cs="微软雅黑" w:hint="eastAsia"/>
          <w:sz w:val="24"/>
          <w:szCs w:val="24"/>
        </w:rPr>
        <w:t>不得延误</w:t>
      </w:r>
      <w:r>
        <w:rPr>
          <w:rFonts w:ascii="宋体" w:eastAsia="宋体" w:hAnsi="宋体" w:cs="Arial" w:hint="eastAsia"/>
          <w:sz w:val="24"/>
          <w:szCs w:val="24"/>
        </w:rPr>
        <w:t>，</w:t>
      </w:r>
      <w:r>
        <w:rPr>
          <w:rFonts w:ascii="宋体" w:eastAsia="宋体" w:hAnsi="宋体" w:cs="微软雅黑" w:hint="eastAsia"/>
          <w:sz w:val="24"/>
          <w:szCs w:val="24"/>
        </w:rPr>
        <w:t>如有疑问必须及时通知基金管理人</w:t>
      </w:r>
      <w:r>
        <w:rPr>
          <w:rFonts w:ascii="宋体" w:eastAsia="宋体" w:hAnsi="宋体" w:cs="Malgun Gothic Semilight" w:hint="eastAsia"/>
          <w:sz w:val="24"/>
          <w:szCs w:val="24"/>
        </w:rPr>
        <w:t>。</w:t>
      </w:r>
    </w:p>
    <w:p w14:paraId="6AA54506"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指令的时间和执行</w:t>
      </w:r>
    </w:p>
    <w:p w14:paraId="6155F43C" w14:textId="77777777" w:rsidR="00C521E2" w:rsidRDefault="005D6E6D">
      <w:pPr>
        <w:adjustRightInd w:val="0"/>
        <w:snapToGrid w:val="0"/>
        <w:spacing w:line="360" w:lineRule="auto"/>
        <w:ind w:firstLine="480"/>
        <w:rPr>
          <w:rFonts w:ascii="宋体" w:eastAsia="宋体" w:hAnsi="宋体" w:cs="Arial"/>
          <w:sz w:val="24"/>
          <w:szCs w:val="24"/>
          <w:shd w:val="pct10" w:color="auto" w:fill="FFFFFF"/>
        </w:rPr>
      </w:pPr>
      <w:r>
        <w:rPr>
          <w:rFonts w:ascii="宋体" w:eastAsia="宋体" w:hAnsi="宋体" w:cs="微软雅黑" w:hint="eastAsia"/>
          <w:sz w:val="24"/>
          <w:szCs w:val="30"/>
        </w:rPr>
        <w:t>基金管理人尽量于划款前</w:t>
      </w:r>
      <w:r>
        <w:rPr>
          <w:rFonts w:ascii="宋体" w:eastAsia="宋体" w:hAnsi="宋体" w:cs="微软雅黑"/>
          <w:sz w:val="24"/>
          <w:szCs w:val="30"/>
        </w:rPr>
        <w:t>1个工作日向基金托管人发送指令并确认。</w:t>
      </w:r>
      <w:r>
        <w:rPr>
          <w:rFonts w:ascii="宋体" w:eastAsia="宋体" w:hAnsi="宋体" w:cs="微软雅黑" w:hint="eastAsia"/>
          <w:sz w:val="24"/>
          <w:szCs w:val="30"/>
        </w:rPr>
        <w:t>对于要求当天到账的指令</w:t>
      </w:r>
      <w:r>
        <w:rPr>
          <w:rFonts w:ascii="宋体" w:eastAsia="宋体" w:hAnsi="宋体" w:cs="Malgun Gothic Semilight" w:hint="eastAsia"/>
          <w:sz w:val="24"/>
          <w:szCs w:val="30"/>
        </w:rPr>
        <w:t>，</w:t>
      </w:r>
      <w:r>
        <w:rPr>
          <w:rFonts w:ascii="宋体" w:eastAsia="宋体" w:hAnsi="宋体" w:cs="微软雅黑" w:hint="eastAsia"/>
          <w:sz w:val="24"/>
          <w:szCs w:val="30"/>
        </w:rPr>
        <w:t>必须在当天</w:t>
      </w:r>
      <w:r>
        <w:rPr>
          <w:rFonts w:ascii="宋体" w:eastAsia="宋体" w:hAnsi="宋体" w:cs="Arial" w:hint="eastAsia"/>
          <w:sz w:val="24"/>
          <w:szCs w:val="30"/>
        </w:rPr>
        <w:t>15:30</w:t>
      </w:r>
      <w:r>
        <w:rPr>
          <w:rFonts w:ascii="宋体" w:eastAsia="宋体" w:hAnsi="宋体" w:cs="微软雅黑" w:hint="eastAsia"/>
          <w:sz w:val="24"/>
          <w:szCs w:val="30"/>
        </w:rPr>
        <w:t>前向基金托管人发送</w:t>
      </w:r>
      <w:r>
        <w:rPr>
          <w:rFonts w:ascii="宋体" w:eastAsia="宋体" w:hAnsi="宋体" w:cs="Malgun Gothic Semilight" w:hint="eastAsia"/>
          <w:sz w:val="24"/>
          <w:szCs w:val="30"/>
        </w:rPr>
        <w:t>。</w:t>
      </w:r>
      <w:r>
        <w:rPr>
          <w:rFonts w:ascii="宋体" w:eastAsia="宋体" w:hAnsi="宋体" w:cs="Arial" w:hint="eastAsia"/>
          <w:sz w:val="24"/>
          <w:szCs w:val="30"/>
        </w:rPr>
        <w:t>15:30</w:t>
      </w:r>
      <w:r>
        <w:rPr>
          <w:rFonts w:ascii="宋体" w:eastAsia="宋体" w:hAnsi="宋体" w:cs="微软雅黑" w:hint="eastAsia"/>
          <w:sz w:val="24"/>
          <w:szCs w:val="30"/>
        </w:rPr>
        <w:t>之后发送的</w:t>
      </w:r>
      <w:r>
        <w:rPr>
          <w:rFonts w:ascii="宋体" w:eastAsia="宋体" w:hAnsi="宋体" w:cs="Malgun Gothic Semilight" w:hint="eastAsia"/>
          <w:sz w:val="24"/>
          <w:szCs w:val="30"/>
        </w:rPr>
        <w:t>，</w:t>
      </w:r>
      <w:r>
        <w:rPr>
          <w:rFonts w:ascii="宋体" w:eastAsia="宋体" w:hAnsi="宋体" w:cs="微软雅黑" w:hint="eastAsia"/>
          <w:sz w:val="24"/>
          <w:szCs w:val="30"/>
        </w:rPr>
        <w:t>基金托管人尽力执行</w:t>
      </w:r>
      <w:r>
        <w:rPr>
          <w:rFonts w:ascii="宋体" w:eastAsia="宋体" w:hAnsi="宋体" w:cs="Malgun Gothic Semilight" w:hint="eastAsia"/>
          <w:sz w:val="24"/>
          <w:szCs w:val="30"/>
        </w:rPr>
        <w:t>，</w:t>
      </w:r>
      <w:r>
        <w:rPr>
          <w:rFonts w:ascii="宋体" w:eastAsia="宋体" w:hAnsi="宋体" w:cs="微软雅黑" w:hint="eastAsia"/>
          <w:sz w:val="24"/>
          <w:szCs w:val="30"/>
        </w:rPr>
        <w:t>但不能保证划账成功</w:t>
      </w:r>
      <w:r>
        <w:rPr>
          <w:rFonts w:ascii="宋体" w:eastAsia="宋体" w:hAnsi="宋体" w:cs="Malgun Gothic Semilight" w:hint="eastAsia"/>
          <w:sz w:val="24"/>
          <w:szCs w:val="30"/>
        </w:rPr>
        <w:t>。</w:t>
      </w:r>
      <w:r>
        <w:rPr>
          <w:rFonts w:ascii="宋体" w:eastAsia="宋体" w:hAnsi="宋体" w:cs="微软雅黑" w:hint="eastAsia"/>
          <w:sz w:val="24"/>
          <w:szCs w:val="30"/>
        </w:rPr>
        <w:t>如果要求当天某一时点到账的指令</w:t>
      </w:r>
      <w:r>
        <w:rPr>
          <w:rFonts w:ascii="宋体" w:eastAsia="宋体" w:hAnsi="宋体" w:cs="Malgun Gothic Semilight" w:hint="eastAsia"/>
          <w:sz w:val="24"/>
          <w:szCs w:val="30"/>
        </w:rPr>
        <w:t>，</w:t>
      </w:r>
      <w:r>
        <w:rPr>
          <w:rFonts w:ascii="宋体" w:eastAsia="宋体" w:hAnsi="宋体" w:cs="微软雅黑" w:hint="eastAsia"/>
          <w:sz w:val="24"/>
          <w:szCs w:val="30"/>
        </w:rPr>
        <w:t>则指令需要提前</w:t>
      </w:r>
      <w:r>
        <w:rPr>
          <w:rFonts w:ascii="宋体" w:eastAsia="宋体" w:hAnsi="宋体" w:cs="Arial" w:hint="eastAsia"/>
          <w:sz w:val="24"/>
          <w:szCs w:val="30"/>
        </w:rPr>
        <w:t>2</w:t>
      </w:r>
      <w:r>
        <w:rPr>
          <w:rFonts w:ascii="宋体" w:eastAsia="宋体" w:hAnsi="宋体" w:cs="微软雅黑" w:hint="eastAsia"/>
          <w:sz w:val="24"/>
          <w:szCs w:val="30"/>
        </w:rPr>
        <w:t>个工作小时发送</w:t>
      </w:r>
      <w:r>
        <w:rPr>
          <w:rFonts w:ascii="宋体" w:eastAsia="宋体" w:hAnsi="宋体" w:cs="Malgun Gothic Semilight" w:hint="eastAsia"/>
          <w:sz w:val="24"/>
          <w:szCs w:val="30"/>
        </w:rPr>
        <w:t>，</w:t>
      </w:r>
      <w:r>
        <w:rPr>
          <w:rFonts w:ascii="宋体" w:eastAsia="宋体" w:hAnsi="宋体" w:cs="微软雅黑" w:hint="eastAsia"/>
          <w:sz w:val="24"/>
          <w:szCs w:val="30"/>
        </w:rPr>
        <w:t>且相关付款条件已经具备。不足2个工作小时的指令，基金托管人尽力执行，但不保证划款一定成功</w:t>
      </w:r>
      <w:r>
        <w:rPr>
          <w:rFonts w:ascii="宋体" w:eastAsia="宋体" w:hAnsi="宋体" w:cs="Malgun Gothic Semilight" w:hint="eastAsia"/>
          <w:sz w:val="24"/>
          <w:szCs w:val="30"/>
        </w:rPr>
        <w:t>。</w:t>
      </w:r>
      <w:r>
        <w:rPr>
          <w:rFonts w:ascii="宋体" w:eastAsia="宋体" w:hAnsi="宋体" w:cs="微软雅黑" w:hint="eastAsia"/>
          <w:sz w:val="24"/>
          <w:szCs w:val="30"/>
        </w:rPr>
        <w:t>基金托管人将视付款条件具备时为指令送达时间</w:t>
      </w:r>
      <w:r>
        <w:rPr>
          <w:rFonts w:ascii="宋体" w:eastAsia="宋体" w:hAnsi="宋体" w:cs="Malgun Gothic Semilight" w:hint="eastAsia"/>
          <w:sz w:val="24"/>
          <w:szCs w:val="30"/>
        </w:rPr>
        <w:t>。</w:t>
      </w:r>
      <w:r>
        <w:rPr>
          <w:rFonts w:ascii="宋体" w:eastAsia="宋体" w:hAnsi="宋体" w:cs="微软雅黑" w:hint="eastAsia"/>
          <w:sz w:val="24"/>
          <w:szCs w:val="30"/>
        </w:rPr>
        <w:t>对新股申购网下发行业务</w:t>
      </w:r>
      <w:r>
        <w:rPr>
          <w:rFonts w:ascii="宋体" w:eastAsia="宋体" w:hAnsi="宋体" w:cs="Malgun Gothic Semilight" w:hint="eastAsia"/>
          <w:sz w:val="24"/>
          <w:szCs w:val="30"/>
        </w:rPr>
        <w:t>，</w:t>
      </w:r>
      <w:r>
        <w:rPr>
          <w:rFonts w:ascii="宋体" w:eastAsia="宋体" w:hAnsi="宋体" w:cs="微软雅黑" w:hint="eastAsia"/>
          <w:sz w:val="24"/>
          <w:szCs w:val="30"/>
        </w:rPr>
        <w:t>基金管理人的指令发送时间最迟不应晚于网下申购缴款日</w:t>
      </w:r>
      <w:r>
        <w:rPr>
          <w:rFonts w:ascii="宋体" w:eastAsia="宋体" w:hAnsi="宋体" w:cs="Arial" w:hint="eastAsia"/>
          <w:sz w:val="24"/>
          <w:szCs w:val="30"/>
        </w:rPr>
        <w:t>T</w:t>
      </w:r>
      <w:r>
        <w:rPr>
          <w:rFonts w:ascii="宋体" w:eastAsia="宋体" w:hAnsi="宋体" w:cs="微软雅黑" w:hint="eastAsia"/>
          <w:sz w:val="24"/>
          <w:szCs w:val="30"/>
        </w:rPr>
        <w:t>日上午</w:t>
      </w:r>
      <w:r>
        <w:rPr>
          <w:rFonts w:ascii="宋体" w:eastAsia="宋体" w:hAnsi="宋体" w:cs="Arial" w:hint="eastAsia"/>
          <w:sz w:val="24"/>
          <w:szCs w:val="30"/>
        </w:rPr>
        <w:t>10:00。</w:t>
      </w:r>
      <w:r>
        <w:rPr>
          <w:rFonts w:ascii="宋体" w:eastAsia="宋体" w:hAnsi="宋体" w:cs="微软雅黑" w:hint="eastAsia"/>
          <w:sz w:val="24"/>
          <w:szCs w:val="24"/>
        </w:rPr>
        <w:t>基金管理人应确保基金托管人在执行指令时</w:t>
      </w:r>
      <w:r>
        <w:rPr>
          <w:rFonts w:ascii="宋体" w:eastAsia="宋体" w:hAnsi="宋体" w:cs="Malgun Gothic Semilight" w:hint="eastAsia"/>
          <w:sz w:val="24"/>
          <w:szCs w:val="24"/>
        </w:rPr>
        <w:t>，</w:t>
      </w:r>
      <w:r>
        <w:rPr>
          <w:rFonts w:ascii="宋体" w:eastAsia="宋体" w:hAnsi="宋体" w:cs="微软雅黑" w:hint="eastAsia"/>
          <w:sz w:val="24"/>
          <w:szCs w:val="24"/>
        </w:rPr>
        <w:t>基金托管资金账户有足够的资金余额</w:t>
      </w:r>
      <w:r>
        <w:rPr>
          <w:rFonts w:ascii="宋体" w:eastAsia="宋体" w:hAnsi="宋体" w:cs="Malgun Gothic Semilight" w:hint="eastAsia"/>
          <w:sz w:val="24"/>
          <w:szCs w:val="24"/>
        </w:rPr>
        <w:t>。</w:t>
      </w:r>
      <w:r>
        <w:rPr>
          <w:rFonts w:ascii="宋体" w:eastAsia="宋体" w:hAnsi="宋体" w:cs="微软雅黑" w:hint="eastAsia"/>
          <w:sz w:val="24"/>
          <w:szCs w:val="30"/>
        </w:rPr>
        <w:t>在基金资金头寸充足的情况下</w:t>
      </w:r>
      <w:r>
        <w:rPr>
          <w:rFonts w:ascii="宋体" w:eastAsia="宋体" w:hAnsi="宋体" w:cs="Malgun Gothic Semilight" w:hint="eastAsia"/>
          <w:sz w:val="24"/>
          <w:szCs w:val="30"/>
        </w:rPr>
        <w:t>，</w:t>
      </w:r>
      <w:r>
        <w:rPr>
          <w:rFonts w:ascii="宋体" w:eastAsia="宋体" w:hAnsi="宋体" w:cs="微软雅黑" w:hint="eastAsia"/>
          <w:sz w:val="24"/>
          <w:szCs w:val="30"/>
        </w:rPr>
        <w:t>基金托管人对基金管理人符合法律法规</w:t>
      </w:r>
      <w:r>
        <w:rPr>
          <w:rFonts w:ascii="宋体" w:eastAsia="宋体" w:hAnsi="宋体" w:cs="Malgun Gothic Semilight" w:hint="eastAsia"/>
          <w:sz w:val="24"/>
          <w:szCs w:val="30"/>
        </w:rPr>
        <w:t>、《</w:t>
      </w:r>
      <w:r>
        <w:rPr>
          <w:rFonts w:ascii="宋体" w:eastAsia="宋体" w:hAnsi="宋体" w:cs="微软雅黑" w:hint="eastAsia"/>
          <w:sz w:val="24"/>
          <w:szCs w:val="30"/>
        </w:rPr>
        <w:t>基金合同</w:t>
      </w:r>
      <w:r>
        <w:rPr>
          <w:rFonts w:ascii="宋体" w:eastAsia="宋体" w:hAnsi="宋体" w:cs="Malgun Gothic Semilight" w:hint="eastAsia"/>
          <w:sz w:val="24"/>
          <w:szCs w:val="30"/>
        </w:rPr>
        <w:t>》、</w:t>
      </w:r>
      <w:r>
        <w:rPr>
          <w:rFonts w:ascii="宋体" w:eastAsia="宋体" w:hAnsi="宋体" w:cs="微软雅黑" w:hint="eastAsia"/>
          <w:sz w:val="24"/>
          <w:szCs w:val="30"/>
        </w:rPr>
        <w:t>本协议的指令不得拖延或拒绝执行</w:t>
      </w:r>
      <w:r>
        <w:rPr>
          <w:rFonts w:ascii="宋体" w:eastAsia="宋体" w:hAnsi="宋体" w:cs="Malgun Gothic Semilight" w:hint="eastAsia"/>
          <w:sz w:val="24"/>
          <w:szCs w:val="30"/>
        </w:rPr>
        <w:t>。</w:t>
      </w:r>
    </w:p>
    <w:p w14:paraId="596077FF" w14:textId="77777777" w:rsidR="00C521E2" w:rsidRDefault="005D6E6D">
      <w:pPr>
        <w:adjustRightInd w:val="0"/>
        <w:snapToGrid w:val="0"/>
        <w:spacing w:line="360" w:lineRule="auto"/>
        <w:ind w:firstLine="480"/>
        <w:rPr>
          <w:rFonts w:ascii="宋体" w:eastAsia="宋体" w:hAnsi="宋体" w:cs="Arial"/>
          <w:sz w:val="24"/>
          <w:szCs w:val="30"/>
        </w:rPr>
      </w:pPr>
      <w:r>
        <w:rPr>
          <w:rFonts w:ascii="宋体" w:eastAsia="宋体" w:hAnsi="宋体" w:cs="Arial" w:hint="eastAsia"/>
          <w:sz w:val="24"/>
          <w:szCs w:val="30"/>
        </w:rPr>
        <w:t>（</w:t>
      </w:r>
      <w:r>
        <w:rPr>
          <w:rFonts w:ascii="宋体" w:eastAsia="宋体" w:hAnsi="宋体" w:cs="微软雅黑" w:hint="eastAsia"/>
          <w:sz w:val="24"/>
          <w:szCs w:val="30"/>
        </w:rPr>
        <w:t>四</w:t>
      </w:r>
      <w:r>
        <w:rPr>
          <w:rFonts w:ascii="宋体" w:eastAsia="宋体" w:hAnsi="宋体" w:cs="Malgun Gothic Semilight" w:hint="eastAsia"/>
          <w:sz w:val="24"/>
          <w:szCs w:val="30"/>
        </w:rPr>
        <w:t>）</w:t>
      </w:r>
      <w:r>
        <w:rPr>
          <w:rFonts w:ascii="宋体" w:eastAsia="宋体" w:hAnsi="宋体" w:cs="微软雅黑" w:hint="eastAsia"/>
          <w:sz w:val="24"/>
          <w:szCs w:val="30"/>
        </w:rPr>
        <w:t>基金管理人发送错误指令的情形和处理程序</w:t>
      </w:r>
    </w:p>
    <w:p w14:paraId="64E85E3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基金管理人发送错误指令的情形包括指令违反法律法规</w:t>
      </w:r>
      <w:r>
        <w:rPr>
          <w:rFonts w:ascii="宋体" w:eastAsia="宋体" w:hAnsi="宋体" w:cs="Arial" w:hint="eastAsia"/>
          <w:sz w:val="24"/>
          <w:szCs w:val="24"/>
        </w:rPr>
        <w:t>、</w:t>
      </w:r>
      <w:r>
        <w:rPr>
          <w:rFonts w:ascii="宋体" w:eastAsia="宋体" w:hAnsi="宋体" w:cs="微软雅黑" w:hint="eastAsia"/>
          <w:sz w:val="24"/>
          <w:szCs w:val="24"/>
        </w:rPr>
        <w:t>监管规定</w:t>
      </w:r>
      <w:r>
        <w:rPr>
          <w:rFonts w:ascii="宋体" w:eastAsia="宋体" w:hAnsi="宋体" w:cs="Malgun Gothic Semilight" w:hint="eastAsia"/>
          <w:sz w:val="24"/>
          <w:szCs w:val="24"/>
        </w:rPr>
        <w:t>、</w:t>
      </w:r>
      <w:r>
        <w:rPr>
          <w:rFonts w:ascii="宋体" w:eastAsia="宋体" w:hAnsi="宋体" w:cs="Arial"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或本协议的约定</w:t>
      </w:r>
      <w:r>
        <w:rPr>
          <w:rFonts w:ascii="宋体" w:eastAsia="宋体" w:hAnsi="宋体" w:cs="Arial" w:hint="eastAsia"/>
          <w:sz w:val="24"/>
          <w:szCs w:val="24"/>
        </w:rPr>
        <w:t>，</w:t>
      </w:r>
      <w:r>
        <w:rPr>
          <w:rFonts w:ascii="宋体" w:eastAsia="宋体" w:hAnsi="宋体" w:cs="微软雅黑" w:hint="eastAsia"/>
          <w:sz w:val="24"/>
          <w:szCs w:val="24"/>
        </w:rPr>
        <w:t>或指令发送人员无权或超越权限发送指令</w:t>
      </w:r>
      <w:r>
        <w:rPr>
          <w:rFonts w:ascii="宋体" w:eastAsia="宋体" w:hAnsi="宋体" w:cs="Malgun Gothic Semilight" w:hint="eastAsia"/>
          <w:sz w:val="24"/>
          <w:szCs w:val="24"/>
        </w:rPr>
        <w:t>。</w:t>
      </w:r>
    </w:p>
    <w:p w14:paraId="4172F8A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基金托管人发现基金管理人的指令错误时</w:t>
      </w:r>
      <w:r>
        <w:rPr>
          <w:rFonts w:ascii="宋体" w:eastAsia="宋体" w:hAnsi="宋体" w:cs="Malgun Gothic Semilight" w:hint="eastAsia"/>
          <w:sz w:val="24"/>
          <w:szCs w:val="24"/>
        </w:rPr>
        <w:t>，应当</w:t>
      </w:r>
      <w:r>
        <w:rPr>
          <w:rFonts w:ascii="宋体" w:eastAsia="宋体" w:hAnsi="宋体" w:cs="微软雅黑" w:hint="eastAsia"/>
          <w:sz w:val="24"/>
          <w:szCs w:val="24"/>
        </w:rPr>
        <w:t>拒绝执行</w:t>
      </w:r>
      <w:r>
        <w:rPr>
          <w:rFonts w:ascii="宋体" w:eastAsia="宋体" w:hAnsi="宋体" w:cs="Malgun Gothic Semilight" w:hint="eastAsia"/>
          <w:sz w:val="24"/>
          <w:szCs w:val="24"/>
        </w:rPr>
        <w:t>，</w:t>
      </w:r>
      <w:r>
        <w:rPr>
          <w:rFonts w:ascii="宋体" w:eastAsia="宋体" w:hAnsi="宋体" w:cs="微软雅黑" w:hint="eastAsia"/>
          <w:sz w:val="24"/>
          <w:szCs w:val="24"/>
        </w:rPr>
        <w:t>并及时通知基金管理人改正</w:t>
      </w:r>
      <w:r>
        <w:rPr>
          <w:rFonts w:ascii="宋体" w:eastAsia="宋体" w:hAnsi="宋体" w:cs="Malgun Gothic Semilight" w:hint="eastAsia"/>
          <w:sz w:val="24"/>
          <w:szCs w:val="24"/>
        </w:rPr>
        <w:t>。</w:t>
      </w:r>
      <w:r>
        <w:rPr>
          <w:rFonts w:ascii="宋体" w:eastAsia="宋体" w:hAnsi="宋体" w:cs="微软雅黑" w:hint="eastAsia"/>
          <w:sz w:val="24"/>
          <w:szCs w:val="24"/>
        </w:rPr>
        <w:t>如需托管人撤销尚未执行的指令</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基金管理人应出具作废指令或作废说明</w:t>
      </w:r>
      <w:r>
        <w:rPr>
          <w:rFonts w:ascii="宋体" w:eastAsia="宋体" w:hAnsi="宋体" w:cs="Malgun Gothic Semilight" w:hint="eastAsia"/>
          <w:sz w:val="24"/>
          <w:szCs w:val="24"/>
        </w:rPr>
        <w:t>，</w:t>
      </w:r>
      <w:r>
        <w:rPr>
          <w:rFonts w:ascii="宋体" w:eastAsia="宋体" w:hAnsi="宋体" w:cs="微软雅黑" w:hint="eastAsia"/>
          <w:sz w:val="24"/>
          <w:szCs w:val="24"/>
        </w:rPr>
        <w:t>并电话通知托管人</w:t>
      </w:r>
      <w:r>
        <w:rPr>
          <w:rFonts w:ascii="宋体" w:eastAsia="宋体" w:hAnsi="宋体" w:cs="Malgun Gothic Semilight" w:hint="eastAsia"/>
          <w:sz w:val="24"/>
          <w:szCs w:val="24"/>
        </w:rPr>
        <w:t>。</w:t>
      </w:r>
    </w:p>
    <w:p w14:paraId="72BA4A5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五</w:t>
      </w:r>
      <w:r>
        <w:rPr>
          <w:rFonts w:ascii="宋体" w:eastAsia="宋体" w:hAnsi="宋体" w:cs="Malgun Gothic Semilight" w:hint="eastAsia"/>
          <w:sz w:val="24"/>
          <w:szCs w:val="24"/>
        </w:rPr>
        <w:t>）</w:t>
      </w:r>
      <w:r>
        <w:rPr>
          <w:rFonts w:ascii="宋体" w:eastAsia="宋体" w:hAnsi="宋体" w:cs="微软雅黑" w:hint="eastAsia"/>
          <w:sz w:val="24"/>
          <w:szCs w:val="24"/>
        </w:rPr>
        <w:t>基金托管人未按照基金管理人指令执行的处理方法</w:t>
      </w:r>
    </w:p>
    <w:p w14:paraId="6FC257AC"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基金托管人由于自身过错</w:t>
      </w:r>
      <w:r>
        <w:rPr>
          <w:rFonts w:ascii="宋体" w:eastAsia="宋体" w:hAnsi="宋体" w:cs="Arial" w:hint="eastAsia"/>
          <w:sz w:val="24"/>
          <w:szCs w:val="24"/>
        </w:rPr>
        <w:t>，</w:t>
      </w:r>
      <w:r>
        <w:rPr>
          <w:rFonts w:ascii="宋体" w:eastAsia="宋体" w:hAnsi="宋体" w:cs="微软雅黑" w:hint="eastAsia"/>
          <w:sz w:val="24"/>
          <w:szCs w:val="24"/>
        </w:rPr>
        <w:t>未按照基金管理人发送的符合法律法规</w:t>
      </w:r>
      <w:r>
        <w:rPr>
          <w:rFonts w:ascii="宋体" w:eastAsia="宋体" w:hAnsi="宋体" w:cs="Malgun Gothic Semilight" w:hint="eastAsia"/>
          <w:sz w:val="24"/>
          <w:szCs w:val="24"/>
        </w:rPr>
        <w:t>、</w:t>
      </w:r>
      <w:r>
        <w:rPr>
          <w:rFonts w:ascii="宋体" w:eastAsia="宋体" w:hAnsi="宋体" w:cs="微软雅黑" w:hint="eastAsia"/>
          <w:sz w:val="24"/>
          <w:szCs w:val="24"/>
        </w:rPr>
        <w:t>监管规</w:t>
      </w:r>
      <w:r>
        <w:rPr>
          <w:rFonts w:ascii="宋体" w:eastAsia="宋体" w:hAnsi="宋体" w:cs="微软雅黑" w:hint="eastAsia"/>
          <w:sz w:val="24"/>
          <w:szCs w:val="24"/>
        </w:rPr>
        <w:lastRenderedPageBreak/>
        <w:t>定</w:t>
      </w:r>
      <w:r>
        <w:rPr>
          <w:rFonts w:ascii="宋体" w:eastAsia="宋体" w:hAnsi="宋体" w:cs="Malgun Gothic Semilight" w:hint="eastAsia"/>
          <w:sz w:val="24"/>
          <w:szCs w:val="24"/>
        </w:rPr>
        <w:t>、</w:t>
      </w:r>
      <w:r>
        <w:rPr>
          <w:rFonts w:ascii="宋体" w:eastAsia="宋体" w:hAnsi="宋体" w:cs="Arial"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和本协议约定的指令执行并对基金财产或投资人造成的直接损失</w:t>
      </w:r>
      <w:r>
        <w:rPr>
          <w:rFonts w:ascii="宋体" w:eastAsia="宋体" w:hAnsi="宋体" w:cs="Malgun Gothic Semilight" w:hint="eastAsia"/>
          <w:sz w:val="24"/>
          <w:szCs w:val="24"/>
        </w:rPr>
        <w:t>，</w:t>
      </w:r>
      <w:r>
        <w:rPr>
          <w:rFonts w:ascii="宋体" w:eastAsia="宋体" w:hAnsi="宋体" w:cs="微软雅黑" w:hint="eastAsia"/>
          <w:sz w:val="24"/>
          <w:szCs w:val="24"/>
        </w:rPr>
        <w:t>由基金托管人赔偿由此造成的直接损失</w:t>
      </w:r>
      <w:r>
        <w:rPr>
          <w:rFonts w:ascii="宋体" w:eastAsia="宋体" w:hAnsi="宋体" w:cs="Times New Roman" w:hint="eastAsia"/>
          <w:sz w:val="24"/>
          <w:szCs w:val="24"/>
        </w:rPr>
        <w:t>。</w:t>
      </w:r>
    </w:p>
    <w:p w14:paraId="0DAA55B4"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六</w:t>
      </w:r>
      <w:r>
        <w:rPr>
          <w:rFonts w:ascii="宋体" w:eastAsia="宋体" w:hAnsi="宋体" w:cs="Arial" w:hint="eastAsia"/>
          <w:sz w:val="24"/>
          <w:szCs w:val="24"/>
        </w:rPr>
        <w:t>）</w:t>
      </w:r>
      <w:r>
        <w:rPr>
          <w:rFonts w:ascii="宋体" w:eastAsia="宋体" w:hAnsi="宋体" w:cs="微软雅黑" w:hint="eastAsia"/>
          <w:sz w:val="24"/>
          <w:szCs w:val="24"/>
        </w:rPr>
        <w:t>其他事项</w:t>
      </w:r>
    </w:p>
    <w:p w14:paraId="5AA6836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基金托管人在接收指令时</w:t>
      </w:r>
      <w:r>
        <w:rPr>
          <w:rFonts w:ascii="宋体" w:eastAsia="宋体" w:hAnsi="宋体" w:cs="Malgun Gothic Semilight" w:hint="eastAsia"/>
          <w:sz w:val="24"/>
          <w:szCs w:val="24"/>
        </w:rPr>
        <w:t>，</w:t>
      </w:r>
      <w:r>
        <w:rPr>
          <w:rFonts w:ascii="宋体" w:eastAsia="宋体" w:hAnsi="宋体" w:cs="微软雅黑" w:hint="eastAsia"/>
          <w:sz w:val="24"/>
          <w:szCs w:val="24"/>
        </w:rPr>
        <w:t>应对指令的要素是否齐全</w:t>
      </w:r>
      <w:r>
        <w:rPr>
          <w:rFonts w:ascii="宋体" w:eastAsia="宋体" w:hAnsi="宋体" w:cs="Malgun Gothic Semilight" w:hint="eastAsia"/>
          <w:sz w:val="24"/>
          <w:szCs w:val="24"/>
        </w:rPr>
        <w:t>、</w:t>
      </w:r>
      <w:r>
        <w:rPr>
          <w:rFonts w:ascii="宋体" w:eastAsia="宋体" w:hAnsi="宋体" w:cs="微软雅黑" w:hint="eastAsia"/>
          <w:sz w:val="24"/>
          <w:szCs w:val="24"/>
        </w:rPr>
        <w:t>印鉴与被授权人是否与预留的授权文件内容表面相符进行检查</w:t>
      </w:r>
      <w:r>
        <w:rPr>
          <w:rFonts w:ascii="宋体" w:eastAsia="宋体" w:hAnsi="宋体" w:cs="Malgun Gothic Semilight" w:hint="eastAsia"/>
          <w:sz w:val="24"/>
          <w:szCs w:val="24"/>
        </w:rPr>
        <w:t>，</w:t>
      </w:r>
      <w:r>
        <w:rPr>
          <w:rFonts w:ascii="宋体" w:eastAsia="宋体" w:hAnsi="宋体" w:cs="微软雅黑" w:hint="eastAsia"/>
          <w:sz w:val="24"/>
          <w:szCs w:val="24"/>
        </w:rPr>
        <w:t>如发现问题</w:t>
      </w:r>
      <w:r>
        <w:rPr>
          <w:rFonts w:ascii="宋体" w:eastAsia="宋体" w:hAnsi="宋体" w:cs="Malgun Gothic Semilight" w:hint="eastAsia"/>
          <w:sz w:val="24"/>
          <w:szCs w:val="24"/>
        </w:rPr>
        <w:t>，</w:t>
      </w:r>
      <w:r>
        <w:rPr>
          <w:rFonts w:ascii="宋体" w:eastAsia="宋体" w:hAnsi="宋体" w:cs="微软雅黑" w:hint="eastAsia"/>
          <w:sz w:val="24"/>
          <w:szCs w:val="24"/>
        </w:rPr>
        <w:t>应及时报告基金管理人</w:t>
      </w:r>
      <w:r>
        <w:rPr>
          <w:rFonts w:ascii="宋体" w:eastAsia="宋体" w:hAnsi="宋体" w:cs="Malgun Gothic Semilight" w:hint="eastAsia"/>
          <w:sz w:val="24"/>
          <w:szCs w:val="24"/>
        </w:rPr>
        <w:t>。</w:t>
      </w:r>
      <w:r>
        <w:rPr>
          <w:rFonts w:ascii="宋体" w:eastAsia="宋体" w:hAnsi="宋体" w:cs="微软雅黑" w:hint="eastAsia"/>
          <w:sz w:val="24"/>
          <w:szCs w:val="24"/>
        </w:rPr>
        <w:t>基金托管人对执行基金管理人的有效指令对基金财产造成的损失不承担赔偿责任</w:t>
      </w:r>
      <w:r>
        <w:rPr>
          <w:rFonts w:ascii="宋体" w:eastAsia="宋体" w:hAnsi="宋体" w:cs="Arial" w:hint="eastAsia"/>
          <w:sz w:val="24"/>
          <w:szCs w:val="24"/>
        </w:rPr>
        <w:t>。</w:t>
      </w:r>
    </w:p>
    <w:p w14:paraId="410AE16D"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基金参与认购未上市债券时</w:t>
      </w:r>
      <w:r>
        <w:rPr>
          <w:rFonts w:ascii="宋体" w:eastAsia="宋体" w:hAnsi="宋体" w:cs="Malgun Gothic Semilight" w:hint="eastAsia"/>
          <w:sz w:val="24"/>
          <w:szCs w:val="24"/>
        </w:rPr>
        <w:t>，</w:t>
      </w:r>
      <w:r>
        <w:rPr>
          <w:rFonts w:ascii="宋体" w:eastAsia="宋体" w:hAnsi="宋体" w:cs="微软雅黑" w:hint="eastAsia"/>
          <w:sz w:val="24"/>
          <w:szCs w:val="24"/>
        </w:rPr>
        <w:t>基金管理人应代表本基金与对手方签署相关合同或协议</w:t>
      </w:r>
      <w:r>
        <w:rPr>
          <w:rFonts w:ascii="宋体" w:eastAsia="宋体" w:hAnsi="宋体" w:cs="Malgun Gothic Semilight" w:hint="eastAsia"/>
          <w:sz w:val="24"/>
          <w:szCs w:val="24"/>
        </w:rPr>
        <w:t>，</w:t>
      </w:r>
      <w:r>
        <w:rPr>
          <w:rFonts w:ascii="宋体" w:eastAsia="宋体" w:hAnsi="宋体" w:cs="微软雅黑" w:hint="eastAsia"/>
          <w:sz w:val="24"/>
          <w:szCs w:val="24"/>
        </w:rPr>
        <w:t>明确约定债券过户具体事宜</w:t>
      </w:r>
      <w:r>
        <w:rPr>
          <w:rFonts w:ascii="宋体" w:eastAsia="宋体" w:hAnsi="宋体" w:cs="Malgun Gothic Semilight" w:hint="eastAsia"/>
          <w:sz w:val="24"/>
          <w:szCs w:val="24"/>
        </w:rPr>
        <w:t>。</w:t>
      </w:r>
      <w:r>
        <w:rPr>
          <w:rFonts w:ascii="宋体" w:eastAsia="宋体" w:hAnsi="宋体" w:cs="微软雅黑" w:hint="eastAsia"/>
          <w:sz w:val="24"/>
          <w:szCs w:val="24"/>
        </w:rPr>
        <w:t>否则</w:t>
      </w:r>
      <w:r>
        <w:rPr>
          <w:rFonts w:ascii="宋体" w:eastAsia="宋体" w:hAnsi="宋体" w:cs="Malgun Gothic Semilight" w:hint="eastAsia"/>
          <w:sz w:val="24"/>
          <w:szCs w:val="24"/>
        </w:rPr>
        <w:t>，</w:t>
      </w:r>
      <w:r>
        <w:rPr>
          <w:rFonts w:ascii="宋体" w:eastAsia="宋体" w:hAnsi="宋体" w:cs="微软雅黑" w:hint="eastAsia"/>
          <w:sz w:val="24"/>
          <w:szCs w:val="24"/>
        </w:rPr>
        <w:t>基金管理人需对所认购债券的过户事宜承担相应责任</w:t>
      </w:r>
      <w:r>
        <w:rPr>
          <w:rFonts w:ascii="宋体" w:eastAsia="宋体" w:hAnsi="宋体" w:cs="Malgun Gothic Semilight" w:hint="eastAsia"/>
          <w:sz w:val="24"/>
          <w:szCs w:val="24"/>
        </w:rPr>
        <w:t>。</w:t>
      </w:r>
    </w:p>
    <w:p w14:paraId="5976ED7C" w14:textId="77777777" w:rsidR="00C521E2" w:rsidRDefault="00C521E2">
      <w:pPr>
        <w:adjustRightInd w:val="0"/>
        <w:snapToGrid w:val="0"/>
        <w:spacing w:line="360" w:lineRule="auto"/>
        <w:rPr>
          <w:rFonts w:ascii="宋体" w:eastAsia="宋体" w:hAnsi="宋体" w:cs="Arial"/>
          <w:sz w:val="24"/>
          <w:szCs w:val="24"/>
        </w:rPr>
      </w:pPr>
    </w:p>
    <w:p w14:paraId="4281948D"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65" w:name="_Toc84234390"/>
      <w:bookmarkStart w:id="66" w:name="_Toc118212953"/>
      <w:bookmarkStart w:id="67" w:name="_Toc110761799"/>
      <w:bookmarkStart w:id="68" w:name="_Toc86727358"/>
      <w:bookmarkStart w:id="69" w:name="_Toc86649725"/>
      <w:bookmarkStart w:id="70" w:name="_Toc108512361"/>
      <w:bookmarkStart w:id="71" w:name="_Toc86223245"/>
      <w:bookmarkStart w:id="72" w:name="_Toc84234437"/>
      <w:bookmarkStart w:id="73" w:name="_Toc120435786"/>
      <w:bookmarkStart w:id="74" w:name="_Toc118774806"/>
      <w:bookmarkStart w:id="75" w:name="_Toc86225294"/>
      <w:bookmarkStart w:id="76" w:name="_Toc119402713"/>
      <w:bookmarkStart w:id="77" w:name="_Toc110830495"/>
      <w:bookmarkStart w:id="78" w:name="_Toc84133788"/>
      <w:bookmarkStart w:id="79" w:name="_Toc204539398"/>
      <w:bookmarkStart w:id="80" w:name="_Toc86204791"/>
      <w:bookmarkStart w:id="81" w:name="_Toc86737932"/>
      <w:bookmarkStart w:id="82" w:name="_Toc110765663"/>
      <w:bookmarkStart w:id="83" w:name="_Toc86726442"/>
      <w:bookmarkStart w:id="84" w:name="_Toc118972651"/>
      <w:bookmarkStart w:id="85" w:name="_Toc89163371"/>
      <w:r>
        <w:rPr>
          <w:rFonts w:ascii="宋体" w:eastAsia="宋体" w:hAnsi="宋体" w:cs="微软雅黑" w:hint="eastAsia"/>
          <w:b/>
          <w:sz w:val="30"/>
          <w:szCs w:val="20"/>
        </w:rPr>
        <w:t>七</w:t>
      </w:r>
      <w:r>
        <w:rPr>
          <w:rFonts w:ascii="宋体" w:eastAsia="宋体" w:hAnsi="宋体" w:cs="Malgun Gothic Semilight" w:hint="eastAsia"/>
          <w:b/>
          <w:sz w:val="30"/>
          <w:szCs w:val="20"/>
        </w:rPr>
        <w:t>、</w:t>
      </w:r>
      <w:r>
        <w:rPr>
          <w:rFonts w:ascii="宋体" w:eastAsia="宋体" w:hAnsi="宋体" w:cs="微软雅黑" w:hint="eastAsia"/>
          <w:b/>
          <w:sz w:val="30"/>
          <w:szCs w:val="20"/>
        </w:rPr>
        <w:t>交易及清算交收安排</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02CAB49"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本基金参与交易所场内证券投资，采取托管人结算模式。基金管理人与基金托管人应根据有关法律法规及相关业务规则，签订《托管银行证券资金结算协议》及用以具体明确基金管理人与基金托管人在证券交易资金结算（含港股通）业务中的程序与责任的文件。协议签署前，基金管理人应按基金托管人要求配合提供相应准入材料。</w:t>
      </w:r>
    </w:p>
    <w:p w14:paraId="4CB3BCA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选择证券</w:t>
      </w:r>
      <w:r>
        <w:rPr>
          <w:rFonts w:ascii="宋体" w:eastAsia="宋体" w:hAnsi="宋体" w:cs="微软雅黑"/>
          <w:sz w:val="24"/>
          <w:szCs w:val="24"/>
        </w:rPr>
        <w:t>/期货买卖的证券/期货经纪机构</w:t>
      </w:r>
    </w:p>
    <w:p w14:paraId="26582D4E"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管理人应设计选择证券买卖的证券经营机构的标准和程序。基金管理人负责选择代理本基金证券买卖的证券经营机构，租用其交易单元作为基金的专用交易单元。基金管理人和被选中的证券经营机构签订交易单元租用协议，并应提前通知基金托管人，并依据基金托管人要求提供相关资料，以便基金托管人申请办理接收结算数据手续。基金管理人应根据有关规定，在本基金的中期报告和年度报告中将所选证券经营机构的有关情况、基金通过该证券经营机构买卖证券的成交量、回购成交量和支付的佣金等予以披露，并将上述情况及基金交易单元号、佣金费率等基本信息以及变更情况及时以书面形式通知基金托管人。</w:t>
      </w:r>
    </w:p>
    <w:p w14:paraId="1A94AEF7"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本基金在开始进行期货投资之前，应与基金托管人、期货公司三方一同就期货开户、清算、估值、交收等事宜另行签署《期货投资托管操作三方备忘录》（协议名称以届时签订的为准）。</w:t>
      </w:r>
    </w:p>
    <w:p w14:paraId="5508FCDE"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lastRenderedPageBreak/>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基金开立衍生品合约账户后，再通过该证券公司（或期货公司）参与股票期权交易。</w:t>
      </w:r>
    </w:p>
    <w:p w14:paraId="54D9A0E5"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基金投资证券后的清算交收安排</w:t>
      </w:r>
    </w:p>
    <w:p w14:paraId="3BFE5FA3"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sz w:val="24"/>
          <w:szCs w:val="24"/>
        </w:rPr>
        <w:t>1.结算备付金与保证金</w:t>
      </w:r>
    </w:p>
    <w:p w14:paraId="28A7C004"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中国证券登记结算有限责任公司分别于每月前</w:t>
      </w:r>
      <w:r>
        <w:rPr>
          <w:rFonts w:ascii="宋体" w:eastAsia="宋体" w:hAnsi="宋体" w:cs="Arial"/>
          <w:sz w:val="24"/>
          <w:szCs w:val="24"/>
        </w:rPr>
        <w:t>6个交易日及每月前2个交易日内，对结算参与人最低备付金限额与结算保证金限额进行重新核算、调整。基金托管人应分别于每月前</w:t>
      </w:r>
      <w:r>
        <w:rPr>
          <w:rFonts w:ascii="宋体" w:eastAsia="宋体" w:hAnsi="宋体" w:cs="Arial" w:hint="eastAsia"/>
          <w:sz w:val="24"/>
          <w:szCs w:val="24"/>
        </w:rPr>
        <w:t>3个交易日内及结算保证金</w:t>
      </w:r>
      <w:r>
        <w:rPr>
          <w:rFonts w:ascii="宋体" w:eastAsia="宋体" w:hAnsi="宋体" w:cs="Arial"/>
          <w:sz w:val="24"/>
          <w:szCs w:val="24"/>
        </w:rPr>
        <w:t>调整当日通过《资金账户报告》通知基金管理人本基金最低备付金调整金额以及调整后的结算保证金金额。基金管理人应预留最低备付金和结算保证金，并根据中国证券登记结算有限责任公司确定的实际最低备付金、结算保证金数据为依据安排资金运作，调整所需的现金头寸。如因调整最低备付金、结算保证金后造成透支，基金管理人应视基金托管人最低</w:t>
      </w:r>
      <w:r>
        <w:rPr>
          <w:rFonts w:ascii="宋体" w:eastAsia="宋体" w:hAnsi="宋体" w:cs="Arial" w:hint="eastAsia"/>
          <w:sz w:val="24"/>
          <w:szCs w:val="24"/>
        </w:rPr>
        <w:t>结算备付金比例计收方式分别于下列时点补足透支金额：</w:t>
      </w:r>
    </w:p>
    <w:p w14:paraId="467E1E16"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w:t>
      </w:r>
      <w:r>
        <w:rPr>
          <w:rFonts w:ascii="宋体" w:eastAsia="宋体" w:hAnsi="宋体" w:cs="Arial" w:hint="eastAsia"/>
          <w:sz w:val="24"/>
          <w:szCs w:val="24"/>
        </w:rPr>
        <w:t>在</w:t>
      </w:r>
      <w:r>
        <w:rPr>
          <w:rFonts w:ascii="宋体" w:eastAsia="宋体" w:hAnsi="宋体" w:cs="Arial"/>
          <w:sz w:val="24"/>
          <w:szCs w:val="24"/>
        </w:rPr>
        <w:t>固定备付金比例计收方式下，基金管理人应在调整最低备付金、结算保证金当日上午</w:t>
      </w:r>
      <w:r>
        <w:rPr>
          <w:rFonts w:ascii="宋体" w:eastAsia="宋体" w:hAnsi="宋体" w:cs="Arial" w:hint="eastAsia"/>
          <w:sz w:val="24"/>
          <w:szCs w:val="24"/>
        </w:rPr>
        <w:t>11</w:t>
      </w:r>
      <w:r>
        <w:rPr>
          <w:rFonts w:ascii="宋体" w:eastAsia="宋体" w:hAnsi="宋体" w:cs="Arial"/>
          <w:sz w:val="24"/>
          <w:szCs w:val="24"/>
        </w:rPr>
        <w:t>：00之前补足金额。</w:t>
      </w:r>
    </w:p>
    <w:p w14:paraId="2EE722B4"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2）</w:t>
      </w:r>
      <w:r>
        <w:rPr>
          <w:rFonts w:ascii="宋体" w:eastAsia="宋体" w:hAnsi="宋体" w:cs="Arial" w:hint="eastAsia"/>
          <w:sz w:val="24"/>
          <w:szCs w:val="24"/>
        </w:rPr>
        <w:t>在</w:t>
      </w:r>
      <w:r>
        <w:rPr>
          <w:rFonts w:ascii="宋体" w:eastAsia="宋体" w:hAnsi="宋体" w:cs="Arial"/>
          <w:sz w:val="24"/>
          <w:szCs w:val="24"/>
        </w:rPr>
        <w:t>差异化备付金比例计收方式下，基金管理人应最晚于资金交收日上午8：30前补足金额。</w:t>
      </w:r>
    </w:p>
    <w:p w14:paraId="742B2AD4"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sz w:val="24"/>
          <w:szCs w:val="24"/>
        </w:rPr>
        <w:t>2</w:t>
      </w:r>
      <w:r>
        <w:rPr>
          <w:rFonts w:ascii="宋体" w:eastAsia="宋体" w:hAnsi="宋体" w:cs="Arial" w:hint="eastAsia"/>
          <w:sz w:val="24"/>
          <w:szCs w:val="24"/>
        </w:rPr>
        <w:t>.</w:t>
      </w:r>
      <w:r>
        <w:rPr>
          <w:rFonts w:ascii="宋体" w:eastAsia="宋体" w:hAnsi="宋体" w:cs="微软雅黑" w:hint="eastAsia"/>
          <w:sz w:val="24"/>
          <w:szCs w:val="24"/>
        </w:rPr>
        <w:t>清算交收</w:t>
      </w:r>
    </w:p>
    <w:p w14:paraId="3717063F"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基金托管人负责基金买卖证券的清算交收。场内资金结算由基金托管人根据中国证券登记结算有限责任公司结算数据办理；场外资金汇划由基金托管人根据基金管理人的交易划款指令具体办理。</w:t>
      </w:r>
    </w:p>
    <w:p w14:paraId="095762DA" w14:textId="1E2A718C"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如果因为基金托管人自身过错在清算上造成基金财产的直接损失，应由基金托管人负责赔偿，但因中国人民银行、中国</w:t>
      </w:r>
      <w:r>
        <w:rPr>
          <w:rFonts w:ascii="宋体" w:eastAsia="宋体" w:hAnsi="宋体" w:cs="Arial" w:hint="eastAsia"/>
          <w:sz w:val="24"/>
          <w:szCs w:val="24"/>
        </w:rPr>
        <w:t>证券登记</w:t>
      </w:r>
      <w:r>
        <w:rPr>
          <w:rFonts w:ascii="宋体" w:eastAsia="宋体" w:hAnsi="宋体" w:cs="微软雅黑" w:hint="eastAsia"/>
          <w:sz w:val="24"/>
          <w:szCs w:val="24"/>
        </w:rPr>
        <w:t>结算</w:t>
      </w:r>
      <w:r>
        <w:rPr>
          <w:rFonts w:ascii="宋体" w:eastAsia="宋体" w:hAnsi="宋体" w:cs="Arial" w:hint="eastAsia"/>
          <w:sz w:val="24"/>
          <w:szCs w:val="24"/>
        </w:rPr>
        <w:t>有限责任公司</w:t>
      </w:r>
      <w:r>
        <w:rPr>
          <w:rFonts w:ascii="宋体" w:eastAsia="宋体" w:hAnsi="宋体" w:cs="微软雅黑" w:hint="eastAsia"/>
          <w:sz w:val="24"/>
          <w:szCs w:val="24"/>
        </w:rPr>
        <w:t>和银行间市场登记结算机构资金结算系统以及其他机构的结算系统发生故障等非基金托管人可以控制的因素造成清算资金无法按时到账的情形，基金托管人不承担任何责任。如果因为基金管理人未事先通知基金托管人增加交易单元等事宜，致使基金托管人接收数据不完整，造成清算差错的责任由基金管理人承担。如果因为基金管理人未事先通知需要单独结算的交易，造成基金资产的损失由基金管理人承担。如果由于基金管理人违反市场操作规则的规定进行超买、超卖及质押券欠库等原</w:t>
      </w:r>
      <w:r>
        <w:rPr>
          <w:rFonts w:ascii="宋体" w:eastAsia="宋体" w:hAnsi="宋体" w:cs="微软雅黑" w:hint="eastAsia"/>
          <w:sz w:val="24"/>
          <w:szCs w:val="24"/>
        </w:rPr>
        <w:lastRenderedPageBreak/>
        <w:t>因造成基金投资清算困难和风险的，基金托管人在预清算结束后通知基金管理人预透支和预欠库事项；基金管理人应保持联系方式畅通，后续补缴等事宜由基金管理人负责解决；由基金管理人按照其与基金托管人签署的《托管银行证券资金结算协议》的约定承担相关责任。</w:t>
      </w:r>
    </w:p>
    <w:p w14:paraId="2C18E0D7"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基金管理人应采取合理、必要措施，确保</w:t>
      </w:r>
      <w:r>
        <w:rPr>
          <w:rFonts w:ascii="宋体" w:eastAsia="宋体" w:hAnsi="宋体" w:cs="微软雅黑"/>
          <w:sz w:val="24"/>
          <w:szCs w:val="24"/>
        </w:rPr>
        <w:t>T日日终有足够的资金头寸完成T+1日中国证券登记结算有限责任公司的资金交收</w:t>
      </w:r>
      <w:r>
        <w:rPr>
          <w:rFonts w:ascii="宋体" w:eastAsia="宋体" w:hAnsi="宋体" w:cs="微软雅黑" w:hint="eastAsia"/>
          <w:sz w:val="24"/>
          <w:szCs w:val="24"/>
        </w:rPr>
        <w:t>。</w:t>
      </w:r>
      <w:r>
        <w:rPr>
          <w:rFonts w:ascii="宋体" w:eastAsia="宋体" w:hAnsi="宋体" w:cs="微软雅黑"/>
          <w:sz w:val="24"/>
          <w:szCs w:val="24"/>
        </w:rPr>
        <w:t>如因基金管理人原因导致资金头寸不足，基金管理人应视基金托管人最低结算备付金比例计收方式分别于下列时点补足透支金额：</w:t>
      </w:r>
    </w:p>
    <w:p w14:paraId="51766C19"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w:t>
      </w:r>
      <w:r>
        <w:rPr>
          <w:rFonts w:ascii="宋体" w:eastAsia="宋体" w:hAnsi="宋体" w:cs="微软雅黑"/>
          <w:sz w:val="24"/>
          <w:szCs w:val="24"/>
        </w:rPr>
        <w:t>1）固定备付金比例计收方式下，基金管理人应最晚于资金交收日上午</w:t>
      </w:r>
      <w:r>
        <w:rPr>
          <w:rFonts w:ascii="宋体" w:eastAsia="宋体" w:hAnsi="宋体" w:cs="微软雅黑" w:hint="eastAsia"/>
          <w:sz w:val="24"/>
          <w:szCs w:val="24"/>
        </w:rPr>
        <w:t>11</w:t>
      </w:r>
      <w:r>
        <w:rPr>
          <w:rFonts w:ascii="宋体" w:eastAsia="宋体" w:hAnsi="宋体" w:cs="微软雅黑"/>
          <w:sz w:val="24"/>
          <w:szCs w:val="24"/>
        </w:rPr>
        <w:t>：00前补足金额。</w:t>
      </w:r>
    </w:p>
    <w:p w14:paraId="620D6A68"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w:t>
      </w:r>
      <w:r>
        <w:rPr>
          <w:rFonts w:ascii="宋体" w:eastAsia="宋体" w:hAnsi="宋体" w:cs="微软雅黑"/>
          <w:sz w:val="24"/>
          <w:szCs w:val="24"/>
        </w:rPr>
        <w:t>2）差异化备付金比例计收方式下，基金管理人应最晚于资金交收日上午8：30前补足金额。如果基金管理人未遵循上述规定备足资金头寸，影响基金资产的清算交收及基金托管人与中国证券登记结算有限责任公司之间的一级清算，</w:t>
      </w:r>
      <w:r>
        <w:rPr>
          <w:rFonts w:ascii="宋体" w:eastAsia="宋体" w:hAnsi="宋体" w:cs="微软雅黑" w:hint="eastAsia"/>
          <w:sz w:val="24"/>
          <w:szCs w:val="24"/>
        </w:rPr>
        <w:t>由基金管理人按照其与基金托管人签署的《托管银行证券资金结算协议》的约定承担相关责任</w:t>
      </w:r>
      <w:r>
        <w:rPr>
          <w:rFonts w:ascii="宋体" w:eastAsia="宋体" w:hAnsi="宋体" w:cs="微软雅黑"/>
          <w:sz w:val="24"/>
          <w:szCs w:val="24"/>
        </w:rPr>
        <w:t>。</w:t>
      </w:r>
    </w:p>
    <w:p w14:paraId="37B81583"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根据中国证券登记结算有限责任公司结算规定，基金管理人在进行融资回购业务时，用于融资回购的债券将作为偿还融资回购到期购回款的质押券。如因基金管理人原因造成债券回购交收违约或因折算率变化造成质押欠库，导致中国证券登记结算有限责任公司欠库扣款或对质押券进行处置造成的投资风险和损失由基金管理人承担。</w:t>
      </w:r>
    </w:p>
    <w:p w14:paraId="2C1E147D" w14:textId="4D7BBACA"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对于中国证券登记结算有限责任公司实行</w:t>
      </w:r>
      <w:r>
        <w:rPr>
          <w:rFonts w:ascii="宋体" w:eastAsia="宋体" w:hAnsi="宋体" w:cs="微软雅黑"/>
          <w:sz w:val="24"/>
          <w:szCs w:val="24"/>
        </w:rPr>
        <w:t>T+0非担保交收的业务，基金管理人应在交易日14:00前将划款指令发送至基金托管人。因基金管理人指令传输不及时，致使资金未能及时划入中国证券登记结算有限责任公司指定交收账户所造成的损失由基金管理人承担</w:t>
      </w:r>
      <w:r>
        <w:rPr>
          <w:rFonts w:ascii="宋体" w:eastAsia="宋体" w:hAnsi="宋体" w:cs="微软雅黑" w:hint="eastAsia"/>
          <w:sz w:val="24"/>
          <w:szCs w:val="24"/>
        </w:rPr>
        <w:t>，包括但不限于赔偿在该市场占用其他托管客户交易资金导致的客户损失，</w:t>
      </w:r>
      <w:r>
        <w:rPr>
          <w:rFonts w:ascii="宋体" w:eastAsia="宋体" w:hAnsi="宋体" w:cs="微软雅黑"/>
          <w:sz w:val="24"/>
          <w:szCs w:val="24"/>
        </w:rPr>
        <w:t>赔偿因占用结算参与人最低备付金带来的利息损失。</w:t>
      </w:r>
    </w:p>
    <w:p w14:paraId="686E7E7C"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sz w:val="24"/>
          <w:szCs w:val="24"/>
        </w:rPr>
        <w:t>3</w:t>
      </w:r>
      <w:r>
        <w:rPr>
          <w:rFonts w:ascii="宋体" w:eastAsia="宋体" w:hAnsi="宋体" w:cs="Arial" w:hint="eastAsia"/>
          <w:sz w:val="24"/>
          <w:szCs w:val="24"/>
        </w:rPr>
        <w:t>.</w:t>
      </w:r>
      <w:r>
        <w:rPr>
          <w:rFonts w:ascii="宋体" w:eastAsia="宋体" w:hAnsi="宋体" w:cs="微软雅黑" w:hint="eastAsia"/>
          <w:sz w:val="24"/>
          <w:szCs w:val="24"/>
        </w:rPr>
        <w:t>交易记录</w:t>
      </w:r>
      <w:r>
        <w:rPr>
          <w:rFonts w:ascii="宋体" w:eastAsia="宋体" w:hAnsi="宋体" w:cs="Malgun Gothic Semilight" w:hint="eastAsia"/>
          <w:sz w:val="24"/>
          <w:szCs w:val="24"/>
        </w:rPr>
        <w:t>、</w:t>
      </w:r>
      <w:r>
        <w:rPr>
          <w:rFonts w:ascii="宋体" w:eastAsia="宋体" w:hAnsi="宋体" w:cs="微软雅黑" w:hint="eastAsia"/>
          <w:sz w:val="24"/>
          <w:szCs w:val="24"/>
        </w:rPr>
        <w:t>资金和证券/期货账目核对的时间和方式</w:t>
      </w:r>
    </w:p>
    <w:p w14:paraId="71F74478"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交易记录的核对</w:t>
      </w:r>
    </w:p>
    <w:p w14:paraId="360A9F3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基金管理人按日进行交易记录的核对</w:t>
      </w:r>
      <w:r>
        <w:rPr>
          <w:rFonts w:ascii="宋体" w:eastAsia="宋体" w:hAnsi="宋体" w:cs="Malgun Gothic Semilight" w:hint="eastAsia"/>
          <w:sz w:val="24"/>
          <w:szCs w:val="24"/>
        </w:rPr>
        <w:t>。</w:t>
      </w:r>
      <w:r>
        <w:rPr>
          <w:rFonts w:ascii="宋体" w:eastAsia="宋体" w:hAnsi="宋体" w:cs="微软雅黑" w:hint="eastAsia"/>
          <w:sz w:val="24"/>
          <w:szCs w:val="24"/>
        </w:rPr>
        <w:t>每日对外披露净值之前</w:t>
      </w:r>
      <w:r>
        <w:rPr>
          <w:rFonts w:ascii="宋体" w:eastAsia="宋体" w:hAnsi="宋体" w:cs="Malgun Gothic Semilight" w:hint="eastAsia"/>
          <w:sz w:val="24"/>
          <w:szCs w:val="24"/>
        </w:rPr>
        <w:t>，</w:t>
      </w:r>
      <w:r>
        <w:rPr>
          <w:rFonts w:ascii="宋体" w:eastAsia="宋体" w:hAnsi="宋体" w:cs="微软雅黑" w:hint="eastAsia"/>
          <w:sz w:val="24"/>
          <w:szCs w:val="24"/>
        </w:rPr>
        <w:t>必须保证当天所有实际交易记录与基金会计账簿上的交易记录完全一致</w:t>
      </w:r>
      <w:r>
        <w:rPr>
          <w:rFonts w:ascii="宋体" w:eastAsia="宋体" w:hAnsi="宋体" w:cs="Malgun Gothic Semilight" w:hint="eastAsia"/>
          <w:sz w:val="24"/>
          <w:szCs w:val="24"/>
        </w:rPr>
        <w:t>。</w:t>
      </w:r>
      <w:r>
        <w:rPr>
          <w:rFonts w:ascii="宋体" w:eastAsia="宋体" w:hAnsi="宋体" w:cs="微软雅黑" w:hint="eastAsia"/>
          <w:sz w:val="24"/>
          <w:szCs w:val="24"/>
        </w:rPr>
        <w:t>如果实际交易记录与会计账簿记录不一致</w:t>
      </w:r>
      <w:r>
        <w:rPr>
          <w:rFonts w:ascii="宋体" w:eastAsia="宋体" w:hAnsi="宋体" w:cs="Malgun Gothic Semilight" w:hint="eastAsia"/>
          <w:sz w:val="24"/>
          <w:szCs w:val="24"/>
        </w:rPr>
        <w:t>，</w:t>
      </w:r>
      <w:r>
        <w:rPr>
          <w:rFonts w:ascii="宋体" w:eastAsia="宋体" w:hAnsi="宋体" w:cs="微软雅黑" w:hint="eastAsia"/>
          <w:sz w:val="24"/>
          <w:szCs w:val="24"/>
        </w:rPr>
        <w:t>造成基金会计核算不完整或不真实</w:t>
      </w:r>
      <w:r>
        <w:rPr>
          <w:rFonts w:ascii="宋体" w:eastAsia="宋体" w:hAnsi="宋体" w:cs="Malgun Gothic Semilight" w:hint="eastAsia"/>
          <w:sz w:val="24"/>
          <w:szCs w:val="24"/>
        </w:rPr>
        <w:t>，</w:t>
      </w:r>
      <w:r>
        <w:rPr>
          <w:rFonts w:ascii="宋体" w:eastAsia="宋体" w:hAnsi="宋体" w:cs="微软雅黑" w:hint="eastAsia"/>
          <w:sz w:val="24"/>
          <w:szCs w:val="24"/>
        </w:rPr>
        <w:t>由此导致的损失由</w:t>
      </w:r>
      <w:r>
        <w:rPr>
          <w:rFonts w:ascii="宋体" w:eastAsia="宋体" w:hAnsi="宋体" w:cs="微软雅黑" w:hint="eastAsia"/>
          <w:sz w:val="24"/>
          <w:szCs w:val="24"/>
        </w:rPr>
        <w:lastRenderedPageBreak/>
        <w:t>基金管理人承担</w:t>
      </w:r>
      <w:r>
        <w:rPr>
          <w:rFonts w:ascii="宋体" w:eastAsia="宋体" w:hAnsi="宋体" w:cs="Malgun Gothic Semilight" w:hint="eastAsia"/>
          <w:sz w:val="24"/>
          <w:szCs w:val="24"/>
        </w:rPr>
        <w:t>。</w:t>
      </w:r>
    </w:p>
    <w:p w14:paraId="508BB383"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资金账目的核对</w:t>
      </w:r>
    </w:p>
    <w:p w14:paraId="1A7285F4" w14:textId="77777777" w:rsidR="00C521E2" w:rsidRDefault="005D6E6D">
      <w:pPr>
        <w:adjustRightInd w:val="0"/>
        <w:snapToGrid w:val="0"/>
        <w:spacing w:line="360" w:lineRule="auto"/>
        <w:ind w:firstLine="480"/>
        <w:rPr>
          <w:rFonts w:ascii="宋体" w:eastAsia="宋体" w:hAnsi="宋体" w:cs="Malgun Gothic Semilight"/>
          <w:sz w:val="24"/>
          <w:szCs w:val="24"/>
        </w:rPr>
      </w:pPr>
      <w:r>
        <w:rPr>
          <w:rFonts w:ascii="宋体" w:eastAsia="宋体" w:hAnsi="宋体" w:cs="微软雅黑" w:hint="eastAsia"/>
          <w:sz w:val="24"/>
          <w:szCs w:val="24"/>
        </w:rPr>
        <w:t>资金账目按日核实</w:t>
      </w:r>
      <w:r>
        <w:rPr>
          <w:rFonts w:ascii="宋体" w:eastAsia="宋体" w:hAnsi="宋体" w:cs="Malgun Gothic Semilight" w:hint="eastAsia"/>
          <w:sz w:val="24"/>
          <w:szCs w:val="24"/>
        </w:rPr>
        <w:t>。</w:t>
      </w:r>
    </w:p>
    <w:p w14:paraId="3689A18E"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Malgun Gothic Semilight" w:hint="eastAsia"/>
          <w:sz w:val="24"/>
          <w:szCs w:val="24"/>
        </w:rPr>
        <w:t>（</w:t>
      </w:r>
      <w:r>
        <w:rPr>
          <w:rFonts w:ascii="宋体" w:eastAsia="宋体" w:hAnsi="宋体" w:cs="Arial" w:hint="eastAsia"/>
          <w:sz w:val="24"/>
          <w:szCs w:val="24"/>
        </w:rPr>
        <w:t>3）</w:t>
      </w:r>
      <w:r>
        <w:rPr>
          <w:rFonts w:ascii="宋体" w:eastAsia="宋体" w:hAnsi="宋体" w:cs="微软雅黑" w:hint="eastAsia"/>
          <w:sz w:val="24"/>
          <w:szCs w:val="24"/>
        </w:rPr>
        <w:t>证券/期货账目的核对</w:t>
      </w:r>
    </w:p>
    <w:p w14:paraId="59079C1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基金管理人和基金托管人每个工作日结束后核对基金证券/期货账目</w:t>
      </w:r>
      <w:r>
        <w:rPr>
          <w:rFonts w:ascii="宋体" w:eastAsia="宋体" w:hAnsi="宋体" w:cs="Malgun Gothic Semilight" w:hint="eastAsia"/>
          <w:sz w:val="24"/>
          <w:szCs w:val="24"/>
        </w:rPr>
        <w:t>，</w:t>
      </w:r>
      <w:r>
        <w:rPr>
          <w:rFonts w:ascii="宋体" w:eastAsia="宋体" w:hAnsi="宋体" w:cs="微软雅黑" w:hint="eastAsia"/>
          <w:sz w:val="24"/>
          <w:szCs w:val="24"/>
        </w:rPr>
        <w:t>确保双方账目相符</w:t>
      </w:r>
      <w:r>
        <w:rPr>
          <w:rFonts w:ascii="宋体" w:eastAsia="宋体" w:hAnsi="宋体" w:cs="Arial" w:hint="eastAsia"/>
          <w:sz w:val="24"/>
          <w:szCs w:val="24"/>
        </w:rPr>
        <w:t>。</w:t>
      </w:r>
    </w:p>
    <w:p w14:paraId="13FC7148"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（三）基金申购和赎回业务处理的基本规定</w:t>
      </w:r>
    </w:p>
    <w:p w14:paraId="569296D8"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sz w:val="24"/>
          <w:szCs w:val="24"/>
        </w:rPr>
        <w:t>基金份额申购、赎回的确认、清算由基金管理人或其委托的登记机构负责</w:t>
      </w:r>
      <w:r>
        <w:rPr>
          <w:rFonts w:ascii="宋体" w:eastAsia="宋体" w:hAnsi="宋体" w:cs="Malgun Gothic Semilight" w:hint="eastAsia"/>
          <w:sz w:val="24"/>
          <w:szCs w:val="24"/>
        </w:rPr>
        <w:t>。</w:t>
      </w:r>
    </w:p>
    <w:p w14:paraId="50B1C571"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Arial" w:hint="eastAsia"/>
          <w:sz w:val="24"/>
          <w:szCs w:val="24"/>
        </w:rPr>
        <w:t>2.</w:t>
      </w:r>
      <w:r>
        <w:rPr>
          <w:rFonts w:ascii="宋体" w:eastAsia="宋体" w:hAnsi="宋体" w:cs="微软雅黑"/>
          <w:sz w:val="24"/>
          <w:szCs w:val="24"/>
        </w:rPr>
        <w:t>基金管理人应保证本基金（或本基金管理人委托）的登记机构每个工作日15:00前将前一个开放日的申购、赎回、转换开放式基金的数据传送给基金托管人，并保证相关数据的准确完整。基金管理人应对传递的申购、赎回、转换开放式基金的数据真实性负责。基金托管人应及时查收申购及转入资金的到账情况并根据基金管理人指令及时划付赎回及转出款项。</w:t>
      </w:r>
    </w:p>
    <w:p w14:paraId="4EF06C3F"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3.登记机构应通过与基金托管人建立的加密系统发送有关数据</w:t>
      </w:r>
      <w:r>
        <w:rPr>
          <w:rFonts w:ascii="宋体" w:eastAsia="宋体" w:hAnsi="宋体" w:cs="微软雅黑" w:hint="eastAsia"/>
          <w:sz w:val="24"/>
          <w:szCs w:val="24"/>
        </w:rPr>
        <w:t>。</w:t>
      </w:r>
      <w:r>
        <w:rPr>
          <w:rFonts w:ascii="宋体" w:eastAsia="宋体" w:hAnsi="宋体" w:cs="微软雅黑"/>
          <w:sz w:val="24"/>
          <w:szCs w:val="24"/>
        </w:rPr>
        <w:t>如因各种原因，该系统无法正常发送，双方可协商解决处理方式。基金管理人向基金托管人发送的数据，双方各自按有关规定保存。</w:t>
      </w:r>
    </w:p>
    <w:p w14:paraId="787591D0" w14:textId="1EB9AAA1"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4.如基金管理人委托其他机构办理本基金的登记业务，应</w:t>
      </w:r>
      <w:r>
        <w:rPr>
          <w:rFonts w:ascii="宋体" w:eastAsia="宋体" w:hAnsi="宋体" w:cs="微软雅黑" w:hint="eastAsia"/>
          <w:sz w:val="24"/>
          <w:szCs w:val="24"/>
        </w:rPr>
        <w:t>保证</w:t>
      </w:r>
      <w:r>
        <w:rPr>
          <w:rFonts w:ascii="宋体" w:eastAsia="宋体" w:hAnsi="宋体" w:cs="微软雅黑"/>
          <w:sz w:val="24"/>
          <w:szCs w:val="24"/>
        </w:rPr>
        <w:t>上述相关事宜按时进行。否则，由基金管理人承担相应的责任。</w:t>
      </w:r>
    </w:p>
    <w:p w14:paraId="2D2C4AFC"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5.关于清算专用账户的设立和管理</w:t>
      </w:r>
    </w:p>
    <w:p w14:paraId="174578F2"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为满足申购、赎回及分红资金汇划的需要，由基金管理人开立资金清算的专用账户，该账户由登记机构管理。</w:t>
      </w:r>
    </w:p>
    <w:p w14:paraId="5F3D95C2"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6.对于基金申购过程中产生的应收款，应由基金管理人负责与有关当事人确定到账日期并通知基金托管人</w:t>
      </w:r>
      <w:r>
        <w:rPr>
          <w:rFonts w:ascii="宋体" w:eastAsia="宋体" w:hAnsi="宋体" w:cs="微软雅黑" w:hint="eastAsia"/>
          <w:sz w:val="24"/>
          <w:szCs w:val="24"/>
        </w:rPr>
        <w:t>。</w:t>
      </w:r>
      <w:r>
        <w:rPr>
          <w:rFonts w:ascii="宋体" w:eastAsia="宋体" w:hAnsi="宋体" w:cs="微软雅黑"/>
          <w:sz w:val="24"/>
          <w:szCs w:val="24"/>
        </w:rPr>
        <w:t>到账日应收款没有到达基金托管资金账户的，基金托管人应及时通知基金管理人采取措施进行催收</w:t>
      </w:r>
      <w:r>
        <w:rPr>
          <w:rFonts w:ascii="宋体" w:eastAsia="宋体" w:hAnsi="宋体" w:cs="微软雅黑" w:hint="eastAsia"/>
          <w:sz w:val="24"/>
          <w:szCs w:val="24"/>
        </w:rPr>
        <w:t>。</w:t>
      </w:r>
      <w:r>
        <w:rPr>
          <w:rFonts w:ascii="宋体" w:eastAsia="宋体" w:hAnsi="宋体" w:cs="微软雅黑"/>
          <w:sz w:val="24"/>
          <w:szCs w:val="24"/>
        </w:rPr>
        <w:t>由此造成基金损失的，基金管理人应负责向有关当事人追偿基金的损失，基金托管人应给予必要的协助与配合。</w:t>
      </w:r>
    </w:p>
    <w:p w14:paraId="58A71602"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7.赎回和分红资金划拨规定</w:t>
      </w:r>
    </w:p>
    <w:p w14:paraId="1D041F19"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拨付赎回款或进行基金分红时，如基金托管资金账户有足够的资金，基金托管人应按时拨付；因基金托管资金账户没有足够的资金，导致基金托管人不能按时拨付，基金托管人应及时通知基金管理人。如系基金管理人的原因造成，责任</w:t>
      </w:r>
      <w:r>
        <w:rPr>
          <w:rFonts w:ascii="宋体" w:eastAsia="宋体" w:hAnsi="宋体" w:cs="微软雅黑" w:hint="eastAsia"/>
          <w:sz w:val="24"/>
          <w:szCs w:val="24"/>
        </w:rPr>
        <w:lastRenderedPageBreak/>
        <w:t>由基金管理人承担，基金托管人不承担垫款义务。</w:t>
      </w:r>
    </w:p>
    <w:p w14:paraId="4229C9CA"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8.资金指令</w:t>
      </w:r>
    </w:p>
    <w:p w14:paraId="582F1DB4"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除申购款项到达基金托管资金账户需双方按约定方式对账外，回购到期付款和与投资有关的付款、赎回和分红资金划拨时，基金管理人需向基金托管人下达指令。</w:t>
      </w:r>
    </w:p>
    <w:p w14:paraId="22935BA2"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微软雅黑" w:hint="eastAsia"/>
          <w:sz w:val="24"/>
          <w:szCs w:val="24"/>
        </w:rPr>
        <w:t>资金指令的格式、内容、发送、接收和确认方式等与投资指令相同</w:t>
      </w:r>
      <w:r>
        <w:rPr>
          <w:rFonts w:ascii="宋体" w:eastAsia="宋体" w:hAnsi="宋体" w:cs="Malgun Gothic Semilight" w:hint="eastAsia"/>
          <w:sz w:val="24"/>
          <w:szCs w:val="24"/>
        </w:rPr>
        <w:t>。</w:t>
      </w:r>
    </w:p>
    <w:p w14:paraId="0A2F1625"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（四）申购、赎回、转换净额结算</w:t>
      </w:r>
    </w:p>
    <w:p w14:paraId="4B713713"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基金托管资金账户与“基金清算账户”间的资金结算遵循“全额清算、净额交收”的原则，每日（</w:t>
      </w:r>
      <w:r>
        <w:rPr>
          <w:rFonts w:ascii="宋体" w:eastAsia="宋体" w:hAnsi="宋体" w:cs="微软雅黑"/>
          <w:sz w:val="24"/>
          <w:szCs w:val="24"/>
        </w:rPr>
        <w:t>T日：资金交收日，下同）按照托管资金账户应收资金与应付资金的差额来确定托管资金账户净应收额或净应付额，以此确定资金交收额。当存在托管资金账户净应收额时，基金管理人应在T日15:00之前从基金清算账户划到基金托管资金账户；当存在托管资金账户净应付额时，基金管理人应</w:t>
      </w:r>
      <w:r>
        <w:rPr>
          <w:rFonts w:ascii="宋体" w:eastAsia="宋体" w:hAnsi="宋体" w:cs="微软雅黑" w:hint="eastAsia"/>
          <w:sz w:val="24"/>
          <w:szCs w:val="24"/>
        </w:rPr>
        <w:t>在T-1日</w:t>
      </w:r>
      <w:r>
        <w:rPr>
          <w:rFonts w:ascii="宋体" w:eastAsia="宋体" w:hAnsi="宋体" w:cs="微软雅黑"/>
          <w:sz w:val="24"/>
          <w:szCs w:val="24"/>
        </w:rPr>
        <w:t>将划款指令发送给基金托管人，基金托管人按基金管理人的划款指令将托管资金账户净应付额在T日12:00之前划往基金清算账户</w:t>
      </w:r>
      <w:r>
        <w:rPr>
          <w:rFonts w:ascii="宋体" w:eastAsia="宋体" w:hAnsi="宋体" w:cs="微软雅黑" w:hint="eastAsia"/>
          <w:sz w:val="24"/>
          <w:szCs w:val="24"/>
        </w:rPr>
        <w:t>。</w:t>
      </w:r>
    </w:p>
    <w:p w14:paraId="5D27F8C5"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hint="eastAsia"/>
          <w:sz w:val="24"/>
          <w:szCs w:val="24"/>
        </w:rPr>
        <w:t>（五）基金转换</w:t>
      </w:r>
    </w:p>
    <w:p w14:paraId="617F8BEF"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1.在本基金开展</w:t>
      </w:r>
      <w:r>
        <w:rPr>
          <w:rFonts w:ascii="宋体" w:eastAsia="宋体" w:hAnsi="宋体" w:cs="微软雅黑" w:hint="eastAsia"/>
          <w:sz w:val="24"/>
          <w:szCs w:val="24"/>
        </w:rPr>
        <w:t>基金</w:t>
      </w:r>
      <w:r>
        <w:rPr>
          <w:rFonts w:ascii="宋体" w:eastAsia="宋体" w:hAnsi="宋体" w:cs="微软雅黑"/>
          <w:sz w:val="24"/>
          <w:szCs w:val="24"/>
        </w:rPr>
        <w:t>转换业务之前，基金管理人应函告基金托管人并就相关事宜进行协商。</w:t>
      </w:r>
    </w:p>
    <w:p w14:paraId="75283F04"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2.基金托管人将根据基金管理人传送的基金转换数据进行账务处理，具体资金清算和数据传递的时间、程序及托管协议当事人承担的权责按基金管理人届时的公告执行。</w:t>
      </w:r>
    </w:p>
    <w:p w14:paraId="24066B93" w14:textId="77777777" w:rsidR="00C521E2" w:rsidRDefault="005D6E6D">
      <w:pPr>
        <w:adjustRightInd w:val="0"/>
        <w:snapToGrid w:val="0"/>
        <w:spacing w:line="360" w:lineRule="auto"/>
        <w:ind w:firstLine="480"/>
        <w:rPr>
          <w:rFonts w:ascii="宋体" w:eastAsia="宋体" w:hAnsi="宋体" w:cs="微软雅黑"/>
          <w:sz w:val="24"/>
          <w:szCs w:val="24"/>
        </w:rPr>
      </w:pPr>
      <w:r>
        <w:rPr>
          <w:rFonts w:ascii="宋体" w:eastAsia="宋体" w:hAnsi="宋体" w:cs="微软雅黑"/>
          <w:sz w:val="24"/>
          <w:szCs w:val="24"/>
        </w:rPr>
        <w:t>3.本基金开展基金转换业务应按相关法律法规规定及《基金合同》的约定进行公告。</w:t>
      </w:r>
    </w:p>
    <w:p w14:paraId="2559A844"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（六）基金现金分红</w:t>
      </w:r>
    </w:p>
    <w:p w14:paraId="7B990594" w14:textId="77777777" w:rsidR="00C521E2" w:rsidRDefault="005D6E6D">
      <w:pPr>
        <w:adjustRightInd w:val="0"/>
        <w:snapToGrid w:val="0"/>
        <w:spacing w:line="360" w:lineRule="auto"/>
        <w:ind w:firstLineChars="200" w:firstLine="480"/>
        <w:rPr>
          <w:rFonts w:ascii="宋体" w:eastAsia="宋体" w:hAnsi="宋体" w:cs="Times New Roman"/>
          <w:sz w:val="24"/>
          <w:szCs w:val="18"/>
        </w:rPr>
      </w:pPr>
      <w:r>
        <w:rPr>
          <w:rFonts w:ascii="宋体" w:eastAsia="宋体" w:hAnsi="宋体" w:cs="Arial" w:hint="eastAsia"/>
          <w:sz w:val="24"/>
          <w:szCs w:val="24"/>
        </w:rPr>
        <w:t>1.</w:t>
      </w:r>
      <w:r>
        <w:rPr>
          <w:rFonts w:ascii="宋体" w:eastAsia="宋体" w:hAnsi="宋体" w:cs="微软雅黑" w:hint="eastAsia"/>
          <w:sz w:val="24"/>
          <w:szCs w:val="24"/>
        </w:rPr>
        <w:t>基金管理人确定分红方案通知基金托管人</w:t>
      </w:r>
      <w:r>
        <w:rPr>
          <w:rFonts w:ascii="宋体" w:eastAsia="宋体" w:hAnsi="宋体" w:cs="Malgun Gothic Semilight" w:hint="eastAsia"/>
          <w:sz w:val="24"/>
          <w:szCs w:val="24"/>
        </w:rPr>
        <w:t>，</w:t>
      </w:r>
      <w:r>
        <w:rPr>
          <w:rFonts w:ascii="宋体" w:eastAsia="宋体" w:hAnsi="宋体" w:cs="微软雅黑" w:hint="eastAsia"/>
          <w:sz w:val="24"/>
          <w:szCs w:val="24"/>
        </w:rPr>
        <w:t>双方核定后</w:t>
      </w:r>
      <w:r>
        <w:rPr>
          <w:rFonts w:ascii="宋体" w:eastAsia="宋体" w:hAnsi="宋体" w:cs="微软雅黑" w:hint="eastAsia"/>
          <w:sz w:val="24"/>
          <w:szCs w:val="18"/>
        </w:rPr>
        <w:t>依照</w:t>
      </w:r>
      <w:r>
        <w:rPr>
          <w:rFonts w:ascii="宋体" w:eastAsia="宋体" w:hAnsi="宋体" w:cs="Malgun Gothic Semilight" w:hint="eastAsia"/>
          <w:sz w:val="24"/>
          <w:szCs w:val="18"/>
        </w:rPr>
        <w:t>《</w:t>
      </w:r>
      <w:r>
        <w:rPr>
          <w:rFonts w:ascii="宋体" w:eastAsia="宋体" w:hAnsi="宋体" w:cs="微软雅黑" w:hint="eastAsia"/>
          <w:sz w:val="24"/>
          <w:szCs w:val="18"/>
        </w:rPr>
        <w:t>信息披露办法</w:t>
      </w:r>
      <w:r>
        <w:rPr>
          <w:rFonts w:ascii="宋体" w:eastAsia="宋体" w:hAnsi="宋体" w:cs="Malgun Gothic Semilight" w:hint="eastAsia"/>
          <w:sz w:val="24"/>
          <w:szCs w:val="18"/>
        </w:rPr>
        <w:t>》</w:t>
      </w:r>
      <w:r>
        <w:rPr>
          <w:rFonts w:ascii="宋体" w:eastAsia="宋体" w:hAnsi="宋体" w:cs="微软雅黑" w:hint="eastAsia"/>
          <w:sz w:val="24"/>
          <w:szCs w:val="18"/>
        </w:rPr>
        <w:t>的有关规定在中国证监会规定媒介上公告</w:t>
      </w:r>
      <w:r>
        <w:rPr>
          <w:rFonts w:ascii="宋体" w:eastAsia="宋体" w:hAnsi="宋体" w:cs="Arial" w:hint="eastAsia"/>
          <w:sz w:val="24"/>
          <w:szCs w:val="24"/>
        </w:rPr>
        <w:t>。</w:t>
      </w:r>
    </w:p>
    <w:p w14:paraId="3877E68B"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基金托管人和基金管理人对基金分红进行账务处理并核对后</w:t>
      </w:r>
      <w:r>
        <w:rPr>
          <w:rFonts w:ascii="宋体" w:eastAsia="宋体" w:hAnsi="宋体" w:cs="Malgun Gothic Semilight" w:hint="eastAsia"/>
          <w:sz w:val="24"/>
          <w:szCs w:val="24"/>
        </w:rPr>
        <w:t>，</w:t>
      </w:r>
      <w:r>
        <w:rPr>
          <w:rFonts w:ascii="宋体" w:eastAsia="宋体" w:hAnsi="宋体" w:cs="微软雅黑" w:hint="eastAsia"/>
          <w:sz w:val="24"/>
          <w:szCs w:val="24"/>
        </w:rPr>
        <w:t>基金管理人向基金托管人发送现金红利的划款指令</w:t>
      </w:r>
      <w:r>
        <w:rPr>
          <w:rFonts w:ascii="宋体" w:eastAsia="宋体" w:hAnsi="宋体" w:cs="Malgun Gothic Semilight" w:hint="eastAsia"/>
          <w:sz w:val="24"/>
          <w:szCs w:val="24"/>
        </w:rPr>
        <w:t>，</w:t>
      </w:r>
      <w:r>
        <w:rPr>
          <w:rFonts w:ascii="宋体" w:eastAsia="宋体" w:hAnsi="宋体" w:cs="微软雅黑" w:hint="eastAsia"/>
          <w:sz w:val="24"/>
          <w:szCs w:val="24"/>
        </w:rPr>
        <w:t>基金托管人应及时将资金划入专用账户</w:t>
      </w:r>
      <w:r>
        <w:rPr>
          <w:rFonts w:ascii="宋体" w:eastAsia="宋体" w:hAnsi="宋体" w:cs="Malgun Gothic Semilight" w:hint="eastAsia"/>
          <w:sz w:val="24"/>
          <w:szCs w:val="24"/>
        </w:rPr>
        <w:t>。</w:t>
      </w:r>
    </w:p>
    <w:p w14:paraId="6AD42C00"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基金管理人在下达指令时</w:t>
      </w:r>
      <w:r>
        <w:rPr>
          <w:rFonts w:ascii="宋体" w:eastAsia="宋体" w:hAnsi="宋体" w:cs="Arial" w:hint="eastAsia"/>
          <w:sz w:val="24"/>
          <w:szCs w:val="24"/>
        </w:rPr>
        <w:t>，</w:t>
      </w:r>
      <w:r>
        <w:rPr>
          <w:rFonts w:ascii="宋体" w:eastAsia="宋体" w:hAnsi="宋体" w:cs="微软雅黑" w:hint="eastAsia"/>
          <w:sz w:val="24"/>
          <w:szCs w:val="24"/>
        </w:rPr>
        <w:t>应给基金托管人留出必需的划款时间</w:t>
      </w:r>
      <w:r>
        <w:rPr>
          <w:rFonts w:ascii="宋体" w:eastAsia="宋体" w:hAnsi="宋体" w:cs="Arial" w:hint="eastAsia"/>
          <w:sz w:val="24"/>
          <w:szCs w:val="24"/>
        </w:rPr>
        <w:t>。</w:t>
      </w:r>
    </w:p>
    <w:p w14:paraId="68A8DD1B"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（七）投资银行存款的特别约定</w:t>
      </w:r>
    </w:p>
    <w:p w14:paraId="31373E3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本基金投资银行存款前</w:t>
      </w:r>
      <w:r>
        <w:rPr>
          <w:rFonts w:ascii="宋体" w:eastAsia="宋体" w:hAnsi="宋体" w:cs="Arial" w:hint="eastAsia"/>
          <w:sz w:val="24"/>
          <w:szCs w:val="24"/>
        </w:rPr>
        <w:t>，</w:t>
      </w:r>
      <w:r>
        <w:rPr>
          <w:rFonts w:ascii="宋体" w:eastAsia="宋体" w:hAnsi="宋体" w:cs="微软雅黑" w:hint="eastAsia"/>
          <w:sz w:val="24"/>
          <w:szCs w:val="24"/>
        </w:rPr>
        <w:t>基金管理人应与存款银行签订具体存款协议</w:t>
      </w:r>
      <w:r>
        <w:rPr>
          <w:rFonts w:ascii="宋体" w:eastAsia="宋体" w:hAnsi="宋体" w:cs="Arial" w:hint="eastAsia"/>
          <w:sz w:val="24"/>
          <w:szCs w:val="24"/>
        </w:rPr>
        <w:t>，</w:t>
      </w:r>
      <w:r>
        <w:rPr>
          <w:rFonts w:ascii="宋体" w:eastAsia="宋体" w:hAnsi="宋体" w:cs="微软雅黑" w:hint="eastAsia"/>
          <w:sz w:val="24"/>
          <w:szCs w:val="24"/>
        </w:rPr>
        <w:t>包</w:t>
      </w:r>
      <w:r>
        <w:rPr>
          <w:rFonts w:ascii="宋体" w:eastAsia="宋体" w:hAnsi="宋体" w:cs="微软雅黑" w:hint="eastAsia"/>
          <w:sz w:val="24"/>
          <w:szCs w:val="24"/>
        </w:rPr>
        <w:lastRenderedPageBreak/>
        <w:t>括但不限于以下内容</w:t>
      </w:r>
      <w:r>
        <w:rPr>
          <w:rFonts w:ascii="宋体" w:eastAsia="宋体" w:hAnsi="宋体" w:cs="Arial" w:hint="eastAsia"/>
          <w:sz w:val="24"/>
          <w:szCs w:val="24"/>
        </w:rPr>
        <w:t>：</w:t>
      </w:r>
    </w:p>
    <w:p w14:paraId="2F5B4D1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存款账户必须以本基金名义开立</w:t>
      </w:r>
      <w:r>
        <w:rPr>
          <w:rFonts w:ascii="宋体" w:eastAsia="宋体" w:hAnsi="宋体" w:cs="Arial" w:hint="eastAsia"/>
          <w:sz w:val="24"/>
          <w:szCs w:val="24"/>
        </w:rPr>
        <w:t>，</w:t>
      </w:r>
      <w:r>
        <w:rPr>
          <w:rFonts w:ascii="宋体" w:eastAsia="宋体" w:hAnsi="宋体" w:cs="微软雅黑" w:hint="eastAsia"/>
          <w:sz w:val="24"/>
          <w:szCs w:val="24"/>
        </w:rPr>
        <w:t>并将基金托管人为本基金开立的基金托管资金账户指定为唯一回款账户</w:t>
      </w:r>
      <w:r>
        <w:rPr>
          <w:rFonts w:ascii="宋体" w:eastAsia="宋体" w:hAnsi="宋体" w:cs="Arial" w:hint="eastAsia"/>
          <w:sz w:val="24"/>
          <w:szCs w:val="24"/>
        </w:rPr>
        <w:t>，</w:t>
      </w:r>
      <w:r>
        <w:rPr>
          <w:rFonts w:ascii="宋体" w:eastAsia="宋体" w:hAnsi="宋体" w:cs="微软雅黑" w:hint="eastAsia"/>
          <w:sz w:val="24"/>
          <w:szCs w:val="24"/>
        </w:rPr>
        <w:t>任何情况下</w:t>
      </w:r>
      <w:r>
        <w:rPr>
          <w:rFonts w:ascii="宋体" w:eastAsia="宋体" w:hAnsi="宋体" w:cs="Arial" w:hint="eastAsia"/>
          <w:sz w:val="24"/>
          <w:szCs w:val="24"/>
        </w:rPr>
        <w:t>，</w:t>
      </w:r>
      <w:r>
        <w:rPr>
          <w:rFonts w:ascii="宋体" w:eastAsia="宋体" w:hAnsi="宋体" w:cs="微软雅黑" w:hint="eastAsia"/>
          <w:sz w:val="24"/>
          <w:szCs w:val="24"/>
        </w:rPr>
        <w:t>存款银行都不得将存款投资本息划往任何其他账户</w:t>
      </w:r>
      <w:r>
        <w:rPr>
          <w:rFonts w:ascii="宋体" w:eastAsia="宋体" w:hAnsi="宋体" w:cs="Arial" w:hint="eastAsia"/>
          <w:sz w:val="24"/>
          <w:szCs w:val="24"/>
        </w:rPr>
        <w:t>。</w:t>
      </w:r>
    </w:p>
    <w:p w14:paraId="5CA8C47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存款银行不得接受基金管理人或基金托管人任何一方单方面提出的对存款进行更名</w:t>
      </w:r>
      <w:r>
        <w:rPr>
          <w:rFonts w:ascii="宋体" w:eastAsia="宋体" w:hAnsi="宋体" w:cs="Arial" w:hint="eastAsia"/>
          <w:sz w:val="24"/>
          <w:szCs w:val="24"/>
        </w:rPr>
        <w:t>、</w:t>
      </w:r>
      <w:r>
        <w:rPr>
          <w:rFonts w:ascii="宋体" w:eastAsia="宋体" w:hAnsi="宋体" w:cs="微软雅黑" w:hint="eastAsia"/>
          <w:sz w:val="24"/>
          <w:szCs w:val="24"/>
        </w:rPr>
        <w:t>转让</w:t>
      </w:r>
      <w:r>
        <w:rPr>
          <w:rFonts w:ascii="宋体" w:eastAsia="宋体" w:hAnsi="宋体" w:cs="Arial" w:hint="eastAsia"/>
          <w:sz w:val="24"/>
          <w:szCs w:val="24"/>
        </w:rPr>
        <w:t>、</w:t>
      </w:r>
      <w:r>
        <w:rPr>
          <w:rFonts w:ascii="宋体" w:eastAsia="宋体" w:hAnsi="宋体" w:cs="微软雅黑" w:hint="eastAsia"/>
          <w:sz w:val="24"/>
          <w:szCs w:val="24"/>
        </w:rPr>
        <w:t>挂失</w:t>
      </w:r>
      <w:r>
        <w:rPr>
          <w:rFonts w:ascii="宋体" w:eastAsia="宋体" w:hAnsi="宋体" w:cs="Arial" w:hint="eastAsia"/>
          <w:sz w:val="24"/>
          <w:szCs w:val="24"/>
        </w:rPr>
        <w:t>、</w:t>
      </w:r>
      <w:r>
        <w:rPr>
          <w:rFonts w:ascii="宋体" w:eastAsia="宋体" w:hAnsi="宋体" w:cs="微软雅黑" w:hint="eastAsia"/>
          <w:sz w:val="24"/>
          <w:szCs w:val="24"/>
        </w:rPr>
        <w:t>质押</w:t>
      </w:r>
      <w:r>
        <w:rPr>
          <w:rFonts w:ascii="宋体" w:eastAsia="宋体" w:hAnsi="宋体" w:cs="Arial" w:hint="eastAsia"/>
          <w:sz w:val="24"/>
          <w:szCs w:val="24"/>
        </w:rPr>
        <w:t>、</w:t>
      </w:r>
      <w:r>
        <w:rPr>
          <w:rFonts w:ascii="宋体" w:eastAsia="宋体" w:hAnsi="宋体" w:cs="微软雅黑" w:hint="eastAsia"/>
          <w:sz w:val="24"/>
          <w:szCs w:val="24"/>
        </w:rPr>
        <w:t>担保</w:t>
      </w:r>
      <w:r>
        <w:rPr>
          <w:rFonts w:ascii="宋体" w:eastAsia="宋体" w:hAnsi="宋体" w:cs="Arial" w:hint="eastAsia"/>
          <w:sz w:val="24"/>
          <w:szCs w:val="24"/>
        </w:rPr>
        <w:t>、</w:t>
      </w:r>
      <w:r>
        <w:rPr>
          <w:rFonts w:ascii="宋体" w:eastAsia="宋体" w:hAnsi="宋体" w:cs="微软雅黑" w:hint="eastAsia"/>
          <w:sz w:val="24"/>
          <w:szCs w:val="24"/>
        </w:rPr>
        <w:t>撤销</w:t>
      </w:r>
      <w:r>
        <w:rPr>
          <w:rFonts w:ascii="宋体" w:eastAsia="宋体" w:hAnsi="宋体" w:cs="Arial" w:hint="eastAsia"/>
          <w:sz w:val="24"/>
          <w:szCs w:val="24"/>
        </w:rPr>
        <w:t>、</w:t>
      </w:r>
      <w:r>
        <w:rPr>
          <w:rFonts w:ascii="宋体" w:eastAsia="宋体" w:hAnsi="宋体" w:cs="微软雅黑" w:hint="eastAsia"/>
          <w:sz w:val="24"/>
          <w:szCs w:val="24"/>
        </w:rPr>
        <w:t>变更印鉴及回款账户信息等可能导致财产转移的操作申请</w:t>
      </w:r>
      <w:r>
        <w:rPr>
          <w:rFonts w:ascii="宋体" w:eastAsia="宋体" w:hAnsi="宋体" w:cs="Arial" w:hint="eastAsia"/>
          <w:sz w:val="24"/>
          <w:szCs w:val="24"/>
        </w:rPr>
        <w:t>。</w:t>
      </w:r>
    </w:p>
    <w:p w14:paraId="5185FF0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约定存款证实书的具体传递交接方式及交接期限</w:t>
      </w:r>
      <w:r>
        <w:rPr>
          <w:rFonts w:ascii="宋体" w:eastAsia="宋体" w:hAnsi="宋体" w:cs="Arial" w:hint="eastAsia"/>
          <w:sz w:val="24"/>
          <w:szCs w:val="24"/>
        </w:rPr>
        <w:t>。</w:t>
      </w:r>
    </w:p>
    <w:p w14:paraId="1C952AF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资金划转过程中需要使用存款银行过渡账户的</w:t>
      </w:r>
      <w:r>
        <w:rPr>
          <w:rFonts w:ascii="宋体" w:eastAsia="宋体" w:hAnsi="宋体" w:cs="Arial" w:hint="eastAsia"/>
          <w:sz w:val="24"/>
          <w:szCs w:val="24"/>
        </w:rPr>
        <w:t>，</w:t>
      </w:r>
      <w:r>
        <w:rPr>
          <w:rFonts w:ascii="宋体" w:eastAsia="宋体" w:hAnsi="宋体" w:cs="微软雅黑" w:hint="eastAsia"/>
          <w:sz w:val="24"/>
          <w:szCs w:val="24"/>
        </w:rPr>
        <w:t>存款银行须保证资金在过渡账户中不出现滞留</w:t>
      </w:r>
      <w:r>
        <w:rPr>
          <w:rFonts w:ascii="宋体" w:eastAsia="宋体" w:hAnsi="宋体" w:cs="Arial" w:hint="eastAsia"/>
          <w:sz w:val="24"/>
          <w:szCs w:val="24"/>
        </w:rPr>
        <w:t>，</w:t>
      </w:r>
      <w:r>
        <w:rPr>
          <w:rFonts w:ascii="宋体" w:eastAsia="宋体" w:hAnsi="宋体" w:cs="微软雅黑" w:hint="eastAsia"/>
          <w:sz w:val="24"/>
          <w:szCs w:val="24"/>
        </w:rPr>
        <w:t>不被挪用</w:t>
      </w:r>
      <w:r>
        <w:rPr>
          <w:rFonts w:ascii="宋体" w:eastAsia="宋体" w:hAnsi="宋体" w:cs="Arial" w:hint="eastAsia"/>
          <w:sz w:val="24"/>
          <w:szCs w:val="24"/>
        </w:rPr>
        <w:t>。</w:t>
      </w:r>
    </w:p>
    <w:p w14:paraId="219E693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本基金投资银行存款</w:t>
      </w:r>
      <w:r>
        <w:rPr>
          <w:rFonts w:ascii="宋体" w:eastAsia="宋体" w:hAnsi="宋体" w:cs="Arial" w:hint="eastAsia"/>
          <w:sz w:val="24"/>
          <w:szCs w:val="24"/>
        </w:rPr>
        <w:t>，</w:t>
      </w:r>
      <w:r>
        <w:rPr>
          <w:rFonts w:ascii="宋体" w:eastAsia="宋体" w:hAnsi="宋体" w:cs="微软雅黑" w:hint="eastAsia"/>
          <w:sz w:val="24"/>
          <w:szCs w:val="24"/>
        </w:rPr>
        <w:t>必须采用双方认可的方式办理</w:t>
      </w:r>
      <w:r>
        <w:rPr>
          <w:rFonts w:ascii="宋体" w:eastAsia="宋体" w:hAnsi="宋体" w:cs="Arial" w:hint="eastAsia"/>
          <w:sz w:val="24"/>
          <w:szCs w:val="24"/>
        </w:rPr>
        <w:t>。</w:t>
      </w:r>
      <w:r>
        <w:rPr>
          <w:rFonts w:ascii="宋体" w:eastAsia="宋体" w:hAnsi="宋体" w:cs="微软雅黑" w:hint="eastAsia"/>
          <w:sz w:val="24"/>
          <w:szCs w:val="24"/>
        </w:rPr>
        <w:t>托管人负责依据管理人提供的银行存款投资合同</w:t>
      </w:r>
      <w:r>
        <w:rPr>
          <w:rFonts w:ascii="宋体" w:eastAsia="宋体" w:hAnsi="宋体" w:cs="Arial" w:hint="eastAsia"/>
          <w:sz w:val="24"/>
          <w:szCs w:val="24"/>
        </w:rPr>
        <w:t>/</w:t>
      </w:r>
      <w:r>
        <w:rPr>
          <w:rFonts w:ascii="宋体" w:eastAsia="宋体" w:hAnsi="宋体" w:cs="微软雅黑" w:hint="eastAsia"/>
          <w:sz w:val="24"/>
          <w:szCs w:val="24"/>
        </w:rPr>
        <w:t>协议</w:t>
      </w:r>
      <w:r>
        <w:rPr>
          <w:rFonts w:ascii="宋体" w:eastAsia="宋体" w:hAnsi="宋体" w:cs="Arial" w:hint="eastAsia"/>
          <w:sz w:val="24"/>
          <w:szCs w:val="24"/>
        </w:rPr>
        <w:t>、</w:t>
      </w:r>
      <w:r>
        <w:rPr>
          <w:rFonts w:ascii="宋体" w:eastAsia="宋体" w:hAnsi="宋体" w:cs="微软雅黑" w:hint="eastAsia"/>
          <w:sz w:val="24"/>
          <w:szCs w:val="24"/>
        </w:rPr>
        <w:t>投资指令</w:t>
      </w:r>
      <w:r>
        <w:rPr>
          <w:rFonts w:ascii="宋体" w:eastAsia="宋体" w:hAnsi="宋体" w:cs="Arial" w:hint="eastAsia"/>
          <w:sz w:val="24"/>
          <w:szCs w:val="24"/>
        </w:rPr>
        <w:t>、</w:t>
      </w:r>
      <w:r>
        <w:rPr>
          <w:rFonts w:ascii="宋体" w:eastAsia="宋体" w:hAnsi="宋体" w:cs="微软雅黑" w:hint="eastAsia"/>
          <w:sz w:val="24"/>
          <w:szCs w:val="24"/>
        </w:rPr>
        <w:t>支取通知等有关文件办理资金的支付以及存款证实书的接收</w:t>
      </w:r>
      <w:r>
        <w:rPr>
          <w:rFonts w:ascii="宋体" w:eastAsia="宋体" w:hAnsi="宋体" w:cs="Arial" w:hint="eastAsia"/>
          <w:sz w:val="24"/>
          <w:szCs w:val="24"/>
        </w:rPr>
        <w:t>、</w:t>
      </w:r>
      <w:r>
        <w:rPr>
          <w:rFonts w:ascii="宋体" w:eastAsia="宋体" w:hAnsi="宋体" w:cs="微软雅黑" w:hint="eastAsia"/>
          <w:sz w:val="24"/>
          <w:szCs w:val="24"/>
        </w:rPr>
        <w:t>保管与交付</w:t>
      </w:r>
      <w:r>
        <w:rPr>
          <w:rFonts w:ascii="宋体" w:eastAsia="宋体" w:hAnsi="宋体" w:cs="Arial" w:hint="eastAsia"/>
          <w:sz w:val="24"/>
          <w:szCs w:val="24"/>
        </w:rPr>
        <w:t>，</w:t>
      </w:r>
      <w:r>
        <w:rPr>
          <w:rFonts w:ascii="宋体" w:eastAsia="宋体" w:hAnsi="宋体" w:cs="微软雅黑" w:hint="eastAsia"/>
          <w:sz w:val="24"/>
          <w:szCs w:val="24"/>
        </w:rPr>
        <w:t>切实履行托管职责</w:t>
      </w:r>
      <w:r>
        <w:rPr>
          <w:rFonts w:ascii="宋体" w:eastAsia="宋体" w:hAnsi="宋体" w:cs="Arial" w:hint="eastAsia"/>
          <w:sz w:val="24"/>
          <w:szCs w:val="24"/>
        </w:rPr>
        <w:t>。</w:t>
      </w:r>
      <w:r>
        <w:rPr>
          <w:rFonts w:ascii="宋体" w:eastAsia="宋体" w:hAnsi="宋体" w:cs="微软雅黑" w:hint="eastAsia"/>
          <w:sz w:val="24"/>
          <w:szCs w:val="24"/>
        </w:rPr>
        <w:t>托管人负责对存款开户证实书进行保管</w:t>
      </w:r>
      <w:r>
        <w:rPr>
          <w:rFonts w:ascii="宋体" w:eastAsia="宋体" w:hAnsi="宋体" w:cs="Arial" w:hint="eastAsia"/>
          <w:sz w:val="24"/>
          <w:szCs w:val="24"/>
        </w:rPr>
        <w:t>，</w:t>
      </w:r>
      <w:r>
        <w:rPr>
          <w:rFonts w:ascii="宋体" w:eastAsia="宋体" w:hAnsi="宋体" w:cs="微软雅黑" w:hint="eastAsia"/>
          <w:sz w:val="24"/>
          <w:szCs w:val="24"/>
        </w:rPr>
        <w:t>不负责对存款开户证实书真伪的辨别</w:t>
      </w:r>
      <w:r>
        <w:rPr>
          <w:rFonts w:ascii="宋体" w:eastAsia="宋体" w:hAnsi="宋体" w:cs="Arial" w:hint="eastAsia"/>
          <w:sz w:val="24"/>
          <w:szCs w:val="24"/>
        </w:rPr>
        <w:t>，</w:t>
      </w:r>
      <w:r>
        <w:rPr>
          <w:rFonts w:ascii="宋体" w:eastAsia="宋体" w:hAnsi="宋体" w:cs="微软雅黑" w:hint="eastAsia"/>
          <w:sz w:val="24"/>
          <w:szCs w:val="24"/>
        </w:rPr>
        <w:t>不承担存款开户证实书对应存款的本金及收益的安全</w:t>
      </w:r>
      <w:r>
        <w:rPr>
          <w:rFonts w:ascii="宋体" w:eastAsia="宋体" w:hAnsi="宋体" w:cs="Arial" w:hint="eastAsia"/>
          <w:sz w:val="24"/>
          <w:szCs w:val="24"/>
        </w:rPr>
        <w:t>。</w:t>
      </w:r>
    </w:p>
    <w:p w14:paraId="5537969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基金管理人投资银行存款或办理存款支取时</w:t>
      </w:r>
      <w:r>
        <w:rPr>
          <w:rFonts w:ascii="宋体" w:eastAsia="宋体" w:hAnsi="宋体" w:cs="Arial" w:hint="eastAsia"/>
          <w:sz w:val="24"/>
          <w:szCs w:val="24"/>
        </w:rPr>
        <w:t>，</w:t>
      </w:r>
      <w:r>
        <w:rPr>
          <w:rFonts w:ascii="宋体" w:eastAsia="宋体" w:hAnsi="宋体" w:cs="微软雅黑" w:hint="eastAsia"/>
          <w:sz w:val="24"/>
          <w:szCs w:val="24"/>
        </w:rPr>
        <w:t>应提前书面通知基金托管人</w:t>
      </w:r>
      <w:r>
        <w:rPr>
          <w:rFonts w:ascii="宋体" w:eastAsia="宋体" w:hAnsi="宋体" w:cs="Arial" w:hint="eastAsia"/>
          <w:sz w:val="24"/>
          <w:szCs w:val="24"/>
        </w:rPr>
        <w:t>，</w:t>
      </w:r>
      <w:r>
        <w:rPr>
          <w:rFonts w:ascii="宋体" w:eastAsia="宋体" w:hAnsi="宋体" w:cs="微软雅黑" w:hint="eastAsia"/>
          <w:sz w:val="24"/>
          <w:szCs w:val="24"/>
        </w:rPr>
        <w:t>以便基金托管人有足够的时间履行相应的业务操作程序</w:t>
      </w:r>
      <w:r>
        <w:rPr>
          <w:rFonts w:ascii="宋体" w:eastAsia="宋体" w:hAnsi="宋体" w:cs="Arial" w:hint="eastAsia"/>
          <w:sz w:val="24"/>
          <w:szCs w:val="24"/>
        </w:rPr>
        <w:t>。</w:t>
      </w:r>
      <w:r>
        <w:rPr>
          <w:rFonts w:ascii="宋体" w:eastAsia="宋体" w:hAnsi="宋体" w:cs="微软雅黑" w:hint="eastAsia"/>
          <w:sz w:val="24"/>
          <w:szCs w:val="24"/>
        </w:rPr>
        <w:t>因发生逾期支取</w:t>
      </w:r>
      <w:r>
        <w:rPr>
          <w:rFonts w:ascii="宋体" w:eastAsia="宋体" w:hAnsi="宋体" w:cs="Arial" w:hint="eastAsia"/>
          <w:sz w:val="24"/>
          <w:szCs w:val="24"/>
        </w:rPr>
        <w:t>、</w:t>
      </w:r>
      <w:r>
        <w:rPr>
          <w:rFonts w:ascii="宋体" w:eastAsia="宋体" w:hAnsi="宋体" w:cs="微软雅黑" w:hint="eastAsia"/>
          <w:sz w:val="24"/>
          <w:szCs w:val="24"/>
        </w:rPr>
        <w:t>提前支取或部分提前支取</w:t>
      </w:r>
      <w:r>
        <w:rPr>
          <w:rFonts w:ascii="宋体" w:eastAsia="宋体" w:hAnsi="宋体" w:cs="Arial" w:hint="eastAsia"/>
          <w:sz w:val="24"/>
          <w:szCs w:val="24"/>
        </w:rPr>
        <w:t>，</w:t>
      </w:r>
      <w:r>
        <w:rPr>
          <w:rFonts w:ascii="宋体" w:eastAsia="宋体" w:hAnsi="宋体" w:cs="微软雅黑" w:hint="eastAsia"/>
          <w:sz w:val="24"/>
          <w:szCs w:val="24"/>
        </w:rPr>
        <w:t>基金托管人不承担相应利息损失及逾期支取手续费</w:t>
      </w:r>
      <w:r>
        <w:rPr>
          <w:rFonts w:ascii="宋体" w:eastAsia="宋体" w:hAnsi="宋体" w:cs="Arial" w:hint="eastAsia"/>
          <w:sz w:val="24"/>
          <w:szCs w:val="24"/>
        </w:rPr>
        <w:t>。</w:t>
      </w:r>
    </w:p>
    <w:p w14:paraId="5098BB0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4</w:t>
      </w:r>
      <w:r>
        <w:rPr>
          <w:rFonts w:ascii="宋体" w:eastAsia="宋体" w:hAnsi="宋体" w:cs="Arial" w:hint="eastAsia"/>
          <w:sz w:val="24"/>
          <w:szCs w:val="24"/>
        </w:rPr>
        <w:t>.</w:t>
      </w:r>
      <w:r>
        <w:rPr>
          <w:rFonts w:ascii="宋体" w:eastAsia="宋体" w:hAnsi="宋体" w:cs="微软雅黑" w:hint="eastAsia"/>
          <w:sz w:val="24"/>
          <w:szCs w:val="24"/>
        </w:rPr>
        <w:t>对于已移交基金托管人保管的存款开户证实书等实物凭证</w:t>
      </w:r>
      <w:r>
        <w:rPr>
          <w:rFonts w:ascii="宋体" w:eastAsia="宋体" w:hAnsi="宋体" w:cs="Malgun Gothic Semilight" w:hint="eastAsia"/>
          <w:sz w:val="24"/>
          <w:szCs w:val="24"/>
        </w:rPr>
        <w:t>，</w:t>
      </w:r>
      <w:r>
        <w:rPr>
          <w:rFonts w:ascii="宋体" w:eastAsia="宋体" w:hAnsi="宋体" w:cs="微软雅黑" w:hint="eastAsia"/>
          <w:sz w:val="24"/>
          <w:szCs w:val="24"/>
        </w:rPr>
        <w:t>基金托管人应确保安全保管</w:t>
      </w:r>
      <w:r>
        <w:rPr>
          <w:rFonts w:ascii="宋体" w:eastAsia="宋体" w:hAnsi="宋体" w:cs="Malgun Gothic Semilight" w:hint="eastAsia"/>
          <w:sz w:val="24"/>
          <w:szCs w:val="24"/>
        </w:rPr>
        <w:t>；</w:t>
      </w:r>
      <w:r>
        <w:rPr>
          <w:rFonts w:ascii="宋体" w:eastAsia="宋体" w:hAnsi="宋体" w:cs="微软雅黑" w:hint="eastAsia"/>
          <w:sz w:val="24"/>
          <w:szCs w:val="24"/>
        </w:rPr>
        <w:t>对未按约定将存款开户证实书等实物凭证移交托管人保管的</w:t>
      </w:r>
      <w:r>
        <w:rPr>
          <w:rFonts w:ascii="宋体" w:eastAsia="宋体" w:hAnsi="宋体" w:cs="Malgun Gothic Semilight" w:hint="eastAsia"/>
          <w:sz w:val="24"/>
          <w:szCs w:val="24"/>
        </w:rPr>
        <w:t>，</w:t>
      </w:r>
      <w:r>
        <w:rPr>
          <w:rFonts w:ascii="宋体" w:eastAsia="宋体" w:hAnsi="宋体" w:cs="微软雅黑" w:hint="eastAsia"/>
          <w:sz w:val="24"/>
          <w:szCs w:val="24"/>
        </w:rPr>
        <w:t>基金托管人应向基金管理人进行必要的催缴和风险提示</w:t>
      </w:r>
      <w:r>
        <w:rPr>
          <w:rFonts w:ascii="宋体" w:eastAsia="宋体" w:hAnsi="宋体" w:cs="Malgun Gothic Semilight" w:hint="eastAsia"/>
          <w:sz w:val="24"/>
          <w:szCs w:val="24"/>
        </w:rPr>
        <w:t>；</w:t>
      </w:r>
      <w:r>
        <w:rPr>
          <w:rFonts w:ascii="宋体" w:eastAsia="宋体" w:hAnsi="宋体" w:cs="微软雅黑" w:hint="eastAsia"/>
          <w:sz w:val="24"/>
          <w:szCs w:val="24"/>
        </w:rPr>
        <w:t>提示后仍不将相关实物凭证送达托管人保管的</w:t>
      </w:r>
      <w:r>
        <w:rPr>
          <w:rFonts w:ascii="宋体" w:eastAsia="宋体" w:hAnsi="宋体" w:cs="Malgun Gothic Semilight" w:hint="eastAsia"/>
          <w:sz w:val="24"/>
          <w:szCs w:val="24"/>
        </w:rPr>
        <w:t>，</w:t>
      </w:r>
      <w:r>
        <w:rPr>
          <w:rFonts w:ascii="宋体" w:eastAsia="宋体" w:hAnsi="宋体" w:cs="微软雅黑" w:hint="eastAsia"/>
          <w:sz w:val="24"/>
          <w:szCs w:val="24"/>
        </w:rPr>
        <w:t>出于托管履职和尽责</w:t>
      </w:r>
      <w:r>
        <w:rPr>
          <w:rFonts w:ascii="宋体" w:eastAsia="宋体" w:hAnsi="宋体" w:cs="Malgun Gothic Semilight" w:hint="eastAsia"/>
          <w:sz w:val="24"/>
          <w:szCs w:val="24"/>
        </w:rPr>
        <w:t>，</w:t>
      </w:r>
      <w:r>
        <w:rPr>
          <w:rFonts w:ascii="宋体" w:eastAsia="宋体" w:hAnsi="宋体" w:cs="微软雅黑" w:hint="eastAsia"/>
          <w:sz w:val="24"/>
          <w:szCs w:val="24"/>
        </w:rPr>
        <w:t>托管人可视情况采取必要的风险控制措施</w:t>
      </w:r>
      <w:r>
        <w:rPr>
          <w:rFonts w:ascii="宋体" w:eastAsia="宋体" w:hAnsi="宋体" w:cs="Malgun Gothic Semilight" w:hint="eastAsia"/>
          <w:sz w:val="24"/>
          <w:szCs w:val="24"/>
        </w:rPr>
        <w:t>：（</w:t>
      </w:r>
      <w:r>
        <w:rPr>
          <w:rFonts w:ascii="宋体" w:eastAsia="宋体" w:hAnsi="宋体" w:cs="Arial"/>
          <w:sz w:val="24"/>
          <w:szCs w:val="24"/>
        </w:rPr>
        <w:t>1</w:t>
      </w:r>
      <w:r>
        <w:rPr>
          <w:rFonts w:ascii="宋体" w:eastAsia="宋体" w:hAnsi="宋体" w:cs="Arial" w:hint="eastAsia"/>
          <w:sz w:val="24"/>
          <w:szCs w:val="24"/>
        </w:rPr>
        <w:t>）</w:t>
      </w:r>
      <w:r>
        <w:rPr>
          <w:rFonts w:ascii="宋体" w:eastAsia="宋体" w:hAnsi="宋体" w:cs="微软雅黑" w:hint="eastAsia"/>
          <w:sz w:val="24"/>
          <w:szCs w:val="24"/>
        </w:rPr>
        <w:t>建立风险预警机制</w:t>
      </w:r>
      <w:r>
        <w:rPr>
          <w:rFonts w:ascii="宋体" w:eastAsia="宋体" w:hAnsi="宋体" w:cs="Malgun Gothic Semilight" w:hint="eastAsia"/>
          <w:sz w:val="24"/>
          <w:szCs w:val="24"/>
        </w:rPr>
        <w:t>，</w:t>
      </w:r>
      <w:r>
        <w:rPr>
          <w:rFonts w:ascii="宋体" w:eastAsia="宋体" w:hAnsi="宋体" w:cs="微软雅黑" w:hint="eastAsia"/>
          <w:sz w:val="24"/>
          <w:szCs w:val="24"/>
        </w:rPr>
        <w:t>对于实物凭证未送达集中度较高的存款银行</w:t>
      </w:r>
      <w:r>
        <w:rPr>
          <w:rFonts w:ascii="宋体" w:eastAsia="宋体" w:hAnsi="宋体" w:cs="Malgun Gothic Semilight" w:hint="eastAsia"/>
          <w:sz w:val="24"/>
          <w:szCs w:val="24"/>
        </w:rPr>
        <w:t>，</w:t>
      </w:r>
      <w:r>
        <w:rPr>
          <w:rFonts w:ascii="宋体" w:eastAsia="宋体" w:hAnsi="宋体" w:cs="微软雅黑" w:hint="eastAsia"/>
          <w:sz w:val="24"/>
          <w:szCs w:val="24"/>
        </w:rPr>
        <w:t>主动发函管理人尽量避免在此类银行进行存款投资</w:t>
      </w:r>
      <w:r>
        <w:rPr>
          <w:rFonts w:ascii="宋体" w:eastAsia="宋体" w:hAnsi="宋体" w:cs="Malgun Gothic Semilight" w:hint="eastAsia"/>
          <w:sz w:val="24"/>
          <w:szCs w:val="24"/>
        </w:rPr>
        <w:t>；（</w:t>
      </w:r>
      <w:r>
        <w:rPr>
          <w:rFonts w:ascii="宋体" w:eastAsia="宋体" w:hAnsi="宋体" w:cs="Arial"/>
          <w:sz w:val="24"/>
          <w:szCs w:val="24"/>
        </w:rPr>
        <w:t>2</w:t>
      </w:r>
      <w:r>
        <w:rPr>
          <w:rFonts w:ascii="宋体" w:eastAsia="宋体" w:hAnsi="宋体" w:cs="Arial" w:hint="eastAsia"/>
          <w:sz w:val="24"/>
          <w:szCs w:val="24"/>
        </w:rPr>
        <w:t>）</w:t>
      </w:r>
      <w:r>
        <w:rPr>
          <w:rFonts w:ascii="宋体" w:eastAsia="宋体" w:hAnsi="宋体" w:cs="微软雅黑" w:hint="eastAsia"/>
          <w:sz w:val="24"/>
          <w:szCs w:val="24"/>
        </w:rPr>
        <w:t>在定期报告中</w:t>
      </w:r>
      <w:r>
        <w:rPr>
          <w:rFonts w:ascii="宋体" w:eastAsia="宋体" w:hAnsi="宋体" w:cs="Malgun Gothic Semilight" w:hint="eastAsia"/>
          <w:sz w:val="24"/>
          <w:szCs w:val="24"/>
        </w:rPr>
        <w:t>，</w:t>
      </w:r>
      <w:r>
        <w:rPr>
          <w:rFonts w:ascii="宋体" w:eastAsia="宋体" w:hAnsi="宋体" w:cs="微软雅黑" w:hint="eastAsia"/>
          <w:sz w:val="24"/>
          <w:szCs w:val="24"/>
        </w:rPr>
        <w:t>对未按约定送达基金托管人保管的实物凭证信息进行规定范围信息披露</w:t>
      </w:r>
      <w:r>
        <w:rPr>
          <w:rFonts w:ascii="宋体" w:eastAsia="宋体" w:hAnsi="宋体" w:cs="Malgun Gothic Semilight" w:hint="eastAsia"/>
          <w:sz w:val="24"/>
          <w:szCs w:val="24"/>
        </w:rPr>
        <w:t>；（</w:t>
      </w:r>
      <w:r>
        <w:rPr>
          <w:rFonts w:ascii="宋体" w:eastAsia="宋体" w:hAnsi="宋体" w:cs="Arial"/>
          <w:sz w:val="24"/>
          <w:szCs w:val="24"/>
        </w:rPr>
        <w:t>3</w:t>
      </w:r>
      <w:r>
        <w:rPr>
          <w:rFonts w:ascii="宋体" w:eastAsia="宋体" w:hAnsi="宋体" w:cs="Arial" w:hint="eastAsia"/>
          <w:sz w:val="24"/>
          <w:szCs w:val="24"/>
        </w:rPr>
        <w:t>）</w:t>
      </w:r>
      <w:r>
        <w:rPr>
          <w:rFonts w:ascii="宋体" w:eastAsia="宋体" w:hAnsi="宋体" w:cs="微软雅黑" w:hint="eastAsia"/>
          <w:sz w:val="24"/>
          <w:szCs w:val="24"/>
        </w:rPr>
        <w:t>未送达实物凭证超过送单截止日后</w:t>
      </w:r>
      <w:r>
        <w:rPr>
          <w:rFonts w:ascii="宋体" w:eastAsia="宋体" w:hAnsi="宋体" w:cs="Arial"/>
          <w:sz w:val="24"/>
          <w:szCs w:val="24"/>
        </w:rPr>
        <w:t>30</w:t>
      </w:r>
      <w:r>
        <w:rPr>
          <w:rFonts w:ascii="宋体" w:eastAsia="宋体" w:hAnsi="宋体" w:cs="微软雅黑" w:hint="eastAsia"/>
          <w:sz w:val="24"/>
          <w:szCs w:val="24"/>
        </w:rPr>
        <w:t>个工作日</w:t>
      </w:r>
      <w:r>
        <w:rPr>
          <w:rFonts w:ascii="宋体" w:eastAsia="宋体" w:hAnsi="宋体" w:cs="Malgun Gothic Semilight" w:hint="eastAsia"/>
          <w:sz w:val="24"/>
          <w:szCs w:val="24"/>
        </w:rPr>
        <w:t>，</w:t>
      </w:r>
      <w:r>
        <w:rPr>
          <w:rFonts w:ascii="宋体" w:eastAsia="宋体" w:hAnsi="宋体" w:cs="微软雅黑" w:hint="eastAsia"/>
          <w:sz w:val="24"/>
          <w:szCs w:val="24"/>
        </w:rPr>
        <w:t>且累计超过</w:t>
      </w:r>
      <w:r>
        <w:rPr>
          <w:rFonts w:ascii="宋体" w:eastAsia="宋体" w:hAnsi="宋体" w:cs="Arial"/>
          <w:sz w:val="24"/>
          <w:szCs w:val="24"/>
        </w:rPr>
        <w:t>3</w:t>
      </w:r>
      <w:r>
        <w:rPr>
          <w:rFonts w:ascii="宋体" w:eastAsia="宋体" w:hAnsi="宋体" w:cs="微软雅黑" w:hint="eastAsia"/>
          <w:sz w:val="24"/>
          <w:szCs w:val="24"/>
        </w:rPr>
        <w:t>笔</w:t>
      </w:r>
      <w:r>
        <w:rPr>
          <w:rFonts w:ascii="宋体" w:eastAsia="宋体" w:hAnsi="宋体" w:cs="Malgun Gothic Semilight" w:hint="eastAsia"/>
          <w:sz w:val="24"/>
          <w:szCs w:val="24"/>
        </w:rPr>
        <w:t>（</w:t>
      </w:r>
      <w:r>
        <w:rPr>
          <w:rFonts w:ascii="宋体" w:eastAsia="宋体" w:hAnsi="宋体" w:cs="微软雅黑" w:hint="eastAsia"/>
          <w:sz w:val="24"/>
          <w:szCs w:val="24"/>
        </w:rPr>
        <w:t>含</w:t>
      </w:r>
      <w:r>
        <w:rPr>
          <w:rFonts w:ascii="宋体" w:eastAsia="宋体" w:hAnsi="宋体" w:cs="Malgun Gothic Semilight" w:hint="eastAsia"/>
          <w:sz w:val="24"/>
          <w:szCs w:val="24"/>
        </w:rPr>
        <w:t>）</w:t>
      </w:r>
      <w:r>
        <w:rPr>
          <w:rFonts w:ascii="宋体" w:eastAsia="宋体" w:hAnsi="宋体" w:cs="微软雅黑" w:hint="eastAsia"/>
          <w:sz w:val="24"/>
          <w:szCs w:val="24"/>
        </w:rPr>
        <w:t>以上的</w:t>
      </w:r>
      <w:r>
        <w:rPr>
          <w:rFonts w:ascii="宋体" w:eastAsia="宋体" w:hAnsi="宋体" w:cs="Malgun Gothic Semilight" w:hint="eastAsia"/>
          <w:sz w:val="24"/>
          <w:szCs w:val="24"/>
        </w:rPr>
        <w:t>，</w:t>
      </w:r>
      <w:r>
        <w:rPr>
          <w:rFonts w:ascii="宋体" w:eastAsia="宋体" w:hAnsi="宋体" w:cs="微软雅黑" w:hint="eastAsia"/>
          <w:sz w:val="24"/>
          <w:szCs w:val="24"/>
        </w:rPr>
        <w:t>部分或全部暂停配合基金管理人办理后续新增存款投资业务</w:t>
      </w:r>
      <w:r>
        <w:rPr>
          <w:rFonts w:ascii="宋体" w:eastAsia="宋体" w:hAnsi="宋体" w:cs="Malgun Gothic Semilight" w:hint="eastAsia"/>
          <w:sz w:val="24"/>
          <w:szCs w:val="24"/>
        </w:rPr>
        <w:t>，</w:t>
      </w:r>
      <w:r>
        <w:rPr>
          <w:rFonts w:ascii="宋体" w:eastAsia="宋体" w:hAnsi="宋体" w:cs="微软雅黑" w:hint="eastAsia"/>
          <w:sz w:val="24"/>
          <w:szCs w:val="24"/>
        </w:rPr>
        <w:t>直至实物凭证送达托管人保管后解除</w:t>
      </w:r>
      <w:r>
        <w:rPr>
          <w:rFonts w:ascii="宋体" w:eastAsia="宋体" w:hAnsi="宋体" w:cs="Malgun Gothic Semilight" w:hint="eastAsia"/>
          <w:sz w:val="24"/>
          <w:szCs w:val="24"/>
        </w:rPr>
        <w:t>。</w:t>
      </w:r>
      <w:r>
        <w:rPr>
          <w:rFonts w:ascii="宋体" w:eastAsia="宋体" w:hAnsi="宋体" w:cs="微软雅黑" w:hint="eastAsia"/>
          <w:sz w:val="24"/>
          <w:szCs w:val="24"/>
        </w:rPr>
        <w:t>实物凭证未送达但存款本息已安全划回托管资金账户的</w:t>
      </w:r>
      <w:r>
        <w:rPr>
          <w:rFonts w:ascii="宋体" w:eastAsia="宋体" w:hAnsi="宋体" w:cs="Malgun Gothic Semilight" w:hint="eastAsia"/>
          <w:sz w:val="24"/>
          <w:szCs w:val="24"/>
        </w:rPr>
        <w:t>，</w:t>
      </w:r>
      <w:r>
        <w:rPr>
          <w:rFonts w:ascii="宋体" w:eastAsia="宋体" w:hAnsi="宋体" w:cs="微软雅黑" w:hint="eastAsia"/>
          <w:sz w:val="24"/>
          <w:szCs w:val="24"/>
        </w:rPr>
        <w:t>以及因发生特殊情况由管理人提供相关书面说明并重新承诺送单截止时间的</w:t>
      </w:r>
      <w:r>
        <w:rPr>
          <w:rFonts w:ascii="宋体" w:eastAsia="宋体" w:hAnsi="宋体" w:cs="Malgun Gothic Semilight" w:hint="eastAsia"/>
          <w:sz w:val="24"/>
          <w:szCs w:val="24"/>
        </w:rPr>
        <w:t>，</w:t>
      </w:r>
      <w:r>
        <w:rPr>
          <w:rFonts w:ascii="宋体" w:eastAsia="宋体" w:hAnsi="宋体" w:cs="微软雅黑" w:hint="eastAsia"/>
          <w:sz w:val="24"/>
          <w:szCs w:val="24"/>
        </w:rPr>
        <w:t>可剔除不计</w:t>
      </w:r>
      <w:r>
        <w:rPr>
          <w:rFonts w:ascii="宋体" w:eastAsia="宋体" w:hAnsi="宋体" w:cs="Malgun Gothic Semilight" w:hint="eastAsia"/>
          <w:sz w:val="24"/>
          <w:szCs w:val="24"/>
        </w:rPr>
        <w:t>。</w:t>
      </w:r>
    </w:p>
    <w:p w14:paraId="0E4BE0C6" w14:textId="77777777" w:rsidR="00C521E2" w:rsidRDefault="00C521E2">
      <w:pPr>
        <w:adjustRightInd w:val="0"/>
        <w:snapToGrid w:val="0"/>
        <w:spacing w:line="360" w:lineRule="auto"/>
        <w:ind w:firstLineChars="200" w:firstLine="480"/>
        <w:rPr>
          <w:rFonts w:ascii="宋体" w:eastAsia="宋体" w:hAnsi="宋体" w:cs="Arial"/>
          <w:sz w:val="24"/>
          <w:szCs w:val="24"/>
        </w:rPr>
      </w:pPr>
    </w:p>
    <w:p w14:paraId="0FFACE9E"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r>
        <w:rPr>
          <w:rFonts w:ascii="宋体" w:eastAsia="宋体" w:hAnsi="宋体" w:cs="Times New Roman" w:hint="eastAsia"/>
          <w:b/>
          <w:sz w:val="30"/>
          <w:szCs w:val="20"/>
        </w:rPr>
        <w:lastRenderedPageBreak/>
        <w:t xml:space="preserve"> </w:t>
      </w:r>
      <w:bookmarkStart w:id="86" w:name="_Toc204539399"/>
      <w:r>
        <w:rPr>
          <w:rFonts w:ascii="宋体" w:eastAsia="宋体" w:hAnsi="宋体" w:cs="微软雅黑" w:hint="eastAsia"/>
          <w:b/>
          <w:sz w:val="30"/>
          <w:szCs w:val="20"/>
        </w:rPr>
        <w:t>八</w:t>
      </w:r>
      <w:r>
        <w:rPr>
          <w:rFonts w:ascii="宋体" w:eastAsia="宋体" w:hAnsi="宋体" w:cs="Malgun Gothic Semilight" w:hint="eastAsia"/>
          <w:b/>
          <w:sz w:val="30"/>
          <w:szCs w:val="20"/>
        </w:rPr>
        <w:t>、</w:t>
      </w:r>
      <w:r>
        <w:rPr>
          <w:rFonts w:ascii="宋体" w:eastAsia="宋体" w:hAnsi="宋体" w:cs="微软雅黑" w:hint="eastAsia"/>
          <w:b/>
          <w:sz w:val="30"/>
          <w:szCs w:val="20"/>
        </w:rPr>
        <w:t>基金资产净值计算和会计核算</w:t>
      </w:r>
      <w:bookmarkEnd w:id="86"/>
    </w:p>
    <w:p w14:paraId="23D55034"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（一）基金资产净值的计算、复核与完成的时间及程序</w:t>
      </w:r>
    </w:p>
    <w:p w14:paraId="4972955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基金资产净值是指基金资产总值减去基金负债后的价值</w:t>
      </w:r>
      <w:r>
        <w:rPr>
          <w:rFonts w:ascii="宋体" w:eastAsia="宋体" w:hAnsi="宋体" w:cs="Malgun Gothic Semilight" w:hint="eastAsia"/>
          <w:sz w:val="24"/>
          <w:szCs w:val="24"/>
        </w:rPr>
        <w:t>。某一类别</w:t>
      </w:r>
      <w:r>
        <w:rPr>
          <w:rFonts w:ascii="宋体" w:eastAsia="宋体" w:hAnsi="宋体" w:cs="微软雅黑" w:hint="eastAsia"/>
          <w:sz w:val="24"/>
          <w:szCs w:val="24"/>
        </w:rPr>
        <w:t>基金份额净值是指按照每个工作日闭市后，该类别基金资产净值除以当日该类别基金份额的余额数量计算，精确到</w:t>
      </w:r>
      <w:r>
        <w:rPr>
          <w:rFonts w:ascii="宋体" w:eastAsia="宋体" w:hAnsi="宋体" w:cs="微软雅黑"/>
          <w:sz w:val="24"/>
          <w:szCs w:val="24"/>
        </w:rPr>
        <w:t>0.0001元，小数点后第5位四舍五入，由此产生的收益或损失由基金财产承担。基金管理人可以设立大额赎回情形下的净值精度应急调整机制。国家另有规定的，从其规定。</w:t>
      </w:r>
      <w:r>
        <w:rPr>
          <w:rFonts w:ascii="宋体" w:eastAsia="宋体" w:hAnsi="宋体" w:cs="微软雅黑" w:hint="eastAsia"/>
          <w:sz w:val="24"/>
          <w:szCs w:val="24"/>
        </w:rPr>
        <w:t>本基金A类基金份额和C类基金份额将分别计算基金份额净值</w:t>
      </w:r>
      <w:r>
        <w:rPr>
          <w:rFonts w:ascii="宋体" w:eastAsia="宋体" w:hAnsi="宋体" w:cs="微软雅黑"/>
          <w:sz w:val="24"/>
          <w:szCs w:val="24"/>
        </w:rPr>
        <w:t>。</w:t>
      </w:r>
    </w:p>
    <w:p w14:paraId="4BD7D1C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每个工作日计算各类基金资产净值及各类基金份额净值</w:t>
      </w:r>
      <w:r>
        <w:rPr>
          <w:rFonts w:ascii="宋体" w:eastAsia="宋体" w:hAnsi="宋体" w:cs="Malgun Gothic Semilight" w:hint="eastAsia"/>
          <w:sz w:val="24"/>
          <w:szCs w:val="24"/>
        </w:rPr>
        <w:t>，</w:t>
      </w:r>
      <w:r>
        <w:rPr>
          <w:rFonts w:ascii="宋体" w:eastAsia="宋体" w:hAnsi="宋体" w:cs="微软雅黑" w:hint="eastAsia"/>
          <w:sz w:val="24"/>
          <w:szCs w:val="24"/>
        </w:rPr>
        <w:t>并按规定公告</w:t>
      </w:r>
      <w:r>
        <w:rPr>
          <w:rFonts w:ascii="宋体" w:eastAsia="宋体" w:hAnsi="宋体" w:cs="Malgun Gothic Semilight" w:hint="eastAsia"/>
          <w:sz w:val="24"/>
          <w:szCs w:val="24"/>
        </w:rPr>
        <w:t>。</w:t>
      </w:r>
    </w:p>
    <w:p w14:paraId="3198328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hint="eastAsia"/>
        </w:rPr>
        <w:t xml:space="preserve"> </w:t>
      </w:r>
      <w:r>
        <w:rPr>
          <w:rFonts w:ascii="宋体" w:eastAsia="宋体" w:hAnsi="宋体" w:cs="微软雅黑" w:hint="eastAsia"/>
          <w:sz w:val="24"/>
          <w:szCs w:val="24"/>
        </w:rPr>
        <w:t>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按照规定对外公布。</w:t>
      </w:r>
    </w:p>
    <w:p w14:paraId="36D6964B" w14:textId="77777777" w:rsidR="00C521E2" w:rsidRDefault="005D6E6D">
      <w:pPr>
        <w:adjustRightInd w:val="0"/>
        <w:snapToGrid w:val="0"/>
        <w:spacing w:line="360" w:lineRule="auto"/>
        <w:ind w:firstLine="480"/>
        <w:rPr>
          <w:rFonts w:ascii="宋体" w:eastAsia="宋体" w:hAnsi="宋体" w:cs="Arial"/>
          <w:sz w:val="24"/>
          <w:szCs w:val="24"/>
        </w:rPr>
      </w:pPr>
      <w:r>
        <w:rPr>
          <w:rFonts w:ascii="宋体" w:eastAsia="宋体" w:hAnsi="宋体" w:cs="Arial" w:hint="eastAsia"/>
          <w:sz w:val="24"/>
          <w:szCs w:val="24"/>
        </w:rPr>
        <w:t>（二）基金资产估值方法</w:t>
      </w:r>
    </w:p>
    <w:p w14:paraId="615098C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估值对象</w:t>
      </w:r>
    </w:p>
    <w:p w14:paraId="6C011853"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基金所拥有的目标</w:t>
      </w:r>
      <w:r>
        <w:rPr>
          <w:rFonts w:ascii="宋体" w:eastAsia="宋体" w:hAnsi="宋体" w:cs="微软雅黑"/>
          <w:sz w:val="24"/>
          <w:szCs w:val="24"/>
        </w:rPr>
        <w:t>ETF基金份额、</w:t>
      </w:r>
      <w:r>
        <w:rPr>
          <w:rFonts w:ascii="宋体" w:eastAsia="宋体" w:hAnsi="宋体" w:cs="微软雅黑" w:hint="eastAsia"/>
          <w:sz w:val="24"/>
          <w:szCs w:val="24"/>
        </w:rPr>
        <w:t>股票、债券和银行存款本息、应收款项、资产支持证券、股指期货合约、国债期货合约、股票期权合约、其它投资等资产及负债。</w:t>
      </w:r>
    </w:p>
    <w:p w14:paraId="010F1DCB"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Arial" w:hint="eastAsia"/>
          <w:sz w:val="24"/>
          <w:szCs w:val="24"/>
        </w:rPr>
        <w:t>2.</w:t>
      </w:r>
      <w:r>
        <w:rPr>
          <w:rFonts w:ascii="宋体" w:eastAsia="宋体" w:hAnsi="宋体" w:cs="微软雅黑" w:hint="eastAsia"/>
          <w:sz w:val="24"/>
          <w:szCs w:val="24"/>
        </w:rPr>
        <w:t>估值方法</w:t>
      </w:r>
    </w:p>
    <w:p w14:paraId="3BF6AF1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（1）目标</w:t>
      </w:r>
      <w:r>
        <w:rPr>
          <w:rFonts w:ascii="宋体" w:eastAsia="宋体" w:hAnsi="宋体" w:cs="Arial"/>
          <w:sz w:val="24"/>
          <w:szCs w:val="24"/>
        </w:rPr>
        <w:t>ETF份额的估值方法</w:t>
      </w:r>
    </w:p>
    <w:p w14:paraId="01A8D87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本基金投资的目标</w:t>
      </w:r>
      <w:r>
        <w:rPr>
          <w:rFonts w:ascii="宋体" w:eastAsia="宋体" w:hAnsi="宋体" w:cs="Arial"/>
          <w:sz w:val="24"/>
          <w:szCs w:val="24"/>
        </w:rPr>
        <w:t>ETF份额以目标ETF估值日基金份额净值估值。</w:t>
      </w:r>
    </w:p>
    <w:p w14:paraId="4585D00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w:t>
      </w:r>
      <w:r>
        <w:rPr>
          <w:rFonts w:ascii="宋体" w:eastAsia="宋体" w:hAnsi="宋体" w:cs="Arial" w:hint="eastAsia"/>
          <w:sz w:val="24"/>
          <w:szCs w:val="24"/>
        </w:rPr>
        <w:t>2</w:t>
      </w:r>
      <w:r>
        <w:rPr>
          <w:rFonts w:ascii="宋体" w:eastAsia="宋体" w:hAnsi="宋体" w:cs="Arial"/>
          <w:sz w:val="24"/>
          <w:szCs w:val="24"/>
        </w:rPr>
        <w:t>）证券交易所上市的有价证券的估值</w:t>
      </w:r>
    </w:p>
    <w:p w14:paraId="398AAB9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7E54EE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2）交易所上市交易或挂牌转让的不含权固定收益品种，选取估值日第三方估</w:t>
      </w:r>
      <w:r>
        <w:rPr>
          <w:rFonts w:ascii="宋体" w:eastAsia="宋体" w:hAnsi="宋体" w:cs="Arial"/>
          <w:sz w:val="24"/>
          <w:szCs w:val="24"/>
        </w:rPr>
        <w:lastRenderedPageBreak/>
        <w:t>值</w:t>
      </w:r>
      <w:r>
        <w:rPr>
          <w:rFonts w:ascii="宋体" w:eastAsia="宋体" w:hAnsi="宋体" w:cs="Arial" w:hint="eastAsia"/>
          <w:sz w:val="24"/>
          <w:szCs w:val="24"/>
        </w:rPr>
        <w:t>基准服务</w:t>
      </w:r>
      <w:r>
        <w:rPr>
          <w:rFonts w:ascii="宋体" w:eastAsia="宋体" w:hAnsi="宋体" w:cs="Arial"/>
          <w:sz w:val="24"/>
          <w:szCs w:val="24"/>
        </w:rPr>
        <w:t>机构提供的相应品种当日的估值全价进行估值；</w:t>
      </w:r>
    </w:p>
    <w:p w14:paraId="5311546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3）交易所上市交易或挂牌转让的含权固定收益品种，选取估值日第三方估值</w:t>
      </w:r>
      <w:r>
        <w:rPr>
          <w:rFonts w:ascii="宋体" w:eastAsia="宋体" w:hAnsi="宋体" w:cs="Arial" w:hint="eastAsia"/>
          <w:sz w:val="24"/>
          <w:szCs w:val="24"/>
        </w:rPr>
        <w:t>基准服务</w:t>
      </w:r>
      <w:r>
        <w:rPr>
          <w:rFonts w:ascii="宋体" w:eastAsia="宋体" w:hAnsi="宋体" w:cs="Arial"/>
          <w:sz w:val="24"/>
          <w:szCs w:val="24"/>
        </w:rPr>
        <w:t>机构提供的相应品种当日的唯一估值全价或推荐估值全价进行估值；</w:t>
      </w:r>
    </w:p>
    <w:p w14:paraId="5ADFD4C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4）</w:t>
      </w:r>
      <w:r>
        <w:rPr>
          <w:rFonts w:ascii="宋体" w:eastAsia="宋体" w:hAnsi="宋体" w:hint="eastAsia"/>
          <w:bCs/>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Pr>
          <w:rFonts w:ascii="宋体" w:eastAsia="宋体" w:hAnsi="宋体" w:cs="Arial"/>
          <w:sz w:val="24"/>
          <w:szCs w:val="24"/>
        </w:rPr>
        <w:t>。</w:t>
      </w:r>
    </w:p>
    <w:p w14:paraId="57F1A1B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5）交易所上市不存在活跃市场的有价证券，采用估值技术确定公允价值。</w:t>
      </w:r>
    </w:p>
    <w:p w14:paraId="041D222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3</w:t>
      </w:r>
      <w:r>
        <w:rPr>
          <w:rFonts w:ascii="宋体" w:eastAsia="宋体" w:hAnsi="宋体" w:cs="Arial" w:hint="eastAsia"/>
          <w:sz w:val="24"/>
          <w:szCs w:val="24"/>
        </w:rPr>
        <w:t>）</w:t>
      </w:r>
      <w:r>
        <w:rPr>
          <w:rFonts w:ascii="宋体" w:eastAsia="宋体" w:hAnsi="宋体" w:cs="Arial"/>
          <w:sz w:val="24"/>
          <w:szCs w:val="24"/>
        </w:rPr>
        <w:t>处于未上市期间的有价证券应区分如下情况处理：</w:t>
      </w:r>
    </w:p>
    <w:p w14:paraId="6CB4907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1）送股、转增股、配股和公开增发的新股，按估值日在证券交易所挂牌的同一股票的估值方法估值；该日无交易的，以最近一日的市价（收盘价）估值；</w:t>
      </w:r>
    </w:p>
    <w:p w14:paraId="661795C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2）首次公开发行未上市的股票，采用估值技术确定公允价值；</w:t>
      </w:r>
    </w:p>
    <w:p w14:paraId="63C8ADD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7CC4944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4</w:t>
      </w:r>
      <w:r>
        <w:rPr>
          <w:rFonts w:ascii="宋体" w:eastAsia="宋体" w:hAnsi="宋体" w:cs="Arial" w:hint="eastAsia"/>
          <w:sz w:val="24"/>
          <w:szCs w:val="24"/>
        </w:rPr>
        <w:t>）</w:t>
      </w:r>
      <w:r>
        <w:rPr>
          <w:rFonts w:ascii="宋体" w:eastAsia="宋体" w:hAnsi="宋体" w:cs="Arial"/>
          <w:sz w:val="24"/>
          <w:szCs w:val="24"/>
        </w:rPr>
        <w:t>对全国银行间市场上不含权的固定收益品种，按照第三方估值</w:t>
      </w:r>
      <w:r>
        <w:rPr>
          <w:rFonts w:ascii="宋体" w:eastAsia="宋体" w:hAnsi="宋体" w:cs="Arial" w:hint="eastAsia"/>
          <w:sz w:val="24"/>
          <w:szCs w:val="24"/>
        </w:rPr>
        <w:t>基准服务</w:t>
      </w:r>
      <w:r>
        <w:rPr>
          <w:rFonts w:ascii="宋体" w:eastAsia="宋体" w:hAnsi="宋体" w:cs="Arial"/>
          <w:sz w:val="24"/>
          <w:szCs w:val="24"/>
        </w:rPr>
        <w:t>机构提供的相应品种当日的估值全价估值。对银行间市场上含权的固定收益品种，按照第三方估值</w:t>
      </w:r>
      <w:r>
        <w:rPr>
          <w:rFonts w:ascii="宋体" w:eastAsia="宋体" w:hAnsi="宋体" w:cs="Arial" w:hint="eastAsia"/>
          <w:sz w:val="24"/>
          <w:szCs w:val="24"/>
        </w:rPr>
        <w:t>基准服务</w:t>
      </w:r>
      <w:r>
        <w:rPr>
          <w:rFonts w:ascii="宋体" w:eastAsia="宋体" w:hAnsi="宋体" w:cs="Arial"/>
          <w:sz w:val="24"/>
          <w:szCs w:val="24"/>
        </w:rPr>
        <w:t>机构提供的相应品种当日的唯一估值全价或推荐估值全价估值。</w:t>
      </w:r>
      <w:r>
        <w:rPr>
          <w:rFonts w:ascii="宋体" w:eastAsia="宋体" w:hAnsi="宋体" w:cs="Arial" w:hint="eastAsia"/>
          <w:sz w:val="24"/>
          <w:szCs w:val="24"/>
        </w:rPr>
        <w:t>对银行间市场未上市，且第三方估值基准服务机构未提供估值价格的债券应采用估值技术确定公允价值。</w:t>
      </w:r>
    </w:p>
    <w:p w14:paraId="45FD563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5</w:t>
      </w:r>
      <w:r>
        <w:rPr>
          <w:rFonts w:ascii="宋体" w:eastAsia="宋体" w:hAnsi="宋体" w:cs="Arial" w:hint="eastAsia"/>
          <w:sz w:val="24"/>
          <w:szCs w:val="24"/>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22E0EF1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（6）对于未上市或未挂牌转让且不存在活跃市场的固定收益品种，应采用在当前情况下适用并且有足够可利用数据和其他信息支持的估值技术确定其公允价值。</w:t>
      </w:r>
    </w:p>
    <w:p w14:paraId="7A0472B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7</w:t>
      </w:r>
      <w:r>
        <w:rPr>
          <w:rFonts w:ascii="宋体" w:eastAsia="宋体" w:hAnsi="宋体" w:cs="Arial" w:hint="eastAsia"/>
          <w:sz w:val="24"/>
          <w:szCs w:val="24"/>
        </w:rPr>
        <w:t>）</w:t>
      </w:r>
      <w:r>
        <w:rPr>
          <w:rFonts w:ascii="宋体" w:eastAsia="宋体" w:hAnsi="宋体" w:cs="Arial"/>
          <w:sz w:val="24"/>
          <w:szCs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w:t>
      </w:r>
      <w:r>
        <w:rPr>
          <w:rFonts w:ascii="宋体" w:eastAsia="宋体" w:hAnsi="宋体" w:cs="Arial"/>
          <w:sz w:val="24"/>
          <w:szCs w:val="24"/>
        </w:rPr>
        <w:lastRenderedPageBreak/>
        <w:t>价值存在重大不确定性的相关提示。基金管理人在与托管人协商一致后，可采用价格区间中的数据作为该债券投资品种的公允价值。</w:t>
      </w:r>
    </w:p>
    <w:p w14:paraId="6F87F5F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8</w:t>
      </w:r>
      <w:r>
        <w:rPr>
          <w:rFonts w:ascii="宋体" w:eastAsia="宋体" w:hAnsi="宋体" w:cs="Arial" w:hint="eastAsia"/>
          <w:sz w:val="24"/>
          <w:szCs w:val="24"/>
        </w:rPr>
        <w:t>）</w:t>
      </w:r>
      <w:r>
        <w:rPr>
          <w:rFonts w:ascii="宋体" w:eastAsia="宋体" w:hAnsi="宋体" w:cs="Arial"/>
          <w:sz w:val="24"/>
          <w:szCs w:val="24"/>
        </w:rPr>
        <w:t>同一证券同时在两个或两个以上市场交易的，按证券所处的市场分别估值。</w:t>
      </w:r>
    </w:p>
    <w:p w14:paraId="4DF4F00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9</w:t>
      </w:r>
      <w:r>
        <w:rPr>
          <w:rFonts w:ascii="宋体" w:eastAsia="宋体" w:hAnsi="宋体" w:cs="Arial" w:hint="eastAsia"/>
          <w:sz w:val="24"/>
          <w:szCs w:val="24"/>
        </w:rPr>
        <w:t>）</w:t>
      </w:r>
      <w:r>
        <w:rPr>
          <w:rFonts w:ascii="宋体" w:eastAsia="宋体" w:hAnsi="宋体" w:cs="Arial"/>
          <w:sz w:val="24"/>
          <w:szCs w:val="24"/>
        </w:rPr>
        <w:t>本基金投资股指期货、国债期货，一般以估值当日结算价进行估值，估值当日无结算价的，且最近交易日后经济环境未发生重大变化的，采用最近交易日结算价估值。</w:t>
      </w:r>
    </w:p>
    <w:p w14:paraId="4682BC4C" w14:textId="53D3B4C2" w:rsidR="00C521E2" w:rsidRDefault="005D6E6D" w:rsidP="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本基金投资股票期权，根据相关法律法规以及监管部门的规定估值。</w:t>
      </w:r>
    </w:p>
    <w:p w14:paraId="207E927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10</w:t>
      </w:r>
      <w:r>
        <w:rPr>
          <w:rFonts w:ascii="宋体" w:eastAsia="宋体" w:hAnsi="宋体" w:cs="Arial" w:hint="eastAsia"/>
          <w:sz w:val="24"/>
          <w:szCs w:val="24"/>
        </w:rPr>
        <w:t>）</w:t>
      </w:r>
      <w:r>
        <w:rPr>
          <w:rFonts w:ascii="宋体" w:eastAsia="宋体" w:hAnsi="宋体" w:cs="Arial"/>
          <w:sz w:val="24"/>
          <w:szCs w:val="24"/>
        </w:rPr>
        <w:t>本基金投资同业存单，按估值日第三方估值</w:t>
      </w:r>
      <w:r>
        <w:rPr>
          <w:rFonts w:ascii="宋体" w:eastAsia="宋体" w:hAnsi="宋体" w:cs="Arial" w:hint="eastAsia"/>
          <w:sz w:val="24"/>
          <w:szCs w:val="24"/>
        </w:rPr>
        <w:t>基准服务</w:t>
      </w:r>
      <w:r>
        <w:rPr>
          <w:rFonts w:ascii="宋体" w:eastAsia="宋体" w:hAnsi="宋体" w:cs="Arial"/>
          <w:sz w:val="24"/>
          <w:szCs w:val="24"/>
        </w:rPr>
        <w:t>机构提供的估值全价估值；选定的第三方估值</w:t>
      </w:r>
      <w:r>
        <w:rPr>
          <w:rFonts w:ascii="宋体" w:eastAsia="宋体" w:hAnsi="宋体" w:cs="Arial" w:hint="eastAsia"/>
          <w:sz w:val="24"/>
          <w:szCs w:val="24"/>
        </w:rPr>
        <w:t>基准服务</w:t>
      </w:r>
      <w:r>
        <w:rPr>
          <w:rFonts w:ascii="宋体" w:eastAsia="宋体" w:hAnsi="宋体" w:cs="Arial"/>
          <w:sz w:val="24"/>
          <w:szCs w:val="24"/>
        </w:rPr>
        <w:t>机构未提供估值价格的，应采用估值技术确定公允价值。</w:t>
      </w:r>
    </w:p>
    <w:p w14:paraId="32C4C2E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11</w:t>
      </w:r>
      <w:r>
        <w:rPr>
          <w:rFonts w:ascii="宋体" w:eastAsia="宋体" w:hAnsi="宋体" w:cs="Arial" w:hint="eastAsia"/>
          <w:sz w:val="24"/>
          <w:szCs w:val="24"/>
        </w:rPr>
        <w:t>）</w:t>
      </w:r>
      <w:r>
        <w:rPr>
          <w:rFonts w:ascii="宋体" w:eastAsia="宋体" w:hAnsi="宋体" w:cs="Arial"/>
          <w:sz w:val="24"/>
          <w:szCs w:val="24"/>
        </w:rPr>
        <w:t>本基金参与融资和转融通证券出借业务，按照相关法律法规和行业协会的相关规定进行估值。</w:t>
      </w:r>
    </w:p>
    <w:p w14:paraId="4177020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12</w:t>
      </w:r>
      <w:r>
        <w:rPr>
          <w:rFonts w:ascii="宋体" w:eastAsia="宋体" w:hAnsi="宋体" w:cs="Arial" w:hint="eastAsia"/>
          <w:sz w:val="24"/>
          <w:szCs w:val="24"/>
        </w:rPr>
        <w:t>）</w:t>
      </w:r>
      <w:r>
        <w:rPr>
          <w:rFonts w:ascii="宋体" w:eastAsia="宋体" w:hAnsi="宋体" w:cs="Arial"/>
          <w:sz w:val="24"/>
          <w:szCs w:val="24"/>
        </w:rPr>
        <w:t>本基金投资存托凭证的估值核算，依照国内依法发行上市的股票执行。</w:t>
      </w:r>
    </w:p>
    <w:p w14:paraId="0D965B2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13</w:t>
      </w:r>
      <w:r>
        <w:rPr>
          <w:rFonts w:ascii="宋体" w:eastAsia="宋体" w:hAnsi="宋体" w:cs="Arial" w:hint="eastAsia"/>
          <w:sz w:val="24"/>
          <w:szCs w:val="24"/>
        </w:rPr>
        <w:t>）</w:t>
      </w:r>
      <w:r>
        <w:rPr>
          <w:rFonts w:ascii="宋体" w:eastAsia="宋体" w:hAnsi="宋体" w:cs="Arial"/>
          <w:sz w:val="24"/>
          <w:szCs w:val="24"/>
        </w:rPr>
        <w:t>估值计算中涉及港币对人民币汇率的，将依据下列信息提供机构所提供的汇率为基准：当日中国人民银行公布的人民币与港币的中间价。</w:t>
      </w:r>
    </w:p>
    <w:p w14:paraId="6E8B053D" w14:textId="7BCA613F" w:rsidR="00C521E2" w:rsidRDefault="005D6E6D" w:rsidP="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6654F702" w14:textId="1CF8DCDA" w:rsidR="00C521E2" w:rsidRDefault="005D6E6D">
      <w:pPr>
        <w:adjustRightInd w:val="0"/>
        <w:snapToGrid w:val="0"/>
        <w:spacing w:line="360" w:lineRule="auto"/>
        <w:ind w:firstLineChars="200" w:firstLine="480"/>
        <w:rPr>
          <w:rStyle w:val="af2"/>
          <w:rFonts w:ascii="Times New Roman" w:eastAsia="宋体" w:hAnsi="Times New Roman" w:cs="Times New Roman"/>
        </w:rPr>
      </w:pPr>
      <w:r>
        <w:rPr>
          <w:rFonts w:ascii="宋体" w:eastAsia="宋体" w:hAnsi="宋体" w:cs="Arial" w:hint="eastAsia"/>
          <w:sz w:val="24"/>
          <w:szCs w:val="24"/>
        </w:rPr>
        <w:t>（1</w:t>
      </w:r>
      <w:r>
        <w:rPr>
          <w:rFonts w:ascii="宋体" w:eastAsia="宋体" w:hAnsi="宋体" w:cs="Arial"/>
          <w:sz w:val="24"/>
          <w:szCs w:val="24"/>
        </w:rPr>
        <w:t>4</w:t>
      </w:r>
      <w:r>
        <w:rPr>
          <w:rFonts w:ascii="宋体" w:eastAsia="宋体" w:hAnsi="宋体" w:cs="Arial" w:hint="eastAsia"/>
          <w:sz w:val="24"/>
          <w:szCs w:val="24"/>
        </w:rPr>
        <w:t>）本基金可以采用第三方估值机构按照上述公允价值确定原则提供的估值价格数据。</w:t>
      </w:r>
    </w:p>
    <w:p w14:paraId="01A7DCF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（15）</w:t>
      </w:r>
      <w:r>
        <w:rPr>
          <w:rFonts w:ascii="宋体" w:eastAsia="宋体" w:hAnsi="宋体" w:cs="Arial"/>
          <w:sz w:val="24"/>
          <w:szCs w:val="24"/>
        </w:rPr>
        <w:t>如有确凿证据表明按上述方法进行估值不能客观反映其公允价值的，基金管理人可根据具体情况与基金托管人商定后，按最能反映公允价值的价格估值。</w:t>
      </w:r>
    </w:p>
    <w:p w14:paraId="1FD3FF6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使用模型估值的，应当审慎确定模型参数，不得随意调整。</w:t>
      </w:r>
    </w:p>
    <w:p w14:paraId="22FA54A3" w14:textId="72FA7AF8"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对于仅依赖基金管理人所提供数据（包括但不限于基金管理人自建模型定价）且无法从其他渠道获取可靠数据进行会计核算的投资品种，基金管理人应对数据的真实性、准确性、完整性、合规性负责， 因</w:t>
      </w:r>
      <w:r w:rsidR="00076423">
        <w:rPr>
          <w:rFonts w:ascii="宋体" w:eastAsia="宋体" w:hAnsi="宋体" w:cs="Arial" w:hint="eastAsia"/>
          <w:sz w:val="24"/>
          <w:szCs w:val="24"/>
        </w:rPr>
        <w:t>上述估值</w:t>
      </w:r>
      <w:r>
        <w:rPr>
          <w:rFonts w:ascii="宋体" w:eastAsia="宋体" w:hAnsi="宋体" w:cs="Arial" w:hint="eastAsia"/>
          <w:sz w:val="24"/>
          <w:szCs w:val="24"/>
        </w:rPr>
        <w:t>数据错误导致估值结果的</w:t>
      </w:r>
      <w:r>
        <w:rPr>
          <w:rFonts w:ascii="宋体" w:eastAsia="宋体" w:hAnsi="宋体" w:cs="Arial" w:hint="eastAsia"/>
          <w:sz w:val="24"/>
          <w:szCs w:val="24"/>
        </w:rPr>
        <w:lastRenderedPageBreak/>
        <w:t>不真实、不准确、不完整、不合规，托管人不承担任何责任。</w:t>
      </w:r>
    </w:p>
    <w:p w14:paraId="6D993489" w14:textId="100863F5"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w:t>
      </w:r>
      <w:r>
        <w:rPr>
          <w:rFonts w:ascii="宋体" w:eastAsia="宋体" w:hAnsi="宋体" w:cs="Arial" w:hint="eastAsia"/>
          <w:sz w:val="24"/>
          <w:szCs w:val="24"/>
        </w:rPr>
        <w:t>6）当发生大额申购或赎回情形时，基金管理人可以采用摆动定价机制，以确保基金估值的公平性。</w:t>
      </w:r>
    </w:p>
    <w:p w14:paraId="29815199" w14:textId="2CEF5FFC"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Arial"/>
          <w:sz w:val="24"/>
          <w:szCs w:val="24"/>
        </w:rPr>
        <w:t>1</w:t>
      </w:r>
      <w:r>
        <w:rPr>
          <w:rFonts w:ascii="宋体" w:eastAsia="宋体" w:hAnsi="宋体" w:cs="Arial" w:hint="eastAsia"/>
          <w:sz w:val="24"/>
          <w:szCs w:val="24"/>
        </w:rPr>
        <w:t>7）</w:t>
      </w:r>
      <w:r>
        <w:rPr>
          <w:rFonts w:ascii="宋体" w:eastAsia="宋体" w:hAnsi="宋体" w:cs="Arial"/>
          <w:sz w:val="24"/>
          <w:szCs w:val="24"/>
        </w:rPr>
        <w:t>相关法律法规以及监管部门有强制规定的，从其规定。如有新增事项，按国家最新规定估值。</w:t>
      </w:r>
    </w:p>
    <w:p w14:paraId="61242EB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44216EB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基金管理人担任本基金的会计责任方，负责基金净值计算和基金会计核算。就与本基金有关的会计问题，如经相关各方在平等基础上充分讨论后，仍无法达成一致的意见，</w:t>
      </w:r>
      <w:r>
        <w:rPr>
          <w:rFonts w:ascii="宋体" w:eastAsia="宋体" w:hAnsi="宋体" w:cs="微软雅黑" w:hint="eastAsia"/>
          <w:sz w:val="24"/>
          <w:szCs w:val="21"/>
        </w:rPr>
        <w:t>基金管理人向基金托管人出具盖章的书面说明后</w:t>
      </w:r>
      <w:r>
        <w:rPr>
          <w:rFonts w:ascii="宋体" w:eastAsia="宋体" w:hAnsi="宋体" w:cs="Malgun Gothic Semilight" w:hint="eastAsia"/>
          <w:sz w:val="24"/>
          <w:szCs w:val="21"/>
        </w:rPr>
        <w:t>，</w:t>
      </w:r>
      <w:r>
        <w:rPr>
          <w:rFonts w:ascii="宋体" w:eastAsia="宋体" w:hAnsi="宋体" w:cs="Arial" w:hint="eastAsia"/>
          <w:sz w:val="24"/>
          <w:szCs w:val="24"/>
        </w:rPr>
        <w:t>按照基金管理人对基金净值信息的计算结果对外予以公布。</w:t>
      </w:r>
    </w:p>
    <w:p w14:paraId="51A201FB" w14:textId="77777777" w:rsidR="00C521E2" w:rsidRDefault="00C521E2">
      <w:pPr>
        <w:widowControl/>
        <w:jc w:val="left"/>
        <w:rPr>
          <w:rFonts w:ascii="宋体" w:eastAsia="宋体" w:hAnsi="宋体" w:cs="宋体"/>
          <w:kern w:val="0"/>
          <w:sz w:val="24"/>
          <w:szCs w:val="24"/>
        </w:rPr>
      </w:pPr>
    </w:p>
    <w:p w14:paraId="4F32D24C"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Arial"/>
          <w:sz w:val="24"/>
          <w:szCs w:val="24"/>
        </w:rPr>
        <w:t>3</w:t>
      </w:r>
      <w:r>
        <w:rPr>
          <w:rFonts w:ascii="宋体" w:eastAsia="宋体" w:hAnsi="宋体" w:cs="Arial" w:hint="eastAsia"/>
          <w:sz w:val="24"/>
          <w:szCs w:val="24"/>
        </w:rPr>
        <w:t>.</w:t>
      </w:r>
      <w:r>
        <w:rPr>
          <w:rFonts w:ascii="宋体" w:eastAsia="宋体" w:hAnsi="宋体" w:cs="Times New Roman" w:hint="eastAsia"/>
          <w:sz w:val="24"/>
          <w:szCs w:val="24"/>
        </w:rPr>
        <w:t>实施侧袋机制期间的基金资产估值</w:t>
      </w:r>
    </w:p>
    <w:p w14:paraId="716BF01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Times New Roman" w:hint="eastAsia"/>
          <w:sz w:val="24"/>
          <w:szCs w:val="24"/>
        </w:rPr>
        <w:t>本基金实施侧袋机制的，应根据本部分的约定对主袋账户资产进行估值并披露主袋账户的基金净值信息，暂停披露侧袋账户份额净值。</w:t>
      </w:r>
    </w:p>
    <w:p w14:paraId="54E6DB34"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基金份额净值错误的处理方式</w:t>
      </w:r>
    </w:p>
    <w:p w14:paraId="377437ED"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基金管理人和基金托管人将采取必要、适当、合理的措施确保基金资产估值的准确性、及时性。当任一类别的基金份额净值小数点后</w:t>
      </w:r>
      <w:r>
        <w:rPr>
          <w:rFonts w:ascii="宋体" w:eastAsia="宋体" w:hAnsi="宋体" w:cs="Times New Roman"/>
          <w:sz w:val="24"/>
          <w:szCs w:val="24"/>
        </w:rPr>
        <w:t>4位以内（含第4位）发生估值错误时，视为</w:t>
      </w:r>
      <w:r>
        <w:rPr>
          <w:rFonts w:ascii="宋体" w:eastAsia="宋体" w:hAnsi="宋体" w:cs="Times New Roman" w:hint="eastAsia"/>
          <w:sz w:val="24"/>
          <w:szCs w:val="24"/>
        </w:rPr>
        <w:t>该类</w:t>
      </w:r>
      <w:r>
        <w:rPr>
          <w:rFonts w:ascii="宋体" w:eastAsia="宋体" w:hAnsi="宋体" w:cs="Times New Roman"/>
          <w:sz w:val="24"/>
          <w:szCs w:val="24"/>
        </w:rPr>
        <w:t>基金份额净值错误。</w:t>
      </w:r>
    </w:p>
    <w:p w14:paraId="0092575E"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1.基金份额净值计算出现错误时，基金管理人应当立即予以纠正，通报基金托管人，并采取合理的措施防止损失进一步扩大。</w:t>
      </w:r>
    </w:p>
    <w:p w14:paraId="092E6394"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2.错误偏差达到</w:t>
      </w:r>
      <w:r>
        <w:rPr>
          <w:rFonts w:ascii="宋体" w:eastAsia="宋体" w:hAnsi="宋体" w:cs="Times New Roman" w:hint="eastAsia"/>
          <w:sz w:val="24"/>
          <w:szCs w:val="24"/>
        </w:rPr>
        <w:t>该类别</w:t>
      </w:r>
      <w:r>
        <w:rPr>
          <w:rFonts w:ascii="宋体" w:eastAsia="宋体" w:hAnsi="宋体" w:cs="Times New Roman"/>
          <w:sz w:val="24"/>
          <w:szCs w:val="24"/>
        </w:rPr>
        <w:t>基金份额净值的0.25%时，基金管理人应当通报基金托管人并报中国证监会备案；错误偏差达到</w:t>
      </w:r>
      <w:r>
        <w:rPr>
          <w:rFonts w:ascii="宋体" w:eastAsia="宋体" w:hAnsi="宋体" w:cs="Times New Roman" w:hint="eastAsia"/>
          <w:sz w:val="24"/>
          <w:szCs w:val="24"/>
        </w:rPr>
        <w:t>该类别</w:t>
      </w:r>
      <w:r>
        <w:rPr>
          <w:rFonts w:ascii="宋体" w:eastAsia="宋体" w:hAnsi="宋体" w:cs="Times New Roman"/>
          <w:sz w:val="24"/>
          <w:szCs w:val="24"/>
        </w:rPr>
        <w:t>基金份额净值的0.5%时，基金管理人应当公告，通报基金托管人，并报中国证监会备案</w:t>
      </w:r>
      <w:r>
        <w:rPr>
          <w:rStyle w:val="read"/>
          <w:rFonts w:ascii="宋体" w:eastAsia="宋体" w:hAnsi="宋体" w:hint="eastAsia"/>
          <w:sz w:val="24"/>
          <w:szCs w:val="24"/>
        </w:rPr>
        <w:t>；当发生净值计算错误时，由基金管理人负责处理。由此给基金份额持有人和基金造成损失的，应由基金管理人先行赔付，基金管理人按差错情形，有权向其他当事人追偿。</w:t>
      </w:r>
    </w:p>
    <w:p w14:paraId="061F0C14"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3.当</w:t>
      </w:r>
      <w:r>
        <w:rPr>
          <w:rFonts w:ascii="宋体" w:eastAsia="宋体" w:hAnsi="宋体" w:cs="Times New Roman" w:hint="eastAsia"/>
          <w:sz w:val="24"/>
          <w:szCs w:val="24"/>
        </w:rPr>
        <w:t>各类</w:t>
      </w:r>
      <w:r>
        <w:rPr>
          <w:rFonts w:ascii="宋体" w:eastAsia="宋体" w:hAnsi="宋体" w:cs="Times New Roman"/>
          <w:sz w:val="24"/>
          <w:szCs w:val="24"/>
        </w:rPr>
        <w:t>基金份额净值计算差错给基金和基金份额持有人造成损失需要进行赔偿时，基金管理人和基金托管人应根据实际情况界定双方承担的责任，经确认后按以下条款进行赔偿：</w:t>
      </w:r>
    </w:p>
    <w:p w14:paraId="701EFC75" w14:textId="62A7A66E"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lastRenderedPageBreak/>
        <w:t>（1）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66BE78E1"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（2）若基金管理人计算的各类基金份额净值已由基金托管人复核确认后公告，</w:t>
      </w:r>
      <w:r>
        <w:rPr>
          <w:rFonts w:ascii="宋体" w:eastAsia="宋体" w:hAnsi="宋体" w:hint="eastAsia"/>
          <w:kern w:val="0"/>
          <w:sz w:val="24"/>
        </w:rPr>
        <w:t>而且基金托管人未对计算过程提出疑义或要求基金管理人书面说明，基金份额净值出错且造成</w:t>
      </w:r>
      <w:r>
        <w:rPr>
          <w:rFonts w:ascii="宋体" w:eastAsia="宋体" w:hAnsi="宋体" w:cs="Times New Roman" w:hint="eastAsia"/>
          <w:sz w:val="24"/>
          <w:szCs w:val="24"/>
        </w:rPr>
        <w:t>基金份额持有人损失的，应根据法律法规的规定对投资者或基金支付赔偿金。就实际向投资者或基金支付的赔偿金额，基金管理人与基金托管人按照</w:t>
      </w:r>
      <w:r>
        <w:rPr>
          <w:rFonts w:ascii="宋体" w:eastAsia="宋体" w:hAnsi="宋体" w:hint="eastAsia"/>
          <w:kern w:val="0"/>
          <w:sz w:val="24"/>
        </w:rPr>
        <w:t>管理费和托管费的比例</w:t>
      </w:r>
      <w:r>
        <w:rPr>
          <w:rFonts w:ascii="宋体" w:eastAsia="宋体" w:hAnsi="宋体" w:cs="Times New Roman" w:hint="eastAsia"/>
          <w:sz w:val="24"/>
          <w:szCs w:val="24"/>
        </w:rPr>
        <w:t>各自承担相应的责任。</w:t>
      </w:r>
    </w:p>
    <w:p w14:paraId="343043A7" w14:textId="0330401F"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如基金管理人和基金托管人对各类基金份额净值的计算结果，虽然多次重新计算和核对，尚不能达成一致时，为避免不能按时公布各类基金份额净值的情形，以基金管理人的计算结果对外公布。由此给基金份额持有人和基金财产造成的损失，</w:t>
      </w:r>
      <w:r>
        <w:rPr>
          <w:rFonts w:ascii="宋体" w:eastAsia="宋体" w:hAnsi="宋体" w:cs="Times New Roman"/>
          <w:sz w:val="24"/>
          <w:szCs w:val="24"/>
        </w:rPr>
        <w:t>由基金管理人负责赔付</w:t>
      </w:r>
      <w:r>
        <w:rPr>
          <w:rFonts w:ascii="宋体" w:eastAsia="宋体" w:hAnsi="宋体" w:cs="Times New Roman" w:hint="eastAsia"/>
          <w:sz w:val="24"/>
          <w:szCs w:val="24"/>
        </w:rPr>
        <w:t>。</w:t>
      </w:r>
    </w:p>
    <w:p w14:paraId="7B8590EF"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（4）由于基金管理人提供的信息错误（包括但不限于基金申购或赎回金额等），进而导致各类基金份额净值计算错误而引起的基金份额持有人和基金财产的损失，由基金管理人负责赔付。</w:t>
      </w:r>
    </w:p>
    <w:p w14:paraId="4E161676"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.前述内容如法律法规或监管机关另有规定的，从其规定处理。</w:t>
      </w:r>
    </w:p>
    <w:p w14:paraId="40688D9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5.特殊情况的处理</w:t>
      </w:r>
    </w:p>
    <w:p w14:paraId="060D1388"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1）基金管理人或基金托管人</w:t>
      </w:r>
      <w:r>
        <w:rPr>
          <w:rFonts w:ascii="宋体" w:eastAsia="宋体" w:hAnsi="宋体" w:cs="Times New Roman" w:hint="eastAsia"/>
          <w:sz w:val="24"/>
          <w:szCs w:val="24"/>
        </w:rPr>
        <w:t>按基金合同约定的估值方法</w:t>
      </w:r>
      <w:r>
        <w:rPr>
          <w:rFonts w:ascii="宋体" w:eastAsia="宋体" w:hAnsi="宋体" w:cs="Times New Roman"/>
          <w:sz w:val="24"/>
          <w:szCs w:val="24"/>
        </w:rPr>
        <w:t>进行估值时，所造成的误差不作为基金资产估值错误处理。</w:t>
      </w:r>
    </w:p>
    <w:p w14:paraId="3EB2FFEE" w14:textId="703E5EE0"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2）由于不可抗力</w:t>
      </w:r>
      <w:r>
        <w:rPr>
          <w:rFonts w:ascii="宋体" w:eastAsia="宋体" w:hAnsi="宋体" w:cs="Times New Roman" w:hint="eastAsia"/>
          <w:sz w:val="24"/>
          <w:szCs w:val="24"/>
        </w:rPr>
        <w:t>原因</w:t>
      </w:r>
      <w:r>
        <w:rPr>
          <w:rFonts w:ascii="宋体" w:eastAsia="宋体" w:hAnsi="宋体" w:cs="Times New Roman"/>
          <w:sz w:val="24"/>
          <w:szCs w:val="24"/>
        </w:rPr>
        <w:t>，或</w:t>
      </w:r>
      <w:r>
        <w:rPr>
          <w:rFonts w:ascii="宋体" w:eastAsia="宋体" w:hAnsi="宋体" w:cs="Times New Roman" w:hint="eastAsia"/>
          <w:sz w:val="24"/>
          <w:szCs w:val="24"/>
        </w:rPr>
        <w:t>由于</w:t>
      </w:r>
      <w:r>
        <w:rPr>
          <w:rFonts w:ascii="宋体" w:eastAsia="宋体" w:hAnsi="宋体" w:cs="Times New Roman"/>
          <w:sz w:val="24"/>
          <w:szCs w:val="24"/>
        </w:rPr>
        <w:t>证券交易所、期货交易所、第三方估值</w:t>
      </w:r>
      <w:r>
        <w:rPr>
          <w:rFonts w:ascii="宋体" w:eastAsia="宋体" w:hAnsi="宋体" w:cs="Times New Roman" w:hint="eastAsia"/>
          <w:sz w:val="24"/>
          <w:szCs w:val="24"/>
        </w:rPr>
        <w:t>基准服务</w:t>
      </w:r>
      <w:r>
        <w:rPr>
          <w:rFonts w:ascii="宋体" w:eastAsia="宋体" w:hAnsi="宋体" w:cs="Times New Roman"/>
          <w:sz w:val="24"/>
          <w:szCs w:val="24"/>
        </w:rPr>
        <w:t>机构、指数编制</w:t>
      </w:r>
      <w:r>
        <w:rPr>
          <w:rFonts w:ascii="宋体" w:eastAsia="宋体" w:hAnsi="宋体" w:cs="Times New Roman" w:hint="eastAsia"/>
          <w:sz w:val="24"/>
          <w:szCs w:val="24"/>
        </w:rPr>
        <w:t>公司</w:t>
      </w:r>
      <w:r>
        <w:rPr>
          <w:rFonts w:ascii="宋体" w:eastAsia="宋体" w:hAnsi="宋体" w:cs="Times New Roman"/>
          <w:sz w:val="24"/>
          <w:szCs w:val="24"/>
        </w:rPr>
        <w:t>、</w:t>
      </w:r>
      <w:r>
        <w:rPr>
          <w:rFonts w:ascii="宋体" w:eastAsia="宋体" w:hAnsi="宋体" w:cs="Times New Roman" w:hint="eastAsia"/>
          <w:sz w:val="24"/>
          <w:szCs w:val="24"/>
        </w:rPr>
        <w:t>证券登记机构</w:t>
      </w:r>
      <w:r>
        <w:rPr>
          <w:rFonts w:ascii="宋体" w:eastAsia="宋体" w:hAnsi="宋体" w:cs="Times New Roman"/>
          <w:sz w:val="24"/>
          <w:szCs w:val="24"/>
        </w:rPr>
        <w:t>发送的数据错误</w:t>
      </w:r>
      <w:r w:rsidR="009561F9" w:rsidRPr="009561F9">
        <w:rPr>
          <w:rFonts w:ascii="宋体" w:eastAsia="宋体" w:hAnsi="宋体" w:cs="Times New Roman" w:hint="eastAsia"/>
          <w:sz w:val="24"/>
          <w:szCs w:val="24"/>
        </w:rPr>
        <w:t>、不充分、不及时、不完整</w:t>
      </w:r>
      <w:r>
        <w:rPr>
          <w:rFonts w:ascii="宋体" w:eastAsia="宋体" w:hAnsi="宋体" w:cs="Times New Roman" w:hint="eastAsia"/>
          <w:sz w:val="24"/>
          <w:szCs w:val="24"/>
        </w:rPr>
        <w:t>等原因</w:t>
      </w:r>
      <w:r>
        <w:rPr>
          <w:rFonts w:ascii="宋体" w:eastAsia="宋体" w:hAnsi="宋体" w:cs="Times New Roman"/>
          <w:sz w:val="24"/>
          <w:szCs w:val="24"/>
        </w:rPr>
        <w:t>，或国家会计政策变更、市场规则变更等非基金管理人或基金托管人原因，基金管理人和基金托管人虽然已经采取必要、适当、合理的措施进行检查，仍未能发现错误</w:t>
      </w:r>
      <w:bookmarkStart w:id="87" w:name="OLE_LINK16"/>
      <w:r>
        <w:rPr>
          <w:rFonts w:ascii="宋体" w:eastAsia="宋体" w:hAnsi="宋体" w:cs="Times New Roman" w:hint="eastAsia"/>
          <w:bCs/>
          <w:sz w:val="24"/>
          <w:szCs w:val="24"/>
        </w:rPr>
        <w:t>或因前述原因未能避免或更正错误</w:t>
      </w:r>
      <w:bookmarkEnd w:id="87"/>
      <w:r>
        <w:rPr>
          <w:rFonts w:ascii="宋体" w:eastAsia="宋体" w:hAnsi="宋体" w:cs="Times New Roman"/>
          <w:sz w:val="24"/>
          <w:szCs w:val="24"/>
        </w:rPr>
        <w:t>的，由此造成的基金资产估值错误，基金管理人和基金托管人免除赔偿责任</w:t>
      </w:r>
      <w:r w:rsidR="005D131E">
        <w:rPr>
          <w:rFonts w:ascii="宋体" w:eastAsia="宋体" w:hAnsi="宋体" w:cs="Times New Roman" w:hint="eastAsia"/>
          <w:sz w:val="24"/>
          <w:szCs w:val="24"/>
        </w:rPr>
        <w:t>，</w:t>
      </w:r>
      <w:r>
        <w:rPr>
          <w:rFonts w:ascii="宋体" w:eastAsia="宋体" w:hAnsi="宋体" w:cs="Times New Roman"/>
          <w:sz w:val="24"/>
          <w:szCs w:val="24"/>
        </w:rPr>
        <w:t>但基金管理人、基金托管人应当积极采取必要的措施减轻或消除由此造成的影响。</w:t>
      </w:r>
    </w:p>
    <w:p w14:paraId="741117C9"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（四）暂停估值的情形</w:t>
      </w:r>
    </w:p>
    <w:p w14:paraId="4ECA816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1.基金投资所涉及的证券、期货交易市场或外汇市场遇法定节假日或因其他原因暂停营业时；</w:t>
      </w:r>
    </w:p>
    <w:p w14:paraId="49D3A20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2.</w:t>
      </w:r>
      <w:r>
        <w:rPr>
          <w:rFonts w:ascii="宋体" w:eastAsia="宋体" w:hAnsi="宋体" w:cs="Times New Roman" w:hint="eastAsia"/>
          <w:sz w:val="24"/>
          <w:szCs w:val="24"/>
        </w:rPr>
        <w:t>基金所投资的目标</w:t>
      </w:r>
      <w:r>
        <w:rPr>
          <w:rFonts w:ascii="宋体" w:eastAsia="宋体" w:hAnsi="宋体" w:cs="Times New Roman"/>
          <w:sz w:val="24"/>
          <w:szCs w:val="24"/>
        </w:rPr>
        <w:t>ETF发生暂停估值、暂停公告基金份额净值的情形时；</w:t>
      </w:r>
    </w:p>
    <w:p w14:paraId="56FC2E00"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lastRenderedPageBreak/>
        <w:t>3.因不可抗力致使基金管理人、基金托管人无法准确评估基金资产价值时；</w:t>
      </w:r>
    </w:p>
    <w:p w14:paraId="237DA412"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4.</w:t>
      </w:r>
      <w:r>
        <w:rPr>
          <w:rFonts w:ascii="宋体" w:eastAsia="宋体" w:hAnsi="宋体" w:cs="Times New Roman" w:hint="eastAsia"/>
          <w:sz w:val="24"/>
          <w:szCs w:val="24"/>
        </w:rPr>
        <w:t>当特定资产占前一估值日基金资产净值</w:t>
      </w:r>
      <w:r>
        <w:rPr>
          <w:rFonts w:ascii="宋体" w:eastAsia="宋体" w:hAnsi="宋体" w:cs="Times New Roman"/>
          <w:sz w:val="24"/>
          <w:szCs w:val="24"/>
        </w:rPr>
        <w:t>50%以上的，经与基金托管人协商确认后，基金管理人应当暂停估值；</w:t>
      </w:r>
    </w:p>
    <w:p w14:paraId="260C19DC"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5.法律法规规定、中国证监会和基金合同认定的其它情形。</w:t>
      </w:r>
    </w:p>
    <w:p w14:paraId="3948E62A"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（五）基金会计制度</w:t>
      </w:r>
    </w:p>
    <w:p w14:paraId="3CB2998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按国家有关部门规定的会计制度执行</w:t>
      </w:r>
      <w:r>
        <w:rPr>
          <w:rFonts w:ascii="宋体" w:eastAsia="宋体" w:hAnsi="宋体" w:cs="Malgun Gothic Semilight" w:hint="eastAsia"/>
          <w:sz w:val="24"/>
          <w:szCs w:val="24"/>
        </w:rPr>
        <w:t>。</w:t>
      </w:r>
    </w:p>
    <w:p w14:paraId="2AB963DB"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（六）基金账册的建立</w:t>
      </w:r>
    </w:p>
    <w:p w14:paraId="253893C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基金管理人进行基金会计核算并编制基金财务会计报告</w:t>
      </w:r>
      <w:r>
        <w:rPr>
          <w:rFonts w:ascii="宋体" w:eastAsia="宋体" w:hAnsi="宋体" w:cs="Malgun Gothic Semilight" w:hint="eastAsia"/>
          <w:sz w:val="24"/>
          <w:szCs w:val="24"/>
        </w:rPr>
        <w:t>。</w:t>
      </w:r>
      <w:r>
        <w:rPr>
          <w:rFonts w:ascii="宋体" w:eastAsia="宋体" w:hAnsi="宋体" w:cs="微软雅黑" w:hint="eastAsia"/>
          <w:sz w:val="24"/>
          <w:szCs w:val="24"/>
        </w:rPr>
        <w:t>基金管理人、基金托管人分别独立地设置</w:t>
      </w:r>
      <w:r>
        <w:rPr>
          <w:rFonts w:ascii="宋体" w:eastAsia="宋体" w:hAnsi="宋体" w:cs="Malgun Gothic Semilight" w:hint="eastAsia"/>
          <w:sz w:val="24"/>
          <w:szCs w:val="24"/>
        </w:rPr>
        <w:t>、</w:t>
      </w:r>
      <w:r>
        <w:rPr>
          <w:rFonts w:ascii="宋体" w:eastAsia="宋体" w:hAnsi="宋体" w:cs="微软雅黑" w:hint="eastAsia"/>
          <w:sz w:val="24"/>
          <w:szCs w:val="24"/>
        </w:rPr>
        <w:t>记录和保管本基金的全套账册</w:t>
      </w:r>
      <w:r>
        <w:rPr>
          <w:rFonts w:ascii="宋体" w:eastAsia="宋体" w:hAnsi="宋体" w:cs="Malgun Gothic Semilight" w:hint="eastAsia"/>
          <w:sz w:val="24"/>
          <w:szCs w:val="24"/>
        </w:rPr>
        <w:t>。</w:t>
      </w:r>
      <w:r>
        <w:rPr>
          <w:rFonts w:ascii="宋体" w:eastAsia="宋体" w:hAnsi="宋体" w:cs="微软雅黑" w:hint="eastAsia"/>
          <w:sz w:val="24"/>
          <w:szCs w:val="24"/>
        </w:rPr>
        <w:t>若基金管理人和基金托管人对会计处理方法存在分歧</w:t>
      </w:r>
      <w:r>
        <w:rPr>
          <w:rFonts w:ascii="宋体" w:eastAsia="宋体" w:hAnsi="宋体" w:cs="Malgun Gothic Semilight" w:hint="eastAsia"/>
          <w:sz w:val="24"/>
          <w:szCs w:val="24"/>
        </w:rPr>
        <w:t>，</w:t>
      </w:r>
      <w:r>
        <w:rPr>
          <w:rFonts w:ascii="宋体" w:eastAsia="宋体" w:hAnsi="宋体" w:cs="微软雅黑" w:hint="eastAsia"/>
          <w:sz w:val="24"/>
          <w:szCs w:val="24"/>
        </w:rPr>
        <w:t>应以基金管理人的处理方法为准</w:t>
      </w:r>
      <w:r>
        <w:rPr>
          <w:rFonts w:ascii="宋体" w:eastAsia="宋体" w:hAnsi="宋体" w:cs="Malgun Gothic Semilight" w:hint="eastAsia"/>
          <w:sz w:val="24"/>
          <w:szCs w:val="24"/>
        </w:rPr>
        <w:t>。</w:t>
      </w:r>
      <w:r>
        <w:rPr>
          <w:rFonts w:ascii="宋体" w:eastAsia="宋体" w:hAnsi="宋体" w:cs="微软雅黑" w:hint="eastAsia"/>
          <w:sz w:val="24"/>
          <w:szCs w:val="24"/>
        </w:rPr>
        <w:t>若当日核对不符</w:t>
      </w:r>
      <w:r>
        <w:rPr>
          <w:rFonts w:ascii="宋体" w:eastAsia="宋体" w:hAnsi="宋体" w:cs="Malgun Gothic Semilight" w:hint="eastAsia"/>
          <w:sz w:val="24"/>
          <w:szCs w:val="24"/>
        </w:rPr>
        <w:t>，</w:t>
      </w:r>
      <w:r>
        <w:rPr>
          <w:rFonts w:ascii="宋体" w:eastAsia="宋体" w:hAnsi="宋体" w:cs="微软雅黑" w:hint="eastAsia"/>
          <w:sz w:val="24"/>
          <w:szCs w:val="24"/>
        </w:rPr>
        <w:t>暂时无法查找到错账的原因而影响到基金净值信息的计算和公告的</w:t>
      </w:r>
      <w:r>
        <w:rPr>
          <w:rFonts w:ascii="宋体" w:eastAsia="宋体" w:hAnsi="宋体" w:cs="Malgun Gothic Semilight" w:hint="eastAsia"/>
          <w:sz w:val="24"/>
          <w:szCs w:val="24"/>
        </w:rPr>
        <w:t>，</w:t>
      </w:r>
      <w:r>
        <w:rPr>
          <w:rFonts w:ascii="宋体" w:eastAsia="宋体" w:hAnsi="宋体" w:cs="微软雅黑" w:hint="eastAsia"/>
          <w:sz w:val="24"/>
          <w:szCs w:val="24"/>
        </w:rPr>
        <w:t>以基金管理人的账册为准</w:t>
      </w:r>
      <w:r>
        <w:rPr>
          <w:rFonts w:ascii="宋体" w:eastAsia="宋体" w:hAnsi="宋体" w:cs="Malgun Gothic Semilight" w:hint="eastAsia"/>
          <w:sz w:val="24"/>
          <w:szCs w:val="24"/>
        </w:rPr>
        <w:t>。</w:t>
      </w:r>
    </w:p>
    <w:p w14:paraId="068A6DF3" w14:textId="77777777" w:rsidR="00C521E2" w:rsidRDefault="005D6E6D">
      <w:pPr>
        <w:adjustRightInd w:val="0"/>
        <w:snapToGrid w:val="0"/>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（七）基金财务报表与报告的编制和复核</w:t>
      </w:r>
    </w:p>
    <w:p w14:paraId="07A8B44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财务报表的编制</w:t>
      </w:r>
    </w:p>
    <w:p w14:paraId="6E19000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基金财务报表由基金管理人编制</w:t>
      </w:r>
      <w:r>
        <w:rPr>
          <w:rFonts w:ascii="宋体" w:eastAsia="宋体" w:hAnsi="宋体" w:cs="Malgun Gothic Semilight" w:hint="eastAsia"/>
          <w:sz w:val="24"/>
          <w:szCs w:val="24"/>
        </w:rPr>
        <w:t>，</w:t>
      </w:r>
      <w:r>
        <w:rPr>
          <w:rFonts w:ascii="宋体" w:eastAsia="宋体" w:hAnsi="宋体" w:cs="微软雅黑" w:hint="eastAsia"/>
          <w:sz w:val="24"/>
          <w:szCs w:val="24"/>
        </w:rPr>
        <w:t>基金托管人复核</w:t>
      </w:r>
      <w:r>
        <w:rPr>
          <w:rFonts w:ascii="宋体" w:eastAsia="宋体" w:hAnsi="宋体" w:cs="Malgun Gothic Semilight" w:hint="eastAsia"/>
          <w:sz w:val="24"/>
          <w:szCs w:val="24"/>
        </w:rPr>
        <w:t>。</w:t>
      </w:r>
    </w:p>
    <w:p w14:paraId="5023E10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报表复核</w:t>
      </w:r>
    </w:p>
    <w:p w14:paraId="0B7C3EA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基金托管人在收到基金管理人编制的基金财务报表后</w:t>
      </w:r>
      <w:r>
        <w:rPr>
          <w:rFonts w:ascii="宋体" w:eastAsia="宋体" w:hAnsi="宋体" w:cs="Malgun Gothic Semilight" w:hint="eastAsia"/>
          <w:sz w:val="24"/>
          <w:szCs w:val="24"/>
        </w:rPr>
        <w:t>，</w:t>
      </w:r>
      <w:r>
        <w:rPr>
          <w:rFonts w:ascii="宋体" w:eastAsia="宋体" w:hAnsi="宋体" w:cs="微软雅黑" w:hint="eastAsia"/>
          <w:sz w:val="24"/>
          <w:szCs w:val="24"/>
        </w:rPr>
        <w:t>进行独立的复核</w:t>
      </w:r>
      <w:r>
        <w:rPr>
          <w:rFonts w:ascii="宋体" w:eastAsia="宋体" w:hAnsi="宋体" w:cs="Malgun Gothic Semilight" w:hint="eastAsia"/>
          <w:sz w:val="24"/>
          <w:szCs w:val="24"/>
        </w:rPr>
        <w:t>。</w:t>
      </w:r>
      <w:r>
        <w:rPr>
          <w:rFonts w:ascii="宋体" w:eastAsia="宋体" w:hAnsi="宋体" w:cs="微软雅黑" w:hint="eastAsia"/>
          <w:sz w:val="24"/>
          <w:szCs w:val="24"/>
        </w:rPr>
        <w:t>核对不符时</w:t>
      </w:r>
      <w:r>
        <w:rPr>
          <w:rFonts w:ascii="宋体" w:eastAsia="宋体" w:hAnsi="宋体" w:cs="Malgun Gothic Semilight" w:hint="eastAsia"/>
          <w:sz w:val="24"/>
          <w:szCs w:val="24"/>
        </w:rPr>
        <w:t>，</w:t>
      </w:r>
      <w:r>
        <w:rPr>
          <w:rFonts w:ascii="宋体" w:eastAsia="宋体" w:hAnsi="宋体" w:cs="微软雅黑" w:hint="eastAsia"/>
          <w:sz w:val="24"/>
          <w:szCs w:val="24"/>
        </w:rPr>
        <w:t>应及时通知基金管理人共同查出原因</w:t>
      </w:r>
      <w:r>
        <w:rPr>
          <w:rFonts w:ascii="宋体" w:eastAsia="宋体" w:hAnsi="宋体" w:cs="Malgun Gothic Semilight" w:hint="eastAsia"/>
          <w:sz w:val="24"/>
          <w:szCs w:val="24"/>
        </w:rPr>
        <w:t>，</w:t>
      </w:r>
      <w:r>
        <w:rPr>
          <w:rFonts w:ascii="宋体" w:eastAsia="宋体" w:hAnsi="宋体" w:cs="微软雅黑" w:hint="eastAsia"/>
          <w:sz w:val="24"/>
          <w:szCs w:val="24"/>
        </w:rPr>
        <w:t>进行调整</w:t>
      </w:r>
      <w:r>
        <w:rPr>
          <w:rFonts w:ascii="宋体" w:eastAsia="宋体" w:hAnsi="宋体" w:cs="Malgun Gothic Semilight" w:hint="eastAsia"/>
          <w:sz w:val="24"/>
          <w:szCs w:val="24"/>
        </w:rPr>
        <w:t>，</w:t>
      </w:r>
      <w:r>
        <w:rPr>
          <w:rFonts w:ascii="宋体" w:eastAsia="宋体" w:hAnsi="宋体" w:cs="微软雅黑" w:hint="eastAsia"/>
          <w:sz w:val="24"/>
          <w:szCs w:val="24"/>
        </w:rPr>
        <w:t>直至双方数据完全一致</w:t>
      </w:r>
      <w:r>
        <w:rPr>
          <w:rFonts w:ascii="宋体" w:eastAsia="宋体" w:hAnsi="宋体" w:cs="Malgun Gothic Semilight" w:hint="eastAsia"/>
          <w:sz w:val="24"/>
          <w:szCs w:val="24"/>
        </w:rPr>
        <w:t>。</w:t>
      </w:r>
    </w:p>
    <w:p w14:paraId="387D661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财务报表的编制与复核时间安排</w:t>
      </w:r>
    </w:p>
    <w:p w14:paraId="3DC241C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报表的编制</w:t>
      </w:r>
    </w:p>
    <w:p w14:paraId="6061EBF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基金管理人应当在每月结束后</w:t>
      </w:r>
      <w:r>
        <w:rPr>
          <w:rFonts w:ascii="宋体" w:eastAsia="宋体" w:hAnsi="宋体" w:cs="Arial" w:hint="eastAsia"/>
          <w:sz w:val="24"/>
          <w:szCs w:val="24"/>
        </w:rPr>
        <w:t>5</w:t>
      </w:r>
      <w:r>
        <w:rPr>
          <w:rFonts w:ascii="宋体" w:eastAsia="宋体" w:hAnsi="宋体" w:cs="微软雅黑" w:hint="eastAsia"/>
          <w:sz w:val="24"/>
          <w:szCs w:val="24"/>
        </w:rPr>
        <w:t>个工作日内完成月度报表的编制</w:t>
      </w:r>
      <w:r>
        <w:rPr>
          <w:rFonts w:ascii="宋体" w:eastAsia="宋体" w:hAnsi="宋体" w:cs="Malgun Gothic Semilight" w:hint="eastAsia"/>
          <w:sz w:val="24"/>
          <w:szCs w:val="24"/>
        </w:rPr>
        <w:t>；</w:t>
      </w:r>
      <w:r>
        <w:rPr>
          <w:rFonts w:ascii="宋体" w:eastAsia="宋体" w:hAnsi="宋体" w:cs="微软雅黑" w:hint="eastAsia"/>
          <w:sz w:val="24"/>
          <w:szCs w:val="24"/>
        </w:rPr>
        <w:t>在每个季度结束之日起</w:t>
      </w:r>
      <w:r>
        <w:rPr>
          <w:rFonts w:ascii="宋体" w:eastAsia="宋体" w:hAnsi="宋体" w:cs="Arial" w:hint="eastAsia"/>
          <w:sz w:val="24"/>
          <w:szCs w:val="24"/>
        </w:rPr>
        <w:t>15</w:t>
      </w:r>
      <w:r>
        <w:rPr>
          <w:rFonts w:ascii="宋体" w:eastAsia="宋体" w:hAnsi="宋体" w:cs="微软雅黑" w:hint="eastAsia"/>
          <w:sz w:val="24"/>
          <w:szCs w:val="24"/>
        </w:rPr>
        <w:t>个工作日内完成基金季度报告的编制</w:t>
      </w:r>
      <w:r>
        <w:rPr>
          <w:rFonts w:ascii="宋体" w:eastAsia="宋体" w:hAnsi="宋体" w:cs="Malgun Gothic Semilight" w:hint="eastAsia"/>
          <w:sz w:val="24"/>
          <w:szCs w:val="24"/>
        </w:rPr>
        <w:t>；</w:t>
      </w:r>
      <w:r>
        <w:rPr>
          <w:rFonts w:ascii="宋体" w:eastAsia="宋体" w:hAnsi="宋体" w:cs="微软雅黑" w:hint="eastAsia"/>
          <w:sz w:val="24"/>
          <w:szCs w:val="24"/>
        </w:rPr>
        <w:t>在上半年结束之日起</w:t>
      </w:r>
      <w:r>
        <w:rPr>
          <w:rFonts w:ascii="宋体" w:eastAsia="宋体" w:hAnsi="宋体" w:cs="Arial" w:hint="eastAsia"/>
          <w:sz w:val="24"/>
          <w:szCs w:val="24"/>
        </w:rPr>
        <w:t>2</w:t>
      </w:r>
      <w:r>
        <w:rPr>
          <w:rFonts w:ascii="宋体" w:eastAsia="宋体" w:hAnsi="宋体" w:cs="微软雅黑" w:hint="eastAsia"/>
          <w:sz w:val="24"/>
          <w:szCs w:val="24"/>
        </w:rPr>
        <w:t>个月内完成基金中期报告的编制</w:t>
      </w:r>
      <w:r>
        <w:rPr>
          <w:rFonts w:ascii="宋体" w:eastAsia="宋体" w:hAnsi="宋体" w:cs="Malgun Gothic Semilight" w:hint="eastAsia"/>
          <w:sz w:val="24"/>
          <w:szCs w:val="24"/>
        </w:rPr>
        <w:t>；</w:t>
      </w:r>
      <w:r>
        <w:rPr>
          <w:rFonts w:ascii="宋体" w:eastAsia="宋体" w:hAnsi="宋体" w:cs="微软雅黑" w:hint="eastAsia"/>
          <w:sz w:val="24"/>
          <w:szCs w:val="24"/>
        </w:rPr>
        <w:t>在每年结束之日起</w:t>
      </w:r>
      <w:r>
        <w:rPr>
          <w:rFonts w:ascii="宋体" w:eastAsia="宋体" w:hAnsi="宋体" w:cs="Arial" w:hint="eastAsia"/>
          <w:sz w:val="24"/>
          <w:szCs w:val="24"/>
        </w:rPr>
        <w:t>3</w:t>
      </w:r>
      <w:r>
        <w:rPr>
          <w:rFonts w:ascii="宋体" w:eastAsia="宋体" w:hAnsi="宋体" w:cs="微软雅黑" w:hint="eastAsia"/>
          <w:sz w:val="24"/>
          <w:szCs w:val="24"/>
        </w:rPr>
        <w:t>个月内完成基金年度报告的编制</w:t>
      </w:r>
      <w:r>
        <w:rPr>
          <w:rFonts w:ascii="宋体" w:eastAsia="宋体" w:hAnsi="宋体" w:cs="Malgun Gothic Semilight" w:hint="eastAsia"/>
          <w:sz w:val="24"/>
          <w:szCs w:val="24"/>
        </w:rPr>
        <w:t>。</w:t>
      </w:r>
      <w:r>
        <w:rPr>
          <w:rFonts w:ascii="宋体" w:eastAsia="宋体" w:hAnsi="宋体" w:cs="微软雅黑" w:hint="eastAsia"/>
          <w:sz w:val="24"/>
          <w:szCs w:val="24"/>
        </w:rPr>
        <w:t>基金年度报告的财务会计报告应当经过符合</w:t>
      </w:r>
      <w:r>
        <w:rPr>
          <w:rFonts w:ascii="宋体" w:eastAsia="宋体" w:hAnsi="宋体" w:cs="Malgun Gothic Semilight" w:hint="eastAsia"/>
          <w:sz w:val="24"/>
          <w:szCs w:val="24"/>
        </w:rPr>
        <w:t>《</w:t>
      </w:r>
      <w:r>
        <w:rPr>
          <w:rFonts w:ascii="宋体" w:eastAsia="宋体" w:hAnsi="宋体" w:cs="微软雅黑" w:hint="eastAsia"/>
          <w:sz w:val="24"/>
          <w:szCs w:val="24"/>
        </w:rPr>
        <w:t>证券法</w:t>
      </w:r>
      <w:r>
        <w:rPr>
          <w:rFonts w:ascii="宋体" w:eastAsia="宋体" w:hAnsi="宋体" w:cs="Malgun Gothic Semilight" w:hint="eastAsia"/>
          <w:sz w:val="24"/>
          <w:szCs w:val="24"/>
        </w:rPr>
        <w:t>》</w:t>
      </w:r>
      <w:r>
        <w:rPr>
          <w:rFonts w:ascii="宋体" w:eastAsia="宋体" w:hAnsi="宋体" w:cs="微软雅黑" w:hint="eastAsia"/>
          <w:sz w:val="24"/>
          <w:szCs w:val="24"/>
        </w:rPr>
        <w:t>规定的会计师事务所审计</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生效不足两个月的</w:t>
      </w:r>
      <w:r>
        <w:rPr>
          <w:rFonts w:ascii="宋体" w:eastAsia="宋体" w:hAnsi="宋体" w:cs="Malgun Gothic Semilight" w:hint="eastAsia"/>
          <w:sz w:val="24"/>
          <w:szCs w:val="24"/>
        </w:rPr>
        <w:t>，</w:t>
      </w:r>
      <w:r>
        <w:rPr>
          <w:rFonts w:ascii="宋体" w:eastAsia="宋体" w:hAnsi="宋体" w:cs="微软雅黑" w:hint="eastAsia"/>
          <w:sz w:val="24"/>
          <w:szCs w:val="24"/>
        </w:rPr>
        <w:t>基金管理人可以不编制当期季度报告</w:t>
      </w:r>
      <w:r>
        <w:rPr>
          <w:rFonts w:ascii="宋体" w:eastAsia="宋体" w:hAnsi="宋体" w:cs="Malgun Gothic Semilight" w:hint="eastAsia"/>
          <w:sz w:val="24"/>
          <w:szCs w:val="24"/>
        </w:rPr>
        <w:t>、</w:t>
      </w:r>
      <w:r>
        <w:rPr>
          <w:rFonts w:ascii="宋体" w:eastAsia="宋体" w:hAnsi="宋体" w:cs="微软雅黑" w:hint="eastAsia"/>
          <w:sz w:val="24"/>
          <w:szCs w:val="24"/>
        </w:rPr>
        <w:t>中期报告或者年度报告</w:t>
      </w:r>
      <w:r>
        <w:rPr>
          <w:rFonts w:ascii="宋体" w:eastAsia="宋体" w:hAnsi="宋体" w:cs="Malgun Gothic Semilight" w:hint="eastAsia"/>
          <w:sz w:val="24"/>
          <w:szCs w:val="24"/>
        </w:rPr>
        <w:t>。</w:t>
      </w:r>
    </w:p>
    <w:p w14:paraId="27A76FC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报表的复核</w:t>
      </w:r>
    </w:p>
    <w:p w14:paraId="5D77EC7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基金管理人应及时完成报表编制</w:t>
      </w:r>
      <w:r>
        <w:rPr>
          <w:rFonts w:ascii="宋体" w:eastAsia="宋体" w:hAnsi="宋体" w:cs="Malgun Gothic Semilight" w:hint="eastAsia"/>
          <w:sz w:val="24"/>
          <w:szCs w:val="24"/>
        </w:rPr>
        <w:t>，</w:t>
      </w:r>
      <w:r>
        <w:rPr>
          <w:rFonts w:ascii="宋体" w:eastAsia="宋体" w:hAnsi="宋体" w:cs="微软雅黑" w:hint="eastAsia"/>
          <w:sz w:val="24"/>
          <w:szCs w:val="24"/>
        </w:rPr>
        <w:t>将有关报表提供基金托管人复核</w:t>
      </w:r>
      <w:r>
        <w:rPr>
          <w:rFonts w:ascii="宋体" w:eastAsia="宋体" w:hAnsi="宋体" w:cs="Malgun Gothic Semilight" w:hint="eastAsia"/>
          <w:sz w:val="24"/>
          <w:szCs w:val="24"/>
        </w:rPr>
        <w:t>；</w:t>
      </w:r>
      <w:r>
        <w:rPr>
          <w:rFonts w:ascii="宋体" w:eastAsia="宋体" w:hAnsi="宋体" w:cs="微软雅黑" w:hint="eastAsia"/>
          <w:sz w:val="24"/>
          <w:szCs w:val="24"/>
        </w:rPr>
        <w:t>基金托管人在复核过程中</w:t>
      </w:r>
      <w:r>
        <w:rPr>
          <w:rFonts w:ascii="宋体" w:eastAsia="宋体" w:hAnsi="宋体" w:cs="Malgun Gothic Semilight" w:hint="eastAsia"/>
          <w:sz w:val="24"/>
          <w:szCs w:val="24"/>
        </w:rPr>
        <w:t>，</w:t>
      </w:r>
      <w:r>
        <w:rPr>
          <w:rFonts w:ascii="宋体" w:eastAsia="宋体" w:hAnsi="宋体" w:cs="微软雅黑" w:hint="eastAsia"/>
          <w:sz w:val="24"/>
          <w:szCs w:val="24"/>
        </w:rPr>
        <w:t>发现双方的报表存在不符时</w:t>
      </w:r>
      <w:r>
        <w:rPr>
          <w:rFonts w:ascii="宋体" w:eastAsia="宋体" w:hAnsi="宋体" w:cs="Malgun Gothic Semilight" w:hint="eastAsia"/>
          <w:sz w:val="24"/>
          <w:szCs w:val="24"/>
        </w:rPr>
        <w:t>，</w:t>
      </w:r>
      <w:r>
        <w:rPr>
          <w:rFonts w:ascii="宋体" w:eastAsia="宋体" w:hAnsi="宋体" w:cs="微软雅黑" w:hint="eastAsia"/>
          <w:sz w:val="24"/>
          <w:szCs w:val="24"/>
        </w:rPr>
        <w:t>基金管理人和基金托管人应共</w:t>
      </w:r>
      <w:r>
        <w:rPr>
          <w:rFonts w:ascii="宋体" w:eastAsia="宋体" w:hAnsi="宋体" w:cs="微软雅黑" w:hint="eastAsia"/>
          <w:sz w:val="24"/>
          <w:szCs w:val="24"/>
        </w:rPr>
        <w:lastRenderedPageBreak/>
        <w:t>同查明原因</w:t>
      </w:r>
      <w:r>
        <w:rPr>
          <w:rFonts w:ascii="宋体" w:eastAsia="宋体" w:hAnsi="宋体" w:cs="Malgun Gothic Semilight" w:hint="eastAsia"/>
          <w:sz w:val="24"/>
          <w:szCs w:val="24"/>
        </w:rPr>
        <w:t>，</w:t>
      </w:r>
      <w:r>
        <w:rPr>
          <w:rFonts w:ascii="宋体" w:eastAsia="宋体" w:hAnsi="宋体" w:cs="微软雅黑" w:hint="eastAsia"/>
          <w:sz w:val="24"/>
          <w:szCs w:val="24"/>
        </w:rPr>
        <w:t>进行调整</w:t>
      </w:r>
      <w:r>
        <w:rPr>
          <w:rFonts w:ascii="宋体" w:eastAsia="宋体" w:hAnsi="宋体" w:cs="Malgun Gothic Semilight" w:hint="eastAsia"/>
          <w:sz w:val="24"/>
          <w:szCs w:val="24"/>
        </w:rPr>
        <w:t>，</w:t>
      </w:r>
      <w:r>
        <w:rPr>
          <w:rFonts w:ascii="宋体" w:eastAsia="宋体" w:hAnsi="宋体" w:cs="微软雅黑" w:hint="eastAsia"/>
          <w:sz w:val="24"/>
          <w:szCs w:val="24"/>
        </w:rPr>
        <w:t>调整以国家有关规定为准</w:t>
      </w:r>
      <w:r>
        <w:rPr>
          <w:rFonts w:ascii="宋体" w:eastAsia="宋体" w:hAnsi="宋体" w:cs="Malgun Gothic Semilight" w:hint="eastAsia"/>
          <w:sz w:val="24"/>
          <w:szCs w:val="24"/>
        </w:rPr>
        <w:t>。</w:t>
      </w:r>
    </w:p>
    <w:p w14:paraId="5CB7CD3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基金管理人应留足充分的时间</w:t>
      </w:r>
      <w:r>
        <w:rPr>
          <w:rFonts w:ascii="宋体" w:eastAsia="宋体" w:hAnsi="宋体" w:cs="Malgun Gothic Semilight" w:hint="eastAsia"/>
          <w:sz w:val="24"/>
          <w:szCs w:val="24"/>
        </w:rPr>
        <w:t>，</w:t>
      </w:r>
      <w:r>
        <w:rPr>
          <w:rFonts w:ascii="宋体" w:eastAsia="宋体" w:hAnsi="宋体" w:cs="微软雅黑" w:hint="eastAsia"/>
          <w:sz w:val="24"/>
          <w:szCs w:val="24"/>
        </w:rPr>
        <w:t>便于基金托管人复核相关报表及报告</w:t>
      </w:r>
      <w:r>
        <w:rPr>
          <w:rFonts w:ascii="宋体" w:eastAsia="宋体" w:hAnsi="宋体" w:cs="Malgun Gothic Semilight" w:hint="eastAsia"/>
          <w:sz w:val="24"/>
          <w:szCs w:val="24"/>
        </w:rPr>
        <w:t>。</w:t>
      </w:r>
      <w:r>
        <w:rPr>
          <w:rFonts w:ascii="宋体" w:eastAsia="宋体" w:hAnsi="宋体" w:cs="微软雅黑" w:hint="eastAsia"/>
          <w:sz w:val="24"/>
          <w:szCs w:val="24"/>
        </w:rPr>
        <w:t>如果基金管理人与基金托管人不能于应当发布公告之日之前就相关报表达成一致</w:t>
      </w:r>
      <w:r>
        <w:rPr>
          <w:rFonts w:ascii="宋体" w:eastAsia="宋体" w:hAnsi="宋体" w:cs="Malgun Gothic Semilight" w:hint="eastAsia"/>
          <w:sz w:val="24"/>
          <w:szCs w:val="24"/>
        </w:rPr>
        <w:t>，</w:t>
      </w:r>
      <w:r>
        <w:rPr>
          <w:rFonts w:ascii="宋体" w:eastAsia="宋体" w:hAnsi="宋体" w:cs="微软雅黑" w:hint="eastAsia"/>
          <w:sz w:val="24"/>
          <w:szCs w:val="24"/>
        </w:rPr>
        <w:t>基金管理人按照其编制的报表对外发布公告</w:t>
      </w:r>
      <w:r>
        <w:rPr>
          <w:rFonts w:ascii="宋体" w:eastAsia="宋体" w:hAnsi="宋体" w:cs="Malgun Gothic Semilight" w:hint="eastAsia"/>
          <w:sz w:val="24"/>
          <w:szCs w:val="24"/>
        </w:rPr>
        <w:t>，</w:t>
      </w:r>
      <w:r>
        <w:rPr>
          <w:rFonts w:ascii="宋体" w:eastAsia="宋体" w:hAnsi="宋体" w:cs="微软雅黑" w:hint="eastAsia"/>
          <w:sz w:val="24"/>
          <w:szCs w:val="24"/>
        </w:rPr>
        <w:t>基金托管人有权就相关情况报中国证监会备案</w:t>
      </w:r>
      <w:r>
        <w:rPr>
          <w:rFonts w:ascii="宋体" w:eastAsia="宋体" w:hAnsi="宋体" w:cs="Malgun Gothic Semilight" w:hint="eastAsia"/>
          <w:sz w:val="24"/>
          <w:szCs w:val="24"/>
        </w:rPr>
        <w:t>。</w:t>
      </w:r>
    </w:p>
    <w:p w14:paraId="1248F9CC" w14:textId="77777777" w:rsidR="00C521E2" w:rsidRDefault="005D6E6D">
      <w:pPr>
        <w:pStyle w:val="a0"/>
        <w:adjustRightInd w:val="0"/>
        <w:snapToGrid w:val="0"/>
        <w:spacing w:line="360" w:lineRule="auto"/>
        <w:ind w:firstLine="480"/>
        <w:rPr>
          <w:rFonts w:ascii="宋体" w:hAnsi="宋体" w:cs="微软雅黑"/>
          <w:sz w:val="24"/>
        </w:rPr>
      </w:pPr>
      <w:r>
        <w:rPr>
          <w:rFonts w:ascii="宋体" w:hAnsi="宋体" w:cs="微软雅黑" w:hint="eastAsia"/>
          <w:sz w:val="24"/>
        </w:rPr>
        <w:t>（八）基金管理人应在编制季度报告、中期报告或者年度报告之前及时向基金托管人提供基金业绩比较基准的基础数据和编制结果。</w:t>
      </w:r>
    </w:p>
    <w:p w14:paraId="14A3C4C7"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88" w:name="_Toc204539400"/>
      <w:r>
        <w:rPr>
          <w:rFonts w:ascii="宋体" w:eastAsia="宋体" w:hAnsi="宋体" w:cs="微软雅黑" w:hint="eastAsia"/>
          <w:b/>
          <w:sz w:val="30"/>
          <w:szCs w:val="20"/>
        </w:rPr>
        <w:t>九</w:t>
      </w:r>
      <w:r>
        <w:rPr>
          <w:rFonts w:ascii="宋体" w:eastAsia="宋体" w:hAnsi="宋体" w:cs="Malgun Gothic Semilight" w:hint="eastAsia"/>
          <w:b/>
          <w:sz w:val="30"/>
          <w:szCs w:val="20"/>
        </w:rPr>
        <w:t>、</w:t>
      </w:r>
      <w:r>
        <w:rPr>
          <w:rFonts w:ascii="宋体" w:eastAsia="宋体" w:hAnsi="宋体" w:cs="微软雅黑" w:hint="eastAsia"/>
          <w:b/>
          <w:sz w:val="30"/>
          <w:szCs w:val="20"/>
        </w:rPr>
        <w:t>基金收益分配</w:t>
      </w:r>
      <w:bookmarkEnd w:id="88"/>
    </w:p>
    <w:p w14:paraId="69C0CC93"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基金收益分配是指按规定将基金的可分配收益按基金份额进行比例分配。</w:t>
      </w:r>
    </w:p>
    <w:p w14:paraId="24750BC8"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（一）基金收益分配原则</w:t>
      </w:r>
    </w:p>
    <w:p w14:paraId="3951AC1B"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1、在符合有关基金分红条件的前提下，</w:t>
      </w:r>
      <w:r>
        <w:rPr>
          <w:rFonts w:ascii="宋体" w:eastAsia="宋体" w:hAnsi="宋体" w:cs="微软雅黑" w:hint="eastAsia"/>
          <w:sz w:val="24"/>
          <w:szCs w:val="24"/>
        </w:rPr>
        <w:t>本</w:t>
      </w:r>
      <w:r>
        <w:rPr>
          <w:rFonts w:ascii="宋体" w:eastAsia="宋体" w:hAnsi="宋体" w:cs="微软雅黑"/>
          <w:sz w:val="24"/>
          <w:szCs w:val="24"/>
        </w:rPr>
        <w:t>基金管理人</w:t>
      </w:r>
      <w:r>
        <w:rPr>
          <w:rFonts w:ascii="宋体" w:eastAsia="宋体" w:hAnsi="宋体" w:cs="微软雅黑" w:hint="eastAsia"/>
          <w:sz w:val="24"/>
          <w:szCs w:val="24"/>
        </w:rPr>
        <w:t>可以</w:t>
      </w:r>
      <w:r>
        <w:rPr>
          <w:rFonts w:ascii="宋体" w:eastAsia="宋体" w:hAnsi="宋体" w:cs="微软雅黑"/>
          <w:sz w:val="24"/>
          <w:szCs w:val="24"/>
        </w:rPr>
        <w:t>根据实际情况进行收益分配，具体分配方案以公告为准，若基金合同生效不满3个月可不进行收益分配；</w:t>
      </w:r>
    </w:p>
    <w:p w14:paraId="0D446758"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2、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14:paraId="143D6527"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3、由于基金费用的不同，不同类别的基金份额在收益分配数额方面可能有所不同，基金管理人可对各类别基金份额分别制定收益分配方案。本基金同一类别每一基金份额享有同等分配权；</w:t>
      </w:r>
    </w:p>
    <w:p w14:paraId="125E35E7"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4、法律法规或监管机关另有规定的，从其规定。</w:t>
      </w:r>
    </w:p>
    <w:p w14:paraId="4346A341"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（二）基金收益分配的时间和程序</w:t>
      </w:r>
    </w:p>
    <w:p w14:paraId="07F1C145"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本基金收益分配方案由基金管理人拟定，并由基金托管人复核，依据相关规定在规定媒介公告。基金收益分配方案公告后</w:t>
      </w:r>
      <w:r>
        <w:rPr>
          <w:rFonts w:ascii="宋体" w:eastAsia="宋体" w:hAnsi="宋体" w:cs="微软雅黑"/>
          <w:sz w:val="24"/>
          <w:szCs w:val="24"/>
        </w:rPr>
        <w:t>(依据具体方案的规定)，基金管理人就支付的现金红利向基金托管人发送划款指令，基金托管人按照基金管理人的指令及时进行分红资金的划付</w:t>
      </w:r>
      <w:r>
        <w:rPr>
          <w:rFonts w:ascii="宋体" w:eastAsia="宋体" w:hAnsi="宋体" w:cs="微软雅黑" w:hint="eastAsia"/>
          <w:sz w:val="24"/>
          <w:szCs w:val="24"/>
        </w:rPr>
        <w:t>。</w:t>
      </w:r>
    </w:p>
    <w:p w14:paraId="60902092"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基金收益分配时所发生的银行转账或其他手续费用由投资者自行承担。</w:t>
      </w:r>
      <w:r>
        <w:rPr>
          <w:rFonts w:ascii="宋体" w:eastAsia="宋体" w:hAnsi="宋体" w:cs="微软雅黑"/>
          <w:sz w:val="24"/>
          <w:szCs w:val="24"/>
        </w:rPr>
        <w:t>当投资者的现金红利小于一定金额，不足</w:t>
      </w:r>
      <w:r>
        <w:rPr>
          <w:rFonts w:ascii="宋体" w:eastAsia="宋体" w:hAnsi="宋体" w:cs="微软雅黑" w:hint="eastAsia"/>
          <w:sz w:val="24"/>
          <w:szCs w:val="24"/>
        </w:rPr>
        <w:t>以</w:t>
      </w:r>
      <w:r>
        <w:rPr>
          <w:rFonts w:ascii="宋体" w:eastAsia="宋体" w:hAnsi="宋体" w:cs="微软雅黑"/>
          <w:sz w:val="24"/>
          <w:szCs w:val="24"/>
        </w:rPr>
        <w:t>支付银行转账或其他手续费用时，基金登记机构可将基金份额持有人的现金红利自动转为</w:t>
      </w:r>
      <w:r>
        <w:rPr>
          <w:rFonts w:ascii="宋体" w:eastAsia="宋体" w:hAnsi="宋体" w:cs="微软雅黑" w:hint="eastAsia"/>
          <w:sz w:val="24"/>
          <w:szCs w:val="24"/>
        </w:rPr>
        <w:t>相应类别的</w:t>
      </w:r>
      <w:r>
        <w:rPr>
          <w:rFonts w:ascii="宋体" w:eastAsia="宋体" w:hAnsi="宋体" w:cs="微软雅黑"/>
          <w:sz w:val="24"/>
          <w:szCs w:val="24"/>
        </w:rPr>
        <w:t>基金份额。红利再投</w:t>
      </w:r>
      <w:r>
        <w:rPr>
          <w:rFonts w:ascii="宋体" w:eastAsia="宋体" w:hAnsi="宋体" w:cs="微软雅黑"/>
          <w:sz w:val="24"/>
          <w:szCs w:val="24"/>
        </w:rPr>
        <w:lastRenderedPageBreak/>
        <w:t>资的计算方法，依照业务规则执行。</w:t>
      </w:r>
    </w:p>
    <w:p w14:paraId="143E7D33"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（三）实施侧袋机制期间的收益分配</w:t>
      </w:r>
    </w:p>
    <w:p w14:paraId="3C55C02E"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本基金实施侧袋机制的，侧袋账户不进行收益分配，详见招募说明书的规定。</w:t>
      </w:r>
    </w:p>
    <w:p w14:paraId="40BA7675" w14:textId="77777777" w:rsidR="00C521E2" w:rsidRDefault="00C521E2">
      <w:pPr>
        <w:adjustRightInd w:val="0"/>
        <w:snapToGrid w:val="0"/>
        <w:spacing w:line="360" w:lineRule="auto"/>
        <w:ind w:firstLineChars="200" w:firstLine="480"/>
        <w:rPr>
          <w:rFonts w:ascii="宋体" w:eastAsia="宋体" w:hAnsi="宋体" w:cs="微软雅黑"/>
          <w:sz w:val="24"/>
          <w:szCs w:val="24"/>
        </w:rPr>
      </w:pPr>
    </w:p>
    <w:p w14:paraId="4C5F46DC"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89" w:name="_Toc204539401"/>
      <w:r>
        <w:rPr>
          <w:rFonts w:ascii="宋体" w:eastAsia="宋体" w:hAnsi="宋体" w:cs="微软雅黑" w:hint="eastAsia"/>
          <w:b/>
          <w:sz w:val="30"/>
          <w:szCs w:val="20"/>
        </w:rPr>
        <w:t>十</w:t>
      </w:r>
      <w:r>
        <w:rPr>
          <w:rFonts w:ascii="宋体" w:eastAsia="宋体" w:hAnsi="宋体" w:cs="Malgun Gothic Semilight" w:hint="eastAsia"/>
          <w:b/>
          <w:sz w:val="30"/>
          <w:szCs w:val="20"/>
        </w:rPr>
        <w:t>、</w:t>
      </w:r>
      <w:r>
        <w:rPr>
          <w:rFonts w:ascii="宋体" w:eastAsia="宋体" w:hAnsi="宋体" w:cs="微软雅黑" w:hint="eastAsia"/>
          <w:b/>
          <w:sz w:val="30"/>
          <w:szCs w:val="20"/>
        </w:rPr>
        <w:t>基金信息披露</w:t>
      </w:r>
      <w:bookmarkEnd w:id="89"/>
    </w:p>
    <w:p w14:paraId="7E2E566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（一）保密义务</w:t>
      </w:r>
    </w:p>
    <w:p w14:paraId="52B5067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基金托管人和基金管理人应按法律法规</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的有关规定进行信息披露</w:t>
      </w:r>
      <w:r>
        <w:rPr>
          <w:rFonts w:ascii="宋体" w:eastAsia="宋体" w:hAnsi="宋体" w:cs="Malgun Gothic Semilight" w:hint="eastAsia"/>
          <w:sz w:val="24"/>
          <w:szCs w:val="24"/>
        </w:rPr>
        <w:t>，</w:t>
      </w:r>
      <w:r>
        <w:rPr>
          <w:rFonts w:ascii="宋体" w:eastAsia="宋体" w:hAnsi="宋体" w:cs="微软雅黑" w:hint="eastAsia"/>
          <w:sz w:val="24"/>
          <w:szCs w:val="24"/>
        </w:rPr>
        <w:t>拟公开披露的信息在公开披露之前应予保密</w:t>
      </w:r>
      <w:r>
        <w:rPr>
          <w:rFonts w:ascii="宋体" w:eastAsia="宋体" w:hAnsi="宋体" w:cs="Malgun Gothic Semilight" w:hint="eastAsia"/>
          <w:sz w:val="24"/>
          <w:szCs w:val="24"/>
        </w:rPr>
        <w:t>。</w:t>
      </w:r>
      <w:r>
        <w:rPr>
          <w:rFonts w:ascii="宋体" w:eastAsia="宋体" w:hAnsi="宋体" w:cs="微软雅黑" w:hint="eastAsia"/>
          <w:sz w:val="24"/>
          <w:szCs w:val="24"/>
        </w:rPr>
        <w:t>除按</w:t>
      </w:r>
      <w:r>
        <w:rPr>
          <w:rFonts w:ascii="宋体" w:eastAsia="宋体" w:hAnsi="宋体" w:cs="Malgun Gothic Semilight" w:hint="eastAsia"/>
          <w:sz w:val="24"/>
          <w:szCs w:val="24"/>
        </w:rPr>
        <w:t>《</w:t>
      </w:r>
      <w:r>
        <w:rPr>
          <w:rFonts w:ascii="宋体" w:eastAsia="宋体" w:hAnsi="宋体" w:cs="微软雅黑" w:hint="eastAsia"/>
          <w:sz w:val="24"/>
          <w:szCs w:val="24"/>
        </w:rPr>
        <w:t>基金法</w:t>
      </w:r>
      <w:r>
        <w:rPr>
          <w:rFonts w:ascii="宋体" w:eastAsia="宋体" w:hAnsi="宋体" w:cs="Malgun Gothic Semilight" w:hint="eastAsia"/>
          <w:sz w:val="24"/>
          <w:szCs w:val="24"/>
        </w:rPr>
        <w:t>》、《运作办法》、《</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信息披露办法</w:t>
      </w:r>
      <w:r>
        <w:rPr>
          <w:rFonts w:ascii="宋体" w:eastAsia="宋体" w:hAnsi="宋体" w:cs="Malgun Gothic Semilight" w:hint="eastAsia"/>
          <w:sz w:val="24"/>
          <w:szCs w:val="24"/>
        </w:rPr>
        <w:t>》、</w:t>
      </w:r>
      <w:r>
        <w:rPr>
          <w:rFonts w:ascii="宋体" w:eastAsia="宋体" w:hAnsi="宋体" w:cs="微软雅黑" w:hint="eastAsia"/>
          <w:sz w:val="24"/>
          <w:szCs w:val="24"/>
        </w:rPr>
        <w:t>《流动性风险管理规定》及其他有关规定进行信息披露外</w:t>
      </w:r>
      <w:r>
        <w:rPr>
          <w:rFonts w:ascii="宋体" w:eastAsia="宋体" w:hAnsi="宋体" w:cs="Malgun Gothic Semilight" w:hint="eastAsia"/>
          <w:sz w:val="24"/>
          <w:szCs w:val="24"/>
        </w:rPr>
        <w:t>，</w:t>
      </w:r>
      <w:r>
        <w:rPr>
          <w:rFonts w:ascii="宋体" w:eastAsia="宋体" w:hAnsi="宋体" w:cs="微软雅黑" w:hint="eastAsia"/>
          <w:sz w:val="24"/>
          <w:szCs w:val="24"/>
        </w:rPr>
        <w:t>基金管理人和基金托管人对基金运作中产生的信息以及从对方获得的业务信息应予保密</w:t>
      </w:r>
      <w:r>
        <w:rPr>
          <w:rFonts w:ascii="宋体" w:eastAsia="宋体" w:hAnsi="宋体" w:cs="Malgun Gothic Semilight" w:hint="eastAsia"/>
          <w:sz w:val="24"/>
          <w:szCs w:val="24"/>
        </w:rPr>
        <w:t>。</w:t>
      </w:r>
      <w:r>
        <w:rPr>
          <w:rFonts w:ascii="宋体" w:eastAsia="宋体" w:hAnsi="宋体" w:cs="微软雅黑" w:hint="eastAsia"/>
          <w:sz w:val="24"/>
          <w:szCs w:val="24"/>
        </w:rPr>
        <w:t>但是</w:t>
      </w:r>
      <w:r>
        <w:rPr>
          <w:rFonts w:ascii="宋体" w:eastAsia="宋体" w:hAnsi="宋体" w:cs="Malgun Gothic Semilight" w:hint="eastAsia"/>
          <w:sz w:val="24"/>
          <w:szCs w:val="24"/>
        </w:rPr>
        <w:t>，</w:t>
      </w:r>
      <w:r>
        <w:rPr>
          <w:rFonts w:ascii="宋体" w:eastAsia="宋体" w:hAnsi="宋体" w:cs="微软雅黑" w:hint="eastAsia"/>
          <w:sz w:val="24"/>
          <w:szCs w:val="24"/>
        </w:rPr>
        <w:t>如下情况不应视为基金管理人或基金托管人违反保密义务</w:t>
      </w:r>
      <w:r>
        <w:rPr>
          <w:rFonts w:ascii="宋体" w:eastAsia="宋体" w:hAnsi="宋体" w:cs="Malgun Gothic Semilight" w:hint="eastAsia"/>
          <w:sz w:val="24"/>
          <w:szCs w:val="24"/>
        </w:rPr>
        <w:t>：</w:t>
      </w:r>
    </w:p>
    <w:p w14:paraId="05C57EF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非因基金管理人和基金托管人的原因导致保密信息被披露</w:t>
      </w:r>
      <w:r>
        <w:rPr>
          <w:rFonts w:ascii="宋体" w:eastAsia="宋体" w:hAnsi="宋体" w:cs="Malgun Gothic Semilight" w:hint="eastAsia"/>
          <w:sz w:val="24"/>
          <w:szCs w:val="24"/>
        </w:rPr>
        <w:t>、</w:t>
      </w:r>
      <w:r>
        <w:rPr>
          <w:rFonts w:ascii="宋体" w:eastAsia="宋体" w:hAnsi="宋体" w:cs="微软雅黑" w:hint="eastAsia"/>
          <w:sz w:val="24"/>
          <w:szCs w:val="24"/>
        </w:rPr>
        <w:t>泄露或公开</w:t>
      </w:r>
      <w:r>
        <w:rPr>
          <w:rFonts w:ascii="宋体" w:eastAsia="宋体" w:hAnsi="宋体" w:cs="Malgun Gothic Semilight" w:hint="eastAsia"/>
          <w:sz w:val="24"/>
          <w:szCs w:val="24"/>
        </w:rPr>
        <w:t>；</w:t>
      </w:r>
    </w:p>
    <w:p w14:paraId="04A46FA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基金管理人和基金托管人为遵守和服从法院判决或裁定</w:t>
      </w:r>
      <w:r>
        <w:rPr>
          <w:rFonts w:ascii="宋体" w:eastAsia="宋体" w:hAnsi="宋体" w:cs="Malgun Gothic Semilight" w:hint="eastAsia"/>
          <w:sz w:val="24"/>
          <w:szCs w:val="24"/>
        </w:rPr>
        <w:t>、</w:t>
      </w:r>
      <w:r>
        <w:rPr>
          <w:rFonts w:ascii="宋体" w:eastAsia="宋体" w:hAnsi="宋体" w:cs="微软雅黑" w:hint="eastAsia"/>
          <w:sz w:val="24"/>
          <w:szCs w:val="24"/>
        </w:rPr>
        <w:t>仲裁裁决或中国证监会等监管机构的命令</w:t>
      </w:r>
      <w:r>
        <w:rPr>
          <w:rFonts w:ascii="宋体" w:eastAsia="宋体" w:hAnsi="宋体" w:cs="Malgun Gothic Semilight" w:hint="eastAsia"/>
          <w:sz w:val="24"/>
          <w:szCs w:val="24"/>
        </w:rPr>
        <w:t>、</w:t>
      </w:r>
      <w:r>
        <w:rPr>
          <w:rFonts w:ascii="宋体" w:eastAsia="宋体" w:hAnsi="宋体" w:cs="微软雅黑" w:hint="eastAsia"/>
          <w:sz w:val="24"/>
          <w:szCs w:val="24"/>
        </w:rPr>
        <w:t>决定所做出的信息披露或公开</w:t>
      </w:r>
      <w:r>
        <w:rPr>
          <w:rFonts w:ascii="宋体" w:eastAsia="宋体" w:hAnsi="宋体" w:cs="Malgun Gothic Semilight" w:hint="eastAsia"/>
          <w:sz w:val="24"/>
          <w:szCs w:val="24"/>
        </w:rPr>
        <w:t>；</w:t>
      </w:r>
    </w:p>
    <w:p w14:paraId="335BE356" w14:textId="77777777" w:rsidR="00C521E2" w:rsidRDefault="005D6E6D">
      <w:pPr>
        <w:adjustRightInd w:val="0"/>
        <w:snapToGrid w:val="0"/>
        <w:spacing w:line="360" w:lineRule="auto"/>
        <w:ind w:firstLineChars="200" w:firstLine="480"/>
        <w:rPr>
          <w:rFonts w:ascii="宋体" w:eastAsia="宋体" w:hAnsi="宋体" w:cs="Arial"/>
          <w:sz w:val="24"/>
          <w:szCs w:val="24"/>
          <w:lang w:val="zh-CN"/>
        </w:rPr>
      </w:pPr>
      <w:r>
        <w:rPr>
          <w:rFonts w:ascii="宋体" w:eastAsia="宋体" w:hAnsi="宋体" w:cs="Arial" w:hint="eastAsia"/>
          <w:sz w:val="24"/>
          <w:szCs w:val="24"/>
        </w:rPr>
        <w:t>3</w:t>
      </w:r>
      <w:r>
        <w:rPr>
          <w:rFonts w:ascii="宋体" w:eastAsia="宋体" w:hAnsi="宋体" w:cs="Arial"/>
          <w:sz w:val="24"/>
          <w:szCs w:val="24"/>
        </w:rPr>
        <w:t>.</w:t>
      </w:r>
      <w:r>
        <w:rPr>
          <w:rFonts w:ascii="宋体" w:eastAsia="宋体" w:hAnsi="宋体" w:cs="微软雅黑" w:hint="eastAsia"/>
          <w:sz w:val="24"/>
          <w:szCs w:val="24"/>
        </w:rPr>
        <w:t>向审计</w:t>
      </w:r>
      <w:r>
        <w:rPr>
          <w:rFonts w:ascii="宋体" w:eastAsia="宋体" w:hAnsi="宋体" w:cs="Malgun Gothic Semilight" w:hint="eastAsia"/>
          <w:sz w:val="24"/>
          <w:szCs w:val="24"/>
        </w:rPr>
        <w:t>、</w:t>
      </w:r>
      <w:r>
        <w:rPr>
          <w:rFonts w:ascii="宋体" w:eastAsia="宋体" w:hAnsi="宋体" w:cs="微软雅黑" w:hint="eastAsia"/>
          <w:sz w:val="24"/>
          <w:szCs w:val="24"/>
        </w:rPr>
        <w:t>法律等专业服务向外部专业顾问提供信息</w:t>
      </w:r>
      <w:r>
        <w:rPr>
          <w:rFonts w:ascii="宋体" w:eastAsia="宋体" w:hAnsi="宋体" w:cs="Malgun Gothic Semilight" w:hint="eastAsia"/>
          <w:sz w:val="24"/>
          <w:szCs w:val="24"/>
        </w:rPr>
        <w:t>。</w:t>
      </w:r>
    </w:p>
    <w:p w14:paraId="672D1E4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（二）信息披露的内容</w:t>
      </w:r>
    </w:p>
    <w:p w14:paraId="48EF60E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基金的信息披露内容主要包括基金招募说明书、《基金合同》、基金托管协议、基金产品资料概要、基金份额发售公告、《基金合同》生效公告、基金净值信息、基金份额申购</w:t>
      </w:r>
      <w:r>
        <w:rPr>
          <w:rFonts w:ascii="宋体" w:eastAsia="宋体" w:hAnsi="宋体" w:cs="Arial"/>
          <w:sz w:val="24"/>
          <w:szCs w:val="24"/>
        </w:rPr>
        <w:t>/赎回价格</w:t>
      </w:r>
      <w:r>
        <w:rPr>
          <w:rFonts w:ascii="宋体" w:eastAsia="宋体" w:hAnsi="宋体" w:cs="Arial" w:hint="eastAsia"/>
          <w:sz w:val="24"/>
          <w:szCs w:val="24"/>
        </w:rPr>
        <w:t>、基金定期报告（包括基金年度报告、基金中期报告和基金季度报告）、临时报告、澄清公告、基金份额持有人大会决议、清算报告、实施侧袋机制期间的信息披露及中国证监会规定的其他信息。基金年度报告中的财务会计报告需经符合《证券法》规定的会计师事务所审计后，方可披露。</w:t>
      </w:r>
    </w:p>
    <w:p w14:paraId="2266942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若本基金投资港股通标的股票、股指期货、国债期货、股票期权、资产支持证券、参与融资及转融通证券出借业务，基金管理人将按相关法律法规要求进行披露。</w:t>
      </w:r>
    </w:p>
    <w:p w14:paraId="544F7D0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当相关法律法规关于上述信息披露的规定发生变化时，基金管理人将按最新规定进行信息披露。</w:t>
      </w:r>
    </w:p>
    <w:p w14:paraId="087B767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lastRenderedPageBreak/>
        <w:t>（三）基金托管人和基金管理人在信息披露中的职责和信息披露程序</w:t>
      </w:r>
    </w:p>
    <w:p w14:paraId="037C8AA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职责</w:t>
      </w:r>
    </w:p>
    <w:p w14:paraId="5BE0C159" w14:textId="0FF155B9"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基金托管人和基金管理人在信息披露过程中应以保护基金份额持有人利益为宗旨</w:t>
      </w:r>
      <w:r>
        <w:rPr>
          <w:rFonts w:ascii="宋体" w:eastAsia="宋体" w:hAnsi="宋体" w:cs="Malgun Gothic Semilight" w:hint="eastAsia"/>
          <w:sz w:val="24"/>
          <w:szCs w:val="24"/>
        </w:rPr>
        <w:t>，</w:t>
      </w:r>
      <w:r>
        <w:rPr>
          <w:rFonts w:ascii="宋体" w:eastAsia="宋体" w:hAnsi="宋体" w:cs="微软雅黑" w:hint="eastAsia"/>
          <w:sz w:val="24"/>
          <w:szCs w:val="24"/>
        </w:rPr>
        <w:t>诚实信用</w:t>
      </w:r>
      <w:r>
        <w:rPr>
          <w:rFonts w:ascii="宋体" w:eastAsia="宋体" w:hAnsi="宋体" w:cs="Malgun Gothic Semilight" w:hint="eastAsia"/>
          <w:sz w:val="24"/>
          <w:szCs w:val="24"/>
        </w:rPr>
        <w:t>，</w:t>
      </w:r>
      <w:r>
        <w:rPr>
          <w:rFonts w:ascii="宋体" w:eastAsia="宋体" w:hAnsi="宋体" w:cs="微软雅黑" w:hint="eastAsia"/>
          <w:sz w:val="24"/>
          <w:szCs w:val="24"/>
        </w:rPr>
        <w:t>严守秘密</w:t>
      </w:r>
      <w:r>
        <w:rPr>
          <w:rFonts w:ascii="宋体" w:eastAsia="宋体" w:hAnsi="宋体" w:cs="Malgun Gothic Semilight" w:hint="eastAsia"/>
          <w:sz w:val="24"/>
          <w:szCs w:val="24"/>
        </w:rPr>
        <w:t>。</w:t>
      </w:r>
      <w:r>
        <w:rPr>
          <w:rFonts w:ascii="宋体" w:eastAsia="宋体" w:hAnsi="宋体" w:cs="微软雅黑" w:hint="eastAsia"/>
          <w:sz w:val="24"/>
          <w:szCs w:val="24"/>
        </w:rPr>
        <w:t>基金管理人负责办理与基金有关的信息披露事宜</w:t>
      </w:r>
      <w:r>
        <w:rPr>
          <w:rFonts w:ascii="宋体" w:eastAsia="宋体" w:hAnsi="宋体" w:cs="Malgun Gothic Semilight" w:hint="eastAsia"/>
          <w:sz w:val="24"/>
          <w:szCs w:val="24"/>
        </w:rPr>
        <w:t>，</w:t>
      </w:r>
      <w:r>
        <w:rPr>
          <w:rFonts w:ascii="宋体" w:eastAsia="宋体" w:hAnsi="宋体" w:cs="微软雅黑" w:hint="eastAsia"/>
          <w:sz w:val="24"/>
          <w:szCs w:val="24"/>
        </w:rPr>
        <w:t>基金托管人应当按照相关法律法规和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r>
        <w:rPr>
          <w:rFonts w:ascii="宋体" w:eastAsia="宋体" w:hAnsi="宋体" w:cs="微软雅黑" w:hint="eastAsia"/>
          <w:sz w:val="24"/>
          <w:szCs w:val="24"/>
        </w:rPr>
        <w:t>对于上一款规定的应由基金托管人复核的事项进行复核</w:t>
      </w:r>
      <w:r>
        <w:rPr>
          <w:rFonts w:ascii="宋体" w:eastAsia="宋体" w:hAnsi="宋体" w:cs="Malgun Gothic Semilight" w:hint="eastAsia"/>
          <w:sz w:val="24"/>
          <w:szCs w:val="24"/>
        </w:rPr>
        <w:t>，</w:t>
      </w:r>
      <w:r>
        <w:rPr>
          <w:rFonts w:ascii="宋体" w:eastAsia="宋体" w:hAnsi="宋体" w:cs="微软雅黑" w:hint="eastAsia"/>
          <w:sz w:val="24"/>
          <w:szCs w:val="24"/>
        </w:rPr>
        <w:t>基金托管人复核无误后</w:t>
      </w:r>
      <w:r>
        <w:rPr>
          <w:rFonts w:ascii="宋体" w:eastAsia="宋体" w:hAnsi="宋体" w:cs="Malgun Gothic Semilight" w:hint="eastAsia"/>
          <w:sz w:val="24"/>
          <w:szCs w:val="24"/>
        </w:rPr>
        <w:t>，</w:t>
      </w:r>
      <w:r>
        <w:rPr>
          <w:rFonts w:ascii="宋体" w:eastAsia="宋体" w:hAnsi="宋体" w:cs="微软雅黑" w:hint="eastAsia"/>
          <w:sz w:val="24"/>
          <w:szCs w:val="24"/>
        </w:rPr>
        <w:t>由基金管理人予以公布</w:t>
      </w:r>
      <w:r>
        <w:rPr>
          <w:rFonts w:ascii="宋体" w:eastAsia="宋体" w:hAnsi="宋体" w:cs="Malgun Gothic Semilight" w:hint="eastAsia"/>
          <w:sz w:val="24"/>
          <w:szCs w:val="24"/>
        </w:rPr>
        <w:t>。基金管理人在信息披露时，应说明基金托管人所复核的数据和信息。对于基金托管人复核结果与基金管理人无法达成一致的，基金管理人应按照有关法律法规进行信息披露。</w:t>
      </w:r>
    </w:p>
    <w:p w14:paraId="1CEACC96" w14:textId="3F21626D"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对于不需要基金托管人复核的信息，基金管理人在公告前应告知基金托管人。</w:t>
      </w:r>
    </w:p>
    <w:p w14:paraId="755D6A0F"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基金管理人和基金托管人应积极配合、互相监督，保证其履行按照法定方式和限时披露的义务。</w:t>
      </w:r>
    </w:p>
    <w:p w14:paraId="1BBAB06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基金管理人应当在中国证监会规定的时间内</w:t>
      </w:r>
      <w:r>
        <w:rPr>
          <w:rFonts w:ascii="宋体" w:eastAsia="宋体" w:hAnsi="宋体" w:cs="Malgun Gothic Semilight" w:hint="eastAsia"/>
          <w:sz w:val="24"/>
          <w:szCs w:val="24"/>
        </w:rPr>
        <w:t>，</w:t>
      </w:r>
      <w:r>
        <w:rPr>
          <w:rFonts w:ascii="宋体" w:eastAsia="宋体" w:hAnsi="宋体" w:cs="微软雅黑" w:hint="eastAsia"/>
          <w:sz w:val="24"/>
          <w:szCs w:val="24"/>
        </w:rPr>
        <w:t>将应予披露的基金信息通过规定媒介披露</w:t>
      </w:r>
      <w:r>
        <w:rPr>
          <w:rFonts w:ascii="宋体" w:eastAsia="宋体" w:hAnsi="宋体" w:cs="Malgun Gothic Semilight" w:hint="eastAsia"/>
          <w:sz w:val="24"/>
          <w:szCs w:val="24"/>
        </w:rPr>
        <w:t>。</w:t>
      </w:r>
      <w:r>
        <w:rPr>
          <w:rFonts w:ascii="宋体" w:eastAsia="宋体" w:hAnsi="宋体" w:cs="微软雅黑" w:hint="eastAsia"/>
          <w:sz w:val="24"/>
          <w:szCs w:val="24"/>
        </w:rPr>
        <w:t>根据法律法规应由基金托管人公开披露的信息</w:t>
      </w:r>
      <w:r>
        <w:rPr>
          <w:rFonts w:ascii="宋体" w:eastAsia="宋体" w:hAnsi="宋体" w:cs="Malgun Gothic Semilight" w:hint="eastAsia"/>
          <w:sz w:val="24"/>
          <w:szCs w:val="24"/>
        </w:rPr>
        <w:t>，</w:t>
      </w:r>
      <w:r>
        <w:rPr>
          <w:rFonts w:ascii="宋体" w:eastAsia="宋体" w:hAnsi="宋体" w:cs="微软雅黑" w:hint="eastAsia"/>
          <w:sz w:val="24"/>
          <w:szCs w:val="24"/>
        </w:rPr>
        <w:t>基金托管人将通过规定媒介公开披露</w:t>
      </w:r>
      <w:r>
        <w:rPr>
          <w:rFonts w:ascii="宋体" w:eastAsia="宋体" w:hAnsi="宋体" w:cs="Malgun Gothic Semilight" w:hint="eastAsia"/>
          <w:sz w:val="24"/>
          <w:szCs w:val="24"/>
        </w:rPr>
        <w:t>。</w:t>
      </w:r>
    </w:p>
    <w:p w14:paraId="640ED32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当出现下述情况时</w:t>
      </w:r>
      <w:r>
        <w:rPr>
          <w:rFonts w:ascii="宋体" w:eastAsia="宋体" w:hAnsi="宋体" w:cs="Malgun Gothic Semilight" w:hint="eastAsia"/>
          <w:sz w:val="24"/>
          <w:szCs w:val="24"/>
        </w:rPr>
        <w:t>，</w:t>
      </w:r>
      <w:r>
        <w:rPr>
          <w:rFonts w:ascii="宋体" w:eastAsia="宋体" w:hAnsi="宋体" w:cs="微软雅黑" w:hint="eastAsia"/>
          <w:sz w:val="24"/>
          <w:szCs w:val="24"/>
        </w:rPr>
        <w:t>基金管理人和基金托管人可暂停或延迟披露基金相关信息</w:t>
      </w:r>
      <w:r>
        <w:rPr>
          <w:rFonts w:ascii="宋体" w:eastAsia="宋体" w:hAnsi="宋体" w:cs="Malgun Gothic Semilight" w:hint="eastAsia"/>
          <w:sz w:val="24"/>
          <w:szCs w:val="24"/>
        </w:rPr>
        <w:t>：</w:t>
      </w:r>
    </w:p>
    <w:p w14:paraId="27C7A10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Arial"/>
          <w:sz w:val="24"/>
          <w:szCs w:val="24"/>
        </w:rPr>
        <w:t>基金投资所涉及的证券、期货交易所或外汇市场遇法定节假日或因其他原因暂停营业时；</w:t>
      </w:r>
    </w:p>
    <w:p w14:paraId="3078D71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Arial"/>
          <w:sz w:val="24"/>
          <w:szCs w:val="24"/>
        </w:rPr>
        <w:t>因不可抗力或其他情形致使基金管理人、基金托管人无法准确评估基金资产价值时；</w:t>
      </w:r>
    </w:p>
    <w:p w14:paraId="26E16A6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Arial"/>
          <w:sz w:val="24"/>
          <w:szCs w:val="24"/>
        </w:rPr>
        <w:t>法律法规规定、中国证监会或基金合同认定的其他情形。</w:t>
      </w:r>
    </w:p>
    <w:p w14:paraId="30BA9B8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程序</w:t>
      </w:r>
    </w:p>
    <w:p w14:paraId="01EC40F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按有关规定须经基金托管人复核的信息披露文件</w:t>
      </w:r>
      <w:r>
        <w:rPr>
          <w:rFonts w:ascii="宋体" w:eastAsia="宋体" w:hAnsi="宋体" w:cs="Malgun Gothic Semilight" w:hint="eastAsia"/>
          <w:sz w:val="24"/>
          <w:szCs w:val="24"/>
        </w:rPr>
        <w:t>，</w:t>
      </w:r>
      <w:r>
        <w:rPr>
          <w:rFonts w:ascii="宋体" w:eastAsia="宋体" w:hAnsi="宋体" w:cs="微软雅黑" w:hint="eastAsia"/>
          <w:sz w:val="24"/>
          <w:szCs w:val="24"/>
        </w:rPr>
        <w:t>由基金管理人起草</w:t>
      </w:r>
      <w:r>
        <w:rPr>
          <w:rFonts w:ascii="宋体" w:eastAsia="宋体" w:hAnsi="宋体" w:cs="Malgun Gothic Semilight" w:hint="eastAsia"/>
          <w:sz w:val="24"/>
          <w:szCs w:val="24"/>
        </w:rPr>
        <w:t>、</w:t>
      </w:r>
      <w:r>
        <w:rPr>
          <w:rFonts w:ascii="宋体" w:eastAsia="宋体" w:hAnsi="宋体" w:cs="微软雅黑" w:hint="eastAsia"/>
          <w:sz w:val="24"/>
          <w:szCs w:val="24"/>
        </w:rPr>
        <w:t>并经基金托管人复核后由基金管理人公告</w:t>
      </w:r>
      <w:r>
        <w:rPr>
          <w:rFonts w:ascii="宋体" w:eastAsia="宋体" w:hAnsi="宋体" w:cs="Malgun Gothic Semilight" w:hint="eastAsia"/>
          <w:sz w:val="24"/>
          <w:szCs w:val="24"/>
        </w:rPr>
        <w:t>。</w:t>
      </w:r>
      <w:r>
        <w:rPr>
          <w:rFonts w:ascii="宋体" w:eastAsia="宋体" w:hAnsi="宋体" w:cs="微软雅黑" w:hint="eastAsia"/>
          <w:sz w:val="24"/>
          <w:szCs w:val="24"/>
        </w:rPr>
        <w:t>发生</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中规定需要披露的事项时</w:t>
      </w:r>
      <w:r>
        <w:rPr>
          <w:rFonts w:ascii="宋体" w:eastAsia="宋体" w:hAnsi="宋体" w:cs="Malgun Gothic Semilight" w:hint="eastAsia"/>
          <w:sz w:val="24"/>
          <w:szCs w:val="24"/>
        </w:rPr>
        <w:t>，</w:t>
      </w:r>
      <w:r>
        <w:rPr>
          <w:rFonts w:ascii="宋体" w:eastAsia="宋体" w:hAnsi="宋体" w:cs="微软雅黑" w:hint="eastAsia"/>
          <w:sz w:val="24"/>
          <w:szCs w:val="24"/>
        </w:rPr>
        <w:t>按</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规定公布</w:t>
      </w:r>
      <w:r>
        <w:rPr>
          <w:rFonts w:ascii="宋体" w:eastAsia="宋体" w:hAnsi="宋体" w:cs="Malgun Gothic Semilight" w:hint="eastAsia"/>
          <w:sz w:val="24"/>
          <w:szCs w:val="24"/>
        </w:rPr>
        <w:t>。</w:t>
      </w:r>
    </w:p>
    <w:p w14:paraId="5F83FCF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信息文本的存放</w:t>
      </w:r>
    </w:p>
    <w:p w14:paraId="658BADE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依法必须披露的信息发布后</w:t>
      </w:r>
      <w:r>
        <w:rPr>
          <w:rFonts w:ascii="宋体" w:eastAsia="宋体" w:hAnsi="宋体" w:cs="Malgun Gothic Semilight" w:hint="eastAsia"/>
          <w:sz w:val="24"/>
          <w:szCs w:val="24"/>
        </w:rPr>
        <w:t>，</w:t>
      </w:r>
      <w:r>
        <w:rPr>
          <w:rFonts w:ascii="宋体" w:eastAsia="宋体" w:hAnsi="宋体" w:cs="微软雅黑" w:hint="eastAsia"/>
          <w:sz w:val="24"/>
          <w:szCs w:val="24"/>
        </w:rPr>
        <w:t>基金管理人</w:t>
      </w:r>
      <w:r>
        <w:rPr>
          <w:rFonts w:ascii="宋体" w:eastAsia="宋体" w:hAnsi="宋体" w:cs="Malgun Gothic Semilight" w:hint="eastAsia"/>
          <w:sz w:val="24"/>
          <w:szCs w:val="24"/>
        </w:rPr>
        <w:t>、</w:t>
      </w:r>
      <w:r>
        <w:rPr>
          <w:rFonts w:ascii="宋体" w:eastAsia="宋体" w:hAnsi="宋体" w:cs="微软雅黑" w:hint="eastAsia"/>
          <w:sz w:val="24"/>
          <w:szCs w:val="24"/>
        </w:rPr>
        <w:t>基金托管人应当按照相关法律法规规定将信息置备于公司住所</w:t>
      </w:r>
      <w:r>
        <w:rPr>
          <w:rFonts w:ascii="宋体" w:eastAsia="宋体" w:hAnsi="宋体" w:cs="Malgun Gothic Semilight" w:hint="eastAsia"/>
          <w:sz w:val="24"/>
          <w:szCs w:val="24"/>
        </w:rPr>
        <w:t>，</w:t>
      </w:r>
      <w:r>
        <w:rPr>
          <w:rFonts w:ascii="宋体" w:eastAsia="宋体" w:hAnsi="宋体" w:cs="微软雅黑" w:hint="eastAsia"/>
          <w:sz w:val="24"/>
          <w:szCs w:val="24"/>
        </w:rPr>
        <w:t>供社会公众查阅</w:t>
      </w:r>
      <w:r>
        <w:rPr>
          <w:rFonts w:ascii="宋体" w:eastAsia="宋体" w:hAnsi="宋体" w:cs="Malgun Gothic Semilight" w:hint="eastAsia"/>
          <w:sz w:val="24"/>
          <w:szCs w:val="24"/>
        </w:rPr>
        <w:t>、</w:t>
      </w:r>
      <w:r>
        <w:rPr>
          <w:rFonts w:ascii="宋体" w:eastAsia="宋体" w:hAnsi="宋体" w:cs="微软雅黑" w:hint="eastAsia"/>
          <w:sz w:val="24"/>
          <w:szCs w:val="24"/>
        </w:rPr>
        <w:t>复制</w:t>
      </w:r>
      <w:r>
        <w:rPr>
          <w:rFonts w:ascii="宋体" w:eastAsia="宋体" w:hAnsi="宋体" w:cs="Malgun Gothic Semilight" w:hint="eastAsia"/>
          <w:sz w:val="24"/>
          <w:szCs w:val="24"/>
        </w:rPr>
        <w:t>。</w:t>
      </w:r>
    </w:p>
    <w:p w14:paraId="3A9A52A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Arial" w:hint="eastAsia"/>
          <w:sz w:val="24"/>
          <w:szCs w:val="24"/>
        </w:rPr>
        <w:t>（</w:t>
      </w:r>
      <w:r>
        <w:rPr>
          <w:rFonts w:ascii="宋体" w:eastAsia="宋体" w:hAnsi="宋体" w:cs="微软雅黑" w:hint="eastAsia"/>
          <w:sz w:val="24"/>
          <w:szCs w:val="24"/>
        </w:rPr>
        <w:t>四</w:t>
      </w:r>
      <w:r>
        <w:rPr>
          <w:rFonts w:ascii="宋体" w:eastAsia="宋体" w:hAnsi="宋体" w:cs="Malgun Gothic Semilight" w:hint="eastAsia"/>
          <w:sz w:val="24"/>
          <w:szCs w:val="24"/>
        </w:rPr>
        <w:t>）</w:t>
      </w:r>
      <w:r>
        <w:rPr>
          <w:rFonts w:ascii="宋体" w:eastAsia="宋体" w:hAnsi="宋体" w:cs="微软雅黑" w:hint="eastAsia"/>
          <w:sz w:val="24"/>
          <w:szCs w:val="24"/>
        </w:rPr>
        <w:t>实施侧袋机制期间的信息披露</w:t>
      </w:r>
    </w:p>
    <w:p w14:paraId="4D628AB1"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lastRenderedPageBreak/>
        <w:t>本基金实施侧袋机制的，相关信息披露义务人应当根据法律法规、基金合同和招募说明书的规定进行信息披露，详见招募说明书的规定。</w:t>
      </w:r>
    </w:p>
    <w:p w14:paraId="586F8BF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（五）法律法规或监管部门对适用于本基金的信息披露另有规定的</w:t>
      </w:r>
      <w:r>
        <w:rPr>
          <w:rFonts w:ascii="宋体" w:eastAsia="宋体" w:hAnsi="宋体" w:cs="Malgun Gothic Semilight" w:hint="eastAsia"/>
          <w:sz w:val="24"/>
          <w:szCs w:val="24"/>
        </w:rPr>
        <w:t>，</w:t>
      </w:r>
      <w:r>
        <w:rPr>
          <w:rFonts w:ascii="宋体" w:eastAsia="宋体" w:hAnsi="宋体" w:cs="微软雅黑" w:hint="eastAsia"/>
          <w:sz w:val="24"/>
          <w:szCs w:val="24"/>
        </w:rPr>
        <w:t>从其规定</w:t>
      </w:r>
      <w:r>
        <w:rPr>
          <w:rFonts w:ascii="宋体" w:eastAsia="宋体" w:hAnsi="宋体" w:cs="Malgun Gothic Semilight" w:hint="eastAsia"/>
          <w:sz w:val="24"/>
          <w:szCs w:val="24"/>
        </w:rPr>
        <w:t>。</w:t>
      </w:r>
      <w:r>
        <w:rPr>
          <w:rFonts w:ascii="宋体" w:eastAsia="宋体" w:hAnsi="宋体" w:cs="微软雅黑" w:hint="eastAsia"/>
          <w:sz w:val="24"/>
          <w:szCs w:val="24"/>
        </w:rPr>
        <w:t>如规定发生变化的</w:t>
      </w:r>
      <w:r>
        <w:rPr>
          <w:rFonts w:ascii="宋体" w:eastAsia="宋体" w:hAnsi="宋体" w:cs="Malgun Gothic Semilight" w:hint="eastAsia"/>
          <w:sz w:val="24"/>
          <w:szCs w:val="24"/>
        </w:rPr>
        <w:t>，</w:t>
      </w:r>
      <w:r>
        <w:rPr>
          <w:rFonts w:ascii="宋体" w:eastAsia="宋体" w:hAnsi="宋体" w:cs="微软雅黑" w:hint="eastAsia"/>
          <w:sz w:val="24"/>
          <w:szCs w:val="24"/>
        </w:rPr>
        <w:t>从其最新规定</w:t>
      </w:r>
      <w:r>
        <w:rPr>
          <w:rFonts w:ascii="宋体" w:eastAsia="宋体" w:hAnsi="宋体" w:cs="Malgun Gothic Semilight" w:hint="eastAsia"/>
          <w:sz w:val="24"/>
          <w:szCs w:val="24"/>
        </w:rPr>
        <w:t>。</w:t>
      </w:r>
    </w:p>
    <w:p w14:paraId="4A58FFCF" w14:textId="77777777" w:rsidR="00C521E2" w:rsidRDefault="00C521E2">
      <w:pPr>
        <w:spacing w:line="360" w:lineRule="auto"/>
        <w:rPr>
          <w:rFonts w:ascii="宋体" w:eastAsia="宋体" w:hAnsi="宋体" w:cs="Arial"/>
          <w:sz w:val="24"/>
          <w:szCs w:val="24"/>
        </w:rPr>
      </w:pPr>
    </w:p>
    <w:p w14:paraId="535A7ED1"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0" w:name="_Toc204539402"/>
      <w:r>
        <w:rPr>
          <w:rFonts w:ascii="宋体" w:eastAsia="宋体" w:hAnsi="宋体" w:cs="微软雅黑" w:hint="eastAsia"/>
          <w:b/>
          <w:sz w:val="30"/>
          <w:szCs w:val="20"/>
        </w:rPr>
        <w:t>十一</w:t>
      </w:r>
      <w:r>
        <w:rPr>
          <w:rFonts w:ascii="宋体" w:eastAsia="宋体" w:hAnsi="宋体" w:cs="Malgun Gothic Semilight" w:hint="eastAsia"/>
          <w:b/>
          <w:sz w:val="30"/>
          <w:szCs w:val="20"/>
        </w:rPr>
        <w:t>、</w:t>
      </w:r>
      <w:r>
        <w:rPr>
          <w:rFonts w:ascii="宋体" w:eastAsia="宋体" w:hAnsi="宋体" w:cs="微软雅黑" w:hint="eastAsia"/>
          <w:b/>
          <w:sz w:val="30"/>
          <w:szCs w:val="20"/>
        </w:rPr>
        <w:t>基金费用</w:t>
      </w:r>
      <w:bookmarkEnd w:id="90"/>
    </w:p>
    <w:p w14:paraId="51BFF0D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基金管理费的计提比例和计提方法</w:t>
      </w:r>
    </w:p>
    <w:p w14:paraId="4B883F6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本基金基金财产中投资于目标</w:t>
      </w:r>
      <w:r>
        <w:rPr>
          <w:rFonts w:ascii="宋体" w:eastAsia="宋体" w:hAnsi="宋体" w:cs="微软雅黑"/>
          <w:sz w:val="24"/>
          <w:szCs w:val="24"/>
        </w:rPr>
        <w:t>ETF的部分不收取管理费。基金管理费按前一日基金资产净值扣除基金财产中目标ETF份额所对应资产净值后剩余部分（若为负数，则取0）的0.50%年费率计提。管理费的计算方法如下：</w:t>
      </w:r>
    </w:p>
    <w:p w14:paraId="44F61D14"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H＝E×0.50%÷当年天数</w:t>
      </w:r>
    </w:p>
    <w:p w14:paraId="30C651FF"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H为每日应计提的基金管理费</w:t>
      </w:r>
    </w:p>
    <w:p w14:paraId="43447349"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E为前一日基金资产净值扣除基金财产中目标ETF份额所对应资产净值后的剩余部分；若为负数，则E取0</w:t>
      </w:r>
    </w:p>
    <w:p w14:paraId="3407949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基金托管费的计提比例和计提方法</w:t>
      </w:r>
    </w:p>
    <w:p w14:paraId="21DBE289"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hint="eastAsia"/>
          <w:sz w:val="24"/>
          <w:szCs w:val="24"/>
        </w:rPr>
        <w:t>本基金基金财产中投资于目标</w:t>
      </w:r>
      <w:r>
        <w:rPr>
          <w:rFonts w:ascii="宋体" w:eastAsia="宋体" w:hAnsi="宋体" w:cs="微软雅黑"/>
          <w:sz w:val="24"/>
          <w:szCs w:val="24"/>
        </w:rPr>
        <w:t>ETF的部分不收取托管费。基金托管费按前一日基金资产净值扣除基金财产中目标ETF份额所对应资产净值后剩余部分（若为负数，则取0）的0.10%的年费率计提。托管费的计算方法如下：</w:t>
      </w:r>
    </w:p>
    <w:p w14:paraId="0B8E6369"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H＝E×0.10%÷当年天数</w:t>
      </w:r>
    </w:p>
    <w:p w14:paraId="70886B1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H为每日应计提的基金托管费</w:t>
      </w:r>
    </w:p>
    <w:p w14:paraId="3C822BAD" w14:textId="77777777" w:rsidR="00C521E2" w:rsidRDefault="005D6E6D">
      <w:pPr>
        <w:adjustRightInd w:val="0"/>
        <w:snapToGrid w:val="0"/>
        <w:spacing w:line="360" w:lineRule="auto"/>
        <w:ind w:firstLineChars="200" w:firstLine="480"/>
        <w:rPr>
          <w:rFonts w:ascii="宋体" w:eastAsia="宋体" w:hAnsi="宋体" w:cs="微软雅黑"/>
          <w:sz w:val="24"/>
          <w:szCs w:val="24"/>
        </w:rPr>
      </w:pPr>
      <w:r>
        <w:rPr>
          <w:rFonts w:ascii="宋体" w:eastAsia="宋体" w:hAnsi="宋体" w:cs="微软雅黑"/>
          <w:sz w:val="24"/>
          <w:szCs w:val="24"/>
        </w:rPr>
        <w:t>E为前一日基金资产净值扣除基金财产中目标ETF份额所对应资产净值后的剩余部分；若为负数，则E取0</w:t>
      </w:r>
    </w:p>
    <w:p w14:paraId="68D2544D"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（三）基金销售服务费</w:t>
      </w:r>
    </w:p>
    <w:p w14:paraId="67F9009C"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本基金</w:t>
      </w:r>
      <w:r>
        <w:rPr>
          <w:rFonts w:ascii="宋体" w:eastAsia="宋体" w:hAnsi="宋体" w:cs="Arial"/>
          <w:sz w:val="24"/>
          <w:szCs w:val="24"/>
        </w:rPr>
        <w:t>A类基金份额不收取销售服务费，C类基金份额的销售服务费</w:t>
      </w:r>
      <w:r>
        <w:rPr>
          <w:rFonts w:ascii="宋体" w:eastAsia="宋体" w:hAnsi="宋体" w:cs="Arial" w:hint="eastAsia"/>
          <w:sz w:val="24"/>
          <w:szCs w:val="24"/>
        </w:rPr>
        <w:t>按前一日</w:t>
      </w:r>
      <w:r>
        <w:rPr>
          <w:rFonts w:ascii="宋体" w:eastAsia="宋体" w:hAnsi="宋体" w:cs="Arial"/>
          <w:sz w:val="24"/>
          <w:szCs w:val="24"/>
        </w:rPr>
        <w:t>C类基金份额的基金资产净值的0.</w:t>
      </w:r>
      <w:r>
        <w:rPr>
          <w:rFonts w:ascii="宋体" w:eastAsia="宋体" w:hAnsi="宋体" w:cs="Arial" w:hint="eastAsia"/>
          <w:sz w:val="24"/>
          <w:szCs w:val="24"/>
        </w:rPr>
        <w:t>2</w:t>
      </w:r>
      <w:r>
        <w:rPr>
          <w:rFonts w:ascii="宋体" w:eastAsia="宋体" w:hAnsi="宋体" w:cs="Arial"/>
          <w:sz w:val="24"/>
          <w:szCs w:val="24"/>
        </w:rPr>
        <w:t>0%年费率计提。计算方法如下：</w:t>
      </w:r>
    </w:p>
    <w:p w14:paraId="56995D6D"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H＝E×0.</w:t>
      </w:r>
      <w:r>
        <w:rPr>
          <w:rFonts w:ascii="宋体" w:eastAsia="宋体" w:hAnsi="宋体" w:cs="Arial" w:hint="eastAsia"/>
          <w:sz w:val="24"/>
          <w:szCs w:val="24"/>
        </w:rPr>
        <w:t>2</w:t>
      </w:r>
      <w:r>
        <w:rPr>
          <w:rFonts w:ascii="宋体" w:eastAsia="宋体" w:hAnsi="宋体" w:cs="Arial"/>
          <w:sz w:val="24"/>
          <w:szCs w:val="24"/>
        </w:rPr>
        <w:t>0%÷当年天数</w:t>
      </w:r>
    </w:p>
    <w:p w14:paraId="54A208FF"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H为C类基金份额每日应计提的销售服务费</w:t>
      </w:r>
    </w:p>
    <w:p w14:paraId="673FF5C7"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E为C类基金份额前一日基金资产净值</w:t>
      </w:r>
    </w:p>
    <w:p w14:paraId="1BC4B6A7"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lastRenderedPageBreak/>
        <w:t>（四）《基金合同》生效后与基金相关的信息披露费用（法律法规、中国证监会另有规定的除外）、《基金合同》生效后与基金相关的会计师费、律师费和诉讼或仲裁费、基金份额持有人大会费用、因基金的证券、期货、期权交易或结算而产生的费用（包括但不限于经手费、印花税、证管费、过户费、手续费、券商佣金及其他类似性质的费用等）、基金的银行汇划费用、基金的开户费用、账户维护费用、因投资港股通标的股票而产生的各项费用、《基金合同》及相应协议的约定，可以在基金财产中列支的其他费用，列入当期基金费用。</w:t>
      </w:r>
    </w:p>
    <w:p w14:paraId="649FD299"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（五）不列入基金费用的项目</w:t>
      </w:r>
    </w:p>
    <w:p w14:paraId="625F1EAE"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1、基金管理人和基金托管人因未履行或未完全履行义务导致的费用支出或基金财产的损失；</w:t>
      </w:r>
    </w:p>
    <w:p w14:paraId="7628F703"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2、基金管理人和基金托管人处理与基金运作无关的事项发生的费用；</w:t>
      </w:r>
    </w:p>
    <w:p w14:paraId="1C992D52"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3、基金合同生效前的相关费用；</w:t>
      </w:r>
    </w:p>
    <w:p w14:paraId="3B6C66C0"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sz w:val="24"/>
          <w:szCs w:val="24"/>
        </w:rPr>
        <w:t>4、其他根据相关法律法规及中国证监会的有关规定不得列入基金费用的项目。</w:t>
      </w:r>
    </w:p>
    <w:p w14:paraId="48AEA3EC"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（六）基金管理费、基金托管费和基金销售服务费的调整</w:t>
      </w:r>
    </w:p>
    <w:p w14:paraId="6ED37C35"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基金管理人和基金托管人协商一致并履行适当程序后，可按照基金发展情况，并根据法律法规规定和基金合同约定针对全部或部分份额类别调整基金管理费率、基金托管费率或基金销售服务费率等相关费率。</w:t>
      </w:r>
    </w:p>
    <w:p w14:paraId="4250F789"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（七）实施侧袋机制期间的基金费用</w:t>
      </w:r>
    </w:p>
    <w:p w14:paraId="37352D65"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本基金实施侧袋机制的，与侧袋账户有关的费用可以从侧袋账户中列支，但应</w:t>
      </w:r>
      <w:r>
        <w:rPr>
          <w:rFonts w:ascii="宋体" w:eastAsia="宋体" w:hAnsi="宋体" w:cs="Arial"/>
          <w:sz w:val="24"/>
          <w:szCs w:val="24"/>
        </w:rPr>
        <w:t>待侧袋账户资产变现后方可列支，有关费用可酌情收取或减免，但不得收取管理费，详见招募说明书的规定或相关公告。</w:t>
      </w:r>
    </w:p>
    <w:p w14:paraId="0E1B4161" w14:textId="77777777" w:rsidR="00C521E2" w:rsidRDefault="005D6E6D">
      <w:pPr>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（八）基金管理费、基金托管费</w:t>
      </w:r>
      <w:r>
        <w:rPr>
          <w:rFonts w:ascii="宋体" w:eastAsia="宋体" w:hAnsi="宋体" w:cs="微软雅黑" w:hint="eastAsia"/>
          <w:sz w:val="24"/>
          <w:szCs w:val="24"/>
        </w:rPr>
        <w:t>和基金销售服务费</w:t>
      </w:r>
      <w:r>
        <w:rPr>
          <w:rFonts w:ascii="宋体" w:eastAsia="宋体" w:hAnsi="宋体" w:cs="Arial" w:hint="eastAsia"/>
          <w:sz w:val="24"/>
          <w:szCs w:val="24"/>
        </w:rPr>
        <w:t>的复核程序、支付方式和时间</w:t>
      </w:r>
    </w:p>
    <w:p w14:paraId="46A7D6D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复核程序</w:t>
      </w:r>
    </w:p>
    <w:p w14:paraId="2FEAD811"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微软雅黑" w:hint="eastAsia"/>
          <w:sz w:val="24"/>
          <w:szCs w:val="24"/>
        </w:rPr>
        <w:t>基金托管人对基金管理人计提的基金管理费</w:t>
      </w:r>
      <w:r>
        <w:rPr>
          <w:rFonts w:ascii="宋体" w:eastAsia="宋体" w:hAnsi="宋体" w:cs="Arial" w:hint="eastAsia"/>
          <w:sz w:val="24"/>
          <w:szCs w:val="24"/>
        </w:rPr>
        <w:t>、</w:t>
      </w:r>
      <w:r>
        <w:rPr>
          <w:rFonts w:ascii="宋体" w:eastAsia="宋体" w:hAnsi="宋体" w:cs="微软雅黑" w:hint="eastAsia"/>
          <w:sz w:val="24"/>
          <w:szCs w:val="24"/>
        </w:rPr>
        <w:t>基金托管费等</w:t>
      </w:r>
      <w:r>
        <w:rPr>
          <w:rFonts w:ascii="宋体" w:eastAsia="宋体" w:hAnsi="宋体" w:cs="Malgun Gothic Semilight" w:hint="eastAsia"/>
          <w:sz w:val="24"/>
          <w:szCs w:val="24"/>
        </w:rPr>
        <w:t>，</w:t>
      </w:r>
      <w:r>
        <w:rPr>
          <w:rFonts w:ascii="宋体" w:eastAsia="宋体" w:hAnsi="宋体" w:cs="微软雅黑" w:hint="eastAsia"/>
          <w:sz w:val="24"/>
          <w:szCs w:val="24"/>
        </w:rPr>
        <w:t>根据本托管协议和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的有关规定进行复核</w:t>
      </w:r>
      <w:r>
        <w:rPr>
          <w:rFonts w:ascii="宋体" w:eastAsia="宋体" w:hAnsi="宋体" w:cs="Malgun Gothic Semilight" w:hint="eastAsia"/>
          <w:sz w:val="24"/>
          <w:szCs w:val="24"/>
        </w:rPr>
        <w:t>。</w:t>
      </w:r>
    </w:p>
    <w:p w14:paraId="620C8C78"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因涉及相关数据，应付销售服务费的计算和复核工作由基金管理人完成，相关信息以注册登记机构计算结果为准，基金托管人不承担复核责任。</w:t>
      </w:r>
    </w:p>
    <w:p w14:paraId="3CD6F8F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支付方式和时间</w:t>
      </w:r>
    </w:p>
    <w:p w14:paraId="1E1A7540"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微软雅黑" w:hint="eastAsia"/>
          <w:sz w:val="24"/>
          <w:szCs w:val="24"/>
        </w:rPr>
        <w:t>（1）基金管理费</w:t>
      </w:r>
      <w:r>
        <w:rPr>
          <w:rFonts w:ascii="宋体" w:eastAsia="宋体" w:hAnsi="宋体" w:cs="Malgun Gothic Semilight" w:hint="eastAsia"/>
          <w:sz w:val="24"/>
          <w:szCs w:val="24"/>
        </w:rPr>
        <w:t>、</w:t>
      </w:r>
      <w:r>
        <w:rPr>
          <w:rFonts w:ascii="宋体" w:eastAsia="宋体" w:hAnsi="宋体" w:cs="微软雅黑" w:hint="eastAsia"/>
          <w:sz w:val="24"/>
          <w:szCs w:val="24"/>
        </w:rPr>
        <w:t>基金托管费每日计提</w:t>
      </w:r>
      <w:r>
        <w:rPr>
          <w:rFonts w:ascii="宋体" w:eastAsia="宋体" w:hAnsi="宋体" w:cs="Malgun Gothic Semilight" w:hint="eastAsia"/>
          <w:sz w:val="24"/>
          <w:szCs w:val="24"/>
        </w:rPr>
        <w:t>，逐日累计至每个月月末，</w:t>
      </w:r>
      <w:r>
        <w:rPr>
          <w:rFonts w:ascii="宋体" w:eastAsia="宋体" w:hAnsi="宋体" w:cs="微软雅黑" w:hint="eastAsia"/>
          <w:sz w:val="24"/>
          <w:szCs w:val="24"/>
        </w:rPr>
        <w:t>按月支付</w:t>
      </w:r>
      <w:r>
        <w:rPr>
          <w:rFonts w:ascii="宋体" w:eastAsia="宋体" w:hAnsi="宋体" w:cs="Malgun Gothic Semilight" w:hint="eastAsia"/>
          <w:sz w:val="24"/>
          <w:szCs w:val="24"/>
        </w:rPr>
        <w:t>。</w:t>
      </w:r>
      <w:r>
        <w:rPr>
          <w:rFonts w:ascii="宋体" w:eastAsia="宋体" w:hAnsi="宋体" w:cs="微软雅黑" w:hint="eastAsia"/>
          <w:sz w:val="24"/>
          <w:szCs w:val="24"/>
        </w:rPr>
        <w:lastRenderedPageBreak/>
        <w:t>由基金托管人根据与基金管理人核对一致的财务数据</w:t>
      </w:r>
      <w:r>
        <w:rPr>
          <w:rFonts w:ascii="宋体" w:eastAsia="宋体" w:hAnsi="宋体" w:cs="Malgun Gothic Semilight" w:hint="eastAsia"/>
          <w:sz w:val="24"/>
          <w:szCs w:val="24"/>
        </w:rPr>
        <w:t>，</w:t>
      </w:r>
      <w:r>
        <w:rPr>
          <w:rFonts w:ascii="宋体" w:eastAsia="宋体" w:hAnsi="宋体" w:cs="微软雅黑" w:hint="eastAsia"/>
          <w:sz w:val="24"/>
          <w:szCs w:val="24"/>
        </w:rPr>
        <w:t>自动在次月月初</w:t>
      </w:r>
      <w:r>
        <w:rPr>
          <w:rFonts w:ascii="宋体" w:eastAsia="宋体" w:hAnsi="宋体" w:cs="Arial" w:hint="eastAsia"/>
          <w:sz w:val="24"/>
          <w:szCs w:val="24"/>
        </w:rPr>
        <w:t>5</w:t>
      </w:r>
      <w:r>
        <w:rPr>
          <w:rFonts w:ascii="宋体" w:eastAsia="宋体" w:hAnsi="宋体" w:cs="微软雅黑" w:hint="eastAsia"/>
          <w:sz w:val="24"/>
          <w:szCs w:val="24"/>
        </w:rPr>
        <w:t>个工作日内</w:t>
      </w:r>
      <w:r>
        <w:rPr>
          <w:rFonts w:ascii="宋体" w:eastAsia="宋体" w:hAnsi="宋体" w:cs="Malgun Gothic Semilight" w:hint="eastAsia"/>
          <w:sz w:val="24"/>
          <w:szCs w:val="24"/>
        </w:rPr>
        <w:t>、</w:t>
      </w:r>
      <w:r>
        <w:rPr>
          <w:rFonts w:ascii="宋体" w:eastAsia="宋体" w:hAnsi="宋体" w:cs="微软雅黑" w:hint="eastAsia"/>
          <w:sz w:val="24"/>
          <w:szCs w:val="24"/>
        </w:rPr>
        <w:t>按照指定的账户路径进行资金支付</w:t>
      </w:r>
      <w:r>
        <w:rPr>
          <w:rFonts w:ascii="宋体" w:eastAsia="宋体" w:hAnsi="宋体" w:cs="Malgun Gothic Semilight" w:hint="eastAsia"/>
          <w:sz w:val="24"/>
          <w:szCs w:val="24"/>
        </w:rPr>
        <w:t>，</w:t>
      </w:r>
      <w:r>
        <w:rPr>
          <w:rFonts w:ascii="宋体" w:eastAsia="宋体" w:hAnsi="宋体" w:cs="微软雅黑" w:hint="eastAsia"/>
          <w:sz w:val="24"/>
          <w:szCs w:val="24"/>
        </w:rPr>
        <w:t>基金管理人无需再出具资金划拨指令</w:t>
      </w:r>
      <w:r>
        <w:rPr>
          <w:rFonts w:ascii="宋体" w:eastAsia="宋体" w:hAnsi="宋体" w:cs="Malgun Gothic Semilight" w:hint="eastAsia"/>
          <w:sz w:val="24"/>
          <w:szCs w:val="24"/>
        </w:rPr>
        <w:t>。</w:t>
      </w:r>
      <w:r>
        <w:rPr>
          <w:rFonts w:ascii="宋体" w:eastAsia="宋体" w:hAnsi="宋体" w:cs="微软雅黑" w:hint="eastAsia"/>
          <w:sz w:val="24"/>
          <w:szCs w:val="24"/>
        </w:rPr>
        <w:t>若遇法定节假日</w:t>
      </w:r>
      <w:r>
        <w:rPr>
          <w:rFonts w:ascii="宋体" w:eastAsia="宋体" w:hAnsi="宋体" w:cs="Malgun Gothic Semilight" w:hint="eastAsia"/>
          <w:sz w:val="24"/>
          <w:szCs w:val="24"/>
        </w:rPr>
        <w:t>、</w:t>
      </w:r>
      <w:r>
        <w:rPr>
          <w:rFonts w:ascii="宋体" w:eastAsia="宋体" w:hAnsi="宋体" w:cs="微软雅黑" w:hint="eastAsia"/>
          <w:sz w:val="24"/>
          <w:szCs w:val="24"/>
        </w:rPr>
        <w:t>休息日等</w:t>
      </w:r>
      <w:r>
        <w:rPr>
          <w:rFonts w:ascii="宋体" w:eastAsia="宋体" w:hAnsi="宋体" w:cs="Malgun Gothic Semilight" w:hint="eastAsia"/>
          <w:sz w:val="24"/>
          <w:szCs w:val="24"/>
        </w:rPr>
        <w:t>，</w:t>
      </w:r>
      <w:r>
        <w:rPr>
          <w:rFonts w:ascii="宋体" w:eastAsia="宋体" w:hAnsi="宋体" w:cs="微软雅黑" w:hint="eastAsia"/>
          <w:sz w:val="24"/>
          <w:szCs w:val="24"/>
        </w:rPr>
        <w:t>支付日期顺延</w:t>
      </w:r>
      <w:r>
        <w:rPr>
          <w:rFonts w:ascii="宋体" w:eastAsia="宋体" w:hAnsi="宋体" w:cs="Malgun Gothic Semilight" w:hint="eastAsia"/>
          <w:sz w:val="24"/>
          <w:szCs w:val="24"/>
        </w:rPr>
        <w:t>。</w:t>
      </w:r>
      <w:r>
        <w:rPr>
          <w:rFonts w:ascii="宋体" w:eastAsia="宋体" w:hAnsi="宋体" w:cs="微软雅黑" w:hint="eastAsia"/>
          <w:sz w:val="24"/>
          <w:szCs w:val="24"/>
        </w:rPr>
        <w:t>费用自动扣划后</w:t>
      </w:r>
      <w:r>
        <w:rPr>
          <w:rFonts w:ascii="宋体" w:eastAsia="宋体" w:hAnsi="宋体" w:cs="Malgun Gothic Semilight" w:hint="eastAsia"/>
          <w:sz w:val="24"/>
          <w:szCs w:val="24"/>
        </w:rPr>
        <w:t>，</w:t>
      </w:r>
      <w:r>
        <w:rPr>
          <w:rFonts w:ascii="宋体" w:eastAsia="宋体" w:hAnsi="宋体" w:cs="微软雅黑" w:hint="eastAsia"/>
          <w:sz w:val="24"/>
          <w:szCs w:val="24"/>
        </w:rPr>
        <w:t>基金管理人应进行核对</w:t>
      </w:r>
      <w:r>
        <w:rPr>
          <w:rFonts w:ascii="宋体" w:eastAsia="宋体" w:hAnsi="宋体" w:cs="Malgun Gothic Semilight" w:hint="eastAsia"/>
          <w:sz w:val="24"/>
          <w:szCs w:val="24"/>
        </w:rPr>
        <w:t>，</w:t>
      </w:r>
      <w:r>
        <w:rPr>
          <w:rFonts w:ascii="宋体" w:eastAsia="宋体" w:hAnsi="宋体" w:cs="微软雅黑" w:hint="eastAsia"/>
          <w:sz w:val="24"/>
          <w:szCs w:val="24"/>
        </w:rPr>
        <w:t>如发现数据不符</w:t>
      </w:r>
      <w:r>
        <w:rPr>
          <w:rFonts w:ascii="宋体" w:eastAsia="宋体" w:hAnsi="宋体" w:cs="Malgun Gothic Semilight" w:hint="eastAsia"/>
          <w:sz w:val="24"/>
          <w:szCs w:val="24"/>
        </w:rPr>
        <w:t>，</w:t>
      </w:r>
      <w:r>
        <w:rPr>
          <w:rFonts w:ascii="宋体" w:eastAsia="宋体" w:hAnsi="宋体" w:cs="微软雅黑" w:hint="eastAsia"/>
          <w:sz w:val="24"/>
          <w:szCs w:val="24"/>
        </w:rPr>
        <w:t>及时联系基金托管人协商解决</w:t>
      </w:r>
      <w:r>
        <w:rPr>
          <w:rFonts w:ascii="宋体" w:eastAsia="宋体" w:hAnsi="宋体" w:cs="Malgun Gothic Semilight" w:hint="eastAsia"/>
          <w:sz w:val="24"/>
          <w:szCs w:val="24"/>
        </w:rPr>
        <w:t>。</w:t>
      </w:r>
    </w:p>
    <w:p w14:paraId="7810D756"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（2）基金销售服务费每日计提。</w:t>
      </w:r>
    </w:p>
    <w:p w14:paraId="3921FC33"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1）基金管理人处保有的C类基金份额</w:t>
      </w:r>
    </w:p>
    <w:p w14:paraId="67D4F10A"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投资者在基金管理人处保有的C类基金份额，将先行收取相应的销售服务费，但并不实际支付给相关机构。当投资者赎回或基金合同终止的情形发生时，该部分费用随赎回款或清算款一并返还给投资者。</w:t>
      </w:r>
    </w:p>
    <w:p w14:paraId="6F2FF588"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基金销售子公司销售母公司所管理基金的，按照前述要求执行。</w:t>
      </w:r>
    </w:p>
    <w:p w14:paraId="1DEB47A3"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2）其他销售机构处保有的C类基金份额</w:t>
      </w:r>
    </w:p>
    <w:p w14:paraId="6627FAF9"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对于投资者持续持有期限未超过一年（即365天）的C类基金份额收取的销售服务费，逐日累计至每个月月末，按月支付。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26D41C98"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对于投资者持续持有期限超过一年（即365天）的C类基金份额，超过一年后将继续先行收取销售服务费，该部分销售服务费不实际支付给相关机构，当投资者赎回或基金合同终止的情形发生时，该部分费用随赎回款或清算款一并返还给投资者。</w:t>
      </w:r>
    </w:p>
    <w:p w14:paraId="3259A98B"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Malgun Gothic Semilight" w:hint="eastAsia"/>
          <w:sz w:val="24"/>
          <w:szCs w:val="24"/>
        </w:rPr>
        <w:t>销售服务费计提后按规定收取或返还投资者的金额以登记机构的计算结果为准，基金托管人无需复核。</w:t>
      </w:r>
    </w:p>
    <w:p w14:paraId="34CA076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（3）在首期支付基金管理费、销售服务费前</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基金管理人应向基金托管人出具正式函件指定基金管理费、销售服务费的收款账户</w:t>
      </w:r>
      <w:r>
        <w:rPr>
          <w:rFonts w:ascii="宋体" w:eastAsia="宋体" w:hAnsi="宋体" w:cs="Malgun Gothic Semilight" w:hint="eastAsia"/>
          <w:sz w:val="24"/>
          <w:szCs w:val="24"/>
        </w:rPr>
        <w:t>。</w:t>
      </w:r>
      <w:r>
        <w:rPr>
          <w:rFonts w:ascii="宋体" w:eastAsia="宋体" w:hAnsi="宋体" w:cs="微软雅黑" w:hint="eastAsia"/>
          <w:sz w:val="24"/>
          <w:szCs w:val="24"/>
        </w:rPr>
        <w:t>基金管理人如需要变更此账户</w:t>
      </w:r>
      <w:r>
        <w:rPr>
          <w:rFonts w:ascii="宋体" w:eastAsia="宋体" w:hAnsi="宋体" w:cs="Malgun Gothic Semilight" w:hint="eastAsia"/>
          <w:sz w:val="24"/>
          <w:szCs w:val="24"/>
        </w:rPr>
        <w:t>，</w:t>
      </w:r>
      <w:r>
        <w:rPr>
          <w:rFonts w:ascii="宋体" w:eastAsia="宋体" w:hAnsi="宋体" w:cs="微软雅黑" w:hint="eastAsia"/>
          <w:sz w:val="24"/>
          <w:szCs w:val="24"/>
        </w:rPr>
        <w:t>应提前</w:t>
      </w:r>
      <w:r>
        <w:rPr>
          <w:rFonts w:ascii="宋体" w:eastAsia="宋体" w:hAnsi="宋体" w:cs="Arial" w:hint="eastAsia"/>
          <w:sz w:val="24"/>
          <w:szCs w:val="24"/>
        </w:rPr>
        <w:t>5</w:t>
      </w:r>
      <w:r>
        <w:rPr>
          <w:rFonts w:ascii="宋体" w:eastAsia="宋体" w:hAnsi="宋体" w:cs="微软雅黑" w:hint="eastAsia"/>
          <w:sz w:val="24"/>
          <w:szCs w:val="24"/>
        </w:rPr>
        <w:t>个工作日向基金托管人出具书面的收款账户变更通知</w:t>
      </w:r>
      <w:r>
        <w:rPr>
          <w:rFonts w:ascii="宋体" w:eastAsia="宋体" w:hAnsi="宋体" w:cs="Malgun Gothic Semilight" w:hint="eastAsia"/>
          <w:sz w:val="24"/>
          <w:szCs w:val="24"/>
        </w:rPr>
        <w:t>。</w:t>
      </w:r>
    </w:p>
    <w:p w14:paraId="458B907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九</w:t>
      </w:r>
      <w:r>
        <w:rPr>
          <w:rFonts w:ascii="宋体" w:eastAsia="宋体" w:hAnsi="宋体" w:cs="Malgun Gothic Semilight" w:hint="eastAsia"/>
          <w:sz w:val="24"/>
          <w:szCs w:val="24"/>
        </w:rPr>
        <w:t>）</w:t>
      </w:r>
      <w:r>
        <w:rPr>
          <w:rFonts w:ascii="宋体" w:eastAsia="宋体" w:hAnsi="宋体" w:cs="微软雅黑" w:hint="eastAsia"/>
          <w:sz w:val="24"/>
          <w:szCs w:val="24"/>
        </w:rPr>
        <w:t>违规处理方式</w:t>
      </w:r>
    </w:p>
    <w:p w14:paraId="163274C9" w14:textId="77777777" w:rsidR="00C521E2" w:rsidRDefault="005D6E6D">
      <w:pPr>
        <w:adjustRightInd w:val="0"/>
        <w:snapToGrid w:val="0"/>
        <w:spacing w:line="360" w:lineRule="auto"/>
        <w:ind w:firstLineChars="200" w:firstLine="480"/>
        <w:rPr>
          <w:rFonts w:ascii="宋体" w:eastAsia="宋体" w:hAnsi="宋体" w:cs="Malgun Gothic Semilight"/>
          <w:sz w:val="24"/>
          <w:szCs w:val="24"/>
        </w:rPr>
      </w:pPr>
      <w:r>
        <w:rPr>
          <w:rFonts w:ascii="宋体" w:eastAsia="宋体" w:hAnsi="宋体" w:cs="微软雅黑" w:hint="eastAsia"/>
          <w:sz w:val="24"/>
          <w:szCs w:val="24"/>
        </w:rPr>
        <w:t>基金托管人发现基金管理人违反</w:t>
      </w:r>
      <w:r>
        <w:rPr>
          <w:rFonts w:ascii="宋体" w:eastAsia="宋体" w:hAnsi="宋体" w:cs="Malgun Gothic Semilight" w:hint="eastAsia"/>
          <w:sz w:val="24"/>
          <w:szCs w:val="24"/>
        </w:rPr>
        <w:t>《</w:t>
      </w:r>
      <w:r>
        <w:rPr>
          <w:rFonts w:ascii="宋体" w:eastAsia="宋体" w:hAnsi="宋体" w:cs="微软雅黑" w:hint="eastAsia"/>
          <w:sz w:val="24"/>
          <w:szCs w:val="24"/>
        </w:rPr>
        <w:t>基金法</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运作办法</w:t>
      </w:r>
      <w:r>
        <w:rPr>
          <w:rFonts w:ascii="宋体" w:eastAsia="宋体" w:hAnsi="宋体" w:cs="Malgun Gothic Semilight" w:hint="eastAsia"/>
          <w:sz w:val="24"/>
          <w:szCs w:val="24"/>
        </w:rPr>
        <w:t>》</w:t>
      </w:r>
      <w:r>
        <w:rPr>
          <w:rFonts w:ascii="宋体" w:eastAsia="宋体" w:hAnsi="宋体" w:cs="微软雅黑" w:hint="eastAsia"/>
          <w:sz w:val="24"/>
          <w:szCs w:val="24"/>
        </w:rPr>
        <w:t>及其他有关规定从基金财产中列支费用时</w:t>
      </w:r>
      <w:r>
        <w:rPr>
          <w:rFonts w:ascii="宋体" w:eastAsia="宋体" w:hAnsi="宋体" w:cs="Malgun Gothic Semilight" w:hint="eastAsia"/>
          <w:sz w:val="24"/>
          <w:szCs w:val="24"/>
        </w:rPr>
        <w:t>，</w:t>
      </w:r>
      <w:r>
        <w:rPr>
          <w:rFonts w:ascii="宋体" w:eastAsia="宋体" w:hAnsi="宋体" w:cs="微软雅黑" w:hint="eastAsia"/>
          <w:sz w:val="24"/>
          <w:szCs w:val="24"/>
        </w:rPr>
        <w:t>基金托管人可要求基金管理人予以说明解释</w:t>
      </w:r>
      <w:r>
        <w:rPr>
          <w:rFonts w:ascii="宋体" w:eastAsia="宋体" w:hAnsi="宋体" w:cs="Malgun Gothic Semilight" w:hint="eastAsia"/>
          <w:sz w:val="24"/>
          <w:szCs w:val="24"/>
        </w:rPr>
        <w:t>，</w:t>
      </w:r>
      <w:r>
        <w:rPr>
          <w:rFonts w:ascii="宋体" w:eastAsia="宋体" w:hAnsi="宋体" w:cs="微软雅黑" w:hint="eastAsia"/>
          <w:sz w:val="24"/>
          <w:szCs w:val="24"/>
        </w:rPr>
        <w:t>如基金管理人无正当理由</w:t>
      </w:r>
      <w:r>
        <w:rPr>
          <w:rFonts w:ascii="宋体" w:eastAsia="宋体" w:hAnsi="宋体" w:cs="Malgun Gothic Semilight" w:hint="eastAsia"/>
          <w:sz w:val="24"/>
          <w:szCs w:val="24"/>
        </w:rPr>
        <w:t>，</w:t>
      </w:r>
      <w:r>
        <w:rPr>
          <w:rFonts w:ascii="宋体" w:eastAsia="宋体" w:hAnsi="宋体" w:cs="微软雅黑" w:hint="eastAsia"/>
          <w:sz w:val="24"/>
          <w:szCs w:val="24"/>
        </w:rPr>
        <w:t>基金托管人可拒绝支付</w:t>
      </w:r>
      <w:r>
        <w:rPr>
          <w:rFonts w:ascii="宋体" w:eastAsia="宋体" w:hAnsi="宋体" w:cs="Malgun Gothic Semilight" w:hint="eastAsia"/>
          <w:sz w:val="24"/>
          <w:szCs w:val="24"/>
        </w:rPr>
        <w:t>。</w:t>
      </w:r>
    </w:p>
    <w:p w14:paraId="28B6FC0B" w14:textId="77777777" w:rsidR="00C521E2" w:rsidRDefault="00C521E2">
      <w:pPr>
        <w:adjustRightInd w:val="0"/>
        <w:snapToGrid w:val="0"/>
        <w:spacing w:line="360" w:lineRule="auto"/>
        <w:ind w:firstLineChars="200" w:firstLine="480"/>
        <w:rPr>
          <w:rFonts w:ascii="宋体" w:eastAsia="宋体" w:hAnsi="宋体" w:cs="Arial"/>
          <w:sz w:val="24"/>
          <w:szCs w:val="24"/>
        </w:rPr>
      </w:pPr>
    </w:p>
    <w:p w14:paraId="0EEFEE3E"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1" w:name="_Toc204539403"/>
      <w:r>
        <w:rPr>
          <w:rFonts w:ascii="宋体" w:eastAsia="宋体" w:hAnsi="宋体" w:cs="微软雅黑" w:hint="eastAsia"/>
          <w:b/>
          <w:sz w:val="30"/>
          <w:szCs w:val="20"/>
        </w:rPr>
        <w:lastRenderedPageBreak/>
        <w:t>十二</w:t>
      </w:r>
      <w:r>
        <w:rPr>
          <w:rFonts w:ascii="宋体" w:eastAsia="宋体" w:hAnsi="宋体" w:cs="Malgun Gothic Semilight" w:hint="eastAsia"/>
          <w:b/>
          <w:sz w:val="30"/>
          <w:szCs w:val="20"/>
        </w:rPr>
        <w:t>、</w:t>
      </w:r>
      <w:r>
        <w:rPr>
          <w:rFonts w:ascii="宋体" w:eastAsia="宋体" w:hAnsi="宋体" w:cs="微软雅黑" w:hint="eastAsia"/>
          <w:b/>
          <w:sz w:val="30"/>
          <w:szCs w:val="20"/>
        </w:rPr>
        <w:t>基金份额持有人名册的保管</w:t>
      </w:r>
      <w:bookmarkEnd w:id="91"/>
    </w:p>
    <w:p w14:paraId="2593758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基金份额持有人名册至少应包括基金份额持有人的名称和持有的基金份额</w:t>
      </w:r>
      <w:r>
        <w:rPr>
          <w:rFonts w:ascii="宋体" w:eastAsia="宋体" w:hAnsi="宋体" w:cs="Malgun Gothic Semilight" w:hint="eastAsia"/>
          <w:sz w:val="24"/>
          <w:szCs w:val="24"/>
        </w:rPr>
        <w:t>。</w:t>
      </w:r>
      <w:r>
        <w:rPr>
          <w:rFonts w:ascii="宋体" w:eastAsia="宋体" w:hAnsi="宋体" w:cs="微软雅黑" w:hint="eastAsia"/>
          <w:sz w:val="24"/>
          <w:szCs w:val="24"/>
        </w:rPr>
        <w:t>基金份额持有人名册由基金注册登记机构根据基金管理人的指令编制和保管</w:t>
      </w:r>
      <w:r>
        <w:rPr>
          <w:rFonts w:ascii="宋体" w:eastAsia="宋体" w:hAnsi="宋体" w:cs="Malgun Gothic Semilight" w:hint="eastAsia"/>
          <w:sz w:val="24"/>
          <w:szCs w:val="24"/>
        </w:rPr>
        <w:t>，</w:t>
      </w:r>
      <w:r>
        <w:rPr>
          <w:rFonts w:ascii="宋体" w:eastAsia="宋体" w:hAnsi="宋体" w:cs="微软雅黑" w:hint="eastAsia"/>
          <w:sz w:val="24"/>
          <w:szCs w:val="24"/>
        </w:rPr>
        <w:t>基金管理人和基金托管人应分别保管基金份额持有人名册</w:t>
      </w:r>
      <w:r>
        <w:rPr>
          <w:rFonts w:ascii="宋体" w:eastAsia="宋体" w:hAnsi="宋体" w:cs="Malgun Gothic Semilight" w:hint="eastAsia"/>
          <w:sz w:val="24"/>
          <w:szCs w:val="24"/>
        </w:rPr>
        <w:t>，</w:t>
      </w:r>
      <w:r>
        <w:rPr>
          <w:rFonts w:ascii="宋体" w:eastAsia="宋体" w:hAnsi="宋体" w:cs="微软雅黑" w:hint="eastAsia"/>
          <w:sz w:val="24"/>
          <w:szCs w:val="24"/>
        </w:rPr>
        <w:t>保存期限按照法律法规的规定执行</w:t>
      </w:r>
      <w:r>
        <w:rPr>
          <w:rFonts w:ascii="宋体" w:eastAsia="宋体" w:hAnsi="宋体" w:cs="Arial" w:hint="eastAsia"/>
          <w:sz w:val="24"/>
          <w:szCs w:val="24"/>
        </w:rPr>
        <w:t>。</w:t>
      </w:r>
      <w:r>
        <w:rPr>
          <w:rFonts w:ascii="宋体" w:eastAsia="宋体" w:hAnsi="宋体" w:cs="微软雅黑" w:hint="eastAsia"/>
          <w:sz w:val="24"/>
          <w:szCs w:val="24"/>
        </w:rPr>
        <w:t>如不能妥善保管</w:t>
      </w:r>
      <w:r>
        <w:rPr>
          <w:rFonts w:ascii="宋体" w:eastAsia="宋体" w:hAnsi="宋体" w:cs="Malgun Gothic Semilight" w:hint="eastAsia"/>
          <w:sz w:val="24"/>
          <w:szCs w:val="24"/>
        </w:rPr>
        <w:t>，</w:t>
      </w:r>
      <w:r>
        <w:rPr>
          <w:rFonts w:ascii="宋体" w:eastAsia="宋体" w:hAnsi="宋体" w:cs="微软雅黑" w:hint="eastAsia"/>
          <w:sz w:val="24"/>
          <w:szCs w:val="24"/>
        </w:rPr>
        <w:t>则按相关法规承担责任</w:t>
      </w:r>
      <w:r>
        <w:rPr>
          <w:rFonts w:ascii="宋体" w:eastAsia="宋体" w:hAnsi="宋体" w:cs="Malgun Gothic Semilight" w:hint="eastAsia"/>
          <w:sz w:val="24"/>
          <w:szCs w:val="24"/>
        </w:rPr>
        <w:t>。</w:t>
      </w:r>
    </w:p>
    <w:p w14:paraId="250F731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在基金托管人要求或编制中期报告和年度报告前</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基金管理人应将有关资料送交基金托管人</w:t>
      </w:r>
      <w:r>
        <w:rPr>
          <w:rFonts w:ascii="宋体" w:eastAsia="宋体" w:hAnsi="宋体" w:cs="Malgun Gothic Semilight" w:hint="eastAsia"/>
          <w:sz w:val="24"/>
          <w:szCs w:val="24"/>
        </w:rPr>
        <w:t>，</w:t>
      </w:r>
      <w:r>
        <w:rPr>
          <w:rFonts w:ascii="宋体" w:eastAsia="宋体" w:hAnsi="宋体" w:cs="微软雅黑" w:hint="eastAsia"/>
          <w:sz w:val="24"/>
          <w:szCs w:val="24"/>
        </w:rPr>
        <w:t>不得无故拒绝或延误提供</w:t>
      </w:r>
      <w:r>
        <w:rPr>
          <w:rFonts w:ascii="宋体" w:eastAsia="宋体" w:hAnsi="宋体" w:cs="Malgun Gothic Semilight" w:hint="eastAsia"/>
          <w:sz w:val="24"/>
          <w:szCs w:val="24"/>
        </w:rPr>
        <w:t>，</w:t>
      </w:r>
      <w:r>
        <w:rPr>
          <w:rFonts w:ascii="宋体" w:eastAsia="宋体" w:hAnsi="宋体" w:cs="微软雅黑" w:hint="eastAsia"/>
          <w:sz w:val="24"/>
          <w:szCs w:val="24"/>
        </w:rPr>
        <w:t>并保证其真实性</w:t>
      </w:r>
      <w:r>
        <w:rPr>
          <w:rFonts w:ascii="宋体" w:eastAsia="宋体" w:hAnsi="宋体" w:cs="Malgun Gothic Semilight" w:hint="eastAsia"/>
          <w:sz w:val="24"/>
          <w:szCs w:val="24"/>
        </w:rPr>
        <w:t>、</w:t>
      </w:r>
      <w:r>
        <w:rPr>
          <w:rFonts w:ascii="宋体" w:eastAsia="宋体" w:hAnsi="宋体" w:cs="微软雅黑" w:hint="eastAsia"/>
          <w:sz w:val="24"/>
          <w:szCs w:val="24"/>
        </w:rPr>
        <w:t>准确性和完整性</w:t>
      </w:r>
      <w:r>
        <w:rPr>
          <w:rFonts w:ascii="宋体" w:eastAsia="宋体" w:hAnsi="宋体" w:cs="Malgun Gothic Semilight" w:hint="eastAsia"/>
          <w:sz w:val="24"/>
          <w:szCs w:val="24"/>
        </w:rPr>
        <w:t>。</w:t>
      </w:r>
      <w:r>
        <w:rPr>
          <w:rFonts w:ascii="宋体" w:eastAsia="宋体" w:hAnsi="宋体" w:cs="微软雅黑" w:hint="eastAsia"/>
          <w:sz w:val="24"/>
          <w:szCs w:val="24"/>
        </w:rPr>
        <w:t>基金托管人不得将所保管的基金份额持有人名册用于基金托管业务以外的其他用途</w:t>
      </w:r>
      <w:r>
        <w:rPr>
          <w:rFonts w:ascii="宋体" w:eastAsia="宋体" w:hAnsi="宋体" w:cs="Malgun Gothic Semilight" w:hint="eastAsia"/>
          <w:sz w:val="24"/>
          <w:szCs w:val="24"/>
        </w:rPr>
        <w:t>，</w:t>
      </w:r>
      <w:r>
        <w:rPr>
          <w:rFonts w:ascii="宋体" w:eastAsia="宋体" w:hAnsi="宋体" w:cs="微软雅黑" w:hint="eastAsia"/>
          <w:sz w:val="24"/>
          <w:szCs w:val="24"/>
        </w:rPr>
        <w:t>并应遵守保密义务，法律法规另有规定或有关机关另有要求的除外</w:t>
      </w:r>
      <w:r>
        <w:rPr>
          <w:rFonts w:ascii="宋体" w:eastAsia="宋体" w:hAnsi="宋体" w:cs="Malgun Gothic Semilight" w:hint="eastAsia"/>
          <w:sz w:val="24"/>
          <w:szCs w:val="24"/>
        </w:rPr>
        <w:t>。</w:t>
      </w:r>
    </w:p>
    <w:p w14:paraId="5CBEE6B0" w14:textId="77777777" w:rsidR="00C521E2" w:rsidRDefault="00C521E2">
      <w:pPr>
        <w:adjustRightInd w:val="0"/>
        <w:snapToGrid w:val="0"/>
        <w:spacing w:line="360" w:lineRule="auto"/>
        <w:rPr>
          <w:rFonts w:ascii="宋体" w:eastAsia="宋体" w:hAnsi="宋体" w:cs="Arial"/>
          <w:sz w:val="24"/>
          <w:szCs w:val="24"/>
        </w:rPr>
      </w:pPr>
    </w:p>
    <w:p w14:paraId="22A4C3A8"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2" w:name="_Toc204539404"/>
      <w:r>
        <w:rPr>
          <w:rFonts w:ascii="宋体" w:eastAsia="宋体" w:hAnsi="宋体" w:cs="微软雅黑" w:hint="eastAsia"/>
          <w:b/>
          <w:sz w:val="30"/>
          <w:szCs w:val="20"/>
        </w:rPr>
        <w:t>十三</w:t>
      </w:r>
      <w:r>
        <w:rPr>
          <w:rFonts w:ascii="宋体" w:eastAsia="宋体" w:hAnsi="宋体" w:cs="Malgun Gothic Semilight" w:hint="eastAsia"/>
          <w:b/>
          <w:sz w:val="30"/>
          <w:szCs w:val="20"/>
        </w:rPr>
        <w:t>、</w:t>
      </w:r>
      <w:r>
        <w:rPr>
          <w:rFonts w:ascii="宋体" w:eastAsia="宋体" w:hAnsi="宋体" w:cs="微软雅黑" w:hint="eastAsia"/>
          <w:b/>
          <w:sz w:val="30"/>
          <w:szCs w:val="20"/>
        </w:rPr>
        <w:t>基金有关文件档案的保存</w:t>
      </w:r>
      <w:bookmarkEnd w:id="92"/>
    </w:p>
    <w:p w14:paraId="25F2D61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（一）档案保存</w:t>
      </w:r>
    </w:p>
    <w:p w14:paraId="700B932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基金管理人应保存基金财产管理业务活动的记录</w:t>
      </w:r>
      <w:r>
        <w:rPr>
          <w:rFonts w:ascii="宋体" w:eastAsia="宋体" w:hAnsi="宋体" w:cs="Malgun Gothic Semilight" w:hint="eastAsia"/>
          <w:sz w:val="24"/>
          <w:szCs w:val="24"/>
        </w:rPr>
        <w:t>、</w:t>
      </w:r>
      <w:r>
        <w:rPr>
          <w:rFonts w:ascii="宋体" w:eastAsia="宋体" w:hAnsi="宋体" w:cs="微软雅黑" w:hint="eastAsia"/>
          <w:sz w:val="24"/>
          <w:szCs w:val="24"/>
        </w:rPr>
        <w:t>账册</w:t>
      </w:r>
      <w:r>
        <w:rPr>
          <w:rFonts w:ascii="宋体" w:eastAsia="宋体" w:hAnsi="宋体" w:cs="Malgun Gothic Semilight" w:hint="eastAsia"/>
          <w:sz w:val="24"/>
          <w:szCs w:val="24"/>
        </w:rPr>
        <w:t>、</w:t>
      </w:r>
      <w:r>
        <w:rPr>
          <w:rFonts w:ascii="宋体" w:eastAsia="宋体" w:hAnsi="宋体" w:cs="微软雅黑" w:hint="eastAsia"/>
          <w:sz w:val="24"/>
          <w:szCs w:val="24"/>
        </w:rPr>
        <w:t>报表和其他相关资料</w:t>
      </w:r>
      <w:r>
        <w:rPr>
          <w:rFonts w:ascii="宋体" w:eastAsia="宋体" w:hAnsi="宋体" w:cs="Malgun Gothic Semilight" w:hint="eastAsia"/>
          <w:sz w:val="24"/>
          <w:szCs w:val="24"/>
        </w:rPr>
        <w:t>。</w:t>
      </w:r>
      <w:r>
        <w:rPr>
          <w:rFonts w:ascii="宋体" w:eastAsia="宋体" w:hAnsi="宋体" w:cs="微软雅黑" w:hint="eastAsia"/>
          <w:sz w:val="24"/>
          <w:szCs w:val="24"/>
        </w:rPr>
        <w:t>基金托管人应保存基金托管业务活动的记录</w:t>
      </w:r>
      <w:r>
        <w:rPr>
          <w:rFonts w:ascii="宋体" w:eastAsia="宋体" w:hAnsi="宋体" w:cs="Malgun Gothic Semilight" w:hint="eastAsia"/>
          <w:sz w:val="24"/>
          <w:szCs w:val="24"/>
        </w:rPr>
        <w:t>、</w:t>
      </w:r>
      <w:r>
        <w:rPr>
          <w:rFonts w:ascii="宋体" w:eastAsia="宋体" w:hAnsi="宋体" w:cs="微软雅黑" w:hint="eastAsia"/>
          <w:sz w:val="24"/>
          <w:szCs w:val="24"/>
        </w:rPr>
        <w:t>账册</w:t>
      </w:r>
      <w:r>
        <w:rPr>
          <w:rFonts w:ascii="宋体" w:eastAsia="宋体" w:hAnsi="宋体" w:cs="Malgun Gothic Semilight" w:hint="eastAsia"/>
          <w:sz w:val="24"/>
          <w:szCs w:val="24"/>
        </w:rPr>
        <w:t>、</w:t>
      </w:r>
      <w:r>
        <w:rPr>
          <w:rFonts w:ascii="宋体" w:eastAsia="宋体" w:hAnsi="宋体" w:cs="微软雅黑" w:hint="eastAsia"/>
          <w:sz w:val="24"/>
          <w:szCs w:val="24"/>
        </w:rPr>
        <w:t>报表和其他相关资料</w:t>
      </w:r>
      <w:r>
        <w:rPr>
          <w:rFonts w:ascii="宋体" w:eastAsia="宋体" w:hAnsi="宋体" w:cs="Malgun Gothic Semilight" w:hint="eastAsia"/>
          <w:sz w:val="24"/>
          <w:szCs w:val="24"/>
        </w:rPr>
        <w:t>。</w:t>
      </w:r>
      <w:r>
        <w:rPr>
          <w:rFonts w:ascii="宋体" w:eastAsia="宋体" w:hAnsi="宋体" w:cs="微软雅黑" w:hint="eastAsia"/>
          <w:sz w:val="24"/>
          <w:szCs w:val="24"/>
        </w:rPr>
        <w:t>基金管理人和基金托管人都应当按法律法规规定的期限保管</w:t>
      </w:r>
      <w:r>
        <w:rPr>
          <w:rFonts w:ascii="宋体" w:eastAsia="宋体" w:hAnsi="宋体" w:cs="Malgun Gothic Semilight" w:hint="eastAsia"/>
          <w:sz w:val="24"/>
          <w:szCs w:val="24"/>
        </w:rPr>
        <w:t>。</w:t>
      </w:r>
      <w:r>
        <w:rPr>
          <w:rFonts w:ascii="宋体" w:eastAsia="宋体" w:hAnsi="宋体" w:cs="Arial" w:hint="eastAsia"/>
          <w:sz w:val="24"/>
          <w:szCs w:val="24"/>
        </w:rPr>
        <w:t>。</w:t>
      </w:r>
    </w:p>
    <w:p w14:paraId="07185F5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（二）合同档案的建立</w:t>
      </w:r>
    </w:p>
    <w:p w14:paraId="4D0E33F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基金管理人签署重大合同文本后</w:t>
      </w:r>
      <w:r>
        <w:rPr>
          <w:rFonts w:ascii="宋体" w:eastAsia="宋体" w:hAnsi="宋体" w:cs="Malgun Gothic Semilight" w:hint="eastAsia"/>
          <w:sz w:val="24"/>
          <w:szCs w:val="24"/>
        </w:rPr>
        <w:t>，</w:t>
      </w:r>
      <w:r>
        <w:rPr>
          <w:rFonts w:ascii="宋体" w:eastAsia="宋体" w:hAnsi="宋体" w:cs="微软雅黑" w:hint="eastAsia"/>
          <w:sz w:val="24"/>
          <w:szCs w:val="24"/>
        </w:rPr>
        <w:t>应及时将合同文本正本送达基金托管人处，本协议另有约定的除外</w:t>
      </w:r>
      <w:r>
        <w:rPr>
          <w:rFonts w:ascii="宋体" w:eastAsia="宋体" w:hAnsi="宋体" w:cs="Malgun Gothic Semilight" w:hint="eastAsia"/>
          <w:sz w:val="24"/>
          <w:szCs w:val="24"/>
        </w:rPr>
        <w:t>。</w:t>
      </w:r>
    </w:p>
    <w:p w14:paraId="34EB8C4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基金管理人应及时将与本基金账务处理</w:t>
      </w:r>
      <w:r>
        <w:rPr>
          <w:rFonts w:ascii="宋体" w:eastAsia="宋体" w:hAnsi="宋体" w:cs="Malgun Gothic Semilight" w:hint="eastAsia"/>
          <w:sz w:val="24"/>
          <w:szCs w:val="24"/>
        </w:rPr>
        <w:t>、</w:t>
      </w:r>
      <w:r>
        <w:rPr>
          <w:rFonts w:ascii="宋体" w:eastAsia="宋体" w:hAnsi="宋体" w:cs="微软雅黑" w:hint="eastAsia"/>
          <w:sz w:val="24"/>
          <w:szCs w:val="24"/>
        </w:rPr>
        <w:t>资金划拨等有关的合同</w:t>
      </w:r>
      <w:r>
        <w:rPr>
          <w:rFonts w:ascii="宋体" w:eastAsia="宋体" w:hAnsi="宋体" w:cs="Malgun Gothic Semilight" w:hint="eastAsia"/>
          <w:sz w:val="24"/>
          <w:szCs w:val="24"/>
        </w:rPr>
        <w:t>、</w:t>
      </w:r>
      <w:r>
        <w:rPr>
          <w:rFonts w:ascii="宋体" w:eastAsia="宋体" w:hAnsi="宋体" w:cs="微软雅黑" w:hint="eastAsia"/>
          <w:sz w:val="24"/>
          <w:szCs w:val="24"/>
        </w:rPr>
        <w:t>协议邮件发送或传真给基金托管人</w:t>
      </w:r>
      <w:r>
        <w:rPr>
          <w:rFonts w:ascii="宋体" w:eastAsia="宋体" w:hAnsi="宋体" w:cs="Malgun Gothic Semilight" w:hint="eastAsia"/>
          <w:sz w:val="24"/>
          <w:szCs w:val="24"/>
        </w:rPr>
        <w:t>。</w:t>
      </w:r>
    </w:p>
    <w:p w14:paraId="4B705C1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（三）变更与协助</w:t>
      </w:r>
    </w:p>
    <w:p w14:paraId="3089232A" w14:textId="77777777" w:rsidR="00C521E2" w:rsidRDefault="005D6E6D">
      <w:pPr>
        <w:adjustRightInd w:val="0"/>
        <w:snapToGrid w:val="0"/>
        <w:spacing w:line="360" w:lineRule="auto"/>
        <w:ind w:firstLineChars="200" w:firstLine="480"/>
        <w:rPr>
          <w:rFonts w:ascii="宋体" w:eastAsia="宋体" w:hAnsi="宋体" w:cs="Times New Roman"/>
          <w:b/>
          <w:bCs/>
          <w:sz w:val="30"/>
          <w:szCs w:val="30"/>
        </w:rPr>
      </w:pPr>
      <w:r>
        <w:rPr>
          <w:rFonts w:ascii="宋体" w:eastAsia="宋体" w:hAnsi="宋体" w:cs="微软雅黑" w:hint="eastAsia"/>
          <w:sz w:val="24"/>
          <w:szCs w:val="24"/>
        </w:rPr>
        <w:t>若基金管理人</w:t>
      </w:r>
      <w:r>
        <w:rPr>
          <w:rFonts w:ascii="宋体" w:eastAsia="宋体" w:hAnsi="宋体" w:cs="Arial" w:hint="eastAsia"/>
          <w:sz w:val="24"/>
          <w:szCs w:val="24"/>
        </w:rPr>
        <w:t>/</w:t>
      </w:r>
      <w:r>
        <w:rPr>
          <w:rFonts w:ascii="宋体" w:eastAsia="宋体" w:hAnsi="宋体" w:cs="微软雅黑" w:hint="eastAsia"/>
          <w:sz w:val="24"/>
          <w:szCs w:val="24"/>
        </w:rPr>
        <w:t>基金托管人发生变更</w:t>
      </w:r>
      <w:r>
        <w:rPr>
          <w:rFonts w:ascii="宋体" w:eastAsia="宋体" w:hAnsi="宋体" w:cs="Malgun Gothic Semilight" w:hint="eastAsia"/>
          <w:sz w:val="24"/>
          <w:szCs w:val="24"/>
        </w:rPr>
        <w:t>，</w:t>
      </w:r>
      <w:r>
        <w:rPr>
          <w:rFonts w:ascii="宋体" w:eastAsia="宋体" w:hAnsi="宋体" w:cs="微软雅黑" w:hint="eastAsia"/>
          <w:sz w:val="24"/>
          <w:szCs w:val="24"/>
        </w:rPr>
        <w:t>未变更的一方有义务协助变更后的接任人接收相应文件</w:t>
      </w:r>
      <w:r>
        <w:rPr>
          <w:rFonts w:ascii="宋体" w:eastAsia="宋体" w:hAnsi="宋体" w:cs="Malgun Gothic Semilight" w:hint="eastAsia"/>
          <w:sz w:val="24"/>
          <w:szCs w:val="24"/>
        </w:rPr>
        <w:t>。</w:t>
      </w:r>
    </w:p>
    <w:p w14:paraId="1816C911" w14:textId="77777777" w:rsidR="00C521E2" w:rsidRDefault="00C521E2">
      <w:pPr>
        <w:adjustRightInd w:val="0"/>
        <w:snapToGrid w:val="0"/>
        <w:spacing w:line="360" w:lineRule="auto"/>
        <w:rPr>
          <w:rFonts w:ascii="宋体" w:eastAsia="宋体" w:hAnsi="宋体" w:cs="Times New Roman"/>
          <w:sz w:val="30"/>
          <w:szCs w:val="30"/>
        </w:rPr>
      </w:pPr>
    </w:p>
    <w:p w14:paraId="3D2C5D9A"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3" w:name="_Toc204539405"/>
      <w:r>
        <w:rPr>
          <w:rFonts w:ascii="宋体" w:eastAsia="宋体" w:hAnsi="宋体" w:cs="微软雅黑" w:hint="eastAsia"/>
          <w:b/>
          <w:sz w:val="30"/>
          <w:szCs w:val="20"/>
        </w:rPr>
        <w:t>十四</w:t>
      </w:r>
      <w:r>
        <w:rPr>
          <w:rFonts w:ascii="宋体" w:eastAsia="宋体" w:hAnsi="宋体" w:cs="Malgun Gothic Semilight" w:hint="eastAsia"/>
          <w:b/>
          <w:sz w:val="30"/>
          <w:szCs w:val="20"/>
        </w:rPr>
        <w:t>、</w:t>
      </w:r>
      <w:r>
        <w:rPr>
          <w:rFonts w:ascii="宋体" w:eastAsia="宋体" w:hAnsi="宋体" w:cs="微软雅黑" w:hint="eastAsia"/>
          <w:b/>
          <w:sz w:val="30"/>
          <w:szCs w:val="20"/>
        </w:rPr>
        <w:t>基金管理人和基金托管人的更换</w:t>
      </w:r>
      <w:bookmarkEnd w:id="93"/>
    </w:p>
    <w:p w14:paraId="6A0FC14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基金管理人职责终止的情形</w:t>
      </w:r>
    </w:p>
    <w:p w14:paraId="79767C9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lastRenderedPageBreak/>
        <w:t>1.</w:t>
      </w:r>
      <w:r>
        <w:rPr>
          <w:rFonts w:ascii="宋体" w:eastAsia="宋体" w:hAnsi="宋体" w:cs="微软雅黑" w:hint="eastAsia"/>
          <w:sz w:val="24"/>
          <w:szCs w:val="24"/>
        </w:rPr>
        <w:t>基金管理人职责终止的情形</w:t>
      </w:r>
    </w:p>
    <w:p w14:paraId="51965E6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有下列情形之一的</w:t>
      </w:r>
      <w:r>
        <w:rPr>
          <w:rFonts w:ascii="宋体" w:eastAsia="宋体" w:hAnsi="宋体" w:cs="Malgun Gothic Semilight" w:hint="eastAsia"/>
          <w:sz w:val="24"/>
          <w:szCs w:val="24"/>
        </w:rPr>
        <w:t>，</w:t>
      </w:r>
      <w:r>
        <w:rPr>
          <w:rFonts w:ascii="宋体" w:eastAsia="宋体" w:hAnsi="宋体" w:cs="微软雅黑" w:hint="eastAsia"/>
          <w:sz w:val="24"/>
          <w:szCs w:val="24"/>
        </w:rPr>
        <w:t>基金管理人职责终止</w:t>
      </w:r>
      <w:r>
        <w:rPr>
          <w:rFonts w:ascii="宋体" w:eastAsia="宋体" w:hAnsi="宋体" w:cs="Malgun Gothic Semilight" w:hint="eastAsia"/>
          <w:sz w:val="24"/>
          <w:szCs w:val="24"/>
        </w:rPr>
        <w:t>：</w:t>
      </w:r>
    </w:p>
    <w:p w14:paraId="10AFB1F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被依法取消基金管理资格</w:t>
      </w:r>
      <w:r>
        <w:rPr>
          <w:rFonts w:ascii="宋体" w:eastAsia="宋体" w:hAnsi="宋体" w:cs="Malgun Gothic Semilight" w:hint="eastAsia"/>
          <w:sz w:val="24"/>
          <w:szCs w:val="24"/>
        </w:rPr>
        <w:t>；</w:t>
      </w:r>
    </w:p>
    <w:p w14:paraId="3F4C0F5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依法解散</w:t>
      </w:r>
      <w:r>
        <w:rPr>
          <w:rFonts w:ascii="宋体" w:eastAsia="宋体" w:hAnsi="宋体" w:cs="Malgun Gothic Semilight" w:hint="eastAsia"/>
          <w:sz w:val="24"/>
          <w:szCs w:val="24"/>
        </w:rPr>
        <w:t>、</w:t>
      </w:r>
      <w:r>
        <w:rPr>
          <w:rFonts w:ascii="宋体" w:eastAsia="宋体" w:hAnsi="宋体" w:cs="微软雅黑" w:hint="eastAsia"/>
          <w:sz w:val="24"/>
          <w:szCs w:val="24"/>
        </w:rPr>
        <w:t>被依法撤销或被依法宣告破产</w:t>
      </w:r>
      <w:r>
        <w:rPr>
          <w:rFonts w:ascii="宋体" w:eastAsia="宋体" w:hAnsi="宋体" w:cs="Malgun Gothic Semilight" w:hint="eastAsia"/>
          <w:sz w:val="24"/>
          <w:szCs w:val="24"/>
        </w:rPr>
        <w:t>；</w:t>
      </w:r>
    </w:p>
    <w:p w14:paraId="63F4C9E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被基金份额持有人大会解任</w:t>
      </w:r>
      <w:r>
        <w:rPr>
          <w:rFonts w:ascii="宋体" w:eastAsia="宋体" w:hAnsi="宋体" w:cs="Malgun Gothic Semilight" w:hint="eastAsia"/>
          <w:sz w:val="24"/>
          <w:szCs w:val="24"/>
        </w:rPr>
        <w:t>；</w:t>
      </w:r>
    </w:p>
    <w:p w14:paraId="40F197B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法律法规及中国证监会规定的和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约定的其他情形</w:t>
      </w:r>
      <w:r>
        <w:rPr>
          <w:rFonts w:ascii="宋体" w:eastAsia="宋体" w:hAnsi="宋体" w:cs="Malgun Gothic Semilight" w:hint="eastAsia"/>
          <w:sz w:val="24"/>
          <w:szCs w:val="24"/>
        </w:rPr>
        <w:t>。</w:t>
      </w:r>
    </w:p>
    <w:p w14:paraId="0F559B8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基金管理人的更换程序</w:t>
      </w:r>
    </w:p>
    <w:p w14:paraId="623B3F6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更换基金管理人必须依照如下程序进行</w:t>
      </w:r>
      <w:r>
        <w:rPr>
          <w:rFonts w:ascii="宋体" w:eastAsia="宋体" w:hAnsi="宋体" w:cs="Malgun Gothic Semilight" w:hint="eastAsia"/>
          <w:sz w:val="24"/>
          <w:szCs w:val="24"/>
        </w:rPr>
        <w:t>：</w:t>
      </w:r>
    </w:p>
    <w:p w14:paraId="15FD7F8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提名</w:t>
      </w:r>
      <w:r>
        <w:rPr>
          <w:rFonts w:ascii="宋体" w:eastAsia="宋体" w:hAnsi="宋体" w:cs="Malgun Gothic Semilight" w:hint="eastAsia"/>
          <w:sz w:val="24"/>
          <w:szCs w:val="24"/>
        </w:rPr>
        <w:t>：</w:t>
      </w:r>
      <w:r>
        <w:rPr>
          <w:rFonts w:ascii="宋体" w:eastAsia="宋体" w:hAnsi="宋体" w:cs="微软雅黑" w:hint="eastAsia"/>
          <w:sz w:val="24"/>
          <w:szCs w:val="24"/>
        </w:rPr>
        <w:t>新任基金管理人由基金托管人或由单独或合计持有</w:t>
      </w:r>
      <w:r>
        <w:rPr>
          <w:rFonts w:ascii="宋体" w:eastAsia="宋体" w:hAnsi="宋体" w:cs="Times New Roman" w:hint="eastAsia"/>
          <w:sz w:val="24"/>
          <w:szCs w:val="24"/>
        </w:rPr>
        <w:t>10%</w:t>
      </w:r>
      <w:r>
        <w:rPr>
          <w:rFonts w:ascii="宋体" w:eastAsia="宋体" w:hAnsi="宋体" w:cs="微软雅黑" w:hint="eastAsia"/>
          <w:sz w:val="24"/>
          <w:szCs w:val="24"/>
        </w:rPr>
        <w:t>以上</w:t>
      </w:r>
      <w:r>
        <w:rPr>
          <w:rFonts w:ascii="宋体" w:eastAsia="宋体" w:hAnsi="宋体" w:cs="Times New Roman" w:hint="eastAsia"/>
          <w:sz w:val="24"/>
          <w:szCs w:val="24"/>
        </w:rPr>
        <w:t>（</w:t>
      </w:r>
      <w:r>
        <w:rPr>
          <w:rFonts w:ascii="宋体" w:eastAsia="宋体" w:hAnsi="宋体" w:cs="微软雅黑" w:hint="eastAsia"/>
          <w:sz w:val="24"/>
          <w:szCs w:val="24"/>
        </w:rPr>
        <w:t>含</w:t>
      </w:r>
      <w:r>
        <w:rPr>
          <w:rFonts w:ascii="宋体" w:eastAsia="宋体" w:hAnsi="宋体" w:cs="Times New Roman" w:hint="eastAsia"/>
          <w:sz w:val="24"/>
          <w:szCs w:val="24"/>
        </w:rPr>
        <w:t>10%）</w:t>
      </w:r>
      <w:r>
        <w:rPr>
          <w:rFonts w:ascii="宋体" w:eastAsia="宋体" w:hAnsi="宋体" w:cs="微软雅黑" w:hint="eastAsia"/>
          <w:sz w:val="24"/>
          <w:szCs w:val="24"/>
        </w:rPr>
        <w:t>基金份额的基金份额持有人提名</w:t>
      </w:r>
      <w:r>
        <w:rPr>
          <w:rFonts w:ascii="宋体" w:eastAsia="宋体" w:hAnsi="宋体" w:cs="Malgun Gothic Semilight" w:hint="eastAsia"/>
          <w:sz w:val="24"/>
          <w:szCs w:val="24"/>
        </w:rPr>
        <w:t>；</w:t>
      </w:r>
    </w:p>
    <w:p w14:paraId="3912681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决议</w:t>
      </w:r>
      <w:r>
        <w:rPr>
          <w:rFonts w:ascii="宋体" w:eastAsia="宋体" w:hAnsi="宋体" w:cs="Malgun Gothic Semilight" w:hint="eastAsia"/>
          <w:sz w:val="24"/>
          <w:szCs w:val="24"/>
        </w:rPr>
        <w:t>：</w:t>
      </w:r>
      <w:r>
        <w:rPr>
          <w:rFonts w:ascii="宋体" w:eastAsia="宋体" w:hAnsi="宋体" w:cs="微软雅黑" w:hint="eastAsia"/>
          <w:sz w:val="24"/>
          <w:szCs w:val="24"/>
        </w:rPr>
        <w:t>基金份额持有人大会在基金管理人职责终止后</w:t>
      </w:r>
      <w:r>
        <w:rPr>
          <w:rFonts w:ascii="宋体" w:eastAsia="宋体" w:hAnsi="宋体" w:cs="Arial" w:hint="eastAsia"/>
          <w:sz w:val="24"/>
          <w:szCs w:val="24"/>
        </w:rPr>
        <w:t>6</w:t>
      </w:r>
      <w:r>
        <w:rPr>
          <w:rFonts w:ascii="宋体" w:eastAsia="宋体" w:hAnsi="宋体" w:cs="微软雅黑" w:hint="eastAsia"/>
          <w:sz w:val="24"/>
          <w:szCs w:val="24"/>
        </w:rPr>
        <w:t>个月内对被提名的基金管理人形成决议</w:t>
      </w:r>
      <w:r>
        <w:rPr>
          <w:rFonts w:ascii="宋体" w:eastAsia="宋体" w:hAnsi="宋体" w:cs="Malgun Gothic Semilight" w:hint="eastAsia"/>
          <w:sz w:val="24"/>
          <w:szCs w:val="24"/>
        </w:rPr>
        <w:t>，</w:t>
      </w:r>
      <w:r>
        <w:rPr>
          <w:rFonts w:ascii="宋体" w:eastAsia="宋体" w:hAnsi="宋体" w:cs="微软雅黑" w:hint="eastAsia"/>
          <w:sz w:val="24"/>
          <w:szCs w:val="24"/>
        </w:rPr>
        <w:t>该决议需经参加大会的基金份额持有人所持表决权的三分之二以上</w:t>
      </w:r>
      <w:r>
        <w:rPr>
          <w:rFonts w:ascii="宋体" w:eastAsia="宋体" w:hAnsi="宋体" w:cs="Arial" w:hint="eastAsia"/>
          <w:sz w:val="24"/>
          <w:szCs w:val="24"/>
        </w:rPr>
        <w:t>（</w:t>
      </w:r>
      <w:r>
        <w:rPr>
          <w:rFonts w:ascii="宋体" w:eastAsia="宋体" w:hAnsi="宋体" w:cs="微软雅黑" w:hint="eastAsia"/>
          <w:sz w:val="24"/>
          <w:szCs w:val="24"/>
        </w:rPr>
        <w:t>含三分之二</w:t>
      </w:r>
      <w:r>
        <w:rPr>
          <w:rFonts w:ascii="宋体" w:eastAsia="宋体" w:hAnsi="宋体" w:cs="Arial" w:hint="eastAsia"/>
          <w:sz w:val="24"/>
          <w:szCs w:val="24"/>
        </w:rPr>
        <w:t>）</w:t>
      </w:r>
      <w:r>
        <w:rPr>
          <w:rFonts w:ascii="宋体" w:eastAsia="宋体" w:hAnsi="宋体" w:cs="微软雅黑" w:hint="eastAsia"/>
          <w:sz w:val="24"/>
          <w:szCs w:val="24"/>
        </w:rPr>
        <w:t>表决通过，决议自表决通过之日起生效</w:t>
      </w:r>
      <w:r>
        <w:rPr>
          <w:rFonts w:ascii="宋体" w:eastAsia="宋体" w:hAnsi="宋体" w:cs="Malgun Gothic Semilight" w:hint="eastAsia"/>
          <w:sz w:val="24"/>
          <w:szCs w:val="24"/>
        </w:rPr>
        <w:t>；</w:t>
      </w:r>
    </w:p>
    <w:p w14:paraId="122EF79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临时基金管理人</w:t>
      </w:r>
      <w:r>
        <w:rPr>
          <w:rFonts w:ascii="宋体" w:eastAsia="宋体" w:hAnsi="宋体" w:cs="Malgun Gothic Semilight" w:hint="eastAsia"/>
          <w:sz w:val="24"/>
          <w:szCs w:val="24"/>
        </w:rPr>
        <w:t>：</w:t>
      </w:r>
      <w:r>
        <w:rPr>
          <w:rFonts w:ascii="宋体" w:eastAsia="宋体" w:hAnsi="宋体" w:cs="微软雅黑" w:hint="eastAsia"/>
          <w:sz w:val="24"/>
          <w:szCs w:val="24"/>
        </w:rPr>
        <w:t>新任基金管理人产生之前</w:t>
      </w:r>
      <w:r>
        <w:rPr>
          <w:rFonts w:ascii="宋体" w:eastAsia="宋体" w:hAnsi="宋体" w:cs="Malgun Gothic Semilight" w:hint="eastAsia"/>
          <w:sz w:val="24"/>
          <w:szCs w:val="24"/>
        </w:rPr>
        <w:t>，</w:t>
      </w:r>
      <w:r>
        <w:rPr>
          <w:rFonts w:ascii="宋体" w:eastAsia="宋体" w:hAnsi="宋体" w:cs="微软雅黑" w:hint="eastAsia"/>
          <w:sz w:val="24"/>
          <w:szCs w:val="24"/>
        </w:rPr>
        <w:t>由中国证监会指定临时基金管理人</w:t>
      </w:r>
      <w:r>
        <w:rPr>
          <w:rFonts w:ascii="宋体" w:eastAsia="宋体" w:hAnsi="宋体" w:cs="Malgun Gothic Semilight" w:hint="eastAsia"/>
          <w:sz w:val="24"/>
          <w:szCs w:val="24"/>
        </w:rPr>
        <w:t>；</w:t>
      </w:r>
    </w:p>
    <w:p w14:paraId="2EDE3F0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备案</w:t>
      </w:r>
      <w:r>
        <w:rPr>
          <w:rFonts w:ascii="宋体" w:eastAsia="宋体" w:hAnsi="宋体" w:cs="Malgun Gothic Semilight" w:hint="eastAsia"/>
          <w:sz w:val="24"/>
          <w:szCs w:val="24"/>
        </w:rPr>
        <w:t>：</w:t>
      </w:r>
      <w:r>
        <w:rPr>
          <w:rFonts w:ascii="宋体" w:eastAsia="宋体" w:hAnsi="宋体" w:cs="微软雅黑" w:hint="eastAsia"/>
          <w:sz w:val="24"/>
          <w:szCs w:val="24"/>
        </w:rPr>
        <w:t>基金份额持有人大会更换基金管理人的决议须报中国证监会备案</w:t>
      </w:r>
      <w:r>
        <w:rPr>
          <w:rFonts w:ascii="宋体" w:eastAsia="宋体" w:hAnsi="宋体" w:cs="Malgun Gothic Semilight" w:hint="eastAsia"/>
          <w:sz w:val="24"/>
          <w:szCs w:val="24"/>
        </w:rPr>
        <w:t>；</w:t>
      </w:r>
    </w:p>
    <w:p w14:paraId="1F24556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（5）</w:t>
      </w:r>
      <w:r>
        <w:rPr>
          <w:rFonts w:ascii="宋体" w:eastAsia="宋体" w:hAnsi="宋体" w:cs="微软雅黑" w:hint="eastAsia"/>
          <w:sz w:val="24"/>
          <w:szCs w:val="24"/>
        </w:rPr>
        <w:t>公告</w:t>
      </w:r>
      <w:r>
        <w:rPr>
          <w:rFonts w:ascii="宋体" w:eastAsia="宋体" w:hAnsi="宋体" w:cs="Malgun Gothic Semilight" w:hint="eastAsia"/>
          <w:sz w:val="24"/>
          <w:szCs w:val="24"/>
        </w:rPr>
        <w:t>：</w:t>
      </w:r>
      <w:r>
        <w:rPr>
          <w:rFonts w:ascii="宋体" w:eastAsia="宋体" w:hAnsi="宋体" w:cs="微软雅黑" w:hint="eastAsia"/>
          <w:sz w:val="24"/>
          <w:szCs w:val="24"/>
        </w:rPr>
        <w:t>基金管理人更换后</w:t>
      </w:r>
      <w:r>
        <w:rPr>
          <w:rFonts w:ascii="宋体" w:eastAsia="宋体" w:hAnsi="宋体" w:cs="Malgun Gothic Semilight" w:hint="eastAsia"/>
          <w:sz w:val="24"/>
          <w:szCs w:val="24"/>
        </w:rPr>
        <w:t>，</w:t>
      </w:r>
      <w:r>
        <w:rPr>
          <w:rFonts w:ascii="宋体" w:eastAsia="宋体" w:hAnsi="宋体" w:cs="微软雅黑" w:hint="eastAsia"/>
          <w:sz w:val="24"/>
          <w:szCs w:val="24"/>
        </w:rPr>
        <w:t>由基金托管人在更换基金管理人的基金份额持有人大会决议生效后</w:t>
      </w:r>
      <w:r>
        <w:rPr>
          <w:rFonts w:ascii="宋体" w:eastAsia="宋体" w:hAnsi="宋体" w:cs="Arial" w:hint="eastAsia"/>
          <w:sz w:val="24"/>
          <w:szCs w:val="24"/>
        </w:rPr>
        <w:t>依照《信息披露办法》的有关规定</w:t>
      </w:r>
      <w:r>
        <w:rPr>
          <w:rFonts w:ascii="宋体" w:eastAsia="宋体" w:hAnsi="宋体" w:cs="微软雅黑" w:hint="eastAsia"/>
          <w:sz w:val="24"/>
          <w:szCs w:val="24"/>
        </w:rPr>
        <w:t>在规定媒介公告</w:t>
      </w:r>
      <w:r>
        <w:rPr>
          <w:rFonts w:ascii="宋体" w:eastAsia="宋体" w:hAnsi="宋体" w:cs="Arial" w:hint="eastAsia"/>
          <w:sz w:val="24"/>
          <w:szCs w:val="24"/>
        </w:rPr>
        <w:t>；</w:t>
      </w:r>
    </w:p>
    <w:p w14:paraId="4FECCE7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（6）</w:t>
      </w:r>
      <w:r>
        <w:rPr>
          <w:rFonts w:ascii="宋体" w:eastAsia="宋体" w:hAnsi="宋体" w:cs="微软雅黑" w:hint="eastAsia"/>
          <w:sz w:val="24"/>
          <w:szCs w:val="24"/>
        </w:rPr>
        <w:t>交接</w:t>
      </w:r>
      <w:r>
        <w:rPr>
          <w:rFonts w:ascii="宋体" w:eastAsia="宋体" w:hAnsi="宋体" w:cs="Malgun Gothic Semilight" w:hint="eastAsia"/>
          <w:sz w:val="24"/>
          <w:szCs w:val="24"/>
        </w:rPr>
        <w:t>：</w:t>
      </w:r>
      <w:r>
        <w:rPr>
          <w:rFonts w:ascii="宋体" w:eastAsia="宋体" w:hAnsi="宋体" w:cs="微软雅黑" w:hint="eastAsia"/>
          <w:sz w:val="24"/>
          <w:szCs w:val="24"/>
        </w:rPr>
        <w:t>基金管理人职责终止的</w:t>
      </w:r>
      <w:r>
        <w:rPr>
          <w:rFonts w:ascii="宋体" w:eastAsia="宋体" w:hAnsi="宋体" w:cs="Malgun Gothic Semilight" w:hint="eastAsia"/>
          <w:sz w:val="24"/>
          <w:szCs w:val="24"/>
        </w:rPr>
        <w:t>，</w:t>
      </w:r>
      <w:r>
        <w:rPr>
          <w:rFonts w:ascii="宋体" w:eastAsia="宋体" w:hAnsi="宋体" w:cs="微软雅黑" w:hint="eastAsia"/>
          <w:sz w:val="24"/>
          <w:szCs w:val="24"/>
        </w:rPr>
        <w:t>基金管理人应妥善保管基金管理业务资料</w:t>
      </w:r>
      <w:r>
        <w:rPr>
          <w:rFonts w:ascii="宋体" w:eastAsia="宋体" w:hAnsi="宋体" w:cs="Malgun Gothic Semilight" w:hint="eastAsia"/>
          <w:sz w:val="24"/>
          <w:szCs w:val="24"/>
        </w:rPr>
        <w:t>，</w:t>
      </w:r>
      <w:r>
        <w:rPr>
          <w:rFonts w:ascii="宋体" w:eastAsia="宋体" w:hAnsi="宋体" w:cs="微软雅黑" w:hint="eastAsia"/>
          <w:sz w:val="24"/>
          <w:szCs w:val="24"/>
        </w:rPr>
        <w:t>及时向临时基金管理人或新任基金管理人办理基金管理业务的移交手续</w:t>
      </w:r>
      <w:r>
        <w:rPr>
          <w:rFonts w:ascii="宋体" w:eastAsia="宋体" w:hAnsi="宋体" w:cs="Malgun Gothic Semilight" w:hint="eastAsia"/>
          <w:sz w:val="24"/>
          <w:szCs w:val="24"/>
        </w:rPr>
        <w:t>，</w:t>
      </w:r>
      <w:r>
        <w:rPr>
          <w:rFonts w:ascii="宋体" w:eastAsia="宋体" w:hAnsi="宋体" w:cs="微软雅黑" w:hint="eastAsia"/>
          <w:sz w:val="24"/>
          <w:szCs w:val="24"/>
        </w:rPr>
        <w:t>临时基金管理人或新任基金管理人应及时接收</w:t>
      </w:r>
      <w:r>
        <w:rPr>
          <w:rFonts w:ascii="宋体" w:eastAsia="宋体" w:hAnsi="宋体" w:cs="Malgun Gothic Semilight" w:hint="eastAsia"/>
          <w:sz w:val="24"/>
          <w:szCs w:val="24"/>
        </w:rPr>
        <w:t>。</w:t>
      </w:r>
      <w:r>
        <w:rPr>
          <w:rFonts w:ascii="宋体" w:eastAsia="宋体" w:hAnsi="宋体" w:cs="微软雅黑" w:hint="eastAsia"/>
          <w:sz w:val="24"/>
          <w:szCs w:val="24"/>
        </w:rPr>
        <w:t>临时基金管理人或新任基金管理人应与基金托管人核对基金资产总值和净值</w:t>
      </w:r>
      <w:r>
        <w:rPr>
          <w:rFonts w:ascii="宋体" w:eastAsia="宋体" w:hAnsi="宋体" w:cs="Arial" w:hint="eastAsia"/>
          <w:sz w:val="24"/>
          <w:szCs w:val="24"/>
        </w:rPr>
        <w:t>；</w:t>
      </w:r>
    </w:p>
    <w:p w14:paraId="4AB9B61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（7）</w:t>
      </w:r>
      <w:r>
        <w:rPr>
          <w:rFonts w:ascii="宋体" w:eastAsia="宋体" w:hAnsi="宋体" w:cs="微软雅黑" w:hint="eastAsia"/>
          <w:sz w:val="24"/>
          <w:szCs w:val="24"/>
        </w:rPr>
        <w:t>审计</w:t>
      </w:r>
      <w:r>
        <w:rPr>
          <w:rFonts w:ascii="宋体" w:eastAsia="宋体" w:hAnsi="宋体" w:cs="Malgun Gothic Semilight" w:hint="eastAsia"/>
          <w:sz w:val="24"/>
          <w:szCs w:val="24"/>
        </w:rPr>
        <w:t>：</w:t>
      </w:r>
      <w:r>
        <w:rPr>
          <w:rFonts w:ascii="宋体" w:eastAsia="宋体" w:hAnsi="宋体" w:cs="微软雅黑" w:hint="eastAsia"/>
          <w:sz w:val="24"/>
          <w:szCs w:val="24"/>
        </w:rPr>
        <w:t>基金管理人职责终止的</w:t>
      </w:r>
      <w:r>
        <w:rPr>
          <w:rFonts w:ascii="宋体" w:eastAsia="宋体" w:hAnsi="宋体" w:cs="Malgun Gothic Semilight" w:hint="eastAsia"/>
          <w:sz w:val="24"/>
          <w:szCs w:val="24"/>
        </w:rPr>
        <w:t>，</w:t>
      </w:r>
      <w:r>
        <w:rPr>
          <w:rFonts w:ascii="宋体" w:eastAsia="宋体" w:hAnsi="宋体" w:cs="微软雅黑" w:hint="eastAsia"/>
          <w:sz w:val="24"/>
          <w:szCs w:val="24"/>
        </w:rPr>
        <w:t>应当聘请符合《证券法》规定的会计师事务所对基金财产进行审计</w:t>
      </w:r>
      <w:r>
        <w:rPr>
          <w:rFonts w:ascii="宋体" w:eastAsia="宋体" w:hAnsi="宋体" w:cs="Malgun Gothic Semilight" w:hint="eastAsia"/>
          <w:sz w:val="24"/>
          <w:szCs w:val="24"/>
        </w:rPr>
        <w:t>，</w:t>
      </w:r>
      <w:r>
        <w:rPr>
          <w:rFonts w:ascii="宋体" w:eastAsia="宋体" w:hAnsi="宋体" w:cs="微软雅黑" w:hint="eastAsia"/>
          <w:sz w:val="24"/>
          <w:szCs w:val="24"/>
        </w:rPr>
        <w:t>并将审计结果予以公告</w:t>
      </w:r>
      <w:r>
        <w:rPr>
          <w:rFonts w:ascii="宋体" w:eastAsia="宋体" w:hAnsi="宋体" w:cs="Malgun Gothic Semilight" w:hint="eastAsia"/>
          <w:sz w:val="24"/>
          <w:szCs w:val="24"/>
        </w:rPr>
        <w:t>，</w:t>
      </w:r>
      <w:r>
        <w:rPr>
          <w:rFonts w:ascii="宋体" w:eastAsia="宋体" w:hAnsi="宋体" w:cs="微软雅黑" w:hint="eastAsia"/>
          <w:sz w:val="24"/>
          <w:szCs w:val="24"/>
        </w:rPr>
        <w:t>同时报中国证监会备案，审计费用从基金财产中列支</w:t>
      </w:r>
      <w:r>
        <w:rPr>
          <w:rFonts w:ascii="宋体" w:eastAsia="宋体" w:hAnsi="宋体" w:cs="Malgun Gothic Semilight" w:hint="eastAsia"/>
          <w:sz w:val="24"/>
          <w:szCs w:val="24"/>
        </w:rPr>
        <w:t>；</w:t>
      </w:r>
    </w:p>
    <w:p w14:paraId="518AC0A2" w14:textId="77777777" w:rsidR="00C521E2" w:rsidRDefault="005D6E6D">
      <w:pPr>
        <w:adjustRightInd w:val="0"/>
        <w:snapToGrid w:val="0"/>
        <w:spacing w:line="360" w:lineRule="auto"/>
        <w:ind w:firstLineChars="200" w:firstLine="480"/>
        <w:rPr>
          <w:rFonts w:ascii="宋体" w:eastAsia="宋体" w:hAnsi="宋体" w:cs="Times New Roman"/>
          <w:sz w:val="30"/>
          <w:szCs w:val="30"/>
        </w:rPr>
      </w:pPr>
      <w:r>
        <w:rPr>
          <w:rFonts w:ascii="宋体" w:eastAsia="宋体" w:hAnsi="宋体" w:cs="Arial" w:hint="eastAsia"/>
          <w:sz w:val="24"/>
          <w:szCs w:val="24"/>
        </w:rPr>
        <w:t>（8）</w:t>
      </w:r>
      <w:r>
        <w:rPr>
          <w:rFonts w:ascii="宋体" w:eastAsia="宋体" w:hAnsi="宋体" w:cs="微软雅黑" w:hint="eastAsia"/>
          <w:sz w:val="24"/>
          <w:szCs w:val="24"/>
        </w:rPr>
        <w:t>基金名称变更</w:t>
      </w:r>
      <w:r>
        <w:rPr>
          <w:rFonts w:ascii="宋体" w:eastAsia="宋体" w:hAnsi="宋体" w:cs="Malgun Gothic Semilight" w:hint="eastAsia"/>
          <w:sz w:val="24"/>
          <w:szCs w:val="24"/>
        </w:rPr>
        <w:t>：</w:t>
      </w:r>
      <w:r>
        <w:rPr>
          <w:rFonts w:ascii="宋体" w:eastAsia="宋体" w:hAnsi="宋体" w:cs="微软雅黑" w:hint="eastAsia"/>
          <w:sz w:val="24"/>
          <w:szCs w:val="24"/>
        </w:rPr>
        <w:t>基金管理人更换后</w:t>
      </w:r>
      <w:r>
        <w:rPr>
          <w:rFonts w:ascii="宋体" w:eastAsia="宋体" w:hAnsi="宋体" w:cs="Malgun Gothic Semilight" w:hint="eastAsia"/>
          <w:sz w:val="24"/>
          <w:szCs w:val="24"/>
        </w:rPr>
        <w:t>，</w:t>
      </w:r>
      <w:r>
        <w:rPr>
          <w:rFonts w:ascii="宋体" w:eastAsia="宋体" w:hAnsi="宋体" w:cs="微软雅黑" w:hint="eastAsia"/>
          <w:sz w:val="24"/>
          <w:szCs w:val="24"/>
        </w:rPr>
        <w:t>如果原任或新任基金管理人要求</w:t>
      </w:r>
      <w:r>
        <w:rPr>
          <w:rFonts w:ascii="宋体" w:eastAsia="宋体" w:hAnsi="宋体" w:cs="Malgun Gothic Semilight" w:hint="eastAsia"/>
          <w:sz w:val="24"/>
          <w:szCs w:val="24"/>
        </w:rPr>
        <w:t>，</w:t>
      </w:r>
      <w:r>
        <w:rPr>
          <w:rFonts w:ascii="宋体" w:eastAsia="宋体" w:hAnsi="宋体" w:cs="微软雅黑" w:hint="eastAsia"/>
          <w:sz w:val="24"/>
          <w:szCs w:val="24"/>
        </w:rPr>
        <w:t>应按其要求替换或删除基金名称中与原基金管理人有关的名称字样</w:t>
      </w:r>
      <w:r>
        <w:rPr>
          <w:rFonts w:ascii="宋体" w:eastAsia="宋体" w:hAnsi="宋体" w:cs="Malgun Gothic Semilight" w:hint="eastAsia"/>
          <w:sz w:val="24"/>
          <w:szCs w:val="24"/>
        </w:rPr>
        <w:t>。</w:t>
      </w:r>
    </w:p>
    <w:p w14:paraId="530CD68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基金托管人职责终止的情形</w:t>
      </w:r>
    </w:p>
    <w:p w14:paraId="2E8DC99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基金托管人职责终止的情形</w:t>
      </w:r>
    </w:p>
    <w:p w14:paraId="107A63B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有下列情形之一的</w:t>
      </w:r>
      <w:r>
        <w:rPr>
          <w:rFonts w:ascii="宋体" w:eastAsia="宋体" w:hAnsi="宋体" w:cs="Malgun Gothic Semilight" w:hint="eastAsia"/>
          <w:sz w:val="24"/>
          <w:szCs w:val="24"/>
        </w:rPr>
        <w:t>，</w:t>
      </w:r>
      <w:r>
        <w:rPr>
          <w:rFonts w:ascii="宋体" w:eastAsia="宋体" w:hAnsi="宋体" w:cs="微软雅黑" w:hint="eastAsia"/>
          <w:sz w:val="24"/>
          <w:szCs w:val="24"/>
        </w:rPr>
        <w:t>基金托管人职责终止</w:t>
      </w:r>
      <w:r>
        <w:rPr>
          <w:rFonts w:ascii="宋体" w:eastAsia="宋体" w:hAnsi="宋体" w:cs="Malgun Gothic Semilight" w:hint="eastAsia"/>
          <w:sz w:val="24"/>
          <w:szCs w:val="24"/>
        </w:rPr>
        <w:t>：</w:t>
      </w:r>
    </w:p>
    <w:p w14:paraId="42504B7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lastRenderedPageBreak/>
        <w:t>（1）</w:t>
      </w:r>
      <w:r>
        <w:rPr>
          <w:rFonts w:ascii="宋体" w:eastAsia="宋体" w:hAnsi="宋体" w:cs="微软雅黑" w:hint="eastAsia"/>
          <w:sz w:val="24"/>
          <w:szCs w:val="24"/>
        </w:rPr>
        <w:t>被依法取消基金托管资格</w:t>
      </w:r>
      <w:r>
        <w:rPr>
          <w:rFonts w:ascii="宋体" w:eastAsia="宋体" w:hAnsi="宋体" w:cs="Malgun Gothic Semilight" w:hint="eastAsia"/>
          <w:sz w:val="24"/>
          <w:szCs w:val="24"/>
        </w:rPr>
        <w:t>；</w:t>
      </w:r>
    </w:p>
    <w:p w14:paraId="1D6C8C0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依法解散</w:t>
      </w:r>
      <w:r>
        <w:rPr>
          <w:rFonts w:ascii="宋体" w:eastAsia="宋体" w:hAnsi="宋体" w:cs="Malgun Gothic Semilight" w:hint="eastAsia"/>
          <w:sz w:val="24"/>
          <w:szCs w:val="24"/>
        </w:rPr>
        <w:t>、</w:t>
      </w:r>
      <w:r>
        <w:rPr>
          <w:rFonts w:ascii="宋体" w:eastAsia="宋体" w:hAnsi="宋体" w:cs="微软雅黑" w:hint="eastAsia"/>
          <w:sz w:val="24"/>
          <w:szCs w:val="24"/>
        </w:rPr>
        <w:t>被依法撤销或被依法宣告破产</w:t>
      </w:r>
      <w:r>
        <w:rPr>
          <w:rFonts w:ascii="宋体" w:eastAsia="宋体" w:hAnsi="宋体" w:cs="Malgun Gothic Semilight" w:hint="eastAsia"/>
          <w:sz w:val="24"/>
          <w:szCs w:val="24"/>
        </w:rPr>
        <w:t>；</w:t>
      </w:r>
    </w:p>
    <w:p w14:paraId="6844699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被基金份额持有人大会解任</w:t>
      </w:r>
      <w:r>
        <w:rPr>
          <w:rFonts w:ascii="宋体" w:eastAsia="宋体" w:hAnsi="宋体" w:cs="Malgun Gothic Semilight" w:hint="eastAsia"/>
          <w:sz w:val="24"/>
          <w:szCs w:val="24"/>
        </w:rPr>
        <w:t>；</w:t>
      </w:r>
    </w:p>
    <w:p w14:paraId="2393B48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法律法规及中国证监会规定的和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约定的其他情形</w:t>
      </w:r>
      <w:r>
        <w:rPr>
          <w:rFonts w:ascii="宋体" w:eastAsia="宋体" w:hAnsi="宋体" w:cs="Malgun Gothic Semilight" w:hint="eastAsia"/>
          <w:sz w:val="24"/>
          <w:szCs w:val="24"/>
        </w:rPr>
        <w:t>。</w:t>
      </w:r>
    </w:p>
    <w:p w14:paraId="74815D6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基金托管人的更换程序</w:t>
      </w:r>
    </w:p>
    <w:p w14:paraId="21E8573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提名</w:t>
      </w:r>
      <w:r>
        <w:rPr>
          <w:rFonts w:ascii="宋体" w:eastAsia="宋体" w:hAnsi="宋体" w:cs="Malgun Gothic Semilight" w:hint="eastAsia"/>
          <w:sz w:val="24"/>
          <w:szCs w:val="24"/>
        </w:rPr>
        <w:t>：</w:t>
      </w:r>
      <w:r>
        <w:rPr>
          <w:rFonts w:ascii="宋体" w:eastAsia="宋体" w:hAnsi="宋体" w:cs="微软雅黑" w:hint="eastAsia"/>
          <w:sz w:val="24"/>
          <w:szCs w:val="24"/>
        </w:rPr>
        <w:t>新任基金托管人由基金管理人或由单独或合计持有</w:t>
      </w:r>
      <w:r>
        <w:rPr>
          <w:rFonts w:ascii="宋体" w:eastAsia="宋体" w:hAnsi="宋体" w:cs="Times New Roman" w:hint="eastAsia"/>
          <w:sz w:val="24"/>
          <w:szCs w:val="24"/>
        </w:rPr>
        <w:t>10%</w:t>
      </w:r>
      <w:r>
        <w:rPr>
          <w:rFonts w:ascii="宋体" w:eastAsia="宋体" w:hAnsi="宋体" w:cs="微软雅黑" w:hint="eastAsia"/>
          <w:sz w:val="24"/>
          <w:szCs w:val="24"/>
        </w:rPr>
        <w:t>以上</w:t>
      </w:r>
      <w:r>
        <w:rPr>
          <w:rFonts w:ascii="宋体" w:eastAsia="宋体" w:hAnsi="宋体" w:cs="Times New Roman" w:hint="eastAsia"/>
          <w:sz w:val="24"/>
          <w:szCs w:val="24"/>
        </w:rPr>
        <w:t>（</w:t>
      </w:r>
      <w:r>
        <w:rPr>
          <w:rFonts w:ascii="宋体" w:eastAsia="宋体" w:hAnsi="宋体" w:cs="微软雅黑" w:hint="eastAsia"/>
          <w:sz w:val="24"/>
          <w:szCs w:val="24"/>
        </w:rPr>
        <w:t>含</w:t>
      </w:r>
      <w:r>
        <w:rPr>
          <w:rFonts w:ascii="宋体" w:eastAsia="宋体" w:hAnsi="宋体" w:cs="Times New Roman" w:hint="eastAsia"/>
          <w:sz w:val="24"/>
          <w:szCs w:val="24"/>
        </w:rPr>
        <w:t>10%）</w:t>
      </w:r>
      <w:r>
        <w:rPr>
          <w:rFonts w:ascii="宋体" w:eastAsia="宋体" w:hAnsi="宋体" w:cs="微软雅黑" w:hint="eastAsia"/>
          <w:sz w:val="24"/>
          <w:szCs w:val="24"/>
        </w:rPr>
        <w:t>基金份额的基金份额持有人提名</w:t>
      </w:r>
      <w:r>
        <w:rPr>
          <w:rFonts w:ascii="宋体" w:eastAsia="宋体" w:hAnsi="宋体" w:cs="Malgun Gothic Semilight" w:hint="eastAsia"/>
          <w:sz w:val="24"/>
          <w:szCs w:val="24"/>
        </w:rPr>
        <w:t>；</w:t>
      </w:r>
    </w:p>
    <w:p w14:paraId="6967828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决议</w:t>
      </w:r>
      <w:r>
        <w:rPr>
          <w:rFonts w:ascii="宋体" w:eastAsia="宋体" w:hAnsi="宋体" w:cs="Malgun Gothic Semilight" w:hint="eastAsia"/>
          <w:sz w:val="24"/>
          <w:szCs w:val="24"/>
        </w:rPr>
        <w:t>：</w:t>
      </w:r>
      <w:r>
        <w:rPr>
          <w:rFonts w:ascii="宋体" w:eastAsia="宋体" w:hAnsi="宋体" w:cs="微软雅黑" w:hint="eastAsia"/>
          <w:sz w:val="24"/>
          <w:szCs w:val="24"/>
        </w:rPr>
        <w:t>基金份额持有人大会在基金托管人职责终止后</w:t>
      </w:r>
      <w:r>
        <w:rPr>
          <w:rFonts w:ascii="宋体" w:eastAsia="宋体" w:hAnsi="宋体" w:cs="Arial" w:hint="eastAsia"/>
          <w:sz w:val="24"/>
          <w:szCs w:val="24"/>
        </w:rPr>
        <w:t>6</w:t>
      </w:r>
      <w:r>
        <w:rPr>
          <w:rFonts w:ascii="宋体" w:eastAsia="宋体" w:hAnsi="宋体" w:cs="微软雅黑" w:hint="eastAsia"/>
          <w:sz w:val="24"/>
          <w:szCs w:val="24"/>
        </w:rPr>
        <w:t>个月内对被提名的基金托管人形成决议</w:t>
      </w:r>
      <w:r>
        <w:rPr>
          <w:rFonts w:ascii="宋体" w:eastAsia="宋体" w:hAnsi="宋体" w:cs="Malgun Gothic Semilight" w:hint="eastAsia"/>
          <w:sz w:val="24"/>
          <w:szCs w:val="24"/>
        </w:rPr>
        <w:t>，</w:t>
      </w:r>
      <w:r>
        <w:rPr>
          <w:rFonts w:ascii="宋体" w:eastAsia="宋体" w:hAnsi="宋体" w:cs="微软雅黑" w:hint="eastAsia"/>
          <w:sz w:val="24"/>
          <w:szCs w:val="24"/>
        </w:rPr>
        <w:t>该决议需经参加大会的基金份额持有人所持表决权的三分之二以上</w:t>
      </w:r>
      <w:r>
        <w:rPr>
          <w:rFonts w:ascii="宋体" w:eastAsia="宋体" w:hAnsi="宋体" w:cs="Arial" w:hint="eastAsia"/>
          <w:sz w:val="24"/>
          <w:szCs w:val="24"/>
        </w:rPr>
        <w:t>（</w:t>
      </w:r>
      <w:r>
        <w:rPr>
          <w:rFonts w:ascii="宋体" w:eastAsia="宋体" w:hAnsi="宋体" w:cs="微软雅黑" w:hint="eastAsia"/>
          <w:sz w:val="24"/>
          <w:szCs w:val="24"/>
        </w:rPr>
        <w:t>含三分之二</w:t>
      </w:r>
      <w:r>
        <w:rPr>
          <w:rFonts w:ascii="宋体" w:eastAsia="宋体" w:hAnsi="宋体" w:cs="Arial" w:hint="eastAsia"/>
          <w:sz w:val="24"/>
          <w:szCs w:val="24"/>
        </w:rPr>
        <w:t>）</w:t>
      </w:r>
      <w:r>
        <w:rPr>
          <w:rFonts w:ascii="宋体" w:eastAsia="宋体" w:hAnsi="宋体" w:cs="微软雅黑" w:hint="eastAsia"/>
          <w:sz w:val="24"/>
          <w:szCs w:val="24"/>
        </w:rPr>
        <w:t>表决通过，决议自表决通过之日起生效</w:t>
      </w:r>
      <w:r>
        <w:rPr>
          <w:rFonts w:ascii="宋体" w:eastAsia="宋体" w:hAnsi="宋体" w:cs="Malgun Gothic Semilight" w:hint="eastAsia"/>
          <w:sz w:val="24"/>
          <w:szCs w:val="24"/>
        </w:rPr>
        <w:t>；</w:t>
      </w:r>
    </w:p>
    <w:p w14:paraId="43070D7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临时基金托管人</w:t>
      </w:r>
      <w:r>
        <w:rPr>
          <w:rFonts w:ascii="宋体" w:eastAsia="宋体" w:hAnsi="宋体" w:cs="Malgun Gothic Semilight" w:hint="eastAsia"/>
          <w:sz w:val="24"/>
          <w:szCs w:val="24"/>
        </w:rPr>
        <w:t>：</w:t>
      </w:r>
      <w:r>
        <w:rPr>
          <w:rFonts w:ascii="宋体" w:eastAsia="宋体" w:hAnsi="宋体" w:cs="微软雅黑" w:hint="eastAsia"/>
          <w:sz w:val="24"/>
          <w:szCs w:val="24"/>
        </w:rPr>
        <w:t>新任基金托管人产生之前</w:t>
      </w:r>
      <w:r>
        <w:rPr>
          <w:rFonts w:ascii="宋体" w:eastAsia="宋体" w:hAnsi="宋体" w:cs="Malgun Gothic Semilight" w:hint="eastAsia"/>
          <w:sz w:val="24"/>
          <w:szCs w:val="24"/>
        </w:rPr>
        <w:t>，</w:t>
      </w:r>
      <w:r>
        <w:rPr>
          <w:rFonts w:ascii="宋体" w:eastAsia="宋体" w:hAnsi="宋体" w:cs="微软雅黑" w:hint="eastAsia"/>
          <w:sz w:val="24"/>
          <w:szCs w:val="24"/>
        </w:rPr>
        <w:t>由中国证监会指定临时基金托管人</w:t>
      </w:r>
      <w:r>
        <w:rPr>
          <w:rFonts w:ascii="宋体" w:eastAsia="宋体" w:hAnsi="宋体" w:cs="Malgun Gothic Semilight" w:hint="eastAsia"/>
          <w:sz w:val="24"/>
          <w:szCs w:val="24"/>
        </w:rPr>
        <w:t>；</w:t>
      </w:r>
    </w:p>
    <w:p w14:paraId="009C96A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备案</w:t>
      </w:r>
      <w:r>
        <w:rPr>
          <w:rFonts w:ascii="宋体" w:eastAsia="宋体" w:hAnsi="宋体" w:cs="Malgun Gothic Semilight" w:hint="eastAsia"/>
          <w:sz w:val="24"/>
          <w:szCs w:val="24"/>
        </w:rPr>
        <w:t>：</w:t>
      </w:r>
      <w:r>
        <w:rPr>
          <w:rFonts w:ascii="宋体" w:eastAsia="宋体" w:hAnsi="宋体" w:cs="微软雅黑" w:hint="eastAsia"/>
          <w:sz w:val="24"/>
          <w:szCs w:val="24"/>
        </w:rPr>
        <w:t>基金份额持有人大会更换基金托管人的决议须报中国证监会备案</w:t>
      </w:r>
      <w:r>
        <w:rPr>
          <w:rFonts w:ascii="宋体" w:eastAsia="宋体" w:hAnsi="宋体" w:cs="Malgun Gothic Semilight" w:hint="eastAsia"/>
          <w:sz w:val="24"/>
          <w:szCs w:val="24"/>
        </w:rPr>
        <w:t>；</w:t>
      </w:r>
    </w:p>
    <w:p w14:paraId="124D3BC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（5）</w:t>
      </w:r>
      <w:r>
        <w:rPr>
          <w:rFonts w:ascii="宋体" w:eastAsia="宋体" w:hAnsi="宋体" w:cs="微软雅黑" w:hint="eastAsia"/>
          <w:sz w:val="24"/>
          <w:szCs w:val="24"/>
        </w:rPr>
        <w:t>公告</w:t>
      </w:r>
      <w:r>
        <w:rPr>
          <w:rFonts w:ascii="宋体" w:eastAsia="宋体" w:hAnsi="宋体" w:cs="Malgun Gothic Semilight" w:hint="eastAsia"/>
          <w:sz w:val="24"/>
          <w:szCs w:val="24"/>
        </w:rPr>
        <w:t>：</w:t>
      </w:r>
      <w:r>
        <w:rPr>
          <w:rFonts w:ascii="宋体" w:eastAsia="宋体" w:hAnsi="宋体" w:cs="微软雅黑" w:hint="eastAsia"/>
          <w:sz w:val="24"/>
          <w:szCs w:val="24"/>
        </w:rPr>
        <w:t>基金托管人更换后</w:t>
      </w:r>
      <w:r>
        <w:rPr>
          <w:rFonts w:ascii="宋体" w:eastAsia="宋体" w:hAnsi="宋体" w:cs="Malgun Gothic Semilight" w:hint="eastAsia"/>
          <w:sz w:val="24"/>
          <w:szCs w:val="24"/>
        </w:rPr>
        <w:t>，</w:t>
      </w:r>
      <w:r>
        <w:rPr>
          <w:rFonts w:ascii="宋体" w:eastAsia="宋体" w:hAnsi="宋体" w:cs="微软雅黑" w:hint="eastAsia"/>
          <w:sz w:val="24"/>
          <w:szCs w:val="24"/>
        </w:rPr>
        <w:t>由基金管理人在更换基金托管人的基金份额持有人大会决议生效后</w:t>
      </w:r>
      <w:r>
        <w:rPr>
          <w:rFonts w:ascii="宋体" w:eastAsia="宋体" w:hAnsi="宋体" w:cs="Arial" w:hint="eastAsia"/>
          <w:sz w:val="24"/>
          <w:szCs w:val="24"/>
        </w:rPr>
        <w:t>依照《信息披露办法》的有关规定</w:t>
      </w:r>
      <w:r>
        <w:rPr>
          <w:rFonts w:ascii="宋体" w:eastAsia="宋体" w:hAnsi="宋体" w:cs="微软雅黑" w:hint="eastAsia"/>
          <w:sz w:val="24"/>
          <w:szCs w:val="24"/>
        </w:rPr>
        <w:t>在规定媒介公告</w:t>
      </w:r>
      <w:r>
        <w:rPr>
          <w:rFonts w:ascii="宋体" w:eastAsia="宋体" w:hAnsi="宋体" w:cs="Arial" w:hint="eastAsia"/>
          <w:sz w:val="24"/>
          <w:szCs w:val="24"/>
        </w:rPr>
        <w:t>；</w:t>
      </w:r>
    </w:p>
    <w:p w14:paraId="37FAD50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（6）</w:t>
      </w:r>
      <w:r>
        <w:rPr>
          <w:rFonts w:ascii="宋体" w:eastAsia="宋体" w:hAnsi="宋体" w:cs="微软雅黑" w:hint="eastAsia"/>
          <w:sz w:val="24"/>
          <w:szCs w:val="24"/>
        </w:rPr>
        <w:t>交接</w:t>
      </w:r>
      <w:r>
        <w:rPr>
          <w:rFonts w:ascii="宋体" w:eastAsia="宋体" w:hAnsi="宋体" w:cs="Malgun Gothic Semilight" w:hint="eastAsia"/>
          <w:sz w:val="24"/>
          <w:szCs w:val="24"/>
        </w:rPr>
        <w:t>：</w:t>
      </w:r>
      <w:r>
        <w:rPr>
          <w:rFonts w:ascii="宋体" w:eastAsia="宋体" w:hAnsi="宋体" w:cs="微软雅黑" w:hint="eastAsia"/>
          <w:sz w:val="24"/>
          <w:szCs w:val="24"/>
        </w:rPr>
        <w:t>基金托管人职责终止的</w:t>
      </w:r>
      <w:r>
        <w:rPr>
          <w:rFonts w:ascii="宋体" w:eastAsia="宋体" w:hAnsi="宋体" w:cs="Malgun Gothic Semilight" w:hint="eastAsia"/>
          <w:sz w:val="24"/>
          <w:szCs w:val="24"/>
        </w:rPr>
        <w:t>，</w:t>
      </w:r>
      <w:r>
        <w:rPr>
          <w:rFonts w:ascii="宋体" w:eastAsia="宋体" w:hAnsi="宋体" w:cs="微软雅黑" w:hint="eastAsia"/>
          <w:sz w:val="24"/>
          <w:szCs w:val="24"/>
        </w:rPr>
        <w:t>应当妥善保管基金财产和基金托管业务资料</w:t>
      </w:r>
      <w:r>
        <w:rPr>
          <w:rFonts w:ascii="宋体" w:eastAsia="宋体" w:hAnsi="宋体" w:cs="Malgun Gothic Semilight" w:hint="eastAsia"/>
          <w:sz w:val="24"/>
          <w:szCs w:val="24"/>
        </w:rPr>
        <w:t>，</w:t>
      </w:r>
      <w:r>
        <w:rPr>
          <w:rFonts w:ascii="宋体" w:eastAsia="宋体" w:hAnsi="宋体" w:cs="微软雅黑" w:hint="eastAsia"/>
          <w:sz w:val="24"/>
          <w:szCs w:val="24"/>
        </w:rPr>
        <w:t>及时办理基金财产和基金托管业务的移交手续</w:t>
      </w:r>
      <w:r>
        <w:rPr>
          <w:rFonts w:ascii="宋体" w:eastAsia="宋体" w:hAnsi="宋体" w:cs="Malgun Gothic Semilight" w:hint="eastAsia"/>
          <w:sz w:val="24"/>
          <w:szCs w:val="24"/>
        </w:rPr>
        <w:t>，</w:t>
      </w:r>
      <w:r>
        <w:rPr>
          <w:rFonts w:ascii="宋体" w:eastAsia="宋体" w:hAnsi="宋体" w:cs="微软雅黑" w:hint="eastAsia"/>
          <w:sz w:val="24"/>
          <w:szCs w:val="24"/>
        </w:rPr>
        <w:t>新任基金托管人或者临时基金托管人应当及时接收</w:t>
      </w:r>
      <w:r>
        <w:rPr>
          <w:rFonts w:ascii="宋体" w:eastAsia="宋体" w:hAnsi="宋体" w:cs="Malgun Gothic Semilight" w:hint="eastAsia"/>
          <w:sz w:val="24"/>
          <w:szCs w:val="24"/>
        </w:rPr>
        <w:t>。</w:t>
      </w:r>
      <w:r>
        <w:rPr>
          <w:rFonts w:ascii="宋体" w:eastAsia="宋体" w:hAnsi="宋体" w:cs="微软雅黑" w:hint="eastAsia"/>
          <w:sz w:val="24"/>
          <w:szCs w:val="24"/>
        </w:rPr>
        <w:t>新任基金托管人或临时基金托管人应与基金管理人核对基金资产总值和净值</w:t>
      </w:r>
      <w:r>
        <w:rPr>
          <w:rFonts w:ascii="宋体" w:eastAsia="宋体" w:hAnsi="宋体" w:cs="Arial" w:hint="eastAsia"/>
          <w:sz w:val="24"/>
          <w:szCs w:val="24"/>
        </w:rPr>
        <w:t>；</w:t>
      </w:r>
    </w:p>
    <w:p w14:paraId="2CCA3D9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（7）</w:t>
      </w:r>
      <w:r>
        <w:rPr>
          <w:rFonts w:ascii="宋体" w:eastAsia="宋体" w:hAnsi="宋体" w:cs="微软雅黑" w:hint="eastAsia"/>
          <w:sz w:val="24"/>
          <w:szCs w:val="24"/>
        </w:rPr>
        <w:t>审计</w:t>
      </w:r>
      <w:r>
        <w:rPr>
          <w:rFonts w:ascii="宋体" w:eastAsia="宋体" w:hAnsi="宋体" w:cs="Malgun Gothic Semilight" w:hint="eastAsia"/>
          <w:sz w:val="24"/>
          <w:szCs w:val="24"/>
        </w:rPr>
        <w:t>：</w:t>
      </w:r>
      <w:r>
        <w:rPr>
          <w:rFonts w:ascii="宋体" w:eastAsia="宋体" w:hAnsi="宋体" w:cs="微软雅黑" w:hint="eastAsia"/>
          <w:sz w:val="24"/>
          <w:szCs w:val="24"/>
        </w:rPr>
        <w:t>基金托管人职责终止的</w:t>
      </w:r>
      <w:r>
        <w:rPr>
          <w:rFonts w:ascii="宋体" w:eastAsia="宋体" w:hAnsi="宋体" w:cs="Malgun Gothic Semilight" w:hint="eastAsia"/>
          <w:sz w:val="24"/>
          <w:szCs w:val="24"/>
        </w:rPr>
        <w:t>，</w:t>
      </w:r>
      <w:r>
        <w:rPr>
          <w:rFonts w:ascii="宋体" w:eastAsia="宋体" w:hAnsi="宋体" w:cs="微软雅黑" w:hint="eastAsia"/>
          <w:sz w:val="24"/>
          <w:szCs w:val="24"/>
        </w:rPr>
        <w:t>应当聘请符合《证券法》规定的会计师事务所对基金财产进行审计</w:t>
      </w:r>
      <w:r>
        <w:rPr>
          <w:rFonts w:ascii="宋体" w:eastAsia="宋体" w:hAnsi="宋体" w:cs="Malgun Gothic Semilight" w:hint="eastAsia"/>
          <w:sz w:val="24"/>
          <w:szCs w:val="24"/>
        </w:rPr>
        <w:t>，</w:t>
      </w:r>
      <w:r>
        <w:rPr>
          <w:rFonts w:ascii="宋体" w:eastAsia="宋体" w:hAnsi="宋体" w:cs="微软雅黑" w:hint="eastAsia"/>
          <w:sz w:val="24"/>
          <w:szCs w:val="24"/>
        </w:rPr>
        <w:t>并将审计结果予以公告</w:t>
      </w:r>
      <w:r>
        <w:rPr>
          <w:rFonts w:ascii="宋体" w:eastAsia="宋体" w:hAnsi="宋体" w:cs="Malgun Gothic Semilight" w:hint="eastAsia"/>
          <w:sz w:val="24"/>
          <w:szCs w:val="24"/>
        </w:rPr>
        <w:t>，</w:t>
      </w:r>
      <w:r>
        <w:rPr>
          <w:rFonts w:ascii="宋体" w:eastAsia="宋体" w:hAnsi="宋体" w:cs="微软雅黑" w:hint="eastAsia"/>
          <w:sz w:val="24"/>
          <w:szCs w:val="24"/>
        </w:rPr>
        <w:t>同时报中国证监会备案，审计费用从基金财产中列支</w:t>
      </w:r>
      <w:r>
        <w:rPr>
          <w:rFonts w:ascii="宋体" w:eastAsia="宋体" w:hAnsi="宋体" w:cs="Malgun Gothic Semilight" w:hint="eastAsia"/>
          <w:sz w:val="24"/>
          <w:szCs w:val="24"/>
        </w:rPr>
        <w:t>。</w:t>
      </w:r>
    </w:p>
    <w:p w14:paraId="65A9070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基金管理人与基金托管人同时更换的条件和程序</w:t>
      </w:r>
    </w:p>
    <w:p w14:paraId="207F23C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提名</w:t>
      </w:r>
      <w:r>
        <w:rPr>
          <w:rFonts w:ascii="宋体" w:eastAsia="宋体" w:hAnsi="宋体" w:cs="Malgun Gothic Semilight" w:hint="eastAsia"/>
          <w:sz w:val="24"/>
          <w:szCs w:val="24"/>
        </w:rPr>
        <w:t>：</w:t>
      </w:r>
      <w:r>
        <w:rPr>
          <w:rFonts w:ascii="宋体" w:eastAsia="宋体" w:hAnsi="宋体" w:cs="微软雅黑" w:hint="eastAsia"/>
          <w:sz w:val="24"/>
          <w:szCs w:val="24"/>
        </w:rPr>
        <w:t>如果基金管理人和基金托管人同时更换</w:t>
      </w:r>
      <w:r>
        <w:rPr>
          <w:rFonts w:ascii="宋体" w:eastAsia="宋体" w:hAnsi="宋体" w:cs="Malgun Gothic Semilight" w:hint="eastAsia"/>
          <w:sz w:val="24"/>
          <w:szCs w:val="24"/>
        </w:rPr>
        <w:t>，</w:t>
      </w:r>
      <w:r>
        <w:rPr>
          <w:rFonts w:ascii="宋体" w:eastAsia="宋体" w:hAnsi="宋体" w:cs="微软雅黑" w:hint="eastAsia"/>
          <w:sz w:val="24"/>
          <w:szCs w:val="24"/>
        </w:rPr>
        <w:t>由单独或合计持有</w:t>
      </w:r>
      <w:r>
        <w:rPr>
          <w:rFonts w:ascii="宋体" w:eastAsia="宋体" w:hAnsi="宋体" w:cs="Arial" w:hint="eastAsia"/>
          <w:sz w:val="24"/>
          <w:szCs w:val="24"/>
        </w:rPr>
        <w:t>10%</w:t>
      </w:r>
      <w:r>
        <w:rPr>
          <w:rFonts w:ascii="宋体" w:eastAsia="宋体" w:hAnsi="宋体" w:cs="微软雅黑" w:hint="eastAsia"/>
          <w:sz w:val="24"/>
          <w:szCs w:val="24"/>
        </w:rPr>
        <w:t>以上</w:t>
      </w:r>
      <w:r>
        <w:rPr>
          <w:rFonts w:ascii="宋体" w:eastAsia="宋体" w:hAnsi="宋体" w:cs="Arial" w:hint="eastAsia"/>
          <w:sz w:val="24"/>
          <w:szCs w:val="24"/>
        </w:rPr>
        <w:t>（</w:t>
      </w:r>
      <w:r>
        <w:rPr>
          <w:rFonts w:ascii="宋体" w:eastAsia="宋体" w:hAnsi="宋体" w:cs="微软雅黑" w:hint="eastAsia"/>
          <w:sz w:val="24"/>
          <w:szCs w:val="24"/>
        </w:rPr>
        <w:t>含</w:t>
      </w:r>
      <w:r>
        <w:rPr>
          <w:rFonts w:ascii="宋体" w:eastAsia="宋体" w:hAnsi="宋体" w:cs="Arial" w:hint="eastAsia"/>
          <w:sz w:val="24"/>
          <w:szCs w:val="24"/>
        </w:rPr>
        <w:t>10%）基金份额</w:t>
      </w:r>
      <w:r>
        <w:rPr>
          <w:rFonts w:ascii="宋体" w:eastAsia="宋体" w:hAnsi="宋体" w:cs="微软雅黑" w:hint="eastAsia"/>
          <w:sz w:val="24"/>
          <w:szCs w:val="24"/>
        </w:rPr>
        <w:t>的基金份额持有人提名新的基金管理人和基金托管人</w:t>
      </w:r>
      <w:r>
        <w:rPr>
          <w:rFonts w:ascii="宋体" w:eastAsia="宋体" w:hAnsi="宋体" w:cs="Malgun Gothic Semilight" w:hint="eastAsia"/>
          <w:sz w:val="24"/>
          <w:szCs w:val="24"/>
        </w:rPr>
        <w:t>；</w:t>
      </w:r>
    </w:p>
    <w:p w14:paraId="488B944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基金管理人和基金托管人的更换分别按上述程序进行</w:t>
      </w:r>
      <w:r>
        <w:rPr>
          <w:rFonts w:ascii="宋体" w:eastAsia="宋体" w:hAnsi="宋体" w:cs="Malgun Gothic Semilight" w:hint="eastAsia"/>
          <w:sz w:val="24"/>
          <w:szCs w:val="24"/>
        </w:rPr>
        <w:t>；</w:t>
      </w:r>
    </w:p>
    <w:p w14:paraId="2DC3661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公告</w:t>
      </w:r>
      <w:r>
        <w:rPr>
          <w:rFonts w:ascii="宋体" w:eastAsia="宋体" w:hAnsi="宋体" w:cs="Malgun Gothic Semilight" w:hint="eastAsia"/>
          <w:sz w:val="24"/>
          <w:szCs w:val="24"/>
        </w:rPr>
        <w:t>：</w:t>
      </w:r>
      <w:r>
        <w:rPr>
          <w:rFonts w:ascii="宋体" w:eastAsia="宋体" w:hAnsi="宋体" w:cs="微软雅黑" w:hint="eastAsia"/>
          <w:sz w:val="24"/>
          <w:szCs w:val="24"/>
        </w:rPr>
        <w:t>新任基金管理人和新任基金托管人应在更换基金管理人和基金托管人的基金份额持有人大会决议生效后</w:t>
      </w:r>
      <w:r>
        <w:rPr>
          <w:rFonts w:ascii="宋体" w:eastAsia="宋体" w:hAnsi="宋体" w:cs="Arial" w:hint="eastAsia"/>
          <w:sz w:val="24"/>
          <w:szCs w:val="24"/>
        </w:rPr>
        <w:t>依照《信息披露办法》的有关规定</w:t>
      </w:r>
      <w:r>
        <w:rPr>
          <w:rFonts w:ascii="宋体" w:eastAsia="宋体" w:hAnsi="宋体" w:cs="微软雅黑" w:hint="eastAsia"/>
          <w:sz w:val="24"/>
          <w:szCs w:val="24"/>
        </w:rPr>
        <w:t>在规定媒介上联合公告</w:t>
      </w:r>
      <w:r>
        <w:rPr>
          <w:rFonts w:ascii="宋体" w:eastAsia="宋体" w:hAnsi="宋体" w:cs="Malgun Gothic Semilight" w:hint="eastAsia"/>
          <w:sz w:val="24"/>
          <w:szCs w:val="24"/>
        </w:rPr>
        <w:t>。</w:t>
      </w:r>
    </w:p>
    <w:p w14:paraId="3C30707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四</w:t>
      </w:r>
      <w:r>
        <w:rPr>
          <w:rFonts w:ascii="宋体" w:eastAsia="宋体" w:hAnsi="宋体" w:cs="Malgun Gothic Semilight" w:hint="eastAsia"/>
          <w:sz w:val="24"/>
          <w:szCs w:val="24"/>
        </w:rPr>
        <w:t>）</w:t>
      </w:r>
      <w:r>
        <w:rPr>
          <w:rFonts w:ascii="宋体" w:eastAsia="宋体" w:hAnsi="宋体" w:cs="微软雅黑" w:hint="eastAsia"/>
          <w:sz w:val="24"/>
          <w:szCs w:val="24"/>
        </w:rPr>
        <w:t>新任或临时基金管理人接收基金管理业务或新任或临时基金托管人接</w:t>
      </w:r>
      <w:r>
        <w:rPr>
          <w:rFonts w:ascii="宋体" w:eastAsia="宋体" w:hAnsi="宋体" w:cs="微软雅黑" w:hint="eastAsia"/>
          <w:sz w:val="24"/>
          <w:szCs w:val="24"/>
        </w:rPr>
        <w:lastRenderedPageBreak/>
        <w:t>收基金财产和基金托管业务前</w:t>
      </w:r>
      <w:r>
        <w:rPr>
          <w:rFonts w:ascii="宋体" w:eastAsia="宋体" w:hAnsi="宋体" w:cs="Malgun Gothic Semilight" w:hint="eastAsia"/>
          <w:sz w:val="24"/>
          <w:szCs w:val="24"/>
        </w:rPr>
        <w:t>，</w:t>
      </w:r>
      <w:r>
        <w:rPr>
          <w:rFonts w:ascii="宋体" w:eastAsia="宋体" w:hAnsi="宋体" w:cs="微软雅黑" w:hint="eastAsia"/>
          <w:sz w:val="24"/>
          <w:szCs w:val="24"/>
        </w:rPr>
        <w:t>原基金管理人或原基金托管人应依据法律法规和基金合同的规定继续履行相关职责</w:t>
      </w:r>
      <w:r>
        <w:rPr>
          <w:rFonts w:ascii="宋体" w:eastAsia="宋体" w:hAnsi="宋体" w:cs="Malgun Gothic Semilight" w:hint="eastAsia"/>
          <w:sz w:val="24"/>
          <w:szCs w:val="24"/>
        </w:rPr>
        <w:t>，</w:t>
      </w:r>
      <w:r>
        <w:rPr>
          <w:rFonts w:ascii="宋体" w:eastAsia="宋体" w:hAnsi="宋体" w:cs="微软雅黑" w:hint="eastAsia"/>
          <w:sz w:val="24"/>
          <w:szCs w:val="24"/>
        </w:rPr>
        <w:t>并保证不做出对基金份额持有人的利益造成损害的行为</w:t>
      </w:r>
      <w:r>
        <w:rPr>
          <w:rFonts w:ascii="宋体" w:eastAsia="宋体" w:hAnsi="宋体" w:cs="Malgun Gothic Semilight" w:hint="eastAsia"/>
          <w:sz w:val="24"/>
          <w:szCs w:val="24"/>
        </w:rPr>
        <w:t>。</w:t>
      </w:r>
      <w:r>
        <w:rPr>
          <w:rFonts w:ascii="宋体" w:eastAsia="宋体" w:hAnsi="宋体" w:cs="微软雅黑" w:hint="eastAsia"/>
          <w:sz w:val="24"/>
          <w:szCs w:val="24"/>
        </w:rPr>
        <w:t>原基金管理人或原基金托管人在继续履行相关职责期间</w:t>
      </w:r>
      <w:r>
        <w:rPr>
          <w:rFonts w:ascii="宋体" w:eastAsia="宋体" w:hAnsi="宋体" w:cs="Malgun Gothic Semilight" w:hint="eastAsia"/>
          <w:sz w:val="24"/>
          <w:szCs w:val="24"/>
        </w:rPr>
        <w:t>，</w:t>
      </w:r>
      <w:r>
        <w:rPr>
          <w:rFonts w:ascii="宋体" w:eastAsia="宋体" w:hAnsi="宋体" w:cs="微软雅黑" w:hint="eastAsia"/>
          <w:sz w:val="24"/>
          <w:szCs w:val="24"/>
        </w:rPr>
        <w:t>仍有权按照基金合同和本协议的规定收取基金管理费或基金托管费</w:t>
      </w:r>
      <w:r>
        <w:rPr>
          <w:rFonts w:ascii="宋体" w:eastAsia="宋体" w:hAnsi="宋体" w:cs="Arial" w:hint="eastAsia"/>
          <w:sz w:val="24"/>
          <w:szCs w:val="24"/>
        </w:rPr>
        <w:t>。</w:t>
      </w:r>
    </w:p>
    <w:p w14:paraId="2956BB6E" w14:textId="77777777" w:rsidR="00C521E2" w:rsidRDefault="00C521E2">
      <w:pPr>
        <w:adjustRightInd w:val="0"/>
        <w:snapToGrid w:val="0"/>
        <w:spacing w:line="360" w:lineRule="auto"/>
        <w:rPr>
          <w:rFonts w:ascii="宋体" w:eastAsia="宋体" w:hAnsi="宋体" w:cs="Arial"/>
          <w:sz w:val="24"/>
          <w:szCs w:val="24"/>
        </w:rPr>
      </w:pPr>
    </w:p>
    <w:p w14:paraId="7F6121A8"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4" w:name="_Toc204539406"/>
      <w:r>
        <w:rPr>
          <w:rFonts w:ascii="宋体" w:eastAsia="宋体" w:hAnsi="宋体" w:cs="微软雅黑" w:hint="eastAsia"/>
          <w:b/>
          <w:sz w:val="30"/>
          <w:szCs w:val="20"/>
        </w:rPr>
        <w:t>十五</w:t>
      </w:r>
      <w:r>
        <w:rPr>
          <w:rFonts w:ascii="宋体" w:eastAsia="宋体" w:hAnsi="宋体" w:cs="Malgun Gothic Semilight" w:hint="eastAsia"/>
          <w:b/>
          <w:sz w:val="30"/>
          <w:szCs w:val="20"/>
        </w:rPr>
        <w:t>、</w:t>
      </w:r>
      <w:r>
        <w:rPr>
          <w:rFonts w:ascii="宋体" w:eastAsia="宋体" w:hAnsi="宋体" w:cs="微软雅黑" w:hint="eastAsia"/>
          <w:b/>
          <w:sz w:val="30"/>
          <w:szCs w:val="20"/>
        </w:rPr>
        <w:t>禁止行为</w:t>
      </w:r>
      <w:bookmarkEnd w:id="94"/>
    </w:p>
    <w:p w14:paraId="4C551AC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本协议当事人禁止从事的行为，包括但不限于：</w:t>
      </w:r>
    </w:p>
    <w:p w14:paraId="77F1EC2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（一）基金管理人、基金托管人将其固有财产或者他人财产混同于基金财产从事证券投资。</w:t>
      </w:r>
    </w:p>
    <w:p w14:paraId="16FEAC6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（二）基金管理人不公平地对待其管理的不同基金财产，基金托管人不公平地对待其托管的不同基金财产。</w:t>
      </w:r>
    </w:p>
    <w:p w14:paraId="4327CEE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（三）基金管理人、基金托管人利用基金财产或职务之便为基金份额持有人以外的第三人牟取利益。</w:t>
      </w:r>
    </w:p>
    <w:p w14:paraId="6938EFD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（四）基金管理人、基金托管人向基金份额持有人违规承诺收益或者承担损失。</w:t>
      </w:r>
    </w:p>
    <w:p w14:paraId="48571F3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（五）基金管理人、基金托管人对他人泄露基金运作和管理过程中任何尚未按法律法规规定的方式公开披露的信息。</w:t>
      </w:r>
    </w:p>
    <w:p w14:paraId="51548B3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（六）基金管理人在没有充足资金的情况下向基金托管人发出投资指令和赎回、分红资金的划拨指令，或违规向基金托管人发出指令。</w:t>
      </w:r>
    </w:p>
    <w:p w14:paraId="336CC25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（七）基金管理人、基金托管人在行政上、财务上不独立， 其董事、监事、高级管理人员和其他从业人员相互兼职。</w:t>
      </w:r>
    </w:p>
    <w:p w14:paraId="6E67B6B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（八）基金托管人私自动用或处分基金财产，根据基金管理人的有效指令、《基金合同》或托管协议的规定进行处分的除外。</w:t>
      </w:r>
    </w:p>
    <w:p w14:paraId="1BD9EFD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（九）基金财产用于下列投资或者活动：1.承销证券；2.违反规定向他人贷款或者提供担保；3.从事承担无限责任的投资；4.买卖除目标E</w:t>
      </w:r>
      <w:r>
        <w:rPr>
          <w:rFonts w:ascii="宋体" w:eastAsia="宋体" w:hAnsi="宋体" w:cs="Arial"/>
          <w:sz w:val="24"/>
          <w:szCs w:val="24"/>
        </w:rPr>
        <w:t>TF以外的</w:t>
      </w:r>
      <w:r>
        <w:rPr>
          <w:rFonts w:ascii="宋体" w:eastAsia="宋体" w:hAnsi="宋体" w:cs="Arial" w:hint="eastAsia"/>
          <w:sz w:val="24"/>
          <w:szCs w:val="24"/>
        </w:rPr>
        <w:t>其他基金份额，但是中国证监会另有规定的除外；5.向其基金管理人、基金托管人出资；6.从事内幕交易、操纵证券交易价格及其他不正当的证券交易活动；7.法律、行政法规和中国证监会规定禁止的其他活动。法律法规或监管部门取消或变更上述</w:t>
      </w:r>
      <w:r>
        <w:rPr>
          <w:rFonts w:ascii="宋体" w:eastAsia="宋体" w:hAnsi="宋体" w:cs="Arial" w:hint="eastAsia"/>
          <w:sz w:val="24"/>
          <w:szCs w:val="24"/>
        </w:rPr>
        <w:lastRenderedPageBreak/>
        <w:t>限制，基金管理人在履行适当程序后，如适用于本基金，则本基金投资不再受相关限制或以变更后的规则为准。</w:t>
      </w:r>
    </w:p>
    <w:p w14:paraId="12D2BEB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（十）法律法规和《基金合同》禁止的其他行为，以及依照法律、行政法规有关规定，由中国证监会规定禁止基金管理人、基金托管人从事的其他行为。</w:t>
      </w:r>
    </w:p>
    <w:p w14:paraId="39EBEB8B" w14:textId="77777777" w:rsidR="00C521E2" w:rsidRDefault="00C521E2">
      <w:pPr>
        <w:adjustRightInd w:val="0"/>
        <w:snapToGrid w:val="0"/>
        <w:spacing w:line="360" w:lineRule="auto"/>
        <w:rPr>
          <w:rFonts w:ascii="宋体" w:eastAsia="宋体" w:hAnsi="宋体" w:cs="Times New Roman"/>
          <w:sz w:val="30"/>
          <w:szCs w:val="30"/>
        </w:rPr>
      </w:pPr>
    </w:p>
    <w:p w14:paraId="2AB804A5"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5" w:name="_Toc204539407"/>
      <w:r>
        <w:rPr>
          <w:rFonts w:ascii="宋体" w:eastAsia="宋体" w:hAnsi="宋体" w:cs="微软雅黑" w:hint="eastAsia"/>
          <w:b/>
          <w:sz w:val="30"/>
          <w:szCs w:val="20"/>
        </w:rPr>
        <w:t>十六</w:t>
      </w:r>
      <w:r>
        <w:rPr>
          <w:rFonts w:ascii="宋体" w:eastAsia="宋体" w:hAnsi="宋体" w:cs="Malgun Gothic Semilight" w:hint="eastAsia"/>
          <w:b/>
          <w:sz w:val="30"/>
          <w:szCs w:val="20"/>
        </w:rPr>
        <w:t>、</w:t>
      </w:r>
      <w:r>
        <w:rPr>
          <w:rFonts w:ascii="宋体" w:eastAsia="宋体" w:hAnsi="宋体" w:cs="微软雅黑" w:hint="eastAsia"/>
          <w:b/>
          <w:sz w:val="30"/>
          <w:szCs w:val="20"/>
        </w:rPr>
        <w:t>托管协议的变更</w:t>
      </w:r>
      <w:r>
        <w:rPr>
          <w:rFonts w:ascii="宋体" w:eastAsia="宋体" w:hAnsi="宋体" w:cs="Malgun Gothic Semilight" w:hint="eastAsia"/>
          <w:b/>
          <w:sz w:val="30"/>
          <w:szCs w:val="20"/>
        </w:rPr>
        <w:t>、</w:t>
      </w:r>
      <w:r>
        <w:rPr>
          <w:rFonts w:ascii="宋体" w:eastAsia="宋体" w:hAnsi="宋体" w:cs="微软雅黑" w:hint="eastAsia"/>
          <w:b/>
          <w:sz w:val="30"/>
          <w:szCs w:val="20"/>
        </w:rPr>
        <w:t>终止与基金财产的清算</w:t>
      </w:r>
      <w:bookmarkEnd w:id="95"/>
    </w:p>
    <w:p w14:paraId="7096FCE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托管协议的变更程序</w:t>
      </w:r>
    </w:p>
    <w:p w14:paraId="6B718814" w14:textId="77777777" w:rsidR="00C521E2" w:rsidRDefault="005D6E6D">
      <w:pPr>
        <w:adjustRightInd w:val="0"/>
        <w:snapToGrid w:val="0"/>
        <w:spacing w:line="360" w:lineRule="auto"/>
        <w:ind w:firstLineChars="200" w:firstLine="480"/>
        <w:rPr>
          <w:rFonts w:ascii="宋体" w:eastAsia="宋体" w:hAnsi="宋体" w:cs="Times New Roman"/>
          <w:sz w:val="30"/>
          <w:szCs w:val="30"/>
        </w:rPr>
      </w:pPr>
      <w:r>
        <w:rPr>
          <w:rFonts w:ascii="宋体" w:eastAsia="宋体" w:hAnsi="宋体" w:cs="微软雅黑" w:hint="eastAsia"/>
          <w:sz w:val="24"/>
          <w:szCs w:val="24"/>
        </w:rPr>
        <w:t>本协议双方当事人经协商一致</w:t>
      </w:r>
      <w:r>
        <w:rPr>
          <w:rFonts w:ascii="宋体" w:eastAsia="宋体" w:hAnsi="宋体" w:cs="Malgun Gothic Semilight" w:hint="eastAsia"/>
          <w:sz w:val="24"/>
          <w:szCs w:val="24"/>
        </w:rPr>
        <w:t>，在履行适当程序后</w:t>
      </w:r>
      <w:r>
        <w:rPr>
          <w:rFonts w:ascii="宋体" w:eastAsia="宋体" w:hAnsi="宋体" w:cs="微软雅黑" w:hint="eastAsia"/>
          <w:sz w:val="24"/>
          <w:szCs w:val="24"/>
        </w:rPr>
        <w:t>可以对本协议进行修改</w:t>
      </w:r>
      <w:r>
        <w:rPr>
          <w:rFonts w:ascii="宋体" w:eastAsia="宋体" w:hAnsi="宋体" w:cs="Malgun Gothic Semilight" w:hint="eastAsia"/>
          <w:sz w:val="24"/>
          <w:szCs w:val="24"/>
        </w:rPr>
        <w:t>。</w:t>
      </w:r>
      <w:r>
        <w:rPr>
          <w:rFonts w:ascii="宋体" w:eastAsia="宋体" w:hAnsi="宋体" w:cs="微软雅黑" w:hint="eastAsia"/>
          <w:sz w:val="24"/>
          <w:szCs w:val="24"/>
        </w:rPr>
        <w:t>修改后的新协议</w:t>
      </w:r>
      <w:r>
        <w:rPr>
          <w:rFonts w:ascii="宋体" w:eastAsia="宋体" w:hAnsi="宋体" w:cs="Malgun Gothic Semilight" w:hint="eastAsia"/>
          <w:sz w:val="24"/>
          <w:szCs w:val="24"/>
        </w:rPr>
        <w:t>，</w:t>
      </w:r>
      <w:r>
        <w:rPr>
          <w:rFonts w:ascii="宋体" w:eastAsia="宋体" w:hAnsi="宋体" w:cs="微软雅黑" w:hint="eastAsia"/>
          <w:sz w:val="24"/>
          <w:szCs w:val="24"/>
        </w:rPr>
        <w:t>其内容不得与</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的规定有任何冲突</w:t>
      </w:r>
      <w:r>
        <w:rPr>
          <w:rFonts w:ascii="宋体" w:eastAsia="宋体" w:hAnsi="宋体" w:cs="Malgun Gothic Semilight" w:hint="eastAsia"/>
          <w:sz w:val="24"/>
          <w:szCs w:val="24"/>
        </w:rPr>
        <w:t>。</w:t>
      </w:r>
    </w:p>
    <w:p w14:paraId="7D7E56D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托管协议终止的情形</w:t>
      </w:r>
    </w:p>
    <w:p w14:paraId="72D6150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终止</w:t>
      </w:r>
      <w:r>
        <w:rPr>
          <w:rFonts w:ascii="宋体" w:eastAsia="宋体" w:hAnsi="宋体" w:cs="Malgun Gothic Semilight" w:hint="eastAsia"/>
          <w:sz w:val="24"/>
          <w:szCs w:val="24"/>
        </w:rPr>
        <w:t>；</w:t>
      </w:r>
    </w:p>
    <w:p w14:paraId="19F26E5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基金托管人解散</w:t>
      </w:r>
      <w:r>
        <w:rPr>
          <w:rFonts w:ascii="宋体" w:eastAsia="宋体" w:hAnsi="宋体" w:cs="Malgun Gothic Semilight" w:hint="eastAsia"/>
          <w:sz w:val="24"/>
          <w:szCs w:val="24"/>
        </w:rPr>
        <w:t>、</w:t>
      </w:r>
      <w:r>
        <w:rPr>
          <w:rFonts w:ascii="宋体" w:eastAsia="宋体" w:hAnsi="宋体" w:cs="微软雅黑" w:hint="eastAsia"/>
          <w:sz w:val="24"/>
          <w:szCs w:val="24"/>
        </w:rPr>
        <w:t>依法被撤销</w:t>
      </w:r>
      <w:r>
        <w:rPr>
          <w:rFonts w:ascii="宋体" w:eastAsia="宋体" w:hAnsi="宋体" w:cs="Malgun Gothic Semilight" w:hint="eastAsia"/>
          <w:sz w:val="24"/>
          <w:szCs w:val="24"/>
        </w:rPr>
        <w:t>、</w:t>
      </w:r>
      <w:r>
        <w:rPr>
          <w:rFonts w:ascii="宋体" w:eastAsia="宋体" w:hAnsi="宋体" w:cs="微软雅黑" w:hint="eastAsia"/>
          <w:sz w:val="24"/>
          <w:szCs w:val="24"/>
        </w:rPr>
        <w:t>破产或由其他基金托管人接管基金资产</w:t>
      </w:r>
      <w:r>
        <w:rPr>
          <w:rFonts w:ascii="宋体" w:eastAsia="宋体" w:hAnsi="宋体" w:cs="Malgun Gothic Semilight" w:hint="eastAsia"/>
          <w:sz w:val="24"/>
          <w:szCs w:val="24"/>
        </w:rPr>
        <w:t>；</w:t>
      </w:r>
    </w:p>
    <w:p w14:paraId="047EBDC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3.</w:t>
      </w:r>
      <w:r>
        <w:rPr>
          <w:rFonts w:ascii="宋体" w:eastAsia="宋体" w:hAnsi="宋体" w:cs="微软雅黑" w:hint="eastAsia"/>
          <w:sz w:val="24"/>
          <w:szCs w:val="24"/>
        </w:rPr>
        <w:t>基金管理人解散</w:t>
      </w:r>
      <w:r>
        <w:rPr>
          <w:rFonts w:ascii="宋体" w:eastAsia="宋体" w:hAnsi="宋体" w:cs="Malgun Gothic Semilight" w:hint="eastAsia"/>
          <w:sz w:val="24"/>
          <w:szCs w:val="24"/>
        </w:rPr>
        <w:t>、</w:t>
      </w:r>
      <w:r>
        <w:rPr>
          <w:rFonts w:ascii="宋体" w:eastAsia="宋体" w:hAnsi="宋体" w:cs="微软雅黑" w:hint="eastAsia"/>
          <w:sz w:val="24"/>
          <w:szCs w:val="24"/>
        </w:rPr>
        <w:t>依法被撤销</w:t>
      </w:r>
      <w:r>
        <w:rPr>
          <w:rFonts w:ascii="宋体" w:eastAsia="宋体" w:hAnsi="宋体" w:cs="Malgun Gothic Semilight" w:hint="eastAsia"/>
          <w:sz w:val="24"/>
          <w:szCs w:val="24"/>
        </w:rPr>
        <w:t>、</w:t>
      </w:r>
      <w:r>
        <w:rPr>
          <w:rFonts w:ascii="宋体" w:eastAsia="宋体" w:hAnsi="宋体" w:cs="微软雅黑" w:hint="eastAsia"/>
          <w:sz w:val="24"/>
          <w:szCs w:val="24"/>
        </w:rPr>
        <w:t>破产或由其他基金管理人接管基金管理权</w:t>
      </w:r>
      <w:r>
        <w:rPr>
          <w:rFonts w:ascii="宋体" w:eastAsia="宋体" w:hAnsi="宋体" w:cs="Malgun Gothic Semilight" w:hint="eastAsia"/>
          <w:sz w:val="24"/>
          <w:szCs w:val="24"/>
        </w:rPr>
        <w:t>；</w:t>
      </w:r>
    </w:p>
    <w:p w14:paraId="0D42E5B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发生法律法规或</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规定的终止事项</w:t>
      </w:r>
      <w:r>
        <w:rPr>
          <w:rFonts w:ascii="宋体" w:eastAsia="宋体" w:hAnsi="宋体" w:cs="Malgun Gothic Semilight" w:hint="eastAsia"/>
          <w:sz w:val="24"/>
          <w:szCs w:val="24"/>
        </w:rPr>
        <w:t>。</w:t>
      </w:r>
    </w:p>
    <w:p w14:paraId="5A736B5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基金财产的清算</w:t>
      </w:r>
    </w:p>
    <w:p w14:paraId="18E96B2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w:t>
      </w:r>
      <w:r>
        <w:rPr>
          <w:rFonts w:ascii="宋体" w:eastAsia="宋体" w:hAnsi="宋体" w:cs="微软雅黑" w:hint="eastAsia"/>
          <w:sz w:val="24"/>
          <w:szCs w:val="24"/>
        </w:rPr>
        <w:t>基金财产清算小组</w:t>
      </w:r>
      <w:r>
        <w:rPr>
          <w:rFonts w:ascii="宋体" w:eastAsia="宋体" w:hAnsi="宋体" w:cs="Malgun Gothic Semilight" w:hint="eastAsia"/>
          <w:sz w:val="24"/>
          <w:szCs w:val="24"/>
        </w:rPr>
        <w:t>：</w:t>
      </w:r>
      <w:r>
        <w:rPr>
          <w:rFonts w:ascii="宋体" w:eastAsia="宋体" w:hAnsi="宋体" w:cs="微软雅黑" w:hint="eastAsia"/>
          <w:sz w:val="24"/>
          <w:szCs w:val="24"/>
        </w:rPr>
        <w:t>自出现</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终止事由之日起</w:t>
      </w:r>
      <w:r>
        <w:rPr>
          <w:rFonts w:ascii="宋体" w:eastAsia="宋体" w:hAnsi="宋体" w:cs="Arial" w:hint="eastAsia"/>
          <w:sz w:val="24"/>
          <w:szCs w:val="24"/>
        </w:rPr>
        <w:t>30</w:t>
      </w:r>
      <w:r>
        <w:rPr>
          <w:rFonts w:ascii="宋体" w:eastAsia="宋体" w:hAnsi="宋体" w:cs="微软雅黑" w:hint="eastAsia"/>
          <w:sz w:val="24"/>
          <w:szCs w:val="24"/>
        </w:rPr>
        <w:t>个工作日内成立基金财产清算小组</w:t>
      </w:r>
      <w:r>
        <w:rPr>
          <w:rFonts w:ascii="宋体" w:eastAsia="宋体" w:hAnsi="宋体" w:cs="Malgun Gothic Semilight" w:hint="eastAsia"/>
          <w:sz w:val="24"/>
          <w:szCs w:val="24"/>
        </w:rPr>
        <w:t>，</w:t>
      </w:r>
      <w:r>
        <w:rPr>
          <w:rFonts w:ascii="宋体" w:eastAsia="宋体" w:hAnsi="宋体" w:cs="微软雅黑" w:hint="eastAsia"/>
          <w:sz w:val="24"/>
          <w:szCs w:val="24"/>
        </w:rPr>
        <w:t>基金管理人组织基金财产清算小组并在中国证监会的监督下进行基金清算</w:t>
      </w:r>
      <w:r>
        <w:rPr>
          <w:rFonts w:ascii="宋体" w:eastAsia="宋体" w:hAnsi="宋体" w:cs="Malgun Gothic Semilight" w:hint="eastAsia"/>
          <w:sz w:val="24"/>
          <w:szCs w:val="24"/>
        </w:rPr>
        <w:t>。</w:t>
      </w:r>
    </w:p>
    <w:p w14:paraId="4DC097C0"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hint="eastAsia"/>
        </w:rPr>
        <w:t xml:space="preserve"> </w:t>
      </w:r>
      <w:r>
        <w:rPr>
          <w:rFonts w:ascii="宋体" w:eastAsia="宋体" w:hAnsi="宋体" w:cs="Arial" w:hint="eastAsia"/>
          <w:sz w:val="24"/>
          <w:szCs w:val="24"/>
        </w:rPr>
        <w:t>在基金财产清算小组接管基金财产之前，基金管理人和基金托管人应按照基金合同和托管协议的规定继续履行保护基金财产安全的职责。</w:t>
      </w:r>
    </w:p>
    <w:p w14:paraId="708A7FC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3</w:t>
      </w:r>
      <w:r>
        <w:rPr>
          <w:rFonts w:ascii="宋体" w:eastAsia="宋体" w:hAnsi="宋体" w:cs="Arial" w:hint="eastAsia"/>
          <w:sz w:val="24"/>
          <w:szCs w:val="24"/>
        </w:rPr>
        <w:t>.</w:t>
      </w:r>
      <w:r>
        <w:rPr>
          <w:rFonts w:ascii="宋体" w:eastAsia="宋体" w:hAnsi="宋体" w:cs="微软雅黑" w:hint="eastAsia"/>
          <w:sz w:val="24"/>
          <w:szCs w:val="24"/>
        </w:rPr>
        <w:t>基金财产清算小组组成</w:t>
      </w:r>
      <w:r>
        <w:rPr>
          <w:rFonts w:ascii="宋体" w:eastAsia="宋体" w:hAnsi="宋体" w:cs="Malgun Gothic Semilight" w:hint="eastAsia"/>
          <w:sz w:val="24"/>
          <w:szCs w:val="24"/>
        </w:rPr>
        <w:t>：</w:t>
      </w:r>
      <w:r>
        <w:rPr>
          <w:rFonts w:ascii="宋体" w:eastAsia="宋体" w:hAnsi="宋体" w:cs="微软雅黑" w:hint="eastAsia"/>
          <w:sz w:val="24"/>
          <w:szCs w:val="24"/>
        </w:rPr>
        <w:t>基金财产清算小组成员由基金管理人</w:t>
      </w:r>
      <w:r>
        <w:rPr>
          <w:rFonts w:ascii="宋体" w:eastAsia="宋体" w:hAnsi="宋体" w:cs="Malgun Gothic Semilight" w:hint="eastAsia"/>
          <w:sz w:val="24"/>
          <w:szCs w:val="24"/>
        </w:rPr>
        <w:t>、</w:t>
      </w:r>
      <w:r>
        <w:rPr>
          <w:rFonts w:ascii="宋体" w:eastAsia="宋体" w:hAnsi="宋体" w:cs="微软雅黑" w:hint="eastAsia"/>
          <w:sz w:val="24"/>
          <w:szCs w:val="24"/>
        </w:rPr>
        <w:t>基金托管人</w:t>
      </w:r>
      <w:r>
        <w:rPr>
          <w:rFonts w:ascii="宋体" w:eastAsia="宋体" w:hAnsi="宋体" w:cs="Malgun Gothic Semilight" w:hint="eastAsia"/>
          <w:sz w:val="24"/>
          <w:szCs w:val="24"/>
        </w:rPr>
        <w:t>、</w:t>
      </w:r>
      <w:r>
        <w:rPr>
          <w:rFonts w:ascii="宋体" w:eastAsia="宋体" w:hAnsi="宋体" w:cs="微软雅黑" w:hint="eastAsia"/>
          <w:sz w:val="24"/>
          <w:szCs w:val="24"/>
        </w:rPr>
        <w:t>符合</w:t>
      </w:r>
      <w:r>
        <w:rPr>
          <w:rFonts w:ascii="宋体" w:eastAsia="宋体" w:hAnsi="宋体" w:cs="Malgun Gothic Semilight" w:hint="eastAsia"/>
          <w:sz w:val="24"/>
          <w:szCs w:val="24"/>
        </w:rPr>
        <w:t>《</w:t>
      </w:r>
      <w:r>
        <w:rPr>
          <w:rFonts w:ascii="宋体" w:eastAsia="宋体" w:hAnsi="宋体" w:cs="微软雅黑" w:hint="eastAsia"/>
          <w:sz w:val="24"/>
          <w:szCs w:val="24"/>
        </w:rPr>
        <w:t>证券法</w:t>
      </w:r>
      <w:r>
        <w:rPr>
          <w:rFonts w:ascii="宋体" w:eastAsia="宋体" w:hAnsi="宋体" w:cs="Malgun Gothic Semilight" w:hint="eastAsia"/>
          <w:sz w:val="24"/>
          <w:szCs w:val="24"/>
        </w:rPr>
        <w:t>》</w:t>
      </w:r>
      <w:r>
        <w:rPr>
          <w:rFonts w:ascii="宋体" w:eastAsia="宋体" w:hAnsi="宋体" w:cs="微软雅黑" w:hint="eastAsia"/>
          <w:sz w:val="24"/>
          <w:szCs w:val="24"/>
        </w:rPr>
        <w:t>规定的注册会计师</w:t>
      </w:r>
      <w:r>
        <w:rPr>
          <w:rFonts w:ascii="宋体" w:eastAsia="宋体" w:hAnsi="宋体" w:cs="Arial" w:hint="eastAsia"/>
          <w:sz w:val="24"/>
          <w:szCs w:val="24"/>
        </w:rPr>
        <w:t>、</w:t>
      </w:r>
      <w:r>
        <w:rPr>
          <w:rFonts w:ascii="宋体" w:eastAsia="宋体" w:hAnsi="宋体" w:cs="微软雅黑" w:hint="eastAsia"/>
          <w:sz w:val="24"/>
          <w:szCs w:val="24"/>
        </w:rPr>
        <w:t>律师组成</w:t>
      </w:r>
      <w:r>
        <w:rPr>
          <w:rFonts w:ascii="宋体" w:eastAsia="宋体" w:hAnsi="宋体" w:cs="Malgun Gothic Semilight" w:hint="eastAsia"/>
          <w:sz w:val="24"/>
          <w:szCs w:val="24"/>
        </w:rPr>
        <w:t>。</w:t>
      </w:r>
      <w:r>
        <w:rPr>
          <w:rFonts w:ascii="宋体" w:eastAsia="宋体" w:hAnsi="宋体" w:cs="微软雅黑" w:hint="eastAsia"/>
          <w:sz w:val="24"/>
          <w:szCs w:val="24"/>
        </w:rPr>
        <w:t>基金财产清算小组可以聘用必要的工作人员</w:t>
      </w:r>
      <w:r>
        <w:rPr>
          <w:rFonts w:ascii="宋体" w:eastAsia="宋体" w:hAnsi="宋体" w:cs="Malgun Gothic Semilight" w:hint="eastAsia"/>
          <w:sz w:val="24"/>
          <w:szCs w:val="24"/>
        </w:rPr>
        <w:t>。</w:t>
      </w:r>
    </w:p>
    <w:p w14:paraId="0C541B9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4</w:t>
      </w:r>
      <w:r>
        <w:rPr>
          <w:rFonts w:ascii="宋体" w:eastAsia="宋体" w:hAnsi="宋体" w:cs="Arial" w:hint="eastAsia"/>
          <w:sz w:val="24"/>
          <w:szCs w:val="24"/>
        </w:rPr>
        <w:t>.</w:t>
      </w:r>
      <w:r>
        <w:rPr>
          <w:rFonts w:ascii="宋体" w:eastAsia="宋体" w:hAnsi="宋体" w:cs="微软雅黑" w:hint="eastAsia"/>
          <w:sz w:val="24"/>
          <w:szCs w:val="24"/>
        </w:rPr>
        <w:t>基金财产清算小组职责</w:t>
      </w:r>
      <w:r>
        <w:rPr>
          <w:rFonts w:ascii="宋体" w:eastAsia="宋体" w:hAnsi="宋体" w:cs="Malgun Gothic Semilight" w:hint="eastAsia"/>
          <w:sz w:val="24"/>
          <w:szCs w:val="24"/>
        </w:rPr>
        <w:t>：</w:t>
      </w:r>
      <w:r>
        <w:rPr>
          <w:rFonts w:ascii="宋体" w:eastAsia="宋体" w:hAnsi="宋体" w:cs="微软雅黑" w:hint="eastAsia"/>
          <w:sz w:val="24"/>
          <w:szCs w:val="24"/>
        </w:rPr>
        <w:t>基金财产清算小组负责基金财产的保管</w:t>
      </w:r>
      <w:r>
        <w:rPr>
          <w:rFonts w:ascii="宋体" w:eastAsia="宋体" w:hAnsi="宋体" w:cs="Malgun Gothic Semilight" w:hint="eastAsia"/>
          <w:sz w:val="24"/>
          <w:szCs w:val="24"/>
        </w:rPr>
        <w:t>、</w:t>
      </w:r>
      <w:r>
        <w:rPr>
          <w:rFonts w:ascii="宋体" w:eastAsia="宋体" w:hAnsi="宋体" w:cs="微软雅黑" w:hint="eastAsia"/>
          <w:sz w:val="24"/>
          <w:szCs w:val="24"/>
        </w:rPr>
        <w:t>清理</w:t>
      </w:r>
      <w:r>
        <w:rPr>
          <w:rFonts w:ascii="宋体" w:eastAsia="宋体" w:hAnsi="宋体" w:cs="Malgun Gothic Semilight" w:hint="eastAsia"/>
          <w:sz w:val="24"/>
          <w:szCs w:val="24"/>
        </w:rPr>
        <w:t>、</w:t>
      </w:r>
      <w:r>
        <w:rPr>
          <w:rFonts w:ascii="宋体" w:eastAsia="宋体" w:hAnsi="宋体" w:cs="微软雅黑" w:hint="eastAsia"/>
          <w:sz w:val="24"/>
          <w:szCs w:val="24"/>
        </w:rPr>
        <w:t>估价</w:t>
      </w:r>
      <w:r>
        <w:rPr>
          <w:rFonts w:ascii="宋体" w:eastAsia="宋体" w:hAnsi="宋体" w:cs="Malgun Gothic Semilight" w:hint="eastAsia"/>
          <w:sz w:val="24"/>
          <w:szCs w:val="24"/>
        </w:rPr>
        <w:t>、</w:t>
      </w:r>
      <w:r>
        <w:rPr>
          <w:rFonts w:ascii="宋体" w:eastAsia="宋体" w:hAnsi="宋体" w:cs="微软雅黑" w:hint="eastAsia"/>
          <w:sz w:val="24"/>
          <w:szCs w:val="24"/>
        </w:rPr>
        <w:t>变现和分配</w:t>
      </w:r>
      <w:r>
        <w:rPr>
          <w:rFonts w:ascii="宋体" w:eastAsia="宋体" w:hAnsi="宋体" w:cs="Malgun Gothic Semilight" w:hint="eastAsia"/>
          <w:sz w:val="24"/>
          <w:szCs w:val="24"/>
        </w:rPr>
        <w:t>。</w:t>
      </w:r>
      <w:r>
        <w:rPr>
          <w:rFonts w:ascii="宋体" w:eastAsia="宋体" w:hAnsi="宋体" w:cs="微软雅黑" w:hint="eastAsia"/>
          <w:sz w:val="24"/>
          <w:szCs w:val="24"/>
        </w:rPr>
        <w:t>基金财产清算小组可以依法进行必要的民事活动</w:t>
      </w:r>
      <w:r>
        <w:rPr>
          <w:rFonts w:ascii="宋体" w:eastAsia="宋体" w:hAnsi="宋体" w:cs="Malgun Gothic Semilight" w:hint="eastAsia"/>
          <w:sz w:val="24"/>
          <w:szCs w:val="24"/>
        </w:rPr>
        <w:t>。</w:t>
      </w:r>
    </w:p>
    <w:p w14:paraId="11B3D2F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5</w:t>
      </w:r>
      <w:r>
        <w:rPr>
          <w:rFonts w:ascii="宋体" w:eastAsia="宋体" w:hAnsi="宋体" w:cs="Arial" w:hint="eastAsia"/>
          <w:sz w:val="24"/>
          <w:szCs w:val="24"/>
        </w:rPr>
        <w:t>.</w:t>
      </w:r>
      <w:r>
        <w:rPr>
          <w:rFonts w:ascii="宋体" w:eastAsia="宋体" w:hAnsi="宋体" w:cs="微软雅黑" w:hint="eastAsia"/>
          <w:sz w:val="24"/>
          <w:szCs w:val="24"/>
        </w:rPr>
        <w:t>基金财产清算程序</w:t>
      </w:r>
      <w:r>
        <w:rPr>
          <w:rFonts w:ascii="宋体" w:eastAsia="宋体" w:hAnsi="宋体" w:cs="Malgun Gothic Semilight" w:hint="eastAsia"/>
          <w:sz w:val="24"/>
          <w:szCs w:val="24"/>
        </w:rPr>
        <w:t>：</w:t>
      </w:r>
    </w:p>
    <w:p w14:paraId="3AB1166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（1）基金财产清算小组成立后</w:t>
      </w:r>
      <w:r>
        <w:rPr>
          <w:rFonts w:ascii="宋体" w:eastAsia="宋体" w:hAnsi="宋体" w:cs="Malgun Gothic Semilight" w:hint="eastAsia"/>
          <w:sz w:val="24"/>
          <w:szCs w:val="24"/>
        </w:rPr>
        <w:t>，</w:t>
      </w:r>
      <w:r>
        <w:rPr>
          <w:rFonts w:ascii="宋体" w:eastAsia="宋体" w:hAnsi="宋体" w:cs="微软雅黑" w:hint="eastAsia"/>
          <w:sz w:val="24"/>
          <w:szCs w:val="24"/>
        </w:rPr>
        <w:t>由基金财产清算小组统一接管基金</w:t>
      </w:r>
      <w:r>
        <w:rPr>
          <w:rFonts w:ascii="宋体" w:eastAsia="宋体" w:hAnsi="宋体" w:cs="Malgun Gothic Semilight" w:hint="eastAsia"/>
          <w:sz w:val="24"/>
          <w:szCs w:val="24"/>
        </w:rPr>
        <w:t>；</w:t>
      </w:r>
    </w:p>
    <w:p w14:paraId="36B59B5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（2）</w:t>
      </w:r>
      <w:r>
        <w:rPr>
          <w:rFonts w:ascii="宋体" w:eastAsia="宋体" w:hAnsi="宋体" w:cs="微软雅黑" w:hint="eastAsia"/>
          <w:sz w:val="24"/>
          <w:szCs w:val="24"/>
        </w:rPr>
        <w:t>对基金财产和债权债务进行清理和确认</w:t>
      </w:r>
      <w:r>
        <w:rPr>
          <w:rFonts w:ascii="宋体" w:eastAsia="宋体" w:hAnsi="宋体" w:cs="Malgun Gothic Semilight" w:hint="eastAsia"/>
          <w:sz w:val="24"/>
          <w:szCs w:val="24"/>
        </w:rPr>
        <w:t>；</w:t>
      </w:r>
    </w:p>
    <w:p w14:paraId="7014AF8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lastRenderedPageBreak/>
        <w:t>（3）</w:t>
      </w:r>
      <w:r>
        <w:rPr>
          <w:rFonts w:ascii="宋体" w:eastAsia="宋体" w:hAnsi="宋体" w:cs="微软雅黑" w:hint="eastAsia"/>
          <w:sz w:val="24"/>
          <w:szCs w:val="24"/>
        </w:rPr>
        <w:t>对基金财产进行估值和变现</w:t>
      </w:r>
      <w:r>
        <w:rPr>
          <w:rFonts w:ascii="宋体" w:eastAsia="宋体" w:hAnsi="宋体" w:cs="Malgun Gothic Semilight" w:hint="eastAsia"/>
          <w:sz w:val="24"/>
          <w:szCs w:val="24"/>
        </w:rPr>
        <w:t>；</w:t>
      </w:r>
    </w:p>
    <w:p w14:paraId="649F530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（4）</w:t>
      </w:r>
      <w:r>
        <w:rPr>
          <w:rFonts w:ascii="宋体" w:eastAsia="宋体" w:hAnsi="宋体" w:cs="微软雅黑" w:hint="eastAsia"/>
          <w:sz w:val="24"/>
          <w:szCs w:val="24"/>
        </w:rPr>
        <w:t>制作清算报告</w:t>
      </w:r>
      <w:r>
        <w:rPr>
          <w:rFonts w:ascii="宋体" w:eastAsia="宋体" w:hAnsi="宋体" w:cs="Malgun Gothic Semilight" w:hint="eastAsia"/>
          <w:sz w:val="24"/>
          <w:szCs w:val="24"/>
        </w:rPr>
        <w:t>；</w:t>
      </w:r>
    </w:p>
    <w:p w14:paraId="4F40B37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（5）</w:t>
      </w:r>
      <w:r>
        <w:rPr>
          <w:rFonts w:ascii="宋体" w:eastAsia="宋体" w:hAnsi="宋体" w:cs="微软雅黑" w:hint="eastAsia"/>
          <w:sz w:val="24"/>
          <w:szCs w:val="24"/>
        </w:rPr>
        <w:t>聘请会计师事务所对清算报告进行外部审计</w:t>
      </w:r>
      <w:r>
        <w:rPr>
          <w:rFonts w:ascii="宋体" w:eastAsia="宋体" w:hAnsi="宋体" w:cs="Malgun Gothic Semilight" w:hint="eastAsia"/>
          <w:sz w:val="24"/>
          <w:szCs w:val="24"/>
        </w:rPr>
        <w:t>，</w:t>
      </w:r>
      <w:r>
        <w:rPr>
          <w:rFonts w:ascii="宋体" w:eastAsia="宋体" w:hAnsi="宋体" w:cs="微软雅黑" w:hint="eastAsia"/>
          <w:sz w:val="24"/>
          <w:szCs w:val="24"/>
        </w:rPr>
        <w:t>聘请律师事务所对清算报告出具法律意见书</w:t>
      </w:r>
      <w:r>
        <w:rPr>
          <w:rFonts w:ascii="宋体" w:eastAsia="宋体" w:hAnsi="宋体" w:cs="Malgun Gothic Semilight" w:hint="eastAsia"/>
          <w:sz w:val="24"/>
          <w:szCs w:val="24"/>
        </w:rPr>
        <w:t>；</w:t>
      </w:r>
    </w:p>
    <w:p w14:paraId="0031D57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（6）</w:t>
      </w:r>
      <w:r>
        <w:rPr>
          <w:rFonts w:ascii="宋体" w:eastAsia="宋体" w:hAnsi="宋体" w:cs="微软雅黑" w:hint="eastAsia"/>
          <w:sz w:val="24"/>
          <w:szCs w:val="24"/>
        </w:rPr>
        <w:t>将清算报告报中国证监会备案并公告</w:t>
      </w:r>
      <w:r>
        <w:rPr>
          <w:rFonts w:ascii="宋体" w:eastAsia="宋体" w:hAnsi="宋体" w:cs="Malgun Gothic Semilight" w:hint="eastAsia"/>
          <w:sz w:val="24"/>
          <w:szCs w:val="24"/>
        </w:rPr>
        <w:t>；</w:t>
      </w:r>
    </w:p>
    <w:p w14:paraId="12D70C0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（7）</w:t>
      </w:r>
      <w:r>
        <w:rPr>
          <w:rFonts w:ascii="宋体" w:eastAsia="宋体" w:hAnsi="宋体" w:cs="微软雅黑" w:hint="eastAsia"/>
          <w:sz w:val="24"/>
          <w:szCs w:val="24"/>
        </w:rPr>
        <w:t>对基金剩余财产进行分配</w:t>
      </w:r>
      <w:r>
        <w:rPr>
          <w:rFonts w:ascii="宋体" w:eastAsia="宋体" w:hAnsi="宋体" w:cs="Malgun Gothic Semilight" w:hint="eastAsia"/>
          <w:sz w:val="24"/>
          <w:szCs w:val="24"/>
        </w:rPr>
        <w:t>。</w:t>
      </w:r>
    </w:p>
    <w:p w14:paraId="5EF51B3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6</w:t>
      </w:r>
      <w:r>
        <w:rPr>
          <w:rFonts w:ascii="宋体" w:eastAsia="宋体" w:hAnsi="宋体" w:cs="Arial" w:hint="eastAsia"/>
          <w:sz w:val="24"/>
          <w:szCs w:val="24"/>
        </w:rPr>
        <w:t>.</w:t>
      </w:r>
      <w:r>
        <w:rPr>
          <w:rFonts w:ascii="宋体" w:eastAsia="宋体" w:hAnsi="宋体" w:cs="微软雅黑" w:hint="eastAsia"/>
          <w:sz w:val="24"/>
          <w:szCs w:val="24"/>
        </w:rPr>
        <w:t>基金财产清算的期限为</w:t>
      </w:r>
      <w:r>
        <w:rPr>
          <w:rFonts w:ascii="宋体" w:eastAsia="宋体" w:hAnsi="宋体" w:cs="Arial" w:hint="eastAsia"/>
          <w:sz w:val="24"/>
          <w:szCs w:val="24"/>
        </w:rPr>
        <w:t>6</w:t>
      </w:r>
      <w:r>
        <w:rPr>
          <w:rFonts w:ascii="宋体" w:eastAsia="宋体" w:hAnsi="宋体" w:cs="微软雅黑" w:hint="eastAsia"/>
          <w:sz w:val="24"/>
          <w:szCs w:val="24"/>
        </w:rPr>
        <w:t>个月</w:t>
      </w:r>
      <w:r>
        <w:rPr>
          <w:rFonts w:ascii="宋体" w:eastAsia="宋体" w:hAnsi="宋体" w:cs="Malgun Gothic Semilight" w:hint="eastAsia"/>
          <w:sz w:val="24"/>
          <w:szCs w:val="24"/>
        </w:rPr>
        <w:t>，</w:t>
      </w:r>
      <w:r>
        <w:rPr>
          <w:rFonts w:ascii="宋体" w:eastAsia="宋体" w:hAnsi="宋体" w:cs="微软雅黑" w:hint="eastAsia"/>
          <w:sz w:val="24"/>
          <w:szCs w:val="24"/>
        </w:rPr>
        <w:t>但因本基金所持证券的流动性受到限制而不能及时变现、结算保证金相关规定等客观因素</w:t>
      </w:r>
      <w:r>
        <w:rPr>
          <w:rFonts w:ascii="宋体" w:eastAsia="宋体" w:hAnsi="宋体" w:cs="Malgun Gothic Semilight" w:hint="eastAsia"/>
          <w:sz w:val="24"/>
          <w:szCs w:val="24"/>
        </w:rPr>
        <w:t>，</w:t>
      </w:r>
      <w:r>
        <w:rPr>
          <w:rFonts w:ascii="宋体" w:eastAsia="宋体" w:hAnsi="宋体" w:cs="微软雅黑" w:hint="eastAsia"/>
          <w:sz w:val="24"/>
          <w:szCs w:val="24"/>
        </w:rPr>
        <w:t>清算期限相应顺延</w:t>
      </w:r>
      <w:r>
        <w:rPr>
          <w:rFonts w:ascii="宋体" w:eastAsia="宋体" w:hAnsi="宋体" w:cs="Malgun Gothic Semilight" w:hint="eastAsia"/>
          <w:sz w:val="24"/>
          <w:szCs w:val="24"/>
        </w:rPr>
        <w:t>。</w:t>
      </w:r>
    </w:p>
    <w:p w14:paraId="7C212D4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7</w:t>
      </w:r>
      <w:r>
        <w:rPr>
          <w:rFonts w:ascii="宋体" w:eastAsia="宋体" w:hAnsi="宋体" w:cs="Arial" w:hint="eastAsia"/>
          <w:sz w:val="24"/>
          <w:szCs w:val="24"/>
        </w:rPr>
        <w:t>.</w:t>
      </w:r>
      <w:r>
        <w:rPr>
          <w:rFonts w:ascii="宋体" w:eastAsia="宋体" w:hAnsi="宋体" w:cs="微软雅黑" w:hint="eastAsia"/>
          <w:sz w:val="24"/>
          <w:szCs w:val="24"/>
        </w:rPr>
        <w:t>清算费用</w:t>
      </w:r>
    </w:p>
    <w:p w14:paraId="1FD2E03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清算费用是指基金财产清算小组在进行基金清算过程中发生的所有合理费用</w:t>
      </w:r>
      <w:r>
        <w:rPr>
          <w:rFonts w:ascii="宋体" w:eastAsia="宋体" w:hAnsi="宋体" w:cs="Malgun Gothic Semilight" w:hint="eastAsia"/>
          <w:sz w:val="24"/>
          <w:szCs w:val="24"/>
        </w:rPr>
        <w:t>，</w:t>
      </w:r>
      <w:r>
        <w:rPr>
          <w:rFonts w:ascii="宋体" w:eastAsia="宋体" w:hAnsi="宋体" w:cs="微软雅黑" w:hint="eastAsia"/>
          <w:sz w:val="24"/>
          <w:szCs w:val="24"/>
        </w:rPr>
        <w:t>清算费用由基金财产清算小组优先从基金财产中支付</w:t>
      </w:r>
      <w:r>
        <w:rPr>
          <w:rFonts w:ascii="宋体" w:eastAsia="宋体" w:hAnsi="宋体" w:cs="Malgun Gothic Semilight" w:hint="eastAsia"/>
          <w:sz w:val="24"/>
          <w:szCs w:val="24"/>
        </w:rPr>
        <w:t>。</w:t>
      </w:r>
    </w:p>
    <w:p w14:paraId="77F0C60B"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8</w:t>
      </w:r>
      <w:r>
        <w:rPr>
          <w:rFonts w:ascii="宋体" w:eastAsia="宋体" w:hAnsi="宋体" w:cs="Arial" w:hint="eastAsia"/>
          <w:sz w:val="24"/>
          <w:szCs w:val="24"/>
        </w:rPr>
        <w:t>.</w:t>
      </w:r>
      <w:r>
        <w:rPr>
          <w:rFonts w:ascii="宋体" w:eastAsia="宋体" w:hAnsi="宋体" w:cs="微软雅黑" w:hint="eastAsia"/>
          <w:sz w:val="24"/>
          <w:szCs w:val="24"/>
        </w:rPr>
        <w:t>基金财产清算剩余资产的分配</w:t>
      </w:r>
      <w:r>
        <w:rPr>
          <w:rFonts w:ascii="宋体" w:eastAsia="宋体" w:hAnsi="宋体" w:cs="Malgun Gothic Semilight" w:hint="eastAsia"/>
          <w:sz w:val="24"/>
          <w:szCs w:val="24"/>
        </w:rPr>
        <w:t>：</w:t>
      </w:r>
    </w:p>
    <w:p w14:paraId="6AEA7DF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依据基金财产清算的分配方案</w:t>
      </w:r>
      <w:r>
        <w:rPr>
          <w:rFonts w:ascii="宋体" w:eastAsia="宋体" w:hAnsi="宋体" w:cs="Malgun Gothic Semilight" w:hint="eastAsia"/>
          <w:sz w:val="24"/>
          <w:szCs w:val="24"/>
        </w:rPr>
        <w:t>，</w:t>
      </w:r>
      <w:r>
        <w:rPr>
          <w:rFonts w:ascii="宋体" w:eastAsia="宋体" w:hAnsi="宋体" w:cs="微软雅黑" w:hint="eastAsia"/>
          <w:sz w:val="24"/>
          <w:szCs w:val="24"/>
        </w:rPr>
        <w:t>将基金财产清算后的全部剩余资产扣除基金财产清算费用</w:t>
      </w:r>
      <w:r>
        <w:rPr>
          <w:rFonts w:ascii="宋体" w:eastAsia="宋体" w:hAnsi="宋体" w:cs="Malgun Gothic Semilight" w:hint="eastAsia"/>
          <w:sz w:val="24"/>
          <w:szCs w:val="24"/>
        </w:rPr>
        <w:t>、</w:t>
      </w:r>
      <w:r>
        <w:rPr>
          <w:rFonts w:ascii="宋体" w:eastAsia="宋体" w:hAnsi="宋体" w:cs="微软雅黑" w:hint="eastAsia"/>
          <w:sz w:val="24"/>
          <w:szCs w:val="24"/>
        </w:rPr>
        <w:t>交纳所欠税款并清偿基金债务后</w:t>
      </w:r>
      <w:r>
        <w:rPr>
          <w:rFonts w:ascii="宋体" w:eastAsia="宋体" w:hAnsi="宋体" w:cs="Malgun Gothic Semilight" w:hint="eastAsia"/>
          <w:sz w:val="24"/>
          <w:szCs w:val="24"/>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p>
    <w:p w14:paraId="40EE80C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9</w:t>
      </w:r>
      <w:r>
        <w:rPr>
          <w:rFonts w:ascii="宋体" w:eastAsia="宋体" w:hAnsi="宋体" w:cs="Arial" w:hint="eastAsia"/>
          <w:sz w:val="24"/>
          <w:szCs w:val="24"/>
        </w:rPr>
        <w:t>.</w:t>
      </w:r>
      <w:r>
        <w:rPr>
          <w:rFonts w:ascii="宋体" w:eastAsia="宋体" w:hAnsi="宋体" w:cs="微软雅黑" w:hint="eastAsia"/>
          <w:sz w:val="24"/>
          <w:szCs w:val="24"/>
        </w:rPr>
        <w:t>基金财产清算的公告</w:t>
      </w:r>
    </w:p>
    <w:p w14:paraId="18CE7635"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清算过程中的有关重大事项应及时公告</w:t>
      </w:r>
      <w:r>
        <w:rPr>
          <w:rFonts w:ascii="宋体" w:eastAsia="宋体" w:hAnsi="宋体" w:cs="Malgun Gothic Semilight" w:hint="eastAsia"/>
          <w:sz w:val="24"/>
          <w:szCs w:val="24"/>
        </w:rPr>
        <w:t>；</w:t>
      </w:r>
      <w:r>
        <w:rPr>
          <w:rFonts w:ascii="宋体" w:eastAsia="宋体" w:hAnsi="宋体" w:cs="微软雅黑" w:hint="eastAsia"/>
          <w:sz w:val="24"/>
          <w:szCs w:val="24"/>
        </w:rPr>
        <w:t>基金财产清算报告经符合</w:t>
      </w:r>
      <w:r>
        <w:rPr>
          <w:rFonts w:ascii="宋体" w:eastAsia="宋体" w:hAnsi="宋体" w:cs="Malgun Gothic Semilight" w:hint="eastAsia"/>
          <w:sz w:val="24"/>
          <w:szCs w:val="24"/>
        </w:rPr>
        <w:t>《</w:t>
      </w:r>
      <w:r>
        <w:rPr>
          <w:rFonts w:ascii="宋体" w:eastAsia="宋体" w:hAnsi="宋体" w:cs="微软雅黑" w:hint="eastAsia"/>
          <w:sz w:val="24"/>
          <w:szCs w:val="24"/>
        </w:rPr>
        <w:t>证券法</w:t>
      </w:r>
      <w:r>
        <w:rPr>
          <w:rFonts w:ascii="宋体" w:eastAsia="宋体" w:hAnsi="宋体" w:cs="Malgun Gothic Semilight" w:hint="eastAsia"/>
          <w:sz w:val="24"/>
          <w:szCs w:val="24"/>
        </w:rPr>
        <w:t>》</w:t>
      </w:r>
      <w:r>
        <w:rPr>
          <w:rFonts w:ascii="宋体" w:eastAsia="宋体" w:hAnsi="宋体" w:cs="微软雅黑" w:hint="eastAsia"/>
          <w:sz w:val="24"/>
          <w:szCs w:val="24"/>
        </w:rPr>
        <w:t>规定的会计师事务所审计并由律师事务所出具法律意见书后报中国证监会备案并公告。基金财产清算报告报中国证监会备案后</w:t>
      </w:r>
      <w:r>
        <w:rPr>
          <w:rFonts w:ascii="宋体" w:eastAsia="宋体" w:hAnsi="宋体" w:cs="微软雅黑"/>
          <w:sz w:val="24"/>
          <w:szCs w:val="24"/>
        </w:rPr>
        <w:t>5个工作日内由基金财产清算小组进行公告</w:t>
      </w:r>
      <w:r>
        <w:rPr>
          <w:rFonts w:ascii="宋体" w:eastAsia="宋体" w:hAnsi="宋体" w:cs="微软雅黑" w:hint="eastAsia"/>
          <w:sz w:val="24"/>
          <w:szCs w:val="24"/>
        </w:rPr>
        <w:t>。</w:t>
      </w:r>
    </w:p>
    <w:p w14:paraId="4399A00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10</w:t>
      </w:r>
      <w:r>
        <w:rPr>
          <w:rFonts w:ascii="宋体" w:eastAsia="宋体" w:hAnsi="宋体" w:cs="Arial" w:hint="eastAsia"/>
          <w:sz w:val="24"/>
          <w:szCs w:val="24"/>
        </w:rPr>
        <w:t>.</w:t>
      </w:r>
      <w:r>
        <w:rPr>
          <w:rFonts w:ascii="宋体" w:eastAsia="宋体" w:hAnsi="宋体" w:cs="微软雅黑" w:hint="eastAsia"/>
          <w:sz w:val="24"/>
          <w:szCs w:val="24"/>
        </w:rPr>
        <w:t>基金财产清算账册及文件的保存</w:t>
      </w:r>
    </w:p>
    <w:p w14:paraId="779CFF0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基金财产清算账册及有关文件由基金托管人保存</w:t>
      </w:r>
      <w:r>
        <w:rPr>
          <w:rFonts w:ascii="宋体" w:eastAsia="宋体" w:hAnsi="宋体" w:cs="Arial" w:hint="eastAsia"/>
          <w:sz w:val="24"/>
          <w:szCs w:val="24"/>
        </w:rPr>
        <w:t>，</w:t>
      </w:r>
      <w:r>
        <w:rPr>
          <w:rFonts w:ascii="宋体" w:eastAsia="宋体" w:hAnsi="宋体" w:cs="微软雅黑" w:hint="eastAsia"/>
          <w:sz w:val="24"/>
          <w:szCs w:val="24"/>
        </w:rPr>
        <w:t>保存</w:t>
      </w:r>
      <w:r>
        <w:rPr>
          <w:rFonts w:ascii="宋体" w:eastAsia="宋体" w:hAnsi="宋体" w:cs="微软雅黑" w:hint="eastAsia"/>
          <w:bCs/>
          <w:sz w:val="24"/>
          <w:szCs w:val="24"/>
        </w:rPr>
        <w:t>期限</w:t>
      </w:r>
      <w:r>
        <w:rPr>
          <w:rFonts w:ascii="宋体" w:eastAsia="宋体" w:hAnsi="宋体" w:cs="微软雅黑" w:hint="eastAsia"/>
          <w:sz w:val="24"/>
          <w:szCs w:val="24"/>
        </w:rPr>
        <w:t>按照法律法规的规定执行</w:t>
      </w:r>
      <w:r>
        <w:rPr>
          <w:rFonts w:ascii="宋体" w:eastAsia="宋体" w:hAnsi="宋体" w:cs="Arial" w:hint="eastAsia"/>
          <w:sz w:val="24"/>
          <w:szCs w:val="24"/>
        </w:rPr>
        <w:t>。</w:t>
      </w:r>
    </w:p>
    <w:p w14:paraId="5CF0FBF2" w14:textId="77777777" w:rsidR="00C521E2" w:rsidRDefault="00C521E2">
      <w:pPr>
        <w:adjustRightInd w:val="0"/>
        <w:snapToGrid w:val="0"/>
        <w:spacing w:line="360" w:lineRule="auto"/>
        <w:rPr>
          <w:rFonts w:ascii="宋体" w:eastAsia="宋体" w:hAnsi="宋体" w:cs="Arial"/>
          <w:sz w:val="24"/>
          <w:szCs w:val="24"/>
        </w:rPr>
      </w:pPr>
    </w:p>
    <w:p w14:paraId="23FE6089"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6" w:name="_Toc204539408"/>
      <w:r>
        <w:rPr>
          <w:rFonts w:ascii="宋体" w:eastAsia="宋体" w:hAnsi="宋体" w:cs="微软雅黑" w:hint="eastAsia"/>
          <w:b/>
          <w:sz w:val="30"/>
          <w:szCs w:val="20"/>
        </w:rPr>
        <w:lastRenderedPageBreak/>
        <w:t>十七</w:t>
      </w:r>
      <w:r>
        <w:rPr>
          <w:rFonts w:ascii="宋体" w:eastAsia="宋体" w:hAnsi="宋体" w:cs="Malgun Gothic Semilight" w:hint="eastAsia"/>
          <w:b/>
          <w:sz w:val="30"/>
          <w:szCs w:val="20"/>
        </w:rPr>
        <w:t>、</w:t>
      </w:r>
      <w:r>
        <w:rPr>
          <w:rFonts w:ascii="宋体" w:eastAsia="宋体" w:hAnsi="宋体" w:cs="微软雅黑" w:hint="eastAsia"/>
          <w:b/>
          <w:sz w:val="30"/>
          <w:szCs w:val="20"/>
        </w:rPr>
        <w:t>违约责任</w:t>
      </w:r>
      <w:bookmarkEnd w:id="96"/>
    </w:p>
    <w:p w14:paraId="70CA37A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（一）基金管理人、基金托管人不履行本协议或履行本协议不符合约定的，应当承担违约责任。</w:t>
      </w:r>
    </w:p>
    <w:p w14:paraId="18C5808C"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14:paraId="6BE138F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三）一方当事人违约，给另一方当事人造成损失的，应就直接损失进行赔偿；给基金财产造成损失的，应就直接损失进行赔偿，另一方当事人有权利及义务代表基金向违约方追偿。但是如发生下列情况之一的，相应的当事人免责：</w:t>
      </w:r>
    </w:p>
    <w:p w14:paraId="3A53988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1.不可抗力；</w:t>
      </w:r>
    </w:p>
    <w:p w14:paraId="341028D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2.基金管理人和/或基金托管人按照当时有效的法律法规、规章或中国证监会等监管机构的规定作为或不作为而造成的损失等；</w:t>
      </w:r>
    </w:p>
    <w:p w14:paraId="6AFCD012"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sz w:val="24"/>
          <w:szCs w:val="24"/>
        </w:rPr>
        <w:t>3.在没有过错的情况下，基金管理人按照基金合同约定的投资原则投资或不投资造成的损失等；</w:t>
      </w:r>
    </w:p>
    <w:p w14:paraId="7FC7334D"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18081F6A"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（五）违约行为虽已发生，但本托管协议能够继续履行的，在最大限度地保护基金份额持有人利益的前提下，基金管理人和基金托管人应当继续履行本协议。</w:t>
      </w:r>
    </w:p>
    <w:p w14:paraId="0AA9E487"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六）由于包括但不限于指数编制公司发送的数据不充分、不准确、不及时、不完整等基金管理人、基金托管人不可控制的因素导致业务出现差错，基金管理人和基金托管人虽然已经采取必要、适当、合理的措施进行检查，但是未能发现错误</w:t>
      </w:r>
      <w:r>
        <w:rPr>
          <w:rFonts w:ascii="宋体" w:eastAsia="宋体" w:hAnsi="宋体" w:cs="Arial" w:hint="eastAsia"/>
          <w:bCs/>
          <w:sz w:val="24"/>
          <w:szCs w:val="24"/>
        </w:rPr>
        <w:t>或因前述原因未能避免或更正</w:t>
      </w:r>
      <w:r>
        <w:rPr>
          <w:rFonts w:ascii="宋体" w:eastAsia="宋体" w:hAnsi="宋体" w:cs="Arial"/>
          <w:bCs/>
          <w:sz w:val="24"/>
          <w:szCs w:val="24"/>
        </w:rPr>
        <w:t>错误</w:t>
      </w:r>
      <w:r>
        <w:rPr>
          <w:rFonts w:ascii="宋体" w:eastAsia="宋体" w:hAnsi="宋体" w:cs="Arial" w:hint="eastAsia"/>
          <w:sz w:val="24"/>
          <w:szCs w:val="24"/>
        </w:rPr>
        <w:t>的，由此造成基金财产或投资人损失，基金管理人和基金托管人免除赔偿责任。但是基金管理人和基金托管人应积极采取必要的措施减轻或消除由此造成的影响。</w:t>
      </w:r>
    </w:p>
    <w:p w14:paraId="32B0B94E" w14:textId="77777777" w:rsidR="00C521E2" w:rsidRDefault="00C521E2">
      <w:pPr>
        <w:adjustRightInd w:val="0"/>
        <w:snapToGrid w:val="0"/>
        <w:spacing w:line="360" w:lineRule="auto"/>
        <w:rPr>
          <w:rFonts w:ascii="宋体" w:eastAsia="宋体" w:hAnsi="宋体" w:cs="Arial"/>
          <w:sz w:val="24"/>
          <w:szCs w:val="24"/>
        </w:rPr>
      </w:pPr>
    </w:p>
    <w:p w14:paraId="40C1A9E5"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7" w:name="_Toc204539409"/>
      <w:r>
        <w:rPr>
          <w:rFonts w:ascii="宋体" w:eastAsia="宋体" w:hAnsi="宋体" w:cs="微软雅黑" w:hint="eastAsia"/>
          <w:b/>
          <w:sz w:val="30"/>
          <w:szCs w:val="20"/>
        </w:rPr>
        <w:lastRenderedPageBreak/>
        <w:t>十八</w:t>
      </w:r>
      <w:r>
        <w:rPr>
          <w:rFonts w:ascii="宋体" w:eastAsia="宋体" w:hAnsi="宋体" w:cs="Malgun Gothic Semilight" w:hint="eastAsia"/>
          <w:b/>
          <w:sz w:val="30"/>
          <w:szCs w:val="20"/>
        </w:rPr>
        <w:t>、</w:t>
      </w:r>
      <w:r>
        <w:rPr>
          <w:rFonts w:ascii="宋体" w:eastAsia="宋体" w:hAnsi="宋体" w:cs="微软雅黑" w:hint="eastAsia"/>
          <w:b/>
          <w:sz w:val="30"/>
          <w:szCs w:val="20"/>
        </w:rPr>
        <w:t>争议解决方式</w:t>
      </w:r>
      <w:bookmarkEnd w:id="97"/>
    </w:p>
    <w:p w14:paraId="609F97BF"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因本协议产生或与之相关的争议</w:t>
      </w:r>
      <w:r>
        <w:rPr>
          <w:rFonts w:ascii="宋体" w:eastAsia="宋体" w:hAnsi="宋体" w:cs="Malgun Gothic Semilight" w:hint="eastAsia"/>
          <w:sz w:val="24"/>
          <w:szCs w:val="24"/>
        </w:rPr>
        <w:t>，</w:t>
      </w:r>
      <w:r>
        <w:rPr>
          <w:rFonts w:ascii="宋体" w:eastAsia="宋体" w:hAnsi="宋体" w:cs="微软雅黑" w:hint="eastAsia"/>
          <w:sz w:val="24"/>
          <w:szCs w:val="24"/>
        </w:rPr>
        <w:t>双方当事人应通过协商</w:t>
      </w:r>
      <w:r>
        <w:rPr>
          <w:rFonts w:ascii="宋体" w:eastAsia="宋体" w:hAnsi="宋体" w:cs="Malgun Gothic Semilight" w:hint="eastAsia"/>
          <w:sz w:val="24"/>
          <w:szCs w:val="24"/>
        </w:rPr>
        <w:t>、</w:t>
      </w:r>
      <w:r>
        <w:rPr>
          <w:rFonts w:ascii="宋体" w:eastAsia="宋体" w:hAnsi="宋体" w:cs="微软雅黑" w:hint="eastAsia"/>
          <w:sz w:val="24"/>
          <w:szCs w:val="24"/>
        </w:rPr>
        <w:t>调解解决</w:t>
      </w:r>
      <w:r>
        <w:rPr>
          <w:rFonts w:ascii="宋体" w:eastAsia="宋体" w:hAnsi="宋体" w:cs="Malgun Gothic Semilight" w:hint="eastAsia"/>
          <w:sz w:val="24"/>
          <w:szCs w:val="24"/>
        </w:rPr>
        <w:t>。</w:t>
      </w:r>
      <w:r>
        <w:rPr>
          <w:rFonts w:ascii="宋体" w:eastAsia="宋体" w:hAnsi="宋体" w:cs="微软雅黑" w:hint="eastAsia"/>
          <w:sz w:val="24"/>
          <w:szCs w:val="24"/>
        </w:rPr>
        <w:t>协商</w:t>
      </w:r>
      <w:r>
        <w:rPr>
          <w:rFonts w:ascii="宋体" w:eastAsia="宋体" w:hAnsi="宋体" w:cs="Malgun Gothic Semilight" w:hint="eastAsia"/>
          <w:sz w:val="24"/>
          <w:szCs w:val="24"/>
        </w:rPr>
        <w:t>、</w:t>
      </w:r>
      <w:r>
        <w:rPr>
          <w:rFonts w:ascii="宋体" w:eastAsia="宋体" w:hAnsi="宋体" w:cs="微软雅黑" w:hint="eastAsia"/>
          <w:sz w:val="24"/>
          <w:szCs w:val="24"/>
        </w:rPr>
        <w:t>调解不能解决的</w:t>
      </w:r>
      <w:r>
        <w:rPr>
          <w:rFonts w:ascii="宋体" w:eastAsia="宋体" w:hAnsi="宋体" w:cs="Malgun Gothic Semilight" w:hint="eastAsia"/>
          <w:sz w:val="24"/>
          <w:szCs w:val="24"/>
        </w:rPr>
        <w:t>，</w:t>
      </w:r>
      <w:r>
        <w:rPr>
          <w:rFonts w:ascii="宋体" w:eastAsia="宋体" w:hAnsi="宋体" w:cs="微软雅黑" w:hint="eastAsia"/>
          <w:sz w:val="24"/>
          <w:szCs w:val="24"/>
        </w:rPr>
        <w:t>应当将争议提交中国国际经济贸易仲裁委员会</w:t>
      </w:r>
      <w:r>
        <w:rPr>
          <w:rFonts w:ascii="宋体" w:eastAsia="宋体" w:hAnsi="宋体" w:cs="Malgun Gothic Semilight" w:hint="eastAsia"/>
          <w:sz w:val="24"/>
          <w:szCs w:val="24"/>
        </w:rPr>
        <w:t>，</w:t>
      </w:r>
      <w:r>
        <w:rPr>
          <w:rFonts w:ascii="宋体" w:eastAsia="宋体" w:hAnsi="宋体" w:cs="微软雅黑" w:hint="eastAsia"/>
          <w:sz w:val="24"/>
          <w:szCs w:val="24"/>
        </w:rPr>
        <w:t>按照中国国际经济贸易仲裁委员会届时有效的仲裁规则进行仲裁</w:t>
      </w:r>
      <w:r>
        <w:rPr>
          <w:rFonts w:ascii="宋体" w:eastAsia="宋体" w:hAnsi="宋体" w:cs="Malgun Gothic Semilight" w:hint="eastAsia"/>
          <w:sz w:val="24"/>
          <w:szCs w:val="24"/>
        </w:rPr>
        <w:t>。</w:t>
      </w:r>
      <w:r>
        <w:rPr>
          <w:rFonts w:ascii="宋体" w:eastAsia="宋体" w:hAnsi="宋体" w:cs="微软雅黑" w:hint="eastAsia"/>
          <w:sz w:val="24"/>
          <w:szCs w:val="24"/>
        </w:rPr>
        <w:t>仲裁地点为北京市。仲裁裁决是终局的</w:t>
      </w:r>
      <w:r>
        <w:rPr>
          <w:rFonts w:ascii="宋体" w:eastAsia="宋体" w:hAnsi="宋体" w:cs="Malgun Gothic Semilight" w:hint="eastAsia"/>
          <w:sz w:val="24"/>
          <w:szCs w:val="24"/>
        </w:rPr>
        <w:t>，</w:t>
      </w:r>
      <w:r>
        <w:rPr>
          <w:rFonts w:ascii="宋体" w:eastAsia="宋体" w:hAnsi="宋体" w:cs="微软雅黑" w:hint="eastAsia"/>
          <w:sz w:val="24"/>
          <w:szCs w:val="24"/>
        </w:rPr>
        <w:t>对各方当事人均有约束力</w:t>
      </w:r>
      <w:r>
        <w:rPr>
          <w:rFonts w:ascii="宋体" w:eastAsia="宋体" w:hAnsi="宋体" w:cs="Malgun Gothic Semilight" w:hint="eastAsia"/>
          <w:sz w:val="24"/>
          <w:szCs w:val="24"/>
        </w:rPr>
        <w:t>。</w:t>
      </w:r>
      <w:r>
        <w:rPr>
          <w:rFonts w:ascii="宋体" w:eastAsia="宋体" w:hAnsi="宋体" w:cs="微软雅黑" w:hint="eastAsia"/>
          <w:sz w:val="24"/>
          <w:szCs w:val="24"/>
        </w:rPr>
        <w:t>仲裁费用由败诉方承担，除非仲裁裁决另有决定</w:t>
      </w:r>
      <w:r>
        <w:rPr>
          <w:rFonts w:ascii="宋体" w:eastAsia="宋体" w:hAnsi="宋体" w:cs="Malgun Gothic Semilight" w:hint="eastAsia"/>
          <w:sz w:val="24"/>
          <w:szCs w:val="24"/>
        </w:rPr>
        <w:t>。</w:t>
      </w:r>
    </w:p>
    <w:p w14:paraId="658D674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争议处理期间</w:t>
      </w:r>
      <w:r>
        <w:rPr>
          <w:rFonts w:ascii="宋体" w:eastAsia="宋体" w:hAnsi="宋体" w:cs="Malgun Gothic Semilight" w:hint="eastAsia"/>
          <w:sz w:val="24"/>
          <w:szCs w:val="24"/>
        </w:rPr>
        <w:t>，</w:t>
      </w:r>
      <w:r>
        <w:rPr>
          <w:rFonts w:ascii="宋体" w:eastAsia="宋体" w:hAnsi="宋体" w:cs="微软雅黑" w:hint="eastAsia"/>
          <w:sz w:val="24"/>
          <w:szCs w:val="24"/>
        </w:rPr>
        <w:t>双方当事人应恪守基金管理人和基金托管人职责</w:t>
      </w:r>
      <w:r>
        <w:rPr>
          <w:rFonts w:ascii="宋体" w:eastAsia="宋体" w:hAnsi="宋体" w:cs="Malgun Gothic Semilight" w:hint="eastAsia"/>
          <w:sz w:val="24"/>
          <w:szCs w:val="24"/>
        </w:rPr>
        <w:t>，</w:t>
      </w:r>
      <w:r>
        <w:rPr>
          <w:rFonts w:ascii="宋体" w:eastAsia="宋体" w:hAnsi="宋体" w:cs="微软雅黑" w:hint="eastAsia"/>
          <w:sz w:val="24"/>
          <w:szCs w:val="24"/>
        </w:rPr>
        <w:t>各自继续忠实</w:t>
      </w:r>
      <w:r>
        <w:rPr>
          <w:rFonts w:ascii="宋体" w:eastAsia="宋体" w:hAnsi="宋体" w:cs="Malgun Gothic Semilight" w:hint="eastAsia"/>
          <w:sz w:val="24"/>
          <w:szCs w:val="24"/>
        </w:rPr>
        <w:t>、</w:t>
      </w:r>
      <w:r>
        <w:rPr>
          <w:rFonts w:ascii="宋体" w:eastAsia="宋体" w:hAnsi="宋体" w:cs="微软雅黑" w:hint="eastAsia"/>
          <w:sz w:val="24"/>
          <w:szCs w:val="24"/>
        </w:rPr>
        <w:t>勤勉</w:t>
      </w:r>
      <w:r>
        <w:rPr>
          <w:rFonts w:ascii="宋体" w:eastAsia="宋体" w:hAnsi="宋体" w:cs="Malgun Gothic Semilight" w:hint="eastAsia"/>
          <w:sz w:val="24"/>
          <w:szCs w:val="24"/>
        </w:rPr>
        <w:t>、</w:t>
      </w:r>
      <w:r>
        <w:rPr>
          <w:rFonts w:ascii="宋体" w:eastAsia="宋体" w:hAnsi="宋体" w:cs="微软雅黑" w:hint="eastAsia"/>
          <w:sz w:val="24"/>
          <w:szCs w:val="24"/>
        </w:rPr>
        <w:t>尽责地履行</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和本托管协议规定的义务</w:t>
      </w:r>
      <w:r>
        <w:rPr>
          <w:rFonts w:ascii="宋体" w:eastAsia="宋体" w:hAnsi="宋体" w:cs="Malgun Gothic Semilight" w:hint="eastAsia"/>
          <w:sz w:val="24"/>
          <w:szCs w:val="24"/>
        </w:rPr>
        <w:t>，</w:t>
      </w:r>
      <w:r>
        <w:rPr>
          <w:rFonts w:ascii="宋体" w:eastAsia="宋体" w:hAnsi="宋体" w:cs="微软雅黑" w:hint="eastAsia"/>
          <w:sz w:val="24"/>
          <w:szCs w:val="24"/>
        </w:rPr>
        <w:t>维护基金份额持有人的合法权益</w:t>
      </w:r>
      <w:r>
        <w:rPr>
          <w:rFonts w:ascii="宋体" w:eastAsia="宋体" w:hAnsi="宋体" w:cs="Malgun Gothic Semilight" w:hint="eastAsia"/>
          <w:sz w:val="24"/>
          <w:szCs w:val="24"/>
        </w:rPr>
        <w:t>。</w:t>
      </w:r>
    </w:p>
    <w:p w14:paraId="7CBF25E4"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本协议受中国法律（为本协议之目的，不包括香港特别行政区、澳门特别行政区和台湾地区法律）管辖</w:t>
      </w:r>
      <w:r>
        <w:rPr>
          <w:rFonts w:ascii="宋体" w:eastAsia="宋体" w:hAnsi="宋体" w:cs="Malgun Gothic Semilight" w:hint="eastAsia"/>
          <w:sz w:val="24"/>
          <w:szCs w:val="24"/>
        </w:rPr>
        <w:t>。</w:t>
      </w:r>
    </w:p>
    <w:p w14:paraId="4C1D90A4" w14:textId="77777777" w:rsidR="00C521E2" w:rsidRDefault="00C521E2">
      <w:pPr>
        <w:adjustRightInd w:val="0"/>
        <w:snapToGrid w:val="0"/>
        <w:spacing w:line="360" w:lineRule="auto"/>
        <w:rPr>
          <w:rFonts w:ascii="宋体" w:eastAsia="宋体" w:hAnsi="宋体" w:cs="Arial"/>
          <w:sz w:val="24"/>
          <w:szCs w:val="24"/>
        </w:rPr>
      </w:pPr>
    </w:p>
    <w:p w14:paraId="2542C450"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8" w:name="_Toc204539410"/>
      <w:r>
        <w:rPr>
          <w:rFonts w:ascii="宋体" w:eastAsia="宋体" w:hAnsi="宋体" w:cs="微软雅黑" w:hint="eastAsia"/>
          <w:b/>
          <w:sz w:val="30"/>
          <w:szCs w:val="20"/>
        </w:rPr>
        <w:t>十九</w:t>
      </w:r>
      <w:r>
        <w:rPr>
          <w:rFonts w:ascii="宋体" w:eastAsia="宋体" w:hAnsi="宋体" w:cs="Malgun Gothic Semilight" w:hint="eastAsia"/>
          <w:b/>
          <w:sz w:val="30"/>
          <w:szCs w:val="20"/>
        </w:rPr>
        <w:t>、</w:t>
      </w:r>
      <w:r>
        <w:rPr>
          <w:rFonts w:ascii="宋体" w:eastAsia="宋体" w:hAnsi="宋体" w:cs="微软雅黑" w:hint="eastAsia"/>
          <w:b/>
          <w:sz w:val="30"/>
          <w:szCs w:val="20"/>
        </w:rPr>
        <w:t>托管协议的效力</w:t>
      </w:r>
      <w:bookmarkEnd w:id="98"/>
    </w:p>
    <w:p w14:paraId="0D71F7A6"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双方对托管协议的效力约定如下</w:t>
      </w:r>
      <w:r>
        <w:rPr>
          <w:rFonts w:ascii="宋体" w:eastAsia="宋体" w:hAnsi="宋体" w:cs="Malgun Gothic Semilight" w:hint="eastAsia"/>
          <w:sz w:val="24"/>
          <w:szCs w:val="24"/>
        </w:rPr>
        <w:t>：</w:t>
      </w:r>
    </w:p>
    <w:p w14:paraId="683652D3"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一</w:t>
      </w:r>
      <w:r>
        <w:rPr>
          <w:rFonts w:ascii="宋体" w:eastAsia="宋体" w:hAnsi="宋体" w:cs="Malgun Gothic Semilight" w:hint="eastAsia"/>
          <w:sz w:val="24"/>
          <w:szCs w:val="24"/>
        </w:rPr>
        <w:t>）</w:t>
      </w:r>
      <w:r>
        <w:rPr>
          <w:rFonts w:ascii="宋体" w:eastAsia="宋体" w:hAnsi="宋体" w:cs="微软雅黑" w:hint="eastAsia"/>
          <w:sz w:val="24"/>
          <w:szCs w:val="24"/>
        </w:rPr>
        <w:t>基金管理人在向中国证监会申请发售基金份额时提交的托管协议草案</w:t>
      </w:r>
      <w:r>
        <w:rPr>
          <w:rFonts w:ascii="宋体" w:eastAsia="宋体" w:hAnsi="宋体" w:cs="Malgun Gothic Semilight" w:hint="eastAsia"/>
          <w:sz w:val="24"/>
          <w:szCs w:val="24"/>
        </w:rPr>
        <w:t>，</w:t>
      </w:r>
      <w:r>
        <w:rPr>
          <w:rFonts w:ascii="宋体" w:eastAsia="宋体" w:hAnsi="宋体" w:cs="微软雅黑" w:hint="eastAsia"/>
          <w:sz w:val="24"/>
          <w:szCs w:val="24"/>
        </w:rPr>
        <w:t>应经托管协议当事人双方加盖公章或合同专用章以及双方法定代表人或授权代表签字</w:t>
      </w:r>
      <w:r>
        <w:rPr>
          <w:rFonts w:ascii="宋体" w:eastAsia="宋体" w:hAnsi="宋体" w:cs="Malgun Gothic Semilight" w:hint="eastAsia"/>
          <w:sz w:val="24"/>
          <w:szCs w:val="24"/>
        </w:rPr>
        <w:t>（</w:t>
      </w:r>
      <w:r>
        <w:rPr>
          <w:rFonts w:ascii="宋体" w:eastAsia="宋体" w:hAnsi="宋体" w:cs="微软雅黑" w:hint="eastAsia"/>
          <w:sz w:val="24"/>
          <w:szCs w:val="24"/>
        </w:rPr>
        <w:t>或盖章</w:t>
      </w:r>
      <w:r>
        <w:rPr>
          <w:rFonts w:ascii="宋体" w:eastAsia="宋体" w:hAnsi="宋体" w:cs="Arial" w:hint="eastAsia"/>
          <w:sz w:val="24"/>
          <w:szCs w:val="24"/>
        </w:rPr>
        <w:t>），</w:t>
      </w:r>
      <w:r>
        <w:rPr>
          <w:rFonts w:ascii="宋体" w:eastAsia="宋体" w:hAnsi="宋体" w:cs="微软雅黑" w:hint="eastAsia"/>
          <w:sz w:val="24"/>
          <w:szCs w:val="24"/>
        </w:rPr>
        <w:t>协议当事人双方根据中国证监会的意见修改托管协议草案</w:t>
      </w:r>
      <w:r>
        <w:rPr>
          <w:rFonts w:ascii="宋体" w:eastAsia="宋体" w:hAnsi="宋体" w:cs="Malgun Gothic Semilight" w:hint="eastAsia"/>
          <w:sz w:val="24"/>
          <w:szCs w:val="24"/>
        </w:rPr>
        <w:t>。</w:t>
      </w:r>
      <w:r>
        <w:rPr>
          <w:rFonts w:ascii="宋体" w:eastAsia="宋体" w:hAnsi="宋体" w:cs="微软雅黑" w:hint="eastAsia"/>
          <w:sz w:val="24"/>
          <w:szCs w:val="24"/>
        </w:rPr>
        <w:t>托管协议以中国证监会注册的文本为正式文本</w:t>
      </w:r>
      <w:r>
        <w:rPr>
          <w:rFonts w:ascii="宋体" w:eastAsia="宋体" w:hAnsi="宋体" w:cs="Malgun Gothic Semilight" w:hint="eastAsia"/>
          <w:sz w:val="24"/>
          <w:szCs w:val="24"/>
        </w:rPr>
        <w:t>。</w:t>
      </w:r>
    </w:p>
    <w:p w14:paraId="07145959"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二</w:t>
      </w:r>
      <w:r>
        <w:rPr>
          <w:rFonts w:ascii="宋体" w:eastAsia="宋体" w:hAnsi="宋体" w:cs="Malgun Gothic Semilight" w:hint="eastAsia"/>
          <w:sz w:val="24"/>
          <w:szCs w:val="24"/>
        </w:rPr>
        <w:t>）</w:t>
      </w:r>
      <w:r>
        <w:rPr>
          <w:rFonts w:ascii="宋体" w:eastAsia="宋体" w:hAnsi="宋体" w:cs="微软雅黑" w:hint="eastAsia"/>
          <w:sz w:val="24"/>
          <w:szCs w:val="24"/>
        </w:rPr>
        <w:t>托管协议自</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成立之日起成立</w:t>
      </w:r>
      <w:r>
        <w:rPr>
          <w:rFonts w:ascii="宋体" w:eastAsia="宋体" w:hAnsi="宋体" w:cs="Malgun Gothic Semilight" w:hint="eastAsia"/>
          <w:sz w:val="24"/>
          <w:szCs w:val="24"/>
        </w:rPr>
        <w:t>，</w:t>
      </w:r>
      <w:r>
        <w:rPr>
          <w:rFonts w:ascii="宋体" w:eastAsia="宋体" w:hAnsi="宋体" w:cs="微软雅黑" w:hint="eastAsia"/>
          <w:sz w:val="24"/>
          <w:szCs w:val="24"/>
        </w:rPr>
        <w:t>自</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生效之日起生效</w:t>
      </w:r>
      <w:r>
        <w:rPr>
          <w:rFonts w:ascii="宋体" w:eastAsia="宋体" w:hAnsi="宋体" w:cs="Malgun Gothic Semilight" w:hint="eastAsia"/>
          <w:sz w:val="24"/>
          <w:szCs w:val="24"/>
        </w:rPr>
        <w:t>。</w:t>
      </w:r>
      <w:r>
        <w:rPr>
          <w:rFonts w:ascii="宋体" w:eastAsia="宋体" w:hAnsi="宋体" w:cs="微软雅黑" w:hint="eastAsia"/>
          <w:sz w:val="24"/>
          <w:szCs w:val="24"/>
        </w:rPr>
        <w:t>托管协议的有效期自其生效之日起至基金财产清算结果报中国证监会备案并公告之日止</w:t>
      </w:r>
      <w:r>
        <w:rPr>
          <w:rFonts w:ascii="宋体" w:eastAsia="宋体" w:hAnsi="宋体" w:cs="Malgun Gothic Semilight" w:hint="eastAsia"/>
          <w:sz w:val="24"/>
          <w:szCs w:val="24"/>
        </w:rPr>
        <w:t>。</w:t>
      </w:r>
    </w:p>
    <w:p w14:paraId="32B46601"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Arial" w:hint="eastAsia"/>
          <w:sz w:val="24"/>
          <w:szCs w:val="24"/>
        </w:rPr>
        <w:t>（</w:t>
      </w:r>
      <w:r>
        <w:rPr>
          <w:rFonts w:ascii="宋体" w:eastAsia="宋体" w:hAnsi="宋体" w:cs="微软雅黑" w:hint="eastAsia"/>
          <w:sz w:val="24"/>
          <w:szCs w:val="24"/>
        </w:rPr>
        <w:t>三</w:t>
      </w:r>
      <w:r>
        <w:rPr>
          <w:rFonts w:ascii="宋体" w:eastAsia="宋体" w:hAnsi="宋体" w:cs="Malgun Gothic Semilight" w:hint="eastAsia"/>
          <w:sz w:val="24"/>
          <w:szCs w:val="24"/>
        </w:rPr>
        <w:t>）</w:t>
      </w:r>
      <w:r>
        <w:rPr>
          <w:rFonts w:ascii="宋体" w:eastAsia="宋体" w:hAnsi="宋体" w:cs="微软雅黑" w:hint="eastAsia"/>
          <w:sz w:val="24"/>
          <w:szCs w:val="24"/>
        </w:rPr>
        <w:t>托管协议自生效之日起对托管协议当事人具有同等的法律约束力</w:t>
      </w:r>
      <w:r>
        <w:rPr>
          <w:rFonts w:ascii="宋体" w:eastAsia="宋体" w:hAnsi="宋体" w:cs="Malgun Gothic Semilight" w:hint="eastAsia"/>
          <w:sz w:val="24"/>
          <w:szCs w:val="24"/>
        </w:rPr>
        <w:t>。</w:t>
      </w:r>
    </w:p>
    <w:p w14:paraId="4DB9F075" w14:textId="77777777" w:rsidR="00C521E2" w:rsidRDefault="005D6E6D">
      <w:pPr>
        <w:adjustRightInd w:val="0"/>
        <w:snapToGrid w:val="0"/>
        <w:spacing w:line="360" w:lineRule="auto"/>
        <w:ind w:firstLineChars="200" w:firstLine="480"/>
        <w:rPr>
          <w:rFonts w:ascii="宋体" w:eastAsia="宋体" w:hAnsi="宋体" w:cs="Times New Roman"/>
          <w:sz w:val="30"/>
          <w:szCs w:val="30"/>
        </w:rPr>
      </w:pPr>
      <w:r>
        <w:rPr>
          <w:rFonts w:ascii="宋体" w:eastAsia="宋体" w:hAnsi="宋体" w:cs="Arial" w:hint="eastAsia"/>
          <w:sz w:val="24"/>
          <w:szCs w:val="24"/>
        </w:rPr>
        <w:t>（</w:t>
      </w:r>
      <w:r>
        <w:rPr>
          <w:rFonts w:ascii="宋体" w:eastAsia="宋体" w:hAnsi="宋体" w:cs="微软雅黑" w:hint="eastAsia"/>
          <w:sz w:val="24"/>
          <w:szCs w:val="24"/>
        </w:rPr>
        <w:t>四</w:t>
      </w:r>
      <w:r>
        <w:rPr>
          <w:rFonts w:ascii="宋体" w:eastAsia="宋体" w:hAnsi="宋体" w:cs="Malgun Gothic Semilight" w:hint="eastAsia"/>
          <w:sz w:val="24"/>
          <w:szCs w:val="24"/>
        </w:rPr>
        <w:t>）</w:t>
      </w:r>
      <w:r>
        <w:rPr>
          <w:rFonts w:ascii="宋体" w:eastAsia="宋体" w:hAnsi="宋体" w:cs="微软雅黑" w:hint="eastAsia"/>
          <w:sz w:val="24"/>
          <w:szCs w:val="24"/>
        </w:rPr>
        <w:t>本协议一式</w:t>
      </w:r>
      <w:r>
        <w:rPr>
          <w:rFonts w:ascii="宋体" w:hAnsi="宋体" w:cs="Arial"/>
          <w:bCs/>
          <w:sz w:val="24"/>
        </w:rPr>
        <w:t>叁</w:t>
      </w:r>
      <w:r>
        <w:rPr>
          <w:rFonts w:ascii="宋体" w:eastAsia="宋体" w:hAnsi="宋体" w:cs="微软雅黑" w:hint="eastAsia"/>
          <w:sz w:val="24"/>
          <w:szCs w:val="24"/>
        </w:rPr>
        <w:t>份</w:t>
      </w:r>
      <w:r>
        <w:rPr>
          <w:rFonts w:ascii="宋体" w:eastAsia="宋体" w:hAnsi="宋体" w:cs="Malgun Gothic Semilight" w:hint="eastAsia"/>
          <w:sz w:val="24"/>
          <w:szCs w:val="24"/>
        </w:rPr>
        <w:t>，</w:t>
      </w:r>
      <w:r>
        <w:rPr>
          <w:rFonts w:ascii="宋体" w:eastAsia="宋体" w:hAnsi="宋体" w:cs="微软雅黑" w:hint="eastAsia"/>
          <w:sz w:val="24"/>
          <w:szCs w:val="24"/>
        </w:rPr>
        <w:t>协议双方各持一份</w:t>
      </w:r>
      <w:r>
        <w:rPr>
          <w:rFonts w:ascii="宋体" w:eastAsia="宋体" w:hAnsi="宋体" w:cs="Malgun Gothic Semilight" w:hint="eastAsia"/>
          <w:sz w:val="24"/>
          <w:szCs w:val="24"/>
        </w:rPr>
        <w:t>，</w:t>
      </w:r>
      <w:r>
        <w:rPr>
          <w:rFonts w:ascii="宋体" w:eastAsia="宋体" w:hAnsi="宋体" w:cs="微软雅黑" w:hint="eastAsia"/>
          <w:sz w:val="24"/>
          <w:szCs w:val="24"/>
        </w:rPr>
        <w:t>上报监管机构一份</w:t>
      </w:r>
      <w:r>
        <w:rPr>
          <w:rFonts w:ascii="宋体" w:eastAsia="宋体" w:hAnsi="宋体" w:cs="Malgun Gothic Semilight" w:hint="eastAsia"/>
          <w:sz w:val="24"/>
          <w:szCs w:val="24"/>
        </w:rPr>
        <w:t>，</w:t>
      </w:r>
      <w:r>
        <w:rPr>
          <w:rFonts w:ascii="宋体" w:eastAsia="宋体" w:hAnsi="宋体" w:cs="微软雅黑" w:hint="eastAsia"/>
          <w:sz w:val="24"/>
          <w:szCs w:val="24"/>
        </w:rPr>
        <w:t>每份具有同等的法律效力</w:t>
      </w:r>
      <w:r>
        <w:rPr>
          <w:rFonts w:ascii="宋体" w:eastAsia="宋体" w:hAnsi="宋体" w:cs="Malgun Gothic Semilight" w:hint="eastAsia"/>
          <w:sz w:val="24"/>
          <w:szCs w:val="24"/>
        </w:rPr>
        <w:t>。</w:t>
      </w:r>
    </w:p>
    <w:p w14:paraId="714A85E7" w14:textId="77777777" w:rsidR="00C521E2" w:rsidRDefault="00C521E2">
      <w:pPr>
        <w:adjustRightInd w:val="0"/>
        <w:snapToGrid w:val="0"/>
        <w:spacing w:line="360" w:lineRule="auto"/>
        <w:rPr>
          <w:rFonts w:ascii="宋体" w:eastAsia="宋体" w:hAnsi="宋体" w:cs="Arial"/>
          <w:sz w:val="24"/>
          <w:szCs w:val="24"/>
        </w:rPr>
      </w:pPr>
    </w:p>
    <w:p w14:paraId="52FFE11C"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99" w:name="_Toc204539411"/>
      <w:r>
        <w:rPr>
          <w:rFonts w:ascii="宋体" w:eastAsia="宋体" w:hAnsi="宋体" w:cs="微软雅黑" w:hint="eastAsia"/>
          <w:b/>
          <w:sz w:val="30"/>
          <w:szCs w:val="20"/>
        </w:rPr>
        <w:lastRenderedPageBreak/>
        <w:t>二十</w:t>
      </w:r>
      <w:r>
        <w:rPr>
          <w:rFonts w:ascii="宋体" w:eastAsia="宋体" w:hAnsi="宋体" w:cs="Malgun Gothic Semilight" w:hint="eastAsia"/>
          <w:b/>
          <w:sz w:val="30"/>
          <w:szCs w:val="20"/>
        </w:rPr>
        <w:t>、</w:t>
      </w:r>
      <w:r>
        <w:rPr>
          <w:rFonts w:ascii="宋体" w:eastAsia="宋体" w:hAnsi="宋体" w:cs="微软雅黑" w:hint="eastAsia"/>
          <w:b/>
          <w:sz w:val="30"/>
          <w:szCs w:val="20"/>
        </w:rPr>
        <w:t>其他事项</w:t>
      </w:r>
      <w:bookmarkEnd w:id="99"/>
    </w:p>
    <w:p w14:paraId="3D6BC21E"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如发生有权司法机关依法冻结基金份额持有人的基金份额时</w:t>
      </w:r>
      <w:r>
        <w:rPr>
          <w:rFonts w:ascii="宋体" w:eastAsia="宋体" w:hAnsi="宋体" w:cs="Malgun Gothic Semilight" w:hint="eastAsia"/>
          <w:sz w:val="24"/>
          <w:szCs w:val="24"/>
        </w:rPr>
        <w:t>，</w:t>
      </w:r>
      <w:r>
        <w:rPr>
          <w:rFonts w:ascii="宋体" w:eastAsia="宋体" w:hAnsi="宋体" w:cs="微软雅黑" w:hint="eastAsia"/>
          <w:sz w:val="24"/>
          <w:szCs w:val="24"/>
        </w:rPr>
        <w:t>基金管理人应予以配合</w:t>
      </w:r>
      <w:r>
        <w:rPr>
          <w:rFonts w:ascii="宋体" w:eastAsia="宋体" w:hAnsi="宋体" w:cs="Malgun Gothic Semilight" w:hint="eastAsia"/>
          <w:sz w:val="24"/>
          <w:szCs w:val="24"/>
        </w:rPr>
        <w:t>，</w:t>
      </w:r>
      <w:r>
        <w:rPr>
          <w:rFonts w:ascii="宋体" w:eastAsia="宋体" w:hAnsi="宋体" w:cs="微软雅黑" w:hint="eastAsia"/>
          <w:sz w:val="24"/>
          <w:szCs w:val="24"/>
        </w:rPr>
        <w:t>承担司法协助义务</w:t>
      </w:r>
      <w:r>
        <w:rPr>
          <w:rFonts w:ascii="宋体" w:eastAsia="宋体" w:hAnsi="宋体" w:cs="Malgun Gothic Semilight" w:hint="eastAsia"/>
          <w:sz w:val="24"/>
          <w:szCs w:val="24"/>
        </w:rPr>
        <w:t>。</w:t>
      </w:r>
    </w:p>
    <w:p w14:paraId="6A02D5A8" w14:textId="77777777" w:rsidR="00C521E2" w:rsidRDefault="005D6E6D">
      <w:pPr>
        <w:adjustRightInd w:val="0"/>
        <w:snapToGrid w:val="0"/>
        <w:spacing w:line="360" w:lineRule="auto"/>
        <w:ind w:firstLineChars="200" w:firstLine="480"/>
        <w:rPr>
          <w:rFonts w:ascii="宋体" w:eastAsia="宋体" w:hAnsi="宋体" w:cs="Arial"/>
          <w:sz w:val="24"/>
          <w:szCs w:val="24"/>
        </w:rPr>
      </w:pPr>
      <w:r>
        <w:rPr>
          <w:rFonts w:ascii="宋体" w:eastAsia="宋体" w:hAnsi="宋体" w:cs="微软雅黑" w:hint="eastAsia"/>
          <w:sz w:val="24"/>
          <w:szCs w:val="24"/>
        </w:rPr>
        <w:t>除本协议有明确定义外</w:t>
      </w:r>
      <w:r>
        <w:rPr>
          <w:rFonts w:ascii="宋体" w:eastAsia="宋体" w:hAnsi="宋体" w:cs="Malgun Gothic Semilight" w:hint="eastAsia"/>
          <w:sz w:val="24"/>
          <w:szCs w:val="24"/>
        </w:rPr>
        <w:t>，</w:t>
      </w:r>
      <w:r>
        <w:rPr>
          <w:rFonts w:ascii="宋体" w:eastAsia="宋体" w:hAnsi="宋体" w:cs="微软雅黑" w:hint="eastAsia"/>
          <w:sz w:val="24"/>
          <w:szCs w:val="24"/>
        </w:rPr>
        <w:t>本协议的用语定义适用</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的约定</w:t>
      </w:r>
      <w:r>
        <w:rPr>
          <w:rFonts w:ascii="宋体" w:eastAsia="宋体" w:hAnsi="宋体" w:cs="Malgun Gothic Semilight" w:hint="eastAsia"/>
          <w:sz w:val="24"/>
          <w:szCs w:val="24"/>
        </w:rPr>
        <w:t>。</w:t>
      </w:r>
      <w:r>
        <w:rPr>
          <w:rFonts w:ascii="宋体" w:eastAsia="宋体" w:hAnsi="宋体" w:cs="微软雅黑" w:hint="eastAsia"/>
          <w:sz w:val="24"/>
          <w:szCs w:val="24"/>
        </w:rPr>
        <w:t>本协议未尽事宜</w:t>
      </w:r>
      <w:r>
        <w:rPr>
          <w:rFonts w:ascii="宋体" w:eastAsia="宋体" w:hAnsi="宋体" w:cs="Malgun Gothic Semilight" w:hint="eastAsia"/>
          <w:sz w:val="24"/>
          <w:szCs w:val="24"/>
        </w:rPr>
        <w:t>，</w:t>
      </w:r>
      <w:r>
        <w:rPr>
          <w:rFonts w:ascii="宋体" w:eastAsia="宋体" w:hAnsi="宋体" w:cs="微软雅黑" w:hint="eastAsia"/>
          <w:sz w:val="24"/>
          <w:szCs w:val="24"/>
        </w:rPr>
        <w:t>当事人依据</w:t>
      </w:r>
      <w:r>
        <w:rPr>
          <w:rFonts w:ascii="宋体" w:eastAsia="宋体" w:hAnsi="宋体" w:cs="Malgun Gothic Semilight" w:hint="eastAsia"/>
          <w:sz w:val="24"/>
          <w:szCs w:val="24"/>
        </w:rPr>
        <w:t>《</w:t>
      </w:r>
      <w:r>
        <w:rPr>
          <w:rFonts w:ascii="宋体" w:eastAsia="宋体" w:hAnsi="宋体" w:cs="微软雅黑" w:hint="eastAsia"/>
          <w:sz w:val="24"/>
          <w:szCs w:val="24"/>
        </w:rPr>
        <w:t>基金合同</w:t>
      </w:r>
      <w:r>
        <w:rPr>
          <w:rFonts w:ascii="宋体" w:eastAsia="宋体" w:hAnsi="宋体" w:cs="Malgun Gothic Semilight" w:hint="eastAsia"/>
          <w:sz w:val="24"/>
          <w:szCs w:val="24"/>
        </w:rPr>
        <w:t>》、</w:t>
      </w:r>
      <w:r>
        <w:rPr>
          <w:rFonts w:ascii="宋体" w:eastAsia="宋体" w:hAnsi="宋体" w:cs="微软雅黑" w:hint="eastAsia"/>
          <w:sz w:val="24"/>
          <w:szCs w:val="24"/>
        </w:rPr>
        <w:t>有关法律法规等规定协商办理</w:t>
      </w:r>
      <w:r>
        <w:rPr>
          <w:rFonts w:ascii="宋体" w:eastAsia="宋体" w:hAnsi="宋体" w:cs="Malgun Gothic Semilight" w:hint="eastAsia"/>
          <w:sz w:val="24"/>
          <w:szCs w:val="24"/>
        </w:rPr>
        <w:t>。</w:t>
      </w:r>
    </w:p>
    <w:p w14:paraId="09CB894B" w14:textId="77777777" w:rsidR="00C521E2" w:rsidRDefault="00C521E2">
      <w:pPr>
        <w:adjustRightInd w:val="0"/>
        <w:snapToGrid w:val="0"/>
        <w:spacing w:line="360" w:lineRule="auto"/>
        <w:rPr>
          <w:rFonts w:ascii="宋体" w:eastAsia="宋体" w:hAnsi="宋体" w:cs="Times New Roman"/>
          <w:b/>
          <w:bCs/>
          <w:szCs w:val="24"/>
        </w:rPr>
      </w:pPr>
    </w:p>
    <w:p w14:paraId="605EAE01" w14:textId="77777777" w:rsidR="00C521E2" w:rsidRDefault="005D6E6D">
      <w:pPr>
        <w:keepNext/>
        <w:keepLines/>
        <w:spacing w:before="260" w:after="260" w:line="360" w:lineRule="auto"/>
        <w:jc w:val="center"/>
        <w:outlineLvl w:val="1"/>
        <w:rPr>
          <w:rFonts w:ascii="宋体" w:eastAsia="宋体" w:hAnsi="宋体" w:cs="Times New Roman"/>
          <w:b/>
          <w:sz w:val="30"/>
          <w:szCs w:val="20"/>
        </w:rPr>
      </w:pPr>
      <w:bookmarkStart w:id="100" w:name="_Toc204539412"/>
      <w:r>
        <w:rPr>
          <w:rFonts w:ascii="宋体" w:eastAsia="宋体" w:hAnsi="宋体" w:cs="微软雅黑" w:hint="eastAsia"/>
          <w:b/>
          <w:sz w:val="30"/>
          <w:szCs w:val="20"/>
        </w:rPr>
        <w:t>二十一</w:t>
      </w:r>
      <w:r>
        <w:rPr>
          <w:rFonts w:ascii="宋体" w:eastAsia="宋体" w:hAnsi="宋体" w:cs="Malgun Gothic Semilight" w:hint="eastAsia"/>
          <w:b/>
          <w:sz w:val="30"/>
          <w:szCs w:val="20"/>
        </w:rPr>
        <w:t>、</w:t>
      </w:r>
      <w:r>
        <w:rPr>
          <w:rFonts w:ascii="宋体" w:eastAsia="宋体" w:hAnsi="宋体" w:cs="微软雅黑" w:hint="eastAsia"/>
          <w:b/>
          <w:sz w:val="30"/>
          <w:szCs w:val="20"/>
        </w:rPr>
        <w:t>托管协议的签订</w:t>
      </w:r>
      <w:bookmarkEnd w:id="100"/>
    </w:p>
    <w:p w14:paraId="0AE8DEF3" w14:textId="4DCAC097" w:rsidR="00C521E2" w:rsidRDefault="005D6E6D" w:rsidP="004A444F">
      <w:pPr>
        <w:adjustRightInd w:val="0"/>
        <w:snapToGrid w:val="0"/>
        <w:spacing w:line="360" w:lineRule="auto"/>
        <w:ind w:firstLineChars="200" w:firstLine="480"/>
        <w:rPr>
          <w:rFonts w:ascii="宋体" w:hAnsi="宋体"/>
          <w:sz w:val="24"/>
        </w:rPr>
      </w:pPr>
      <w:r>
        <w:rPr>
          <w:rFonts w:ascii="宋体" w:eastAsia="宋体" w:hAnsi="宋体" w:cs="微软雅黑" w:hint="eastAsia"/>
          <w:sz w:val="24"/>
          <w:szCs w:val="24"/>
        </w:rPr>
        <w:t>本协议双方法定代表人或授权代表签字或盖章并加盖双方公章或合同专用章</w:t>
      </w:r>
      <w:r>
        <w:rPr>
          <w:rFonts w:ascii="宋体" w:eastAsia="宋体" w:hAnsi="宋体" w:cs="Malgun Gothic Semilight" w:hint="eastAsia"/>
          <w:sz w:val="24"/>
          <w:szCs w:val="24"/>
        </w:rPr>
        <w:t>，</w:t>
      </w:r>
      <w:r>
        <w:rPr>
          <w:rFonts w:ascii="宋体" w:eastAsia="宋体" w:hAnsi="宋体" w:cs="微软雅黑" w:hint="eastAsia"/>
          <w:sz w:val="24"/>
          <w:szCs w:val="24"/>
        </w:rPr>
        <w:t>并列明签订日</w:t>
      </w:r>
      <w:r>
        <w:rPr>
          <w:rFonts w:ascii="宋体" w:eastAsia="宋体" w:hAnsi="宋体" w:cs="Arial" w:hint="eastAsia"/>
          <w:sz w:val="24"/>
          <w:szCs w:val="24"/>
        </w:rPr>
        <w:t>。</w:t>
      </w:r>
    </w:p>
    <w:sectPr w:rsidR="00C521E2">
      <w:headerReference w:type="default" r:id="rId9"/>
      <w:footerReference w:type="even" r:id="rId10"/>
      <w:footerReference w:type="default" r:id="rId11"/>
      <w:pgSz w:w="11906" w:h="16838"/>
      <w:pgMar w:top="1418" w:right="1701" w:bottom="1418" w:left="1701"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8824BC" w16cex:dateUtc="2026-05-28T13:20:00Z"/>
  <w16cex:commentExtensible w16cex:durableId="4F7E3009" w16cex:dateUtc="2026-05-28T1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BDD4FD" w16cid:durableId="22BDD4FD"/>
  <w16cid:commentId w16cid:paraId="67A0B70A" w16cid:durableId="67A0B70A"/>
  <w16cid:commentId w16cid:paraId="7F7BBDBB" w16cid:durableId="7F7BBDBB"/>
  <w16cid:commentId w16cid:paraId="1B9ADF44" w16cid:durableId="1B9ADF44"/>
  <w16cid:commentId w16cid:paraId="2FFF631B" w16cid:durableId="2FFF631B"/>
  <w16cid:commentId w16cid:paraId="1F73E502" w16cid:durableId="1F73E502"/>
  <w16cid:commentId w16cid:paraId="3C254522" w16cid:durableId="3C254522"/>
  <w16cid:commentId w16cid:paraId="5F3FFD26" w16cid:durableId="5F3FFD26"/>
  <w16cid:commentId w16cid:paraId="7CDA0729" w16cid:durableId="7CDA0729"/>
  <w16cid:commentId w16cid:paraId="7FF71300" w16cid:durableId="7FF71300"/>
  <w16cid:commentId w16cid:paraId="5351999E" w16cid:durableId="5351999E"/>
  <w16cid:commentId w16cid:paraId="7C7F27A0" w16cid:durableId="7C7F27A0"/>
  <w16cid:commentId w16cid:paraId="5F9BD9DB" w16cid:durableId="5F9BD9DB"/>
  <w16cid:commentId w16cid:paraId="30AB659E" w16cid:durableId="30AB659E"/>
  <w16cid:commentId w16cid:paraId="2A54CF5B" w16cid:durableId="2A54CF5B"/>
  <w16cid:commentId w16cid:paraId="12A39B5F" w16cid:durableId="12A39B5F"/>
  <w16cid:commentId w16cid:paraId="298C3FAA" w16cid:durableId="298C3FAA"/>
  <w16cid:commentId w16cid:paraId="0473206C" w16cid:durableId="0473206C"/>
  <w16cid:commentId w16cid:paraId="3BFEE26E" w16cid:durableId="3BFEE26E"/>
  <w16cid:commentId w16cid:paraId="4FAF8389" w16cid:durableId="4FAF8389"/>
  <w16cid:commentId w16cid:paraId="1B55F05E" w16cid:durableId="1B55F05E"/>
  <w16cid:commentId w16cid:paraId="4AF31892" w16cid:durableId="4AF31892"/>
  <w16cid:commentId w16cid:paraId="6B026B62" w16cid:durableId="6B026B62"/>
  <w16cid:commentId w16cid:paraId="56DE8057" w16cid:durableId="56DE8057"/>
  <w16cid:commentId w16cid:paraId="77FE55DA" w16cid:durableId="77FE55DA"/>
  <w16cid:commentId w16cid:paraId="7D9D44CF" w16cid:durableId="7D9D44CF"/>
  <w16cid:commentId w16cid:paraId="7FDFEAD7" w16cid:durableId="7FDFEAD7"/>
  <w16cid:commentId w16cid:paraId="7FFBAC10" w16cid:durableId="7FFBAC10"/>
  <w16cid:commentId w16cid:paraId="75FEA166" w16cid:durableId="75FEA166"/>
  <w16cid:commentId w16cid:paraId="30EE7F9E" w16cid:durableId="30EE7F9E"/>
  <w16cid:commentId w16cid:paraId="527FED4E" w16cid:durableId="527FED4E"/>
  <w16cid:commentId w16cid:paraId="48A2AD76" w16cid:durableId="48A2AD76"/>
  <w16cid:commentId w16cid:paraId="23E55246" w16cid:durableId="23E55246"/>
  <w16cid:commentId w16cid:paraId="7FFD0273" w16cid:durableId="7FFD0273"/>
  <w16cid:commentId w16cid:paraId="72759215" w16cid:durableId="72759215"/>
  <w16cid:commentId w16cid:paraId="2F920911" w16cid:durableId="2F920911"/>
  <w16cid:commentId w16cid:paraId="1072AF84" w16cid:durableId="1072AF84"/>
  <w16cid:commentId w16cid:paraId="1AC4025E" w16cid:durableId="1AC4025E"/>
  <w16cid:commentId w16cid:paraId="71ABBBDF" w16cid:durableId="71ABBBDF"/>
  <w16cid:commentId w16cid:paraId="3BFB94B8" w16cid:durableId="3BFB94B8"/>
  <w16cid:commentId w16cid:paraId="6C9B9874" w16cid:durableId="6C9B9874"/>
  <w16cid:commentId w16cid:paraId="28347ED9" w16cid:durableId="28347ED9"/>
  <w16cid:commentId w16cid:paraId="7A76BD48" w16cid:durableId="3B8824BC"/>
  <w16cid:commentId w16cid:paraId="7FEF1B15" w16cid:durableId="7FEF1B15"/>
  <w16cid:commentId w16cid:paraId="00F3031B" w16cid:durableId="00F3031B"/>
  <w16cid:commentId w16cid:paraId="773B4515" w16cid:durableId="773B4515"/>
  <w16cid:commentId w16cid:paraId="36E78A82" w16cid:durableId="36E78A82"/>
  <w16cid:commentId w16cid:paraId="399EC64C" w16cid:durableId="399EC64C"/>
  <w16cid:commentId w16cid:paraId="3E5F185E" w16cid:durableId="3E5F185E"/>
  <w16cid:commentId w16cid:paraId="05CAE619" w16cid:durableId="05CAE619"/>
  <w16cid:commentId w16cid:paraId="53EA04E7" w16cid:durableId="53EA04E7"/>
  <w16cid:commentId w16cid:paraId="3BFF2A15" w16cid:durableId="3BFF2A15"/>
  <w16cid:commentId w16cid:paraId="12E1BBDB" w16cid:durableId="4F7E3009"/>
  <w16cid:commentId w16cid:paraId="2ECBE170" w16cid:durableId="2ECBE170"/>
  <w16cid:commentId w16cid:paraId="53CB039E" w16cid:durableId="53CB039E"/>
  <w16cid:commentId w16cid:paraId="4BAB1FB6" w16cid:durableId="4BAB1FB6"/>
  <w16cid:commentId w16cid:paraId="7EEC6B0C" w16cid:durableId="7EEC6B0C"/>
  <w16cid:commentId w16cid:paraId="3C827ED0" w16cid:durableId="3C827ED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A411A" w14:textId="77777777" w:rsidR="00B06E18" w:rsidRDefault="00B06E18">
      <w:r>
        <w:separator/>
      </w:r>
    </w:p>
  </w:endnote>
  <w:endnote w:type="continuationSeparator" w:id="0">
    <w:p w14:paraId="3E95CFD1" w14:textId="77777777" w:rsidR="00B06E18" w:rsidRDefault="00B06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roman"/>
    <w:pitch w:val="default"/>
  </w:font>
  <w:font w:name="方正仿宋简体">
    <w:altName w:val="方正仿宋_GBK"/>
    <w:charset w:val="86"/>
    <w:family w:val="auto"/>
    <w:pitch w:val="default"/>
    <w:sig w:usb0="00000000" w:usb1="00000000" w:usb2="00000010" w:usb3="00000000" w:csb0="00040000" w:csb1="00000000"/>
  </w:font>
  <w:font w:name="Arial Unicode MS">
    <w:altName w:val="Malgun Gothic Semilight"/>
    <w:panose1 w:val="020B0604020202020204"/>
    <w:charset w:val="86"/>
    <w:family w:val="swiss"/>
    <w:pitch w:val="default"/>
    <w:sig w:usb0="00000000" w:usb1="00000000"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algun Gothic Semilight">
    <w:panose1 w:val="020B0502040204020203"/>
    <w:charset w:val="86"/>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B1DF8" w14:textId="77777777" w:rsidR="005D6E6D" w:rsidRDefault="005D6E6D">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7A9A0CA" w14:textId="77777777" w:rsidR="005D6E6D" w:rsidRDefault="005D6E6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C6DE6" w14:textId="37BC90C6" w:rsidR="005D6E6D" w:rsidRDefault="005D6E6D">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4A444F">
      <w:rPr>
        <w:rStyle w:val="af"/>
        <w:noProof/>
      </w:rPr>
      <w:t>1</w:t>
    </w:r>
    <w:r>
      <w:rPr>
        <w:rStyle w:val="af"/>
      </w:rPr>
      <w:fldChar w:fldCharType="end"/>
    </w:r>
  </w:p>
  <w:p w14:paraId="2CF0CA53" w14:textId="77777777" w:rsidR="005D6E6D" w:rsidRDefault="005D6E6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376D3" w14:textId="77777777" w:rsidR="005D6E6D" w:rsidRDefault="005D6E6D">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2FC23F7D" w14:textId="77777777" w:rsidR="005D6E6D" w:rsidRDefault="005D6E6D">
    <w:pPr>
      <w:pStyle w:val="a8"/>
    </w:pPr>
  </w:p>
  <w:p w14:paraId="4A0A7926" w14:textId="77777777" w:rsidR="005D6E6D" w:rsidRDefault="005D6E6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721E8" w14:textId="1771AC4E" w:rsidR="005D6E6D" w:rsidRDefault="005D6E6D">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4A444F">
      <w:rPr>
        <w:rStyle w:val="af"/>
        <w:noProof/>
      </w:rPr>
      <w:t>4</w:t>
    </w:r>
    <w:r>
      <w:rPr>
        <w:rStyle w:val="af"/>
      </w:rPr>
      <w:fldChar w:fldCharType="end"/>
    </w:r>
  </w:p>
  <w:p w14:paraId="587CC767" w14:textId="77777777" w:rsidR="005D6E6D" w:rsidRDefault="005D6E6D">
    <w:pPr>
      <w:pStyle w:val="a8"/>
    </w:pPr>
  </w:p>
  <w:p w14:paraId="45FA99A7" w14:textId="77777777" w:rsidR="005D6E6D" w:rsidRDefault="005D6E6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F9234" w14:textId="77777777" w:rsidR="00B06E18" w:rsidRDefault="00B06E18">
      <w:r>
        <w:separator/>
      </w:r>
    </w:p>
  </w:footnote>
  <w:footnote w:type="continuationSeparator" w:id="0">
    <w:p w14:paraId="0223FD21" w14:textId="77777777" w:rsidR="00B06E18" w:rsidRDefault="00B06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60B54" w14:textId="3D47A00C" w:rsidR="005D6E6D" w:rsidRDefault="005D6E6D">
    <w:pPr>
      <w:pStyle w:val="aa"/>
      <w:jc w:val="left"/>
    </w:pPr>
    <w:r>
      <w:rPr>
        <w:rFonts w:hint="eastAsia"/>
      </w:rPr>
      <w:t>嘉实中证沪港深云计算产业交易型开放式指数证券投资基金联接基金</w:t>
    </w:r>
    <w:r>
      <w:rPr>
        <w:rFonts w:hint="eastAsia"/>
      </w:rPr>
      <w:t xml:space="preserve"> </w:t>
    </w:r>
    <w:r>
      <w:t xml:space="preserve">                 </w:t>
    </w:r>
    <w:r w:rsidR="00524306">
      <w:t xml:space="preserve">      </w:t>
    </w:r>
    <w:r w:rsidR="00524306">
      <w:rPr>
        <w:rFonts w:hint="eastAsia"/>
      </w:rPr>
      <w:t>托管协议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EA0"/>
    <w:rsid w:val="B7F7CEF4"/>
    <w:rsid w:val="BBFFC212"/>
    <w:rsid w:val="D4E3ED09"/>
    <w:rsid w:val="D72D3939"/>
    <w:rsid w:val="DCFFD2E3"/>
    <w:rsid w:val="DFFF36B1"/>
    <w:rsid w:val="E4B91078"/>
    <w:rsid w:val="ED6FDB7C"/>
    <w:rsid w:val="EFBFF552"/>
    <w:rsid w:val="F9FFCE48"/>
    <w:rsid w:val="FBEDDB3E"/>
    <w:rsid w:val="FCF5A021"/>
    <w:rsid w:val="FF5F9AD7"/>
    <w:rsid w:val="FF6A0B4E"/>
    <w:rsid w:val="FFAF7DA9"/>
    <w:rsid w:val="FFFE4AB6"/>
    <w:rsid w:val="00002218"/>
    <w:rsid w:val="00006398"/>
    <w:rsid w:val="000110D5"/>
    <w:rsid w:val="00012594"/>
    <w:rsid w:val="00013D31"/>
    <w:rsid w:val="0001431F"/>
    <w:rsid w:val="0001623C"/>
    <w:rsid w:val="000207EB"/>
    <w:rsid w:val="00024DDB"/>
    <w:rsid w:val="00026DD3"/>
    <w:rsid w:val="000322E3"/>
    <w:rsid w:val="00032317"/>
    <w:rsid w:val="00040132"/>
    <w:rsid w:val="00042541"/>
    <w:rsid w:val="00042D42"/>
    <w:rsid w:val="00044C41"/>
    <w:rsid w:val="00063A27"/>
    <w:rsid w:val="0007467E"/>
    <w:rsid w:val="00075774"/>
    <w:rsid w:val="00076423"/>
    <w:rsid w:val="000814FB"/>
    <w:rsid w:val="00081916"/>
    <w:rsid w:val="00083BD8"/>
    <w:rsid w:val="00087EB9"/>
    <w:rsid w:val="000907A7"/>
    <w:rsid w:val="000918CD"/>
    <w:rsid w:val="0009358F"/>
    <w:rsid w:val="00094164"/>
    <w:rsid w:val="00094918"/>
    <w:rsid w:val="00096A47"/>
    <w:rsid w:val="00096CA2"/>
    <w:rsid w:val="000A15B5"/>
    <w:rsid w:val="000B00A1"/>
    <w:rsid w:val="000B2EA0"/>
    <w:rsid w:val="000B5C2C"/>
    <w:rsid w:val="000B5C8D"/>
    <w:rsid w:val="000D13E2"/>
    <w:rsid w:val="000D243D"/>
    <w:rsid w:val="000D2AD8"/>
    <w:rsid w:val="000D387B"/>
    <w:rsid w:val="000D4EF1"/>
    <w:rsid w:val="000E1D6F"/>
    <w:rsid w:val="000E37F1"/>
    <w:rsid w:val="000E4358"/>
    <w:rsid w:val="000E67B1"/>
    <w:rsid w:val="000E7167"/>
    <w:rsid w:val="000F0665"/>
    <w:rsid w:val="000F5A94"/>
    <w:rsid w:val="000F5D28"/>
    <w:rsid w:val="00100293"/>
    <w:rsid w:val="0010276A"/>
    <w:rsid w:val="001108FB"/>
    <w:rsid w:val="00110F0F"/>
    <w:rsid w:val="00112C36"/>
    <w:rsid w:val="001155E2"/>
    <w:rsid w:val="00115CAE"/>
    <w:rsid w:val="00117492"/>
    <w:rsid w:val="00121114"/>
    <w:rsid w:val="00127AEC"/>
    <w:rsid w:val="00132F15"/>
    <w:rsid w:val="0013531A"/>
    <w:rsid w:val="001406C6"/>
    <w:rsid w:val="00140F55"/>
    <w:rsid w:val="001414C4"/>
    <w:rsid w:val="00141F07"/>
    <w:rsid w:val="00141F4A"/>
    <w:rsid w:val="00143AC0"/>
    <w:rsid w:val="00143CE3"/>
    <w:rsid w:val="00143FFE"/>
    <w:rsid w:val="0014627F"/>
    <w:rsid w:val="00153A94"/>
    <w:rsid w:val="001541E5"/>
    <w:rsid w:val="00154B1E"/>
    <w:rsid w:val="001556DB"/>
    <w:rsid w:val="00160F29"/>
    <w:rsid w:val="00161D7B"/>
    <w:rsid w:val="001710B6"/>
    <w:rsid w:val="00171FAA"/>
    <w:rsid w:val="001752E6"/>
    <w:rsid w:val="00177C34"/>
    <w:rsid w:val="001806ED"/>
    <w:rsid w:val="001822B7"/>
    <w:rsid w:val="00184F82"/>
    <w:rsid w:val="00187D57"/>
    <w:rsid w:val="0019070D"/>
    <w:rsid w:val="00191639"/>
    <w:rsid w:val="00197501"/>
    <w:rsid w:val="001A04DB"/>
    <w:rsid w:val="001A1832"/>
    <w:rsid w:val="001A5C97"/>
    <w:rsid w:val="001A78B0"/>
    <w:rsid w:val="001A7DCE"/>
    <w:rsid w:val="001B116E"/>
    <w:rsid w:val="001B614A"/>
    <w:rsid w:val="001B6CCB"/>
    <w:rsid w:val="001B7A49"/>
    <w:rsid w:val="001C2634"/>
    <w:rsid w:val="001C6768"/>
    <w:rsid w:val="001C7D4B"/>
    <w:rsid w:val="001E4724"/>
    <w:rsid w:val="001E4830"/>
    <w:rsid w:val="001E532F"/>
    <w:rsid w:val="001E56D8"/>
    <w:rsid w:val="001E5FFA"/>
    <w:rsid w:val="001E6084"/>
    <w:rsid w:val="001E7DBD"/>
    <w:rsid w:val="001F08FE"/>
    <w:rsid w:val="001F4FDD"/>
    <w:rsid w:val="001F5F06"/>
    <w:rsid w:val="0020030D"/>
    <w:rsid w:val="00200603"/>
    <w:rsid w:val="00203882"/>
    <w:rsid w:val="002049E3"/>
    <w:rsid w:val="00204BC3"/>
    <w:rsid w:val="002051D8"/>
    <w:rsid w:val="0020552A"/>
    <w:rsid w:val="00205B13"/>
    <w:rsid w:val="00206509"/>
    <w:rsid w:val="00206F45"/>
    <w:rsid w:val="00212206"/>
    <w:rsid w:val="002131CE"/>
    <w:rsid w:val="00214B9A"/>
    <w:rsid w:val="002162E2"/>
    <w:rsid w:val="00222410"/>
    <w:rsid w:val="0022340F"/>
    <w:rsid w:val="0022591E"/>
    <w:rsid w:val="0023005A"/>
    <w:rsid w:val="00233715"/>
    <w:rsid w:val="0023588B"/>
    <w:rsid w:val="00235FBA"/>
    <w:rsid w:val="00237AF9"/>
    <w:rsid w:val="002402DA"/>
    <w:rsid w:val="002456FA"/>
    <w:rsid w:val="00247B28"/>
    <w:rsid w:val="00253C8E"/>
    <w:rsid w:val="00253D06"/>
    <w:rsid w:val="0025536D"/>
    <w:rsid w:val="0026106A"/>
    <w:rsid w:val="002641B2"/>
    <w:rsid w:val="00265129"/>
    <w:rsid w:val="002721E3"/>
    <w:rsid w:val="00272A6C"/>
    <w:rsid w:val="00272B8A"/>
    <w:rsid w:val="0027497B"/>
    <w:rsid w:val="00280103"/>
    <w:rsid w:val="002810E2"/>
    <w:rsid w:val="00287CC0"/>
    <w:rsid w:val="00290755"/>
    <w:rsid w:val="00293CC1"/>
    <w:rsid w:val="002946EB"/>
    <w:rsid w:val="002948B0"/>
    <w:rsid w:val="00295C50"/>
    <w:rsid w:val="002A066B"/>
    <w:rsid w:val="002A4F90"/>
    <w:rsid w:val="002A522E"/>
    <w:rsid w:val="002A631F"/>
    <w:rsid w:val="002B1218"/>
    <w:rsid w:val="002B23EF"/>
    <w:rsid w:val="002B656F"/>
    <w:rsid w:val="002B7A1C"/>
    <w:rsid w:val="002C0970"/>
    <w:rsid w:val="002C1AC0"/>
    <w:rsid w:val="002C2547"/>
    <w:rsid w:val="002D1D27"/>
    <w:rsid w:val="002D30B8"/>
    <w:rsid w:val="002D3106"/>
    <w:rsid w:val="002E0149"/>
    <w:rsid w:val="002E057A"/>
    <w:rsid w:val="002F207B"/>
    <w:rsid w:val="002F3799"/>
    <w:rsid w:val="002F4296"/>
    <w:rsid w:val="002F63E5"/>
    <w:rsid w:val="002F7565"/>
    <w:rsid w:val="002F7F6E"/>
    <w:rsid w:val="00303E89"/>
    <w:rsid w:val="003105B9"/>
    <w:rsid w:val="003129CA"/>
    <w:rsid w:val="00317CD1"/>
    <w:rsid w:val="00322553"/>
    <w:rsid w:val="00322C35"/>
    <w:rsid w:val="00326298"/>
    <w:rsid w:val="00331CDE"/>
    <w:rsid w:val="003321DA"/>
    <w:rsid w:val="00333D64"/>
    <w:rsid w:val="00336EF6"/>
    <w:rsid w:val="00341880"/>
    <w:rsid w:val="00342228"/>
    <w:rsid w:val="00342249"/>
    <w:rsid w:val="0034688A"/>
    <w:rsid w:val="00346E07"/>
    <w:rsid w:val="00347C10"/>
    <w:rsid w:val="003503EE"/>
    <w:rsid w:val="00354DC8"/>
    <w:rsid w:val="00356EA3"/>
    <w:rsid w:val="003636E3"/>
    <w:rsid w:val="00365B14"/>
    <w:rsid w:val="00366EF1"/>
    <w:rsid w:val="00370F96"/>
    <w:rsid w:val="00372904"/>
    <w:rsid w:val="00381B3F"/>
    <w:rsid w:val="00386322"/>
    <w:rsid w:val="0039638D"/>
    <w:rsid w:val="0039796E"/>
    <w:rsid w:val="003A357A"/>
    <w:rsid w:val="003A5B93"/>
    <w:rsid w:val="003A649F"/>
    <w:rsid w:val="003A743E"/>
    <w:rsid w:val="003B557D"/>
    <w:rsid w:val="003B7BC8"/>
    <w:rsid w:val="003C27FB"/>
    <w:rsid w:val="003C42F6"/>
    <w:rsid w:val="003C74F0"/>
    <w:rsid w:val="003C7AC5"/>
    <w:rsid w:val="003D1340"/>
    <w:rsid w:val="003D36ED"/>
    <w:rsid w:val="003D4944"/>
    <w:rsid w:val="003D5013"/>
    <w:rsid w:val="003D6BB1"/>
    <w:rsid w:val="003E5669"/>
    <w:rsid w:val="003E596B"/>
    <w:rsid w:val="003F213B"/>
    <w:rsid w:val="003F259C"/>
    <w:rsid w:val="003F43C6"/>
    <w:rsid w:val="003F4532"/>
    <w:rsid w:val="003F503E"/>
    <w:rsid w:val="003F6645"/>
    <w:rsid w:val="003F7F35"/>
    <w:rsid w:val="0040034E"/>
    <w:rsid w:val="00407AB2"/>
    <w:rsid w:val="00407CFD"/>
    <w:rsid w:val="00413AA3"/>
    <w:rsid w:val="00413DF5"/>
    <w:rsid w:val="0041479C"/>
    <w:rsid w:val="00415D68"/>
    <w:rsid w:val="00416321"/>
    <w:rsid w:val="00416ADB"/>
    <w:rsid w:val="00417DEF"/>
    <w:rsid w:val="00423564"/>
    <w:rsid w:val="00425BCD"/>
    <w:rsid w:val="004337EF"/>
    <w:rsid w:val="00440359"/>
    <w:rsid w:val="0044068C"/>
    <w:rsid w:val="0044422D"/>
    <w:rsid w:val="0044552B"/>
    <w:rsid w:val="00447FC5"/>
    <w:rsid w:val="0045154B"/>
    <w:rsid w:val="00451BDE"/>
    <w:rsid w:val="0045524A"/>
    <w:rsid w:val="0045788B"/>
    <w:rsid w:val="00463BCC"/>
    <w:rsid w:val="004674EF"/>
    <w:rsid w:val="004715E3"/>
    <w:rsid w:val="00472B7D"/>
    <w:rsid w:val="00482274"/>
    <w:rsid w:val="00482FE0"/>
    <w:rsid w:val="00490DAA"/>
    <w:rsid w:val="00496332"/>
    <w:rsid w:val="004972D4"/>
    <w:rsid w:val="004A0D11"/>
    <w:rsid w:val="004A444F"/>
    <w:rsid w:val="004A5153"/>
    <w:rsid w:val="004A56B4"/>
    <w:rsid w:val="004B0B75"/>
    <w:rsid w:val="004B13E8"/>
    <w:rsid w:val="004B2045"/>
    <w:rsid w:val="004B36CD"/>
    <w:rsid w:val="004B3A57"/>
    <w:rsid w:val="004B4D90"/>
    <w:rsid w:val="004B79A5"/>
    <w:rsid w:val="004C0CA6"/>
    <w:rsid w:val="004C1457"/>
    <w:rsid w:val="004C584B"/>
    <w:rsid w:val="004C5968"/>
    <w:rsid w:val="004D27E9"/>
    <w:rsid w:val="004D2B6F"/>
    <w:rsid w:val="004D573E"/>
    <w:rsid w:val="004E4D95"/>
    <w:rsid w:val="004F09C4"/>
    <w:rsid w:val="004F25DD"/>
    <w:rsid w:val="004F31A0"/>
    <w:rsid w:val="004F396B"/>
    <w:rsid w:val="004F4A18"/>
    <w:rsid w:val="004F4CE2"/>
    <w:rsid w:val="004F5F23"/>
    <w:rsid w:val="004F7C34"/>
    <w:rsid w:val="005043C5"/>
    <w:rsid w:val="00506E3C"/>
    <w:rsid w:val="00511023"/>
    <w:rsid w:val="00511239"/>
    <w:rsid w:val="005156C2"/>
    <w:rsid w:val="00516836"/>
    <w:rsid w:val="00520AE1"/>
    <w:rsid w:val="00524306"/>
    <w:rsid w:val="00532C91"/>
    <w:rsid w:val="00535F15"/>
    <w:rsid w:val="005373E4"/>
    <w:rsid w:val="005404F4"/>
    <w:rsid w:val="005412F2"/>
    <w:rsid w:val="0054484F"/>
    <w:rsid w:val="00545851"/>
    <w:rsid w:val="00554B7E"/>
    <w:rsid w:val="00554C37"/>
    <w:rsid w:val="005555DC"/>
    <w:rsid w:val="005564B7"/>
    <w:rsid w:val="00557B74"/>
    <w:rsid w:val="005638D8"/>
    <w:rsid w:val="0056617B"/>
    <w:rsid w:val="00566251"/>
    <w:rsid w:val="00567189"/>
    <w:rsid w:val="00570AEF"/>
    <w:rsid w:val="00574A48"/>
    <w:rsid w:val="00575BE0"/>
    <w:rsid w:val="00577E77"/>
    <w:rsid w:val="00581CFB"/>
    <w:rsid w:val="005820D9"/>
    <w:rsid w:val="0058481D"/>
    <w:rsid w:val="00584B1A"/>
    <w:rsid w:val="00585D37"/>
    <w:rsid w:val="00587DBC"/>
    <w:rsid w:val="00587DFE"/>
    <w:rsid w:val="005952B0"/>
    <w:rsid w:val="005953EF"/>
    <w:rsid w:val="00596197"/>
    <w:rsid w:val="00597672"/>
    <w:rsid w:val="00597D11"/>
    <w:rsid w:val="005A110D"/>
    <w:rsid w:val="005A2324"/>
    <w:rsid w:val="005A5E4A"/>
    <w:rsid w:val="005A6602"/>
    <w:rsid w:val="005B48C0"/>
    <w:rsid w:val="005B5B3F"/>
    <w:rsid w:val="005B779C"/>
    <w:rsid w:val="005C0109"/>
    <w:rsid w:val="005C42DB"/>
    <w:rsid w:val="005C4E7A"/>
    <w:rsid w:val="005C5829"/>
    <w:rsid w:val="005D131E"/>
    <w:rsid w:val="005D2010"/>
    <w:rsid w:val="005D5BB9"/>
    <w:rsid w:val="005D6E6D"/>
    <w:rsid w:val="005D72FE"/>
    <w:rsid w:val="005E32D6"/>
    <w:rsid w:val="005E57E2"/>
    <w:rsid w:val="005E60B7"/>
    <w:rsid w:val="005F0FEB"/>
    <w:rsid w:val="005F139A"/>
    <w:rsid w:val="005F22CB"/>
    <w:rsid w:val="005F3238"/>
    <w:rsid w:val="005F5ABC"/>
    <w:rsid w:val="005F79D6"/>
    <w:rsid w:val="005F7BC8"/>
    <w:rsid w:val="00601569"/>
    <w:rsid w:val="006033C3"/>
    <w:rsid w:val="00603CF3"/>
    <w:rsid w:val="0061308C"/>
    <w:rsid w:val="00613FB6"/>
    <w:rsid w:val="00616FD9"/>
    <w:rsid w:val="006233B8"/>
    <w:rsid w:val="006239DC"/>
    <w:rsid w:val="00625C40"/>
    <w:rsid w:val="006265C4"/>
    <w:rsid w:val="00630612"/>
    <w:rsid w:val="0063161F"/>
    <w:rsid w:val="00634915"/>
    <w:rsid w:val="00634D12"/>
    <w:rsid w:val="00636B83"/>
    <w:rsid w:val="006450DE"/>
    <w:rsid w:val="0065013A"/>
    <w:rsid w:val="006554EE"/>
    <w:rsid w:val="00660B29"/>
    <w:rsid w:val="00662A58"/>
    <w:rsid w:val="00665C9F"/>
    <w:rsid w:val="00666408"/>
    <w:rsid w:val="006671B6"/>
    <w:rsid w:val="00670495"/>
    <w:rsid w:val="00670DE3"/>
    <w:rsid w:val="00671780"/>
    <w:rsid w:val="00671AB0"/>
    <w:rsid w:val="00673A82"/>
    <w:rsid w:val="0068060F"/>
    <w:rsid w:val="00680911"/>
    <w:rsid w:val="00680C20"/>
    <w:rsid w:val="00682AAB"/>
    <w:rsid w:val="00684564"/>
    <w:rsid w:val="006849B3"/>
    <w:rsid w:val="00686C7C"/>
    <w:rsid w:val="0069127B"/>
    <w:rsid w:val="006954EC"/>
    <w:rsid w:val="006958D7"/>
    <w:rsid w:val="006972F0"/>
    <w:rsid w:val="006A3C3D"/>
    <w:rsid w:val="006A53CA"/>
    <w:rsid w:val="006A6C5B"/>
    <w:rsid w:val="006B11FA"/>
    <w:rsid w:val="006B21A7"/>
    <w:rsid w:val="006B4215"/>
    <w:rsid w:val="006C032E"/>
    <w:rsid w:val="006C3F8B"/>
    <w:rsid w:val="006C424C"/>
    <w:rsid w:val="006D0AF7"/>
    <w:rsid w:val="006D20A1"/>
    <w:rsid w:val="006D5C82"/>
    <w:rsid w:val="006D5DD8"/>
    <w:rsid w:val="006D7007"/>
    <w:rsid w:val="006E0A12"/>
    <w:rsid w:val="006E3E9D"/>
    <w:rsid w:val="006F11C1"/>
    <w:rsid w:val="006F21D9"/>
    <w:rsid w:val="006F5968"/>
    <w:rsid w:val="006F6B44"/>
    <w:rsid w:val="00701BA8"/>
    <w:rsid w:val="00701C23"/>
    <w:rsid w:val="00702CEF"/>
    <w:rsid w:val="00711011"/>
    <w:rsid w:val="007138AC"/>
    <w:rsid w:val="00713F87"/>
    <w:rsid w:val="00715264"/>
    <w:rsid w:val="00715743"/>
    <w:rsid w:val="00715972"/>
    <w:rsid w:val="0072127D"/>
    <w:rsid w:val="0072489A"/>
    <w:rsid w:val="007248EE"/>
    <w:rsid w:val="00731799"/>
    <w:rsid w:val="00733AC6"/>
    <w:rsid w:val="007374AB"/>
    <w:rsid w:val="0074150D"/>
    <w:rsid w:val="00742388"/>
    <w:rsid w:val="007435C4"/>
    <w:rsid w:val="0074436A"/>
    <w:rsid w:val="00745D35"/>
    <w:rsid w:val="00761B32"/>
    <w:rsid w:val="007623B9"/>
    <w:rsid w:val="0076448E"/>
    <w:rsid w:val="00766C23"/>
    <w:rsid w:val="00771613"/>
    <w:rsid w:val="0077223E"/>
    <w:rsid w:val="00773562"/>
    <w:rsid w:val="007778B7"/>
    <w:rsid w:val="0078101D"/>
    <w:rsid w:val="00781753"/>
    <w:rsid w:val="0078339C"/>
    <w:rsid w:val="0078483F"/>
    <w:rsid w:val="00784FE2"/>
    <w:rsid w:val="00787250"/>
    <w:rsid w:val="007900F2"/>
    <w:rsid w:val="00793737"/>
    <w:rsid w:val="007A0EC7"/>
    <w:rsid w:val="007A138E"/>
    <w:rsid w:val="007A22A3"/>
    <w:rsid w:val="007A2A4A"/>
    <w:rsid w:val="007B6627"/>
    <w:rsid w:val="007B69B3"/>
    <w:rsid w:val="007C147E"/>
    <w:rsid w:val="007C3B51"/>
    <w:rsid w:val="007C530E"/>
    <w:rsid w:val="007C7757"/>
    <w:rsid w:val="007C7AD4"/>
    <w:rsid w:val="007D11BC"/>
    <w:rsid w:val="007D314B"/>
    <w:rsid w:val="007D549D"/>
    <w:rsid w:val="007D54E2"/>
    <w:rsid w:val="007E3AC5"/>
    <w:rsid w:val="007E4DB2"/>
    <w:rsid w:val="007E6C9B"/>
    <w:rsid w:val="007F3510"/>
    <w:rsid w:val="00800509"/>
    <w:rsid w:val="00800991"/>
    <w:rsid w:val="00800F71"/>
    <w:rsid w:val="008023DD"/>
    <w:rsid w:val="00803AE1"/>
    <w:rsid w:val="008048E3"/>
    <w:rsid w:val="008051E8"/>
    <w:rsid w:val="00805487"/>
    <w:rsid w:val="00810887"/>
    <w:rsid w:val="00815B89"/>
    <w:rsid w:val="008174E6"/>
    <w:rsid w:val="0082037E"/>
    <w:rsid w:val="00820548"/>
    <w:rsid w:val="00822784"/>
    <w:rsid w:val="008275AC"/>
    <w:rsid w:val="00827FB0"/>
    <w:rsid w:val="00833988"/>
    <w:rsid w:val="00833BBB"/>
    <w:rsid w:val="0083493E"/>
    <w:rsid w:val="00843B6E"/>
    <w:rsid w:val="00844226"/>
    <w:rsid w:val="00844969"/>
    <w:rsid w:val="00852272"/>
    <w:rsid w:val="00853257"/>
    <w:rsid w:val="0085404E"/>
    <w:rsid w:val="0085464A"/>
    <w:rsid w:val="00861882"/>
    <w:rsid w:val="008625D6"/>
    <w:rsid w:val="00862EA3"/>
    <w:rsid w:val="00872BAA"/>
    <w:rsid w:val="00874D43"/>
    <w:rsid w:val="008762B3"/>
    <w:rsid w:val="008771A0"/>
    <w:rsid w:val="00884D56"/>
    <w:rsid w:val="00887091"/>
    <w:rsid w:val="00897062"/>
    <w:rsid w:val="008A37E0"/>
    <w:rsid w:val="008A511E"/>
    <w:rsid w:val="008A6E84"/>
    <w:rsid w:val="008B3F72"/>
    <w:rsid w:val="008B5AD4"/>
    <w:rsid w:val="008B6463"/>
    <w:rsid w:val="008C59D8"/>
    <w:rsid w:val="008C6155"/>
    <w:rsid w:val="008C6159"/>
    <w:rsid w:val="008D02C2"/>
    <w:rsid w:val="008D31C3"/>
    <w:rsid w:val="008D3736"/>
    <w:rsid w:val="008E2E6C"/>
    <w:rsid w:val="008E4C3A"/>
    <w:rsid w:val="008E53CC"/>
    <w:rsid w:val="008E6653"/>
    <w:rsid w:val="008E702B"/>
    <w:rsid w:val="008F4D8F"/>
    <w:rsid w:val="008F6BB4"/>
    <w:rsid w:val="008F7B04"/>
    <w:rsid w:val="00903C0D"/>
    <w:rsid w:val="00906C63"/>
    <w:rsid w:val="00913165"/>
    <w:rsid w:val="00916EE8"/>
    <w:rsid w:val="009171D1"/>
    <w:rsid w:val="009201CA"/>
    <w:rsid w:val="00921361"/>
    <w:rsid w:val="0092294D"/>
    <w:rsid w:val="009273EC"/>
    <w:rsid w:val="0093054E"/>
    <w:rsid w:val="009412A1"/>
    <w:rsid w:val="0094234F"/>
    <w:rsid w:val="00942FA1"/>
    <w:rsid w:val="00943573"/>
    <w:rsid w:val="00944C79"/>
    <w:rsid w:val="00946576"/>
    <w:rsid w:val="009561F9"/>
    <w:rsid w:val="00960B6A"/>
    <w:rsid w:val="009634ED"/>
    <w:rsid w:val="00974F17"/>
    <w:rsid w:val="00981B43"/>
    <w:rsid w:val="00983A26"/>
    <w:rsid w:val="00995C7C"/>
    <w:rsid w:val="009A1446"/>
    <w:rsid w:val="009A2D0A"/>
    <w:rsid w:val="009A3628"/>
    <w:rsid w:val="009A5D57"/>
    <w:rsid w:val="009A627C"/>
    <w:rsid w:val="009B3DA4"/>
    <w:rsid w:val="009B7B70"/>
    <w:rsid w:val="009C1DD4"/>
    <w:rsid w:val="009C1E81"/>
    <w:rsid w:val="009C1F7B"/>
    <w:rsid w:val="009C34B2"/>
    <w:rsid w:val="009C3D0B"/>
    <w:rsid w:val="009C460A"/>
    <w:rsid w:val="009D0EA0"/>
    <w:rsid w:val="009D1DDF"/>
    <w:rsid w:val="009D3FE0"/>
    <w:rsid w:val="009D440C"/>
    <w:rsid w:val="009D4750"/>
    <w:rsid w:val="009E24AA"/>
    <w:rsid w:val="009E3F61"/>
    <w:rsid w:val="009E49E2"/>
    <w:rsid w:val="009E56AA"/>
    <w:rsid w:val="009E62E5"/>
    <w:rsid w:val="009E71B4"/>
    <w:rsid w:val="009F1BB9"/>
    <w:rsid w:val="009F3275"/>
    <w:rsid w:val="009F778F"/>
    <w:rsid w:val="00A000AD"/>
    <w:rsid w:val="00A0105E"/>
    <w:rsid w:val="00A016E5"/>
    <w:rsid w:val="00A01A25"/>
    <w:rsid w:val="00A07603"/>
    <w:rsid w:val="00A10000"/>
    <w:rsid w:val="00A1233C"/>
    <w:rsid w:val="00A12A21"/>
    <w:rsid w:val="00A131ED"/>
    <w:rsid w:val="00A13B6A"/>
    <w:rsid w:val="00A14943"/>
    <w:rsid w:val="00A16E82"/>
    <w:rsid w:val="00A22A49"/>
    <w:rsid w:val="00A23D6B"/>
    <w:rsid w:val="00A25308"/>
    <w:rsid w:val="00A27B80"/>
    <w:rsid w:val="00A31048"/>
    <w:rsid w:val="00A3113F"/>
    <w:rsid w:val="00A32811"/>
    <w:rsid w:val="00A353A0"/>
    <w:rsid w:val="00A37947"/>
    <w:rsid w:val="00A4008E"/>
    <w:rsid w:val="00A40FAE"/>
    <w:rsid w:val="00A417D7"/>
    <w:rsid w:val="00A42809"/>
    <w:rsid w:val="00A465B9"/>
    <w:rsid w:val="00A4728A"/>
    <w:rsid w:val="00A47A36"/>
    <w:rsid w:val="00A54255"/>
    <w:rsid w:val="00A5443E"/>
    <w:rsid w:val="00A5601C"/>
    <w:rsid w:val="00A57D00"/>
    <w:rsid w:val="00A60372"/>
    <w:rsid w:val="00A61BF1"/>
    <w:rsid w:val="00A73BEE"/>
    <w:rsid w:val="00A81E5F"/>
    <w:rsid w:val="00A84212"/>
    <w:rsid w:val="00A853F6"/>
    <w:rsid w:val="00A90512"/>
    <w:rsid w:val="00A90EA6"/>
    <w:rsid w:val="00A913DC"/>
    <w:rsid w:val="00AA1404"/>
    <w:rsid w:val="00AA2F43"/>
    <w:rsid w:val="00AA4F91"/>
    <w:rsid w:val="00AA6482"/>
    <w:rsid w:val="00AA6B8E"/>
    <w:rsid w:val="00AA6FE7"/>
    <w:rsid w:val="00AA7017"/>
    <w:rsid w:val="00AB2E6E"/>
    <w:rsid w:val="00AB3F67"/>
    <w:rsid w:val="00AB5984"/>
    <w:rsid w:val="00AC0B06"/>
    <w:rsid w:val="00AC14E3"/>
    <w:rsid w:val="00AC70EA"/>
    <w:rsid w:val="00AD00DC"/>
    <w:rsid w:val="00AD2E53"/>
    <w:rsid w:val="00AD3CA9"/>
    <w:rsid w:val="00AD7079"/>
    <w:rsid w:val="00AE07F2"/>
    <w:rsid w:val="00AE080A"/>
    <w:rsid w:val="00AE5387"/>
    <w:rsid w:val="00AE6513"/>
    <w:rsid w:val="00AE70F6"/>
    <w:rsid w:val="00AF1013"/>
    <w:rsid w:val="00AF1E42"/>
    <w:rsid w:val="00AF3FC0"/>
    <w:rsid w:val="00AF65E3"/>
    <w:rsid w:val="00AF6B35"/>
    <w:rsid w:val="00B010DA"/>
    <w:rsid w:val="00B06E18"/>
    <w:rsid w:val="00B1366D"/>
    <w:rsid w:val="00B17244"/>
    <w:rsid w:val="00B21D0A"/>
    <w:rsid w:val="00B27163"/>
    <w:rsid w:val="00B30332"/>
    <w:rsid w:val="00B304B6"/>
    <w:rsid w:val="00B33563"/>
    <w:rsid w:val="00B350CD"/>
    <w:rsid w:val="00B41E6D"/>
    <w:rsid w:val="00B4327C"/>
    <w:rsid w:val="00B513DB"/>
    <w:rsid w:val="00B521F9"/>
    <w:rsid w:val="00B529F8"/>
    <w:rsid w:val="00B535FD"/>
    <w:rsid w:val="00B60B31"/>
    <w:rsid w:val="00B61851"/>
    <w:rsid w:val="00B62239"/>
    <w:rsid w:val="00B62F99"/>
    <w:rsid w:val="00B64A60"/>
    <w:rsid w:val="00B738D6"/>
    <w:rsid w:val="00B73CA7"/>
    <w:rsid w:val="00B80972"/>
    <w:rsid w:val="00B85EE8"/>
    <w:rsid w:val="00B87A80"/>
    <w:rsid w:val="00B92245"/>
    <w:rsid w:val="00B96431"/>
    <w:rsid w:val="00B97287"/>
    <w:rsid w:val="00BB0086"/>
    <w:rsid w:val="00BB1F9D"/>
    <w:rsid w:val="00BB294B"/>
    <w:rsid w:val="00BB44A5"/>
    <w:rsid w:val="00BB4832"/>
    <w:rsid w:val="00BB544F"/>
    <w:rsid w:val="00BC0044"/>
    <w:rsid w:val="00BC0F08"/>
    <w:rsid w:val="00BC2712"/>
    <w:rsid w:val="00BC32E9"/>
    <w:rsid w:val="00BC3B22"/>
    <w:rsid w:val="00BC58A3"/>
    <w:rsid w:val="00BD2C26"/>
    <w:rsid w:val="00BD3027"/>
    <w:rsid w:val="00BD55DD"/>
    <w:rsid w:val="00BD65FA"/>
    <w:rsid w:val="00BE320C"/>
    <w:rsid w:val="00BE65EF"/>
    <w:rsid w:val="00BE7410"/>
    <w:rsid w:val="00BF0D8B"/>
    <w:rsid w:val="00BF1925"/>
    <w:rsid w:val="00BF1ABE"/>
    <w:rsid w:val="00BF31CE"/>
    <w:rsid w:val="00BF4895"/>
    <w:rsid w:val="00BF6E25"/>
    <w:rsid w:val="00C00F79"/>
    <w:rsid w:val="00C017B0"/>
    <w:rsid w:val="00C030BD"/>
    <w:rsid w:val="00C03A06"/>
    <w:rsid w:val="00C05CEE"/>
    <w:rsid w:val="00C0691B"/>
    <w:rsid w:val="00C119F6"/>
    <w:rsid w:val="00C11AC6"/>
    <w:rsid w:val="00C138AE"/>
    <w:rsid w:val="00C233C3"/>
    <w:rsid w:val="00C237E4"/>
    <w:rsid w:val="00C333D8"/>
    <w:rsid w:val="00C45DD4"/>
    <w:rsid w:val="00C47205"/>
    <w:rsid w:val="00C47764"/>
    <w:rsid w:val="00C51320"/>
    <w:rsid w:val="00C51D20"/>
    <w:rsid w:val="00C521E2"/>
    <w:rsid w:val="00C52289"/>
    <w:rsid w:val="00C5304A"/>
    <w:rsid w:val="00C5315D"/>
    <w:rsid w:val="00C54E51"/>
    <w:rsid w:val="00C554B5"/>
    <w:rsid w:val="00C55F78"/>
    <w:rsid w:val="00C55FE6"/>
    <w:rsid w:val="00C61260"/>
    <w:rsid w:val="00C73848"/>
    <w:rsid w:val="00C806FD"/>
    <w:rsid w:val="00C824AD"/>
    <w:rsid w:val="00C82847"/>
    <w:rsid w:val="00C90332"/>
    <w:rsid w:val="00C907FA"/>
    <w:rsid w:val="00C917C0"/>
    <w:rsid w:val="00C91BCD"/>
    <w:rsid w:val="00C975BC"/>
    <w:rsid w:val="00C97AC9"/>
    <w:rsid w:val="00CA11DE"/>
    <w:rsid w:val="00CA40EE"/>
    <w:rsid w:val="00CA423B"/>
    <w:rsid w:val="00CA66BD"/>
    <w:rsid w:val="00CB2149"/>
    <w:rsid w:val="00CB58AD"/>
    <w:rsid w:val="00CC0150"/>
    <w:rsid w:val="00CC089E"/>
    <w:rsid w:val="00CC12D3"/>
    <w:rsid w:val="00CC634E"/>
    <w:rsid w:val="00CD3EA8"/>
    <w:rsid w:val="00CD4E03"/>
    <w:rsid w:val="00CD629D"/>
    <w:rsid w:val="00CE1951"/>
    <w:rsid w:val="00CE2264"/>
    <w:rsid w:val="00CE35B1"/>
    <w:rsid w:val="00CE7284"/>
    <w:rsid w:val="00CF3574"/>
    <w:rsid w:val="00CF3ADA"/>
    <w:rsid w:val="00D0132C"/>
    <w:rsid w:val="00D047C9"/>
    <w:rsid w:val="00D11AEF"/>
    <w:rsid w:val="00D12D05"/>
    <w:rsid w:val="00D13AA8"/>
    <w:rsid w:val="00D14EC4"/>
    <w:rsid w:val="00D17AAB"/>
    <w:rsid w:val="00D20315"/>
    <w:rsid w:val="00D225FC"/>
    <w:rsid w:val="00D23E85"/>
    <w:rsid w:val="00D26E33"/>
    <w:rsid w:val="00D278AE"/>
    <w:rsid w:val="00D334AE"/>
    <w:rsid w:val="00D37105"/>
    <w:rsid w:val="00D45980"/>
    <w:rsid w:val="00D464A7"/>
    <w:rsid w:val="00D519BC"/>
    <w:rsid w:val="00D56C70"/>
    <w:rsid w:val="00D578E9"/>
    <w:rsid w:val="00D6213B"/>
    <w:rsid w:val="00D626BC"/>
    <w:rsid w:val="00D62F18"/>
    <w:rsid w:val="00D64BA9"/>
    <w:rsid w:val="00D76505"/>
    <w:rsid w:val="00D8154D"/>
    <w:rsid w:val="00D85047"/>
    <w:rsid w:val="00D87F5B"/>
    <w:rsid w:val="00D90E42"/>
    <w:rsid w:val="00D90F53"/>
    <w:rsid w:val="00D94A53"/>
    <w:rsid w:val="00D97A45"/>
    <w:rsid w:val="00DA440C"/>
    <w:rsid w:val="00DA5A11"/>
    <w:rsid w:val="00DA5A1F"/>
    <w:rsid w:val="00DA62A4"/>
    <w:rsid w:val="00DA7E0C"/>
    <w:rsid w:val="00DA7EBB"/>
    <w:rsid w:val="00DA7FDF"/>
    <w:rsid w:val="00DB3E80"/>
    <w:rsid w:val="00DC5299"/>
    <w:rsid w:val="00DC6003"/>
    <w:rsid w:val="00DD1C8F"/>
    <w:rsid w:val="00DD37EC"/>
    <w:rsid w:val="00DD3B5E"/>
    <w:rsid w:val="00DD5FE9"/>
    <w:rsid w:val="00DE2230"/>
    <w:rsid w:val="00DE2825"/>
    <w:rsid w:val="00DE3271"/>
    <w:rsid w:val="00DE3776"/>
    <w:rsid w:val="00DE516F"/>
    <w:rsid w:val="00DF0A0A"/>
    <w:rsid w:val="00DF62B2"/>
    <w:rsid w:val="00DF7744"/>
    <w:rsid w:val="00E00BD7"/>
    <w:rsid w:val="00E01C62"/>
    <w:rsid w:val="00E02FFF"/>
    <w:rsid w:val="00E06D1C"/>
    <w:rsid w:val="00E125F8"/>
    <w:rsid w:val="00E159BB"/>
    <w:rsid w:val="00E17F61"/>
    <w:rsid w:val="00E273BA"/>
    <w:rsid w:val="00E33108"/>
    <w:rsid w:val="00E33F39"/>
    <w:rsid w:val="00E35A03"/>
    <w:rsid w:val="00E42193"/>
    <w:rsid w:val="00E434E8"/>
    <w:rsid w:val="00E4528A"/>
    <w:rsid w:val="00E45E85"/>
    <w:rsid w:val="00E47D04"/>
    <w:rsid w:val="00E50A88"/>
    <w:rsid w:val="00E5209C"/>
    <w:rsid w:val="00E5310F"/>
    <w:rsid w:val="00E60F40"/>
    <w:rsid w:val="00E6416A"/>
    <w:rsid w:val="00E65474"/>
    <w:rsid w:val="00E67C7A"/>
    <w:rsid w:val="00E7174A"/>
    <w:rsid w:val="00E7238D"/>
    <w:rsid w:val="00E748DE"/>
    <w:rsid w:val="00E761A0"/>
    <w:rsid w:val="00E76C4C"/>
    <w:rsid w:val="00E918EE"/>
    <w:rsid w:val="00E929BA"/>
    <w:rsid w:val="00E933AB"/>
    <w:rsid w:val="00E97E3D"/>
    <w:rsid w:val="00EA1A09"/>
    <w:rsid w:val="00EA2C22"/>
    <w:rsid w:val="00EA5108"/>
    <w:rsid w:val="00EA67AD"/>
    <w:rsid w:val="00EA724F"/>
    <w:rsid w:val="00EB0B47"/>
    <w:rsid w:val="00EB1EF0"/>
    <w:rsid w:val="00EB2309"/>
    <w:rsid w:val="00EB43D5"/>
    <w:rsid w:val="00EB6CD0"/>
    <w:rsid w:val="00EB7C8F"/>
    <w:rsid w:val="00EC133F"/>
    <w:rsid w:val="00EC366B"/>
    <w:rsid w:val="00EC4B97"/>
    <w:rsid w:val="00ED7A8F"/>
    <w:rsid w:val="00EE0780"/>
    <w:rsid w:val="00EE1386"/>
    <w:rsid w:val="00EE2053"/>
    <w:rsid w:val="00EE2FF4"/>
    <w:rsid w:val="00EE393B"/>
    <w:rsid w:val="00EE3CEC"/>
    <w:rsid w:val="00EE4758"/>
    <w:rsid w:val="00EE7E9B"/>
    <w:rsid w:val="00EF3553"/>
    <w:rsid w:val="00EF4859"/>
    <w:rsid w:val="00EF6460"/>
    <w:rsid w:val="00EF7660"/>
    <w:rsid w:val="00EF79F7"/>
    <w:rsid w:val="00F0333D"/>
    <w:rsid w:val="00F03E5B"/>
    <w:rsid w:val="00F06D83"/>
    <w:rsid w:val="00F10C76"/>
    <w:rsid w:val="00F13B24"/>
    <w:rsid w:val="00F20DFA"/>
    <w:rsid w:val="00F22413"/>
    <w:rsid w:val="00F37E80"/>
    <w:rsid w:val="00F4589A"/>
    <w:rsid w:val="00F5158B"/>
    <w:rsid w:val="00F519F9"/>
    <w:rsid w:val="00F60FCA"/>
    <w:rsid w:val="00F61621"/>
    <w:rsid w:val="00F642B4"/>
    <w:rsid w:val="00F64371"/>
    <w:rsid w:val="00F64C9A"/>
    <w:rsid w:val="00F65342"/>
    <w:rsid w:val="00F7191F"/>
    <w:rsid w:val="00F73588"/>
    <w:rsid w:val="00F77A70"/>
    <w:rsid w:val="00F77C6D"/>
    <w:rsid w:val="00F80C10"/>
    <w:rsid w:val="00F8186E"/>
    <w:rsid w:val="00F91B85"/>
    <w:rsid w:val="00F93400"/>
    <w:rsid w:val="00FA0B45"/>
    <w:rsid w:val="00FA0CB6"/>
    <w:rsid w:val="00FA45EE"/>
    <w:rsid w:val="00FA4B39"/>
    <w:rsid w:val="00FA5047"/>
    <w:rsid w:val="00FA560A"/>
    <w:rsid w:val="00FB4787"/>
    <w:rsid w:val="00FC66C1"/>
    <w:rsid w:val="00FD23DF"/>
    <w:rsid w:val="00FD5B9C"/>
    <w:rsid w:val="00FD5E50"/>
    <w:rsid w:val="00FD6142"/>
    <w:rsid w:val="00FF4B80"/>
    <w:rsid w:val="0C8F4F4F"/>
    <w:rsid w:val="0EB71BF0"/>
    <w:rsid w:val="1ABC6408"/>
    <w:rsid w:val="1C662A87"/>
    <w:rsid w:val="1FDD44F0"/>
    <w:rsid w:val="2F7281A9"/>
    <w:rsid w:val="33FEF0EF"/>
    <w:rsid w:val="347F36BF"/>
    <w:rsid w:val="367D32CC"/>
    <w:rsid w:val="3FBAA41B"/>
    <w:rsid w:val="3FFE6B56"/>
    <w:rsid w:val="4ABD646F"/>
    <w:rsid w:val="4BA02A78"/>
    <w:rsid w:val="514C472C"/>
    <w:rsid w:val="575FD2AF"/>
    <w:rsid w:val="5BEFD5FE"/>
    <w:rsid w:val="659A8A80"/>
    <w:rsid w:val="69D689E2"/>
    <w:rsid w:val="6BBC3E62"/>
    <w:rsid w:val="734A354F"/>
    <w:rsid w:val="75B6E9B1"/>
    <w:rsid w:val="77673C2B"/>
    <w:rsid w:val="7BFB63EB"/>
    <w:rsid w:val="7F7F4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BAACC7"/>
  <w15:docId w15:val="{5C6ABE77-4322-47EE-8F62-BF11C3FB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uiPriority="39"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semiHidden="1" w:unhideWhenUsed="1"/>
    <w:lsdException w:name="annotation text"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0"/>
    <w:link w:val="21"/>
    <w:qFormat/>
    <w:pPr>
      <w:keepNext/>
      <w:keepLines/>
      <w:spacing w:before="260" w:after="260" w:line="416" w:lineRule="auto"/>
      <w:outlineLvl w:val="1"/>
    </w:pPr>
    <w:rPr>
      <w:rFonts w:ascii="Arial" w:eastAsia="黑体" w:hAnsi="Arial" w:cs="Times New Roman"/>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rPr>
      <w:rFonts w:ascii="Times New Roman" w:eastAsia="宋体" w:hAnsi="Times New Roman" w:cs="Times New Roman"/>
      <w:szCs w:val="24"/>
    </w:rPr>
  </w:style>
  <w:style w:type="paragraph" w:styleId="7">
    <w:name w:val="toc 7"/>
    <w:basedOn w:val="a"/>
    <w:next w:val="a"/>
    <w:semiHidden/>
    <w:qFormat/>
    <w:pPr>
      <w:ind w:leftChars="1200" w:left="2520"/>
    </w:pPr>
    <w:rPr>
      <w:rFonts w:ascii="Times New Roman" w:eastAsia="宋体" w:hAnsi="Times New Roman" w:cs="Times New Roman"/>
      <w:szCs w:val="24"/>
    </w:rPr>
  </w:style>
  <w:style w:type="paragraph" w:styleId="a4">
    <w:name w:val="annotation text"/>
    <w:basedOn w:val="a"/>
    <w:link w:val="11"/>
    <w:qFormat/>
    <w:pPr>
      <w:jc w:val="left"/>
    </w:pPr>
    <w:rPr>
      <w:rFonts w:ascii="Times New Roman" w:eastAsia="宋体" w:hAnsi="Times New Roman" w:cs="Times New Roman"/>
      <w:szCs w:val="24"/>
    </w:rPr>
  </w:style>
  <w:style w:type="paragraph" w:styleId="a5">
    <w:name w:val="Body Text"/>
    <w:basedOn w:val="a"/>
    <w:link w:val="12"/>
    <w:qFormat/>
    <w:pPr>
      <w:spacing w:line="360" w:lineRule="auto"/>
    </w:pPr>
    <w:rPr>
      <w:rFonts w:ascii="仿宋_GB2312" w:eastAsia="仿宋_GB2312" w:hAnsi="Times New Roman" w:cs="Times New Roman"/>
      <w:color w:val="000000"/>
      <w:kern w:val="0"/>
      <w:sz w:val="24"/>
      <w:szCs w:val="28"/>
    </w:rPr>
  </w:style>
  <w:style w:type="paragraph" w:styleId="a6">
    <w:name w:val="Body Text Indent"/>
    <w:basedOn w:val="a"/>
    <w:link w:val="13"/>
    <w:qFormat/>
    <w:pPr>
      <w:adjustRightInd w:val="0"/>
      <w:snapToGrid w:val="0"/>
      <w:spacing w:line="560" w:lineRule="exact"/>
      <w:ind w:firstLineChars="200" w:firstLine="480"/>
    </w:pPr>
    <w:rPr>
      <w:rFonts w:ascii="Times New Roman" w:eastAsia="方正仿宋简体" w:hAnsi="Times New Roman" w:cs="Times New Roman"/>
      <w:sz w:val="24"/>
      <w:szCs w:val="30"/>
    </w:rPr>
  </w:style>
  <w:style w:type="paragraph" w:styleId="5">
    <w:name w:val="toc 5"/>
    <w:basedOn w:val="a"/>
    <w:next w:val="a"/>
    <w:semiHidden/>
    <w:qFormat/>
    <w:pPr>
      <w:ind w:leftChars="800" w:left="1680"/>
    </w:pPr>
    <w:rPr>
      <w:rFonts w:ascii="Times New Roman" w:eastAsia="宋体" w:hAnsi="Times New Roman" w:cs="Times New Roman"/>
      <w:szCs w:val="24"/>
    </w:rPr>
  </w:style>
  <w:style w:type="paragraph" w:styleId="3">
    <w:name w:val="toc 3"/>
    <w:basedOn w:val="a"/>
    <w:next w:val="a"/>
    <w:semiHidden/>
    <w:qFormat/>
    <w:pPr>
      <w:ind w:leftChars="400" w:left="840"/>
    </w:pPr>
    <w:rPr>
      <w:rFonts w:ascii="Times New Roman" w:eastAsia="宋体" w:hAnsi="Times New Roman" w:cs="Times New Roman"/>
      <w:szCs w:val="24"/>
    </w:rPr>
  </w:style>
  <w:style w:type="paragraph" w:styleId="8">
    <w:name w:val="toc 8"/>
    <w:basedOn w:val="a"/>
    <w:next w:val="a"/>
    <w:semiHidden/>
    <w:qFormat/>
    <w:pPr>
      <w:ind w:leftChars="1400" w:left="2940"/>
    </w:pPr>
    <w:rPr>
      <w:rFonts w:ascii="Times New Roman" w:eastAsia="宋体" w:hAnsi="Times New Roman" w:cs="Times New Roman"/>
      <w:szCs w:val="24"/>
    </w:rPr>
  </w:style>
  <w:style w:type="paragraph" w:styleId="20">
    <w:name w:val="Body Text Indent 2"/>
    <w:basedOn w:val="a"/>
    <w:link w:val="210"/>
    <w:qFormat/>
    <w:pPr>
      <w:spacing w:line="360" w:lineRule="auto"/>
      <w:ind w:firstLine="525"/>
    </w:pPr>
    <w:rPr>
      <w:rFonts w:ascii="宋体" w:eastAsia="宋体" w:hAnsi="宋体" w:cs="Times New Roman"/>
      <w:sz w:val="28"/>
      <w:szCs w:val="20"/>
    </w:rPr>
  </w:style>
  <w:style w:type="paragraph" w:styleId="a7">
    <w:name w:val="Balloon Text"/>
    <w:basedOn w:val="a"/>
    <w:link w:val="14"/>
    <w:semiHidden/>
    <w:qFormat/>
    <w:rPr>
      <w:rFonts w:ascii="Times New Roman" w:eastAsia="宋体" w:hAnsi="Times New Roman" w:cs="Times New Roman"/>
      <w:sz w:val="18"/>
      <w:szCs w:val="18"/>
    </w:rPr>
  </w:style>
  <w:style w:type="paragraph" w:styleId="a8">
    <w:name w:val="footer"/>
    <w:basedOn w:val="a"/>
    <w:link w:val="a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a">
    <w:name w:val="header"/>
    <w:basedOn w:val="a"/>
    <w:link w:val="ab"/>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15">
    <w:name w:val="toc 1"/>
    <w:basedOn w:val="a"/>
    <w:next w:val="a"/>
    <w:semiHidden/>
    <w:qFormat/>
    <w:rPr>
      <w:rFonts w:ascii="Times New Roman" w:eastAsia="宋体" w:hAnsi="Times New Roman" w:cs="Times New Roman"/>
      <w:szCs w:val="24"/>
    </w:rPr>
  </w:style>
  <w:style w:type="paragraph" w:styleId="4">
    <w:name w:val="toc 4"/>
    <w:basedOn w:val="a"/>
    <w:next w:val="a"/>
    <w:semiHidden/>
    <w:qFormat/>
    <w:pPr>
      <w:ind w:leftChars="600" w:left="1260"/>
    </w:pPr>
    <w:rPr>
      <w:rFonts w:ascii="Times New Roman" w:eastAsia="宋体" w:hAnsi="Times New Roman" w:cs="Times New Roman"/>
      <w:szCs w:val="24"/>
    </w:rPr>
  </w:style>
  <w:style w:type="paragraph" w:styleId="6">
    <w:name w:val="toc 6"/>
    <w:basedOn w:val="a"/>
    <w:next w:val="a"/>
    <w:semiHidden/>
    <w:qFormat/>
    <w:pPr>
      <w:ind w:leftChars="1000" w:left="2100"/>
    </w:pPr>
    <w:rPr>
      <w:rFonts w:ascii="Times New Roman" w:eastAsia="宋体" w:hAnsi="Times New Roman" w:cs="Times New Roman"/>
      <w:szCs w:val="24"/>
    </w:rPr>
  </w:style>
  <w:style w:type="paragraph" w:styleId="30">
    <w:name w:val="Body Text Indent 3"/>
    <w:basedOn w:val="a"/>
    <w:link w:val="31"/>
    <w:qFormat/>
    <w:pPr>
      <w:adjustRightInd w:val="0"/>
      <w:snapToGrid w:val="0"/>
      <w:ind w:firstLineChars="200" w:firstLine="480"/>
    </w:pPr>
    <w:rPr>
      <w:rFonts w:ascii="仿宋_GB2312" w:eastAsia="仿宋_GB2312" w:hAnsi="宋体" w:cs="Arial"/>
      <w:color w:val="000000"/>
      <w:sz w:val="24"/>
      <w:szCs w:val="24"/>
    </w:rPr>
  </w:style>
  <w:style w:type="paragraph" w:styleId="22">
    <w:name w:val="toc 2"/>
    <w:basedOn w:val="a"/>
    <w:next w:val="a"/>
    <w:uiPriority w:val="39"/>
    <w:qFormat/>
    <w:pPr>
      <w:ind w:leftChars="200" w:left="420"/>
    </w:pPr>
    <w:rPr>
      <w:rFonts w:ascii="Times New Roman" w:eastAsia="宋体" w:hAnsi="Times New Roman" w:cs="Times New Roman"/>
      <w:szCs w:val="24"/>
    </w:rPr>
  </w:style>
  <w:style w:type="paragraph" w:styleId="9">
    <w:name w:val="toc 9"/>
    <w:basedOn w:val="a"/>
    <w:next w:val="a"/>
    <w:semiHidden/>
    <w:qFormat/>
    <w:pPr>
      <w:ind w:leftChars="1600" w:left="3360"/>
    </w:pPr>
    <w:rPr>
      <w:rFonts w:ascii="Times New Roman" w:eastAsia="宋体" w:hAnsi="Times New Roman" w:cs="Times New Roman"/>
      <w:szCs w:val="24"/>
    </w:rPr>
  </w:style>
  <w:style w:type="paragraph" w:styleId="HTML">
    <w:name w:val="HTML Preformatted"/>
    <w:basedOn w:val="a"/>
    <w:link w:val="HTML1"/>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c">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d">
    <w:name w:val="annotation subject"/>
    <w:basedOn w:val="a4"/>
    <w:next w:val="a4"/>
    <w:link w:val="16"/>
    <w:qFormat/>
    <w:rPr>
      <w:b/>
      <w:bCs/>
    </w:rPr>
  </w:style>
  <w:style w:type="character" w:styleId="ae">
    <w:name w:val="Strong"/>
    <w:qFormat/>
    <w:rPr>
      <w:b/>
      <w:bCs/>
    </w:rPr>
  </w:style>
  <w:style w:type="character" w:styleId="af">
    <w:name w:val="page number"/>
    <w:qFormat/>
  </w:style>
  <w:style w:type="character" w:styleId="af0">
    <w:name w:val="FollowedHyperlink"/>
    <w:uiPriority w:val="99"/>
    <w:semiHidden/>
    <w:unhideWhenUsed/>
    <w:qFormat/>
    <w:rPr>
      <w:color w:val="800080"/>
      <w:u w:val="single"/>
    </w:rPr>
  </w:style>
  <w:style w:type="character" w:styleId="af1">
    <w:name w:val="Hyperlink"/>
    <w:uiPriority w:val="99"/>
    <w:qFormat/>
    <w:rPr>
      <w:color w:val="0000FF"/>
      <w:u w:val="single"/>
    </w:rPr>
  </w:style>
  <w:style w:type="character" w:styleId="af2">
    <w:name w:val="annotation reference"/>
    <w:qFormat/>
    <w:rPr>
      <w:sz w:val="21"/>
      <w:szCs w:val="21"/>
    </w:rPr>
  </w:style>
  <w:style w:type="character" w:customStyle="1" w:styleId="23">
    <w:name w:val="标题 2 字符"/>
    <w:basedOn w:val="a1"/>
    <w:uiPriority w:val="9"/>
    <w:semiHidden/>
    <w:qFormat/>
    <w:rPr>
      <w:rFonts w:asciiTheme="majorHAnsi" w:eastAsiaTheme="majorEastAsia" w:hAnsiTheme="majorHAnsi" w:cstheme="majorBidi"/>
      <w:b/>
      <w:bCs/>
      <w:sz w:val="32"/>
      <w:szCs w:val="32"/>
    </w:rPr>
  </w:style>
  <w:style w:type="character" w:customStyle="1" w:styleId="ab">
    <w:name w:val="页眉 字符"/>
    <w:basedOn w:val="a1"/>
    <w:link w:val="aa"/>
    <w:qFormat/>
    <w:rPr>
      <w:rFonts w:ascii="Times New Roman" w:eastAsia="宋体" w:hAnsi="Times New Roman" w:cs="Times New Roman"/>
      <w:sz w:val="18"/>
      <w:szCs w:val="18"/>
    </w:rPr>
  </w:style>
  <w:style w:type="character" w:customStyle="1" w:styleId="a9">
    <w:name w:val="页脚 字符"/>
    <w:basedOn w:val="a1"/>
    <w:link w:val="a8"/>
    <w:qFormat/>
    <w:rPr>
      <w:rFonts w:ascii="Times New Roman" w:eastAsia="宋体" w:hAnsi="Times New Roman" w:cs="Times New Roman"/>
      <w:sz w:val="18"/>
      <w:szCs w:val="18"/>
    </w:rPr>
  </w:style>
  <w:style w:type="character" w:customStyle="1" w:styleId="Char">
    <w:name w:val="页眉 Char"/>
    <w:uiPriority w:val="99"/>
    <w:qFormat/>
    <w:rPr>
      <w:sz w:val="18"/>
      <w:szCs w:val="18"/>
    </w:rPr>
  </w:style>
  <w:style w:type="character" w:customStyle="1" w:styleId="Char0">
    <w:name w:val="页脚 Char"/>
    <w:uiPriority w:val="99"/>
    <w:qFormat/>
    <w:rPr>
      <w:sz w:val="18"/>
      <w:szCs w:val="18"/>
    </w:rPr>
  </w:style>
  <w:style w:type="character" w:customStyle="1" w:styleId="21">
    <w:name w:val="标题 2 字符1"/>
    <w:link w:val="2"/>
    <w:qFormat/>
    <w:rPr>
      <w:rFonts w:ascii="Arial" w:eastAsia="黑体" w:hAnsi="Arial" w:cs="Times New Roman"/>
      <w:b/>
      <w:sz w:val="32"/>
      <w:szCs w:val="20"/>
    </w:rPr>
  </w:style>
  <w:style w:type="paragraph" w:customStyle="1" w:styleId="wz1">
    <w:name w:val="wz1"/>
    <w:basedOn w:val="a"/>
    <w:qFormat/>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rPr>
  </w:style>
  <w:style w:type="character" w:customStyle="1" w:styleId="af3">
    <w:name w:val="正文文本 字符"/>
    <w:basedOn w:val="a1"/>
    <w:uiPriority w:val="99"/>
    <w:semiHidden/>
    <w:qFormat/>
  </w:style>
  <w:style w:type="character" w:customStyle="1" w:styleId="12">
    <w:name w:val="正文文本 字符1"/>
    <w:link w:val="a5"/>
    <w:qFormat/>
    <w:rPr>
      <w:rFonts w:ascii="仿宋_GB2312" w:eastAsia="仿宋_GB2312" w:hAnsi="Times New Roman" w:cs="Times New Roman"/>
      <w:color w:val="000000"/>
      <w:kern w:val="0"/>
      <w:sz w:val="24"/>
      <w:szCs w:val="28"/>
    </w:rPr>
  </w:style>
  <w:style w:type="character" w:customStyle="1" w:styleId="read">
    <w:name w:val="read"/>
    <w:qFormat/>
  </w:style>
  <w:style w:type="character" w:customStyle="1" w:styleId="af4">
    <w:name w:val="正文文本缩进 字符"/>
    <w:basedOn w:val="a1"/>
    <w:uiPriority w:val="99"/>
    <w:semiHidden/>
    <w:qFormat/>
  </w:style>
  <w:style w:type="character" w:customStyle="1" w:styleId="13">
    <w:name w:val="正文文本缩进 字符1"/>
    <w:link w:val="a6"/>
    <w:qFormat/>
    <w:rPr>
      <w:rFonts w:ascii="Times New Roman" w:eastAsia="方正仿宋简体" w:hAnsi="Times New Roman" w:cs="Times New Roman"/>
      <w:sz w:val="24"/>
      <w:szCs w:val="30"/>
    </w:rPr>
  </w:style>
  <w:style w:type="character" w:customStyle="1" w:styleId="24">
    <w:name w:val="正文文本缩进 2 字符"/>
    <w:basedOn w:val="a1"/>
    <w:uiPriority w:val="99"/>
    <w:semiHidden/>
    <w:qFormat/>
  </w:style>
  <w:style w:type="character" w:customStyle="1" w:styleId="210">
    <w:name w:val="正文文本缩进 2 字符1"/>
    <w:link w:val="20"/>
    <w:qFormat/>
    <w:rPr>
      <w:rFonts w:ascii="宋体" w:eastAsia="宋体" w:hAnsi="宋体" w:cs="Times New Roman"/>
      <w:sz w:val="28"/>
      <w:szCs w:val="20"/>
    </w:rPr>
  </w:style>
  <w:style w:type="character" w:customStyle="1" w:styleId="32">
    <w:name w:val="正文文本缩进 3 字符"/>
    <w:basedOn w:val="a1"/>
    <w:uiPriority w:val="99"/>
    <w:semiHidden/>
    <w:qFormat/>
    <w:rPr>
      <w:sz w:val="16"/>
      <w:szCs w:val="16"/>
    </w:rPr>
  </w:style>
  <w:style w:type="character" w:customStyle="1" w:styleId="31">
    <w:name w:val="正文文本缩进 3 字符1"/>
    <w:link w:val="30"/>
    <w:qFormat/>
    <w:rPr>
      <w:rFonts w:ascii="仿宋_GB2312" w:eastAsia="仿宋_GB2312" w:hAnsi="宋体" w:cs="Arial"/>
      <w:color w:val="000000"/>
      <w:sz w:val="24"/>
      <w:szCs w:val="24"/>
    </w:rPr>
  </w:style>
  <w:style w:type="character" w:customStyle="1" w:styleId="af5">
    <w:name w:val="批注框文本 字符"/>
    <w:basedOn w:val="a1"/>
    <w:uiPriority w:val="99"/>
    <w:semiHidden/>
    <w:qFormat/>
    <w:rPr>
      <w:sz w:val="18"/>
      <w:szCs w:val="18"/>
    </w:rPr>
  </w:style>
  <w:style w:type="character" w:customStyle="1" w:styleId="14">
    <w:name w:val="批注框文本 字符1"/>
    <w:link w:val="a7"/>
    <w:semiHidden/>
    <w:qFormat/>
    <w:rPr>
      <w:rFonts w:ascii="Times New Roman" w:eastAsia="宋体" w:hAnsi="Times New Roman" w:cs="Times New Roman"/>
      <w:sz w:val="18"/>
      <w:szCs w:val="18"/>
    </w:rPr>
  </w:style>
  <w:style w:type="paragraph" w:customStyle="1" w:styleId="Char1">
    <w:name w:val="Char"/>
    <w:basedOn w:val="a"/>
    <w:qFormat/>
    <w:rPr>
      <w:rFonts w:ascii="Times New Roman" w:eastAsia="宋体" w:hAnsi="Times New Roman" w:cs="Times New Roman"/>
      <w:szCs w:val="24"/>
    </w:rPr>
  </w:style>
  <w:style w:type="paragraph" w:customStyle="1" w:styleId="Char10">
    <w:name w:val="Char1"/>
    <w:basedOn w:val="a"/>
    <w:qFormat/>
    <w:pPr>
      <w:tabs>
        <w:tab w:val="left" w:pos="832"/>
      </w:tabs>
      <w:ind w:left="832" w:hanging="420"/>
      <w:jc w:val="center"/>
    </w:pPr>
    <w:rPr>
      <w:rFonts w:ascii="楷体_GB2312" w:eastAsia="楷体_GB2312" w:hAnsi="Times New Roman" w:cs="Times New Roman"/>
      <w:b/>
      <w:color w:val="000080"/>
      <w:sz w:val="30"/>
      <w:szCs w:val="30"/>
    </w:rPr>
  </w:style>
  <w:style w:type="paragraph" w:customStyle="1" w:styleId="CharCharChar">
    <w:name w:val="Char Char Char"/>
    <w:basedOn w:val="a"/>
    <w:qFormat/>
    <w:rPr>
      <w:rFonts w:ascii="Times New Roman" w:eastAsia="宋体" w:hAnsi="Times New Roman" w:cs="Times New Roman"/>
      <w:szCs w:val="24"/>
    </w:rPr>
  </w:style>
  <w:style w:type="character" w:customStyle="1" w:styleId="af6">
    <w:name w:val="批注文字 字符"/>
    <w:basedOn w:val="a1"/>
    <w:qFormat/>
  </w:style>
  <w:style w:type="character" w:customStyle="1" w:styleId="11">
    <w:name w:val="批注文字 字符1"/>
    <w:link w:val="a4"/>
    <w:qFormat/>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a"/>
    <w:qFormat/>
    <w:rPr>
      <w:rFonts w:ascii="Times New Roman" w:eastAsia="宋体" w:hAnsi="Times New Roman" w:cs="Times New Roman"/>
      <w:szCs w:val="24"/>
    </w:rPr>
  </w:style>
  <w:style w:type="paragraph" w:customStyle="1" w:styleId="CharChar">
    <w:name w:val="Char Char"/>
    <w:basedOn w:val="a"/>
    <w:qFormat/>
    <w:rPr>
      <w:rFonts w:ascii="Times New Roman" w:eastAsia="宋体" w:hAnsi="Times New Roman" w:cs="Times New Roman"/>
      <w:szCs w:val="20"/>
    </w:rPr>
  </w:style>
  <w:style w:type="character" w:customStyle="1" w:styleId="HTML0">
    <w:name w:val="HTML 预设格式 字符"/>
    <w:basedOn w:val="a1"/>
    <w:uiPriority w:val="99"/>
    <w:semiHidden/>
    <w:qFormat/>
    <w:rPr>
      <w:rFonts w:ascii="Courier New" w:hAnsi="Courier New" w:cs="Courier New"/>
      <w:sz w:val="20"/>
      <w:szCs w:val="20"/>
    </w:rPr>
  </w:style>
  <w:style w:type="character" w:customStyle="1" w:styleId="HTML1">
    <w:name w:val="HTML 预设格式 字符1"/>
    <w:link w:val="HTML"/>
    <w:uiPriority w:val="99"/>
    <w:qFormat/>
    <w:rPr>
      <w:rFonts w:ascii="宋体" w:eastAsia="宋体" w:hAnsi="宋体" w:cs="宋体"/>
      <w:kern w:val="0"/>
      <w:sz w:val="24"/>
      <w:szCs w:val="24"/>
    </w:rPr>
  </w:style>
  <w:style w:type="character" w:customStyle="1" w:styleId="af7">
    <w:name w:val="批注主题 字符"/>
    <w:basedOn w:val="af6"/>
    <w:uiPriority w:val="99"/>
    <w:semiHidden/>
    <w:qFormat/>
    <w:rPr>
      <w:b/>
      <w:bCs/>
    </w:rPr>
  </w:style>
  <w:style w:type="character" w:customStyle="1" w:styleId="16">
    <w:name w:val="批注主题 字符1"/>
    <w:link w:val="ad"/>
    <w:qFormat/>
    <w:rPr>
      <w:rFonts w:ascii="Times New Roman" w:eastAsia="宋体" w:hAnsi="Times New Roman" w:cs="Times New Roman"/>
      <w:b/>
      <w:bCs/>
      <w:szCs w:val="24"/>
    </w:rPr>
  </w:style>
  <w:style w:type="paragraph" w:customStyle="1" w:styleId="17">
    <w:name w:val="修订1"/>
    <w:hidden/>
    <w:uiPriority w:val="99"/>
    <w:semiHidden/>
    <w:qFormat/>
    <w:rPr>
      <w:rFonts w:ascii="Times New Roman" w:eastAsia="宋体" w:hAnsi="Times New Roman" w:cs="Times New Roman"/>
      <w:kern w:val="2"/>
      <w:sz w:val="21"/>
      <w:szCs w:val="24"/>
    </w:rPr>
  </w:style>
  <w:style w:type="character" w:customStyle="1" w:styleId="im-content1">
    <w:name w:val="im-content1"/>
    <w:qFormat/>
    <w:rPr>
      <w:color w:val="000000"/>
    </w:rPr>
  </w:style>
  <w:style w:type="character" w:customStyle="1" w:styleId="25">
    <w:name w:val="批注文字 字符2"/>
    <w:qFormat/>
    <w:rPr>
      <w:rFonts w:ascii="Times New Roman" w:eastAsia="宋体" w:hAnsi="Times New Roman" w:cs="Times New Roman"/>
      <w:szCs w:val="24"/>
    </w:rPr>
  </w:style>
  <w:style w:type="character" w:customStyle="1" w:styleId="10">
    <w:name w:val="标题 1 字符"/>
    <w:basedOn w:val="a1"/>
    <w:link w:val="1"/>
    <w:uiPriority w:val="9"/>
    <w:qFormat/>
    <w:rPr>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26">
    <w:name w:val="修订2"/>
    <w:hidden/>
    <w:uiPriority w:val="99"/>
    <w:semiHidden/>
    <w:qFormat/>
    <w:rPr>
      <w:kern w:val="2"/>
      <w:sz w:val="21"/>
      <w:szCs w:val="22"/>
    </w:rPr>
  </w:style>
  <w:style w:type="paragraph" w:customStyle="1" w:styleId="33">
    <w:name w:val="修订3"/>
    <w:hidden/>
    <w:uiPriority w:val="99"/>
    <w:semiHidden/>
    <w:qFormat/>
    <w:rPr>
      <w:kern w:val="2"/>
      <w:sz w:val="21"/>
      <w:szCs w:val="22"/>
    </w:rPr>
  </w:style>
  <w:style w:type="paragraph" w:customStyle="1" w:styleId="40">
    <w:name w:val="修订4"/>
    <w:hidden/>
    <w:uiPriority w:val="99"/>
    <w:semiHidden/>
    <w:qFormat/>
    <w:rPr>
      <w:kern w:val="2"/>
      <w:sz w:val="21"/>
      <w:szCs w:val="22"/>
    </w:rPr>
  </w:style>
  <w:style w:type="paragraph" w:customStyle="1" w:styleId="50">
    <w:name w:val="修订5"/>
    <w:hidden/>
    <w:uiPriority w:val="99"/>
    <w:semiHidden/>
    <w:qFormat/>
    <w:rPr>
      <w:kern w:val="2"/>
      <w:sz w:val="21"/>
      <w:szCs w:val="22"/>
    </w:rPr>
  </w:style>
  <w:style w:type="paragraph" w:styleId="af8">
    <w:name w:val="Revision"/>
    <w:hidden/>
    <w:uiPriority w:val="99"/>
    <w:unhideWhenUsed/>
    <w:rsid w:val="00D225F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E7FCBE4E-4394-4DF8-8E8A-92547451C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45</Pages>
  <Words>5242</Words>
  <Characters>29883</Characters>
  <Application>Microsoft Office Word</Application>
  <DocSecurity>0</DocSecurity>
  <Lines>249</Lines>
  <Paragraphs>70</Paragraphs>
  <ScaleCrop>false</ScaleCrop>
  <Company>1</Company>
  <LinksUpToDate>false</LinksUpToDate>
  <CharactersWithSpaces>35055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董明睿</dc:creator>
  <cp:lastModifiedBy>wjy</cp:lastModifiedBy>
  <cp:revision>27</cp:revision>
  <cp:lastPrinted>2025-12-26T17:31:00Z</cp:lastPrinted>
  <dcterms:created xsi:type="dcterms:W3CDTF">2026-05-07T16:53:00Z</dcterms:created>
  <dcterms:modified xsi:type="dcterms:W3CDTF">2026-09-23T01:13:00Z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3505B05CD20262661E3F41691A0879D8_42</vt:lpwstr>
  </property>
</Properties>
</file>