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8B15A4" w:rsidRPr="001C46F3" w:rsidRDefault="001B054F" w:rsidP="00EA5DE4">
      <w:pPr>
        <w:spacing w:line="420" w:lineRule="exact"/>
        <w:jc w:val="center"/>
        <w:rPr>
          <w:rFonts w:ascii="宋体" w:hAnsi="方正黑体简体" w:cs="方正黑体简体"/>
          <w:b/>
          <w:bCs/>
          <w:iCs/>
          <w:sz w:val="31"/>
          <w:szCs w:val="36"/>
        </w:rPr>
      </w:pPr>
      <w:bookmarkStart w:id="0" w:name="_GoBack"/>
      <w:bookmarkEnd w:id="0"/>
      <w:r>
        <w:rPr>
          <w:rFonts w:ascii="宋体" w:hAnsi="方正黑体简体" w:cs="方正黑体简体" w:hint="eastAsia"/>
          <w:b/>
          <w:bCs/>
          <w:iCs/>
          <w:sz w:val="31"/>
          <w:szCs w:val="36"/>
        </w:rPr>
        <w:t>南方稳庆</w:t>
      </w:r>
      <w:r>
        <w:rPr>
          <w:rFonts w:ascii="宋体" w:hAnsi="方正黑体简体" w:cs="方正黑体简体"/>
          <w:b/>
          <w:bCs/>
          <w:iCs/>
          <w:sz w:val="31"/>
          <w:szCs w:val="36"/>
        </w:rPr>
        <w:t>6个月持有期混合型基金中基金（FOF）（A类份额）基金产品资料概要</w:t>
      </w:r>
    </w:p>
    <w:p w:rsidR="00544E9D" w:rsidRDefault="00544E9D" w:rsidP="008B15A4">
      <w:pPr>
        <w:spacing w:line="420" w:lineRule="exact"/>
        <w:jc w:val="center"/>
        <w:rPr>
          <w:rFonts w:ascii="方正黑体简体" w:eastAsia="方正黑体简体" w:hAnsi="方正黑体简体" w:cs="方正黑体简体"/>
          <w:bCs/>
          <w:iCs/>
          <w:sz w:val="36"/>
          <w:szCs w:val="36"/>
        </w:rPr>
      </w:pPr>
    </w:p>
    <w:p w:rsidR="009B4E06" w:rsidRPr="009B4E06" w:rsidRDefault="009B4E06" w:rsidP="009B4E06">
      <w:pPr>
        <w:pStyle w:val="-"/>
        <w:spacing w:before="62"/>
        <w:ind w:firstLine="480"/>
        <w:jc w:val="right"/>
        <w:rPr>
          <w:rFonts w:ascii="仿宋" w:hAnsi="仿宋"/>
          <w:color w:val="000000" w:themeColor="text1"/>
          <w:sz w:val="24"/>
          <w:szCs w:val="24"/>
        </w:rPr>
      </w:pPr>
      <w:r w:rsidRPr="009B4E06">
        <w:rPr>
          <w:rFonts w:ascii="仿宋" w:hAnsi="仿宋" w:hint="eastAsia"/>
          <w:color w:val="000000" w:themeColor="text1"/>
          <w:sz w:val="24"/>
          <w:szCs w:val="24"/>
        </w:rPr>
        <w:t>编制日期：</w:t>
      </w:r>
      <w:r w:rsidR="001B054F">
        <w:rPr>
          <w:rFonts w:ascii="仿宋" w:hAnsi="仿宋"/>
          <w:color w:val="000000" w:themeColor="text1"/>
          <w:sz w:val="24"/>
          <w:szCs w:val="24"/>
        </w:rPr>
        <w:t>2026年9月24日</w:t>
      </w:r>
    </w:p>
    <w:p w:rsidR="009B4E06" w:rsidRPr="009B4E06" w:rsidRDefault="009B4E06" w:rsidP="00FE775E">
      <w:pPr>
        <w:pStyle w:val="-"/>
        <w:spacing w:before="62"/>
        <w:ind w:firstLine="480"/>
        <w:jc w:val="right"/>
        <w:rPr>
          <w:rFonts w:ascii="仿宋" w:hAnsi="仿宋"/>
          <w:color w:val="000000" w:themeColor="text1"/>
          <w:sz w:val="24"/>
          <w:szCs w:val="24"/>
        </w:rPr>
      </w:pPr>
      <w:r w:rsidRPr="009B4E06">
        <w:rPr>
          <w:rFonts w:ascii="仿宋" w:hAnsi="仿宋"/>
          <w:color w:val="000000" w:themeColor="text1"/>
          <w:sz w:val="24"/>
          <w:szCs w:val="24"/>
        </w:rPr>
        <w:t>送出日期：</w:t>
      </w:r>
      <w:r w:rsidR="001B054F">
        <w:rPr>
          <w:rFonts w:ascii="仿宋" w:hAnsi="仿宋"/>
          <w:color w:val="000000" w:themeColor="text1"/>
          <w:sz w:val="24"/>
          <w:szCs w:val="24"/>
        </w:rPr>
        <w:t>2026年9月28日</w:t>
      </w:r>
    </w:p>
    <w:p w:rsidR="008B15A4" w:rsidRPr="009B4E06" w:rsidRDefault="008B15A4" w:rsidP="00EA5DE4">
      <w:pPr>
        <w:tabs>
          <w:tab w:val="left" w:pos="7770"/>
        </w:tabs>
        <w:spacing w:line="500" w:lineRule="exact"/>
        <w:jc w:val="center"/>
        <w:rPr>
          <w:rFonts w:ascii="宋体" w:hAnsi="方正黑体简体" w:cs="方正黑体简体"/>
          <w:b/>
          <w:bCs/>
          <w:iCs/>
          <w:color w:val="000000" w:themeColor="text1"/>
          <w:sz w:val="31"/>
          <w:szCs w:val="30"/>
        </w:rPr>
      </w:pPr>
      <w:r w:rsidRPr="009B4E06">
        <w:rPr>
          <w:rFonts w:ascii="宋体" w:hAnsi="方正黑体简体" w:cs="方正黑体简体" w:hint="eastAsia"/>
          <w:b/>
          <w:bCs/>
          <w:iCs/>
          <w:color w:val="000000" w:themeColor="text1"/>
          <w:sz w:val="31"/>
          <w:szCs w:val="30"/>
        </w:rPr>
        <w:t>本概要提供本基金的重要信息，是招募说明书的一部分。</w:t>
      </w:r>
    </w:p>
    <w:p w:rsidR="008B15A4" w:rsidRPr="009B4E06" w:rsidRDefault="008B15A4" w:rsidP="00EA5DE4">
      <w:pPr>
        <w:jc w:val="center"/>
        <w:rPr>
          <w:rFonts w:ascii="宋体"/>
          <w:b/>
          <w:color w:val="000000" w:themeColor="text1"/>
          <w:sz w:val="31"/>
          <w:szCs w:val="30"/>
        </w:rPr>
      </w:pPr>
      <w:r w:rsidRPr="009B4E06">
        <w:rPr>
          <w:rFonts w:ascii="宋体" w:hint="eastAsia"/>
          <w:b/>
          <w:color w:val="000000" w:themeColor="text1"/>
          <w:sz w:val="31"/>
          <w:szCs w:val="30"/>
        </w:rPr>
        <w:t>作出投资决定前，请阅读完整的招募说明书等销售文件。</w:t>
      </w:r>
    </w:p>
    <w:p w:rsidR="001B054F" w:rsidRDefault="001B054F" w:rsidP="001B054F">
      <w:pPr>
        <w:pStyle w:val="-1"/>
        <w:spacing w:before="156" w:after="156"/>
      </w:pPr>
      <w:r>
        <w:rPr>
          <w:rFonts w:hint="eastAsia"/>
        </w:rPr>
        <w:t>一、产品概况</w:t>
      </w:r>
    </w:p>
    <w:tbl>
      <w:tblPr>
        <w:tblStyle w:val="-noheader"/>
        <w:tblW w:w="8506" w:type="dxa"/>
        <w:tblLayout w:type="fixed"/>
        <w:tblLook w:val="04A0" w:firstRow="1" w:lastRow="0" w:firstColumn="1" w:lastColumn="0" w:noHBand="0" w:noVBand="1"/>
      </w:tblPr>
      <w:tblGrid>
        <w:gridCol w:w="1843"/>
        <w:gridCol w:w="2410"/>
        <w:gridCol w:w="1843"/>
        <w:gridCol w:w="2410"/>
      </w:tblGrid>
      <w:tr w:rsidR="001B054F" w:rsidTr="001B054F">
        <w:tc>
          <w:tcPr>
            <w:tcW w:w="1843" w:type="dxa"/>
          </w:tcPr>
          <w:p w:rsidR="001B054F" w:rsidRDefault="001B054F" w:rsidP="001B054F">
            <w:pPr>
              <w:jc w:val="left"/>
            </w:pPr>
            <w:r>
              <w:rPr>
                <w:rFonts w:hint="eastAsia"/>
              </w:rPr>
              <w:t>基金简称</w:t>
            </w:r>
          </w:p>
        </w:tc>
        <w:tc>
          <w:tcPr>
            <w:tcW w:w="2410" w:type="dxa"/>
          </w:tcPr>
          <w:p w:rsidR="001B054F" w:rsidRDefault="001B054F" w:rsidP="001B054F">
            <w:pPr>
              <w:jc w:val="left"/>
            </w:pPr>
            <w:r>
              <w:rPr>
                <w:rFonts w:hint="eastAsia"/>
              </w:rPr>
              <w:t>南方稳庆</w:t>
            </w:r>
            <w:r>
              <w:rPr>
                <w:rFonts w:hint="eastAsia"/>
              </w:rPr>
              <w:t>6</w:t>
            </w:r>
            <w:r>
              <w:rPr>
                <w:rFonts w:hint="eastAsia"/>
              </w:rPr>
              <w:t>个月持有混合（</w:t>
            </w:r>
            <w:r>
              <w:rPr>
                <w:rFonts w:hint="eastAsia"/>
              </w:rPr>
              <w:t>FOF</w:t>
            </w:r>
            <w:r>
              <w:rPr>
                <w:rFonts w:hint="eastAsia"/>
              </w:rPr>
              <w:t>）</w:t>
            </w:r>
            <w:r>
              <w:rPr>
                <w:rFonts w:hint="eastAsia"/>
              </w:rPr>
              <w:t>A</w:t>
            </w:r>
          </w:p>
        </w:tc>
        <w:tc>
          <w:tcPr>
            <w:tcW w:w="1843" w:type="dxa"/>
          </w:tcPr>
          <w:p w:rsidR="001B054F" w:rsidRDefault="001B054F" w:rsidP="001B054F">
            <w:pPr>
              <w:jc w:val="left"/>
            </w:pPr>
            <w:r>
              <w:rPr>
                <w:rFonts w:hint="eastAsia"/>
              </w:rPr>
              <w:t>基金代码</w:t>
            </w:r>
          </w:p>
        </w:tc>
        <w:tc>
          <w:tcPr>
            <w:tcW w:w="2410" w:type="dxa"/>
          </w:tcPr>
          <w:p w:rsidR="001B054F" w:rsidRDefault="001B054F" w:rsidP="001B054F">
            <w:pPr>
              <w:jc w:val="left"/>
            </w:pPr>
            <w:r>
              <w:t>029035</w:t>
            </w:r>
          </w:p>
        </w:tc>
      </w:tr>
      <w:tr w:rsidR="001B054F" w:rsidTr="001B054F">
        <w:tc>
          <w:tcPr>
            <w:tcW w:w="1843" w:type="dxa"/>
          </w:tcPr>
          <w:p w:rsidR="001B054F" w:rsidRDefault="001B054F" w:rsidP="001B054F">
            <w:pPr>
              <w:jc w:val="left"/>
            </w:pPr>
            <w:r>
              <w:rPr>
                <w:rFonts w:hint="eastAsia"/>
              </w:rPr>
              <w:t>基金管理人</w:t>
            </w:r>
          </w:p>
        </w:tc>
        <w:tc>
          <w:tcPr>
            <w:tcW w:w="2410" w:type="dxa"/>
          </w:tcPr>
          <w:p w:rsidR="001B054F" w:rsidRDefault="001B054F" w:rsidP="001B054F">
            <w:pPr>
              <w:jc w:val="left"/>
            </w:pPr>
            <w:r>
              <w:rPr>
                <w:rFonts w:hint="eastAsia"/>
              </w:rPr>
              <w:t>南方基金管理股份有限公司</w:t>
            </w:r>
          </w:p>
        </w:tc>
        <w:tc>
          <w:tcPr>
            <w:tcW w:w="1843" w:type="dxa"/>
          </w:tcPr>
          <w:p w:rsidR="001B054F" w:rsidRDefault="001B054F" w:rsidP="001B054F">
            <w:pPr>
              <w:jc w:val="left"/>
            </w:pPr>
            <w:r>
              <w:rPr>
                <w:rFonts w:hint="eastAsia"/>
              </w:rPr>
              <w:t>基金托管人</w:t>
            </w:r>
          </w:p>
        </w:tc>
        <w:tc>
          <w:tcPr>
            <w:tcW w:w="2410" w:type="dxa"/>
          </w:tcPr>
          <w:p w:rsidR="001B054F" w:rsidRDefault="001B054F" w:rsidP="001B054F">
            <w:pPr>
              <w:jc w:val="left"/>
            </w:pPr>
            <w:r>
              <w:rPr>
                <w:rFonts w:hint="eastAsia"/>
              </w:rPr>
              <w:t>重庆农村商业银行股份有限公司</w:t>
            </w:r>
          </w:p>
        </w:tc>
      </w:tr>
      <w:tr w:rsidR="001B054F" w:rsidTr="00982C16">
        <w:tc>
          <w:tcPr>
            <w:tcW w:w="1843" w:type="dxa"/>
          </w:tcPr>
          <w:p w:rsidR="001B054F" w:rsidRDefault="001B054F" w:rsidP="001B054F">
            <w:pPr>
              <w:jc w:val="left"/>
            </w:pPr>
            <w:r>
              <w:rPr>
                <w:rFonts w:hint="eastAsia"/>
              </w:rPr>
              <w:t>基金合同生效日</w:t>
            </w:r>
          </w:p>
        </w:tc>
        <w:tc>
          <w:tcPr>
            <w:tcW w:w="6663" w:type="dxa"/>
            <w:gridSpan w:val="3"/>
          </w:tcPr>
          <w:p w:rsidR="001B054F" w:rsidRDefault="001B054F" w:rsidP="001B054F">
            <w:pPr>
              <w:jc w:val="right"/>
            </w:pPr>
            <w:r>
              <w:t>-</w:t>
            </w:r>
          </w:p>
        </w:tc>
      </w:tr>
      <w:tr w:rsidR="001B054F" w:rsidTr="001B054F">
        <w:tc>
          <w:tcPr>
            <w:tcW w:w="1843" w:type="dxa"/>
          </w:tcPr>
          <w:p w:rsidR="001B054F" w:rsidRDefault="001B054F" w:rsidP="001B054F">
            <w:pPr>
              <w:jc w:val="left"/>
            </w:pPr>
            <w:r>
              <w:rPr>
                <w:rFonts w:hint="eastAsia"/>
              </w:rPr>
              <w:t>基金类型</w:t>
            </w:r>
          </w:p>
        </w:tc>
        <w:tc>
          <w:tcPr>
            <w:tcW w:w="2410" w:type="dxa"/>
          </w:tcPr>
          <w:p w:rsidR="001B054F" w:rsidRDefault="001B054F" w:rsidP="001B054F">
            <w:pPr>
              <w:jc w:val="left"/>
            </w:pPr>
            <w:r>
              <w:rPr>
                <w:rFonts w:hint="eastAsia"/>
              </w:rPr>
              <w:t>基金中基金</w:t>
            </w:r>
          </w:p>
        </w:tc>
        <w:tc>
          <w:tcPr>
            <w:tcW w:w="1843" w:type="dxa"/>
          </w:tcPr>
          <w:p w:rsidR="001B054F" w:rsidRDefault="001B054F" w:rsidP="001B054F">
            <w:pPr>
              <w:jc w:val="left"/>
            </w:pPr>
            <w:r>
              <w:rPr>
                <w:rFonts w:hint="eastAsia"/>
              </w:rPr>
              <w:t>交易币种</w:t>
            </w:r>
          </w:p>
        </w:tc>
        <w:tc>
          <w:tcPr>
            <w:tcW w:w="2410" w:type="dxa"/>
          </w:tcPr>
          <w:p w:rsidR="001B054F" w:rsidRDefault="001B054F" w:rsidP="001B054F">
            <w:pPr>
              <w:jc w:val="left"/>
            </w:pPr>
            <w:r>
              <w:rPr>
                <w:rFonts w:hint="eastAsia"/>
              </w:rPr>
              <w:t>人民币</w:t>
            </w:r>
          </w:p>
        </w:tc>
      </w:tr>
      <w:tr w:rsidR="001B054F" w:rsidTr="00526754">
        <w:tc>
          <w:tcPr>
            <w:tcW w:w="1843" w:type="dxa"/>
          </w:tcPr>
          <w:p w:rsidR="001B054F" w:rsidRDefault="001B054F" w:rsidP="001B054F">
            <w:pPr>
              <w:jc w:val="left"/>
            </w:pPr>
            <w:r>
              <w:rPr>
                <w:rFonts w:hint="eastAsia"/>
              </w:rPr>
              <w:t>运作方式</w:t>
            </w:r>
          </w:p>
        </w:tc>
        <w:tc>
          <w:tcPr>
            <w:tcW w:w="6663" w:type="dxa"/>
            <w:gridSpan w:val="3"/>
          </w:tcPr>
          <w:p w:rsidR="001B054F" w:rsidRDefault="001B054F" w:rsidP="001B054F">
            <w:pPr>
              <w:jc w:val="left"/>
            </w:pPr>
            <w:r>
              <w:rPr>
                <w:rFonts w:hint="eastAsia"/>
              </w:rPr>
              <w:t>其他开放式</w:t>
            </w:r>
          </w:p>
        </w:tc>
      </w:tr>
      <w:tr w:rsidR="001B054F" w:rsidTr="00965042">
        <w:tc>
          <w:tcPr>
            <w:tcW w:w="1843" w:type="dxa"/>
          </w:tcPr>
          <w:p w:rsidR="001B054F" w:rsidRDefault="001B054F" w:rsidP="001B054F">
            <w:pPr>
              <w:jc w:val="left"/>
            </w:pPr>
            <w:r>
              <w:rPr>
                <w:rFonts w:hint="eastAsia"/>
              </w:rPr>
              <w:t>开放频率</w:t>
            </w:r>
          </w:p>
        </w:tc>
        <w:tc>
          <w:tcPr>
            <w:tcW w:w="6663" w:type="dxa"/>
            <w:gridSpan w:val="3"/>
          </w:tcPr>
          <w:p w:rsidR="001B054F" w:rsidRDefault="001B054F" w:rsidP="001B054F">
            <w:pPr>
              <w:jc w:val="left"/>
            </w:pPr>
            <w:r>
              <w:rPr>
                <w:rFonts w:hint="eastAsia"/>
              </w:rPr>
              <w:t>每个开放日开放申购，但投资人每笔认购</w:t>
            </w:r>
            <w:r>
              <w:rPr>
                <w:rFonts w:hint="eastAsia"/>
              </w:rPr>
              <w:t>/</w:t>
            </w:r>
            <w:r>
              <w:rPr>
                <w:rFonts w:hint="eastAsia"/>
              </w:rPr>
              <w:t>申购的基金份额需至少持有满</w:t>
            </w:r>
            <w:r>
              <w:rPr>
                <w:rFonts w:hint="eastAsia"/>
              </w:rPr>
              <w:t>6</w:t>
            </w:r>
            <w:r>
              <w:rPr>
                <w:rFonts w:hint="eastAsia"/>
              </w:rPr>
              <w:t>个月，在</w:t>
            </w:r>
            <w:r>
              <w:rPr>
                <w:rFonts w:hint="eastAsia"/>
              </w:rPr>
              <w:t>6</w:t>
            </w:r>
            <w:r>
              <w:rPr>
                <w:rFonts w:hint="eastAsia"/>
              </w:rPr>
              <w:t>个月锁定期内不能提出赎回申请</w:t>
            </w:r>
          </w:p>
        </w:tc>
      </w:tr>
      <w:tr w:rsidR="001B054F" w:rsidTr="001B054F">
        <w:tc>
          <w:tcPr>
            <w:tcW w:w="1843" w:type="dxa"/>
            <w:vMerge w:val="restart"/>
          </w:tcPr>
          <w:p w:rsidR="001B054F" w:rsidRDefault="001B054F" w:rsidP="001B054F">
            <w:pPr>
              <w:jc w:val="left"/>
            </w:pPr>
            <w:r>
              <w:rPr>
                <w:rFonts w:hint="eastAsia"/>
              </w:rPr>
              <w:t>基金经理</w:t>
            </w:r>
          </w:p>
        </w:tc>
        <w:tc>
          <w:tcPr>
            <w:tcW w:w="2410" w:type="dxa"/>
            <w:vMerge w:val="restart"/>
          </w:tcPr>
          <w:p w:rsidR="001B054F" w:rsidRDefault="001B054F" w:rsidP="001B054F">
            <w:pPr>
              <w:jc w:val="left"/>
            </w:pPr>
            <w:r>
              <w:rPr>
                <w:rFonts w:hint="eastAsia"/>
              </w:rPr>
              <w:t>汪轻舟</w:t>
            </w:r>
          </w:p>
        </w:tc>
        <w:tc>
          <w:tcPr>
            <w:tcW w:w="1843" w:type="dxa"/>
          </w:tcPr>
          <w:p w:rsidR="001B054F" w:rsidRDefault="001B054F" w:rsidP="001B054F">
            <w:pPr>
              <w:jc w:val="left"/>
            </w:pPr>
            <w:r>
              <w:rPr>
                <w:rFonts w:hint="eastAsia"/>
              </w:rPr>
              <w:t>开始担任本基金基金经理的日期</w:t>
            </w:r>
          </w:p>
        </w:tc>
        <w:tc>
          <w:tcPr>
            <w:tcW w:w="2410" w:type="dxa"/>
          </w:tcPr>
          <w:p w:rsidR="001B054F" w:rsidRDefault="001B054F" w:rsidP="001B054F">
            <w:pPr>
              <w:jc w:val="left"/>
            </w:pPr>
          </w:p>
        </w:tc>
      </w:tr>
      <w:tr w:rsidR="001B054F" w:rsidTr="001B054F">
        <w:tc>
          <w:tcPr>
            <w:tcW w:w="1843" w:type="dxa"/>
            <w:vMerge/>
          </w:tcPr>
          <w:p w:rsidR="001B054F" w:rsidRDefault="001B054F" w:rsidP="001B054F">
            <w:pPr>
              <w:jc w:val="left"/>
            </w:pPr>
          </w:p>
        </w:tc>
        <w:tc>
          <w:tcPr>
            <w:tcW w:w="2410" w:type="dxa"/>
            <w:vMerge/>
          </w:tcPr>
          <w:p w:rsidR="001B054F" w:rsidRDefault="001B054F" w:rsidP="001B054F">
            <w:pPr>
              <w:jc w:val="left"/>
            </w:pPr>
          </w:p>
        </w:tc>
        <w:tc>
          <w:tcPr>
            <w:tcW w:w="1843" w:type="dxa"/>
          </w:tcPr>
          <w:p w:rsidR="001B054F" w:rsidRDefault="001B054F" w:rsidP="001B054F">
            <w:pPr>
              <w:jc w:val="left"/>
            </w:pPr>
            <w:r>
              <w:rPr>
                <w:rFonts w:hint="eastAsia"/>
              </w:rPr>
              <w:t>证券从业日期</w:t>
            </w:r>
          </w:p>
        </w:tc>
        <w:tc>
          <w:tcPr>
            <w:tcW w:w="2410" w:type="dxa"/>
          </w:tcPr>
          <w:p w:rsidR="001B054F" w:rsidRDefault="001B054F" w:rsidP="001B054F">
            <w:pPr>
              <w:jc w:val="left"/>
            </w:pPr>
            <w:r>
              <w:rPr>
                <w:rFonts w:hint="eastAsia"/>
              </w:rPr>
              <w:t>2015</w:t>
            </w:r>
            <w:r>
              <w:rPr>
                <w:rFonts w:hint="eastAsia"/>
              </w:rPr>
              <w:t>年</w:t>
            </w:r>
            <w:r>
              <w:rPr>
                <w:rFonts w:hint="eastAsia"/>
              </w:rPr>
              <w:t>7</w:t>
            </w:r>
            <w:r>
              <w:rPr>
                <w:rFonts w:hint="eastAsia"/>
              </w:rPr>
              <w:t>月</w:t>
            </w:r>
            <w:r>
              <w:rPr>
                <w:rFonts w:hint="eastAsia"/>
              </w:rPr>
              <w:t>1</w:t>
            </w:r>
            <w:r>
              <w:rPr>
                <w:rFonts w:hint="eastAsia"/>
              </w:rPr>
              <w:t>日</w:t>
            </w:r>
          </w:p>
        </w:tc>
      </w:tr>
      <w:tr w:rsidR="001B054F" w:rsidTr="00DF18C1">
        <w:tc>
          <w:tcPr>
            <w:tcW w:w="1843" w:type="dxa"/>
          </w:tcPr>
          <w:p w:rsidR="001B054F" w:rsidRDefault="001B054F" w:rsidP="001B054F">
            <w:pPr>
              <w:jc w:val="left"/>
            </w:pPr>
            <w:r>
              <w:rPr>
                <w:rFonts w:hint="eastAsia"/>
              </w:rPr>
              <w:t>其他</w:t>
            </w:r>
          </w:p>
        </w:tc>
        <w:tc>
          <w:tcPr>
            <w:tcW w:w="6663" w:type="dxa"/>
            <w:gridSpan w:val="3"/>
          </w:tcPr>
          <w:p w:rsidR="001B054F" w:rsidRDefault="001B054F" w:rsidP="001B054F">
            <w:r>
              <w:rPr>
                <w:rFonts w:hint="eastAsia"/>
              </w:rPr>
              <w:t>《基金合同》生效后，连续</w:t>
            </w:r>
            <w:r>
              <w:rPr>
                <w:rFonts w:hint="eastAsia"/>
              </w:rPr>
              <w:t xml:space="preserve"> 20 </w:t>
            </w:r>
            <w:r>
              <w:rPr>
                <w:rFonts w:hint="eastAsia"/>
              </w:rPr>
              <w:t>个工作日出现基金份额持有人数量不满</w:t>
            </w:r>
            <w:r>
              <w:rPr>
                <w:rFonts w:hint="eastAsia"/>
              </w:rPr>
              <w:t xml:space="preserve"> 200 </w:t>
            </w:r>
            <w:r>
              <w:rPr>
                <w:rFonts w:hint="eastAsia"/>
              </w:rPr>
              <w:t>人或者基金</w:t>
            </w:r>
            <w:r>
              <w:rPr>
                <w:rFonts w:hint="eastAsia"/>
              </w:rPr>
              <w:t xml:space="preserve"> </w:t>
            </w:r>
            <w:r>
              <w:rPr>
                <w:rFonts w:hint="eastAsia"/>
              </w:rPr>
              <w:t>资产净值低于</w:t>
            </w:r>
            <w:r>
              <w:rPr>
                <w:rFonts w:hint="eastAsia"/>
              </w:rPr>
              <w:t xml:space="preserve"> 5000 </w:t>
            </w:r>
            <w:r>
              <w:rPr>
                <w:rFonts w:hint="eastAsia"/>
              </w:rPr>
              <w:t>万元情形的，基金管理人应当在定期报告中予以披露；连续</w:t>
            </w:r>
            <w:r>
              <w:rPr>
                <w:rFonts w:hint="eastAsia"/>
              </w:rPr>
              <w:t xml:space="preserve"> 50 </w:t>
            </w:r>
            <w:r>
              <w:rPr>
                <w:rFonts w:hint="eastAsia"/>
              </w:rPr>
              <w:t>个工作日出现前述情形的，基金合同应当终止，无需召开基金份额持有人大会。</w:t>
            </w:r>
            <w:r>
              <w:rPr>
                <w:rFonts w:hint="eastAsia"/>
              </w:rPr>
              <w:t xml:space="preserve"> </w:t>
            </w:r>
            <w:r>
              <w:rPr>
                <w:rFonts w:hint="eastAsia"/>
              </w:rPr>
              <w:t>法律法规或中国证监会另有规定时，从其规定。</w:t>
            </w:r>
          </w:p>
        </w:tc>
      </w:tr>
    </w:tbl>
    <w:p w:rsidR="001B054F" w:rsidRDefault="001B054F" w:rsidP="001B054F">
      <w:pPr>
        <w:pStyle w:val="-7"/>
        <w:ind w:firstLine="420"/>
      </w:pPr>
      <w:r>
        <w:rPr>
          <w:rFonts w:hint="eastAsia"/>
        </w:rPr>
        <w:t>注：本基金为基金中基金（偏债混合型）。</w:t>
      </w:r>
    </w:p>
    <w:p w:rsidR="001B054F" w:rsidRDefault="001B054F" w:rsidP="001B054F">
      <w:pPr>
        <w:pStyle w:val="-1"/>
        <w:spacing w:before="156" w:after="156"/>
      </w:pPr>
      <w:r>
        <w:rPr>
          <w:rFonts w:hint="eastAsia"/>
        </w:rPr>
        <w:t>二、基金投资与净值表现</w:t>
      </w:r>
    </w:p>
    <w:p w:rsidR="001B054F" w:rsidRDefault="001B054F" w:rsidP="001B054F">
      <w:pPr>
        <w:pStyle w:val="-2"/>
        <w:spacing w:before="156" w:after="156"/>
      </w:pPr>
      <w:r>
        <w:rPr>
          <w:rFonts w:hint="eastAsia"/>
        </w:rPr>
        <w:t>（一）</w:t>
      </w:r>
      <w:r>
        <w:rPr>
          <w:rFonts w:hint="eastAsia"/>
        </w:rPr>
        <w:t xml:space="preserve"> </w:t>
      </w:r>
      <w:r>
        <w:rPr>
          <w:rFonts w:hint="eastAsia"/>
        </w:rPr>
        <w:t>投资目标与投资策略</w:t>
      </w:r>
    </w:p>
    <w:p w:rsidR="001B054F" w:rsidRDefault="001B054F" w:rsidP="001B054F">
      <w:pPr>
        <w:pStyle w:val="-7"/>
        <w:ind w:firstLine="420"/>
      </w:pPr>
      <w:r>
        <w:rPr>
          <w:rFonts w:hint="eastAsia"/>
        </w:rPr>
        <w:t>注</w:t>
      </w:r>
      <w:r>
        <w:rPr>
          <w:rFonts w:hint="eastAsia"/>
        </w:rPr>
        <w:t>:</w:t>
      </w:r>
      <w:r>
        <w:rPr>
          <w:rFonts w:hint="eastAsia"/>
        </w:rPr>
        <w:t>详见《南方稳庆</w:t>
      </w:r>
      <w:r>
        <w:rPr>
          <w:rFonts w:hint="eastAsia"/>
        </w:rPr>
        <w:t>6</w:t>
      </w:r>
      <w:r>
        <w:rPr>
          <w:rFonts w:hint="eastAsia"/>
        </w:rPr>
        <w:t>个月持有期混合型基金中基金（</w:t>
      </w:r>
      <w:r>
        <w:rPr>
          <w:rFonts w:hint="eastAsia"/>
        </w:rPr>
        <w:t>FOF</w:t>
      </w:r>
      <w:r>
        <w:rPr>
          <w:rFonts w:hint="eastAsia"/>
        </w:rPr>
        <w:t>）招募说明书》第九部分“基金的投资”</w:t>
      </w:r>
    </w:p>
    <w:tbl>
      <w:tblPr>
        <w:tblStyle w:val="-noheader"/>
        <w:tblW w:w="8505" w:type="dxa"/>
        <w:tblLayout w:type="fixed"/>
        <w:tblLook w:val="04A0" w:firstRow="1" w:lastRow="0" w:firstColumn="1" w:lastColumn="0" w:noHBand="0" w:noVBand="1"/>
      </w:tblPr>
      <w:tblGrid>
        <w:gridCol w:w="1701"/>
        <w:gridCol w:w="6804"/>
      </w:tblGrid>
      <w:tr w:rsidR="001B054F" w:rsidTr="001B054F">
        <w:tc>
          <w:tcPr>
            <w:tcW w:w="1701" w:type="dxa"/>
          </w:tcPr>
          <w:p w:rsidR="001B054F" w:rsidRDefault="001B054F" w:rsidP="001B054F">
            <w:pPr>
              <w:jc w:val="left"/>
            </w:pPr>
            <w:r>
              <w:rPr>
                <w:rFonts w:hint="eastAsia"/>
              </w:rPr>
              <w:t>投资目标</w:t>
            </w:r>
          </w:p>
        </w:tc>
        <w:tc>
          <w:tcPr>
            <w:tcW w:w="6804" w:type="dxa"/>
          </w:tcPr>
          <w:p w:rsidR="001B054F" w:rsidRDefault="001B054F" w:rsidP="001B054F">
            <w:pPr>
              <w:jc w:val="left"/>
            </w:pPr>
            <w:r>
              <w:rPr>
                <w:rFonts w:hint="eastAsia"/>
              </w:rPr>
              <w:t>本基金是基金中基金，优选多种具有不同风险收益特征的基金，寻求基金资产的长期稳健增值。</w:t>
            </w:r>
          </w:p>
        </w:tc>
      </w:tr>
      <w:tr w:rsidR="001B054F" w:rsidTr="001B054F">
        <w:tc>
          <w:tcPr>
            <w:tcW w:w="1701" w:type="dxa"/>
          </w:tcPr>
          <w:p w:rsidR="001B054F" w:rsidRDefault="001B054F" w:rsidP="001B054F">
            <w:pPr>
              <w:jc w:val="left"/>
            </w:pPr>
            <w:r>
              <w:rPr>
                <w:rFonts w:hint="eastAsia"/>
              </w:rPr>
              <w:t>投资范围</w:t>
            </w:r>
          </w:p>
        </w:tc>
        <w:tc>
          <w:tcPr>
            <w:tcW w:w="6804" w:type="dxa"/>
          </w:tcPr>
          <w:p w:rsidR="001B054F" w:rsidRDefault="001B054F" w:rsidP="001B054F">
            <w:r>
              <w:rPr>
                <w:rFonts w:hint="eastAsia"/>
              </w:rPr>
              <w:t>本基金投资于依法发行或上市的基金、股票、债券等金融工具及法律法规或中国证监会允许基金投资的其他金融工具。具体包括：经中国证监会依法核准或注册的公开募集证券投资基金基金份额（含</w:t>
            </w:r>
            <w:r>
              <w:rPr>
                <w:rFonts w:hint="eastAsia"/>
              </w:rPr>
              <w:t>QDII</w:t>
            </w:r>
            <w:r>
              <w:rPr>
                <w:rFonts w:hint="eastAsia"/>
              </w:rPr>
              <w:t>基金、香港互认基金、商品基金（含商品期货基金和黄金</w:t>
            </w:r>
            <w:r>
              <w:rPr>
                <w:rFonts w:hint="eastAsia"/>
              </w:rPr>
              <w:t>ETF</w:t>
            </w:r>
            <w:r>
              <w:rPr>
                <w:rFonts w:hint="eastAsia"/>
              </w:rPr>
              <w:t>）、公开募集不动产投资信托基金（以下简称“公募</w:t>
            </w:r>
            <w:r>
              <w:rPr>
                <w:rFonts w:hint="eastAsia"/>
              </w:rPr>
              <w:t>REITs</w:t>
            </w:r>
            <w:r>
              <w:rPr>
                <w:rFonts w:hint="eastAsia"/>
              </w:rPr>
              <w:t>”））、股票（包含主板、创业板及其他经中国证监会核准或注册上市的股票、存托凭证（下同））、内地与香港股</w:t>
            </w:r>
            <w:r>
              <w:rPr>
                <w:rFonts w:hint="eastAsia"/>
              </w:rPr>
              <w:lastRenderedPageBreak/>
              <w:t>票市场交易互联互通机制允许买卖的香港证券市场股票和交易型开放式基金（以下分别简称“港股通标的股票”、“港股通</w:t>
            </w:r>
            <w:r>
              <w:rPr>
                <w:rFonts w:hint="eastAsia"/>
              </w:rPr>
              <w:t>ETF</w:t>
            </w:r>
            <w:r>
              <w:rPr>
                <w:rFonts w:hint="eastAsia"/>
              </w:rPr>
              <w:t>”）、债券（包括国内依法发行的国债、央行票据、金融债券、企业债券、公司债券、中期票据、短期融资券、超短期融资券、公开发行的次级债券、政府支持机构债、政府支持债券、地方政府债、可转换债券、可交换债券及其他经中国证监会允许投资的债券）、资产支持证券、债券回购、银行存款（包括协议存款、定期存款以及其他银行存款）、同业存单、货币市场工具，以及法律法规或中国证监会允许基金投资的其他金融工具（但须符合中国证监会的相关规定）。</w:t>
            </w:r>
          </w:p>
          <w:p w:rsidR="001B054F" w:rsidRDefault="001B054F" w:rsidP="001B054F">
            <w:r>
              <w:rPr>
                <w:rFonts w:hint="eastAsia"/>
              </w:rPr>
              <w:t>如法律法规或监管机构以后允许基金投资其他品种，基金管理人在履行适当程序后，可以将其纳入投资范围。</w:t>
            </w:r>
          </w:p>
          <w:p w:rsidR="001B054F" w:rsidRDefault="001B054F" w:rsidP="001B054F">
            <w:r>
              <w:rPr>
                <w:rFonts w:hint="eastAsia"/>
              </w:rPr>
              <w:t>本基金的投资组合比例为：本基金投资于经中国证监会依法核准或注册的公开募集证券投资基金的基金份额的资产不低于本基金资产的</w:t>
            </w:r>
            <w:r>
              <w:rPr>
                <w:rFonts w:hint="eastAsia"/>
              </w:rPr>
              <w:t>80%</w:t>
            </w:r>
            <w:r>
              <w:rPr>
                <w:rFonts w:hint="eastAsia"/>
              </w:rPr>
              <w:t>。基金投资于股票（含存托凭证）、股票型基金、混合型基金（指基金合同中约定股票投资占基金资产的比例为</w:t>
            </w:r>
            <w:r>
              <w:rPr>
                <w:rFonts w:hint="eastAsia"/>
              </w:rPr>
              <w:t>60%</w:t>
            </w:r>
            <w:r>
              <w:rPr>
                <w:rFonts w:hint="eastAsia"/>
              </w:rPr>
              <w:t>以上或者最近四个季度披露的股票投资占基金资产的比例均在</w:t>
            </w:r>
            <w:r>
              <w:rPr>
                <w:rFonts w:hint="eastAsia"/>
              </w:rPr>
              <w:t>60%</w:t>
            </w:r>
            <w:r>
              <w:rPr>
                <w:rFonts w:hint="eastAsia"/>
              </w:rPr>
              <w:t>以上的混合型基金）合计占基金资产的比例为</w:t>
            </w:r>
            <w:r>
              <w:rPr>
                <w:rFonts w:hint="eastAsia"/>
              </w:rPr>
              <w:t>5%-30%</w:t>
            </w:r>
            <w:r>
              <w:rPr>
                <w:rFonts w:hint="eastAsia"/>
              </w:rPr>
              <w:t>（其中，本基金投资于境内的股票、股票型基金、混合型基金（指基金合同中约定股票投资占基金资产的比例为</w:t>
            </w:r>
            <w:r>
              <w:rPr>
                <w:rFonts w:hint="eastAsia"/>
              </w:rPr>
              <w:t>60%</w:t>
            </w:r>
            <w:r>
              <w:rPr>
                <w:rFonts w:hint="eastAsia"/>
              </w:rPr>
              <w:t>以上或者最近四个季度披露的股票投资占基金资产的比例均在</w:t>
            </w:r>
            <w:r>
              <w:rPr>
                <w:rFonts w:hint="eastAsia"/>
              </w:rPr>
              <w:t>60%</w:t>
            </w:r>
            <w:r>
              <w:rPr>
                <w:rFonts w:hint="eastAsia"/>
              </w:rPr>
              <w:t>以上的混合型基金）合计比例不低于基金资产的</w:t>
            </w:r>
            <w:r>
              <w:rPr>
                <w:rFonts w:hint="eastAsia"/>
              </w:rPr>
              <w:t>5%</w:t>
            </w:r>
            <w:r>
              <w:rPr>
                <w:rFonts w:hint="eastAsia"/>
              </w:rPr>
              <w:t>），本基金投资于港股通标的股票的比例不超过股票资产的</w:t>
            </w:r>
            <w:r>
              <w:rPr>
                <w:rFonts w:hint="eastAsia"/>
              </w:rPr>
              <w:t>50%</w:t>
            </w:r>
            <w:r>
              <w:rPr>
                <w:rFonts w:hint="eastAsia"/>
              </w:rPr>
              <w:t>。本基金投资于</w:t>
            </w:r>
            <w:r>
              <w:rPr>
                <w:rFonts w:hint="eastAsia"/>
              </w:rPr>
              <w:t>QDII</w:t>
            </w:r>
            <w:r>
              <w:rPr>
                <w:rFonts w:hint="eastAsia"/>
              </w:rPr>
              <w:t>基金和香港互认基金的比例不超过基金资产的</w:t>
            </w:r>
            <w:r>
              <w:rPr>
                <w:rFonts w:hint="eastAsia"/>
              </w:rPr>
              <w:t>20%</w:t>
            </w:r>
            <w:r>
              <w:rPr>
                <w:rFonts w:hint="eastAsia"/>
              </w:rPr>
              <w:t>。货币市场基金投资占基金资产比例不超过</w:t>
            </w:r>
            <w:r>
              <w:rPr>
                <w:rFonts w:hint="eastAsia"/>
              </w:rPr>
              <w:t>15%</w:t>
            </w:r>
            <w:r>
              <w:rPr>
                <w:rFonts w:hint="eastAsia"/>
              </w:rPr>
              <w:t>。投资于商品基金（含商品期货基金和黄金</w:t>
            </w:r>
            <w:r>
              <w:rPr>
                <w:rFonts w:hint="eastAsia"/>
              </w:rPr>
              <w:t>ETF</w:t>
            </w:r>
            <w:r>
              <w:rPr>
                <w:rFonts w:hint="eastAsia"/>
              </w:rPr>
              <w:t>）的比例不超过基金资产的</w:t>
            </w:r>
            <w:r>
              <w:rPr>
                <w:rFonts w:hint="eastAsia"/>
              </w:rPr>
              <w:t>10%</w:t>
            </w:r>
            <w:r>
              <w:rPr>
                <w:rFonts w:hint="eastAsia"/>
              </w:rPr>
              <w:t>。本基金保留的现金或到期日在一年以内的政府债券的比例合计不低于基金资产净值的</w:t>
            </w:r>
            <w:r>
              <w:rPr>
                <w:rFonts w:hint="eastAsia"/>
              </w:rPr>
              <w:t>5%</w:t>
            </w:r>
            <w:r>
              <w:rPr>
                <w:rFonts w:hint="eastAsia"/>
              </w:rPr>
              <w:t>，其中现金不包括结算备付金、存出保证金、应收申购款等。</w:t>
            </w:r>
          </w:p>
          <w:p w:rsidR="001B054F" w:rsidRDefault="001B054F" w:rsidP="001B054F">
            <w:r>
              <w:rPr>
                <w:rFonts w:hint="eastAsia"/>
              </w:rPr>
              <w:t>如果法律法规或中国证监会变更投资品种的投资比例限制，基金管理人在履行适当程序后，可以调整上述投资品种的投资比例。</w:t>
            </w:r>
          </w:p>
        </w:tc>
      </w:tr>
      <w:tr w:rsidR="001B054F" w:rsidTr="001B054F">
        <w:tc>
          <w:tcPr>
            <w:tcW w:w="1701" w:type="dxa"/>
          </w:tcPr>
          <w:p w:rsidR="001B054F" w:rsidRDefault="001B054F" w:rsidP="001B054F">
            <w:pPr>
              <w:jc w:val="left"/>
            </w:pPr>
            <w:r>
              <w:rPr>
                <w:rFonts w:hint="eastAsia"/>
              </w:rPr>
              <w:lastRenderedPageBreak/>
              <w:t>主要投资策略</w:t>
            </w:r>
          </w:p>
        </w:tc>
        <w:tc>
          <w:tcPr>
            <w:tcW w:w="6804" w:type="dxa"/>
          </w:tcPr>
          <w:p w:rsidR="001B054F" w:rsidRDefault="001B054F" w:rsidP="001B054F">
            <w:r>
              <w:rPr>
                <w:rFonts w:hint="eastAsia"/>
              </w:rPr>
              <w:t>本基金力争通过合理判断市场走势，合理配置基金、股票、债券等投资工具的比例，通过定量和定性相结合的方法精选具有不同风险收益特征的基金，力争实现基金资产的稳定回报。</w:t>
            </w:r>
            <w:r>
              <w:rPr>
                <w:rFonts w:hint="eastAsia"/>
              </w:rPr>
              <w:t>1</w:t>
            </w:r>
            <w:r>
              <w:rPr>
                <w:rFonts w:hint="eastAsia"/>
              </w:rPr>
              <w:t>、资产配置策略；</w:t>
            </w:r>
            <w:r>
              <w:rPr>
                <w:rFonts w:hint="eastAsia"/>
              </w:rPr>
              <w:t>2</w:t>
            </w:r>
            <w:r>
              <w:rPr>
                <w:rFonts w:hint="eastAsia"/>
              </w:rPr>
              <w:t>、基金投资策略；</w:t>
            </w:r>
            <w:r>
              <w:rPr>
                <w:rFonts w:hint="eastAsia"/>
              </w:rPr>
              <w:t>3</w:t>
            </w:r>
            <w:r>
              <w:rPr>
                <w:rFonts w:hint="eastAsia"/>
              </w:rPr>
              <w:t>、风险控制策略；</w:t>
            </w:r>
            <w:r>
              <w:rPr>
                <w:rFonts w:hint="eastAsia"/>
              </w:rPr>
              <w:t>4</w:t>
            </w:r>
            <w:r>
              <w:rPr>
                <w:rFonts w:hint="eastAsia"/>
              </w:rPr>
              <w:t>、股票投资策略；</w:t>
            </w:r>
            <w:r>
              <w:rPr>
                <w:rFonts w:hint="eastAsia"/>
              </w:rPr>
              <w:t>5</w:t>
            </w:r>
            <w:r>
              <w:rPr>
                <w:rFonts w:hint="eastAsia"/>
              </w:rPr>
              <w:t>、债券投资策略；</w:t>
            </w:r>
            <w:r>
              <w:rPr>
                <w:rFonts w:hint="eastAsia"/>
              </w:rPr>
              <w:t>6</w:t>
            </w:r>
            <w:r>
              <w:rPr>
                <w:rFonts w:hint="eastAsia"/>
              </w:rPr>
              <w:t>、资产支持证券投资策略；</w:t>
            </w:r>
            <w:r>
              <w:rPr>
                <w:rFonts w:hint="eastAsia"/>
              </w:rPr>
              <w:t>7</w:t>
            </w:r>
            <w:r>
              <w:rPr>
                <w:rFonts w:hint="eastAsia"/>
              </w:rPr>
              <w:t>、存托凭证的投资策略；</w:t>
            </w:r>
            <w:r>
              <w:rPr>
                <w:rFonts w:hint="eastAsia"/>
              </w:rPr>
              <w:t>8</w:t>
            </w:r>
            <w:r>
              <w:rPr>
                <w:rFonts w:hint="eastAsia"/>
              </w:rPr>
              <w:t>、港股通标的证券投资策略；</w:t>
            </w:r>
            <w:r>
              <w:rPr>
                <w:rFonts w:hint="eastAsia"/>
              </w:rPr>
              <w:t>9</w:t>
            </w:r>
            <w:r>
              <w:rPr>
                <w:rFonts w:hint="eastAsia"/>
              </w:rPr>
              <w:t>、公募</w:t>
            </w:r>
            <w:r>
              <w:rPr>
                <w:rFonts w:hint="eastAsia"/>
              </w:rPr>
              <w:t>REITs</w:t>
            </w:r>
            <w:r>
              <w:rPr>
                <w:rFonts w:hint="eastAsia"/>
              </w:rPr>
              <w:t>投资策略。</w:t>
            </w:r>
          </w:p>
        </w:tc>
      </w:tr>
      <w:tr w:rsidR="001B054F" w:rsidTr="001B054F">
        <w:tc>
          <w:tcPr>
            <w:tcW w:w="1701" w:type="dxa"/>
          </w:tcPr>
          <w:p w:rsidR="001B054F" w:rsidRDefault="001B054F" w:rsidP="001B054F">
            <w:pPr>
              <w:jc w:val="left"/>
            </w:pPr>
            <w:r>
              <w:rPr>
                <w:rFonts w:hint="eastAsia"/>
              </w:rPr>
              <w:t>业绩比较基准</w:t>
            </w:r>
          </w:p>
        </w:tc>
        <w:tc>
          <w:tcPr>
            <w:tcW w:w="6804" w:type="dxa"/>
          </w:tcPr>
          <w:p w:rsidR="001B054F" w:rsidRDefault="001B054F" w:rsidP="001B054F">
            <w:pPr>
              <w:jc w:val="left"/>
            </w:pPr>
            <w:r>
              <w:rPr>
                <w:rFonts w:hint="eastAsia"/>
              </w:rPr>
              <w:t>中证</w:t>
            </w:r>
            <w:r>
              <w:rPr>
                <w:rFonts w:hint="eastAsia"/>
              </w:rPr>
              <w:t>800</w:t>
            </w:r>
            <w:r>
              <w:rPr>
                <w:rFonts w:hint="eastAsia"/>
              </w:rPr>
              <w:t>指数收益率×</w:t>
            </w:r>
            <w:r>
              <w:rPr>
                <w:rFonts w:hint="eastAsia"/>
              </w:rPr>
              <w:t>10%</w:t>
            </w:r>
            <w:r>
              <w:rPr>
                <w:rFonts w:hint="eastAsia"/>
              </w:rPr>
              <w:t>＋中债新综合全价（总值）指数收益率×</w:t>
            </w:r>
            <w:r>
              <w:rPr>
                <w:rFonts w:hint="eastAsia"/>
              </w:rPr>
              <w:t>85%</w:t>
            </w:r>
            <w:r>
              <w:rPr>
                <w:rFonts w:hint="eastAsia"/>
              </w:rPr>
              <w:t>＋活期存款基准利率×</w:t>
            </w:r>
            <w:r>
              <w:rPr>
                <w:rFonts w:hint="eastAsia"/>
              </w:rPr>
              <w:t>5%</w:t>
            </w:r>
          </w:p>
        </w:tc>
      </w:tr>
      <w:tr w:rsidR="001B054F" w:rsidTr="001B054F">
        <w:tc>
          <w:tcPr>
            <w:tcW w:w="1701" w:type="dxa"/>
          </w:tcPr>
          <w:p w:rsidR="001B054F" w:rsidRDefault="001B054F" w:rsidP="001B054F">
            <w:pPr>
              <w:jc w:val="left"/>
            </w:pPr>
            <w:r>
              <w:rPr>
                <w:rFonts w:hint="eastAsia"/>
              </w:rPr>
              <w:t>风险收益特征</w:t>
            </w:r>
          </w:p>
        </w:tc>
        <w:tc>
          <w:tcPr>
            <w:tcW w:w="6804" w:type="dxa"/>
          </w:tcPr>
          <w:p w:rsidR="001B054F" w:rsidRDefault="001B054F" w:rsidP="001B054F">
            <w:r>
              <w:rPr>
                <w:rFonts w:hint="eastAsia"/>
              </w:rPr>
              <w:t>本基金为混合型基金中基金，理论上其预期收益和预期风险水平高于债券型基金中基金、债券型基金、货币市场基金和货币型基金中基金，低于股票型基金、股票型基金中基金。本基金可投资港股通标的证券，除了需要承担与境内证券投资基金类似的市场波动风险等一般投资风险之外，本基金还面临汇率风险、香港市场风险等境外证券市场投资所面临的特别投资风险。</w:t>
            </w:r>
          </w:p>
        </w:tc>
      </w:tr>
    </w:tbl>
    <w:p w:rsidR="001B054F" w:rsidRDefault="001B054F" w:rsidP="001B054F">
      <w:pPr>
        <w:pStyle w:val="-2"/>
        <w:spacing w:before="156" w:after="156"/>
      </w:pPr>
      <w:r>
        <w:rPr>
          <w:rFonts w:hint="eastAsia"/>
        </w:rPr>
        <w:t>（二）</w:t>
      </w:r>
      <w:r>
        <w:rPr>
          <w:rFonts w:hint="eastAsia"/>
        </w:rPr>
        <w:t xml:space="preserve"> </w:t>
      </w:r>
      <w:r>
        <w:rPr>
          <w:rFonts w:hint="eastAsia"/>
        </w:rPr>
        <w:t>投资组合资产配置图表</w:t>
      </w:r>
      <w:r>
        <w:rPr>
          <w:rFonts w:hint="eastAsia"/>
        </w:rPr>
        <w:t>/</w:t>
      </w:r>
      <w:r>
        <w:rPr>
          <w:rFonts w:hint="eastAsia"/>
        </w:rPr>
        <w:t>区域配置图表</w:t>
      </w:r>
    </w:p>
    <w:p w:rsidR="001B054F" w:rsidRDefault="001B054F" w:rsidP="001B054F">
      <w:pPr>
        <w:pStyle w:val="-"/>
        <w:ind w:firstLine="420"/>
      </w:pPr>
      <w:r>
        <w:rPr>
          <w:rFonts w:hint="eastAsia"/>
        </w:rPr>
        <w:lastRenderedPageBreak/>
        <w:t>无。</w:t>
      </w:r>
    </w:p>
    <w:p w:rsidR="001B054F" w:rsidRDefault="001B054F" w:rsidP="001B054F">
      <w:pPr>
        <w:pStyle w:val="-2"/>
        <w:spacing w:before="156" w:after="156"/>
      </w:pPr>
      <w:r>
        <w:rPr>
          <w:rFonts w:hint="eastAsia"/>
        </w:rPr>
        <w:t>（三）</w:t>
      </w:r>
      <w:r>
        <w:rPr>
          <w:rFonts w:hint="eastAsia"/>
        </w:rPr>
        <w:t xml:space="preserve"> </w:t>
      </w:r>
      <w:r>
        <w:rPr>
          <w:rFonts w:hint="eastAsia"/>
        </w:rPr>
        <w:t>自基金合同生效以来基金每年的净值增长率及与同期业绩比较基准的比较图</w:t>
      </w:r>
    </w:p>
    <w:p w:rsidR="001B054F" w:rsidRDefault="001B054F" w:rsidP="001B054F">
      <w:pPr>
        <w:pStyle w:val="-"/>
        <w:ind w:firstLine="420"/>
      </w:pPr>
      <w:r>
        <w:rPr>
          <w:rFonts w:hint="eastAsia"/>
        </w:rPr>
        <w:t>无。</w:t>
      </w:r>
    </w:p>
    <w:p w:rsidR="001B054F" w:rsidRDefault="001B054F" w:rsidP="001B054F">
      <w:pPr>
        <w:pStyle w:val="-1"/>
        <w:spacing w:before="156" w:after="156"/>
      </w:pPr>
      <w:r>
        <w:rPr>
          <w:rFonts w:hint="eastAsia"/>
        </w:rPr>
        <w:t>三、投资本基金涉及的费用</w:t>
      </w:r>
    </w:p>
    <w:p w:rsidR="001B054F" w:rsidRDefault="001B054F" w:rsidP="001B054F">
      <w:pPr>
        <w:pStyle w:val="-2"/>
        <w:spacing w:before="156" w:after="156"/>
      </w:pPr>
      <w:r>
        <w:rPr>
          <w:rFonts w:hint="eastAsia"/>
        </w:rPr>
        <w:t>（一）</w:t>
      </w:r>
      <w:r>
        <w:rPr>
          <w:rFonts w:hint="eastAsia"/>
        </w:rPr>
        <w:t xml:space="preserve"> </w:t>
      </w:r>
      <w:r>
        <w:rPr>
          <w:rFonts w:hint="eastAsia"/>
        </w:rPr>
        <w:t>基金销售相关费用</w:t>
      </w:r>
    </w:p>
    <w:tbl>
      <w:tblPr>
        <w:tblStyle w:val="-noheader"/>
        <w:tblW w:w="8506" w:type="dxa"/>
        <w:tblLayout w:type="fixed"/>
        <w:tblLook w:val="04A0" w:firstRow="1" w:lastRow="0" w:firstColumn="1" w:lastColumn="0" w:noHBand="0" w:noVBand="1"/>
      </w:tblPr>
      <w:tblGrid>
        <w:gridCol w:w="1985"/>
        <w:gridCol w:w="2835"/>
        <w:gridCol w:w="1843"/>
        <w:gridCol w:w="1843"/>
      </w:tblGrid>
      <w:tr w:rsidR="001B054F" w:rsidTr="001B054F">
        <w:tc>
          <w:tcPr>
            <w:tcW w:w="1985" w:type="dxa"/>
          </w:tcPr>
          <w:p w:rsidR="001B054F" w:rsidRDefault="001B054F" w:rsidP="001B054F">
            <w:pPr>
              <w:jc w:val="center"/>
            </w:pPr>
            <w:r>
              <w:rPr>
                <w:rFonts w:hint="eastAsia"/>
              </w:rPr>
              <w:t>费用类型</w:t>
            </w:r>
          </w:p>
        </w:tc>
        <w:tc>
          <w:tcPr>
            <w:tcW w:w="2835" w:type="dxa"/>
          </w:tcPr>
          <w:p w:rsidR="001B054F" w:rsidRDefault="001B054F" w:rsidP="001B054F">
            <w:pPr>
              <w:jc w:val="center"/>
            </w:pPr>
            <w:r>
              <w:rPr>
                <w:rFonts w:hint="eastAsia"/>
              </w:rPr>
              <w:t>份额（</w:t>
            </w:r>
            <w:r>
              <w:rPr>
                <w:rFonts w:hint="eastAsia"/>
              </w:rPr>
              <w:t>S</w:t>
            </w:r>
            <w:r>
              <w:rPr>
                <w:rFonts w:hint="eastAsia"/>
              </w:rPr>
              <w:t>）或金额（</w:t>
            </w:r>
            <w:r>
              <w:rPr>
                <w:rFonts w:hint="eastAsia"/>
              </w:rPr>
              <w:t>M</w:t>
            </w:r>
            <w:r>
              <w:rPr>
                <w:rFonts w:hint="eastAsia"/>
              </w:rPr>
              <w:t>）</w:t>
            </w:r>
            <w:r>
              <w:rPr>
                <w:rFonts w:hint="eastAsia"/>
              </w:rPr>
              <w:t>/</w:t>
            </w:r>
            <w:r>
              <w:rPr>
                <w:rFonts w:hint="eastAsia"/>
              </w:rPr>
              <w:t>持有期限（</w:t>
            </w:r>
            <w:r>
              <w:rPr>
                <w:rFonts w:hint="eastAsia"/>
              </w:rPr>
              <w:t>N</w:t>
            </w:r>
            <w:r>
              <w:rPr>
                <w:rFonts w:hint="eastAsia"/>
              </w:rPr>
              <w:t>）</w:t>
            </w:r>
          </w:p>
        </w:tc>
        <w:tc>
          <w:tcPr>
            <w:tcW w:w="1843" w:type="dxa"/>
          </w:tcPr>
          <w:p w:rsidR="001B054F" w:rsidRDefault="001B054F" w:rsidP="001B054F">
            <w:pPr>
              <w:jc w:val="center"/>
            </w:pPr>
            <w:r>
              <w:rPr>
                <w:rFonts w:hint="eastAsia"/>
              </w:rPr>
              <w:t>收费方式</w:t>
            </w:r>
            <w:r>
              <w:rPr>
                <w:rFonts w:hint="eastAsia"/>
              </w:rPr>
              <w:t>/</w:t>
            </w:r>
            <w:r>
              <w:rPr>
                <w:rFonts w:hint="eastAsia"/>
              </w:rPr>
              <w:t>费率</w:t>
            </w:r>
          </w:p>
        </w:tc>
        <w:tc>
          <w:tcPr>
            <w:tcW w:w="1843" w:type="dxa"/>
          </w:tcPr>
          <w:p w:rsidR="001B054F" w:rsidRDefault="001B054F" w:rsidP="001B054F">
            <w:pPr>
              <w:jc w:val="center"/>
            </w:pPr>
            <w:r>
              <w:rPr>
                <w:rFonts w:hint="eastAsia"/>
              </w:rPr>
              <w:t>备注</w:t>
            </w:r>
          </w:p>
        </w:tc>
      </w:tr>
      <w:tr w:rsidR="001B054F" w:rsidTr="001B054F">
        <w:tc>
          <w:tcPr>
            <w:tcW w:w="1985" w:type="dxa"/>
            <w:vMerge w:val="restart"/>
          </w:tcPr>
          <w:p w:rsidR="001B054F" w:rsidRDefault="001B054F" w:rsidP="001B054F">
            <w:pPr>
              <w:jc w:val="center"/>
            </w:pPr>
            <w:r>
              <w:rPr>
                <w:rFonts w:hint="eastAsia"/>
              </w:rPr>
              <w:t>认购费</w:t>
            </w:r>
          </w:p>
        </w:tc>
        <w:tc>
          <w:tcPr>
            <w:tcW w:w="2835" w:type="dxa"/>
          </w:tcPr>
          <w:p w:rsidR="001B054F" w:rsidRDefault="001B054F" w:rsidP="001B054F">
            <w:pPr>
              <w:jc w:val="left"/>
            </w:pPr>
            <w:r>
              <w:rPr>
                <w:rFonts w:hint="eastAsia"/>
              </w:rPr>
              <w:t>M&lt; 100</w:t>
            </w:r>
            <w:r>
              <w:rPr>
                <w:rFonts w:hint="eastAsia"/>
              </w:rPr>
              <w:t>万元</w:t>
            </w:r>
          </w:p>
        </w:tc>
        <w:tc>
          <w:tcPr>
            <w:tcW w:w="1843" w:type="dxa"/>
          </w:tcPr>
          <w:p w:rsidR="001B054F" w:rsidRDefault="001B054F" w:rsidP="001B054F">
            <w:pPr>
              <w:jc w:val="right"/>
            </w:pPr>
            <w:r>
              <w:t>0.4%</w:t>
            </w:r>
          </w:p>
        </w:tc>
        <w:tc>
          <w:tcPr>
            <w:tcW w:w="1843" w:type="dxa"/>
          </w:tcPr>
          <w:p w:rsidR="001B054F" w:rsidRDefault="001B054F" w:rsidP="001B054F">
            <w:pPr>
              <w:jc w:val="right"/>
            </w:pPr>
            <w:r>
              <w:t>-</w:t>
            </w:r>
          </w:p>
        </w:tc>
      </w:tr>
      <w:tr w:rsidR="001B054F" w:rsidTr="001B054F">
        <w:tc>
          <w:tcPr>
            <w:tcW w:w="1985" w:type="dxa"/>
            <w:vMerge/>
          </w:tcPr>
          <w:p w:rsidR="001B054F" w:rsidRDefault="001B054F" w:rsidP="001B054F">
            <w:pPr>
              <w:jc w:val="left"/>
            </w:pPr>
          </w:p>
        </w:tc>
        <w:tc>
          <w:tcPr>
            <w:tcW w:w="2835" w:type="dxa"/>
          </w:tcPr>
          <w:p w:rsidR="001B054F" w:rsidRDefault="001B054F" w:rsidP="001B054F">
            <w:pPr>
              <w:jc w:val="left"/>
            </w:pPr>
            <w:r>
              <w:rPr>
                <w:rFonts w:hint="eastAsia"/>
              </w:rPr>
              <w:t>100</w:t>
            </w:r>
            <w:r>
              <w:rPr>
                <w:rFonts w:hint="eastAsia"/>
              </w:rPr>
              <w:t>万元≤</w:t>
            </w:r>
            <w:r>
              <w:rPr>
                <w:rFonts w:hint="eastAsia"/>
              </w:rPr>
              <w:t>M&lt; 200</w:t>
            </w:r>
            <w:r>
              <w:rPr>
                <w:rFonts w:hint="eastAsia"/>
              </w:rPr>
              <w:t>万元</w:t>
            </w:r>
          </w:p>
        </w:tc>
        <w:tc>
          <w:tcPr>
            <w:tcW w:w="1843" w:type="dxa"/>
          </w:tcPr>
          <w:p w:rsidR="001B054F" w:rsidRDefault="001B054F" w:rsidP="001B054F">
            <w:pPr>
              <w:jc w:val="right"/>
            </w:pPr>
            <w:r>
              <w:t>0.3%</w:t>
            </w:r>
          </w:p>
        </w:tc>
        <w:tc>
          <w:tcPr>
            <w:tcW w:w="1843" w:type="dxa"/>
          </w:tcPr>
          <w:p w:rsidR="001B054F" w:rsidRDefault="001B054F" w:rsidP="001B054F">
            <w:pPr>
              <w:jc w:val="right"/>
            </w:pPr>
            <w:r>
              <w:t>-</w:t>
            </w:r>
          </w:p>
        </w:tc>
      </w:tr>
      <w:tr w:rsidR="001B054F" w:rsidTr="001B054F">
        <w:tc>
          <w:tcPr>
            <w:tcW w:w="1985" w:type="dxa"/>
            <w:vMerge/>
          </w:tcPr>
          <w:p w:rsidR="001B054F" w:rsidRDefault="001B054F" w:rsidP="001B054F">
            <w:pPr>
              <w:jc w:val="left"/>
            </w:pPr>
          </w:p>
        </w:tc>
        <w:tc>
          <w:tcPr>
            <w:tcW w:w="2835" w:type="dxa"/>
          </w:tcPr>
          <w:p w:rsidR="001B054F" w:rsidRDefault="001B054F" w:rsidP="001B054F">
            <w:pPr>
              <w:jc w:val="left"/>
            </w:pPr>
            <w:r>
              <w:rPr>
                <w:rFonts w:hint="eastAsia"/>
              </w:rPr>
              <w:t>200</w:t>
            </w:r>
            <w:r>
              <w:rPr>
                <w:rFonts w:hint="eastAsia"/>
              </w:rPr>
              <w:t>万元≤</w:t>
            </w:r>
            <w:r>
              <w:rPr>
                <w:rFonts w:hint="eastAsia"/>
              </w:rPr>
              <w:t>M&lt; 500</w:t>
            </w:r>
            <w:r>
              <w:rPr>
                <w:rFonts w:hint="eastAsia"/>
              </w:rPr>
              <w:t>万元</w:t>
            </w:r>
          </w:p>
        </w:tc>
        <w:tc>
          <w:tcPr>
            <w:tcW w:w="1843" w:type="dxa"/>
          </w:tcPr>
          <w:p w:rsidR="001B054F" w:rsidRDefault="001B054F" w:rsidP="001B054F">
            <w:pPr>
              <w:jc w:val="right"/>
            </w:pPr>
            <w:r>
              <w:t>0.1%</w:t>
            </w:r>
          </w:p>
        </w:tc>
        <w:tc>
          <w:tcPr>
            <w:tcW w:w="1843" w:type="dxa"/>
          </w:tcPr>
          <w:p w:rsidR="001B054F" w:rsidRDefault="001B054F" w:rsidP="001B054F">
            <w:pPr>
              <w:jc w:val="right"/>
            </w:pPr>
            <w:r>
              <w:t>-</w:t>
            </w:r>
          </w:p>
        </w:tc>
      </w:tr>
      <w:tr w:rsidR="001B054F" w:rsidTr="001B054F">
        <w:tc>
          <w:tcPr>
            <w:tcW w:w="1985" w:type="dxa"/>
            <w:vMerge/>
          </w:tcPr>
          <w:p w:rsidR="001B054F" w:rsidRDefault="001B054F" w:rsidP="001B054F">
            <w:pPr>
              <w:jc w:val="left"/>
            </w:pPr>
          </w:p>
        </w:tc>
        <w:tc>
          <w:tcPr>
            <w:tcW w:w="2835" w:type="dxa"/>
          </w:tcPr>
          <w:p w:rsidR="001B054F" w:rsidRDefault="001B054F" w:rsidP="001B054F">
            <w:pPr>
              <w:jc w:val="left"/>
            </w:pPr>
            <w:r>
              <w:rPr>
                <w:rFonts w:hint="eastAsia"/>
              </w:rPr>
              <w:t>500</w:t>
            </w:r>
            <w:r>
              <w:rPr>
                <w:rFonts w:hint="eastAsia"/>
              </w:rPr>
              <w:t>万元≤</w:t>
            </w:r>
            <w:r>
              <w:rPr>
                <w:rFonts w:hint="eastAsia"/>
              </w:rPr>
              <w:t>M</w:t>
            </w:r>
          </w:p>
        </w:tc>
        <w:tc>
          <w:tcPr>
            <w:tcW w:w="1843" w:type="dxa"/>
          </w:tcPr>
          <w:p w:rsidR="001B054F" w:rsidRDefault="001B054F" w:rsidP="001B054F">
            <w:pPr>
              <w:jc w:val="left"/>
            </w:pPr>
            <w:r>
              <w:rPr>
                <w:rFonts w:hint="eastAsia"/>
              </w:rPr>
              <w:t>每笔</w:t>
            </w:r>
            <w:r>
              <w:rPr>
                <w:rFonts w:hint="eastAsia"/>
              </w:rPr>
              <w:t>1,000</w:t>
            </w:r>
            <w:r>
              <w:rPr>
                <w:rFonts w:hint="eastAsia"/>
              </w:rPr>
              <w:t>元</w:t>
            </w:r>
          </w:p>
        </w:tc>
        <w:tc>
          <w:tcPr>
            <w:tcW w:w="1843" w:type="dxa"/>
          </w:tcPr>
          <w:p w:rsidR="001B054F" w:rsidRDefault="001B054F" w:rsidP="001B054F">
            <w:pPr>
              <w:jc w:val="right"/>
            </w:pPr>
            <w:r>
              <w:t>-</w:t>
            </w:r>
          </w:p>
        </w:tc>
      </w:tr>
      <w:tr w:rsidR="001B054F" w:rsidTr="001B054F">
        <w:tc>
          <w:tcPr>
            <w:tcW w:w="1985" w:type="dxa"/>
            <w:vMerge w:val="restart"/>
          </w:tcPr>
          <w:p w:rsidR="001B054F" w:rsidRDefault="001B054F" w:rsidP="001B054F">
            <w:pPr>
              <w:jc w:val="center"/>
            </w:pPr>
            <w:r>
              <w:rPr>
                <w:rFonts w:hint="eastAsia"/>
              </w:rPr>
              <w:t>申购费（前收费）</w:t>
            </w:r>
          </w:p>
        </w:tc>
        <w:tc>
          <w:tcPr>
            <w:tcW w:w="2835" w:type="dxa"/>
          </w:tcPr>
          <w:p w:rsidR="001B054F" w:rsidRDefault="001B054F" w:rsidP="001B054F">
            <w:pPr>
              <w:jc w:val="left"/>
            </w:pPr>
            <w:r>
              <w:rPr>
                <w:rFonts w:hint="eastAsia"/>
              </w:rPr>
              <w:t>M&lt; 100</w:t>
            </w:r>
            <w:r>
              <w:rPr>
                <w:rFonts w:hint="eastAsia"/>
              </w:rPr>
              <w:t>万元</w:t>
            </w:r>
          </w:p>
        </w:tc>
        <w:tc>
          <w:tcPr>
            <w:tcW w:w="1843" w:type="dxa"/>
          </w:tcPr>
          <w:p w:rsidR="001B054F" w:rsidRDefault="001B054F" w:rsidP="001B054F">
            <w:pPr>
              <w:jc w:val="right"/>
            </w:pPr>
            <w:r>
              <w:t>0.5%</w:t>
            </w:r>
          </w:p>
        </w:tc>
        <w:tc>
          <w:tcPr>
            <w:tcW w:w="1843" w:type="dxa"/>
          </w:tcPr>
          <w:p w:rsidR="001B054F" w:rsidRDefault="001B054F" w:rsidP="001B054F">
            <w:pPr>
              <w:jc w:val="right"/>
            </w:pPr>
            <w:r>
              <w:t>-</w:t>
            </w:r>
          </w:p>
        </w:tc>
      </w:tr>
      <w:tr w:rsidR="001B054F" w:rsidTr="001B054F">
        <w:tc>
          <w:tcPr>
            <w:tcW w:w="1985" w:type="dxa"/>
            <w:vMerge/>
          </w:tcPr>
          <w:p w:rsidR="001B054F" w:rsidRDefault="001B054F" w:rsidP="001B054F">
            <w:pPr>
              <w:jc w:val="left"/>
            </w:pPr>
          </w:p>
        </w:tc>
        <w:tc>
          <w:tcPr>
            <w:tcW w:w="2835" w:type="dxa"/>
          </w:tcPr>
          <w:p w:rsidR="001B054F" w:rsidRDefault="001B054F" w:rsidP="001B054F">
            <w:pPr>
              <w:jc w:val="left"/>
            </w:pPr>
            <w:r>
              <w:rPr>
                <w:rFonts w:hint="eastAsia"/>
              </w:rPr>
              <w:t>100</w:t>
            </w:r>
            <w:r>
              <w:rPr>
                <w:rFonts w:hint="eastAsia"/>
              </w:rPr>
              <w:t>万元≤</w:t>
            </w:r>
            <w:r>
              <w:rPr>
                <w:rFonts w:hint="eastAsia"/>
              </w:rPr>
              <w:t>M&lt; 200</w:t>
            </w:r>
            <w:r>
              <w:rPr>
                <w:rFonts w:hint="eastAsia"/>
              </w:rPr>
              <w:t>万元</w:t>
            </w:r>
          </w:p>
        </w:tc>
        <w:tc>
          <w:tcPr>
            <w:tcW w:w="1843" w:type="dxa"/>
          </w:tcPr>
          <w:p w:rsidR="001B054F" w:rsidRDefault="001B054F" w:rsidP="001B054F">
            <w:pPr>
              <w:jc w:val="right"/>
            </w:pPr>
            <w:r>
              <w:t>0.4%</w:t>
            </w:r>
          </w:p>
        </w:tc>
        <w:tc>
          <w:tcPr>
            <w:tcW w:w="1843" w:type="dxa"/>
          </w:tcPr>
          <w:p w:rsidR="001B054F" w:rsidRDefault="001B054F" w:rsidP="001B054F">
            <w:pPr>
              <w:jc w:val="right"/>
            </w:pPr>
            <w:r>
              <w:t>-</w:t>
            </w:r>
          </w:p>
        </w:tc>
      </w:tr>
      <w:tr w:rsidR="001B054F" w:rsidTr="001B054F">
        <w:tc>
          <w:tcPr>
            <w:tcW w:w="1985" w:type="dxa"/>
            <w:vMerge/>
          </w:tcPr>
          <w:p w:rsidR="001B054F" w:rsidRDefault="001B054F" w:rsidP="001B054F">
            <w:pPr>
              <w:jc w:val="left"/>
            </w:pPr>
          </w:p>
        </w:tc>
        <w:tc>
          <w:tcPr>
            <w:tcW w:w="2835" w:type="dxa"/>
          </w:tcPr>
          <w:p w:rsidR="001B054F" w:rsidRDefault="001B054F" w:rsidP="001B054F">
            <w:pPr>
              <w:jc w:val="left"/>
            </w:pPr>
            <w:r>
              <w:rPr>
                <w:rFonts w:hint="eastAsia"/>
              </w:rPr>
              <w:t>200</w:t>
            </w:r>
            <w:r>
              <w:rPr>
                <w:rFonts w:hint="eastAsia"/>
              </w:rPr>
              <w:t>万元≤</w:t>
            </w:r>
            <w:r>
              <w:rPr>
                <w:rFonts w:hint="eastAsia"/>
              </w:rPr>
              <w:t>M&lt; 500</w:t>
            </w:r>
            <w:r>
              <w:rPr>
                <w:rFonts w:hint="eastAsia"/>
              </w:rPr>
              <w:t>万元</w:t>
            </w:r>
          </w:p>
        </w:tc>
        <w:tc>
          <w:tcPr>
            <w:tcW w:w="1843" w:type="dxa"/>
          </w:tcPr>
          <w:p w:rsidR="001B054F" w:rsidRDefault="001B054F" w:rsidP="001B054F">
            <w:pPr>
              <w:jc w:val="right"/>
            </w:pPr>
            <w:r>
              <w:t>0.2%</w:t>
            </w:r>
          </w:p>
        </w:tc>
        <w:tc>
          <w:tcPr>
            <w:tcW w:w="1843" w:type="dxa"/>
          </w:tcPr>
          <w:p w:rsidR="001B054F" w:rsidRDefault="001B054F" w:rsidP="001B054F">
            <w:pPr>
              <w:jc w:val="right"/>
            </w:pPr>
            <w:r>
              <w:t>-</w:t>
            </w:r>
          </w:p>
        </w:tc>
      </w:tr>
      <w:tr w:rsidR="001B054F" w:rsidTr="001B054F">
        <w:tc>
          <w:tcPr>
            <w:tcW w:w="1985" w:type="dxa"/>
            <w:vMerge/>
          </w:tcPr>
          <w:p w:rsidR="001B054F" w:rsidRDefault="001B054F" w:rsidP="001B054F">
            <w:pPr>
              <w:jc w:val="left"/>
            </w:pPr>
          </w:p>
        </w:tc>
        <w:tc>
          <w:tcPr>
            <w:tcW w:w="2835" w:type="dxa"/>
          </w:tcPr>
          <w:p w:rsidR="001B054F" w:rsidRDefault="001B054F" w:rsidP="001B054F">
            <w:pPr>
              <w:jc w:val="left"/>
            </w:pPr>
            <w:r>
              <w:rPr>
                <w:rFonts w:hint="eastAsia"/>
              </w:rPr>
              <w:t>500</w:t>
            </w:r>
            <w:r>
              <w:rPr>
                <w:rFonts w:hint="eastAsia"/>
              </w:rPr>
              <w:t>万元≤</w:t>
            </w:r>
            <w:r>
              <w:rPr>
                <w:rFonts w:hint="eastAsia"/>
              </w:rPr>
              <w:t>M</w:t>
            </w:r>
          </w:p>
        </w:tc>
        <w:tc>
          <w:tcPr>
            <w:tcW w:w="1843" w:type="dxa"/>
          </w:tcPr>
          <w:p w:rsidR="001B054F" w:rsidRDefault="001B054F" w:rsidP="001B054F">
            <w:pPr>
              <w:jc w:val="left"/>
            </w:pPr>
            <w:r>
              <w:rPr>
                <w:rFonts w:hint="eastAsia"/>
              </w:rPr>
              <w:t>每笔</w:t>
            </w:r>
            <w:r>
              <w:rPr>
                <w:rFonts w:hint="eastAsia"/>
              </w:rPr>
              <w:t>1,000</w:t>
            </w:r>
            <w:r>
              <w:rPr>
                <w:rFonts w:hint="eastAsia"/>
              </w:rPr>
              <w:t>元</w:t>
            </w:r>
          </w:p>
        </w:tc>
        <w:tc>
          <w:tcPr>
            <w:tcW w:w="1843" w:type="dxa"/>
          </w:tcPr>
          <w:p w:rsidR="001B054F" w:rsidRDefault="001B054F" w:rsidP="001B054F">
            <w:pPr>
              <w:jc w:val="right"/>
            </w:pPr>
            <w:r>
              <w:t>-</w:t>
            </w:r>
          </w:p>
        </w:tc>
      </w:tr>
    </w:tbl>
    <w:p w:rsidR="001B054F" w:rsidRDefault="001B054F" w:rsidP="001B054F">
      <w:pPr>
        <w:pStyle w:val="-"/>
        <w:ind w:firstLine="420"/>
      </w:pPr>
      <w:r>
        <w:rPr>
          <w:rFonts w:hint="eastAsia"/>
        </w:rPr>
        <w:t>上表中认购费、申购费仅适用于投资者通过除直销机构以外的其他销售机构认购</w:t>
      </w:r>
      <w:r>
        <w:rPr>
          <w:rFonts w:hint="eastAsia"/>
        </w:rPr>
        <w:t>/</w:t>
      </w:r>
      <w:r>
        <w:rPr>
          <w:rFonts w:hint="eastAsia"/>
        </w:rPr>
        <w:t>申购本基金</w:t>
      </w:r>
      <w:r>
        <w:rPr>
          <w:rFonts w:hint="eastAsia"/>
        </w:rPr>
        <w:t>A</w:t>
      </w:r>
      <w:r>
        <w:rPr>
          <w:rFonts w:hint="eastAsia"/>
        </w:rPr>
        <w:t>类基金份额。</w:t>
      </w:r>
    </w:p>
    <w:p w:rsidR="001B054F" w:rsidRDefault="001B054F" w:rsidP="001B054F">
      <w:pPr>
        <w:pStyle w:val="-"/>
        <w:ind w:firstLine="420"/>
      </w:pPr>
      <w:r>
        <w:rPr>
          <w:rFonts w:hint="eastAsia"/>
        </w:rPr>
        <w:t>本基金</w:t>
      </w:r>
      <w:r>
        <w:rPr>
          <w:rFonts w:hint="eastAsia"/>
        </w:rPr>
        <w:t>A</w:t>
      </w:r>
      <w:r>
        <w:rPr>
          <w:rFonts w:hint="eastAsia"/>
        </w:rPr>
        <w:t>类基金份额的认购</w:t>
      </w:r>
      <w:r>
        <w:rPr>
          <w:rFonts w:hint="eastAsia"/>
        </w:rPr>
        <w:t>/</w:t>
      </w:r>
      <w:r>
        <w:rPr>
          <w:rFonts w:hint="eastAsia"/>
        </w:rPr>
        <w:t>申购费用由通过直销机构以外的其他销售机构认购</w:t>
      </w:r>
      <w:r>
        <w:rPr>
          <w:rFonts w:hint="eastAsia"/>
        </w:rPr>
        <w:t>/</w:t>
      </w:r>
      <w:r>
        <w:rPr>
          <w:rFonts w:hint="eastAsia"/>
        </w:rPr>
        <w:t>申购</w:t>
      </w:r>
      <w:r>
        <w:rPr>
          <w:rFonts w:hint="eastAsia"/>
        </w:rPr>
        <w:t>A</w:t>
      </w:r>
      <w:r>
        <w:rPr>
          <w:rFonts w:hint="eastAsia"/>
        </w:rPr>
        <w:t>类基金份额的投资人承担，不列入基金财产，主要用于基金的市场推广、销售、登记等各项费用。</w:t>
      </w:r>
    </w:p>
    <w:p w:rsidR="001B054F" w:rsidRDefault="001B054F" w:rsidP="001B054F">
      <w:pPr>
        <w:pStyle w:val="-"/>
        <w:ind w:firstLine="420"/>
      </w:pPr>
      <w:r>
        <w:rPr>
          <w:rFonts w:hint="eastAsia"/>
        </w:rPr>
        <w:t>本基金在锁定期届满后的下一个工作日起可以提出赎回申请，不收取赎回费。红利再投资份额的锁定期视作与原份额相同。</w:t>
      </w:r>
    </w:p>
    <w:p w:rsidR="001B054F" w:rsidRDefault="001B054F" w:rsidP="001B054F">
      <w:pPr>
        <w:pStyle w:val="-2"/>
        <w:spacing w:before="156" w:after="156"/>
      </w:pPr>
      <w:r>
        <w:rPr>
          <w:rFonts w:hint="eastAsia"/>
        </w:rPr>
        <w:t>（二）</w:t>
      </w:r>
      <w:r>
        <w:rPr>
          <w:rFonts w:hint="eastAsia"/>
        </w:rPr>
        <w:t xml:space="preserve"> </w:t>
      </w:r>
      <w:r>
        <w:rPr>
          <w:rFonts w:hint="eastAsia"/>
        </w:rPr>
        <w:t>基金运作相关费用</w:t>
      </w:r>
    </w:p>
    <w:p w:rsidR="001B054F" w:rsidRDefault="001B054F" w:rsidP="001B054F">
      <w:pPr>
        <w:pStyle w:val="-"/>
        <w:ind w:firstLine="420"/>
      </w:pPr>
      <w:r>
        <w:rPr>
          <w:rFonts w:hint="eastAsia"/>
        </w:rPr>
        <w:t>以下费用将从基金资产中扣除：</w:t>
      </w:r>
    </w:p>
    <w:tbl>
      <w:tblPr>
        <w:tblStyle w:val="-noheader"/>
        <w:tblW w:w="0" w:type="auto"/>
        <w:tblLayout w:type="fixed"/>
        <w:tblLook w:val="04A0" w:firstRow="1" w:lastRow="0" w:firstColumn="1" w:lastColumn="0" w:noHBand="0" w:noVBand="1"/>
      </w:tblPr>
      <w:tblGrid>
        <w:gridCol w:w="2768"/>
        <w:gridCol w:w="2769"/>
        <w:gridCol w:w="2769"/>
      </w:tblGrid>
      <w:tr w:rsidR="001B054F" w:rsidTr="001B054F">
        <w:tc>
          <w:tcPr>
            <w:tcW w:w="2768" w:type="dxa"/>
          </w:tcPr>
          <w:p w:rsidR="001B054F" w:rsidRDefault="001B054F" w:rsidP="001B054F">
            <w:pPr>
              <w:jc w:val="left"/>
            </w:pPr>
            <w:r>
              <w:rPr>
                <w:rFonts w:hint="eastAsia"/>
              </w:rPr>
              <w:t>费用类别</w:t>
            </w:r>
          </w:p>
        </w:tc>
        <w:tc>
          <w:tcPr>
            <w:tcW w:w="2769" w:type="dxa"/>
          </w:tcPr>
          <w:p w:rsidR="001B054F" w:rsidRDefault="001B054F" w:rsidP="001B054F">
            <w:pPr>
              <w:jc w:val="left"/>
            </w:pPr>
            <w:r>
              <w:rPr>
                <w:rFonts w:hint="eastAsia"/>
              </w:rPr>
              <w:t>收费方式</w:t>
            </w:r>
            <w:r>
              <w:rPr>
                <w:rFonts w:hint="eastAsia"/>
              </w:rPr>
              <w:t>/</w:t>
            </w:r>
            <w:r>
              <w:rPr>
                <w:rFonts w:hint="eastAsia"/>
              </w:rPr>
              <w:t>年费率或金额</w:t>
            </w:r>
          </w:p>
        </w:tc>
        <w:tc>
          <w:tcPr>
            <w:tcW w:w="2769" w:type="dxa"/>
          </w:tcPr>
          <w:p w:rsidR="001B054F" w:rsidRDefault="001B054F" w:rsidP="001B054F">
            <w:pPr>
              <w:jc w:val="left"/>
            </w:pPr>
            <w:r>
              <w:rPr>
                <w:rFonts w:hint="eastAsia"/>
              </w:rPr>
              <w:t>收取方</w:t>
            </w:r>
          </w:p>
        </w:tc>
      </w:tr>
      <w:tr w:rsidR="001B054F" w:rsidTr="001B054F">
        <w:tc>
          <w:tcPr>
            <w:tcW w:w="2768" w:type="dxa"/>
          </w:tcPr>
          <w:p w:rsidR="001B054F" w:rsidRDefault="001B054F" w:rsidP="001B054F">
            <w:pPr>
              <w:jc w:val="left"/>
            </w:pPr>
            <w:r>
              <w:rPr>
                <w:rFonts w:hint="eastAsia"/>
              </w:rPr>
              <w:t>管理费</w:t>
            </w:r>
          </w:p>
        </w:tc>
        <w:tc>
          <w:tcPr>
            <w:tcW w:w="2769" w:type="dxa"/>
          </w:tcPr>
          <w:p w:rsidR="001B054F" w:rsidRDefault="001B054F" w:rsidP="001B054F">
            <w:pPr>
              <w:jc w:val="left"/>
            </w:pPr>
            <w:r>
              <w:t>0.40%</w:t>
            </w:r>
          </w:p>
        </w:tc>
        <w:tc>
          <w:tcPr>
            <w:tcW w:w="2769" w:type="dxa"/>
          </w:tcPr>
          <w:p w:rsidR="001B054F" w:rsidRDefault="001B054F" w:rsidP="001B054F">
            <w:pPr>
              <w:jc w:val="left"/>
            </w:pPr>
            <w:r>
              <w:rPr>
                <w:rFonts w:hint="eastAsia"/>
              </w:rPr>
              <w:t>基金管理人和销售机构</w:t>
            </w:r>
          </w:p>
        </w:tc>
      </w:tr>
      <w:tr w:rsidR="001B054F" w:rsidTr="001B054F">
        <w:tc>
          <w:tcPr>
            <w:tcW w:w="2768" w:type="dxa"/>
          </w:tcPr>
          <w:p w:rsidR="001B054F" w:rsidRDefault="001B054F" w:rsidP="001B054F">
            <w:pPr>
              <w:jc w:val="left"/>
            </w:pPr>
            <w:r>
              <w:rPr>
                <w:rFonts w:hint="eastAsia"/>
              </w:rPr>
              <w:t>托管费</w:t>
            </w:r>
          </w:p>
        </w:tc>
        <w:tc>
          <w:tcPr>
            <w:tcW w:w="2769" w:type="dxa"/>
          </w:tcPr>
          <w:p w:rsidR="001B054F" w:rsidRDefault="001B054F" w:rsidP="001B054F">
            <w:pPr>
              <w:jc w:val="left"/>
            </w:pPr>
            <w:r>
              <w:t>0.10%</w:t>
            </w:r>
          </w:p>
        </w:tc>
        <w:tc>
          <w:tcPr>
            <w:tcW w:w="2769" w:type="dxa"/>
          </w:tcPr>
          <w:p w:rsidR="001B054F" w:rsidRDefault="001B054F" w:rsidP="001B054F">
            <w:pPr>
              <w:jc w:val="left"/>
            </w:pPr>
            <w:r>
              <w:rPr>
                <w:rFonts w:hint="eastAsia"/>
              </w:rPr>
              <w:t>基金托管人</w:t>
            </w:r>
          </w:p>
        </w:tc>
      </w:tr>
      <w:tr w:rsidR="001B054F" w:rsidTr="001B054F">
        <w:tc>
          <w:tcPr>
            <w:tcW w:w="2768" w:type="dxa"/>
          </w:tcPr>
          <w:p w:rsidR="001B054F" w:rsidRDefault="001B054F" w:rsidP="001B054F">
            <w:pPr>
              <w:jc w:val="left"/>
            </w:pPr>
            <w:r>
              <w:rPr>
                <w:rFonts w:hint="eastAsia"/>
              </w:rPr>
              <w:t>销售服务费</w:t>
            </w:r>
          </w:p>
        </w:tc>
        <w:tc>
          <w:tcPr>
            <w:tcW w:w="2769" w:type="dxa"/>
          </w:tcPr>
          <w:p w:rsidR="001B054F" w:rsidRDefault="001B054F" w:rsidP="001B054F">
            <w:pPr>
              <w:jc w:val="left"/>
            </w:pPr>
            <w:r>
              <w:t>-</w:t>
            </w:r>
          </w:p>
        </w:tc>
        <w:tc>
          <w:tcPr>
            <w:tcW w:w="2769" w:type="dxa"/>
          </w:tcPr>
          <w:p w:rsidR="001B054F" w:rsidRDefault="001B054F" w:rsidP="001B054F">
            <w:pPr>
              <w:jc w:val="left"/>
            </w:pPr>
            <w:r>
              <w:rPr>
                <w:rFonts w:hint="eastAsia"/>
              </w:rPr>
              <w:t>销售机构</w:t>
            </w:r>
          </w:p>
        </w:tc>
      </w:tr>
      <w:tr w:rsidR="001B054F" w:rsidTr="005B5EDC">
        <w:tc>
          <w:tcPr>
            <w:tcW w:w="2768" w:type="dxa"/>
          </w:tcPr>
          <w:p w:rsidR="001B054F" w:rsidRDefault="001B054F" w:rsidP="001B054F">
            <w:pPr>
              <w:jc w:val="left"/>
            </w:pPr>
            <w:r>
              <w:rPr>
                <w:rFonts w:hint="eastAsia"/>
              </w:rPr>
              <w:t>其他费用</w:t>
            </w:r>
          </w:p>
        </w:tc>
        <w:tc>
          <w:tcPr>
            <w:tcW w:w="5538" w:type="dxa"/>
            <w:gridSpan w:val="2"/>
          </w:tcPr>
          <w:p w:rsidR="001B054F" w:rsidRDefault="001B054F" w:rsidP="001B054F">
            <w:pPr>
              <w:jc w:val="left"/>
            </w:pPr>
            <w:r>
              <w:rPr>
                <w:rFonts w:hint="eastAsia"/>
              </w:rPr>
              <w:t>《基金合同》生效后与基金相关的信息披露费用；《基金合同》生效后与基金相关的会计师费、律师费、公证费、诉讼费和仲裁费；基金份额持有人大会费用；基金的证券交易费用；基金的银行汇划费用；基金相关账户的开户及维护费用；基金投资其他基金产生的相关费用，但法律法规禁止从基金财产中列支的除外；因投资港股通标的证券而产生的各项合理费用；按照国家有关规定和《基金合同》约定，可以在基金财产中列支的其他费用。</w:t>
            </w:r>
          </w:p>
        </w:tc>
      </w:tr>
    </w:tbl>
    <w:p w:rsidR="001B054F" w:rsidRDefault="001B054F" w:rsidP="001B054F">
      <w:pPr>
        <w:pStyle w:val="-7"/>
        <w:ind w:firstLine="420"/>
      </w:pPr>
      <w:r>
        <w:rPr>
          <w:rFonts w:hint="eastAsia"/>
        </w:rPr>
        <w:t>注：本基金交易证券、基金等产生的费用和税负，按实际发生额从基金资产扣除。上表中年费用金额为基金整体承担费用，非单个基金份额类别费用，且年金额为预估值，最终实际金额以基金定期报告披露为准。</w:t>
      </w:r>
    </w:p>
    <w:p w:rsidR="001B054F" w:rsidRDefault="001B054F" w:rsidP="001B054F">
      <w:pPr>
        <w:pStyle w:val="-"/>
        <w:ind w:firstLine="420"/>
      </w:pPr>
      <w:r>
        <w:rPr>
          <w:rFonts w:hint="eastAsia"/>
        </w:rPr>
        <w:t>本基金投资于本基金管理人所管理的公开募集证券投资基金的部分不收取管理费；本基金投资于本基金托管人所托管的公开募集证券投资基金的部分不收取托管费。</w:t>
      </w:r>
    </w:p>
    <w:p w:rsidR="001B054F" w:rsidRDefault="001B054F" w:rsidP="001B054F">
      <w:pPr>
        <w:pStyle w:val="-2"/>
        <w:spacing w:before="156" w:after="156"/>
      </w:pPr>
      <w:r>
        <w:rPr>
          <w:rFonts w:hint="eastAsia"/>
        </w:rPr>
        <w:lastRenderedPageBreak/>
        <w:t>（三）</w:t>
      </w:r>
      <w:r>
        <w:rPr>
          <w:rFonts w:hint="eastAsia"/>
        </w:rPr>
        <w:t xml:space="preserve"> </w:t>
      </w:r>
      <w:r>
        <w:rPr>
          <w:rFonts w:hint="eastAsia"/>
        </w:rPr>
        <w:t>基金运作综合费用测算</w:t>
      </w:r>
    </w:p>
    <w:p w:rsidR="001B054F" w:rsidRDefault="001B054F" w:rsidP="001B054F">
      <w:pPr>
        <w:pStyle w:val="-"/>
        <w:ind w:firstLine="420"/>
      </w:pPr>
      <w:r>
        <w:t>-</w:t>
      </w:r>
    </w:p>
    <w:p w:rsidR="001B054F" w:rsidRDefault="001B054F" w:rsidP="001B054F">
      <w:pPr>
        <w:pStyle w:val="-1"/>
        <w:spacing w:before="156" w:after="156"/>
      </w:pPr>
      <w:r>
        <w:rPr>
          <w:rFonts w:hint="eastAsia"/>
        </w:rPr>
        <w:t>四、风险揭示与重要提示</w:t>
      </w:r>
    </w:p>
    <w:p w:rsidR="001B054F" w:rsidRDefault="001B054F" w:rsidP="001B054F">
      <w:pPr>
        <w:pStyle w:val="-2"/>
        <w:spacing w:before="156" w:after="156"/>
      </w:pPr>
      <w:r>
        <w:rPr>
          <w:rFonts w:hint="eastAsia"/>
        </w:rPr>
        <w:t>（一）</w:t>
      </w:r>
      <w:r>
        <w:rPr>
          <w:rFonts w:hint="eastAsia"/>
        </w:rPr>
        <w:t xml:space="preserve"> </w:t>
      </w:r>
      <w:r>
        <w:rPr>
          <w:rFonts w:hint="eastAsia"/>
        </w:rPr>
        <w:t>风险揭示</w:t>
      </w:r>
    </w:p>
    <w:p w:rsidR="001B054F" w:rsidRDefault="001B054F" w:rsidP="001B054F">
      <w:pPr>
        <w:pStyle w:val="-b"/>
        <w:ind w:firstLine="422"/>
      </w:pPr>
      <w:r>
        <w:rPr>
          <w:rFonts w:hint="eastAsia"/>
        </w:rPr>
        <w:t>本基金不提供任何保证。投资者可能损失本金。</w:t>
      </w:r>
    </w:p>
    <w:p w:rsidR="001B054F" w:rsidRDefault="001B054F" w:rsidP="001B054F">
      <w:pPr>
        <w:pStyle w:val="-b"/>
        <w:ind w:firstLine="422"/>
      </w:pPr>
      <w:r>
        <w:rPr>
          <w:rFonts w:hint="eastAsia"/>
        </w:rPr>
        <w:t>投资有风险，投资者购买基金时应认真阅读本基金的《招募说明书》等销售文件。</w:t>
      </w:r>
    </w:p>
    <w:p w:rsidR="001B054F" w:rsidRDefault="001B054F" w:rsidP="001B054F">
      <w:pPr>
        <w:pStyle w:val="-"/>
        <w:ind w:firstLine="420"/>
      </w:pPr>
      <w:r>
        <w:rPr>
          <w:rFonts w:hint="eastAsia"/>
        </w:rPr>
        <w:t>一、本基金的特有风险</w:t>
      </w:r>
    </w:p>
    <w:p w:rsidR="001B054F" w:rsidRDefault="001B054F" w:rsidP="001B054F">
      <w:pPr>
        <w:pStyle w:val="-"/>
        <w:ind w:firstLine="420"/>
      </w:pPr>
      <w:r>
        <w:rPr>
          <w:rFonts w:hint="eastAsia"/>
        </w:rPr>
        <w:t>1</w:t>
      </w:r>
      <w:r>
        <w:rPr>
          <w:rFonts w:hint="eastAsia"/>
        </w:rPr>
        <w:t>、本基金是基金中基金，优选多种具有不同风险收益特征的基金，寻求基金资产的长期稳健增值。因此各类资产股票市场、债券市场、海外市场等的变化将影响到本基金基金业绩表现。本基金管理人将发挥专业研究优势，力争通过各类资产的合理配置，持续优化组合配置，以控制特定风险。</w:t>
      </w:r>
    </w:p>
    <w:p w:rsidR="001B054F" w:rsidRDefault="001B054F" w:rsidP="001B054F">
      <w:pPr>
        <w:pStyle w:val="-"/>
        <w:ind w:firstLine="420"/>
      </w:pPr>
      <w:r>
        <w:rPr>
          <w:rFonts w:hint="eastAsia"/>
        </w:rPr>
        <w:t>2</w:t>
      </w:r>
      <w:r>
        <w:rPr>
          <w:rFonts w:hint="eastAsia"/>
        </w:rPr>
        <w:t>、本基金的投资组合比例为：本基金投资于经中国证监会依法核准或注册的公开募集证券投资基金的基金份额的资产不低于本基金资产的</w:t>
      </w:r>
      <w:r>
        <w:rPr>
          <w:rFonts w:hint="eastAsia"/>
        </w:rPr>
        <w:t>80%</w:t>
      </w:r>
      <w:r>
        <w:rPr>
          <w:rFonts w:hint="eastAsia"/>
        </w:rPr>
        <w:t>。基金投资于股票（含存托凭证）、股票型基金、混合型基金（指基金合同中约定股票投资占基金资产的比例为</w:t>
      </w:r>
      <w:r>
        <w:rPr>
          <w:rFonts w:hint="eastAsia"/>
        </w:rPr>
        <w:t>60%</w:t>
      </w:r>
      <w:r>
        <w:rPr>
          <w:rFonts w:hint="eastAsia"/>
        </w:rPr>
        <w:t>以上或者最近四个季度披露的股票投资占基金资产的比例均在</w:t>
      </w:r>
      <w:r>
        <w:rPr>
          <w:rFonts w:hint="eastAsia"/>
        </w:rPr>
        <w:t>60%</w:t>
      </w:r>
      <w:r>
        <w:rPr>
          <w:rFonts w:hint="eastAsia"/>
        </w:rPr>
        <w:t>以上的混合型基金）合计占基金资产的比例为</w:t>
      </w:r>
      <w:r>
        <w:rPr>
          <w:rFonts w:hint="eastAsia"/>
        </w:rPr>
        <w:t>5%-30%</w:t>
      </w:r>
      <w:r>
        <w:rPr>
          <w:rFonts w:hint="eastAsia"/>
        </w:rPr>
        <w:t>（其中，本基金投资于境内的股票、股票型基金、混合型基金（指基金合同中约定股票投资占基金资产的比例为</w:t>
      </w:r>
      <w:r>
        <w:rPr>
          <w:rFonts w:hint="eastAsia"/>
        </w:rPr>
        <w:t>60%</w:t>
      </w:r>
      <w:r>
        <w:rPr>
          <w:rFonts w:hint="eastAsia"/>
        </w:rPr>
        <w:t>以上或者最近四个季度披露的股票投资占基金资产的比例均在</w:t>
      </w:r>
      <w:r>
        <w:rPr>
          <w:rFonts w:hint="eastAsia"/>
        </w:rPr>
        <w:t>60%</w:t>
      </w:r>
      <w:r>
        <w:rPr>
          <w:rFonts w:hint="eastAsia"/>
        </w:rPr>
        <w:t>以上的混合型基金）合计比例不低于基金资产的</w:t>
      </w:r>
      <w:r>
        <w:rPr>
          <w:rFonts w:hint="eastAsia"/>
        </w:rPr>
        <w:t>5%</w:t>
      </w:r>
      <w:r>
        <w:rPr>
          <w:rFonts w:hint="eastAsia"/>
        </w:rPr>
        <w:t>），本基金投资于港股通标的股票的比例不超过股票资产的</w:t>
      </w:r>
      <w:r>
        <w:rPr>
          <w:rFonts w:hint="eastAsia"/>
        </w:rPr>
        <w:t>50%</w:t>
      </w:r>
      <w:r>
        <w:rPr>
          <w:rFonts w:hint="eastAsia"/>
        </w:rPr>
        <w:t>。本基金投资于</w:t>
      </w:r>
      <w:r>
        <w:rPr>
          <w:rFonts w:hint="eastAsia"/>
        </w:rPr>
        <w:t>QDII</w:t>
      </w:r>
      <w:r>
        <w:rPr>
          <w:rFonts w:hint="eastAsia"/>
        </w:rPr>
        <w:t>基金和香港互认基金的比例不超过基金资产的</w:t>
      </w:r>
      <w:r>
        <w:rPr>
          <w:rFonts w:hint="eastAsia"/>
        </w:rPr>
        <w:t>20%</w:t>
      </w:r>
      <w:r>
        <w:rPr>
          <w:rFonts w:hint="eastAsia"/>
        </w:rPr>
        <w:t>。货币市场基金投资占基金资产比例不超过</w:t>
      </w:r>
      <w:r>
        <w:rPr>
          <w:rFonts w:hint="eastAsia"/>
        </w:rPr>
        <w:t>15%</w:t>
      </w:r>
      <w:r>
        <w:rPr>
          <w:rFonts w:hint="eastAsia"/>
        </w:rPr>
        <w:t>。投资于商品基金（含商品期货基金和黄金</w:t>
      </w:r>
      <w:r>
        <w:rPr>
          <w:rFonts w:hint="eastAsia"/>
        </w:rPr>
        <w:t>ETF</w:t>
      </w:r>
      <w:r>
        <w:rPr>
          <w:rFonts w:hint="eastAsia"/>
        </w:rPr>
        <w:t>）的比例不超过基金资产的</w:t>
      </w:r>
      <w:r>
        <w:rPr>
          <w:rFonts w:hint="eastAsia"/>
        </w:rPr>
        <w:t>10%</w:t>
      </w:r>
      <w:r>
        <w:rPr>
          <w:rFonts w:hint="eastAsia"/>
        </w:rPr>
        <w:t>。本基金保留的现金或到期日在一年以内的政府债券的比例合计不低于基金资产净值的</w:t>
      </w:r>
      <w:r>
        <w:rPr>
          <w:rFonts w:hint="eastAsia"/>
        </w:rPr>
        <w:t>5%</w:t>
      </w:r>
      <w:r>
        <w:rPr>
          <w:rFonts w:hint="eastAsia"/>
        </w:rPr>
        <w:t>，其中现金不包括结算备付金、存出保证金、应收申购款等。因此本基金所持有的基金的业绩表现、持有基金的基金管理人水平等因素将影响到本基金的基金业绩表现。</w:t>
      </w:r>
    </w:p>
    <w:p w:rsidR="001B054F" w:rsidRDefault="001B054F" w:rsidP="001B054F">
      <w:pPr>
        <w:pStyle w:val="-"/>
        <w:ind w:firstLine="420"/>
      </w:pPr>
      <w:r>
        <w:rPr>
          <w:rFonts w:hint="eastAsia"/>
        </w:rPr>
        <w:t>3</w:t>
      </w:r>
      <w:r>
        <w:rPr>
          <w:rFonts w:hint="eastAsia"/>
        </w:rPr>
        <w:t>、本基金为基金中基金，基金资产主要投资于其他公开募集证券投资基金的基金份额，除了持有的本基金管理人管理的其他基金部分不收取管理费，持有本基金托管人托管的其他基金部分不收取托管费，申购本基金管理人管理的其他基金不收取申购费、赎回费（不包括按照基金合同应归入基金资产的部分）、销售服务费等，基金中基金承担的相关基金费用可能比普通的开放式基金高。本基金的管理费、托管费及销售服务费具体可参见招募说明书第十三部分。</w:t>
      </w:r>
    </w:p>
    <w:p w:rsidR="001B054F" w:rsidRDefault="001B054F" w:rsidP="001B054F">
      <w:pPr>
        <w:pStyle w:val="-"/>
        <w:ind w:firstLine="420"/>
      </w:pPr>
      <w:r>
        <w:rPr>
          <w:rFonts w:hint="eastAsia"/>
        </w:rPr>
        <w:t>4</w:t>
      </w:r>
      <w:r>
        <w:rPr>
          <w:rFonts w:hint="eastAsia"/>
        </w:rPr>
        <w:t>、本基金对每份基金份额设定</w:t>
      </w:r>
      <w:r>
        <w:rPr>
          <w:rFonts w:hint="eastAsia"/>
        </w:rPr>
        <w:t>6</w:t>
      </w:r>
      <w:r>
        <w:rPr>
          <w:rFonts w:hint="eastAsia"/>
        </w:rPr>
        <w:t>个月锁定期，对投资者存在流动性风险。本基金主要运作方式设置为允许投资者日常申购，但对于每份基金份额设定</w:t>
      </w:r>
      <w:r>
        <w:rPr>
          <w:rFonts w:hint="eastAsia"/>
        </w:rPr>
        <w:t>6</w:t>
      </w:r>
      <w:r>
        <w:rPr>
          <w:rFonts w:hint="eastAsia"/>
        </w:rPr>
        <w:t>个月锁定期，锁定期内基金份额持有人不能就该基金份额提出赎回申请。即投资者要考虑在锁定期资金不能赎回的风险。</w:t>
      </w:r>
    </w:p>
    <w:p w:rsidR="001B054F" w:rsidRDefault="001B054F" w:rsidP="001B054F">
      <w:pPr>
        <w:pStyle w:val="-"/>
        <w:ind w:firstLine="420"/>
      </w:pPr>
      <w:r>
        <w:rPr>
          <w:rFonts w:hint="eastAsia"/>
        </w:rPr>
        <w:t>5</w:t>
      </w:r>
      <w:r>
        <w:rPr>
          <w:rFonts w:hint="eastAsia"/>
        </w:rPr>
        <w:t>、本基金为混合型基金中基金，理论上其预期收益和预期风险水平高于债券型基金中基金、债券型基金、货币市场基金和货币型基金中基金，低于股票型基金、股票型基金中基金。</w:t>
      </w:r>
    </w:p>
    <w:p w:rsidR="001B054F" w:rsidRDefault="001B054F" w:rsidP="001B054F">
      <w:pPr>
        <w:pStyle w:val="-"/>
        <w:ind w:firstLine="420"/>
      </w:pPr>
      <w:r>
        <w:rPr>
          <w:rFonts w:hint="eastAsia"/>
        </w:rPr>
        <w:t>6</w:t>
      </w:r>
      <w:r>
        <w:rPr>
          <w:rFonts w:hint="eastAsia"/>
        </w:rPr>
        <w:t>、本基金的主要投资范围为其他公开募集证券投资基金，所投资或持有的基金份额拒绝或暂停申购</w:t>
      </w:r>
      <w:r>
        <w:rPr>
          <w:rFonts w:hint="eastAsia"/>
        </w:rPr>
        <w:t>/</w:t>
      </w:r>
      <w:r>
        <w:rPr>
          <w:rFonts w:hint="eastAsia"/>
        </w:rPr>
        <w:t>赎回、暂停上市或二级市场交易停牌、延期办理赎回、延期支付赎回款项，基金管理人无法找到其他合适的可替代的基金品种，本基金可能暂停或拒绝申购、暂停或延缓赎回业务。</w:t>
      </w:r>
    </w:p>
    <w:p w:rsidR="001B054F" w:rsidRDefault="001B054F" w:rsidP="001B054F">
      <w:pPr>
        <w:pStyle w:val="-"/>
        <w:ind w:firstLine="420"/>
      </w:pPr>
      <w:r>
        <w:rPr>
          <w:rFonts w:hint="eastAsia"/>
        </w:rPr>
        <w:lastRenderedPageBreak/>
        <w:t>7</w:t>
      </w:r>
      <w:r>
        <w:rPr>
          <w:rFonts w:hint="eastAsia"/>
        </w:rPr>
        <w:t>、本基金投资流通受限基金时，对于封闭式基金而言，当要卖出基金的时候，可能会面临在一定的价格下无法卖出而要降价卖出的风险；对于流通受限基金而言，由于流通受限基金的非流通特性，在本基金参与投资后将在一定的期限内无法流通，在面临基金大规模赎回的情况下有可能因为无法变现造成流动性风险。</w:t>
      </w:r>
    </w:p>
    <w:p w:rsidR="001B054F" w:rsidRDefault="001B054F" w:rsidP="001B054F">
      <w:pPr>
        <w:pStyle w:val="-"/>
        <w:ind w:firstLine="420"/>
      </w:pPr>
      <w:r>
        <w:rPr>
          <w:rFonts w:hint="eastAsia"/>
        </w:rPr>
        <w:t>另外，巨额赎回风险是开放式基金所特有的一种风险，即当单个开放日基金的净赎回申请超过前一工作日的基金总份额的百分之十时，本基金将可能无法及时赎回持有的全部基金份额，影响本基金的资金安排。</w:t>
      </w:r>
    </w:p>
    <w:p w:rsidR="001B054F" w:rsidRDefault="001B054F" w:rsidP="001B054F">
      <w:pPr>
        <w:pStyle w:val="-"/>
        <w:ind w:firstLine="420"/>
      </w:pPr>
      <w:r>
        <w:rPr>
          <w:rFonts w:hint="eastAsia"/>
        </w:rPr>
        <w:t>8</w:t>
      </w:r>
      <w:r>
        <w:rPr>
          <w:rFonts w:hint="eastAsia"/>
        </w:rPr>
        <w:t>、本基金投资场内上市开放式基金时，由于投资标的的价格会有波动，所投资基金的净值也会因此发生波动。封闭式基金的价格与基金的净值之间是相关的，一般来说基本是同方向变动的，如果基金净值严重下跌，一般封闭式基金的价格也会下跌。而开放式基金的价格就是基金份额净值，开放式基金的申购和赎回价格会随着净值的下跌而下跌。所以本基金会面临基金价格变动的风险。如果基金价格下降到买入成本之下，在不考虑分红因素影响的情况下，本基金会面临亏损风险。</w:t>
      </w:r>
    </w:p>
    <w:p w:rsidR="001B054F" w:rsidRDefault="001B054F" w:rsidP="001B054F">
      <w:pPr>
        <w:pStyle w:val="-"/>
        <w:ind w:firstLine="420"/>
      </w:pPr>
      <w:r>
        <w:rPr>
          <w:rFonts w:hint="eastAsia"/>
        </w:rPr>
        <w:t>9</w:t>
      </w:r>
      <w:r>
        <w:rPr>
          <w:rFonts w:hint="eastAsia"/>
        </w:rPr>
        <w:t>、本基金投资资产支持证券，主要存在以下风险：</w:t>
      </w:r>
    </w:p>
    <w:p w:rsidR="001B054F" w:rsidRDefault="001B054F" w:rsidP="001B054F">
      <w:pPr>
        <w:pStyle w:val="-"/>
        <w:ind w:firstLine="420"/>
      </w:pPr>
      <w:r>
        <w:rPr>
          <w:rFonts w:hint="eastAsia"/>
        </w:rPr>
        <w:t>（</w:t>
      </w:r>
      <w:r>
        <w:rPr>
          <w:rFonts w:hint="eastAsia"/>
        </w:rPr>
        <w:t>1</w:t>
      </w:r>
      <w:r>
        <w:rPr>
          <w:rFonts w:hint="eastAsia"/>
        </w:rPr>
        <w:t>）信用风险：信用风险是指资产支持证券参与主体对它们所承诺的各种合约的违约所造成的可能损失。从简单意义上讲，信用风险表现为证券化资产所产生的现金流不能支持本金和利息的及时支付而给投资者带来损失。</w:t>
      </w:r>
    </w:p>
    <w:p w:rsidR="001B054F" w:rsidRDefault="001B054F" w:rsidP="001B054F">
      <w:pPr>
        <w:pStyle w:val="-"/>
        <w:ind w:firstLine="420"/>
      </w:pPr>
      <w:r>
        <w:rPr>
          <w:rFonts w:hint="eastAsia"/>
        </w:rPr>
        <w:t>（</w:t>
      </w:r>
      <w:r>
        <w:rPr>
          <w:rFonts w:hint="eastAsia"/>
        </w:rPr>
        <w:t>2</w:t>
      </w:r>
      <w:r>
        <w:rPr>
          <w:rFonts w:hint="eastAsia"/>
        </w:rPr>
        <w:t>）利率风险：是指资产支持证券作为固定收益证券的一种，也具有利率风险，即资产支持证券的价格受利率波动发生变动而造成的风险。</w:t>
      </w:r>
    </w:p>
    <w:p w:rsidR="001B054F" w:rsidRDefault="001B054F" w:rsidP="001B054F">
      <w:pPr>
        <w:pStyle w:val="-"/>
        <w:ind w:firstLine="420"/>
      </w:pPr>
      <w:r>
        <w:rPr>
          <w:rFonts w:hint="eastAsia"/>
        </w:rPr>
        <w:t>（</w:t>
      </w:r>
      <w:r>
        <w:rPr>
          <w:rFonts w:hint="eastAsia"/>
        </w:rPr>
        <w:t>3</w:t>
      </w:r>
      <w:r>
        <w:rPr>
          <w:rFonts w:hint="eastAsia"/>
        </w:rPr>
        <w:t>）流动性风险：是指资产支持证券不能迅速、低成本地变现的风险。</w:t>
      </w:r>
    </w:p>
    <w:p w:rsidR="001B054F" w:rsidRDefault="001B054F" w:rsidP="001B054F">
      <w:pPr>
        <w:pStyle w:val="-"/>
        <w:ind w:firstLine="420"/>
      </w:pPr>
      <w:r>
        <w:rPr>
          <w:rFonts w:hint="eastAsia"/>
        </w:rPr>
        <w:t>（</w:t>
      </w:r>
      <w:r>
        <w:rPr>
          <w:rFonts w:hint="eastAsia"/>
        </w:rPr>
        <w:t>4</w:t>
      </w:r>
      <w:r>
        <w:rPr>
          <w:rFonts w:hint="eastAsia"/>
        </w:rPr>
        <w:t>）提前偿付风险：是指若合同约定债务人有权在产品到期前偿还，则存在由于提前偿付而使投资者遭受损失的可能性。</w:t>
      </w:r>
    </w:p>
    <w:p w:rsidR="001B054F" w:rsidRDefault="001B054F" w:rsidP="001B054F">
      <w:pPr>
        <w:pStyle w:val="-"/>
        <w:ind w:firstLine="420"/>
      </w:pPr>
      <w:r>
        <w:rPr>
          <w:rFonts w:hint="eastAsia"/>
        </w:rPr>
        <w:t>（</w:t>
      </w:r>
      <w:r>
        <w:rPr>
          <w:rFonts w:hint="eastAsia"/>
        </w:rPr>
        <w:t>5</w:t>
      </w:r>
      <w:r>
        <w:rPr>
          <w:rFonts w:hint="eastAsia"/>
        </w:rPr>
        <w:t>）操作风险：是指相关各方在业务操作过程中，因操作失误或违反操作规程而引起的风险。</w:t>
      </w:r>
    </w:p>
    <w:p w:rsidR="001B054F" w:rsidRDefault="001B054F" w:rsidP="001B054F">
      <w:pPr>
        <w:pStyle w:val="-"/>
        <w:ind w:firstLine="420"/>
      </w:pPr>
      <w:r>
        <w:rPr>
          <w:rFonts w:hint="eastAsia"/>
        </w:rPr>
        <w:t>（</w:t>
      </w:r>
      <w:r>
        <w:rPr>
          <w:rFonts w:hint="eastAsia"/>
        </w:rPr>
        <w:t>6</w:t>
      </w:r>
      <w:r>
        <w:rPr>
          <w:rFonts w:hint="eastAsia"/>
        </w:rPr>
        <w:t>）法律风险：是指因资产支持证券交易结构较为复杂、参与方较多、交易文件较多，而存在的法律风险和履约风险。</w:t>
      </w:r>
    </w:p>
    <w:p w:rsidR="001B054F" w:rsidRDefault="001B054F" w:rsidP="001B054F">
      <w:pPr>
        <w:pStyle w:val="-"/>
        <w:ind w:firstLine="420"/>
      </w:pPr>
      <w:r>
        <w:rPr>
          <w:rFonts w:hint="eastAsia"/>
        </w:rPr>
        <w:t>10</w:t>
      </w:r>
      <w:r>
        <w:rPr>
          <w:rFonts w:hint="eastAsia"/>
        </w:rPr>
        <w:t>、港股通标的证券投资风险</w:t>
      </w:r>
    </w:p>
    <w:p w:rsidR="001B054F" w:rsidRDefault="001B054F" w:rsidP="001B054F">
      <w:pPr>
        <w:pStyle w:val="-"/>
        <w:ind w:firstLine="420"/>
      </w:pPr>
      <w:r>
        <w:rPr>
          <w:rFonts w:hint="eastAsia"/>
        </w:rPr>
        <w:t>本基金可根据投资策略需要或不同配置地市场环境的变化，选择将部分基金资产投资于港股通标的证券或选择不将基金资产投资于港股通标的证券，基金资产并非必然投资港股通标的证券。</w:t>
      </w:r>
    </w:p>
    <w:p w:rsidR="001B054F" w:rsidRDefault="001B054F" w:rsidP="001B054F">
      <w:pPr>
        <w:pStyle w:val="-"/>
        <w:ind w:firstLine="420"/>
      </w:pPr>
      <w:r>
        <w:rPr>
          <w:rFonts w:hint="eastAsia"/>
        </w:rPr>
        <w:t>本基金投资港股通标的证券的比例较小，但仍将承担投资港股通标的证券的相关风险，包括但不限于港股通机制下因投资环境、投资标的、市场制度以及交易规则等差异带来的特有风险，如港股市场股价波动较大的风险（港股市场实行</w:t>
      </w:r>
      <w:r>
        <w:rPr>
          <w:rFonts w:hint="eastAsia"/>
        </w:rPr>
        <w:t>T+0</w:t>
      </w:r>
      <w:r>
        <w:rPr>
          <w:rFonts w:hint="eastAsia"/>
        </w:rPr>
        <w:t>回转交易，且对个股不设涨跌幅限制，港股股价可能表现出比</w:t>
      </w:r>
      <w:r>
        <w:rPr>
          <w:rFonts w:hint="eastAsia"/>
        </w:rPr>
        <w:t>A</w:t>
      </w:r>
      <w:r>
        <w:rPr>
          <w:rFonts w:hint="eastAsia"/>
        </w:rPr>
        <w:t>股更为剧烈的股价波动）、汇率风险（汇率波动可能对基金的投资收益造成损失）、港股通机制下交易日不连贯可能带来的风险（在内地开市香港休市的情形下，港股通不能正常交易，港股不能及时卖出，可能带来一定的流动性风险）、港股通</w:t>
      </w:r>
      <w:r>
        <w:rPr>
          <w:rFonts w:hint="eastAsia"/>
        </w:rPr>
        <w:t>ETF</w:t>
      </w:r>
      <w:r>
        <w:rPr>
          <w:rFonts w:hint="eastAsia"/>
        </w:rPr>
        <w:t>价格较大波动的风险（因跟踪标的指数成份证券大幅波动、流动性不佳、受有关场外结构化产品影响、交易异常情形等原因而引起价格较大波动）等。</w:t>
      </w:r>
    </w:p>
    <w:p w:rsidR="001B054F" w:rsidRDefault="001B054F" w:rsidP="001B054F">
      <w:pPr>
        <w:pStyle w:val="-"/>
        <w:ind w:firstLine="420"/>
      </w:pPr>
      <w:r>
        <w:rPr>
          <w:rFonts w:hint="eastAsia"/>
        </w:rPr>
        <w:t>11</w:t>
      </w:r>
      <w:r>
        <w:rPr>
          <w:rFonts w:hint="eastAsia"/>
        </w:rPr>
        <w:t>、投资于存托凭证的风险</w:t>
      </w:r>
    </w:p>
    <w:p w:rsidR="001B054F" w:rsidRDefault="001B054F" w:rsidP="001B054F">
      <w:pPr>
        <w:pStyle w:val="-"/>
        <w:ind w:firstLine="420"/>
      </w:pPr>
      <w:r>
        <w:rPr>
          <w:rFonts w:hint="eastAsia"/>
        </w:rPr>
        <w:t>本基金的投资范围包括国内依法发行上市的存托凭证（“中国存托凭证”），除与其他仅投资于沪深市场股票的基金所面临的共同风险外，本基金还将面临中国存托凭证价格大幅波动甚至出现较大亏损的风险，以及与中国存托凭证发行机制相关的风险，包括存托凭证持有人与境外基础证券发行人的股东在法律地位、享有权利等方面存在差异可能引发的风险；存托凭证持有人在分红派息、行使表决权等方面的特殊安排可能引发的风险；存托</w:t>
      </w:r>
      <w:r>
        <w:rPr>
          <w:rFonts w:hint="eastAsia"/>
        </w:rPr>
        <w:lastRenderedPageBreak/>
        <w:t>协议自动约束存托凭证持有人的风险；因多地上市造成存托凭证价格差异以及波动的风险；存托凭证持有人权益被摊薄的风险；存托凭证退市的风险；已在境外上市的基础证券发行人，在持续信息披露监管方面与境内可能存在差异的风险；境内外法律制度、监管环境差异可能导致的其他风险。</w:t>
      </w:r>
    </w:p>
    <w:p w:rsidR="001B054F" w:rsidRDefault="001B054F" w:rsidP="001B054F">
      <w:pPr>
        <w:pStyle w:val="-"/>
        <w:ind w:firstLine="420"/>
      </w:pPr>
      <w:r>
        <w:rPr>
          <w:rFonts w:hint="eastAsia"/>
        </w:rPr>
        <w:t>12</w:t>
      </w:r>
      <w:r>
        <w:rPr>
          <w:rFonts w:hint="eastAsia"/>
        </w:rPr>
        <w:t>、本基金可投资公募</w:t>
      </w:r>
      <w:r>
        <w:rPr>
          <w:rFonts w:hint="eastAsia"/>
        </w:rPr>
        <w:t>REITs</w:t>
      </w:r>
      <w:r>
        <w:rPr>
          <w:rFonts w:hint="eastAsia"/>
        </w:rPr>
        <w:t>，将面临投资公募</w:t>
      </w:r>
      <w:r>
        <w:rPr>
          <w:rFonts w:hint="eastAsia"/>
        </w:rPr>
        <w:t>REITs</w:t>
      </w:r>
      <w:r>
        <w:rPr>
          <w:rFonts w:hint="eastAsia"/>
        </w:rPr>
        <w:t>的特有风险，包括但不限于：（</w:t>
      </w:r>
      <w:r>
        <w:rPr>
          <w:rFonts w:hint="eastAsia"/>
        </w:rPr>
        <w:t>1</w:t>
      </w:r>
      <w:r>
        <w:rPr>
          <w:rFonts w:hint="eastAsia"/>
        </w:rPr>
        <w:t>）价格波动风险；（</w:t>
      </w:r>
      <w:r>
        <w:rPr>
          <w:rFonts w:hint="eastAsia"/>
        </w:rPr>
        <w:t>2</w:t>
      </w:r>
      <w:r>
        <w:rPr>
          <w:rFonts w:hint="eastAsia"/>
        </w:rPr>
        <w:t>）不动产项目运营风险；（</w:t>
      </w:r>
      <w:r>
        <w:rPr>
          <w:rFonts w:hint="eastAsia"/>
        </w:rPr>
        <w:t>3</w:t>
      </w:r>
      <w:r>
        <w:rPr>
          <w:rFonts w:hint="eastAsia"/>
        </w:rPr>
        <w:t>）基金份额交易价格折溢价风险；（</w:t>
      </w:r>
      <w:r>
        <w:rPr>
          <w:rFonts w:hint="eastAsia"/>
        </w:rPr>
        <w:t>4</w:t>
      </w:r>
      <w:r>
        <w:rPr>
          <w:rFonts w:hint="eastAsia"/>
        </w:rPr>
        <w:t>）流动性风险；（</w:t>
      </w:r>
      <w:r>
        <w:rPr>
          <w:rFonts w:hint="eastAsia"/>
        </w:rPr>
        <w:t>5</w:t>
      </w:r>
      <w:r>
        <w:rPr>
          <w:rFonts w:hint="eastAsia"/>
        </w:rPr>
        <w:t>）政策调整风险；（</w:t>
      </w:r>
      <w:r>
        <w:rPr>
          <w:rFonts w:hint="eastAsia"/>
        </w:rPr>
        <w:t>6</w:t>
      </w:r>
      <w:r>
        <w:rPr>
          <w:rFonts w:hint="eastAsia"/>
        </w:rPr>
        <w:t>）终止上市风险。</w:t>
      </w:r>
    </w:p>
    <w:p w:rsidR="001B054F" w:rsidRDefault="001B054F" w:rsidP="001B054F">
      <w:pPr>
        <w:pStyle w:val="-"/>
        <w:ind w:firstLine="420"/>
      </w:pPr>
      <w:r>
        <w:rPr>
          <w:rFonts w:hint="eastAsia"/>
        </w:rPr>
        <w:t>13</w:t>
      </w:r>
      <w:r>
        <w:rPr>
          <w:rFonts w:hint="eastAsia"/>
        </w:rPr>
        <w:t>、本基金投资范围包括</w:t>
      </w:r>
      <w:r>
        <w:rPr>
          <w:rFonts w:hint="eastAsia"/>
        </w:rPr>
        <w:t xml:space="preserve"> QDII </w:t>
      </w:r>
      <w:r>
        <w:rPr>
          <w:rFonts w:hint="eastAsia"/>
        </w:rPr>
        <w:t>基金、香港互认基金，因此也将面临境外市场风险、汇率风险、政府管制风险、法律风险、税务风险及政治风险等。</w:t>
      </w:r>
    </w:p>
    <w:p w:rsidR="001B054F" w:rsidRDefault="001B054F" w:rsidP="001B054F">
      <w:pPr>
        <w:pStyle w:val="-"/>
        <w:ind w:firstLine="420"/>
      </w:pPr>
      <w:r>
        <w:rPr>
          <w:rFonts w:hint="eastAsia"/>
        </w:rPr>
        <w:t>14</w:t>
      </w:r>
      <w:r>
        <w:rPr>
          <w:rFonts w:hint="eastAsia"/>
        </w:rPr>
        <w:t>、本基金可投资于商品基金（包括商品期货基金和黄金</w:t>
      </w:r>
      <w:r>
        <w:rPr>
          <w:rFonts w:hint="eastAsia"/>
        </w:rPr>
        <w:t xml:space="preserve"> ETF</w:t>
      </w:r>
      <w:r>
        <w:rPr>
          <w:rFonts w:hint="eastAsia"/>
        </w:rPr>
        <w:t>），由此可能间接面临商品价格波动风险、商品期货市场波动风险等投资风险，从而使基金收益水平发生变化，产生风险。</w:t>
      </w:r>
    </w:p>
    <w:p w:rsidR="001B054F" w:rsidRDefault="001B054F" w:rsidP="001B054F">
      <w:pPr>
        <w:pStyle w:val="-"/>
        <w:ind w:firstLine="420"/>
      </w:pPr>
      <w:r>
        <w:rPr>
          <w:rFonts w:hint="eastAsia"/>
        </w:rPr>
        <w:t>15</w:t>
      </w:r>
      <w:r>
        <w:rPr>
          <w:rFonts w:hint="eastAsia"/>
        </w:rPr>
        <w:t>、基金合同终止的风险</w:t>
      </w:r>
    </w:p>
    <w:p w:rsidR="001B054F" w:rsidRDefault="001B054F" w:rsidP="001B054F">
      <w:pPr>
        <w:pStyle w:val="-"/>
        <w:ind w:firstLine="420"/>
      </w:pPr>
      <w:r>
        <w:rPr>
          <w:rFonts w:hint="eastAsia"/>
        </w:rPr>
        <w:t>《基金合同》生效后，连续</w:t>
      </w:r>
      <w:r>
        <w:rPr>
          <w:rFonts w:hint="eastAsia"/>
        </w:rPr>
        <w:t>50</w:t>
      </w:r>
      <w:r>
        <w:rPr>
          <w:rFonts w:hint="eastAsia"/>
        </w:rPr>
        <w:t>个工作日出现基金份额持有人数量不满</w:t>
      </w:r>
      <w:r>
        <w:rPr>
          <w:rFonts w:hint="eastAsia"/>
        </w:rPr>
        <w:t>200</w:t>
      </w:r>
      <w:r>
        <w:rPr>
          <w:rFonts w:hint="eastAsia"/>
        </w:rPr>
        <w:t>人或者基金</w:t>
      </w:r>
      <w:r>
        <w:rPr>
          <w:rFonts w:hint="eastAsia"/>
        </w:rPr>
        <w:t xml:space="preserve"> </w:t>
      </w:r>
      <w:r>
        <w:rPr>
          <w:rFonts w:hint="eastAsia"/>
        </w:rPr>
        <w:t>资产净值低于</w:t>
      </w:r>
      <w:r>
        <w:rPr>
          <w:rFonts w:hint="eastAsia"/>
        </w:rPr>
        <w:t>5000</w:t>
      </w:r>
      <w:r>
        <w:rPr>
          <w:rFonts w:hint="eastAsia"/>
        </w:rPr>
        <w:t>万元情形的，基金合同应当终止，无需召开基金份额持有人大会。投资者可能面临基金合同提前终止的风险。</w:t>
      </w:r>
    </w:p>
    <w:p w:rsidR="001B054F" w:rsidRDefault="001B054F" w:rsidP="001B054F">
      <w:pPr>
        <w:pStyle w:val="-"/>
        <w:ind w:firstLine="420"/>
      </w:pPr>
    </w:p>
    <w:p w:rsidR="001B054F" w:rsidRDefault="001B054F" w:rsidP="001B054F">
      <w:pPr>
        <w:pStyle w:val="-"/>
        <w:ind w:firstLine="420"/>
      </w:pPr>
      <w:r>
        <w:rPr>
          <w:rFonts w:hint="eastAsia"/>
        </w:rPr>
        <w:t>二、市场风险</w:t>
      </w:r>
    </w:p>
    <w:p w:rsidR="001B054F" w:rsidRDefault="001B054F" w:rsidP="001B054F">
      <w:pPr>
        <w:pStyle w:val="-"/>
        <w:ind w:firstLine="420"/>
      </w:pPr>
      <w:r>
        <w:rPr>
          <w:rFonts w:hint="eastAsia"/>
        </w:rPr>
        <w:t>证券市场价格受到经济因素、政治因素、投资心理和交易制度等各种因素的影响，导致基金收益水平变化，产生风险，主要包括：</w:t>
      </w:r>
      <w:r>
        <w:rPr>
          <w:rFonts w:hint="eastAsia"/>
        </w:rPr>
        <w:t>1</w:t>
      </w:r>
      <w:r>
        <w:rPr>
          <w:rFonts w:hint="eastAsia"/>
        </w:rPr>
        <w:t>、政策风险。</w:t>
      </w:r>
      <w:r>
        <w:rPr>
          <w:rFonts w:hint="eastAsia"/>
        </w:rPr>
        <w:t>2</w:t>
      </w:r>
      <w:r>
        <w:rPr>
          <w:rFonts w:hint="eastAsia"/>
        </w:rPr>
        <w:t>、经济周期风险。</w:t>
      </w:r>
      <w:r>
        <w:rPr>
          <w:rFonts w:hint="eastAsia"/>
        </w:rPr>
        <w:t>3</w:t>
      </w:r>
      <w:r>
        <w:rPr>
          <w:rFonts w:hint="eastAsia"/>
        </w:rPr>
        <w:t>、利率风险。</w:t>
      </w:r>
      <w:r>
        <w:rPr>
          <w:rFonts w:hint="eastAsia"/>
        </w:rPr>
        <w:t>4</w:t>
      </w:r>
      <w:r>
        <w:rPr>
          <w:rFonts w:hint="eastAsia"/>
        </w:rPr>
        <w:t>、上市公司经营风险。</w:t>
      </w:r>
      <w:r>
        <w:rPr>
          <w:rFonts w:hint="eastAsia"/>
        </w:rPr>
        <w:t>5</w:t>
      </w:r>
      <w:r>
        <w:rPr>
          <w:rFonts w:hint="eastAsia"/>
        </w:rPr>
        <w:t>、购买力风险。</w:t>
      </w:r>
      <w:r>
        <w:rPr>
          <w:rFonts w:hint="eastAsia"/>
        </w:rPr>
        <w:t>6</w:t>
      </w:r>
      <w:r>
        <w:rPr>
          <w:rFonts w:hint="eastAsia"/>
        </w:rPr>
        <w:t>、信用风险。</w:t>
      </w:r>
      <w:r>
        <w:rPr>
          <w:rFonts w:hint="eastAsia"/>
        </w:rPr>
        <w:t>7</w:t>
      </w:r>
      <w:r>
        <w:rPr>
          <w:rFonts w:hint="eastAsia"/>
        </w:rPr>
        <w:t>、债券收益率曲线变动风险。</w:t>
      </w:r>
      <w:r>
        <w:rPr>
          <w:rFonts w:hint="eastAsia"/>
        </w:rPr>
        <w:t>8</w:t>
      </w:r>
      <w:r>
        <w:rPr>
          <w:rFonts w:hint="eastAsia"/>
        </w:rPr>
        <w:t>、再投资风险。</w:t>
      </w:r>
    </w:p>
    <w:p w:rsidR="001B054F" w:rsidRDefault="001B054F" w:rsidP="001B054F">
      <w:pPr>
        <w:pStyle w:val="-"/>
        <w:ind w:firstLine="420"/>
      </w:pPr>
    </w:p>
    <w:p w:rsidR="001B054F" w:rsidRDefault="001B054F" w:rsidP="001B054F">
      <w:pPr>
        <w:pStyle w:val="-"/>
        <w:ind w:firstLine="420"/>
      </w:pPr>
      <w:r>
        <w:rPr>
          <w:rFonts w:hint="eastAsia"/>
        </w:rPr>
        <w:t>三、管理风险</w:t>
      </w:r>
    </w:p>
    <w:p w:rsidR="001B054F" w:rsidRDefault="001B054F" w:rsidP="001B054F">
      <w:pPr>
        <w:pStyle w:val="-"/>
        <w:ind w:firstLine="420"/>
      </w:pPr>
      <w:r>
        <w:rPr>
          <w:rFonts w:hint="eastAsia"/>
        </w:rPr>
        <w:t>在基金管理运作过程中基金管理人的知识、经验、判断、决策、技能等，会影响其对信息的占有和对经济形势、证券价格走势的判断，从而影响基金收益水平，造成管理风险。</w:t>
      </w:r>
    </w:p>
    <w:p w:rsidR="001B054F" w:rsidRDefault="001B054F" w:rsidP="001B054F">
      <w:pPr>
        <w:pStyle w:val="-"/>
        <w:ind w:firstLine="420"/>
      </w:pPr>
    </w:p>
    <w:p w:rsidR="001B054F" w:rsidRDefault="001B054F" w:rsidP="001B054F">
      <w:pPr>
        <w:pStyle w:val="-"/>
        <w:ind w:firstLine="420"/>
      </w:pPr>
      <w:r>
        <w:rPr>
          <w:rFonts w:hint="eastAsia"/>
        </w:rPr>
        <w:t>四、流动性风险</w:t>
      </w:r>
    </w:p>
    <w:p w:rsidR="001B054F" w:rsidRDefault="001B054F" w:rsidP="001B054F">
      <w:pPr>
        <w:pStyle w:val="-"/>
        <w:ind w:firstLine="420"/>
      </w:pPr>
      <w:r>
        <w:rPr>
          <w:rFonts w:hint="eastAsia"/>
        </w:rPr>
        <w:t>本基金每个开放日开放申购，但投资人每笔认购</w:t>
      </w:r>
      <w:r>
        <w:rPr>
          <w:rFonts w:hint="eastAsia"/>
        </w:rPr>
        <w:t>/</w:t>
      </w:r>
      <w:r>
        <w:rPr>
          <w:rFonts w:hint="eastAsia"/>
        </w:rPr>
        <w:t>申购的基金份额需至少持有满</w:t>
      </w:r>
      <w:r>
        <w:rPr>
          <w:rFonts w:hint="eastAsia"/>
        </w:rPr>
        <w:t>6</w:t>
      </w:r>
      <w:r>
        <w:rPr>
          <w:rFonts w:hint="eastAsia"/>
        </w:rPr>
        <w:t>个月，在</w:t>
      </w:r>
      <w:r>
        <w:rPr>
          <w:rFonts w:hint="eastAsia"/>
        </w:rPr>
        <w:t>6</w:t>
      </w:r>
      <w:r>
        <w:rPr>
          <w:rFonts w:hint="eastAsia"/>
        </w:rPr>
        <w:t>个月锁定期内不能提出赎回申请。在锁定期届满后基金管理人有义务接受投资人的赎回。如果出现较大数额的赎回申请，则使基金资产变现困难，基金面临流动性风险。</w:t>
      </w:r>
    </w:p>
    <w:p w:rsidR="001B054F" w:rsidRDefault="001B054F" w:rsidP="001B054F">
      <w:pPr>
        <w:pStyle w:val="-"/>
        <w:ind w:firstLine="420"/>
      </w:pPr>
    </w:p>
    <w:p w:rsidR="001B054F" w:rsidRDefault="001B054F" w:rsidP="001B054F">
      <w:pPr>
        <w:pStyle w:val="-"/>
        <w:ind w:firstLine="420"/>
      </w:pPr>
      <w:r>
        <w:rPr>
          <w:rFonts w:hint="eastAsia"/>
        </w:rPr>
        <w:t>五、其他风险</w:t>
      </w:r>
    </w:p>
    <w:p w:rsidR="001B054F" w:rsidRDefault="001B054F" w:rsidP="001B054F">
      <w:pPr>
        <w:pStyle w:val="-"/>
        <w:ind w:firstLine="420"/>
      </w:pPr>
    </w:p>
    <w:p w:rsidR="001B054F" w:rsidRDefault="001B054F" w:rsidP="001B054F">
      <w:pPr>
        <w:pStyle w:val="-"/>
        <w:ind w:firstLine="420"/>
      </w:pPr>
      <w:r>
        <w:rPr>
          <w:rFonts w:hint="eastAsia"/>
        </w:rPr>
        <w:t>六、本基金法律文件风险收益特征表述与销售机构基金风险评价、销售机构之间的基金风险评价可能不一致的风险</w:t>
      </w:r>
    </w:p>
    <w:p w:rsidR="001B054F" w:rsidRDefault="001B054F" w:rsidP="001B054F">
      <w:pPr>
        <w:pStyle w:val="-"/>
        <w:ind w:firstLine="420"/>
      </w:pPr>
      <w:r>
        <w:rPr>
          <w:rFonts w:hint="eastAsia"/>
        </w:rPr>
        <w:t>本基金法律文件投资章节有关风险收益特征的表述是基于投资范围、投资比例、证券市场普遍规律等做出的概述性描述，代表了一般市场情况下本基金的长期风险收益特征。销售机构</w:t>
      </w:r>
      <w:r>
        <w:rPr>
          <w:rFonts w:hint="eastAsia"/>
        </w:rPr>
        <w:t>(</w:t>
      </w:r>
      <w:r>
        <w:rPr>
          <w:rFonts w:hint="eastAsia"/>
        </w:rPr>
        <w:t>包括基金管理人直销机构和其他销售机构</w:t>
      </w:r>
      <w:r>
        <w:rPr>
          <w:rFonts w:hint="eastAsia"/>
        </w:rPr>
        <w:t>)</w:t>
      </w:r>
      <w:r>
        <w:rPr>
          <w:rFonts w:hint="eastAsia"/>
        </w:rPr>
        <w:t>根据相关法律法规对本基金进行风险评价，不同的销售机构采用的评价方法可能存在不同，因此销售机构的风险等级评价与基金法律文件中风险收益特征的表述可能存在不同，销售机构之间的风险等级评价也可能存在不同，销售机构基于自身采用的评价方法可能对基金的风险等级进行定期或不定期的调整，但销售机构向投资人推介基金产品时，所依据的基金产品风险等级评价结果不得低于</w:t>
      </w:r>
      <w:r>
        <w:rPr>
          <w:rFonts w:hint="eastAsia"/>
        </w:rPr>
        <w:lastRenderedPageBreak/>
        <w:t>基金管理人作出的风险等级评价结果。投资人在购买本基金时需按照销售机构的要求完成风险承受能力与产品风险之间的匹配检验。</w:t>
      </w:r>
    </w:p>
    <w:p w:rsidR="001B054F" w:rsidRDefault="001B054F" w:rsidP="001B054F">
      <w:pPr>
        <w:pStyle w:val="-"/>
        <w:ind w:firstLine="420"/>
      </w:pPr>
    </w:p>
    <w:p w:rsidR="001B054F" w:rsidRDefault="001B054F" w:rsidP="001B054F">
      <w:pPr>
        <w:pStyle w:val="-"/>
        <w:ind w:firstLine="420"/>
      </w:pPr>
      <w:r>
        <w:rPr>
          <w:rFonts w:hint="eastAsia"/>
        </w:rPr>
        <w:t>七、基金投资组合收益率与业绩比较基准收益率偏离的风险</w:t>
      </w:r>
    </w:p>
    <w:p w:rsidR="001B054F" w:rsidRDefault="001B054F" w:rsidP="001B054F">
      <w:pPr>
        <w:pStyle w:val="-"/>
        <w:ind w:firstLine="420"/>
      </w:pPr>
      <w:r>
        <w:rPr>
          <w:rFonts w:hint="eastAsia"/>
        </w:rPr>
        <w:t>本基金业绩比较基准仅作为考察基金业绩的参考，业绩比较基准的表现并不代表基金实际的收益情况。本基金实际运作中投资的对象及其权重与基准指数的成份券及其权重并非完全一致，可能出现投资组合收益率与业绩比较基准收益率偏离的风险。</w:t>
      </w:r>
    </w:p>
    <w:p w:rsidR="001B054F" w:rsidRDefault="001B054F" w:rsidP="001B054F">
      <w:pPr>
        <w:pStyle w:val="-"/>
        <w:ind w:firstLine="420"/>
      </w:pPr>
    </w:p>
    <w:p w:rsidR="001B054F" w:rsidRDefault="001B054F" w:rsidP="001B054F">
      <w:pPr>
        <w:pStyle w:val="-"/>
        <w:ind w:firstLine="420"/>
      </w:pPr>
      <w:r>
        <w:rPr>
          <w:rFonts w:hint="eastAsia"/>
        </w:rPr>
        <w:t>八、流动性风险评估</w:t>
      </w:r>
    </w:p>
    <w:p w:rsidR="001B054F" w:rsidRDefault="001B054F" w:rsidP="001B054F">
      <w:pPr>
        <w:pStyle w:val="-"/>
        <w:ind w:firstLine="420"/>
      </w:pPr>
      <w:r>
        <w:rPr>
          <w:rFonts w:hint="eastAsia"/>
        </w:rPr>
        <w:t>（</w:t>
      </w:r>
      <w:r>
        <w:rPr>
          <w:rFonts w:hint="eastAsia"/>
        </w:rPr>
        <w:t>1</w:t>
      </w:r>
      <w:r>
        <w:rPr>
          <w:rFonts w:hint="eastAsia"/>
        </w:rPr>
        <w:t>）本基金的申购、赎回安排</w:t>
      </w:r>
    </w:p>
    <w:p w:rsidR="001B054F" w:rsidRDefault="001B054F" w:rsidP="001B054F">
      <w:pPr>
        <w:pStyle w:val="-"/>
        <w:ind w:firstLine="420"/>
      </w:pPr>
      <w:r>
        <w:rPr>
          <w:rFonts w:hint="eastAsia"/>
        </w:rPr>
        <w:t>（</w:t>
      </w:r>
      <w:r>
        <w:rPr>
          <w:rFonts w:hint="eastAsia"/>
        </w:rPr>
        <w:t>2</w:t>
      </w:r>
      <w:r>
        <w:rPr>
          <w:rFonts w:hint="eastAsia"/>
        </w:rPr>
        <w:t>）投资市场、行业及资产的流动性风险评估</w:t>
      </w:r>
    </w:p>
    <w:p w:rsidR="001B054F" w:rsidRDefault="001B054F" w:rsidP="001B054F">
      <w:pPr>
        <w:pStyle w:val="-"/>
        <w:ind w:firstLine="420"/>
      </w:pPr>
      <w:r>
        <w:rPr>
          <w:rFonts w:hint="eastAsia"/>
        </w:rPr>
        <w:t>（</w:t>
      </w:r>
      <w:r>
        <w:rPr>
          <w:rFonts w:hint="eastAsia"/>
        </w:rPr>
        <w:t>3</w:t>
      </w:r>
      <w:r>
        <w:rPr>
          <w:rFonts w:hint="eastAsia"/>
        </w:rPr>
        <w:t>）巨额赎回情形下的流动性风险管理措施</w:t>
      </w:r>
    </w:p>
    <w:p w:rsidR="001B054F" w:rsidRDefault="001B054F" w:rsidP="001B054F">
      <w:pPr>
        <w:pStyle w:val="-"/>
        <w:ind w:firstLine="420"/>
      </w:pPr>
      <w:r>
        <w:rPr>
          <w:rFonts w:hint="eastAsia"/>
        </w:rPr>
        <w:t>（</w:t>
      </w:r>
      <w:r>
        <w:rPr>
          <w:rFonts w:hint="eastAsia"/>
        </w:rPr>
        <w:t>4</w:t>
      </w:r>
      <w:r>
        <w:rPr>
          <w:rFonts w:hint="eastAsia"/>
        </w:rPr>
        <w:t>）实施备用的流动性风险管理工具的情形、程序及对投资者的潜在影响</w:t>
      </w:r>
    </w:p>
    <w:p w:rsidR="001B054F" w:rsidRDefault="001B054F" w:rsidP="001B054F">
      <w:pPr>
        <w:pStyle w:val="-"/>
        <w:ind w:firstLine="420"/>
      </w:pPr>
      <w:r>
        <w:rPr>
          <w:rFonts w:hint="eastAsia"/>
        </w:rPr>
        <w:t>本基金在面临大规模赎回的情况下有可能因为无法变现造成流动性风险。</w:t>
      </w:r>
    </w:p>
    <w:p w:rsidR="001B054F" w:rsidRDefault="001B054F" w:rsidP="001B054F">
      <w:pPr>
        <w:pStyle w:val="-"/>
        <w:ind w:firstLine="420"/>
      </w:pPr>
      <w:r>
        <w:rPr>
          <w:rFonts w:hint="eastAsia"/>
        </w:rPr>
        <w:t>如果出现流动性风险，基金管理人经与基金托管人协商，在确保投资者得到公平对待的前提下，可实施备用的流动性风险管理工具，包括但不限于暂停接受赎回申请、延缓支付赎回款项、摆动定价、暂停基金估值、延期办理巨额赎回申请、启用侧袋机制等，作为特定情形下基金管理人流动性风险管理的辅助措施，同时基金管理人应时刻防范可能产生的流动性风险，对流动性风险进行日常监控，保护基金份额持有人的利益。当实施备用的流动性风险管理工具时，有可能无法按合同约定的时限支付赎回款项。</w:t>
      </w:r>
    </w:p>
    <w:p w:rsidR="001B054F" w:rsidRDefault="001B054F" w:rsidP="001B054F">
      <w:pPr>
        <w:pStyle w:val="-"/>
        <w:ind w:firstLine="420"/>
      </w:pPr>
    </w:p>
    <w:p w:rsidR="001B054F" w:rsidRDefault="001B054F" w:rsidP="001B054F">
      <w:pPr>
        <w:pStyle w:val="-"/>
        <w:ind w:firstLine="420"/>
      </w:pPr>
      <w:r>
        <w:rPr>
          <w:rFonts w:hint="eastAsia"/>
        </w:rPr>
        <w:t>九、实施侧袋机制对投资者的影响</w:t>
      </w:r>
    </w:p>
    <w:p w:rsidR="001B054F" w:rsidRDefault="001B054F" w:rsidP="001B054F">
      <w:pPr>
        <w:pStyle w:val="-"/>
        <w:ind w:firstLine="420"/>
      </w:pPr>
      <w:r>
        <w:rPr>
          <w:rFonts w:hint="eastAsia"/>
        </w:rPr>
        <w:t>侧袋机制是一种流动性风险管理工具，是将特定资产分离至专门的侧袋账户进行处置清算，并以处置变现后的款项向基金份额持有人进行支付，目的在于有效隔离并化解风险，确保投资者得到公平对待。但基金启用侧袋机制后，侧袋账户份额将停止披露基金份额净值，并不得办理申购、赎回和转换，仅主袋账户份额正常开放赎回，因此启用侧袋机制时持有基金份额的持有人将在启用侧袋机制后同时持有主袋账户份额和侧袋账户份额，侧袋账户份额不能赎回，其对应特定资产的变现时间具有不确定性，最终变现价格也具有不确定性并且有可能大幅低于启用侧袋机制前特定资产的估值，基金份额持有人可能因此面临损失。</w:t>
      </w:r>
    </w:p>
    <w:p w:rsidR="001B054F" w:rsidRDefault="001B054F" w:rsidP="001B054F">
      <w:pPr>
        <w:pStyle w:val="-"/>
        <w:ind w:firstLine="420"/>
      </w:pPr>
      <w:r>
        <w:rPr>
          <w:rFonts w:hint="eastAsia"/>
        </w:rPr>
        <w:t>实施侧袋机制期间，因本基金不披露侧袋账户份额的净值，即便基金管理人在基金定期报告中披露报告期末特定资产可变现净值或净值区间的，也不作为特定资产最终变现价格的承诺，因此对于特定资产的公允价值和最终变现价格，基金管理人不承担任何保证和承诺的责任。</w:t>
      </w:r>
    </w:p>
    <w:p w:rsidR="001B054F" w:rsidRDefault="001B054F" w:rsidP="001B054F">
      <w:pPr>
        <w:pStyle w:val="-"/>
        <w:ind w:firstLine="420"/>
      </w:pPr>
      <w:r>
        <w:rPr>
          <w:rFonts w:hint="eastAsia"/>
        </w:rPr>
        <w:t>基金管理人将根据主袋账户运作情况合理确定申购政策，因此实施侧袋机制后主袋账户份额存在暂停申购的可能。</w:t>
      </w:r>
    </w:p>
    <w:p w:rsidR="001B054F" w:rsidRDefault="001B054F" w:rsidP="001B054F">
      <w:pPr>
        <w:pStyle w:val="-"/>
        <w:ind w:firstLine="420"/>
      </w:pPr>
      <w:r>
        <w:rPr>
          <w:rFonts w:hint="eastAsia"/>
        </w:rPr>
        <w:t>启用侧袋机制后，基金管理人计算各项投资运作指标和基金业绩指标时仅需考虑主袋账户资产，并根据相关规定对分割侧袋账户资产导致的基金净资产减少进行按投资损失处理，因此本基金披露的业绩指标不能反映特定资产的真实价值及变化情况。</w:t>
      </w:r>
    </w:p>
    <w:p w:rsidR="001B054F" w:rsidRDefault="001B054F" w:rsidP="001B054F">
      <w:pPr>
        <w:pStyle w:val="-2"/>
        <w:spacing w:before="156" w:after="156"/>
      </w:pPr>
      <w:r>
        <w:rPr>
          <w:rFonts w:hint="eastAsia"/>
        </w:rPr>
        <w:t>（二）</w:t>
      </w:r>
      <w:r>
        <w:rPr>
          <w:rFonts w:hint="eastAsia"/>
        </w:rPr>
        <w:t xml:space="preserve"> </w:t>
      </w:r>
      <w:r>
        <w:rPr>
          <w:rFonts w:hint="eastAsia"/>
        </w:rPr>
        <w:t>重要提示</w:t>
      </w:r>
    </w:p>
    <w:p w:rsidR="001B054F" w:rsidRDefault="001B054F" w:rsidP="001B054F">
      <w:pPr>
        <w:pStyle w:val="-"/>
        <w:ind w:firstLine="420"/>
      </w:pPr>
      <w:r>
        <w:rPr>
          <w:rFonts w:hint="eastAsia"/>
        </w:rPr>
        <w:t>南方稳庆</w:t>
      </w:r>
      <w:r>
        <w:rPr>
          <w:rFonts w:hint="eastAsia"/>
        </w:rPr>
        <w:t>6</w:t>
      </w:r>
      <w:r>
        <w:rPr>
          <w:rFonts w:hint="eastAsia"/>
        </w:rPr>
        <w:t>个月持有期混合型基金中基金（</w:t>
      </w:r>
      <w:r>
        <w:rPr>
          <w:rFonts w:hint="eastAsia"/>
        </w:rPr>
        <w:t>FOF</w:t>
      </w:r>
      <w:r>
        <w:rPr>
          <w:rFonts w:hint="eastAsia"/>
        </w:rPr>
        <w:t>）（以下简称“本基金”）经中国证监会</w:t>
      </w:r>
      <w:r>
        <w:rPr>
          <w:rFonts w:hint="eastAsia"/>
        </w:rPr>
        <w:t>2026</w:t>
      </w:r>
      <w:r>
        <w:rPr>
          <w:rFonts w:hint="eastAsia"/>
        </w:rPr>
        <w:t>年</w:t>
      </w:r>
      <w:r>
        <w:rPr>
          <w:rFonts w:hint="eastAsia"/>
        </w:rPr>
        <w:t>8</w:t>
      </w:r>
      <w:r>
        <w:rPr>
          <w:rFonts w:hint="eastAsia"/>
        </w:rPr>
        <w:t>月</w:t>
      </w:r>
      <w:r>
        <w:rPr>
          <w:rFonts w:hint="eastAsia"/>
        </w:rPr>
        <w:t>18</w:t>
      </w:r>
      <w:r>
        <w:rPr>
          <w:rFonts w:hint="eastAsia"/>
        </w:rPr>
        <w:t>日证监许可</w:t>
      </w:r>
      <w:r>
        <w:rPr>
          <w:rFonts w:hint="eastAsia"/>
        </w:rPr>
        <w:t>[2026]2277</w:t>
      </w:r>
      <w:r>
        <w:rPr>
          <w:rFonts w:hint="eastAsia"/>
        </w:rPr>
        <w:t>号文注册募集。中国证监会对本基金募集的注册，</w:t>
      </w:r>
      <w:r>
        <w:rPr>
          <w:rFonts w:hint="eastAsia"/>
        </w:rPr>
        <w:lastRenderedPageBreak/>
        <w:t>并不表明其对本基金的价值和收益作出实质性判断或保证，也不表明投资于本基金没有风险。</w:t>
      </w:r>
    </w:p>
    <w:p w:rsidR="001B054F" w:rsidRDefault="001B054F" w:rsidP="001B054F">
      <w:pPr>
        <w:pStyle w:val="-"/>
        <w:ind w:firstLine="420"/>
      </w:pPr>
      <w:r>
        <w:rPr>
          <w:rFonts w:hint="eastAsia"/>
        </w:rPr>
        <w:t>基金管理人依照恪尽职守、诚实信用、谨慎勤勉的原则管理和运用基金财产，但不保证基金一定盈利，也不保证最低收益。</w:t>
      </w:r>
    </w:p>
    <w:p w:rsidR="001B054F" w:rsidRDefault="001B054F" w:rsidP="001B054F">
      <w:pPr>
        <w:pStyle w:val="-"/>
        <w:ind w:firstLine="420"/>
      </w:pPr>
      <w:r>
        <w:rPr>
          <w:rFonts w:hint="eastAsia"/>
        </w:rPr>
        <w:t>基金投资者自依基金合同取得基金份额，即成为基金份额持有人和基金合同的当事人。</w:t>
      </w:r>
    </w:p>
    <w:p w:rsidR="001B054F" w:rsidRDefault="001B054F" w:rsidP="001B054F">
      <w:pPr>
        <w:pStyle w:val="-"/>
        <w:ind w:firstLine="420"/>
      </w:pPr>
      <w:r>
        <w:rPr>
          <w:rFonts w:hint="eastAsia"/>
        </w:rPr>
        <w:t>各方当事人同意，因《基金合同》而产生的或与《基金合同》有关的一切争议，如经友好协商未能解决的，任何一方均有权将争议提交重庆仲裁委员会，按照重庆仲裁委员会届时有效的仲裁规则进行仲裁。仲裁地点为重庆市。仲裁裁决是终局的，对各方当事人均有约束力。除非仲裁裁决另有决定，仲裁费用由败诉方承担。</w:t>
      </w:r>
    </w:p>
    <w:p w:rsidR="001B054F" w:rsidRDefault="001B054F" w:rsidP="001B054F">
      <w:pPr>
        <w:pStyle w:val="-"/>
        <w:ind w:firstLine="420"/>
      </w:pPr>
      <w:r>
        <w:rPr>
          <w:rFonts w:hint="eastAsia"/>
        </w:rPr>
        <w:t>基金产品资料概要信息发生重大变更的，基金管理人将在三个工作日内更新，其他信息发生变更的，基金管理人每年更新一次。因此，本文件内容相比基金的实际情况可能存在一定的滞后，如需及时、准确获取基金的相关信息，敬请同时关注基金管理人发布的相关临时公告等。</w:t>
      </w:r>
    </w:p>
    <w:p w:rsidR="001B054F" w:rsidRDefault="001B054F" w:rsidP="001B054F">
      <w:pPr>
        <w:pStyle w:val="-"/>
        <w:ind w:firstLine="420"/>
      </w:pPr>
      <w:r>
        <w:rPr>
          <w:rFonts w:hint="eastAsia"/>
        </w:rPr>
        <w:t>投资人知悉并同意基金管理人可在符合法律法规的前提下，为投资人提供账户服务通知、交易确认通知、重要公告通知、投保投教、客户关怀等服务，并可自主选择退订，具体的服务说明详见招募说明书“基金份额持有人服务”章节。</w:t>
      </w:r>
    </w:p>
    <w:p w:rsidR="001B054F" w:rsidRDefault="001B054F" w:rsidP="001B054F">
      <w:pPr>
        <w:pStyle w:val="-1"/>
        <w:spacing w:before="156" w:after="156"/>
      </w:pPr>
      <w:r>
        <w:rPr>
          <w:rFonts w:hint="eastAsia"/>
        </w:rPr>
        <w:t>五、其他资料查询方式</w:t>
      </w:r>
    </w:p>
    <w:p w:rsidR="001B054F" w:rsidRDefault="001B054F" w:rsidP="001B054F">
      <w:pPr>
        <w:pStyle w:val="-"/>
        <w:ind w:firstLine="420"/>
      </w:pPr>
      <w:r>
        <w:rPr>
          <w:rFonts w:hint="eastAsia"/>
        </w:rPr>
        <w:t>以下资料详见南方基金官方网站［</w:t>
      </w:r>
      <w:r>
        <w:rPr>
          <w:rFonts w:hint="eastAsia"/>
        </w:rPr>
        <w:t>www.nffund.com</w:t>
      </w:r>
      <w:r>
        <w:rPr>
          <w:rFonts w:hint="eastAsia"/>
        </w:rPr>
        <w:t>］［客服电话：</w:t>
      </w:r>
      <w:r>
        <w:rPr>
          <w:rFonts w:hint="eastAsia"/>
        </w:rPr>
        <w:t>400-889-8899</w:t>
      </w:r>
      <w:r>
        <w:rPr>
          <w:rFonts w:hint="eastAsia"/>
        </w:rPr>
        <w:t>］</w:t>
      </w:r>
    </w:p>
    <w:p w:rsidR="001B054F" w:rsidRDefault="001B054F" w:rsidP="001B054F">
      <w:pPr>
        <w:pStyle w:val="-"/>
        <w:ind w:firstLine="420"/>
      </w:pPr>
      <w:r>
        <w:rPr>
          <w:rFonts w:hint="eastAsia"/>
        </w:rPr>
        <w:t>●</w:t>
      </w:r>
      <w:r>
        <w:rPr>
          <w:rFonts w:hint="eastAsia"/>
        </w:rPr>
        <w:t xml:space="preserve"> </w:t>
      </w:r>
      <w:r>
        <w:rPr>
          <w:rFonts w:hint="eastAsia"/>
        </w:rPr>
        <w:t>《南方稳庆</w:t>
      </w:r>
      <w:r>
        <w:rPr>
          <w:rFonts w:hint="eastAsia"/>
        </w:rPr>
        <w:t>6</w:t>
      </w:r>
      <w:r>
        <w:rPr>
          <w:rFonts w:hint="eastAsia"/>
        </w:rPr>
        <w:t>个月持有期混合型基金中基金（</w:t>
      </w:r>
      <w:r>
        <w:rPr>
          <w:rFonts w:hint="eastAsia"/>
        </w:rPr>
        <w:t>FOF</w:t>
      </w:r>
      <w:r>
        <w:rPr>
          <w:rFonts w:hint="eastAsia"/>
        </w:rPr>
        <w:t>）基金合同》、</w:t>
      </w:r>
    </w:p>
    <w:p w:rsidR="001B054F" w:rsidRDefault="001B054F" w:rsidP="001B054F">
      <w:pPr>
        <w:pStyle w:val="-"/>
        <w:ind w:firstLine="420"/>
      </w:pPr>
      <w:r>
        <w:rPr>
          <w:rFonts w:hint="eastAsia"/>
        </w:rPr>
        <w:t>《南方稳庆</w:t>
      </w:r>
      <w:r>
        <w:rPr>
          <w:rFonts w:hint="eastAsia"/>
        </w:rPr>
        <w:t>6</w:t>
      </w:r>
      <w:r>
        <w:rPr>
          <w:rFonts w:hint="eastAsia"/>
        </w:rPr>
        <w:t>个月持有期混合型基金中基金（</w:t>
      </w:r>
      <w:r>
        <w:rPr>
          <w:rFonts w:hint="eastAsia"/>
        </w:rPr>
        <w:t>FOF</w:t>
      </w:r>
      <w:r>
        <w:rPr>
          <w:rFonts w:hint="eastAsia"/>
        </w:rPr>
        <w:t>）托管协议》、</w:t>
      </w:r>
    </w:p>
    <w:p w:rsidR="001B054F" w:rsidRDefault="001B054F" w:rsidP="001B054F">
      <w:pPr>
        <w:pStyle w:val="-"/>
        <w:ind w:firstLine="420"/>
      </w:pPr>
      <w:r>
        <w:rPr>
          <w:rFonts w:hint="eastAsia"/>
        </w:rPr>
        <w:t>《南方稳庆</w:t>
      </w:r>
      <w:r>
        <w:rPr>
          <w:rFonts w:hint="eastAsia"/>
        </w:rPr>
        <w:t>6</w:t>
      </w:r>
      <w:r>
        <w:rPr>
          <w:rFonts w:hint="eastAsia"/>
        </w:rPr>
        <w:t>个月持有期混合型基金中基金（</w:t>
      </w:r>
      <w:r>
        <w:rPr>
          <w:rFonts w:hint="eastAsia"/>
        </w:rPr>
        <w:t>FOF</w:t>
      </w:r>
      <w:r>
        <w:rPr>
          <w:rFonts w:hint="eastAsia"/>
        </w:rPr>
        <w:t>）招募说明书》</w:t>
      </w:r>
    </w:p>
    <w:p w:rsidR="001B054F" w:rsidRDefault="001B054F" w:rsidP="001B054F">
      <w:pPr>
        <w:pStyle w:val="-"/>
        <w:ind w:firstLine="420"/>
      </w:pPr>
      <w:r>
        <w:rPr>
          <w:rFonts w:hint="eastAsia"/>
        </w:rPr>
        <w:t>●</w:t>
      </w:r>
      <w:r>
        <w:rPr>
          <w:rFonts w:hint="eastAsia"/>
        </w:rPr>
        <w:t xml:space="preserve"> </w:t>
      </w:r>
      <w:r>
        <w:rPr>
          <w:rFonts w:hint="eastAsia"/>
        </w:rPr>
        <w:t>定期报告，包括基金季度报告、中期报告和年度报告</w:t>
      </w:r>
    </w:p>
    <w:p w:rsidR="001B054F" w:rsidRDefault="001B054F" w:rsidP="001B054F">
      <w:pPr>
        <w:pStyle w:val="-"/>
        <w:ind w:firstLine="420"/>
      </w:pPr>
      <w:r>
        <w:rPr>
          <w:rFonts w:hint="eastAsia"/>
        </w:rPr>
        <w:t>●</w:t>
      </w:r>
      <w:r>
        <w:rPr>
          <w:rFonts w:hint="eastAsia"/>
        </w:rPr>
        <w:t xml:space="preserve"> </w:t>
      </w:r>
      <w:r>
        <w:rPr>
          <w:rFonts w:hint="eastAsia"/>
        </w:rPr>
        <w:t>基金份额净值</w:t>
      </w:r>
    </w:p>
    <w:p w:rsidR="001B054F" w:rsidRDefault="001B054F" w:rsidP="001B054F">
      <w:pPr>
        <w:pStyle w:val="-"/>
        <w:ind w:firstLine="420"/>
      </w:pPr>
      <w:r>
        <w:rPr>
          <w:rFonts w:hint="eastAsia"/>
        </w:rPr>
        <w:t>●</w:t>
      </w:r>
      <w:r>
        <w:rPr>
          <w:rFonts w:hint="eastAsia"/>
        </w:rPr>
        <w:t xml:space="preserve"> </w:t>
      </w:r>
      <w:r>
        <w:rPr>
          <w:rFonts w:hint="eastAsia"/>
        </w:rPr>
        <w:t>基金销售机构及联系方式</w:t>
      </w:r>
    </w:p>
    <w:p w:rsidR="001B054F" w:rsidRDefault="001B054F" w:rsidP="001B054F">
      <w:pPr>
        <w:pStyle w:val="-"/>
        <w:ind w:firstLine="420"/>
      </w:pPr>
      <w:r>
        <w:rPr>
          <w:rFonts w:hint="eastAsia"/>
        </w:rPr>
        <w:t>●</w:t>
      </w:r>
      <w:r>
        <w:rPr>
          <w:rFonts w:hint="eastAsia"/>
        </w:rPr>
        <w:t xml:space="preserve"> </w:t>
      </w:r>
      <w:r>
        <w:rPr>
          <w:rFonts w:hint="eastAsia"/>
        </w:rPr>
        <w:t>其他重要资料</w:t>
      </w:r>
    </w:p>
    <w:p w:rsidR="001B054F" w:rsidRDefault="001B054F" w:rsidP="001B054F">
      <w:pPr>
        <w:pStyle w:val="-1"/>
        <w:spacing w:before="156" w:after="156"/>
      </w:pPr>
      <w:r>
        <w:rPr>
          <w:rFonts w:hint="eastAsia"/>
        </w:rPr>
        <w:t>六、其他情况说明</w:t>
      </w:r>
    </w:p>
    <w:p w:rsidR="001B054F" w:rsidRDefault="001B054F" w:rsidP="001B054F">
      <w:pPr>
        <w:pStyle w:val="-"/>
        <w:ind w:firstLine="420"/>
      </w:pPr>
      <w:r>
        <w:rPr>
          <w:rFonts w:hint="eastAsia"/>
        </w:rPr>
        <w:t>暂无。</w:t>
      </w:r>
    </w:p>
    <w:p w:rsidR="00E67375" w:rsidRDefault="001B054F" w:rsidP="001B054F">
      <w:r w:rsidRPr="00A84177">
        <w:t xml:space="preserve"> </w:t>
      </w:r>
    </w:p>
    <w:p w:rsidR="00CF0D54" w:rsidRPr="00ED7F31" w:rsidRDefault="00CF0D54" w:rsidP="004E5A28">
      <w:pPr>
        <w:pStyle w:val="-b"/>
        <w:ind w:firstLine="422"/>
      </w:pPr>
    </w:p>
    <w:sectPr w:rsidR="00CF0D54" w:rsidRPr="00ED7F31" w:rsidSect="00F03A80">
      <w:headerReference w:type="default" r:id="rId8"/>
      <w:footerReference w:type="default" r:id="rId9"/>
      <w:pgSz w:w="11906" w:h="16838"/>
      <w:pgMar w:top="1440" w:right="1800" w:bottom="1440" w:left="1800" w:header="851" w:footer="992" w:gutter="0"/>
      <w:cols w:space="425"/>
      <w:docGrid w:type="lines" w:linePitch="312"/>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1B054F" w:rsidRDefault="001B054F" w:rsidP="00C06F04">
      <w:r>
        <w:separator/>
      </w:r>
    </w:p>
  </w:endnote>
  <w:endnote w:type="continuationSeparator" w:id="0">
    <w:p w:rsidR="001B054F" w:rsidRDefault="001B054F" w:rsidP="00C06F0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仿宋">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2FF" w:usb1="400004FF" w:usb2="00000000" w:usb3="00000000" w:csb0="0000019F" w:csb1="00000000"/>
  </w:font>
  <w:font w:name="方正黑体简体">
    <w:altName w:val="黑体"/>
    <w:charset w:val="86"/>
    <w:family w:val="auto"/>
    <w:pitch w:val="default"/>
    <w:sig w:usb0="00000000" w:usb1="080E0000" w:usb2="00000000" w:usb3="00000000" w:csb0="00040000" w:csb1="00000000"/>
  </w:font>
  <w:font w:name="Calibri Light">
    <w:panose1 w:val="020F0302020204030204"/>
    <w:charset w:val="00"/>
    <w:family w:val="swiss"/>
    <w:pitch w:val="variable"/>
    <w:sig w:usb0="A00002EF" w:usb1="4000207B"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A097D" w:rsidRDefault="00FA097D">
    <w:pPr>
      <w:pStyle w:val="a9"/>
      <w:jc w:val="right"/>
    </w:pPr>
    <w:r>
      <w:fldChar w:fldCharType="begin"/>
    </w:r>
    <w:r>
      <w:instrText xml:space="preserve"> PAGE   \* MERGEFORMAT </w:instrText>
    </w:r>
    <w:r>
      <w:fldChar w:fldCharType="separate"/>
    </w:r>
    <w:r w:rsidR="00B93185" w:rsidRPr="00B93185">
      <w:rPr>
        <w:noProof/>
        <w:lang w:val="zh-CN"/>
      </w:rPr>
      <w:t>8</w:t>
    </w:r>
    <w:r>
      <w:fldChar w:fldCharType="end"/>
    </w: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1B054F" w:rsidRDefault="001B054F" w:rsidP="00C06F04">
      <w:r>
        <w:separator/>
      </w:r>
    </w:p>
  </w:footnote>
  <w:footnote w:type="continuationSeparator" w:id="0">
    <w:p w:rsidR="001B054F" w:rsidRDefault="001B054F" w:rsidP="00C06F04">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7B7" w:rsidRDefault="001B054F" w:rsidP="00CE07B7">
    <w:pPr>
      <w:pStyle w:val="a7"/>
      <w:jc w:val="right"/>
    </w:pPr>
    <w:r>
      <w:rPr>
        <w:rFonts w:hint="eastAsia"/>
      </w:rPr>
      <w:t>南方稳庆</w:t>
    </w:r>
    <w:r>
      <w:rPr>
        <w:rFonts w:hint="eastAsia"/>
      </w:rPr>
      <w:t>6</w:t>
    </w:r>
    <w:r>
      <w:rPr>
        <w:rFonts w:hint="eastAsia"/>
      </w:rPr>
      <w:t>个月持有期混合型基金中基金（</w:t>
    </w:r>
    <w:r>
      <w:rPr>
        <w:rFonts w:hint="eastAsia"/>
      </w:rPr>
      <w:t>FOF</w:t>
    </w:r>
    <w:r>
      <w:rPr>
        <w:rFonts w:hint="eastAsia"/>
      </w:rPr>
      <w:t>）（</w:t>
    </w:r>
    <w:r>
      <w:rPr>
        <w:rFonts w:hint="eastAsia"/>
      </w:rPr>
      <w:t>A</w:t>
    </w:r>
    <w:r>
      <w:rPr>
        <w:rFonts w:hint="eastAsia"/>
      </w:rPr>
      <w:t>类份额）基金产品资料概要</w:t>
    </w: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12443E8"/>
    <w:lvl w:ilvl="0">
      <w:start w:val="1"/>
      <w:numFmt w:val="decimal"/>
      <w:lvlText w:val="%1."/>
      <w:lvlJc w:val="left"/>
      <w:pPr>
        <w:tabs>
          <w:tab w:val="num" w:pos="2040"/>
        </w:tabs>
        <w:ind w:leftChars="800" w:left="2040" w:hangingChars="200" w:hanging="360"/>
      </w:pPr>
    </w:lvl>
  </w:abstractNum>
  <w:abstractNum w:abstractNumId="1" w15:restartNumberingAfterBreak="0">
    <w:nsid w:val="FFFFFF7D"/>
    <w:multiLevelType w:val="singleLevel"/>
    <w:tmpl w:val="47F63A3C"/>
    <w:lvl w:ilvl="0">
      <w:start w:val="1"/>
      <w:numFmt w:val="decimal"/>
      <w:lvlText w:val="%1."/>
      <w:lvlJc w:val="left"/>
      <w:pPr>
        <w:tabs>
          <w:tab w:val="num" w:pos="1620"/>
        </w:tabs>
        <w:ind w:leftChars="600" w:left="1620" w:hangingChars="200" w:hanging="360"/>
      </w:pPr>
    </w:lvl>
  </w:abstractNum>
  <w:abstractNum w:abstractNumId="2" w15:restartNumberingAfterBreak="0">
    <w:nsid w:val="FFFFFF7E"/>
    <w:multiLevelType w:val="singleLevel"/>
    <w:tmpl w:val="B628B492"/>
    <w:lvl w:ilvl="0">
      <w:start w:val="1"/>
      <w:numFmt w:val="decimal"/>
      <w:lvlText w:val="%1."/>
      <w:lvlJc w:val="left"/>
      <w:pPr>
        <w:tabs>
          <w:tab w:val="num" w:pos="1200"/>
        </w:tabs>
        <w:ind w:leftChars="400" w:left="1200" w:hangingChars="200" w:hanging="360"/>
      </w:pPr>
    </w:lvl>
  </w:abstractNum>
  <w:abstractNum w:abstractNumId="3" w15:restartNumberingAfterBreak="0">
    <w:nsid w:val="FFFFFF7F"/>
    <w:multiLevelType w:val="singleLevel"/>
    <w:tmpl w:val="02CC8522"/>
    <w:lvl w:ilvl="0">
      <w:start w:val="1"/>
      <w:numFmt w:val="decimal"/>
      <w:lvlText w:val="%1."/>
      <w:lvlJc w:val="left"/>
      <w:pPr>
        <w:tabs>
          <w:tab w:val="num" w:pos="780"/>
        </w:tabs>
        <w:ind w:leftChars="200" w:left="780" w:hangingChars="200" w:hanging="360"/>
      </w:pPr>
    </w:lvl>
  </w:abstractNum>
  <w:abstractNum w:abstractNumId="4" w15:restartNumberingAfterBreak="0">
    <w:nsid w:val="FFFFFF80"/>
    <w:multiLevelType w:val="singleLevel"/>
    <w:tmpl w:val="ECB22CF8"/>
    <w:lvl w:ilvl="0">
      <w:start w:val="1"/>
      <w:numFmt w:val="bullet"/>
      <w:lvlText w:val=""/>
      <w:lvlJc w:val="left"/>
      <w:pPr>
        <w:tabs>
          <w:tab w:val="num" w:pos="2040"/>
        </w:tabs>
        <w:ind w:leftChars="800" w:left="2040" w:hangingChars="200" w:hanging="360"/>
      </w:pPr>
      <w:rPr>
        <w:rFonts w:ascii="Wingdings" w:hAnsi="Wingdings" w:hint="default"/>
      </w:rPr>
    </w:lvl>
  </w:abstractNum>
  <w:abstractNum w:abstractNumId="5" w15:restartNumberingAfterBreak="0">
    <w:nsid w:val="FFFFFF81"/>
    <w:multiLevelType w:val="singleLevel"/>
    <w:tmpl w:val="F5FA41A6"/>
    <w:lvl w:ilvl="0">
      <w:start w:val="1"/>
      <w:numFmt w:val="bullet"/>
      <w:lvlText w:val=""/>
      <w:lvlJc w:val="left"/>
      <w:pPr>
        <w:tabs>
          <w:tab w:val="num" w:pos="1620"/>
        </w:tabs>
        <w:ind w:leftChars="600" w:left="1620" w:hangingChars="200" w:hanging="360"/>
      </w:pPr>
      <w:rPr>
        <w:rFonts w:ascii="Wingdings" w:hAnsi="Wingdings" w:hint="default"/>
      </w:rPr>
    </w:lvl>
  </w:abstractNum>
  <w:abstractNum w:abstractNumId="6" w15:restartNumberingAfterBreak="0">
    <w:nsid w:val="FFFFFF82"/>
    <w:multiLevelType w:val="singleLevel"/>
    <w:tmpl w:val="C67AADE0"/>
    <w:lvl w:ilvl="0">
      <w:start w:val="1"/>
      <w:numFmt w:val="bullet"/>
      <w:lvlText w:val=""/>
      <w:lvlJc w:val="left"/>
      <w:pPr>
        <w:tabs>
          <w:tab w:val="num" w:pos="1200"/>
        </w:tabs>
        <w:ind w:leftChars="400" w:left="1200" w:hangingChars="200" w:hanging="360"/>
      </w:pPr>
      <w:rPr>
        <w:rFonts w:ascii="Wingdings" w:hAnsi="Wingdings" w:hint="default"/>
      </w:rPr>
    </w:lvl>
  </w:abstractNum>
  <w:abstractNum w:abstractNumId="7" w15:restartNumberingAfterBreak="0">
    <w:nsid w:val="FFFFFF83"/>
    <w:multiLevelType w:val="singleLevel"/>
    <w:tmpl w:val="C2E2DE34"/>
    <w:lvl w:ilvl="0">
      <w:start w:val="1"/>
      <w:numFmt w:val="bullet"/>
      <w:lvlText w:val=""/>
      <w:lvlJc w:val="left"/>
      <w:pPr>
        <w:tabs>
          <w:tab w:val="num" w:pos="780"/>
        </w:tabs>
        <w:ind w:leftChars="200" w:left="780" w:hangingChars="200" w:hanging="360"/>
      </w:pPr>
      <w:rPr>
        <w:rFonts w:ascii="Wingdings" w:hAnsi="Wingdings" w:hint="default"/>
      </w:rPr>
    </w:lvl>
  </w:abstractNum>
  <w:abstractNum w:abstractNumId="8" w15:restartNumberingAfterBreak="0">
    <w:nsid w:val="FFFFFF88"/>
    <w:multiLevelType w:val="singleLevel"/>
    <w:tmpl w:val="2780A740"/>
    <w:lvl w:ilvl="0">
      <w:start w:val="1"/>
      <w:numFmt w:val="decimal"/>
      <w:lvlText w:val="%1."/>
      <w:lvlJc w:val="left"/>
      <w:pPr>
        <w:tabs>
          <w:tab w:val="num" w:pos="360"/>
        </w:tabs>
        <w:ind w:left="360" w:hangingChars="200" w:hanging="360"/>
      </w:pPr>
    </w:lvl>
  </w:abstractNum>
  <w:abstractNum w:abstractNumId="9" w15:restartNumberingAfterBreak="0">
    <w:nsid w:val="FFFFFF89"/>
    <w:multiLevelType w:val="singleLevel"/>
    <w:tmpl w:val="6B5057A0"/>
    <w:lvl w:ilvl="0">
      <w:start w:val="1"/>
      <w:numFmt w:val="bullet"/>
      <w:lvlText w:val=""/>
      <w:lvlJc w:val="left"/>
      <w:pPr>
        <w:tabs>
          <w:tab w:val="num" w:pos="360"/>
        </w:tabs>
        <w:ind w:left="360" w:hangingChars="200" w:hanging="360"/>
      </w:pPr>
      <w:rPr>
        <w:rFonts w:ascii="Wingdings" w:hAnsi="Wingdings" w:hint="default"/>
      </w:rPr>
    </w:lvl>
  </w:abstractNum>
  <w:num w:numId="1">
    <w:abstractNumId w:val="8"/>
  </w:num>
  <w:num w:numId="2">
    <w:abstractNumId w:val="3"/>
  </w:num>
  <w:num w:numId="3">
    <w:abstractNumId w:val="2"/>
  </w:num>
  <w:num w:numId="4">
    <w:abstractNumId w:val="1"/>
  </w:num>
  <w:num w:numId="5">
    <w:abstractNumId w:val="0"/>
  </w:num>
  <w:num w:numId="6">
    <w:abstractNumId w:val="9"/>
  </w:num>
  <w:num w:numId="7">
    <w:abstractNumId w:val="7"/>
  </w:num>
  <w:num w:numId="8">
    <w:abstractNumId w:val="6"/>
  </w:num>
  <w:num w:numId="9">
    <w:abstractNumId w:val="5"/>
  </w:num>
  <w:num w:numId="10">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removePersonalInformation/>
  <w:removeDateAndTime/>
  <w:embedSystemFonts/>
  <w:bordersDoNotSurroundHeader/>
  <w:bordersDoNotSurroundFooter/>
  <w:stylePaneFormatFilter w:val="3F04" w:allStyles="0" w:customStyles="0" w:latentStyles="1" w:stylesInUse="0" w:headingStyles="0" w:numberingStyles="0" w:tableStyles="0" w:directFormattingOnRuns="1" w:directFormattingOnParagraphs="1" w:directFormattingOnNumbering="1" w:directFormattingOnTables="1" w:clearFormatting="1" w:top3HeadingStyles="1" w:visibleStyles="0" w:alternateStyleNames="0"/>
  <w:defaultTabStop w:val="420"/>
  <w:drawingGridVerticalSpacing w:val="156"/>
  <w:displayHorizontalDrawingGridEvery w:val="0"/>
  <w:displayVerticalDrawingGridEvery w:val="2"/>
  <w:characterSpacingControl w:val="compressPunctuation"/>
  <w:hdrShapeDefaults>
    <o:shapedefaults v:ext="edit" spidmax="4097"/>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46AD4"/>
    <w:rsid w:val="0001145D"/>
    <w:rsid w:val="0001706E"/>
    <w:rsid w:val="00045B9C"/>
    <w:rsid w:val="00053A9C"/>
    <w:rsid w:val="000629C7"/>
    <w:rsid w:val="00073A17"/>
    <w:rsid w:val="00100924"/>
    <w:rsid w:val="001064E3"/>
    <w:rsid w:val="001750FE"/>
    <w:rsid w:val="00175E81"/>
    <w:rsid w:val="00181325"/>
    <w:rsid w:val="00187B2C"/>
    <w:rsid w:val="0019575F"/>
    <w:rsid w:val="001B054F"/>
    <w:rsid w:val="001B4F59"/>
    <w:rsid w:val="001C46F3"/>
    <w:rsid w:val="002073CE"/>
    <w:rsid w:val="00225A93"/>
    <w:rsid w:val="0023093B"/>
    <w:rsid w:val="00230942"/>
    <w:rsid w:val="002956D4"/>
    <w:rsid w:val="00296BEC"/>
    <w:rsid w:val="00362863"/>
    <w:rsid w:val="0038669A"/>
    <w:rsid w:val="003A2389"/>
    <w:rsid w:val="003A31A8"/>
    <w:rsid w:val="003D279E"/>
    <w:rsid w:val="00412878"/>
    <w:rsid w:val="00427E43"/>
    <w:rsid w:val="00440E3F"/>
    <w:rsid w:val="00465118"/>
    <w:rsid w:val="00484A2E"/>
    <w:rsid w:val="004B1A87"/>
    <w:rsid w:val="004C06E8"/>
    <w:rsid w:val="004C7B13"/>
    <w:rsid w:val="004E5A28"/>
    <w:rsid w:val="00543191"/>
    <w:rsid w:val="00544E9D"/>
    <w:rsid w:val="00575E4D"/>
    <w:rsid w:val="00577498"/>
    <w:rsid w:val="005C29BB"/>
    <w:rsid w:val="005D15A3"/>
    <w:rsid w:val="006014C5"/>
    <w:rsid w:val="00614557"/>
    <w:rsid w:val="006175A8"/>
    <w:rsid w:val="00624C8B"/>
    <w:rsid w:val="006255DD"/>
    <w:rsid w:val="00665FED"/>
    <w:rsid w:val="00666D53"/>
    <w:rsid w:val="006709BF"/>
    <w:rsid w:val="006B012F"/>
    <w:rsid w:val="006C778B"/>
    <w:rsid w:val="006F182B"/>
    <w:rsid w:val="006F63DB"/>
    <w:rsid w:val="0071135D"/>
    <w:rsid w:val="007379A3"/>
    <w:rsid w:val="007475A0"/>
    <w:rsid w:val="007745B9"/>
    <w:rsid w:val="007B5088"/>
    <w:rsid w:val="007C71B7"/>
    <w:rsid w:val="00800FA0"/>
    <w:rsid w:val="008630EB"/>
    <w:rsid w:val="008730C5"/>
    <w:rsid w:val="008A7263"/>
    <w:rsid w:val="008B15A4"/>
    <w:rsid w:val="008C33E1"/>
    <w:rsid w:val="008C4B46"/>
    <w:rsid w:val="00945B9D"/>
    <w:rsid w:val="00964788"/>
    <w:rsid w:val="0097681E"/>
    <w:rsid w:val="009A69BD"/>
    <w:rsid w:val="009B4E06"/>
    <w:rsid w:val="009C63D0"/>
    <w:rsid w:val="00A150DC"/>
    <w:rsid w:val="00A216D6"/>
    <w:rsid w:val="00A26343"/>
    <w:rsid w:val="00A84177"/>
    <w:rsid w:val="00AD7920"/>
    <w:rsid w:val="00B12045"/>
    <w:rsid w:val="00B3351A"/>
    <w:rsid w:val="00B5016C"/>
    <w:rsid w:val="00B652A8"/>
    <w:rsid w:val="00B93185"/>
    <w:rsid w:val="00BA533C"/>
    <w:rsid w:val="00BB4D04"/>
    <w:rsid w:val="00BC2145"/>
    <w:rsid w:val="00BC22E5"/>
    <w:rsid w:val="00BC6F00"/>
    <w:rsid w:val="00C04636"/>
    <w:rsid w:val="00C06F04"/>
    <w:rsid w:val="00C17603"/>
    <w:rsid w:val="00C359DD"/>
    <w:rsid w:val="00C64CE6"/>
    <w:rsid w:val="00C9694E"/>
    <w:rsid w:val="00C975C3"/>
    <w:rsid w:val="00CC4E42"/>
    <w:rsid w:val="00CD5DC8"/>
    <w:rsid w:val="00CE07B7"/>
    <w:rsid w:val="00CE4F75"/>
    <w:rsid w:val="00CE5671"/>
    <w:rsid w:val="00CF0D54"/>
    <w:rsid w:val="00D051CB"/>
    <w:rsid w:val="00D15F45"/>
    <w:rsid w:val="00D928F8"/>
    <w:rsid w:val="00D92B0B"/>
    <w:rsid w:val="00D95BCA"/>
    <w:rsid w:val="00DC7415"/>
    <w:rsid w:val="00DD0E43"/>
    <w:rsid w:val="00E04FA5"/>
    <w:rsid w:val="00E063EF"/>
    <w:rsid w:val="00E15747"/>
    <w:rsid w:val="00E43A74"/>
    <w:rsid w:val="00E46AD4"/>
    <w:rsid w:val="00E67375"/>
    <w:rsid w:val="00EA5DE4"/>
    <w:rsid w:val="00ED7F31"/>
    <w:rsid w:val="00F03A80"/>
    <w:rsid w:val="00F27944"/>
    <w:rsid w:val="00F45ADF"/>
    <w:rsid w:val="00F56A67"/>
    <w:rsid w:val="00F719C8"/>
    <w:rsid w:val="00F73C89"/>
    <w:rsid w:val="00F76D55"/>
    <w:rsid w:val="00FA097D"/>
    <w:rsid w:val="00FA1FAB"/>
    <w:rsid w:val="00FE775E"/>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宋体" w:hAnsi="Times New Roman" w:cs="Times New Roman"/>
        <w:lang w:val="en-US" w:eastAsia="zh-CN" w:bidi="ar-SA"/>
      </w:rPr>
    </w:rPrDefault>
    <w:pPrDefault/>
  </w:docDefaults>
  <w:latentStyles w:defLockedState="0" w:defUIPriority="0" w:defSemiHidden="0" w:defUnhideWhenUsed="0" w:defQFormat="0" w:count="371">
    <w:lsdException w:name="Normal" w:qFormat="1"/>
    <w:lsdException w:name="heading 1" w:uiPriority="9" w:qFormat="1"/>
    <w:lsdException w:name="heading 2" w:semiHidden="1" w:uiPriority="9"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toc 1" w:uiPriority="39"/>
    <w:lsdException w:name="toc 2" w:uiPriority="39"/>
    <w:lsdException w:name="header" w:uiPriority="99"/>
    <w:lsdException w:name="footer" w:uiPriority="99"/>
    <w:lsdException w:name="caption" w:semiHidden="1" w:unhideWhenUsed="1" w:qFormat="1"/>
    <w:lsdException w:name="Title" w:qFormat="1"/>
    <w:lsdException w:name="Subtitle" w:qFormat="1"/>
    <w:lsdException w:name="Hyperlink" w:uiPriority="99"/>
    <w:lsdException w:name="Strong" w:qFormat="1"/>
    <w:lsdException w:name="Emphasis" w:qFormat="1"/>
    <w:lsdException w:name="Normal (Web)" w:uiPriority="99"/>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4E5A28"/>
    <w:pPr>
      <w:widowControl w:val="0"/>
      <w:jc w:val="both"/>
    </w:pPr>
    <w:rPr>
      <w:kern w:val="2"/>
      <w:sz w:val="21"/>
      <w:szCs w:val="24"/>
    </w:rPr>
  </w:style>
  <w:style w:type="paragraph" w:styleId="1">
    <w:name w:val="heading 1"/>
    <w:basedOn w:val="a"/>
    <w:next w:val="a"/>
    <w:link w:val="10"/>
    <w:uiPriority w:val="9"/>
    <w:qFormat/>
    <w:rsid w:val="00E063EF"/>
    <w:pPr>
      <w:keepNext/>
      <w:keepLines/>
      <w:spacing w:before="340" w:after="330" w:line="578" w:lineRule="auto"/>
      <w:outlineLvl w:val="0"/>
    </w:pPr>
    <w:rPr>
      <w:b/>
      <w:bCs/>
      <w:kern w:val="44"/>
      <w:sz w:val="44"/>
      <w:szCs w:val="44"/>
      <w:lang w:val="x-none" w:eastAsia="x-none"/>
    </w:rPr>
  </w:style>
  <w:style w:type="paragraph" w:styleId="2">
    <w:name w:val="heading 2"/>
    <w:basedOn w:val="a"/>
    <w:link w:val="20"/>
    <w:uiPriority w:val="9"/>
    <w:qFormat/>
    <w:rsid w:val="00E063EF"/>
    <w:pPr>
      <w:widowControl/>
      <w:spacing w:before="100" w:beforeAutospacing="1" w:after="100" w:afterAutospacing="1"/>
      <w:jc w:val="left"/>
      <w:outlineLvl w:val="1"/>
    </w:pPr>
    <w:rPr>
      <w:rFonts w:ascii="宋体" w:hAnsi="宋体"/>
      <w:b/>
      <w:bCs/>
      <w:kern w:val="0"/>
      <w:sz w:val="18"/>
      <w:szCs w:val="18"/>
      <w:lang w:val="x-none" w:eastAsia="x-none"/>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link w:val="a4"/>
    <w:uiPriority w:val="99"/>
    <w:unhideWhenUsed/>
    <w:rsid w:val="00800FA0"/>
    <w:pPr>
      <w:widowControl/>
      <w:spacing w:before="100" w:beforeAutospacing="1" w:after="100" w:afterAutospacing="1"/>
      <w:jc w:val="left"/>
    </w:pPr>
    <w:rPr>
      <w:rFonts w:ascii="宋体" w:hAnsi="宋体"/>
      <w:kern w:val="0"/>
      <w:sz w:val="24"/>
      <w:lang w:val="x-none" w:eastAsia="x-none"/>
    </w:rPr>
  </w:style>
  <w:style w:type="paragraph" w:customStyle="1" w:styleId="-">
    <w:name w:val="模板-正文"/>
    <w:basedOn w:val="a3"/>
    <w:link w:val="-Char"/>
    <w:rsid w:val="00A216D6"/>
    <w:pPr>
      <w:shd w:val="clear" w:color="auto" w:fill="FFFFFF"/>
      <w:snapToGrid w:val="0"/>
      <w:spacing w:before="0" w:beforeAutospacing="0" w:after="0" w:afterAutospacing="0" w:line="311" w:lineRule="exact"/>
      <w:ind w:firstLineChars="200" w:firstLine="200"/>
      <w:jc w:val="both"/>
    </w:pPr>
    <w:rPr>
      <w:rFonts w:eastAsia="仿宋"/>
      <w:color w:val="222222"/>
      <w:sz w:val="21"/>
      <w:szCs w:val="21"/>
    </w:rPr>
  </w:style>
  <w:style w:type="character" w:customStyle="1" w:styleId="20">
    <w:name w:val="标题 2 字符"/>
    <w:link w:val="2"/>
    <w:uiPriority w:val="9"/>
    <w:rsid w:val="00E063EF"/>
    <w:rPr>
      <w:rFonts w:ascii="宋体" w:hAnsi="宋体" w:cs="宋体"/>
      <w:b/>
      <w:bCs/>
      <w:sz w:val="18"/>
      <w:szCs w:val="18"/>
    </w:rPr>
  </w:style>
  <w:style w:type="character" w:customStyle="1" w:styleId="a4">
    <w:name w:val="普通(网站) 字符"/>
    <w:link w:val="a3"/>
    <w:uiPriority w:val="99"/>
    <w:rsid w:val="00800FA0"/>
    <w:rPr>
      <w:rFonts w:ascii="宋体" w:hAnsi="宋体" w:cs="宋体"/>
      <w:sz w:val="24"/>
      <w:szCs w:val="24"/>
    </w:rPr>
  </w:style>
  <w:style w:type="character" w:customStyle="1" w:styleId="-Char">
    <w:name w:val="模板-正文 Char"/>
    <w:link w:val="-"/>
    <w:rsid w:val="00A216D6"/>
    <w:rPr>
      <w:rFonts w:ascii="宋体" w:eastAsia="仿宋" w:hAnsi="宋体"/>
      <w:color w:val="222222"/>
      <w:sz w:val="21"/>
      <w:szCs w:val="21"/>
      <w:shd w:val="clear" w:color="auto" w:fill="FFFFFF"/>
      <w:lang w:val="x-none" w:eastAsia="x-none"/>
    </w:rPr>
  </w:style>
  <w:style w:type="character" w:customStyle="1" w:styleId="docorderno">
    <w:name w:val="doc_order_no"/>
    <w:rsid w:val="00E063EF"/>
  </w:style>
  <w:style w:type="paragraph" w:customStyle="1" w:styleId="-2">
    <w:name w:val="模板-标题 2"/>
    <w:basedOn w:val="2"/>
    <w:link w:val="-2Char"/>
    <w:qFormat/>
    <w:rsid w:val="00C17603"/>
    <w:pPr>
      <w:shd w:val="clear" w:color="auto" w:fill="FFFFFF"/>
      <w:spacing w:beforeLines="50" w:before="50" w:beforeAutospacing="0" w:afterLines="50" w:after="50" w:afterAutospacing="0" w:line="290" w:lineRule="exact"/>
    </w:pPr>
    <w:rPr>
      <w:rFonts w:eastAsia="仿宋"/>
      <w:color w:val="222222"/>
      <w:sz w:val="21"/>
    </w:rPr>
  </w:style>
  <w:style w:type="paragraph" w:styleId="21">
    <w:name w:val="toc 2"/>
    <w:basedOn w:val="a"/>
    <w:next w:val="a"/>
    <w:autoRedefine/>
    <w:uiPriority w:val="39"/>
    <w:rsid w:val="00E063EF"/>
    <w:pPr>
      <w:ind w:leftChars="200" w:left="420"/>
    </w:pPr>
  </w:style>
  <w:style w:type="character" w:customStyle="1" w:styleId="-2Char">
    <w:name w:val="模板-标题 2 Char"/>
    <w:link w:val="-2"/>
    <w:rsid w:val="00C17603"/>
    <w:rPr>
      <w:rFonts w:ascii="宋体" w:eastAsia="仿宋" w:hAnsi="宋体"/>
      <w:b/>
      <w:bCs/>
      <w:color w:val="222222"/>
      <w:sz w:val="21"/>
      <w:szCs w:val="18"/>
      <w:shd w:val="clear" w:color="auto" w:fill="FFFFFF"/>
      <w:lang w:val="x-none" w:eastAsia="x-none"/>
    </w:rPr>
  </w:style>
  <w:style w:type="character" w:styleId="a5">
    <w:name w:val="Hyperlink"/>
    <w:uiPriority w:val="99"/>
    <w:unhideWhenUsed/>
    <w:rsid w:val="00E063EF"/>
    <w:rPr>
      <w:color w:val="0000FF"/>
      <w:u w:val="single"/>
    </w:rPr>
  </w:style>
  <w:style w:type="character" w:customStyle="1" w:styleId="10">
    <w:name w:val="标题 1 字符"/>
    <w:link w:val="1"/>
    <w:uiPriority w:val="9"/>
    <w:rsid w:val="00E063EF"/>
    <w:rPr>
      <w:b/>
      <w:bCs/>
      <w:kern w:val="44"/>
      <w:sz w:val="44"/>
      <w:szCs w:val="44"/>
    </w:rPr>
  </w:style>
  <w:style w:type="paragraph" w:customStyle="1" w:styleId="-1">
    <w:name w:val="模板-标题 1"/>
    <w:basedOn w:val="1"/>
    <w:link w:val="-1Char"/>
    <w:qFormat/>
    <w:rsid w:val="00C17603"/>
    <w:pPr>
      <w:keepNext w:val="0"/>
      <w:keepLines w:val="0"/>
      <w:widowControl/>
      <w:shd w:val="clear" w:color="auto" w:fill="FFFFFF"/>
      <w:spacing w:beforeLines="50" w:before="50" w:afterLines="50" w:after="50" w:line="290" w:lineRule="exact"/>
      <w:jc w:val="left"/>
    </w:pPr>
    <w:rPr>
      <w:rFonts w:ascii="宋体" w:eastAsia="仿宋" w:hAnsi="宋体"/>
      <w:color w:val="222222"/>
      <w:kern w:val="36"/>
      <w:sz w:val="24"/>
      <w:szCs w:val="24"/>
    </w:rPr>
  </w:style>
  <w:style w:type="paragraph" w:styleId="11">
    <w:name w:val="toc 1"/>
    <w:basedOn w:val="a"/>
    <w:next w:val="a"/>
    <w:autoRedefine/>
    <w:uiPriority w:val="39"/>
    <w:rsid w:val="00E063EF"/>
  </w:style>
  <w:style w:type="character" w:customStyle="1" w:styleId="-1Char">
    <w:name w:val="模板-标题 1 Char"/>
    <w:link w:val="-1"/>
    <w:rsid w:val="00C17603"/>
    <w:rPr>
      <w:rFonts w:ascii="宋体" w:eastAsia="仿宋" w:hAnsi="宋体"/>
      <w:b/>
      <w:bCs/>
      <w:color w:val="222222"/>
      <w:kern w:val="36"/>
      <w:sz w:val="24"/>
      <w:szCs w:val="24"/>
      <w:shd w:val="clear" w:color="auto" w:fill="FFFFFF"/>
      <w:lang w:val="x-none" w:eastAsia="x-none"/>
    </w:rPr>
  </w:style>
  <w:style w:type="paragraph" w:customStyle="1" w:styleId="-3">
    <w:name w:val="模板-标题 3"/>
    <w:basedOn w:val="a"/>
    <w:link w:val="-3Char"/>
    <w:qFormat/>
    <w:rsid w:val="00C17603"/>
    <w:pPr>
      <w:spacing w:beforeLines="50" w:before="50" w:afterLines="50" w:after="50" w:line="290" w:lineRule="atLeast"/>
    </w:pPr>
    <w:rPr>
      <w:rFonts w:eastAsia="仿宋"/>
      <w:b/>
      <w:color w:val="222222"/>
      <w:szCs w:val="18"/>
      <w:lang w:val="x-none" w:eastAsia="x-none"/>
    </w:rPr>
  </w:style>
  <w:style w:type="table" w:styleId="a6">
    <w:name w:val="Table Grid"/>
    <w:basedOn w:val="a1"/>
    <w:rsid w:val="00E67375"/>
    <w:pPr>
      <w:spacing w:line="312" w:lineRule="exact"/>
      <w:jc w:val="center"/>
      <w:textAlignment w:val="center"/>
    </w:pPr>
    <w:rPr>
      <w:rFonts w:eastAsia="仿宋"/>
      <w:color w:val="000000" w:themeColor="text1"/>
      <w:sz w:val="21"/>
    </w:rPr>
    <w:tblPr>
      <w:jc w:val="center"/>
      <w:tblBorders>
        <w:top w:val="single" w:sz="4" w:space="0" w:color="auto"/>
        <w:bottom w:val="single" w:sz="4" w:space="0" w:color="auto"/>
        <w:insideH w:val="dashed" w:sz="4" w:space="0" w:color="auto"/>
      </w:tblBorders>
    </w:tblPr>
    <w:trPr>
      <w:jc w:val="center"/>
    </w:trPr>
    <w:tcPr>
      <w:vAlign w:val="center"/>
    </w:tcPr>
  </w:style>
  <w:style w:type="character" w:customStyle="1" w:styleId="-3Char">
    <w:name w:val="模板-标题 3 Char"/>
    <w:link w:val="-3"/>
    <w:rsid w:val="00C17603"/>
    <w:rPr>
      <w:rFonts w:eastAsia="仿宋"/>
      <w:b/>
      <w:color w:val="222222"/>
      <w:kern w:val="2"/>
      <w:sz w:val="21"/>
      <w:szCs w:val="18"/>
      <w:lang w:val="x-none" w:eastAsia="x-none"/>
    </w:rPr>
  </w:style>
  <w:style w:type="table" w:customStyle="1" w:styleId="-0">
    <w:name w:val="模板-表格"/>
    <w:basedOn w:val="a1"/>
    <w:rsid w:val="00CF0D54"/>
    <w:pPr>
      <w:spacing w:line="312" w:lineRule="exact"/>
      <w:textAlignment w:val="center"/>
    </w:pPr>
    <w:rPr>
      <w:rFonts w:eastAsia="仿宋"/>
      <w:color w:val="000000" w:themeColor="text1"/>
      <w:sz w:val="21"/>
    </w:rPr>
    <w:tblPr>
      <w:jc w:val="center"/>
      <w:tblBorders>
        <w:top w:val="single" w:sz="4" w:space="0" w:color="auto"/>
        <w:bottom w:val="single" w:sz="4" w:space="0" w:color="auto"/>
        <w:insideH w:val="dashed" w:sz="4" w:space="0" w:color="auto"/>
      </w:tblBorders>
    </w:tblPr>
    <w:trPr>
      <w:jc w:val="center"/>
    </w:trPr>
    <w:tcPr>
      <w:vAlign w:val="center"/>
    </w:tcPr>
  </w:style>
  <w:style w:type="paragraph" w:styleId="a7">
    <w:name w:val="header"/>
    <w:basedOn w:val="a"/>
    <w:link w:val="a8"/>
    <w:uiPriority w:val="99"/>
    <w:rsid w:val="00C06F04"/>
    <w:pPr>
      <w:pBdr>
        <w:bottom w:val="single" w:sz="6" w:space="1" w:color="auto"/>
      </w:pBdr>
      <w:tabs>
        <w:tab w:val="center" w:pos="4153"/>
        <w:tab w:val="right" w:pos="8306"/>
      </w:tabs>
      <w:snapToGrid w:val="0"/>
      <w:jc w:val="center"/>
    </w:pPr>
    <w:rPr>
      <w:sz w:val="18"/>
      <w:szCs w:val="18"/>
      <w:lang w:val="x-none" w:eastAsia="x-none"/>
    </w:rPr>
  </w:style>
  <w:style w:type="character" w:customStyle="1" w:styleId="a8">
    <w:name w:val="页眉 字符"/>
    <w:link w:val="a7"/>
    <w:uiPriority w:val="99"/>
    <w:rsid w:val="00C06F04"/>
    <w:rPr>
      <w:kern w:val="2"/>
      <w:sz w:val="18"/>
      <w:szCs w:val="18"/>
    </w:rPr>
  </w:style>
  <w:style w:type="paragraph" w:styleId="a9">
    <w:name w:val="footer"/>
    <w:basedOn w:val="a"/>
    <w:link w:val="aa"/>
    <w:uiPriority w:val="99"/>
    <w:rsid w:val="00C06F04"/>
    <w:pPr>
      <w:tabs>
        <w:tab w:val="center" w:pos="4153"/>
        <w:tab w:val="right" w:pos="8306"/>
      </w:tabs>
      <w:snapToGrid w:val="0"/>
      <w:jc w:val="left"/>
    </w:pPr>
    <w:rPr>
      <w:sz w:val="18"/>
      <w:szCs w:val="18"/>
      <w:lang w:val="x-none" w:eastAsia="x-none"/>
    </w:rPr>
  </w:style>
  <w:style w:type="character" w:customStyle="1" w:styleId="aa">
    <w:name w:val="页脚 字符"/>
    <w:link w:val="a9"/>
    <w:uiPriority w:val="99"/>
    <w:rsid w:val="00C06F04"/>
    <w:rPr>
      <w:kern w:val="2"/>
      <w:sz w:val="18"/>
      <w:szCs w:val="18"/>
    </w:rPr>
  </w:style>
  <w:style w:type="paragraph" w:styleId="ab">
    <w:name w:val="Document Map"/>
    <w:basedOn w:val="a"/>
    <w:link w:val="ac"/>
    <w:rsid w:val="00624C8B"/>
    <w:rPr>
      <w:rFonts w:ascii="宋体"/>
      <w:sz w:val="18"/>
      <w:szCs w:val="18"/>
      <w:lang w:val="x-none" w:eastAsia="x-none"/>
    </w:rPr>
  </w:style>
  <w:style w:type="character" w:customStyle="1" w:styleId="ac">
    <w:name w:val="文档结构图 字符"/>
    <w:link w:val="ab"/>
    <w:rsid w:val="00624C8B"/>
    <w:rPr>
      <w:rFonts w:ascii="宋体"/>
      <w:kern w:val="2"/>
      <w:sz w:val="18"/>
      <w:szCs w:val="18"/>
    </w:rPr>
  </w:style>
  <w:style w:type="paragraph" w:styleId="ad">
    <w:name w:val="Title"/>
    <w:basedOn w:val="a"/>
    <w:next w:val="a"/>
    <w:link w:val="ae"/>
    <w:qFormat/>
    <w:rsid w:val="00D92B0B"/>
    <w:pPr>
      <w:spacing w:before="240" w:after="60"/>
      <w:jc w:val="center"/>
      <w:outlineLvl w:val="0"/>
    </w:pPr>
    <w:rPr>
      <w:rFonts w:ascii="Cambria" w:hAnsi="Cambria"/>
      <w:b/>
      <w:bCs/>
      <w:sz w:val="32"/>
      <w:szCs w:val="32"/>
      <w:lang w:val="x-none" w:eastAsia="x-none"/>
    </w:rPr>
  </w:style>
  <w:style w:type="character" w:customStyle="1" w:styleId="ae">
    <w:name w:val="标题 字符"/>
    <w:link w:val="ad"/>
    <w:rsid w:val="00D92B0B"/>
    <w:rPr>
      <w:rFonts w:ascii="Cambria" w:hAnsi="Cambria" w:cs="Times New Roman"/>
      <w:b/>
      <w:bCs/>
      <w:kern w:val="2"/>
      <w:sz w:val="32"/>
      <w:szCs w:val="32"/>
    </w:rPr>
  </w:style>
  <w:style w:type="paragraph" w:customStyle="1" w:styleId="-4">
    <w:name w:val="模板-标题"/>
    <w:basedOn w:val="ad"/>
    <w:qFormat/>
    <w:rsid w:val="0038669A"/>
    <w:pPr>
      <w:spacing w:before="0" w:afterLines="100" w:after="100" w:line="290" w:lineRule="exact"/>
      <w:outlineLvl w:val="9"/>
    </w:pPr>
    <w:rPr>
      <w:rFonts w:eastAsia="仿宋"/>
      <w:color w:val="000000" w:themeColor="text1"/>
      <w:sz w:val="24"/>
    </w:rPr>
  </w:style>
  <w:style w:type="paragraph" w:customStyle="1" w:styleId="-40">
    <w:name w:val="模板-标题 4"/>
    <w:basedOn w:val="a"/>
    <w:qFormat/>
    <w:rsid w:val="00C17603"/>
    <w:pPr>
      <w:spacing w:line="290" w:lineRule="exact"/>
    </w:pPr>
    <w:rPr>
      <w:rFonts w:eastAsia="仿宋"/>
      <w:b/>
      <w:color w:val="000000" w:themeColor="text1"/>
    </w:rPr>
  </w:style>
  <w:style w:type="paragraph" w:customStyle="1" w:styleId="-5">
    <w:name w:val="模板-标题 5"/>
    <w:basedOn w:val="-40"/>
    <w:qFormat/>
    <w:rsid w:val="00DD0E43"/>
  </w:style>
  <w:style w:type="paragraph" w:customStyle="1" w:styleId="-6">
    <w:name w:val="模板-标题 6"/>
    <w:basedOn w:val="-5"/>
    <w:qFormat/>
    <w:rsid w:val="007C71B7"/>
  </w:style>
  <w:style w:type="table" w:customStyle="1" w:styleId="-noheader">
    <w:name w:val="模板-表格_noheader"/>
    <w:basedOn w:val="a1"/>
    <w:rsid w:val="00E67375"/>
    <w:pPr>
      <w:spacing w:line="312" w:lineRule="exact"/>
      <w:jc w:val="center"/>
      <w:textAlignment w:val="center"/>
    </w:pPr>
    <w:rPr>
      <w:rFonts w:eastAsia="仿宋"/>
      <w:color w:val="000000" w:themeColor="text1"/>
      <w:sz w:val="21"/>
    </w:rPr>
    <w:tblPr>
      <w:jc w:val="center"/>
      <w:tblBorders>
        <w:top w:val="single" w:sz="4" w:space="0" w:color="auto"/>
        <w:bottom w:val="single" w:sz="4" w:space="0" w:color="auto"/>
        <w:insideH w:val="dashed" w:sz="4" w:space="0" w:color="auto"/>
      </w:tblBorders>
    </w:tblPr>
    <w:trPr>
      <w:jc w:val="center"/>
    </w:trPr>
    <w:tcPr>
      <w:vAlign w:val="center"/>
    </w:tcPr>
  </w:style>
  <w:style w:type="paragraph" w:customStyle="1" w:styleId="-7">
    <w:name w:val="模板-正文无缩进"/>
    <w:basedOn w:val="-"/>
    <w:link w:val="-8"/>
    <w:rsid w:val="00A216D6"/>
    <w:pPr>
      <w:spacing w:line="312" w:lineRule="exact"/>
    </w:pPr>
  </w:style>
  <w:style w:type="character" w:customStyle="1" w:styleId="-8">
    <w:name w:val="模板-正文无缩进 字符"/>
    <w:basedOn w:val="-Char"/>
    <w:link w:val="-7"/>
    <w:rsid w:val="00A216D6"/>
    <w:rPr>
      <w:rFonts w:ascii="宋体" w:eastAsia="仿宋" w:hAnsi="宋体"/>
      <w:color w:val="222222"/>
      <w:sz w:val="21"/>
      <w:szCs w:val="21"/>
      <w:shd w:val="clear" w:color="auto" w:fill="FFFFFF"/>
      <w:lang w:val="x-none" w:eastAsia="x-none"/>
    </w:rPr>
  </w:style>
  <w:style w:type="paragraph" w:customStyle="1" w:styleId="-9">
    <w:name w:val="模板-正文下划线"/>
    <w:basedOn w:val="-"/>
    <w:link w:val="-a"/>
    <w:qFormat/>
    <w:rsid w:val="008A7263"/>
    <w:pPr>
      <w:spacing w:line="312" w:lineRule="exact"/>
    </w:pPr>
    <w:rPr>
      <w:u w:val="single"/>
    </w:rPr>
  </w:style>
  <w:style w:type="character" w:customStyle="1" w:styleId="-a">
    <w:name w:val="模板-正文下划线 字符"/>
    <w:basedOn w:val="-Char"/>
    <w:link w:val="-9"/>
    <w:rsid w:val="008A7263"/>
    <w:rPr>
      <w:rFonts w:ascii="宋体" w:eastAsia="仿宋" w:hAnsi="宋体"/>
      <w:color w:val="222222"/>
      <w:sz w:val="21"/>
      <w:szCs w:val="21"/>
      <w:u w:val="single"/>
      <w:shd w:val="clear" w:color="auto" w:fill="FFFFFF"/>
      <w:lang w:val="x-none" w:eastAsia="x-none"/>
    </w:rPr>
  </w:style>
  <w:style w:type="paragraph" w:customStyle="1" w:styleId="-b">
    <w:name w:val="模板-正文加粗"/>
    <w:basedOn w:val="-"/>
    <w:next w:val="-"/>
    <w:link w:val="-Char0"/>
    <w:qFormat/>
    <w:rsid w:val="004E5A28"/>
    <w:pPr>
      <w:spacing w:line="360" w:lineRule="auto"/>
      <w:jc w:val="left"/>
    </w:pPr>
    <w:rPr>
      <w:b/>
    </w:rPr>
  </w:style>
  <w:style w:type="character" w:customStyle="1" w:styleId="-Char0">
    <w:name w:val="模板-正文加粗 Char"/>
    <w:basedOn w:val="a0"/>
    <w:link w:val="-b"/>
    <w:rsid w:val="004E5A28"/>
    <w:rPr>
      <w:rFonts w:ascii="宋体" w:eastAsia="仿宋" w:hAnsi="宋体"/>
      <w:b/>
      <w:color w:val="222222"/>
      <w:sz w:val="21"/>
      <w:szCs w:val="21"/>
      <w:shd w:val="clear" w:color="auto" w:fill="FFFFFF"/>
      <w:lang w:val="x-none" w:eastAsia="x-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92989761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C308631-F54F-4595-8A69-55319A05A82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8</Pages>
  <Words>8439</Words>
  <Characters>8688</Characters>
  <Application>Microsoft Office Word</Application>
  <DocSecurity>0</DocSecurity>
  <Lines>381</Lines>
  <Paragraphs>179</Paragraphs>
  <ScaleCrop>false</ScaleCrop>
  <Company/>
  <LinksUpToDate>false</LinksUpToDate>
  <CharactersWithSpaces>8722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cp:lastModifiedBy/>
  <cp:revision>1</cp:revision>
  <dcterms:created xsi:type="dcterms:W3CDTF">2026-09-24T00:53:00Z</dcterms:created>
  <dcterms:modified xsi:type="dcterms:W3CDTF">2026-09-24T00:53:00Z</dcterms:modified>
</cp:coreProperties>
</file>