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DD591D">
      <w:pPr>
        <w:jc w:val="center"/>
        <w:rPr>
          <w:rFonts w:ascii="彩虹粗仿宋" w:eastAsia="彩虹粗仿宋" w:hAnsi="宋体" w:cs="Arial"/>
          <w:b/>
          <w:sz w:val="44"/>
        </w:rPr>
      </w:pPr>
      <w:r>
        <w:rPr>
          <w:rFonts w:ascii="彩虹粗仿宋" w:eastAsia="彩虹粗仿宋" w:hAnsi="宋体" w:cs="Arial" w:hint="eastAsia"/>
          <w:b/>
          <w:sz w:val="44"/>
        </w:rPr>
        <w:t>南方稳庆</w:t>
      </w:r>
      <w:r>
        <w:rPr>
          <w:rFonts w:ascii="彩虹粗仿宋" w:eastAsia="彩虹粗仿宋" w:hAnsi="宋体" w:cs="Arial" w:hint="eastAsia"/>
          <w:b/>
          <w:sz w:val="44"/>
        </w:rPr>
        <w:t>6</w:t>
      </w:r>
      <w:r>
        <w:rPr>
          <w:rFonts w:ascii="彩虹粗仿宋" w:eastAsia="彩虹粗仿宋" w:hAnsi="宋体" w:cs="Arial" w:hint="eastAsia"/>
          <w:b/>
          <w:sz w:val="44"/>
        </w:rPr>
        <w:t>个月持有期混合型基金中基金（</w:t>
      </w:r>
      <w:r>
        <w:rPr>
          <w:rFonts w:ascii="彩虹粗仿宋" w:eastAsia="彩虹粗仿宋" w:hAnsi="宋体" w:cs="Arial" w:hint="eastAsia"/>
          <w:b/>
          <w:sz w:val="44"/>
        </w:rPr>
        <w:t>FOF</w:t>
      </w:r>
      <w:r>
        <w:rPr>
          <w:rFonts w:ascii="彩虹粗仿宋" w:eastAsia="彩虹粗仿宋" w:hAnsi="宋体" w:cs="Arial" w:hint="eastAsia"/>
          <w:b/>
          <w:sz w:val="44"/>
        </w:rPr>
        <w:t>）托管协议</w:t>
      </w:r>
    </w:p>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3F2F5E"/>
    <w:p w:rsidR="003F2F5E" w:rsidRDefault="00DD591D">
      <w:pPr>
        <w:rPr>
          <w:rFonts w:ascii="彩虹粗仿宋" w:eastAsia="彩虹粗仿宋" w:hAnsi="宋体" w:cs="Arial"/>
          <w:b/>
          <w:bCs/>
          <w:sz w:val="28"/>
        </w:rPr>
      </w:pPr>
      <w:r>
        <w:rPr>
          <w:rFonts w:ascii="彩虹粗仿宋" w:eastAsia="彩虹粗仿宋" w:hAnsi="宋体" w:cs="Arial" w:hint="eastAsia"/>
          <w:sz w:val="24"/>
        </w:rPr>
        <w:t xml:space="preserve">                 </w:t>
      </w:r>
      <w:r>
        <w:rPr>
          <w:rFonts w:ascii="彩虹粗仿宋" w:eastAsia="彩虹粗仿宋" w:hAnsi="宋体" w:cs="Arial" w:hint="eastAsia"/>
          <w:b/>
          <w:bCs/>
          <w:sz w:val="28"/>
        </w:rPr>
        <w:t>基金管理人：南方基金管理股份有限公司</w:t>
      </w:r>
    </w:p>
    <w:p w:rsidR="003F2F5E" w:rsidRDefault="00DD591D">
      <w:pPr>
        <w:rPr>
          <w:rFonts w:ascii="彩虹粗仿宋" w:eastAsia="彩虹粗仿宋" w:hAnsi="宋体" w:cs="Arial"/>
          <w:b/>
          <w:bCs/>
          <w:sz w:val="28"/>
        </w:rPr>
      </w:pPr>
      <w:r>
        <w:rPr>
          <w:rFonts w:ascii="彩虹粗仿宋" w:eastAsia="彩虹粗仿宋" w:hAnsi="宋体" w:cs="Arial" w:hint="eastAsia"/>
          <w:sz w:val="24"/>
        </w:rPr>
        <w:t xml:space="preserve">                 </w:t>
      </w:r>
      <w:r>
        <w:rPr>
          <w:rFonts w:ascii="彩虹粗仿宋" w:eastAsia="彩虹粗仿宋" w:hAnsi="宋体" w:cs="Arial" w:hint="eastAsia"/>
          <w:b/>
          <w:bCs/>
          <w:sz w:val="28"/>
        </w:rPr>
        <w:t>基金托管人：重庆农村商业银行股份有限公司</w:t>
      </w:r>
    </w:p>
    <w:p w:rsidR="003F2F5E" w:rsidRDefault="00DD591D">
      <w:pPr>
        <w:jc w:val="center"/>
        <w:rPr>
          <w:rFonts w:ascii="彩虹粗仿宋" w:eastAsia="彩虹粗仿宋"/>
          <w:b/>
          <w:bCs/>
          <w:sz w:val="30"/>
        </w:rPr>
      </w:pPr>
      <w:r>
        <w:rPr>
          <w:rFonts w:ascii="彩虹粗仿宋" w:eastAsia="彩虹粗仿宋" w:hint="eastAsia"/>
          <w:b/>
          <w:bCs/>
          <w:sz w:val="30"/>
        </w:rPr>
        <w:lastRenderedPageBreak/>
        <w:t>目</w:t>
      </w:r>
      <w:r>
        <w:rPr>
          <w:rFonts w:ascii="彩虹粗仿宋" w:eastAsia="彩虹粗仿宋" w:hint="eastAsia"/>
          <w:b/>
          <w:bCs/>
          <w:sz w:val="30"/>
        </w:rPr>
        <w:t xml:space="preserve">    </w:t>
      </w:r>
      <w:r>
        <w:rPr>
          <w:rFonts w:ascii="彩虹粗仿宋" w:eastAsia="彩虹粗仿宋" w:hint="eastAsia"/>
          <w:b/>
          <w:bCs/>
          <w:sz w:val="30"/>
        </w:rPr>
        <w:t>录</w:t>
      </w:r>
    </w:p>
    <w:p w:rsidR="003F2F5E" w:rsidRDefault="00DD591D">
      <w:pPr>
        <w:pStyle w:val="21"/>
        <w:tabs>
          <w:tab w:val="right" w:leader="dot" w:pos="8494"/>
        </w:tabs>
        <w:spacing w:after="0" w:line="480" w:lineRule="exact"/>
        <w:rPr>
          <w:rFonts w:eastAsia="彩虹粗仿宋"/>
          <w:noProof/>
          <w:sz w:val="28"/>
        </w:rPr>
      </w:pPr>
      <w:r>
        <w:rPr>
          <w:rFonts w:eastAsia="彩虹粗仿宋"/>
          <w:sz w:val="28"/>
        </w:rPr>
        <w:fldChar w:fldCharType="begin"/>
      </w:r>
      <w:r>
        <w:rPr>
          <w:rFonts w:eastAsia="彩虹粗仿宋"/>
          <w:sz w:val="28"/>
        </w:rPr>
        <w:instrText xml:space="preserve"> TOC \o "1-2" \h \z </w:instrText>
      </w:r>
      <w:r>
        <w:rPr>
          <w:rFonts w:eastAsia="彩虹粗仿宋"/>
          <w:sz w:val="28"/>
        </w:rPr>
        <w:fldChar w:fldCharType="separate"/>
      </w:r>
      <w:hyperlink w:anchor="_Toc124325885" w:history="1">
        <w:r>
          <w:rPr>
            <w:rStyle w:val="af"/>
            <w:rFonts w:eastAsia="彩虹粗仿宋"/>
            <w:noProof/>
            <w:color w:val="auto"/>
            <w:sz w:val="28"/>
            <w:szCs w:val="32"/>
            <w:u w:val="none"/>
          </w:rPr>
          <w:t>一、基金托管协议当事人</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_Toc124325885 \h </w:instrText>
        </w:r>
        <w:r>
          <w:rPr>
            <w:rFonts w:eastAsia="彩虹粗仿宋"/>
            <w:noProof/>
            <w:sz w:val="28"/>
          </w:rPr>
        </w:r>
        <w:r>
          <w:rPr>
            <w:rFonts w:eastAsia="彩虹粗仿宋"/>
            <w:noProof/>
            <w:sz w:val="28"/>
          </w:rPr>
          <w:fldChar w:fldCharType="separate"/>
        </w:r>
        <w:r w:rsidR="003D6B17">
          <w:rPr>
            <w:rFonts w:eastAsia="彩虹粗仿宋"/>
            <w:noProof/>
            <w:sz w:val="28"/>
          </w:rPr>
          <w:t>3</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86" w:history="1">
        <w:r>
          <w:rPr>
            <w:rStyle w:val="af"/>
            <w:rFonts w:eastAsia="彩虹粗仿宋"/>
            <w:noProof/>
            <w:color w:val="auto"/>
            <w:sz w:val="28"/>
            <w:szCs w:val="32"/>
            <w:u w:val="none"/>
          </w:rPr>
          <w:t>二、基金托管协议的依据、目的和原则</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_Toc124325886 \h </w:instrText>
        </w:r>
        <w:r>
          <w:rPr>
            <w:rFonts w:eastAsia="彩虹粗仿宋"/>
            <w:noProof/>
            <w:sz w:val="28"/>
          </w:rPr>
        </w:r>
        <w:r>
          <w:rPr>
            <w:rFonts w:eastAsia="彩虹粗仿宋"/>
            <w:noProof/>
            <w:sz w:val="28"/>
          </w:rPr>
          <w:fldChar w:fldCharType="separate"/>
        </w:r>
        <w:r w:rsidR="003D6B17">
          <w:rPr>
            <w:rFonts w:eastAsia="彩虹粗仿宋"/>
            <w:noProof/>
            <w:sz w:val="28"/>
          </w:rPr>
          <w:t>4</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87" w:history="1">
        <w:r>
          <w:rPr>
            <w:rStyle w:val="af"/>
            <w:rFonts w:eastAsia="彩虹粗仿宋"/>
            <w:noProof/>
            <w:color w:val="auto"/>
            <w:sz w:val="28"/>
            <w:szCs w:val="32"/>
            <w:u w:val="none"/>
          </w:rPr>
          <w:t>三、基金托管人对基金管理人的业务监督和核查</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_Toc124325887 \h </w:instrText>
        </w:r>
        <w:r>
          <w:rPr>
            <w:rFonts w:eastAsia="彩虹粗仿宋"/>
            <w:noProof/>
            <w:sz w:val="28"/>
          </w:rPr>
        </w:r>
        <w:r>
          <w:rPr>
            <w:rFonts w:eastAsia="彩虹粗仿宋"/>
            <w:noProof/>
            <w:sz w:val="28"/>
          </w:rPr>
          <w:fldChar w:fldCharType="separate"/>
        </w:r>
        <w:r w:rsidR="003D6B17">
          <w:rPr>
            <w:rFonts w:eastAsia="彩虹粗仿宋"/>
            <w:noProof/>
            <w:sz w:val="28"/>
          </w:rPr>
          <w:t>5</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88" w:history="1">
        <w:r>
          <w:rPr>
            <w:rStyle w:val="af"/>
            <w:rFonts w:eastAsia="彩虹粗仿宋"/>
            <w:noProof/>
            <w:color w:val="auto"/>
            <w:sz w:val="28"/>
            <w:szCs w:val="32"/>
            <w:u w:val="none"/>
          </w:rPr>
          <w:t>四、基金管理人对基金托管人的业务核查</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_Toc124325888 \h </w:instrText>
        </w:r>
        <w:r>
          <w:rPr>
            <w:rFonts w:eastAsia="彩虹粗仿宋"/>
            <w:noProof/>
            <w:sz w:val="28"/>
          </w:rPr>
        </w:r>
        <w:r>
          <w:rPr>
            <w:rFonts w:eastAsia="彩虹粗仿宋"/>
            <w:noProof/>
            <w:sz w:val="28"/>
          </w:rPr>
          <w:fldChar w:fldCharType="separate"/>
        </w:r>
        <w:r w:rsidR="003D6B17">
          <w:rPr>
            <w:rFonts w:eastAsia="彩虹粗仿宋"/>
            <w:noProof/>
            <w:sz w:val="28"/>
          </w:rPr>
          <w:t>13</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89" w:history="1">
        <w:r>
          <w:rPr>
            <w:rStyle w:val="af"/>
            <w:rFonts w:eastAsia="彩虹粗仿宋"/>
            <w:noProof/>
            <w:color w:val="auto"/>
            <w:sz w:val="28"/>
            <w:szCs w:val="32"/>
            <w:u w:val="none"/>
          </w:rPr>
          <w:t>五、基金财产的保管</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_Toc124325889 \h </w:instrText>
        </w:r>
        <w:r>
          <w:rPr>
            <w:rFonts w:eastAsia="彩虹粗仿宋"/>
            <w:noProof/>
            <w:sz w:val="28"/>
          </w:rPr>
        </w:r>
        <w:r>
          <w:rPr>
            <w:rFonts w:eastAsia="彩虹粗仿宋"/>
            <w:noProof/>
            <w:sz w:val="28"/>
          </w:rPr>
          <w:fldChar w:fldCharType="separate"/>
        </w:r>
        <w:r w:rsidR="003D6B17">
          <w:rPr>
            <w:rFonts w:eastAsia="彩虹粗仿宋"/>
            <w:noProof/>
            <w:sz w:val="28"/>
          </w:rPr>
          <w:t>14</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0" w:history="1">
        <w:r>
          <w:rPr>
            <w:rStyle w:val="af"/>
            <w:rFonts w:eastAsia="彩虹粗仿宋"/>
            <w:noProof/>
            <w:color w:val="auto"/>
            <w:sz w:val="28"/>
            <w:szCs w:val="32"/>
            <w:u w:val="none"/>
          </w:rPr>
          <w:t>六、指令的发送、确认及执行</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_Toc124325890 \h </w:instrText>
        </w:r>
        <w:r>
          <w:rPr>
            <w:rFonts w:eastAsia="彩虹粗仿宋"/>
            <w:noProof/>
            <w:sz w:val="28"/>
          </w:rPr>
        </w:r>
        <w:r>
          <w:rPr>
            <w:rFonts w:eastAsia="彩虹粗仿宋"/>
            <w:noProof/>
            <w:sz w:val="28"/>
          </w:rPr>
          <w:fldChar w:fldCharType="separate"/>
        </w:r>
        <w:r w:rsidR="003D6B17">
          <w:rPr>
            <w:rFonts w:eastAsia="彩虹粗仿宋"/>
            <w:noProof/>
            <w:sz w:val="28"/>
          </w:rPr>
          <w:t>18</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1" w:history="1">
        <w:r>
          <w:rPr>
            <w:rStyle w:val="af"/>
            <w:rFonts w:eastAsia="彩虹粗仿宋"/>
            <w:noProof/>
            <w:color w:val="auto"/>
            <w:sz w:val="28"/>
            <w:szCs w:val="32"/>
            <w:u w:val="none"/>
          </w:rPr>
          <w:t>七、交易及清算交收安排</w:t>
        </w:r>
        <w:r>
          <w:rPr>
            <w:rFonts w:eastAsia="彩虹粗仿宋"/>
            <w:noProof/>
            <w:sz w:val="28"/>
          </w:rPr>
          <w:tab/>
        </w:r>
        <w:r>
          <w:rPr>
            <w:rFonts w:eastAsia="彩虹粗仿宋"/>
            <w:noProof/>
            <w:sz w:val="28"/>
          </w:rPr>
          <w:fldChar w:fldCharType="begin"/>
        </w:r>
        <w:r>
          <w:rPr>
            <w:rFonts w:eastAsia="彩虹粗仿宋"/>
            <w:noProof/>
            <w:sz w:val="28"/>
          </w:rPr>
          <w:instrText xml:space="preserve"> P</w:instrText>
        </w:r>
        <w:r>
          <w:rPr>
            <w:rFonts w:eastAsia="彩虹粗仿宋"/>
            <w:noProof/>
            <w:sz w:val="28"/>
          </w:rPr>
          <w:instrText xml:space="preserve">AGEREF _Toc124325891 \h </w:instrText>
        </w:r>
        <w:r>
          <w:rPr>
            <w:rFonts w:eastAsia="彩虹粗仿宋"/>
            <w:noProof/>
            <w:sz w:val="28"/>
          </w:rPr>
        </w:r>
        <w:r>
          <w:rPr>
            <w:rFonts w:eastAsia="彩虹粗仿宋"/>
            <w:noProof/>
            <w:sz w:val="28"/>
          </w:rPr>
          <w:fldChar w:fldCharType="separate"/>
        </w:r>
        <w:r w:rsidR="003D6B17">
          <w:rPr>
            <w:rFonts w:eastAsia="彩虹粗仿宋"/>
            <w:noProof/>
            <w:sz w:val="28"/>
          </w:rPr>
          <w:t>21</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2" w:history="1">
        <w:r>
          <w:rPr>
            <w:rStyle w:val="af"/>
            <w:rFonts w:eastAsia="彩虹粗仿宋"/>
            <w:noProof/>
            <w:color w:val="auto"/>
            <w:sz w:val="28"/>
            <w:szCs w:val="32"/>
            <w:u w:val="none"/>
          </w:rPr>
          <w:t>八、基金资产净值计算和会计核算</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_Toc124325892 \h </w:instrText>
        </w:r>
        <w:r>
          <w:rPr>
            <w:rFonts w:eastAsia="彩虹粗仿宋"/>
            <w:noProof/>
            <w:sz w:val="28"/>
          </w:rPr>
        </w:r>
        <w:r>
          <w:rPr>
            <w:rFonts w:eastAsia="彩虹粗仿宋"/>
            <w:noProof/>
            <w:sz w:val="28"/>
          </w:rPr>
          <w:fldChar w:fldCharType="separate"/>
        </w:r>
        <w:r w:rsidR="003D6B17">
          <w:rPr>
            <w:rFonts w:eastAsia="彩虹粗仿宋"/>
            <w:noProof/>
            <w:sz w:val="28"/>
          </w:rPr>
          <w:t>25</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3" w:history="1">
        <w:r>
          <w:rPr>
            <w:rStyle w:val="af"/>
            <w:rFonts w:eastAsia="彩虹粗仿宋"/>
            <w:noProof/>
            <w:color w:val="auto"/>
            <w:sz w:val="28"/>
            <w:szCs w:val="32"/>
            <w:u w:val="none"/>
          </w:rPr>
          <w:t>九、基金收益分配</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_Toc124325893 \h </w:instrText>
        </w:r>
        <w:r>
          <w:rPr>
            <w:rFonts w:eastAsia="彩虹粗仿宋"/>
            <w:noProof/>
            <w:sz w:val="28"/>
          </w:rPr>
        </w:r>
        <w:r>
          <w:rPr>
            <w:rFonts w:eastAsia="彩虹粗仿宋"/>
            <w:noProof/>
            <w:sz w:val="28"/>
          </w:rPr>
          <w:fldChar w:fldCharType="separate"/>
        </w:r>
        <w:r w:rsidR="003D6B17">
          <w:rPr>
            <w:rFonts w:eastAsia="彩虹粗仿宋"/>
            <w:noProof/>
            <w:sz w:val="28"/>
          </w:rPr>
          <w:t>32</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4" w:history="1">
        <w:r>
          <w:rPr>
            <w:rStyle w:val="af"/>
            <w:rFonts w:eastAsia="彩虹粗仿宋"/>
            <w:noProof/>
            <w:color w:val="auto"/>
            <w:sz w:val="28"/>
            <w:szCs w:val="32"/>
            <w:u w:val="none"/>
          </w:rPr>
          <w:t>十、基金信息披露</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_Toc124325894 \h </w:instrText>
        </w:r>
        <w:r>
          <w:rPr>
            <w:rFonts w:eastAsia="彩虹粗仿宋"/>
            <w:noProof/>
            <w:sz w:val="28"/>
          </w:rPr>
        </w:r>
        <w:r>
          <w:rPr>
            <w:rFonts w:eastAsia="彩虹粗仿宋"/>
            <w:noProof/>
            <w:sz w:val="28"/>
          </w:rPr>
          <w:fldChar w:fldCharType="separate"/>
        </w:r>
        <w:r w:rsidR="003D6B17">
          <w:rPr>
            <w:rFonts w:eastAsia="彩虹粗仿宋"/>
            <w:noProof/>
            <w:sz w:val="28"/>
          </w:rPr>
          <w:t>34</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5" w:history="1">
        <w:r>
          <w:rPr>
            <w:rStyle w:val="af"/>
            <w:rFonts w:eastAsia="彩虹粗仿宋"/>
            <w:noProof/>
            <w:color w:val="auto"/>
            <w:sz w:val="28"/>
            <w:szCs w:val="32"/>
            <w:u w:val="none"/>
          </w:rPr>
          <w:t>十一、基金费用</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_Toc124325895 \h </w:instrText>
        </w:r>
        <w:r>
          <w:rPr>
            <w:rFonts w:eastAsia="彩虹粗仿宋"/>
            <w:noProof/>
            <w:sz w:val="28"/>
          </w:rPr>
        </w:r>
        <w:r>
          <w:rPr>
            <w:rFonts w:eastAsia="彩虹粗仿宋"/>
            <w:noProof/>
            <w:sz w:val="28"/>
          </w:rPr>
          <w:fldChar w:fldCharType="separate"/>
        </w:r>
        <w:r w:rsidR="003D6B17">
          <w:rPr>
            <w:rFonts w:eastAsia="彩虹粗仿宋"/>
            <w:noProof/>
            <w:sz w:val="28"/>
          </w:rPr>
          <w:t>36</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6" w:history="1">
        <w:r>
          <w:rPr>
            <w:rStyle w:val="af"/>
            <w:rFonts w:eastAsia="彩虹粗仿宋"/>
            <w:noProof/>
            <w:color w:val="auto"/>
            <w:sz w:val="28"/>
            <w:szCs w:val="32"/>
            <w:u w:val="none"/>
          </w:rPr>
          <w:t>十二、基金份额持有人名册的保管</w:t>
        </w:r>
        <w:r>
          <w:rPr>
            <w:rFonts w:eastAsia="彩虹粗仿宋"/>
            <w:noProof/>
            <w:sz w:val="28"/>
          </w:rPr>
          <w:tab/>
        </w:r>
        <w:r>
          <w:rPr>
            <w:rFonts w:eastAsia="彩虹粗仿宋"/>
            <w:noProof/>
            <w:sz w:val="28"/>
          </w:rPr>
          <w:fldChar w:fldCharType="begin"/>
        </w:r>
        <w:r>
          <w:rPr>
            <w:rFonts w:eastAsia="彩虹粗仿宋"/>
            <w:noProof/>
            <w:sz w:val="28"/>
          </w:rPr>
          <w:instrText xml:space="preserve"> PAG</w:instrText>
        </w:r>
        <w:r>
          <w:rPr>
            <w:rFonts w:eastAsia="彩虹粗仿宋"/>
            <w:noProof/>
            <w:sz w:val="28"/>
          </w:rPr>
          <w:instrText xml:space="preserve">EREF _Toc124325896 \h </w:instrText>
        </w:r>
        <w:r>
          <w:rPr>
            <w:rFonts w:eastAsia="彩虹粗仿宋"/>
            <w:noProof/>
            <w:sz w:val="28"/>
          </w:rPr>
        </w:r>
        <w:r>
          <w:rPr>
            <w:rFonts w:eastAsia="彩虹粗仿宋"/>
            <w:noProof/>
            <w:sz w:val="28"/>
          </w:rPr>
          <w:fldChar w:fldCharType="separate"/>
        </w:r>
        <w:r w:rsidR="003D6B17">
          <w:rPr>
            <w:rFonts w:eastAsia="彩虹粗仿宋"/>
            <w:noProof/>
            <w:sz w:val="28"/>
          </w:rPr>
          <w:t>39</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7" w:history="1">
        <w:r>
          <w:rPr>
            <w:rStyle w:val="af"/>
            <w:rFonts w:eastAsia="彩虹粗仿宋"/>
            <w:noProof/>
            <w:color w:val="auto"/>
            <w:sz w:val="28"/>
            <w:szCs w:val="32"/>
            <w:u w:val="none"/>
          </w:rPr>
          <w:t>十三、基金有关文件档案的保存</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_Toc124325897 \h </w:instrText>
        </w:r>
        <w:r>
          <w:rPr>
            <w:rFonts w:eastAsia="彩虹粗仿宋"/>
            <w:noProof/>
            <w:sz w:val="28"/>
          </w:rPr>
        </w:r>
        <w:r>
          <w:rPr>
            <w:rFonts w:eastAsia="彩虹粗仿宋"/>
            <w:noProof/>
            <w:sz w:val="28"/>
          </w:rPr>
          <w:fldChar w:fldCharType="separate"/>
        </w:r>
        <w:r w:rsidR="003D6B17">
          <w:rPr>
            <w:rFonts w:eastAsia="彩虹粗仿宋"/>
            <w:noProof/>
            <w:sz w:val="28"/>
          </w:rPr>
          <w:t>39</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8" w:history="1">
        <w:r>
          <w:rPr>
            <w:rStyle w:val="af"/>
            <w:rFonts w:eastAsia="彩虹粗仿宋"/>
            <w:noProof/>
            <w:color w:val="auto"/>
            <w:sz w:val="28"/>
            <w:szCs w:val="32"/>
            <w:u w:val="none"/>
          </w:rPr>
          <w:t>十四、基金管理人和基金托管人的更换</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_Toc124325898 \h </w:instrText>
        </w:r>
        <w:r>
          <w:rPr>
            <w:rFonts w:eastAsia="彩虹粗仿宋"/>
            <w:noProof/>
            <w:sz w:val="28"/>
          </w:rPr>
        </w:r>
        <w:r>
          <w:rPr>
            <w:rFonts w:eastAsia="彩虹粗仿宋"/>
            <w:noProof/>
            <w:sz w:val="28"/>
          </w:rPr>
          <w:fldChar w:fldCharType="separate"/>
        </w:r>
        <w:r w:rsidR="003D6B17">
          <w:rPr>
            <w:rFonts w:eastAsia="彩虹粗仿宋"/>
            <w:noProof/>
            <w:sz w:val="28"/>
          </w:rPr>
          <w:t>40</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899" w:history="1">
        <w:r>
          <w:rPr>
            <w:rStyle w:val="af"/>
            <w:rFonts w:eastAsia="彩虹粗仿宋"/>
            <w:noProof/>
            <w:color w:val="auto"/>
            <w:sz w:val="28"/>
            <w:szCs w:val="32"/>
            <w:u w:val="none"/>
          </w:rPr>
          <w:t>十五、禁止行为</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_Toc124325899 \h </w:instrText>
        </w:r>
        <w:r>
          <w:rPr>
            <w:rFonts w:eastAsia="彩虹粗仿宋"/>
            <w:noProof/>
            <w:sz w:val="28"/>
          </w:rPr>
        </w:r>
        <w:r>
          <w:rPr>
            <w:rFonts w:eastAsia="彩虹粗仿宋"/>
            <w:noProof/>
            <w:sz w:val="28"/>
          </w:rPr>
          <w:fldChar w:fldCharType="separate"/>
        </w:r>
        <w:r w:rsidR="003D6B17">
          <w:rPr>
            <w:rFonts w:eastAsia="彩虹粗仿宋"/>
            <w:noProof/>
            <w:sz w:val="28"/>
          </w:rPr>
          <w:t>43</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0" w:history="1">
        <w:r>
          <w:rPr>
            <w:rStyle w:val="af"/>
            <w:rFonts w:eastAsia="彩虹粗仿宋"/>
            <w:noProof/>
            <w:color w:val="auto"/>
            <w:sz w:val="28"/>
            <w:szCs w:val="32"/>
            <w:u w:val="none"/>
          </w:rPr>
          <w:t>十六、托管协议的变更、终止与基金财产的清算</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_Toc124325900 \h </w:instrText>
        </w:r>
        <w:r>
          <w:rPr>
            <w:rFonts w:eastAsia="彩虹粗仿宋"/>
            <w:noProof/>
            <w:sz w:val="28"/>
          </w:rPr>
        </w:r>
        <w:r>
          <w:rPr>
            <w:rFonts w:eastAsia="彩虹粗仿宋"/>
            <w:noProof/>
            <w:sz w:val="28"/>
          </w:rPr>
          <w:fldChar w:fldCharType="separate"/>
        </w:r>
        <w:r w:rsidR="003D6B17">
          <w:rPr>
            <w:rFonts w:eastAsia="彩虹粗仿宋"/>
            <w:noProof/>
            <w:sz w:val="28"/>
          </w:rPr>
          <w:t>44</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1" w:history="1">
        <w:r>
          <w:rPr>
            <w:rStyle w:val="af"/>
            <w:rFonts w:eastAsia="彩虹粗仿宋"/>
            <w:noProof/>
            <w:color w:val="auto"/>
            <w:sz w:val="28"/>
            <w:szCs w:val="32"/>
            <w:u w:val="none"/>
          </w:rPr>
          <w:t>十七、违约责任</w:t>
        </w:r>
        <w:bookmarkStart w:id="0" w:name="_GoBack"/>
        <w:bookmarkEnd w:id="0"/>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_Toc124325901 \h </w:instrText>
        </w:r>
        <w:r>
          <w:rPr>
            <w:rFonts w:eastAsia="彩虹粗仿宋"/>
            <w:noProof/>
            <w:sz w:val="28"/>
          </w:rPr>
        </w:r>
        <w:r>
          <w:rPr>
            <w:rFonts w:eastAsia="彩虹粗仿宋"/>
            <w:noProof/>
            <w:sz w:val="28"/>
          </w:rPr>
          <w:fldChar w:fldCharType="separate"/>
        </w:r>
        <w:r w:rsidR="003D6B17">
          <w:rPr>
            <w:rFonts w:eastAsia="彩虹粗仿宋"/>
            <w:noProof/>
            <w:sz w:val="28"/>
          </w:rPr>
          <w:t>46</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2" w:history="1">
        <w:r>
          <w:rPr>
            <w:rStyle w:val="af"/>
            <w:rFonts w:eastAsia="彩虹粗仿宋"/>
            <w:noProof/>
            <w:color w:val="auto"/>
            <w:sz w:val="28"/>
            <w:szCs w:val="32"/>
            <w:u w:val="none"/>
          </w:rPr>
          <w:t>十八、争议解决方式</w:t>
        </w:r>
        <w:r>
          <w:rPr>
            <w:rFonts w:eastAsia="彩虹粗仿宋"/>
            <w:noProof/>
            <w:sz w:val="28"/>
          </w:rPr>
          <w:tab/>
        </w:r>
        <w:r>
          <w:rPr>
            <w:rFonts w:eastAsia="彩虹粗仿宋"/>
            <w:noProof/>
            <w:sz w:val="28"/>
          </w:rPr>
          <w:fldChar w:fldCharType="begin"/>
        </w:r>
        <w:r>
          <w:rPr>
            <w:rFonts w:eastAsia="彩虹粗仿宋"/>
            <w:noProof/>
            <w:sz w:val="28"/>
          </w:rPr>
          <w:instrText xml:space="preserve"> PAGEREF _</w:instrText>
        </w:r>
        <w:r>
          <w:rPr>
            <w:rFonts w:eastAsia="彩虹粗仿宋"/>
            <w:noProof/>
            <w:sz w:val="28"/>
          </w:rPr>
          <w:instrText xml:space="preserve">Toc124325902 \h </w:instrText>
        </w:r>
        <w:r>
          <w:rPr>
            <w:rFonts w:eastAsia="彩虹粗仿宋"/>
            <w:noProof/>
            <w:sz w:val="28"/>
          </w:rPr>
        </w:r>
        <w:r>
          <w:rPr>
            <w:rFonts w:eastAsia="彩虹粗仿宋"/>
            <w:noProof/>
            <w:sz w:val="28"/>
          </w:rPr>
          <w:fldChar w:fldCharType="separate"/>
        </w:r>
        <w:r w:rsidR="003D6B17">
          <w:rPr>
            <w:rFonts w:eastAsia="彩虹粗仿宋"/>
            <w:noProof/>
            <w:sz w:val="28"/>
          </w:rPr>
          <w:t>47</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3" w:history="1">
        <w:r>
          <w:rPr>
            <w:rStyle w:val="af"/>
            <w:rFonts w:eastAsia="彩虹粗仿宋"/>
            <w:noProof/>
            <w:color w:val="auto"/>
            <w:sz w:val="28"/>
            <w:szCs w:val="32"/>
            <w:u w:val="none"/>
          </w:rPr>
          <w:t>十九、托管协议的效力</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_Toc124325903 \h </w:instrText>
        </w:r>
        <w:r>
          <w:rPr>
            <w:rFonts w:eastAsia="彩虹粗仿宋"/>
            <w:noProof/>
            <w:sz w:val="28"/>
          </w:rPr>
        </w:r>
        <w:r>
          <w:rPr>
            <w:rFonts w:eastAsia="彩虹粗仿宋"/>
            <w:noProof/>
            <w:sz w:val="28"/>
          </w:rPr>
          <w:fldChar w:fldCharType="separate"/>
        </w:r>
        <w:r w:rsidR="003D6B17">
          <w:rPr>
            <w:rFonts w:eastAsia="彩虹粗仿宋"/>
            <w:noProof/>
            <w:sz w:val="28"/>
          </w:rPr>
          <w:t>47</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4" w:history="1">
        <w:r>
          <w:rPr>
            <w:rStyle w:val="af"/>
            <w:rFonts w:eastAsia="彩虹粗仿宋"/>
            <w:noProof/>
            <w:color w:val="auto"/>
            <w:sz w:val="28"/>
            <w:szCs w:val="32"/>
            <w:u w:val="none"/>
          </w:rPr>
          <w:t>二十、其他事项</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_Toc124325904 \h </w:instrText>
        </w:r>
        <w:r>
          <w:rPr>
            <w:rFonts w:eastAsia="彩虹粗仿宋"/>
            <w:noProof/>
            <w:sz w:val="28"/>
          </w:rPr>
        </w:r>
        <w:r>
          <w:rPr>
            <w:rFonts w:eastAsia="彩虹粗仿宋"/>
            <w:noProof/>
            <w:sz w:val="28"/>
          </w:rPr>
          <w:fldChar w:fldCharType="separate"/>
        </w:r>
        <w:r w:rsidR="003D6B17">
          <w:rPr>
            <w:rFonts w:eastAsia="彩虹粗仿宋"/>
            <w:noProof/>
            <w:sz w:val="28"/>
          </w:rPr>
          <w:t>48</w:t>
        </w:r>
        <w:r>
          <w:rPr>
            <w:rFonts w:eastAsia="彩虹粗仿宋"/>
            <w:noProof/>
            <w:sz w:val="28"/>
          </w:rPr>
          <w:fldChar w:fldCharType="end"/>
        </w:r>
      </w:hyperlink>
    </w:p>
    <w:p w:rsidR="003F2F5E" w:rsidRDefault="00DD591D">
      <w:pPr>
        <w:pStyle w:val="21"/>
        <w:tabs>
          <w:tab w:val="right" w:leader="dot" w:pos="8494"/>
        </w:tabs>
        <w:spacing w:after="0" w:line="480" w:lineRule="exact"/>
        <w:rPr>
          <w:rFonts w:eastAsia="彩虹粗仿宋"/>
          <w:noProof/>
          <w:sz w:val="28"/>
        </w:rPr>
      </w:pPr>
      <w:hyperlink w:anchor="_Toc124325905" w:history="1">
        <w:r>
          <w:rPr>
            <w:rStyle w:val="af"/>
            <w:rFonts w:eastAsia="彩虹粗仿宋"/>
            <w:noProof/>
            <w:color w:val="auto"/>
            <w:sz w:val="28"/>
            <w:szCs w:val="32"/>
            <w:u w:val="none"/>
          </w:rPr>
          <w:t>二十一、托管协议的签订</w:t>
        </w:r>
        <w:r>
          <w:rPr>
            <w:rFonts w:eastAsia="彩虹粗仿宋"/>
            <w:noProof/>
            <w:sz w:val="28"/>
          </w:rPr>
          <w:tab/>
        </w:r>
        <w:r>
          <w:rPr>
            <w:rFonts w:eastAsia="彩虹粗仿宋"/>
            <w:noProof/>
            <w:sz w:val="28"/>
          </w:rPr>
          <w:fldChar w:fldCharType="begin"/>
        </w:r>
        <w:r>
          <w:rPr>
            <w:rFonts w:eastAsia="彩虹粗仿宋"/>
            <w:noProof/>
            <w:sz w:val="28"/>
          </w:rPr>
          <w:instrText xml:space="preserve"> PAGEREF _Toc124325905 \h </w:instrText>
        </w:r>
        <w:r>
          <w:rPr>
            <w:rFonts w:eastAsia="彩虹粗仿宋"/>
            <w:noProof/>
            <w:sz w:val="28"/>
          </w:rPr>
        </w:r>
        <w:r>
          <w:rPr>
            <w:rFonts w:eastAsia="彩虹粗仿宋"/>
            <w:noProof/>
            <w:sz w:val="28"/>
          </w:rPr>
          <w:fldChar w:fldCharType="separate"/>
        </w:r>
        <w:r w:rsidR="003D6B17">
          <w:rPr>
            <w:rFonts w:eastAsia="彩虹粗仿宋"/>
            <w:noProof/>
            <w:sz w:val="28"/>
          </w:rPr>
          <w:t>48</w:t>
        </w:r>
        <w:r>
          <w:rPr>
            <w:rFonts w:eastAsia="彩虹粗仿宋"/>
            <w:noProof/>
            <w:sz w:val="28"/>
          </w:rPr>
          <w:fldChar w:fldCharType="end"/>
        </w:r>
      </w:hyperlink>
    </w:p>
    <w:p w:rsidR="003F2F5E" w:rsidRDefault="00DD591D">
      <w:pPr>
        <w:spacing w:after="0" w:line="480" w:lineRule="exact"/>
        <w:rPr>
          <w:rFonts w:ascii="彩虹粗仿宋" w:eastAsia="彩虹粗仿宋"/>
          <w:sz w:val="24"/>
        </w:rPr>
      </w:pPr>
      <w:r>
        <w:rPr>
          <w:rFonts w:eastAsia="彩虹粗仿宋"/>
          <w:sz w:val="28"/>
        </w:rPr>
        <w:fldChar w:fldCharType="end"/>
      </w:r>
    </w:p>
    <w:p w:rsidR="003F2F5E" w:rsidRDefault="00DD591D">
      <w:pPr>
        <w:widowControl/>
        <w:spacing w:after="0" w:line="240" w:lineRule="auto"/>
        <w:jc w:val="left"/>
        <w:rPr>
          <w:rFonts w:ascii="彩虹粗仿宋" w:eastAsia="彩虹粗仿宋" w:hAnsi="宋体" w:cs="Arial"/>
          <w:kern w:val="0"/>
          <w:sz w:val="24"/>
        </w:rPr>
      </w:pPr>
      <w:r>
        <w:rPr>
          <w:rFonts w:ascii="彩虹粗仿宋" w:eastAsia="彩虹粗仿宋" w:hAnsi="宋体" w:cs="Arial"/>
          <w:kern w:val="0"/>
          <w:sz w:val="24"/>
        </w:rPr>
        <w:br w:type="page"/>
      </w:r>
    </w:p>
    <w:p w:rsidR="003F2F5E" w:rsidRDefault="00DD591D">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lastRenderedPageBreak/>
        <w:t>鉴于</w:t>
      </w:r>
      <w:r>
        <w:rPr>
          <w:rFonts w:ascii="彩虹粗仿宋" w:eastAsia="彩虹粗仿宋" w:hAnsi="宋体" w:cs="Arial" w:hint="eastAsia"/>
          <w:sz w:val="24"/>
        </w:rPr>
        <w:t>南方基金管理股份有限公司</w:t>
      </w:r>
      <w:r>
        <w:rPr>
          <w:rFonts w:ascii="彩虹粗仿宋" w:eastAsia="彩虹粗仿宋" w:hAnsi="宋体" w:cs="Arial" w:hint="eastAsia"/>
          <w:kern w:val="0"/>
          <w:sz w:val="24"/>
        </w:rPr>
        <w:t>系一家依照中国法律合法成立并有效存续的股份有限公司，按照相关法律法规的规定具备担任基金管理人的资格和能力，拟注册发行</w:t>
      </w:r>
      <w:r>
        <w:rPr>
          <w:rFonts w:ascii="彩虹粗仿宋" w:eastAsia="彩虹粗仿宋" w:hAnsi="宋体" w:cs="Arial" w:hint="eastAsia"/>
          <w:sz w:val="24"/>
        </w:rPr>
        <w:t>南方稳庆</w:t>
      </w:r>
      <w:r>
        <w:rPr>
          <w:rFonts w:ascii="彩虹粗仿宋" w:eastAsia="彩虹粗仿宋" w:hAnsi="宋体" w:cs="Arial" w:hint="eastAsia"/>
          <w:sz w:val="24"/>
        </w:rPr>
        <w:t>6</w:t>
      </w:r>
      <w:r>
        <w:rPr>
          <w:rFonts w:ascii="彩虹粗仿宋" w:eastAsia="彩虹粗仿宋" w:hAnsi="宋体" w:cs="Arial" w:hint="eastAsia"/>
          <w:sz w:val="24"/>
        </w:rPr>
        <w:t>个月持有期混合型基金中基金（</w:t>
      </w:r>
      <w:r>
        <w:rPr>
          <w:rFonts w:ascii="彩虹粗仿宋" w:eastAsia="彩虹粗仿宋" w:hAnsi="宋体" w:cs="Arial" w:hint="eastAsia"/>
          <w:sz w:val="24"/>
        </w:rPr>
        <w:t>FOF</w:t>
      </w:r>
      <w:r>
        <w:rPr>
          <w:rFonts w:ascii="彩虹粗仿宋" w:eastAsia="彩虹粗仿宋" w:hAnsi="宋体" w:cs="Arial" w:hint="eastAsia"/>
          <w:sz w:val="24"/>
        </w:rPr>
        <w:t>）</w:t>
      </w:r>
      <w:r>
        <w:rPr>
          <w:rFonts w:ascii="彩虹粗仿宋" w:eastAsia="彩虹粗仿宋" w:hAnsi="宋体" w:cs="Arial" w:hint="eastAsia"/>
          <w:kern w:val="0"/>
          <w:sz w:val="24"/>
        </w:rPr>
        <w:t>；</w:t>
      </w:r>
    </w:p>
    <w:p w:rsidR="003F2F5E" w:rsidRDefault="00DD591D">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鉴于重庆农村商业银行股份有限公司系一家依照中国法律合法成立并有效存续的银行，按照相关法律法规的规定具备担任基金托管人的资格和能力；</w:t>
      </w:r>
    </w:p>
    <w:p w:rsidR="003F2F5E" w:rsidRDefault="00DD591D">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鉴于</w:t>
      </w:r>
      <w:r>
        <w:rPr>
          <w:rFonts w:ascii="彩虹粗仿宋" w:eastAsia="彩虹粗仿宋" w:hAnsi="宋体" w:cs="Arial" w:hint="eastAsia"/>
          <w:sz w:val="24"/>
        </w:rPr>
        <w:t>南方基金管理股份有限公司</w:t>
      </w:r>
      <w:r>
        <w:rPr>
          <w:rFonts w:ascii="彩虹粗仿宋" w:eastAsia="彩虹粗仿宋" w:hAnsi="宋体" w:cs="Arial" w:hint="eastAsia"/>
          <w:kern w:val="0"/>
          <w:sz w:val="24"/>
        </w:rPr>
        <w:t>拟担任</w:t>
      </w:r>
      <w:r>
        <w:rPr>
          <w:rFonts w:ascii="彩虹粗仿宋" w:eastAsia="彩虹粗仿宋" w:hAnsi="宋体" w:cs="Arial" w:hint="eastAsia"/>
          <w:sz w:val="24"/>
        </w:rPr>
        <w:t>南方稳庆</w:t>
      </w:r>
      <w:r>
        <w:rPr>
          <w:rFonts w:ascii="彩虹粗仿宋" w:eastAsia="彩虹粗仿宋" w:hAnsi="宋体" w:cs="Arial" w:hint="eastAsia"/>
          <w:sz w:val="24"/>
        </w:rPr>
        <w:t>6</w:t>
      </w:r>
      <w:r>
        <w:rPr>
          <w:rFonts w:ascii="彩虹粗仿宋" w:eastAsia="彩虹粗仿宋" w:hAnsi="宋体" w:cs="Arial" w:hint="eastAsia"/>
          <w:sz w:val="24"/>
        </w:rPr>
        <w:t>个月持有期混合型基金中基金（</w:t>
      </w:r>
      <w:r>
        <w:rPr>
          <w:rFonts w:ascii="彩虹粗仿宋" w:eastAsia="彩虹粗仿宋" w:hAnsi="宋体" w:cs="Arial" w:hint="eastAsia"/>
          <w:sz w:val="24"/>
        </w:rPr>
        <w:t>FOF</w:t>
      </w:r>
      <w:r>
        <w:rPr>
          <w:rFonts w:ascii="彩虹粗仿宋" w:eastAsia="彩虹粗仿宋" w:hAnsi="宋体" w:cs="Arial" w:hint="eastAsia"/>
          <w:sz w:val="24"/>
        </w:rPr>
        <w:t>）</w:t>
      </w:r>
      <w:r>
        <w:rPr>
          <w:rFonts w:ascii="彩虹粗仿宋" w:eastAsia="彩虹粗仿宋" w:hAnsi="宋体" w:cs="Arial" w:hint="eastAsia"/>
          <w:kern w:val="0"/>
          <w:sz w:val="24"/>
        </w:rPr>
        <w:t>的基金管理人，重庆农村商业银行股份有限公司拟担任</w:t>
      </w:r>
      <w:r>
        <w:rPr>
          <w:rFonts w:ascii="彩虹粗仿宋" w:eastAsia="彩虹粗仿宋" w:hAnsi="宋体" w:cs="Arial" w:hint="eastAsia"/>
          <w:sz w:val="24"/>
        </w:rPr>
        <w:t>南方稳庆</w:t>
      </w:r>
      <w:r>
        <w:rPr>
          <w:rFonts w:ascii="彩虹粗仿宋" w:eastAsia="彩虹粗仿宋" w:hAnsi="宋体" w:cs="Arial" w:hint="eastAsia"/>
          <w:sz w:val="24"/>
        </w:rPr>
        <w:t>6</w:t>
      </w:r>
      <w:r>
        <w:rPr>
          <w:rFonts w:ascii="彩虹粗仿宋" w:eastAsia="彩虹粗仿宋" w:hAnsi="宋体" w:cs="Arial" w:hint="eastAsia"/>
          <w:sz w:val="24"/>
        </w:rPr>
        <w:t>个月持有期混合型基金中基金（</w:t>
      </w:r>
      <w:r>
        <w:rPr>
          <w:rFonts w:ascii="彩虹粗仿宋" w:eastAsia="彩虹粗仿宋" w:hAnsi="宋体" w:cs="Arial" w:hint="eastAsia"/>
          <w:sz w:val="24"/>
        </w:rPr>
        <w:t>FOF</w:t>
      </w:r>
      <w:r>
        <w:rPr>
          <w:rFonts w:ascii="彩虹粗仿宋" w:eastAsia="彩虹粗仿宋" w:hAnsi="宋体" w:cs="Arial" w:hint="eastAsia"/>
          <w:sz w:val="24"/>
        </w:rPr>
        <w:t>）</w:t>
      </w:r>
      <w:r>
        <w:rPr>
          <w:rFonts w:ascii="彩虹粗仿宋" w:eastAsia="彩虹粗仿宋" w:hAnsi="宋体" w:cs="Arial" w:hint="eastAsia"/>
          <w:kern w:val="0"/>
          <w:sz w:val="24"/>
        </w:rPr>
        <w:t>的基金托管人；</w:t>
      </w:r>
    </w:p>
    <w:p w:rsidR="003F2F5E" w:rsidRDefault="00DD591D">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为明确</w:t>
      </w:r>
      <w:r>
        <w:rPr>
          <w:rFonts w:ascii="彩虹粗仿宋" w:eastAsia="彩虹粗仿宋" w:hAnsi="宋体" w:cs="Arial" w:hint="eastAsia"/>
          <w:sz w:val="24"/>
        </w:rPr>
        <w:t>南方稳庆</w:t>
      </w:r>
      <w:r>
        <w:rPr>
          <w:rFonts w:ascii="彩虹粗仿宋" w:eastAsia="彩虹粗仿宋" w:hAnsi="宋体" w:cs="Arial" w:hint="eastAsia"/>
          <w:sz w:val="24"/>
        </w:rPr>
        <w:t>6</w:t>
      </w:r>
      <w:r>
        <w:rPr>
          <w:rFonts w:ascii="彩虹粗仿宋" w:eastAsia="彩虹粗仿宋" w:hAnsi="宋体" w:cs="Arial" w:hint="eastAsia"/>
          <w:sz w:val="24"/>
        </w:rPr>
        <w:t>个月持有期混合型基金中基金（</w:t>
      </w:r>
      <w:r>
        <w:rPr>
          <w:rFonts w:ascii="彩虹粗仿宋" w:eastAsia="彩虹粗仿宋" w:hAnsi="宋体" w:cs="Arial" w:hint="eastAsia"/>
          <w:sz w:val="24"/>
        </w:rPr>
        <w:t>FOF</w:t>
      </w:r>
      <w:r>
        <w:rPr>
          <w:rFonts w:ascii="彩虹粗仿宋" w:eastAsia="彩虹粗仿宋" w:hAnsi="宋体" w:cs="Arial" w:hint="eastAsia"/>
          <w:sz w:val="24"/>
        </w:rPr>
        <w:t>）</w:t>
      </w:r>
      <w:r>
        <w:rPr>
          <w:rFonts w:ascii="彩虹粗仿宋" w:eastAsia="彩虹粗仿宋" w:hAnsi="宋体" w:cs="Arial" w:hint="eastAsia"/>
          <w:kern w:val="0"/>
          <w:sz w:val="24"/>
        </w:rPr>
        <w:t>的基金管理人和基金托管人之间的权利义务关系，特制订本托管协议；</w:t>
      </w:r>
    </w:p>
    <w:p w:rsidR="003F2F5E" w:rsidRDefault="00DD591D">
      <w:pPr>
        <w:widowControl/>
        <w:adjustRightInd w:val="0"/>
        <w:snapToGrid w:val="0"/>
        <w:ind w:firstLineChars="200" w:firstLine="480"/>
        <w:rPr>
          <w:rFonts w:ascii="彩虹粗仿宋" w:eastAsia="彩虹粗仿宋" w:hAnsi="宋体" w:cs="Arial"/>
          <w:kern w:val="0"/>
          <w:sz w:val="24"/>
          <w:lang w:val="en-GB"/>
        </w:rPr>
      </w:pPr>
      <w:r>
        <w:rPr>
          <w:rFonts w:ascii="彩虹粗仿宋" w:eastAsia="彩虹粗仿宋" w:hAnsi="宋体" w:cs="Arial" w:hint="eastAsia"/>
          <w:kern w:val="0"/>
          <w:sz w:val="24"/>
          <w:lang w:val="en-GB"/>
        </w:rPr>
        <w:t>除非另有约定，《</w:t>
      </w:r>
      <w:r>
        <w:rPr>
          <w:rFonts w:ascii="彩虹粗仿宋" w:eastAsia="彩虹粗仿宋" w:hAnsi="宋体" w:cs="Arial" w:hint="eastAsia"/>
          <w:sz w:val="24"/>
        </w:rPr>
        <w:t>南方稳庆</w:t>
      </w:r>
      <w:r>
        <w:rPr>
          <w:rFonts w:ascii="彩虹粗仿宋" w:eastAsia="彩虹粗仿宋" w:hAnsi="宋体" w:cs="Arial" w:hint="eastAsia"/>
          <w:sz w:val="24"/>
        </w:rPr>
        <w:t>6</w:t>
      </w:r>
      <w:r>
        <w:rPr>
          <w:rFonts w:ascii="彩虹粗仿宋" w:eastAsia="彩虹粗仿宋" w:hAnsi="宋体" w:cs="Arial" w:hint="eastAsia"/>
          <w:sz w:val="24"/>
        </w:rPr>
        <w:t>个月持有期混合型基金中基金（</w:t>
      </w:r>
      <w:r>
        <w:rPr>
          <w:rFonts w:ascii="彩虹粗仿宋" w:eastAsia="彩虹粗仿宋" w:hAnsi="宋体" w:cs="Arial" w:hint="eastAsia"/>
          <w:sz w:val="24"/>
        </w:rPr>
        <w:t>FOF</w:t>
      </w:r>
      <w:r>
        <w:rPr>
          <w:rFonts w:ascii="彩虹粗仿宋" w:eastAsia="彩虹粗仿宋" w:hAnsi="宋体" w:cs="Arial" w:hint="eastAsia"/>
          <w:sz w:val="24"/>
        </w:rPr>
        <w:t>）</w:t>
      </w:r>
      <w:r>
        <w:rPr>
          <w:rFonts w:ascii="彩虹粗仿宋" w:eastAsia="彩虹粗仿宋" w:hAnsi="宋体" w:cs="Arial" w:hint="eastAsia"/>
          <w:kern w:val="0"/>
          <w:sz w:val="24"/>
          <w:lang w:val="en-GB"/>
        </w:rPr>
        <w:t>基金合同》</w:t>
      </w:r>
      <w:r>
        <w:rPr>
          <w:rFonts w:ascii="彩虹粗仿宋" w:eastAsia="彩虹粗仿宋" w:hAnsi="宋体" w:cs="Arial" w:hint="eastAsia"/>
          <w:kern w:val="0"/>
          <w:sz w:val="24"/>
          <w:lang w:val="en-GB"/>
        </w:rPr>
        <w:t>(</w:t>
      </w:r>
      <w:r>
        <w:rPr>
          <w:rFonts w:ascii="彩虹粗仿宋" w:eastAsia="彩虹粗仿宋" w:hAnsi="宋体" w:cs="Arial" w:hint="eastAsia"/>
          <w:kern w:val="0"/>
          <w:sz w:val="24"/>
          <w:lang w:val="en-GB"/>
        </w:rPr>
        <w:t>以下简称“基金合同”或“《基金合同》”</w:t>
      </w:r>
      <w:r>
        <w:rPr>
          <w:rFonts w:ascii="彩虹粗仿宋" w:eastAsia="彩虹粗仿宋" w:hAnsi="宋体" w:cs="Arial" w:hint="eastAsia"/>
          <w:kern w:val="0"/>
          <w:sz w:val="24"/>
          <w:lang w:val="en-GB"/>
        </w:rPr>
        <w:t>)</w:t>
      </w:r>
      <w:r>
        <w:rPr>
          <w:rFonts w:ascii="彩虹粗仿宋" w:eastAsia="彩虹粗仿宋" w:hAnsi="宋体" w:cs="Arial" w:hint="eastAsia"/>
          <w:kern w:val="0"/>
          <w:sz w:val="24"/>
          <w:lang w:val="en-GB"/>
        </w:rPr>
        <w:t>中定义的术语在用于本托管协议时应具有相同的含义；若有抵触应以《基金合同》为准，并依其</w:t>
      </w:r>
      <w:r>
        <w:rPr>
          <w:rFonts w:ascii="彩虹粗仿宋" w:eastAsia="彩虹粗仿宋" w:hAnsi="宋体" w:cs="Arial" w:hint="eastAsia"/>
          <w:kern w:val="0"/>
          <w:sz w:val="24"/>
        </w:rPr>
        <w:t>条款</w:t>
      </w:r>
      <w:r>
        <w:rPr>
          <w:rFonts w:ascii="彩虹粗仿宋" w:eastAsia="彩虹粗仿宋" w:hAnsi="宋体" w:cs="Arial" w:hint="eastAsia"/>
          <w:kern w:val="0"/>
          <w:sz w:val="24"/>
          <w:lang w:val="en-GB"/>
        </w:rPr>
        <w:t>解释。</w:t>
      </w:r>
    </w:p>
    <w:p w:rsidR="003F2F5E" w:rsidRDefault="003F2F5E">
      <w:pPr>
        <w:rPr>
          <w:rFonts w:ascii="彩虹粗仿宋" w:eastAsia="彩虹粗仿宋"/>
          <w:sz w:val="24"/>
          <w:lang w:val="en-GB"/>
        </w:rPr>
      </w:pPr>
    </w:p>
    <w:p w:rsidR="003F2F5E" w:rsidRDefault="00DD591D">
      <w:pPr>
        <w:pStyle w:val="2"/>
        <w:jc w:val="center"/>
        <w:rPr>
          <w:rFonts w:ascii="彩虹粗仿宋" w:eastAsia="彩虹粗仿宋"/>
        </w:rPr>
      </w:pPr>
      <w:bookmarkStart w:id="1" w:name="_Toc124325885"/>
      <w:r>
        <w:rPr>
          <w:rFonts w:ascii="彩虹粗仿宋" w:eastAsia="彩虹粗仿宋" w:hint="eastAsia"/>
        </w:rPr>
        <w:t>一、基金托管协议当事人</w:t>
      </w:r>
      <w:bookmarkEnd w:id="1"/>
    </w:p>
    <w:p w:rsidR="003F2F5E" w:rsidRDefault="00DD591D">
      <w:pPr>
        <w:ind w:firstLineChars="200" w:firstLine="480"/>
        <w:rPr>
          <w:rFonts w:ascii="彩虹粗仿宋" w:eastAsia="彩虹粗仿宋" w:hAnsi="宋体" w:cs="Arial"/>
          <w:sz w:val="24"/>
        </w:rPr>
      </w:pPr>
      <w:r>
        <w:rPr>
          <w:rFonts w:ascii="彩虹粗仿宋" w:eastAsia="彩虹粗仿宋" w:hAnsi="宋体" w:cs="Arial" w:hint="eastAsia"/>
          <w:sz w:val="24"/>
        </w:rPr>
        <w:t>（一）基金管理人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名称：南方基金管理股份有限公司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注册地址：深圳市福田区莲花街道益田路</w:t>
      </w:r>
      <w:r>
        <w:rPr>
          <w:rFonts w:ascii="彩虹粗仿宋" w:eastAsia="彩虹粗仿宋" w:hAnsi="宋体" w:cs="Arial" w:hint="eastAsia"/>
          <w:sz w:val="24"/>
        </w:rPr>
        <w:t>5999</w:t>
      </w:r>
      <w:r>
        <w:rPr>
          <w:rFonts w:ascii="彩虹粗仿宋" w:eastAsia="彩虹粗仿宋" w:hAnsi="宋体" w:cs="Arial" w:hint="eastAsia"/>
          <w:sz w:val="24"/>
        </w:rPr>
        <w:t>号基金大厦</w:t>
      </w:r>
      <w:r>
        <w:rPr>
          <w:rFonts w:ascii="彩虹粗仿宋" w:eastAsia="彩虹粗仿宋" w:hAnsi="宋体" w:cs="Arial" w:hint="eastAsia"/>
          <w:sz w:val="24"/>
        </w:rPr>
        <w:t>32-42</w:t>
      </w:r>
      <w:r>
        <w:rPr>
          <w:rFonts w:ascii="彩虹粗仿宋" w:eastAsia="彩虹粗仿宋" w:hAnsi="宋体" w:cs="Arial" w:hint="eastAsia"/>
          <w:sz w:val="24"/>
        </w:rPr>
        <w:t>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办公地址：深圳市福田区莲花街道益田路</w:t>
      </w:r>
      <w:r>
        <w:rPr>
          <w:rFonts w:ascii="彩虹粗仿宋" w:eastAsia="彩虹粗仿宋" w:hAnsi="宋体" w:cs="Arial" w:hint="eastAsia"/>
          <w:sz w:val="24"/>
        </w:rPr>
        <w:t>5999</w:t>
      </w:r>
      <w:r>
        <w:rPr>
          <w:rFonts w:ascii="彩虹粗仿宋" w:eastAsia="彩虹粗仿宋" w:hAnsi="宋体" w:cs="Arial" w:hint="eastAsia"/>
          <w:sz w:val="24"/>
        </w:rPr>
        <w:t>号基金大厦</w:t>
      </w:r>
      <w:r>
        <w:rPr>
          <w:rFonts w:ascii="彩虹粗仿宋" w:eastAsia="彩虹粗仿宋" w:hAnsi="宋体" w:cs="Arial" w:hint="eastAsia"/>
          <w:sz w:val="24"/>
        </w:rPr>
        <w:t>32-42</w:t>
      </w:r>
      <w:r>
        <w:rPr>
          <w:rFonts w:ascii="彩虹粗仿宋" w:eastAsia="彩虹粗仿宋" w:hAnsi="宋体" w:cs="Arial" w:hint="eastAsia"/>
          <w:sz w:val="24"/>
        </w:rPr>
        <w:t>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邮政编码：</w:t>
      </w:r>
      <w:r>
        <w:rPr>
          <w:rFonts w:ascii="彩虹粗仿宋" w:eastAsia="彩虹粗仿宋" w:hAnsi="宋体" w:cs="Arial" w:hint="eastAsia"/>
          <w:sz w:val="24"/>
        </w:rPr>
        <w:t>518048</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法定代表人：周易</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成立日期：</w:t>
      </w:r>
      <w:r>
        <w:rPr>
          <w:rFonts w:ascii="彩虹粗仿宋" w:eastAsia="彩虹粗仿宋" w:hAnsi="宋体" w:cs="Arial" w:hint="eastAsia"/>
          <w:sz w:val="24"/>
        </w:rPr>
        <w:t>1998</w:t>
      </w:r>
      <w:r>
        <w:rPr>
          <w:rFonts w:ascii="彩虹粗仿宋" w:eastAsia="彩虹粗仿宋" w:hAnsi="宋体" w:cs="Arial" w:hint="eastAsia"/>
          <w:sz w:val="24"/>
        </w:rPr>
        <w:t>年</w:t>
      </w:r>
      <w:r>
        <w:rPr>
          <w:rFonts w:ascii="彩虹粗仿宋" w:eastAsia="彩虹粗仿宋" w:hAnsi="宋体" w:cs="Arial" w:hint="eastAsia"/>
          <w:sz w:val="24"/>
        </w:rPr>
        <w:t>3</w:t>
      </w:r>
      <w:r>
        <w:rPr>
          <w:rFonts w:ascii="彩虹粗仿宋" w:eastAsia="彩虹粗仿宋" w:hAnsi="宋体" w:cs="Arial" w:hint="eastAsia"/>
          <w:sz w:val="24"/>
        </w:rPr>
        <w:t>月</w:t>
      </w:r>
      <w:r>
        <w:rPr>
          <w:rFonts w:ascii="彩虹粗仿宋" w:eastAsia="彩虹粗仿宋" w:hAnsi="宋体" w:cs="Arial" w:hint="eastAsia"/>
          <w:sz w:val="24"/>
        </w:rPr>
        <w:t>6</w:t>
      </w:r>
      <w:r>
        <w:rPr>
          <w:rFonts w:ascii="彩虹粗仿宋" w:eastAsia="彩虹粗仿宋" w:hAnsi="宋体" w:cs="Arial" w:hint="eastAsia"/>
          <w:sz w:val="24"/>
        </w:rPr>
        <w:t>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批准设立机关及批准设立文号：中国证券监督管理委员会证监基字</w:t>
      </w:r>
      <w:r>
        <w:rPr>
          <w:rFonts w:ascii="彩虹粗仿宋" w:eastAsia="彩虹粗仿宋" w:hAnsi="宋体" w:cs="Arial" w:hint="eastAsia"/>
          <w:sz w:val="24"/>
        </w:rPr>
        <w:t>[1998]4</w:t>
      </w:r>
      <w:r>
        <w:rPr>
          <w:rFonts w:ascii="彩虹粗仿宋" w:eastAsia="彩虹粗仿宋" w:hAnsi="宋体" w:cs="Arial" w:hint="eastAsia"/>
          <w:sz w:val="24"/>
        </w:rPr>
        <w:t>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组织形式：股份有限公司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注册资本：人民币</w:t>
      </w:r>
      <w:r>
        <w:rPr>
          <w:rFonts w:ascii="彩虹粗仿宋" w:eastAsia="彩虹粗仿宋" w:hAnsi="宋体" w:cs="Arial" w:hint="eastAsia"/>
          <w:sz w:val="24"/>
        </w:rPr>
        <w:t>3.6172</w:t>
      </w:r>
      <w:r>
        <w:rPr>
          <w:rFonts w:ascii="彩虹粗仿宋" w:eastAsia="彩虹粗仿宋" w:hAnsi="宋体" w:cs="Arial" w:hint="eastAsia"/>
          <w:sz w:val="24"/>
        </w:rPr>
        <w:t>亿元</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存续期间：持续经营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经营范围：基金募集、基金销售、资产管理、中国证监会许可的其他业务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名称：重庆农村商业银行股份有限公司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住所：重庆市两江新区金沙门路</w:t>
      </w:r>
      <w:r>
        <w:rPr>
          <w:rFonts w:ascii="彩虹粗仿宋" w:eastAsia="彩虹粗仿宋" w:hAnsi="宋体" w:cs="Arial" w:hint="eastAsia"/>
          <w:sz w:val="24"/>
        </w:rPr>
        <w:t>36</w:t>
      </w:r>
      <w:r>
        <w:rPr>
          <w:rFonts w:ascii="彩虹粗仿宋" w:eastAsia="彩虹粗仿宋" w:hAnsi="宋体" w:cs="Arial" w:hint="eastAsia"/>
          <w:sz w:val="24"/>
        </w:rPr>
        <w:t>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办公地址：重庆市两江新区金沙门路</w:t>
      </w:r>
      <w:r>
        <w:rPr>
          <w:rFonts w:ascii="彩虹粗仿宋" w:eastAsia="彩虹粗仿宋" w:hAnsi="宋体" w:cs="Arial" w:hint="eastAsia"/>
          <w:sz w:val="24"/>
        </w:rPr>
        <w:t>36</w:t>
      </w:r>
      <w:r>
        <w:rPr>
          <w:rFonts w:ascii="彩虹粗仿宋" w:eastAsia="彩虹粗仿宋" w:hAnsi="宋体" w:cs="Arial" w:hint="eastAsia"/>
          <w:sz w:val="24"/>
        </w:rPr>
        <w:t>号重庆农村商业银行大厦</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邮政编码：</w:t>
      </w:r>
      <w:r>
        <w:rPr>
          <w:rFonts w:ascii="彩虹粗仿宋" w:eastAsia="彩虹粗仿宋" w:hAnsi="宋体" w:cs="Arial" w:hint="eastAsia"/>
          <w:sz w:val="24"/>
        </w:rPr>
        <w:t>400023</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法定代表人：刘小军</w:t>
      </w:r>
      <w:r>
        <w:rPr>
          <w:rFonts w:ascii="彩虹粗仿宋" w:eastAsia="彩虹粗仿宋" w:hAnsi="宋体" w:cs="Arial" w:hint="eastAsia"/>
          <w:sz w:val="24"/>
        </w:rPr>
        <w:t xml:space="preserve"> </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成立时间：</w:t>
      </w:r>
      <w:r>
        <w:rPr>
          <w:rFonts w:ascii="彩虹粗仿宋" w:eastAsia="彩虹粗仿宋" w:hAnsi="宋体" w:cs="Arial" w:hint="eastAsia"/>
          <w:sz w:val="24"/>
        </w:rPr>
        <w:t>2008</w:t>
      </w:r>
      <w:r>
        <w:rPr>
          <w:rFonts w:ascii="彩虹粗仿宋" w:eastAsia="彩虹粗仿宋" w:hAnsi="宋体" w:cs="Arial" w:hint="eastAsia"/>
          <w:sz w:val="24"/>
        </w:rPr>
        <w:t>年</w:t>
      </w:r>
      <w:r>
        <w:rPr>
          <w:rFonts w:ascii="彩虹粗仿宋" w:eastAsia="彩虹粗仿宋" w:hAnsi="宋体" w:cs="Arial" w:hint="eastAsia"/>
          <w:sz w:val="24"/>
        </w:rPr>
        <w:t>6</w:t>
      </w:r>
      <w:r>
        <w:rPr>
          <w:rFonts w:ascii="彩虹粗仿宋" w:eastAsia="彩虹粗仿宋" w:hAnsi="宋体" w:cs="Arial" w:hint="eastAsia"/>
          <w:sz w:val="24"/>
        </w:rPr>
        <w:t>月</w:t>
      </w:r>
      <w:r>
        <w:rPr>
          <w:rFonts w:ascii="彩虹粗仿宋" w:eastAsia="彩虹粗仿宋" w:hAnsi="宋体" w:cs="Arial" w:hint="eastAsia"/>
          <w:sz w:val="24"/>
        </w:rPr>
        <w:t>27</w:t>
      </w:r>
      <w:r>
        <w:rPr>
          <w:rFonts w:ascii="彩虹粗仿宋" w:eastAsia="彩虹粗仿宋" w:hAnsi="宋体" w:cs="Arial" w:hint="eastAsia"/>
          <w:sz w:val="24"/>
        </w:rPr>
        <w:t>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批准设立机关和批准设立文号：中国银监会银监复</w:t>
      </w:r>
      <w:r>
        <w:rPr>
          <w:rFonts w:ascii="彩虹粗仿宋" w:eastAsia="彩虹粗仿宋" w:hAnsi="宋体" w:cs="Arial" w:hint="eastAsia"/>
          <w:sz w:val="24"/>
        </w:rPr>
        <w:t>[2008]244</w:t>
      </w:r>
      <w:r>
        <w:rPr>
          <w:rFonts w:ascii="彩虹粗仿宋" w:eastAsia="彩虹粗仿宋" w:hAnsi="宋体" w:cs="Arial" w:hint="eastAsia"/>
          <w:sz w:val="24"/>
        </w:rPr>
        <w:t>号</w:t>
      </w:r>
      <w:r>
        <w:rPr>
          <w:rFonts w:ascii="彩虹粗仿宋" w:eastAsia="彩虹粗仿宋" w:hAnsi="宋体" w:cs="Arial" w:hint="eastAsia"/>
          <w:sz w:val="24"/>
        </w:rPr>
        <w:t xml:space="preserve"> </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基金托管资格的批文和文号：《关于核准重庆农村商业银行股份有限公司证券投资基金托管资格的批复》（证监许可〔</w:t>
      </w:r>
      <w:r>
        <w:rPr>
          <w:rFonts w:ascii="彩虹粗仿宋" w:eastAsia="彩虹粗仿宋" w:hAnsi="宋体" w:cs="Arial" w:hint="eastAsia"/>
          <w:sz w:val="24"/>
        </w:rPr>
        <w:t>2025</w:t>
      </w:r>
      <w:r>
        <w:rPr>
          <w:rFonts w:ascii="彩虹粗仿宋" w:eastAsia="彩虹粗仿宋" w:hAnsi="宋体" w:cs="Arial" w:hint="eastAsia"/>
          <w:sz w:val="24"/>
        </w:rPr>
        <w:t>〕</w:t>
      </w:r>
      <w:r>
        <w:rPr>
          <w:rFonts w:ascii="彩虹粗仿宋" w:eastAsia="彩虹粗仿宋" w:hAnsi="宋体" w:cs="Arial" w:hint="eastAsia"/>
          <w:sz w:val="24"/>
        </w:rPr>
        <w:t>1395</w:t>
      </w:r>
      <w:r>
        <w:rPr>
          <w:rFonts w:ascii="彩虹粗仿宋" w:eastAsia="彩虹粗仿宋" w:hAnsi="宋体" w:cs="Arial" w:hint="eastAsia"/>
          <w:sz w:val="24"/>
        </w:rPr>
        <w:t>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组织形式：股份有限公司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注册资本：</w:t>
      </w:r>
      <w:r>
        <w:rPr>
          <w:rFonts w:ascii="彩虹粗仿宋" w:eastAsia="彩虹粗仿宋" w:hAnsi="宋体" w:cs="Arial" w:hint="eastAsia"/>
          <w:sz w:val="24"/>
        </w:rPr>
        <w:t>113.57</w:t>
      </w:r>
      <w:r>
        <w:rPr>
          <w:rFonts w:ascii="彩虹粗仿宋" w:eastAsia="彩虹粗仿宋" w:hAnsi="宋体" w:cs="Arial" w:hint="eastAsia"/>
          <w:sz w:val="24"/>
        </w:rPr>
        <w:t>亿人民币</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存续期间：持续经营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经营范围：</w:t>
      </w:r>
      <w:r>
        <w:rPr>
          <w:rFonts w:ascii="彩虹粗仿宋" w:eastAsia="彩虹粗仿宋" w:hAnsi="宋体" w:cs="Arial" w:hint="eastAsia"/>
          <w:sz w:val="24"/>
        </w:rPr>
        <w:t xml:space="preserve"> </w:t>
      </w:r>
      <w:r>
        <w:rPr>
          <w:rFonts w:ascii="彩虹粗仿宋" w:eastAsia="彩虹粗仿宋" w:hAnsi="宋体" w:cs="Arial" w:hint="eastAsia"/>
          <w:sz w:val="24"/>
        </w:rPr>
        <w:t>银行业务；公募证券投资基金销售；证券投资基金托管。</w:t>
      </w:r>
    </w:p>
    <w:p w:rsidR="003F2F5E" w:rsidRDefault="00DD591D">
      <w:pPr>
        <w:pStyle w:val="2"/>
        <w:jc w:val="center"/>
        <w:rPr>
          <w:rFonts w:ascii="彩虹粗仿宋" w:eastAsia="彩虹粗仿宋"/>
          <w:sz w:val="30"/>
        </w:rPr>
      </w:pPr>
      <w:bookmarkStart w:id="2" w:name="_Toc124325886"/>
      <w:r>
        <w:rPr>
          <w:rFonts w:ascii="彩虹粗仿宋" w:eastAsia="彩虹粗仿宋" w:hint="eastAsia"/>
          <w:sz w:val="30"/>
        </w:rPr>
        <w:t>二、基金托管协议的依据、目的和原则</w:t>
      </w:r>
      <w:bookmarkEnd w:id="2"/>
    </w:p>
    <w:p w:rsidR="003F2F5E" w:rsidRDefault="00DD591D">
      <w:pPr>
        <w:adjustRightInd w:val="0"/>
        <w:snapToGrid w:val="0"/>
        <w:ind w:firstLineChars="200" w:firstLine="480"/>
        <w:rPr>
          <w:rFonts w:ascii="彩虹粗仿宋" w:eastAsia="彩虹粗仿宋"/>
          <w:sz w:val="24"/>
          <w:szCs w:val="30"/>
        </w:rPr>
      </w:pPr>
      <w:r>
        <w:rPr>
          <w:rFonts w:ascii="彩虹粗仿宋" w:eastAsia="彩虹粗仿宋" w:hAnsi="宋体" w:cs="Arial" w:hint="eastAsia"/>
          <w:sz w:val="24"/>
        </w:rPr>
        <w:t>（一）订立托管协议的依据</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本协议依据《中华人民共和国民法典》、《中华人民共和国证券法》（以下简称“《证券法》”）、《中华人民共和国证券投资基金法》</w:t>
      </w:r>
      <w:r>
        <w:rPr>
          <w:rFonts w:ascii="彩虹粗仿宋" w:eastAsia="彩虹粗仿宋" w:hAnsi="宋体" w:cs="Arial" w:hint="eastAsia"/>
          <w:sz w:val="24"/>
        </w:rPr>
        <w:t>(</w:t>
      </w:r>
      <w:r>
        <w:rPr>
          <w:rFonts w:ascii="彩虹粗仿宋" w:eastAsia="彩虹粗仿宋" w:hAnsi="宋体" w:cs="Arial" w:hint="eastAsia"/>
          <w:sz w:val="24"/>
        </w:rPr>
        <w:t>以下简称“《基金法》”</w:t>
      </w:r>
      <w:r>
        <w:rPr>
          <w:rFonts w:ascii="彩虹粗仿宋" w:eastAsia="彩虹粗仿宋" w:hAnsi="宋体" w:cs="Arial" w:hint="eastAsia"/>
          <w:sz w:val="24"/>
        </w:rPr>
        <w:t>)</w:t>
      </w:r>
      <w:r>
        <w:rPr>
          <w:rFonts w:ascii="彩虹粗仿宋" w:eastAsia="彩虹粗仿宋" w:hAnsi="宋体" w:cs="Arial" w:hint="eastAsia"/>
          <w:sz w:val="24"/>
        </w:rPr>
        <w:t>、《公</w:t>
      </w:r>
      <w:r>
        <w:rPr>
          <w:rFonts w:ascii="彩虹粗仿宋" w:eastAsia="彩虹粗仿宋" w:hAnsi="宋体" w:cs="Arial" w:hint="eastAsia"/>
          <w:sz w:val="24"/>
        </w:rPr>
        <w:lastRenderedPageBreak/>
        <w:t>开募集证券投资基金运作管理办法》（以下简称“《运作办法》”）、《公开募集证券投资基金信息披露管理办法》（以下简称“《信息披露办法》”）、</w:t>
      </w:r>
      <w:r>
        <w:rPr>
          <w:rFonts w:ascii="彩虹粗仿宋" w:eastAsia="彩虹粗仿宋" w:hAnsi="宋体" w:cs="Arial"/>
          <w:sz w:val="24"/>
        </w:rPr>
        <w:t>《公开募集开放式证券投资基金流动性风险管理规定》（以下简称</w:t>
      </w:r>
      <w:r>
        <w:rPr>
          <w:rFonts w:ascii="彩虹粗仿宋" w:eastAsia="彩虹粗仿宋" w:hAnsi="宋体" w:cs="Arial" w:hint="eastAsia"/>
          <w:sz w:val="24"/>
        </w:rPr>
        <w:t>“</w:t>
      </w:r>
      <w:r>
        <w:rPr>
          <w:rFonts w:ascii="彩虹粗仿宋" w:eastAsia="彩虹粗仿宋" w:hAnsi="宋体" w:cs="Arial"/>
          <w:sz w:val="24"/>
        </w:rPr>
        <w:t>《流动性风险</w:t>
      </w:r>
      <w:r>
        <w:rPr>
          <w:rFonts w:ascii="彩虹粗仿宋" w:eastAsia="彩虹粗仿宋" w:hAnsi="宋体" w:cs="Arial" w:hint="eastAsia"/>
          <w:sz w:val="24"/>
        </w:rPr>
        <w:t>管理</w:t>
      </w:r>
      <w:r>
        <w:rPr>
          <w:rFonts w:ascii="彩虹粗仿宋" w:eastAsia="彩虹粗仿宋" w:hAnsi="宋体" w:cs="Arial"/>
          <w:sz w:val="24"/>
        </w:rPr>
        <w:t>规定》</w:t>
      </w:r>
      <w:r>
        <w:rPr>
          <w:rFonts w:ascii="彩虹粗仿宋" w:eastAsia="彩虹粗仿宋" w:hAnsi="宋体" w:cs="Arial" w:hint="eastAsia"/>
          <w:sz w:val="24"/>
        </w:rPr>
        <w:t>”</w:t>
      </w:r>
      <w:r>
        <w:rPr>
          <w:rFonts w:ascii="彩虹粗仿宋" w:eastAsia="彩虹粗仿宋" w:hAnsi="宋体" w:cs="Arial"/>
          <w:sz w:val="24"/>
        </w:rPr>
        <w:t>）</w:t>
      </w:r>
      <w:r>
        <w:rPr>
          <w:rFonts w:ascii="彩虹粗仿宋" w:eastAsia="彩虹粗仿宋" w:hAnsi="宋体" w:cs="Arial" w:hint="eastAsia"/>
          <w:sz w:val="24"/>
        </w:rPr>
        <w:t>等有关法律法规、《基金合同》及其他有关规定制订。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（二）订立托管协议的目的</w:t>
      </w:r>
    </w:p>
    <w:p w:rsidR="003F2F5E" w:rsidRDefault="00DD591D">
      <w:pPr>
        <w:adjustRightInd w:val="0"/>
        <w:snapToGrid w:val="0"/>
        <w:ind w:firstLineChars="200" w:firstLine="480"/>
        <w:rPr>
          <w:rFonts w:ascii="彩虹粗仿宋" w:eastAsia="彩虹粗仿宋"/>
          <w:sz w:val="24"/>
          <w:szCs w:val="30"/>
        </w:rPr>
      </w:pPr>
      <w:r>
        <w:rPr>
          <w:rFonts w:ascii="彩虹粗仿宋" w:eastAsia="彩虹粗仿宋" w:hAnsi="宋体" w:cs="Arial" w:hint="eastAsia"/>
          <w:sz w:val="24"/>
        </w:rPr>
        <w:t>订立本协议的目的是明确基金管理人与基金托管人之间在基金财产的保</w:t>
      </w:r>
      <w:r>
        <w:rPr>
          <w:rFonts w:ascii="彩虹粗仿宋" w:eastAsia="彩虹粗仿宋" w:hAnsi="宋体" w:cs="Arial" w:hint="eastAsia"/>
          <w:sz w:val="24"/>
        </w:rPr>
        <w:t>管、投资运作、净值计算、收益分配、信息披露及相互监督等相关事宜中的权利义务及职责，确保基金财产的安全，保护基金份额持有人的合法权益。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（三）订立托管协议的原则</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基金管理人和基金托管人本着平等自愿、诚实信用、充分保护基金份额持有人合法权益的原则，经协商一致，签订本协议。</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（四）若本基金实施侧袋机制的，侧袋机制实施期间的相关安排见基金合同和招募说明书的规定。</w:t>
      </w:r>
    </w:p>
    <w:p w:rsidR="003F2F5E" w:rsidRDefault="003F2F5E">
      <w:pPr>
        <w:rPr>
          <w:rFonts w:ascii="彩虹粗仿宋" w:eastAsia="彩虹粗仿宋"/>
          <w:sz w:val="24"/>
        </w:rPr>
      </w:pPr>
    </w:p>
    <w:p w:rsidR="003F2F5E" w:rsidRDefault="00DD591D">
      <w:pPr>
        <w:pStyle w:val="2"/>
        <w:jc w:val="center"/>
        <w:rPr>
          <w:rFonts w:ascii="彩虹粗仿宋" w:eastAsia="彩虹粗仿宋"/>
          <w:sz w:val="30"/>
          <w:szCs w:val="24"/>
        </w:rPr>
      </w:pPr>
      <w:bookmarkStart w:id="3" w:name="_Toc124325887"/>
      <w:bookmarkStart w:id="4" w:name="_Hlk193011786"/>
      <w:r>
        <w:rPr>
          <w:rFonts w:ascii="彩虹粗仿宋" w:eastAsia="彩虹粗仿宋" w:hint="eastAsia"/>
          <w:sz w:val="30"/>
        </w:rPr>
        <w:t>三、基金托管人对基金管理人的业务监督和核查</w:t>
      </w:r>
      <w:bookmarkEnd w:id="3"/>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（一）基金托管人根据有关法律法规的规定及《基金合同》的约定，对基金投资范围、投资对象进行监督。《基金合同》明</w:t>
      </w:r>
      <w:r>
        <w:rPr>
          <w:rFonts w:ascii="彩虹粗仿宋" w:eastAsia="彩虹粗仿宋" w:hAnsi="宋体" w:cs="Arial" w:hint="eastAsia"/>
          <w:sz w:val="24"/>
        </w:rPr>
        <w:t>确约定基金投资风格或证券选择标准的，基金管理人应按照基金托管人要求的格式，将拟投资的标的证券库提供给基金托管人，基金管理人可以根据实际情况的变化，对标的证券库予以更新和调整并及时书面通知基金托管人。基金托管人根据上述投资范围对基金实际投资是否符合《基金合同》关于证券选择标准的约定进行监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本基金投资于依法发行或上市的基金、股票、债券等金融工具及法律法规或中国证监会允许基金投资的其他金融工具。具体包括：经中国证监会依法核准或注册的公开募集证券投资基金的基金份额（含</w:t>
      </w:r>
      <w:r>
        <w:rPr>
          <w:rFonts w:ascii="彩虹粗仿宋" w:eastAsia="彩虹粗仿宋" w:hAnsi="宋体" w:cs="Arial" w:hint="eastAsia"/>
          <w:sz w:val="24"/>
        </w:rPr>
        <w:t>QDII</w:t>
      </w:r>
      <w:r>
        <w:rPr>
          <w:rFonts w:ascii="彩虹粗仿宋" w:eastAsia="彩虹粗仿宋" w:hAnsi="宋体" w:cs="Arial" w:hint="eastAsia"/>
          <w:sz w:val="24"/>
        </w:rPr>
        <w:t>基金、香港互认基金、商品基金（含商品</w:t>
      </w:r>
      <w:r>
        <w:rPr>
          <w:rFonts w:ascii="彩虹粗仿宋" w:eastAsia="彩虹粗仿宋" w:hAnsi="宋体" w:cs="Arial" w:hint="eastAsia"/>
          <w:sz w:val="24"/>
        </w:rPr>
        <w:t>期货基金和黄金</w:t>
      </w:r>
      <w:r>
        <w:rPr>
          <w:rFonts w:ascii="彩虹粗仿宋" w:eastAsia="彩虹粗仿宋" w:hAnsi="宋体" w:cs="Arial" w:hint="eastAsia"/>
          <w:sz w:val="24"/>
        </w:rPr>
        <w:t>ETF</w:t>
      </w:r>
      <w:r>
        <w:rPr>
          <w:rFonts w:ascii="彩虹粗仿宋" w:eastAsia="彩虹粗仿宋" w:hAnsi="宋体" w:cs="Arial" w:hint="eastAsia"/>
          <w:sz w:val="24"/>
        </w:rPr>
        <w:t>）、公开募集不动产投资信托基金（以下简称“公募</w:t>
      </w:r>
      <w:r>
        <w:rPr>
          <w:rFonts w:ascii="彩虹粗仿宋" w:eastAsia="彩虹粗仿宋" w:hAnsi="宋体" w:cs="Arial" w:hint="eastAsia"/>
          <w:sz w:val="24"/>
        </w:rPr>
        <w:lastRenderedPageBreak/>
        <w:t>REITs</w:t>
      </w:r>
      <w:r>
        <w:rPr>
          <w:rFonts w:ascii="彩虹粗仿宋" w:eastAsia="彩虹粗仿宋" w:hAnsi="宋体" w:cs="Arial" w:hint="eastAsia"/>
          <w:sz w:val="24"/>
        </w:rPr>
        <w:t>”））、股票（包含主板、创业板及其他经中国证监会核准或注册上市的股票、存托凭证（下同））、内地与香港股票市场交易互联互通机制允许买卖的香港证券市场股票和交易型开放式基金（以下分别简称</w:t>
      </w:r>
      <w:r>
        <w:rPr>
          <w:rFonts w:ascii="彩虹粗仿宋" w:eastAsia="彩虹粗仿宋" w:hAnsi="宋体" w:cs="Arial"/>
          <w:sz w:val="24"/>
        </w:rPr>
        <w:t>“</w:t>
      </w:r>
      <w:r>
        <w:rPr>
          <w:rFonts w:ascii="彩虹粗仿宋" w:eastAsia="彩虹粗仿宋" w:hAnsi="宋体" w:cs="Arial" w:hint="eastAsia"/>
          <w:sz w:val="24"/>
        </w:rPr>
        <w:t>港股通标的股票</w:t>
      </w:r>
      <w:r>
        <w:rPr>
          <w:rFonts w:ascii="彩虹粗仿宋" w:eastAsia="彩虹粗仿宋" w:hAnsi="宋体" w:cs="Arial"/>
          <w:sz w:val="24"/>
        </w:rPr>
        <w:t>”</w:t>
      </w:r>
      <w:r>
        <w:rPr>
          <w:rFonts w:ascii="彩虹粗仿宋" w:eastAsia="彩虹粗仿宋" w:hAnsi="宋体" w:cs="Arial" w:hint="eastAsia"/>
          <w:sz w:val="24"/>
        </w:rPr>
        <w:t>、</w:t>
      </w:r>
      <w:r>
        <w:rPr>
          <w:rFonts w:ascii="彩虹粗仿宋" w:eastAsia="彩虹粗仿宋" w:hAnsi="宋体" w:cs="Arial"/>
          <w:sz w:val="24"/>
        </w:rPr>
        <w:t>“</w:t>
      </w:r>
      <w:r>
        <w:rPr>
          <w:rFonts w:ascii="彩虹粗仿宋" w:eastAsia="彩虹粗仿宋" w:hAnsi="宋体" w:cs="Arial" w:hint="eastAsia"/>
          <w:sz w:val="24"/>
        </w:rPr>
        <w:t>港股通</w:t>
      </w:r>
      <w:r>
        <w:rPr>
          <w:rFonts w:ascii="彩虹粗仿宋" w:eastAsia="彩虹粗仿宋" w:hAnsi="宋体" w:cs="Arial"/>
          <w:sz w:val="24"/>
        </w:rPr>
        <w:t>ETF</w:t>
      </w:r>
      <w:r>
        <w:rPr>
          <w:rFonts w:ascii="彩虹粗仿宋" w:eastAsia="彩虹粗仿宋" w:hAnsi="宋体" w:cs="Arial"/>
          <w:sz w:val="24"/>
        </w:rPr>
        <w:t>”</w:t>
      </w:r>
      <w:r>
        <w:rPr>
          <w:rFonts w:ascii="彩虹粗仿宋" w:eastAsia="彩虹粗仿宋" w:hAnsi="宋体" w:cs="Arial" w:hint="eastAsia"/>
          <w:sz w:val="24"/>
        </w:rPr>
        <w:t>）、债券（包括国内依法发行的国债、央行票据、金融债券、企业债券、公司债券、中期票据、短期融资券、超短期融资券、公开发行的次级债券、政府支持机构债、政府支持债券、地方政府债、可转换债券、可交换债券及其他经中国证监会允许投资的债券）、资产支持证券、债券回购、银行存款（包括协议存款、定期存款以及其他银行存款）、同业存单、货币市场工具，以及法律法规或中国证监会允许基金投资的其他金融工具（但须符合中国证监会的相关规定）。</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如法律法规或监管机构以后允许基金投资其他品种，基金管理人在履行适当程序后，可以将其纳入投资范围。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本基金的投资组合比例为：本基金投资于经中国证监会依法核准或注册的公开募集证券投资基金的基金份额的资产不低于本基金资产的</w:t>
      </w:r>
      <w:r>
        <w:rPr>
          <w:rFonts w:ascii="彩虹粗仿宋" w:eastAsia="彩虹粗仿宋" w:hAnsi="宋体" w:cs="Arial" w:hint="eastAsia"/>
          <w:sz w:val="24"/>
        </w:rPr>
        <w:t>80%</w:t>
      </w:r>
      <w:r>
        <w:rPr>
          <w:rFonts w:ascii="彩虹粗仿宋" w:eastAsia="彩虹粗仿宋" w:hAnsi="宋体" w:cs="Arial" w:hint="eastAsia"/>
          <w:sz w:val="24"/>
        </w:rPr>
        <w:t>。基金投资于股票（含存托凭证）、股票型基金、混合型基金（指基金合同中约定股票投资占基金资产的比例为</w:t>
      </w:r>
      <w:r>
        <w:rPr>
          <w:rFonts w:ascii="彩虹粗仿宋" w:eastAsia="彩虹粗仿宋" w:hAnsi="宋体" w:cs="Arial" w:hint="eastAsia"/>
          <w:sz w:val="24"/>
        </w:rPr>
        <w:t>60%</w:t>
      </w:r>
      <w:r>
        <w:rPr>
          <w:rFonts w:ascii="彩虹粗仿宋" w:eastAsia="彩虹粗仿宋" w:hAnsi="宋体" w:cs="Arial" w:hint="eastAsia"/>
          <w:sz w:val="24"/>
        </w:rPr>
        <w:t>以上或者最近四个季度披露的股票投资占基金资产的比例均在</w:t>
      </w:r>
      <w:r>
        <w:rPr>
          <w:rFonts w:ascii="彩虹粗仿宋" w:eastAsia="彩虹粗仿宋" w:hAnsi="宋体" w:cs="Arial" w:hint="eastAsia"/>
          <w:sz w:val="24"/>
        </w:rPr>
        <w:t>60%</w:t>
      </w:r>
      <w:r>
        <w:rPr>
          <w:rFonts w:ascii="彩虹粗仿宋" w:eastAsia="彩虹粗仿宋" w:hAnsi="宋体" w:cs="Arial" w:hint="eastAsia"/>
          <w:sz w:val="24"/>
        </w:rPr>
        <w:t>以上的混合型基金）合计占基金资产的比例为</w:t>
      </w:r>
      <w:r>
        <w:rPr>
          <w:rFonts w:ascii="彩虹粗仿宋" w:eastAsia="彩虹粗仿宋" w:hAnsi="宋体" w:cs="Arial" w:hint="eastAsia"/>
          <w:sz w:val="24"/>
        </w:rPr>
        <w:t>5%-30%</w:t>
      </w:r>
      <w:r>
        <w:rPr>
          <w:rFonts w:ascii="彩虹粗仿宋" w:eastAsia="彩虹粗仿宋" w:hAnsi="宋体" w:cs="Arial" w:hint="eastAsia"/>
          <w:sz w:val="24"/>
        </w:rPr>
        <w:t>（其中，本基金投资于境内的股票、股票型基金、混合型基金（指基金合同中约定股票投资占基金资产的比例为</w:t>
      </w:r>
      <w:r>
        <w:rPr>
          <w:rFonts w:ascii="彩虹粗仿宋" w:eastAsia="彩虹粗仿宋" w:hAnsi="宋体" w:cs="Arial" w:hint="eastAsia"/>
          <w:sz w:val="24"/>
        </w:rPr>
        <w:t>60%</w:t>
      </w:r>
      <w:r>
        <w:rPr>
          <w:rFonts w:ascii="彩虹粗仿宋" w:eastAsia="彩虹粗仿宋" w:hAnsi="宋体" w:cs="Arial" w:hint="eastAsia"/>
          <w:sz w:val="24"/>
        </w:rPr>
        <w:t>以上或者最近四个季度披露的股票投资占基金资产的比例均在</w:t>
      </w:r>
      <w:r>
        <w:rPr>
          <w:rFonts w:ascii="彩虹粗仿宋" w:eastAsia="彩虹粗仿宋" w:hAnsi="宋体" w:cs="Arial" w:hint="eastAsia"/>
          <w:sz w:val="24"/>
        </w:rPr>
        <w:t>60%</w:t>
      </w:r>
      <w:r>
        <w:rPr>
          <w:rFonts w:ascii="彩虹粗仿宋" w:eastAsia="彩虹粗仿宋" w:hAnsi="宋体" w:cs="Arial" w:hint="eastAsia"/>
          <w:sz w:val="24"/>
        </w:rPr>
        <w:t>以上的</w:t>
      </w:r>
      <w:r>
        <w:rPr>
          <w:rFonts w:ascii="彩虹粗仿宋" w:eastAsia="彩虹粗仿宋" w:hAnsi="宋体" w:cs="Arial" w:hint="eastAsia"/>
          <w:sz w:val="24"/>
        </w:rPr>
        <w:t>混合型基金）合计比例不低于基金资产的</w:t>
      </w:r>
      <w:r>
        <w:rPr>
          <w:rFonts w:ascii="彩虹粗仿宋" w:eastAsia="彩虹粗仿宋" w:hAnsi="宋体" w:cs="Arial" w:hint="eastAsia"/>
          <w:sz w:val="24"/>
        </w:rPr>
        <w:t>5%</w:t>
      </w:r>
      <w:r>
        <w:rPr>
          <w:rFonts w:ascii="彩虹粗仿宋" w:eastAsia="彩虹粗仿宋" w:hAnsi="宋体" w:cs="Arial" w:hint="eastAsia"/>
          <w:sz w:val="24"/>
        </w:rPr>
        <w:t>），本基金投资于港股通标的股票的比例不超过股票资产的</w:t>
      </w:r>
      <w:r>
        <w:rPr>
          <w:rFonts w:ascii="彩虹粗仿宋" w:eastAsia="彩虹粗仿宋" w:hAnsi="宋体" w:cs="Arial" w:hint="eastAsia"/>
          <w:sz w:val="24"/>
        </w:rPr>
        <w:t>50%</w:t>
      </w:r>
      <w:r>
        <w:rPr>
          <w:rFonts w:ascii="彩虹粗仿宋" w:eastAsia="彩虹粗仿宋" w:hAnsi="宋体" w:cs="Arial" w:hint="eastAsia"/>
          <w:sz w:val="24"/>
        </w:rPr>
        <w:t>。本基金投资于</w:t>
      </w:r>
      <w:r>
        <w:rPr>
          <w:rFonts w:ascii="彩虹粗仿宋" w:eastAsia="彩虹粗仿宋" w:hAnsi="宋体" w:cs="Arial" w:hint="eastAsia"/>
          <w:sz w:val="24"/>
        </w:rPr>
        <w:t>Q</w:t>
      </w:r>
      <w:r>
        <w:rPr>
          <w:rFonts w:ascii="彩虹粗仿宋" w:eastAsia="彩虹粗仿宋" w:hAnsi="宋体" w:cs="Arial"/>
          <w:sz w:val="24"/>
        </w:rPr>
        <w:t>DII</w:t>
      </w:r>
      <w:r>
        <w:rPr>
          <w:rFonts w:ascii="彩虹粗仿宋" w:eastAsia="彩虹粗仿宋" w:hAnsi="宋体" w:cs="Arial" w:hint="eastAsia"/>
          <w:sz w:val="24"/>
        </w:rPr>
        <w:t>基金和香港互认基金的比例不超过基金资产的</w:t>
      </w:r>
      <w:r>
        <w:rPr>
          <w:rFonts w:ascii="彩虹粗仿宋" w:eastAsia="彩虹粗仿宋" w:hAnsi="宋体" w:cs="Arial" w:hint="eastAsia"/>
          <w:sz w:val="24"/>
        </w:rPr>
        <w:t>20%</w:t>
      </w:r>
      <w:r>
        <w:rPr>
          <w:rFonts w:ascii="彩虹粗仿宋" w:eastAsia="彩虹粗仿宋" w:hAnsi="宋体" w:cs="Arial" w:hint="eastAsia"/>
          <w:sz w:val="24"/>
        </w:rPr>
        <w:t>。货币市场基金投资占基金资产比例不超过</w:t>
      </w:r>
      <w:r>
        <w:rPr>
          <w:rFonts w:ascii="彩虹粗仿宋" w:eastAsia="彩虹粗仿宋" w:hAnsi="宋体" w:cs="Arial" w:hint="eastAsia"/>
          <w:sz w:val="24"/>
        </w:rPr>
        <w:t>15%</w:t>
      </w:r>
      <w:r>
        <w:rPr>
          <w:rFonts w:ascii="彩虹粗仿宋" w:eastAsia="彩虹粗仿宋" w:hAnsi="宋体" w:cs="Arial" w:hint="eastAsia"/>
          <w:sz w:val="24"/>
        </w:rPr>
        <w:t>。投资于商品基金（含商品期货基金和黄金</w:t>
      </w:r>
      <w:r>
        <w:rPr>
          <w:rFonts w:ascii="彩虹粗仿宋" w:eastAsia="彩虹粗仿宋" w:hAnsi="宋体" w:cs="Arial" w:hint="eastAsia"/>
          <w:sz w:val="24"/>
        </w:rPr>
        <w:t>ETF</w:t>
      </w:r>
      <w:r>
        <w:rPr>
          <w:rFonts w:ascii="彩虹粗仿宋" w:eastAsia="彩虹粗仿宋" w:hAnsi="宋体" w:cs="Arial" w:hint="eastAsia"/>
          <w:sz w:val="24"/>
        </w:rPr>
        <w:t>）的比例不超过基金资产的</w:t>
      </w:r>
      <w:r>
        <w:rPr>
          <w:rFonts w:ascii="彩虹粗仿宋" w:eastAsia="彩虹粗仿宋" w:hAnsi="宋体" w:cs="Arial" w:hint="eastAsia"/>
          <w:sz w:val="24"/>
        </w:rPr>
        <w:t>10%</w:t>
      </w:r>
      <w:r>
        <w:rPr>
          <w:rFonts w:ascii="彩虹粗仿宋" w:eastAsia="彩虹粗仿宋" w:hAnsi="宋体" w:cs="Arial" w:hint="eastAsia"/>
          <w:sz w:val="24"/>
        </w:rPr>
        <w:t>。本基金保留的现金或到期日在一年以内的政府债券的比例合计不低于基金资产净值的</w:t>
      </w:r>
      <w:r>
        <w:rPr>
          <w:rFonts w:ascii="彩虹粗仿宋" w:eastAsia="彩虹粗仿宋" w:hAnsi="宋体" w:cs="Arial" w:hint="eastAsia"/>
          <w:sz w:val="24"/>
        </w:rPr>
        <w:t>5%</w:t>
      </w:r>
      <w:r>
        <w:rPr>
          <w:rFonts w:ascii="彩虹粗仿宋" w:eastAsia="彩虹粗仿宋" w:hAnsi="宋体" w:cs="Arial" w:hint="eastAsia"/>
          <w:sz w:val="24"/>
        </w:rPr>
        <w:t>，其中现金不包括结算备付金、存出保证金、应收申购款等。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如果法律法规或中国证监会变更投资品种的投资比例限制，基金管理人在履行适当程序后，可以调整上述</w:t>
      </w:r>
      <w:r>
        <w:rPr>
          <w:rFonts w:ascii="彩虹粗仿宋" w:eastAsia="彩虹粗仿宋" w:hAnsi="宋体" w:cs="Arial" w:hint="eastAsia"/>
          <w:sz w:val="24"/>
        </w:rPr>
        <w:t>投资品种的投资比例。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（二）基金托管人根据有关法律法规的规定及《基金合同》和本协议的约定，对基金投资比例进行监督。基金托管人按下述比例和调整期限进行监督：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lastRenderedPageBreak/>
        <w:t>（</w:t>
      </w:r>
      <w:r>
        <w:rPr>
          <w:rFonts w:ascii="彩虹粗仿宋" w:eastAsia="彩虹粗仿宋" w:hAnsi="宋体" w:cs="Arial"/>
          <w:sz w:val="24"/>
        </w:rPr>
        <w:t>1</w:t>
      </w:r>
      <w:r>
        <w:rPr>
          <w:rFonts w:ascii="彩虹粗仿宋" w:eastAsia="彩虹粗仿宋" w:hAnsi="宋体" w:cs="Arial"/>
          <w:sz w:val="24"/>
        </w:rPr>
        <w:t>）</w:t>
      </w:r>
      <w:r>
        <w:rPr>
          <w:rFonts w:ascii="彩虹粗仿宋" w:eastAsia="彩虹粗仿宋" w:hAnsi="宋体" w:cs="Arial" w:hint="eastAsia"/>
          <w:sz w:val="24"/>
        </w:rPr>
        <w:t>本基金</w:t>
      </w:r>
      <w:r>
        <w:rPr>
          <w:rFonts w:ascii="彩虹粗仿宋" w:eastAsia="彩虹粗仿宋" w:hAnsi="宋体" w:cs="Arial" w:hint="eastAsia"/>
          <w:sz w:val="24"/>
        </w:rPr>
        <w:t>80%</w:t>
      </w:r>
      <w:r>
        <w:rPr>
          <w:rFonts w:ascii="彩虹粗仿宋" w:eastAsia="彩虹粗仿宋" w:hAnsi="宋体" w:cs="Arial" w:hint="eastAsia"/>
          <w:sz w:val="24"/>
        </w:rPr>
        <w:t>以上基金资产投资于其他经中国证监会依法核准或注册的公开募集的基金份额。本基金投资于股票（含存托凭证）、股票型基金、混合型基金（指基金合同中约定股票投资占基金资产的比例为</w:t>
      </w:r>
      <w:r>
        <w:rPr>
          <w:rFonts w:ascii="彩虹粗仿宋" w:eastAsia="彩虹粗仿宋" w:hAnsi="宋体" w:cs="Arial" w:hint="eastAsia"/>
          <w:sz w:val="24"/>
        </w:rPr>
        <w:t>60%</w:t>
      </w:r>
      <w:r>
        <w:rPr>
          <w:rFonts w:ascii="彩虹粗仿宋" w:eastAsia="彩虹粗仿宋" w:hAnsi="宋体" w:cs="Arial" w:hint="eastAsia"/>
          <w:sz w:val="24"/>
        </w:rPr>
        <w:t>以上或者最近四个季度披露的股票投资占基金资产的比例均在</w:t>
      </w:r>
      <w:r>
        <w:rPr>
          <w:rFonts w:ascii="彩虹粗仿宋" w:eastAsia="彩虹粗仿宋" w:hAnsi="宋体" w:cs="Arial" w:hint="eastAsia"/>
          <w:sz w:val="24"/>
        </w:rPr>
        <w:t>60%</w:t>
      </w:r>
      <w:r>
        <w:rPr>
          <w:rFonts w:ascii="彩虹粗仿宋" w:eastAsia="彩虹粗仿宋" w:hAnsi="宋体" w:cs="Arial" w:hint="eastAsia"/>
          <w:sz w:val="24"/>
        </w:rPr>
        <w:t>以上的混合型基金）合计占基金资产的比例为</w:t>
      </w:r>
      <w:r>
        <w:rPr>
          <w:rFonts w:ascii="彩虹粗仿宋" w:eastAsia="彩虹粗仿宋" w:hAnsi="宋体" w:cs="Arial" w:hint="eastAsia"/>
          <w:sz w:val="24"/>
        </w:rPr>
        <w:t>5%-30%</w:t>
      </w:r>
      <w:r>
        <w:rPr>
          <w:rFonts w:ascii="彩虹粗仿宋" w:eastAsia="彩虹粗仿宋" w:hAnsi="宋体" w:cs="Arial" w:hint="eastAsia"/>
          <w:sz w:val="24"/>
        </w:rPr>
        <w:t>（其中，本基金投资于境内的股票、股票型基金、混合型基</w:t>
      </w:r>
      <w:r>
        <w:rPr>
          <w:rFonts w:ascii="彩虹粗仿宋" w:eastAsia="彩虹粗仿宋" w:hAnsi="宋体" w:cs="Arial" w:hint="eastAsia"/>
          <w:sz w:val="24"/>
        </w:rPr>
        <w:t>金（指基金合同中约定股票投资占基金资产的比例为</w:t>
      </w:r>
      <w:r>
        <w:rPr>
          <w:rFonts w:ascii="彩虹粗仿宋" w:eastAsia="彩虹粗仿宋" w:hAnsi="宋体" w:cs="Arial" w:hint="eastAsia"/>
          <w:sz w:val="24"/>
        </w:rPr>
        <w:t>60%</w:t>
      </w:r>
      <w:r>
        <w:rPr>
          <w:rFonts w:ascii="彩虹粗仿宋" w:eastAsia="彩虹粗仿宋" w:hAnsi="宋体" w:cs="Arial" w:hint="eastAsia"/>
          <w:sz w:val="24"/>
        </w:rPr>
        <w:t>以上或者最近四个季度披露的股票投资占基金资产的比例均在</w:t>
      </w:r>
      <w:r>
        <w:rPr>
          <w:rFonts w:ascii="彩虹粗仿宋" w:eastAsia="彩虹粗仿宋" w:hAnsi="宋体" w:cs="Arial" w:hint="eastAsia"/>
          <w:sz w:val="24"/>
        </w:rPr>
        <w:t>60%</w:t>
      </w:r>
      <w:r>
        <w:rPr>
          <w:rFonts w:ascii="彩虹粗仿宋" w:eastAsia="彩虹粗仿宋" w:hAnsi="宋体" w:cs="Arial" w:hint="eastAsia"/>
          <w:sz w:val="24"/>
        </w:rPr>
        <w:t>以上的混合型基金）合计比例不低于基金资产的</w:t>
      </w:r>
      <w:r>
        <w:rPr>
          <w:rFonts w:ascii="彩虹粗仿宋" w:eastAsia="彩虹粗仿宋" w:hAnsi="宋体" w:cs="Arial" w:hint="eastAsia"/>
          <w:sz w:val="24"/>
        </w:rPr>
        <w:t>5%</w:t>
      </w:r>
      <w:r>
        <w:rPr>
          <w:rFonts w:ascii="彩虹粗仿宋" w:eastAsia="彩虹粗仿宋" w:hAnsi="宋体" w:cs="Arial" w:hint="eastAsia"/>
          <w:sz w:val="24"/>
        </w:rPr>
        <w:t>），本基金投资于港股通标的股票的比例不超过股票资产的</w:t>
      </w:r>
      <w:r>
        <w:rPr>
          <w:rFonts w:ascii="彩虹粗仿宋" w:eastAsia="彩虹粗仿宋" w:hAnsi="宋体" w:cs="Arial" w:hint="eastAsia"/>
          <w:sz w:val="24"/>
        </w:rPr>
        <w:t>50%</w:t>
      </w:r>
      <w:r>
        <w:rPr>
          <w:rFonts w:ascii="彩虹粗仿宋" w:eastAsia="彩虹粗仿宋" w:hAnsi="宋体" w:cs="Arial" w:hint="eastAsia"/>
          <w:sz w:val="24"/>
        </w:rPr>
        <w:t>。本基金投资于</w:t>
      </w:r>
      <w:r>
        <w:rPr>
          <w:rFonts w:ascii="彩虹粗仿宋" w:eastAsia="彩虹粗仿宋" w:hAnsi="宋体" w:cs="Arial" w:hint="eastAsia"/>
          <w:sz w:val="24"/>
        </w:rPr>
        <w:t>Q</w:t>
      </w:r>
      <w:r>
        <w:rPr>
          <w:rFonts w:ascii="彩虹粗仿宋" w:eastAsia="彩虹粗仿宋" w:hAnsi="宋体" w:cs="Arial"/>
          <w:sz w:val="24"/>
        </w:rPr>
        <w:t>DII</w:t>
      </w:r>
      <w:r>
        <w:rPr>
          <w:rFonts w:ascii="彩虹粗仿宋" w:eastAsia="彩虹粗仿宋" w:hAnsi="宋体" w:cs="Arial" w:hint="eastAsia"/>
          <w:sz w:val="24"/>
        </w:rPr>
        <w:t>基金和香港互认基金的比例不超过基金资产的</w:t>
      </w:r>
      <w:r>
        <w:rPr>
          <w:rFonts w:ascii="彩虹粗仿宋" w:eastAsia="彩虹粗仿宋" w:hAnsi="宋体" w:cs="Arial" w:hint="eastAsia"/>
          <w:sz w:val="24"/>
        </w:rPr>
        <w:t>20%</w:t>
      </w:r>
      <w:r>
        <w:rPr>
          <w:rFonts w:ascii="彩虹粗仿宋" w:eastAsia="彩虹粗仿宋" w:hAnsi="宋体" w:cs="Arial" w:hint="eastAsia"/>
          <w:sz w:val="24"/>
        </w:rPr>
        <w:t>；投资于商品基金（含商品期货基金和黄金</w:t>
      </w:r>
      <w:r>
        <w:rPr>
          <w:rFonts w:ascii="彩虹粗仿宋" w:eastAsia="彩虹粗仿宋" w:hAnsi="宋体" w:cs="Arial" w:hint="eastAsia"/>
          <w:sz w:val="24"/>
        </w:rPr>
        <w:t>ETF</w:t>
      </w:r>
      <w:r>
        <w:rPr>
          <w:rFonts w:ascii="彩虹粗仿宋" w:eastAsia="彩虹粗仿宋" w:hAnsi="宋体" w:cs="Arial" w:hint="eastAsia"/>
          <w:sz w:val="24"/>
        </w:rPr>
        <w:t>）的比例不超过基金资产的</w:t>
      </w:r>
      <w:r>
        <w:rPr>
          <w:rFonts w:ascii="彩虹粗仿宋" w:eastAsia="彩虹粗仿宋" w:hAnsi="宋体" w:cs="Arial" w:hint="eastAsia"/>
          <w:sz w:val="24"/>
        </w:rPr>
        <w:t>10%</w:t>
      </w:r>
      <w:r>
        <w:rPr>
          <w:rFonts w:ascii="彩虹粗仿宋" w:eastAsia="彩虹粗仿宋" w:hAnsi="宋体" w:cs="Arial" w:hint="eastAsia"/>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2</w:t>
      </w:r>
      <w:r>
        <w:rPr>
          <w:rFonts w:ascii="彩虹粗仿宋" w:eastAsia="彩虹粗仿宋" w:hAnsi="宋体" w:cs="Arial"/>
          <w:sz w:val="24"/>
        </w:rPr>
        <w:t>）本</w:t>
      </w:r>
      <w:r>
        <w:rPr>
          <w:rFonts w:ascii="彩虹粗仿宋" w:eastAsia="彩虹粗仿宋" w:hAnsi="宋体" w:cs="Arial" w:hint="eastAsia"/>
          <w:sz w:val="24"/>
        </w:rPr>
        <w:t>基金保留的现金或到期日在一年以内的政府债券的比例合计不低于基金资产净值的</w:t>
      </w:r>
      <w:r>
        <w:rPr>
          <w:rFonts w:ascii="彩虹粗仿宋" w:eastAsia="彩虹粗仿宋" w:hAnsi="宋体" w:cs="Arial" w:hint="eastAsia"/>
          <w:sz w:val="24"/>
        </w:rPr>
        <w:t>5%</w:t>
      </w:r>
      <w:r>
        <w:rPr>
          <w:rFonts w:ascii="彩虹粗仿宋" w:eastAsia="彩虹粗仿宋" w:hAnsi="宋体" w:cs="Arial" w:hint="eastAsia"/>
          <w:sz w:val="24"/>
        </w:rPr>
        <w:t>，其中现金不包括结算备付金、存出保证金、应收申购款等；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3</w:t>
      </w:r>
      <w:r>
        <w:rPr>
          <w:rFonts w:ascii="彩虹粗仿宋" w:eastAsia="彩虹粗仿宋" w:hAnsi="宋体" w:cs="Arial"/>
          <w:sz w:val="24"/>
        </w:rPr>
        <w:t>）</w:t>
      </w:r>
      <w:r>
        <w:rPr>
          <w:rFonts w:ascii="彩虹粗仿宋" w:eastAsia="彩虹粗仿宋" w:hAnsi="宋体" w:cs="Arial" w:hint="eastAsia"/>
          <w:sz w:val="24"/>
        </w:rPr>
        <w:t>本基</w:t>
      </w:r>
      <w:r>
        <w:rPr>
          <w:rFonts w:ascii="彩虹粗仿宋" w:eastAsia="彩虹粗仿宋" w:hAnsi="宋体" w:cs="Arial" w:hint="eastAsia"/>
          <w:sz w:val="24"/>
        </w:rPr>
        <w:t>金持有单只基金的市值，不高于本基金资产净值的</w:t>
      </w:r>
      <w:r>
        <w:rPr>
          <w:rFonts w:ascii="彩虹粗仿宋" w:eastAsia="彩虹粗仿宋" w:hAnsi="宋体" w:cs="Arial" w:hint="eastAsia"/>
          <w:sz w:val="24"/>
        </w:rPr>
        <w:t>20%</w:t>
      </w:r>
      <w:r>
        <w:rPr>
          <w:rFonts w:ascii="彩虹粗仿宋" w:eastAsia="彩虹粗仿宋" w:hAnsi="宋体" w:cs="Arial" w:hint="eastAsia"/>
          <w:sz w:val="24"/>
        </w:rPr>
        <w:t>，且不得持有其他基金中基金；</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）本基金投资其他基金时，被投资基金的运作期限不少于</w:t>
      </w:r>
      <w:r>
        <w:rPr>
          <w:rFonts w:ascii="彩虹粗仿宋" w:eastAsia="彩虹粗仿宋" w:hAnsi="宋体" w:cs="Arial"/>
          <w:sz w:val="24"/>
        </w:rPr>
        <w:t>1</w:t>
      </w:r>
      <w:r>
        <w:rPr>
          <w:rFonts w:ascii="彩虹粗仿宋" w:eastAsia="彩虹粗仿宋" w:hAnsi="宋体" w:cs="Arial" w:hint="eastAsia"/>
          <w:sz w:val="24"/>
        </w:rPr>
        <w:t>年，最近定期披露的基金净资产应当不低于</w:t>
      </w:r>
      <w:r>
        <w:rPr>
          <w:rFonts w:ascii="彩虹粗仿宋" w:eastAsia="彩虹粗仿宋" w:hAnsi="宋体" w:cs="Arial" w:hint="eastAsia"/>
          <w:sz w:val="24"/>
        </w:rPr>
        <w:t>1</w:t>
      </w:r>
      <w:r>
        <w:rPr>
          <w:rFonts w:ascii="彩虹粗仿宋" w:eastAsia="彩虹粗仿宋" w:hAnsi="宋体" w:cs="Arial" w:hint="eastAsia"/>
          <w:sz w:val="24"/>
        </w:rPr>
        <w:t>亿元；</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5</w:t>
      </w:r>
      <w:r>
        <w:rPr>
          <w:rFonts w:ascii="彩虹粗仿宋" w:eastAsia="彩虹粗仿宋" w:hAnsi="宋体" w:cs="Arial" w:hint="eastAsia"/>
          <w:sz w:val="24"/>
        </w:rPr>
        <w:t>）本基金管理人管理且在本基金托管人处托管的全部基金（</w:t>
      </w:r>
      <w:r>
        <w:rPr>
          <w:rFonts w:ascii="彩虹粗仿宋" w:eastAsia="彩虹粗仿宋" w:hAnsi="宋体" w:cs="Arial" w:hint="eastAsia"/>
          <w:sz w:val="24"/>
        </w:rPr>
        <w:t>ETF</w:t>
      </w:r>
      <w:r>
        <w:rPr>
          <w:rFonts w:ascii="彩虹粗仿宋" w:eastAsia="彩虹粗仿宋" w:hAnsi="宋体" w:cs="Arial" w:hint="eastAsia"/>
          <w:sz w:val="24"/>
        </w:rPr>
        <w:t>联接基金除外）持有单只基金不超过被投资基金净资产的</w:t>
      </w:r>
      <w:r>
        <w:rPr>
          <w:rFonts w:ascii="彩虹粗仿宋" w:eastAsia="彩虹粗仿宋" w:hAnsi="宋体" w:cs="Arial" w:hint="eastAsia"/>
          <w:sz w:val="24"/>
        </w:rPr>
        <w:t>20%</w:t>
      </w:r>
      <w:r>
        <w:rPr>
          <w:rFonts w:ascii="彩虹粗仿宋" w:eastAsia="彩虹粗仿宋" w:hAnsi="宋体" w:cs="Arial" w:hint="eastAsia"/>
          <w:sz w:val="24"/>
        </w:rPr>
        <w:t>，被投资基金净资产规模以最近定期报告披露的规模为准；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6</w:t>
      </w:r>
      <w:r>
        <w:rPr>
          <w:rFonts w:ascii="彩虹粗仿宋" w:eastAsia="彩虹粗仿宋" w:hAnsi="宋体" w:cs="Arial" w:hint="eastAsia"/>
          <w:sz w:val="24"/>
        </w:rPr>
        <w:t>）本基金投资于流通受限基金不高于本基金资产净值的</w:t>
      </w:r>
      <w:r>
        <w:rPr>
          <w:rFonts w:ascii="彩虹粗仿宋" w:eastAsia="彩虹粗仿宋" w:hAnsi="宋体" w:cs="Arial" w:hint="eastAsia"/>
          <w:sz w:val="24"/>
        </w:rPr>
        <w:t>10%</w:t>
      </w:r>
      <w:r>
        <w:rPr>
          <w:rFonts w:ascii="彩虹粗仿宋" w:eastAsia="彩虹粗仿宋" w:hAnsi="宋体" w:cs="Arial" w:hint="eastAsia"/>
          <w:sz w:val="24"/>
        </w:rPr>
        <w:t>；流通受限基金是指封闭运作基金、定期开放基金等由基金合同规定明确在一定期限内不可赎回的基金；</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7</w:t>
      </w:r>
      <w:r>
        <w:rPr>
          <w:rFonts w:ascii="彩虹粗仿宋" w:eastAsia="彩虹粗仿宋" w:hAnsi="宋体" w:cs="Arial" w:hint="eastAsia"/>
          <w:sz w:val="24"/>
        </w:rPr>
        <w:t>）</w:t>
      </w:r>
      <w:r>
        <w:rPr>
          <w:rFonts w:ascii="彩虹粗仿宋" w:eastAsia="彩虹粗仿宋" w:hAnsi="宋体" w:cs="Arial"/>
          <w:sz w:val="24"/>
        </w:rPr>
        <w:t>本基金持有一家公司</w:t>
      </w:r>
      <w:r>
        <w:rPr>
          <w:rFonts w:ascii="彩虹粗仿宋" w:eastAsia="彩虹粗仿宋" w:hAnsi="宋体" w:cs="Arial" w:hint="eastAsia"/>
          <w:sz w:val="24"/>
        </w:rPr>
        <w:t>发行</w:t>
      </w:r>
      <w:r>
        <w:rPr>
          <w:rFonts w:ascii="彩虹粗仿宋" w:eastAsia="彩虹粗仿宋" w:hAnsi="宋体" w:cs="Arial"/>
          <w:sz w:val="24"/>
        </w:rPr>
        <w:t>的</w:t>
      </w:r>
      <w:r>
        <w:rPr>
          <w:rFonts w:ascii="彩虹粗仿宋" w:eastAsia="彩虹粗仿宋" w:hAnsi="宋体" w:cs="Arial" w:hint="eastAsia"/>
          <w:sz w:val="24"/>
        </w:rPr>
        <w:t>证券（同一家公司在内地和香港同时上市的</w:t>
      </w:r>
      <w:r>
        <w:rPr>
          <w:rFonts w:ascii="彩虹粗仿宋" w:eastAsia="彩虹粗仿宋" w:hAnsi="宋体" w:cs="Arial" w:hint="eastAsia"/>
          <w:sz w:val="24"/>
        </w:rPr>
        <w:t>A+H</w:t>
      </w:r>
      <w:r>
        <w:rPr>
          <w:rFonts w:ascii="彩虹粗仿宋" w:eastAsia="彩虹粗仿宋" w:hAnsi="宋体" w:cs="Arial" w:hint="eastAsia"/>
          <w:sz w:val="24"/>
        </w:rPr>
        <w:t>股合并计算且不含本基金所投资的基金份额）</w:t>
      </w:r>
      <w:r>
        <w:rPr>
          <w:rFonts w:ascii="彩虹粗仿宋" w:eastAsia="彩虹粗仿宋" w:hAnsi="宋体" w:cs="Arial"/>
          <w:sz w:val="24"/>
        </w:rPr>
        <w:t>，其市值不超过基金资产净值的</w:t>
      </w:r>
      <w:r>
        <w:rPr>
          <w:rFonts w:ascii="彩虹粗仿宋" w:eastAsia="彩虹粗仿宋" w:hAnsi="宋体" w:cs="Arial"/>
          <w:sz w:val="24"/>
        </w:rPr>
        <w:t>10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sz w:val="24"/>
        </w:rPr>
        <w:t>8</w:t>
      </w:r>
      <w:r>
        <w:rPr>
          <w:rFonts w:ascii="彩虹粗仿宋" w:eastAsia="彩虹粗仿宋" w:hAnsi="宋体" w:cs="Arial"/>
          <w:sz w:val="24"/>
        </w:rPr>
        <w:t>）本基金管理人管理</w:t>
      </w:r>
      <w:r>
        <w:rPr>
          <w:rFonts w:ascii="彩虹粗仿宋" w:eastAsia="彩虹粗仿宋" w:hAnsi="宋体" w:cs="Arial" w:hint="eastAsia"/>
          <w:sz w:val="24"/>
        </w:rPr>
        <w:t>且在本基金托管人处托管</w:t>
      </w:r>
      <w:r>
        <w:rPr>
          <w:rFonts w:ascii="彩虹粗仿宋" w:eastAsia="彩虹粗仿宋" w:hAnsi="宋体" w:cs="Arial"/>
          <w:sz w:val="24"/>
        </w:rPr>
        <w:t>的全部基金持有一家公司发行的证券</w:t>
      </w:r>
      <w:r>
        <w:rPr>
          <w:rFonts w:ascii="彩虹粗仿宋" w:eastAsia="彩虹粗仿宋" w:hAnsi="宋体" w:cs="Arial" w:hint="eastAsia"/>
          <w:sz w:val="24"/>
        </w:rPr>
        <w:t>（同一家公司在内地和香港同时上市的</w:t>
      </w:r>
      <w:r>
        <w:rPr>
          <w:rFonts w:ascii="彩虹粗仿宋" w:eastAsia="彩虹粗仿宋" w:hAnsi="宋体" w:cs="Arial" w:hint="eastAsia"/>
          <w:sz w:val="24"/>
        </w:rPr>
        <w:t>A+H</w:t>
      </w:r>
      <w:r>
        <w:rPr>
          <w:rFonts w:ascii="彩虹粗仿宋" w:eastAsia="彩虹粗仿宋" w:hAnsi="宋体" w:cs="Arial" w:hint="eastAsia"/>
          <w:sz w:val="24"/>
        </w:rPr>
        <w:t>股合并计算且不含本基金所</w:t>
      </w:r>
      <w:r>
        <w:rPr>
          <w:rFonts w:ascii="彩虹粗仿宋" w:eastAsia="彩虹粗仿宋" w:hAnsi="宋体" w:cs="Arial" w:hint="eastAsia"/>
          <w:sz w:val="24"/>
        </w:rPr>
        <w:lastRenderedPageBreak/>
        <w:t>投资的基金份额）</w:t>
      </w:r>
      <w:r>
        <w:rPr>
          <w:rFonts w:ascii="彩虹粗仿宋" w:eastAsia="彩虹粗仿宋" w:hAnsi="宋体" w:cs="Arial"/>
          <w:sz w:val="24"/>
        </w:rPr>
        <w:t>，不超过该证券的</w:t>
      </w:r>
      <w:r>
        <w:rPr>
          <w:rFonts w:ascii="彩虹粗仿宋" w:eastAsia="彩虹粗仿宋" w:hAnsi="宋体" w:cs="Arial"/>
          <w:sz w:val="24"/>
        </w:rPr>
        <w:t>10</w:t>
      </w:r>
      <w:r>
        <w:rPr>
          <w:rFonts w:ascii="彩虹粗仿宋" w:eastAsia="彩虹粗仿宋" w:hAnsi="宋体" w:cs="Arial"/>
          <w:sz w:val="24"/>
        </w:rPr>
        <w:t>％</w:t>
      </w:r>
      <w:r>
        <w:rPr>
          <w:rFonts w:ascii="彩虹粗仿宋" w:eastAsia="彩虹粗仿宋" w:hAnsi="宋体" w:cs="Arial" w:hint="eastAsia"/>
          <w:sz w:val="24"/>
        </w:rPr>
        <w:t>，完全按照有关指数的构成比例进行证券投资的基金品种可以不受此条款规定的比例限制</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9</w:t>
      </w:r>
      <w:r>
        <w:rPr>
          <w:rFonts w:ascii="彩虹粗仿宋" w:eastAsia="彩虹粗仿宋" w:hAnsi="宋体" w:cs="Arial" w:hint="eastAsia"/>
          <w:sz w:val="24"/>
        </w:rPr>
        <w:t>）本基金管理人管理且在本基金托管人处托管的全部开放式基金（包括开放式基金以及处于开放期的定期开放基金</w:t>
      </w:r>
      <w:r>
        <w:rPr>
          <w:rFonts w:ascii="彩虹粗仿宋" w:eastAsia="彩虹粗仿宋" w:hAnsi="宋体" w:cs="Arial" w:hint="eastAsia"/>
          <w:sz w:val="24"/>
        </w:rPr>
        <w:t>）持有一家上市公司发行的可流通股票，不得超过该上市公司可流通股票的</w:t>
      </w:r>
      <w:r>
        <w:rPr>
          <w:rFonts w:ascii="彩虹粗仿宋" w:eastAsia="彩虹粗仿宋" w:hAnsi="宋体" w:cs="Arial"/>
          <w:sz w:val="24"/>
        </w:rPr>
        <w:t>15%</w:t>
      </w:r>
      <w:r>
        <w:rPr>
          <w:rFonts w:ascii="彩虹粗仿宋" w:eastAsia="彩虹粗仿宋" w:hAnsi="宋体" w:cs="Arial" w:hint="eastAsia"/>
          <w:sz w:val="24"/>
        </w:rPr>
        <w:t>；本基金管理人管理且在本基金托管人处托管的全部投资组合持有一家上市公司发行的可流通股票，不得超过该上市公司可流通股票的</w:t>
      </w:r>
      <w:r>
        <w:rPr>
          <w:rFonts w:ascii="彩虹粗仿宋" w:eastAsia="彩虹粗仿宋" w:hAnsi="宋体" w:cs="Arial"/>
          <w:sz w:val="24"/>
        </w:rPr>
        <w:t>30%</w:t>
      </w:r>
      <w:r>
        <w:rPr>
          <w:rFonts w:ascii="彩虹粗仿宋" w:eastAsia="彩虹粗仿宋" w:hAnsi="宋体" w:cs="Arial" w:hint="eastAsia"/>
          <w:sz w:val="24"/>
        </w:rPr>
        <w:t>；完全按照有关指数的构成比例进行证券投资的开放式基金以及中国证监会认定的特殊投资组合可不受前述比例限制；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sz w:val="24"/>
        </w:rPr>
        <w:t>0</w:t>
      </w:r>
      <w:r>
        <w:rPr>
          <w:rFonts w:ascii="彩虹粗仿宋" w:eastAsia="彩虹粗仿宋" w:hAnsi="宋体" w:cs="Arial" w:hint="eastAsia"/>
          <w:sz w:val="24"/>
        </w:rPr>
        <w:t>）</w:t>
      </w:r>
      <w:r>
        <w:rPr>
          <w:rFonts w:ascii="彩虹粗仿宋" w:eastAsia="彩虹粗仿宋" w:hAnsi="宋体" w:cs="Arial"/>
          <w:sz w:val="24"/>
        </w:rPr>
        <w:t>本基金主动投资于流动性受限资产的市值合计不得超过基金资产净值的</w:t>
      </w:r>
      <w:r>
        <w:rPr>
          <w:rFonts w:ascii="彩虹粗仿宋" w:eastAsia="彩虹粗仿宋" w:hAnsi="宋体" w:cs="Arial"/>
          <w:sz w:val="24"/>
        </w:rPr>
        <w:t>15%</w:t>
      </w:r>
      <w:r>
        <w:rPr>
          <w:rFonts w:ascii="彩虹粗仿宋" w:eastAsia="彩虹粗仿宋" w:hAnsi="宋体" w:cs="Arial" w:hint="eastAsia"/>
          <w:sz w:val="24"/>
        </w:rPr>
        <w:t>；因证券市场波动、上市公司股票停牌、所投资基金暂停或延期办理赎回申请、基金规模变动等基金管理人之外的因素致使基金不符合该比例限制的，基</w:t>
      </w:r>
      <w:r>
        <w:rPr>
          <w:rFonts w:ascii="彩虹粗仿宋" w:eastAsia="彩虹粗仿宋" w:hAnsi="宋体" w:cs="Arial" w:hint="eastAsia"/>
          <w:sz w:val="24"/>
        </w:rPr>
        <w:t>金管理人不得主动新增流动性受限资产的投资；</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11</w:t>
      </w:r>
      <w:r>
        <w:rPr>
          <w:rFonts w:ascii="彩虹粗仿宋" w:eastAsia="彩虹粗仿宋" w:hAnsi="宋体" w:cs="Arial" w:hint="eastAsia"/>
          <w:sz w:val="24"/>
        </w:rPr>
        <w:t>）本基金与私募类证券资管产品及中国证监会认定的其他主体为交易对手开展逆回购交易的，可接受质押品的资质要求应当与基金合同约定的投资范围保持一致；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12</w:t>
      </w:r>
      <w:r>
        <w:rPr>
          <w:rFonts w:ascii="彩虹粗仿宋" w:eastAsia="彩虹粗仿宋" w:hAnsi="宋体" w:cs="Arial"/>
          <w:sz w:val="24"/>
        </w:rPr>
        <w:t>）本基金投资于同一原始权益人的各类资产支持证券的比例，不得超过基金资产净值的</w:t>
      </w:r>
      <w:r>
        <w:rPr>
          <w:rFonts w:ascii="彩虹粗仿宋" w:eastAsia="彩虹粗仿宋" w:hAnsi="宋体" w:cs="Arial"/>
          <w:sz w:val="24"/>
        </w:rPr>
        <w:t>10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13</w:t>
      </w:r>
      <w:r>
        <w:rPr>
          <w:rFonts w:ascii="彩虹粗仿宋" w:eastAsia="彩虹粗仿宋" w:hAnsi="宋体" w:cs="Arial"/>
          <w:sz w:val="24"/>
        </w:rPr>
        <w:t>）本基金持有的全部资产支持证券，其市值不得超过基金资产净值的</w:t>
      </w:r>
      <w:r>
        <w:rPr>
          <w:rFonts w:ascii="彩虹粗仿宋" w:eastAsia="彩虹粗仿宋" w:hAnsi="宋体" w:cs="Arial"/>
          <w:sz w:val="24"/>
        </w:rPr>
        <w:t>20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14</w:t>
      </w:r>
      <w:r>
        <w:rPr>
          <w:rFonts w:ascii="彩虹粗仿宋" w:eastAsia="彩虹粗仿宋" w:hAnsi="宋体" w:cs="Arial"/>
          <w:sz w:val="24"/>
        </w:rPr>
        <w:t>）本基金持有的同一</w:t>
      </w:r>
      <w:r>
        <w:rPr>
          <w:rFonts w:ascii="彩虹粗仿宋" w:eastAsia="彩虹粗仿宋" w:hAnsi="宋体" w:cs="Arial"/>
          <w:sz w:val="24"/>
        </w:rPr>
        <w:t>(</w:t>
      </w:r>
      <w:r>
        <w:rPr>
          <w:rFonts w:ascii="彩虹粗仿宋" w:eastAsia="彩虹粗仿宋" w:hAnsi="宋体" w:cs="Arial"/>
          <w:sz w:val="24"/>
        </w:rPr>
        <w:t>指同一信用级别</w:t>
      </w:r>
      <w:r>
        <w:rPr>
          <w:rFonts w:ascii="彩虹粗仿宋" w:eastAsia="彩虹粗仿宋" w:hAnsi="宋体" w:cs="Arial"/>
          <w:sz w:val="24"/>
        </w:rPr>
        <w:t>)</w:t>
      </w:r>
      <w:r>
        <w:rPr>
          <w:rFonts w:ascii="彩虹粗仿宋" w:eastAsia="彩虹粗仿宋" w:hAnsi="宋体" w:cs="Arial"/>
          <w:sz w:val="24"/>
        </w:rPr>
        <w:t>资产支持证券的比例，不得超过该资产支持证券规模的</w:t>
      </w:r>
      <w:r>
        <w:rPr>
          <w:rFonts w:ascii="彩虹粗仿宋" w:eastAsia="彩虹粗仿宋" w:hAnsi="宋体" w:cs="Arial"/>
          <w:sz w:val="24"/>
        </w:rPr>
        <w:t>10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sz w:val="24"/>
        </w:rPr>
        <w:t>1</w:t>
      </w:r>
      <w:r>
        <w:rPr>
          <w:rFonts w:ascii="彩虹粗仿宋" w:eastAsia="彩虹粗仿宋" w:hAnsi="宋体" w:cs="Arial" w:hint="eastAsia"/>
          <w:sz w:val="24"/>
        </w:rPr>
        <w:t>5</w:t>
      </w:r>
      <w:r>
        <w:rPr>
          <w:rFonts w:ascii="彩虹粗仿宋" w:eastAsia="彩虹粗仿宋" w:hAnsi="宋体" w:cs="Arial"/>
          <w:sz w:val="24"/>
        </w:rPr>
        <w:t>）本基金管理人管理</w:t>
      </w:r>
      <w:r>
        <w:rPr>
          <w:rFonts w:ascii="彩虹粗仿宋" w:eastAsia="彩虹粗仿宋" w:hAnsi="宋体" w:cs="Arial" w:hint="eastAsia"/>
          <w:sz w:val="24"/>
        </w:rPr>
        <w:t>且在本基金托管人处托管</w:t>
      </w:r>
      <w:r>
        <w:rPr>
          <w:rFonts w:ascii="彩虹粗仿宋" w:eastAsia="彩虹粗仿宋" w:hAnsi="宋体" w:cs="Arial"/>
          <w:sz w:val="24"/>
        </w:rPr>
        <w:t>的全部基金投资于同一原始权益人的各类资产支持证券，不得超过其各类资产支持证券合计规模的</w:t>
      </w:r>
      <w:r>
        <w:rPr>
          <w:rFonts w:ascii="彩虹粗仿宋" w:eastAsia="彩虹粗仿宋" w:hAnsi="宋体" w:cs="Arial"/>
          <w:sz w:val="24"/>
        </w:rPr>
        <w:t>10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sz w:val="24"/>
        </w:rPr>
        <w:t>1</w:t>
      </w:r>
      <w:r>
        <w:rPr>
          <w:rFonts w:ascii="彩虹粗仿宋" w:eastAsia="彩虹粗仿宋" w:hAnsi="宋体" w:cs="Arial" w:hint="eastAsia"/>
          <w:sz w:val="24"/>
        </w:rPr>
        <w:t>6</w:t>
      </w:r>
      <w:r>
        <w:rPr>
          <w:rFonts w:ascii="彩虹粗仿宋" w:eastAsia="彩虹粗仿宋" w:hAnsi="宋体" w:cs="Arial"/>
          <w:sz w:val="24"/>
        </w:rPr>
        <w:t>）本基金应投资于信用级别评级为</w:t>
      </w:r>
      <w:r>
        <w:rPr>
          <w:rFonts w:ascii="彩虹粗仿宋" w:eastAsia="彩虹粗仿宋" w:hAnsi="宋体" w:cs="Arial"/>
          <w:sz w:val="24"/>
        </w:rPr>
        <w:t>BBB</w:t>
      </w:r>
      <w:r>
        <w:rPr>
          <w:rFonts w:ascii="彩虹粗仿宋" w:eastAsia="彩虹粗仿宋" w:hAnsi="宋体" w:cs="Arial"/>
          <w:sz w:val="24"/>
        </w:rPr>
        <w:t>以上</w:t>
      </w:r>
      <w:r>
        <w:rPr>
          <w:rFonts w:ascii="彩虹粗仿宋" w:eastAsia="彩虹粗仿宋" w:hAnsi="宋体" w:cs="Arial"/>
          <w:sz w:val="24"/>
        </w:rPr>
        <w:t>(</w:t>
      </w:r>
      <w:r>
        <w:rPr>
          <w:rFonts w:ascii="彩虹粗仿宋" w:eastAsia="彩虹粗仿宋" w:hAnsi="宋体" w:cs="Arial"/>
          <w:sz w:val="24"/>
        </w:rPr>
        <w:t>含</w:t>
      </w:r>
      <w:r>
        <w:rPr>
          <w:rFonts w:ascii="彩虹粗仿宋" w:eastAsia="彩虹粗仿宋" w:hAnsi="宋体" w:cs="Arial"/>
          <w:sz w:val="24"/>
        </w:rPr>
        <w:t>BBB)</w:t>
      </w:r>
      <w:r>
        <w:rPr>
          <w:rFonts w:ascii="彩虹粗仿宋" w:eastAsia="彩虹粗仿宋" w:hAnsi="宋体" w:cs="Arial"/>
          <w:sz w:val="24"/>
        </w:rPr>
        <w:t>的资产支持证券。基金持有资产支持证券期间，如果其信用等级下降、不再符合投资标准，应在评级报告发布之日起</w:t>
      </w:r>
      <w:r>
        <w:rPr>
          <w:rFonts w:ascii="彩虹粗仿宋" w:eastAsia="彩虹粗仿宋" w:hAnsi="宋体" w:cs="Arial"/>
          <w:sz w:val="24"/>
        </w:rPr>
        <w:t>3</w:t>
      </w:r>
      <w:r>
        <w:rPr>
          <w:rFonts w:ascii="彩虹粗仿宋" w:eastAsia="彩虹粗仿宋" w:hAnsi="宋体" w:cs="Arial"/>
          <w:sz w:val="24"/>
        </w:rPr>
        <w:t>个月内予以全部卖出；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lastRenderedPageBreak/>
        <w:t>（</w:t>
      </w:r>
      <w:r>
        <w:rPr>
          <w:rFonts w:ascii="彩虹粗仿宋" w:eastAsia="彩虹粗仿宋" w:hAnsi="宋体" w:cs="Arial" w:hint="eastAsia"/>
          <w:sz w:val="24"/>
        </w:rPr>
        <w:t>17</w:t>
      </w:r>
      <w:r>
        <w:rPr>
          <w:rFonts w:ascii="彩虹粗仿宋" w:eastAsia="彩虹粗仿宋" w:hAnsi="宋体" w:cs="Arial"/>
          <w:sz w:val="24"/>
        </w:rPr>
        <w:t>）基金财产参与股票发行申购，本基金所申报的金额不超过本基金的总资产，本基金所申报的股票数量不超过拟发行股票公司本次发行股票的总量；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18</w:t>
      </w:r>
      <w:r>
        <w:rPr>
          <w:rFonts w:ascii="彩虹粗仿宋" w:eastAsia="彩虹粗仿宋" w:hAnsi="宋体" w:cs="Arial" w:hint="eastAsia"/>
          <w:sz w:val="24"/>
        </w:rPr>
        <w:t>）本基金</w:t>
      </w:r>
      <w:r>
        <w:rPr>
          <w:rFonts w:ascii="彩虹粗仿宋" w:eastAsia="彩虹粗仿宋" w:hAnsi="宋体" w:cs="Arial"/>
          <w:sz w:val="24"/>
        </w:rPr>
        <w:t>不得</w:t>
      </w:r>
      <w:r>
        <w:rPr>
          <w:rFonts w:ascii="彩虹粗仿宋" w:eastAsia="彩虹粗仿宋" w:hAnsi="宋体" w:cs="Arial" w:hint="eastAsia"/>
          <w:sz w:val="24"/>
        </w:rPr>
        <w:t>持有具有复杂、衍生品性质的基金份额，包括分级基金和中国证监会认定的其他基金份</w:t>
      </w:r>
      <w:r>
        <w:rPr>
          <w:rFonts w:ascii="彩虹粗仿宋" w:eastAsia="彩虹粗仿宋" w:hAnsi="宋体" w:cs="Arial" w:hint="eastAsia"/>
          <w:sz w:val="24"/>
        </w:rPr>
        <w:t>额；</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sz w:val="24"/>
        </w:rPr>
        <w:t>1</w:t>
      </w:r>
      <w:r>
        <w:rPr>
          <w:rFonts w:ascii="彩虹粗仿宋" w:eastAsia="彩虹粗仿宋" w:hAnsi="宋体" w:cs="Arial" w:hint="eastAsia"/>
          <w:sz w:val="24"/>
        </w:rPr>
        <w:t>9</w:t>
      </w:r>
      <w:r>
        <w:rPr>
          <w:rFonts w:ascii="彩虹粗仿宋" w:eastAsia="彩虹粗仿宋" w:hAnsi="宋体" w:cs="Arial"/>
          <w:sz w:val="24"/>
        </w:rPr>
        <w:t>）</w:t>
      </w:r>
      <w:r>
        <w:rPr>
          <w:rFonts w:ascii="彩虹粗仿宋" w:eastAsia="彩虹粗仿宋" w:hAnsi="宋体" w:cs="Arial" w:hint="eastAsia"/>
          <w:sz w:val="24"/>
        </w:rPr>
        <w:t>本</w:t>
      </w:r>
      <w:r>
        <w:rPr>
          <w:rFonts w:ascii="彩虹粗仿宋" w:eastAsia="彩虹粗仿宋" w:hAnsi="宋体" w:cs="Arial"/>
          <w:sz w:val="24"/>
        </w:rPr>
        <w:t>基金</w:t>
      </w:r>
      <w:r>
        <w:rPr>
          <w:rFonts w:ascii="彩虹粗仿宋" w:eastAsia="彩虹粗仿宋" w:hAnsi="宋体" w:cs="Arial" w:hint="eastAsia"/>
          <w:sz w:val="24"/>
        </w:rPr>
        <w:t>总资产不得</w:t>
      </w:r>
      <w:r>
        <w:rPr>
          <w:rFonts w:ascii="彩虹粗仿宋" w:eastAsia="彩虹粗仿宋" w:hAnsi="宋体" w:cs="Arial"/>
          <w:sz w:val="24"/>
        </w:rPr>
        <w:t>超过基金净资产的</w:t>
      </w:r>
      <w:r>
        <w:rPr>
          <w:rFonts w:ascii="彩虹粗仿宋" w:eastAsia="彩虹粗仿宋" w:hAnsi="宋体" w:cs="Arial" w:hint="eastAsia"/>
          <w:sz w:val="24"/>
        </w:rPr>
        <w:t>140%</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w:t>
      </w:r>
      <w:r>
        <w:rPr>
          <w:rFonts w:ascii="彩虹粗仿宋" w:eastAsia="彩虹粗仿宋" w:hAnsi="宋体" w:cs="Arial" w:hint="eastAsia"/>
          <w:sz w:val="24"/>
        </w:rPr>
        <w:t>20</w:t>
      </w:r>
      <w:r>
        <w:rPr>
          <w:rFonts w:ascii="彩虹粗仿宋" w:eastAsia="彩虹粗仿宋" w:hAnsi="宋体" w:cs="Arial"/>
          <w:sz w:val="24"/>
        </w:rPr>
        <w:t>）货币市场基金投资占基金资产比例不超过</w:t>
      </w:r>
      <w:r>
        <w:rPr>
          <w:rFonts w:ascii="彩虹粗仿宋" w:eastAsia="彩虹粗仿宋" w:hAnsi="宋体" w:cs="Arial" w:hint="eastAsia"/>
          <w:sz w:val="24"/>
        </w:rPr>
        <w:t>1</w:t>
      </w:r>
      <w:r>
        <w:rPr>
          <w:rFonts w:ascii="彩虹粗仿宋" w:eastAsia="彩虹粗仿宋" w:hAnsi="宋体" w:cs="Arial"/>
          <w:sz w:val="24"/>
        </w:rPr>
        <w:t>5%</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21</w:t>
      </w:r>
      <w:r>
        <w:rPr>
          <w:rFonts w:ascii="彩虹粗仿宋" w:eastAsia="彩虹粗仿宋" w:hAnsi="宋体" w:cs="Arial" w:hint="eastAsia"/>
          <w:sz w:val="24"/>
        </w:rPr>
        <w:t>）本基金投资存托凭证的比例限制依照内地上市交易的股票执行，与境内上市交易的股票合并计算，法律法规或监管部门另有要求的除外；</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2</w:t>
      </w:r>
      <w:r>
        <w:rPr>
          <w:rFonts w:ascii="彩虹粗仿宋" w:eastAsia="彩虹粗仿宋" w:hAnsi="宋体" w:cs="Arial" w:hint="eastAsia"/>
          <w:sz w:val="24"/>
        </w:rPr>
        <w:t>）法律法规及中国证监会规定的和《基金合同》约定的其他投资限制。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因证券市场波动、基金规模变动、本基金所投资的基金发生流动性限制、暂停申购、赎回或二级市场交易停牌等基金管理人之外的因素致使基金投资不符合前款第（</w:t>
      </w:r>
      <w:r>
        <w:rPr>
          <w:rFonts w:ascii="彩虹粗仿宋" w:eastAsia="彩虹粗仿宋" w:hAnsi="宋体" w:cs="Arial" w:hint="eastAsia"/>
          <w:sz w:val="24"/>
        </w:rPr>
        <w:t>3</w:t>
      </w:r>
      <w:r>
        <w:rPr>
          <w:rFonts w:ascii="彩虹粗仿宋" w:eastAsia="彩虹粗仿宋" w:hAnsi="宋体" w:cs="Arial" w:hint="eastAsia"/>
          <w:sz w:val="24"/>
        </w:rPr>
        <w:t>）项、第（</w:t>
      </w:r>
      <w:r>
        <w:rPr>
          <w:rFonts w:ascii="彩虹粗仿宋" w:eastAsia="彩虹粗仿宋" w:hAnsi="宋体" w:cs="Arial"/>
          <w:sz w:val="24"/>
        </w:rPr>
        <w:t>5</w:t>
      </w:r>
      <w:r>
        <w:rPr>
          <w:rFonts w:ascii="彩虹粗仿宋" w:eastAsia="彩虹粗仿宋" w:hAnsi="宋体" w:cs="Arial" w:hint="eastAsia"/>
          <w:sz w:val="24"/>
        </w:rPr>
        <w:t>）项规定的投资比例的，基金管理人应当在</w:t>
      </w:r>
      <w:r>
        <w:rPr>
          <w:rFonts w:ascii="彩虹粗仿宋" w:eastAsia="彩虹粗仿宋" w:hAnsi="宋体" w:cs="Arial" w:hint="eastAsia"/>
          <w:sz w:val="24"/>
        </w:rPr>
        <w:t xml:space="preserve"> 2</w:t>
      </w:r>
      <w:r>
        <w:rPr>
          <w:rFonts w:ascii="彩虹粗仿宋" w:eastAsia="彩虹粗仿宋" w:hAnsi="宋体" w:cs="Arial" w:hint="eastAsia"/>
          <w:sz w:val="24"/>
        </w:rPr>
        <w:t xml:space="preserve">0 </w:t>
      </w:r>
      <w:r>
        <w:rPr>
          <w:rFonts w:ascii="彩虹粗仿宋" w:eastAsia="彩虹粗仿宋" w:hAnsi="宋体" w:cs="Arial" w:hint="eastAsia"/>
          <w:sz w:val="24"/>
        </w:rPr>
        <w:t>个交易日内进行调整，但中国证监会规定的特殊情形除外。</w:t>
      </w:r>
      <w:r>
        <w:rPr>
          <w:rFonts w:ascii="彩虹粗仿宋" w:eastAsia="彩虹粗仿宋" w:hAnsi="宋体" w:cs="Arial"/>
          <w:sz w:val="24"/>
        </w:rPr>
        <w:t>除上述</w:t>
      </w:r>
      <w:r>
        <w:rPr>
          <w:rFonts w:ascii="彩虹粗仿宋" w:eastAsia="彩虹粗仿宋" w:hAnsi="宋体" w:cs="Arial" w:hint="eastAsia"/>
          <w:sz w:val="24"/>
        </w:rPr>
        <w:t>第（</w:t>
      </w:r>
      <w:r>
        <w:rPr>
          <w:rFonts w:ascii="彩虹粗仿宋" w:eastAsia="彩虹粗仿宋" w:hAnsi="宋体" w:cs="Arial" w:hint="eastAsia"/>
          <w:sz w:val="24"/>
        </w:rPr>
        <w:t>2</w:t>
      </w:r>
      <w:r>
        <w:rPr>
          <w:rFonts w:ascii="彩虹粗仿宋" w:eastAsia="彩虹粗仿宋" w:hAnsi="宋体" w:cs="Arial" w:hint="eastAsia"/>
          <w:sz w:val="24"/>
        </w:rPr>
        <w:t>）项、</w:t>
      </w:r>
      <w:r>
        <w:rPr>
          <w:rFonts w:ascii="彩虹粗仿宋" w:eastAsia="彩虹粗仿宋" w:hAnsi="宋体" w:cs="Arial"/>
          <w:sz w:val="24"/>
        </w:rPr>
        <w:t>第</w:t>
      </w: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）项、第（</w:t>
      </w:r>
      <w:r>
        <w:rPr>
          <w:rFonts w:ascii="彩虹粗仿宋" w:eastAsia="彩虹粗仿宋" w:hAnsi="宋体" w:cs="Arial"/>
          <w:sz w:val="24"/>
        </w:rPr>
        <w:t>5</w:t>
      </w:r>
      <w:r>
        <w:rPr>
          <w:rFonts w:ascii="彩虹粗仿宋" w:eastAsia="彩虹粗仿宋" w:hAnsi="宋体" w:cs="Arial" w:hint="eastAsia"/>
          <w:sz w:val="24"/>
        </w:rPr>
        <w:t>）项、第（</w:t>
      </w:r>
      <w:r>
        <w:rPr>
          <w:rFonts w:ascii="彩虹粗仿宋" w:eastAsia="彩虹粗仿宋" w:hAnsi="宋体" w:cs="Arial" w:hint="eastAsia"/>
          <w:sz w:val="24"/>
        </w:rPr>
        <w:t>1</w:t>
      </w:r>
      <w:r>
        <w:rPr>
          <w:rFonts w:ascii="彩虹粗仿宋" w:eastAsia="彩虹粗仿宋" w:hAnsi="宋体" w:cs="Arial"/>
          <w:sz w:val="24"/>
        </w:rPr>
        <w:t>0</w:t>
      </w:r>
      <w:r>
        <w:rPr>
          <w:rFonts w:ascii="彩虹粗仿宋" w:eastAsia="彩虹粗仿宋" w:hAnsi="宋体" w:cs="Arial" w:hint="eastAsia"/>
          <w:sz w:val="24"/>
        </w:rPr>
        <w:t>）项、第（</w:t>
      </w:r>
      <w:r>
        <w:rPr>
          <w:rFonts w:ascii="彩虹粗仿宋" w:eastAsia="彩虹粗仿宋" w:hAnsi="宋体" w:cs="Arial" w:hint="eastAsia"/>
          <w:sz w:val="24"/>
        </w:rPr>
        <w:t>11</w:t>
      </w:r>
      <w:r>
        <w:rPr>
          <w:rFonts w:ascii="彩虹粗仿宋" w:eastAsia="彩虹粗仿宋" w:hAnsi="宋体" w:cs="Arial" w:hint="eastAsia"/>
          <w:sz w:val="24"/>
        </w:rPr>
        <w:t>）项、第（</w:t>
      </w:r>
      <w:r>
        <w:rPr>
          <w:rFonts w:ascii="彩虹粗仿宋" w:eastAsia="彩虹粗仿宋" w:hAnsi="宋体" w:cs="Arial"/>
          <w:sz w:val="24"/>
        </w:rPr>
        <w:t>1</w:t>
      </w:r>
      <w:r>
        <w:rPr>
          <w:rFonts w:ascii="彩虹粗仿宋" w:eastAsia="彩虹粗仿宋" w:hAnsi="宋体" w:cs="Arial" w:hint="eastAsia"/>
          <w:sz w:val="24"/>
        </w:rPr>
        <w:t>6</w:t>
      </w:r>
      <w:r>
        <w:rPr>
          <w:rFonts w:ascii="彩虹粗仿宋" w:eastAsia="彩虹粗仿宋" w:hAnsi="宋体" w:cs="Arial" w:hint="eastAsia"/>
          <w:sz w:val="24"/>
        </w:rPr>
        <w:t>）项另有约定</w:t>
      </w:r>
      <w:r>
        <w:rPr>
          <w:rFonts w:ascii="彩虹粗仿宋" w:eastAsia="彩虹粗仿宋" w:hAnsi="宋体" w:cs="Arial"/>
          <w:sz w:val="24"/>
        </w:rPr>
        <w:t>外，因证券市场波动、</w:t>
      </w:r>
      <w:r>
        <w:rPr>
          <w:rFonts w:ascii="彩虹粗仿宋" w:eastAsia="彩虹粗仿宋" w:hAnsi="宋体" w:cs="Arial" w:hint="eastAsia"/>
          <w:sz w:val="24"/>
        </w:rPr>
        <w:t>证券发行人</w:t>
      </w:r>
      <w:r>
        <w:rPr>
          <w:rFonts w:ascii="彩虹粗仿宋" w:eastAsia="彩虹粗仿宋" w:hAnsi="宋体" w:cs="Arial"/>
          <w:sz w:val="24"/>
        </w:rPr>
        <w:t>合并</w:t>
      </w:r>
      <w:r>
        <w:rPr>
          <w:rFonts w:ascii="彩虹粗仿宋" w:eastAsia="彩虹粗仿宋" w:hAnsi="宋体" w:cs="Arial" w:hint="eastAsia"/>
          <w:sz w:val="24"/>
        </w:rPr>
        <w:t>或</w:t>
      </w:r>
      <w:r>
        <w:rPr>
          <w:rFonts w:ascii="彩虹粗仿宋" w:eastAsia="彩虹粗仿宋" w:hAnsi="宋体" w:cs="Arial"/>
          <w:sz w:val="24"/>
        </w:rPr>
        <w:t>基金规模变动等基金管理人之外的因素致使基金投资比例不符合上述规定投资比例的，基金管理人应当在</w:t>
      </w:r>
      <w:r>
        <w:rPr>
          <w:rFonts w:ascii="彩虹粗仿宋" w:eastAsia="彩虹粗仿宋" w:hAnsi="宋体" w:cs="Arial" w:hint="eastAsia"/>
          <w:sz w:val="24"/>
        </w:rPr>
        <w:t>10</w:t>
      </w:r>
      <w:r>
        <w:rPr>
          <w:rFonts w:ascii="彩虹粗仿宋" w:eastAsia="彩虹粗仿宋" w:hAnsi="宋体" w:cs="Arial"/>
          <w:sz w:val="24"/>
        </w:rPr>
        <w:t>个交易日内进行调整</w:t>
      </w:r>
      <w:r>
        <w:rPr>
          <w:rFonts w:ascii="彩虹粗仿宋" w:eastAsia="彩虹粗仿宋" w:hAnsi="宋体" w:cs="Arial" w:hint="eastAsia"/>
          <w:sz w:val="24"/>
        </w:rPr>
        <w:t>，但中国证监会规定的特殊情形除外</w:t>
      </w:r>
      <w:r>
        <w:rPr>
          <w:rFonts w:ascii="彩虹粗仿宋" w:eastAsia="彩虹粗仿宋" w:hAnsi="宋体" w:cs="Arial"/>
          <w:sz w:val="24"/>
        </w:rPr>
        <w:t>。</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基金管理人应当自基金合同生效之日起</w:t>
      </w:r>
      <w:r>
        <w:rPr>
          <w:rFonts w:ascii="彩虹粗仿宋" w:eastAsia="彩虹粗仿宋" w:hAnsi="宋体" w:cs="Arial" w:hint="eastAsia"/>
          <w:sz w:val="24"/>
        </w:rPr>
        <w:t>6</w:t>
      </w:r>
      <w:r>
        <w:rPr>
          <w:rFonts w:ascii="彩虹粗仿宋" w:eastAsia="彩虹粗仿宋" w:hAnsi="宋体" w:cs="Arial"/>
          <w:sz w:val="24"/>
        </w:rPr>
        <w:t>个月内使基金的投资组合比例符合基金合同的有关约定。</w:t>
      </w:r>
      <w:r>
        <w:rPr>
          <w:rFonts w:ascii="彩虹粗仿宋" w:eastAsia="彩虹粗仿宋" w:hAnsi="宋体" w:cs="Arial" w:hint="eastAsia"/>
          <w:sz w:val="24"/>
        </w:rPr>
        <w:t>在上述期间内，本基金的投资范围、投资策略应当符合基金合同的约定。</w:t>
      </w:r>
      <w:r>
        <w:rPr>
          <w:rFonts w:ascii="彩虹粗仿宋" w:eastAsia="彩虹粗仿宋" w:hAnsi="宋体" w:cs="Arial"/>
          <w:sz w:val="24"/>
        </w:rPr>
        <w:t>基金托管人对基金的投资的监督与</w:t>
      </w:r>
      <w:r>
        <w:rPr>
          <w:rFonts w:ascii="彩虹粗仿宋" w:eastAsia="彩虹粗仿宋" w:hAnsi="宋体" w:cs="Arial"/>
          <w:sz w:val="24"/>
        </w:rPr>
        <w:t>检查自基金合同生效之日起开始。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如果法律法规或监管部门对上述投资组合比例限制进行变更的，以变更后的规定为准。</w:t>
      </w:r>
      <w:r>
        <w:rPr>
          <w:rFonts w:ascii="彩虹粗仿宋" w:eastAsia="彩虹粗仿宋" w:hAnsi="宋体" w:cs="Arial"/>
          <w:sz w:val="24"/>
        </w:rPr>
        <w:t>法律法规或监管部门取消上述限制，如适用于本基金，基金管理人在履行适当程序后</w:t>
      </w:r>
      <w:r>
        <w:rPr>
          <w:rFonts w:ascii="彩虹粗仿宋" w:eastAsia="彩虹粗仿宋" w:hAnsi="宋体" w:cs="Arial" w:hint="eastAsia"/>
          <w:sz w:val="24"/>
        </w:rPr>
        <w:t>，</w:t>
      </w:r>
      <w:r>
        <w:rPr>
          <w:rFonts w:ascii="彩虹粗仿宋" w:eastAsia="彩虹粗仿宋" w:hAnsi="宋体" w:cs="Arial"/>
          <w:sz w:val="24"/>
        </w:rPr>
        <w:t>则本基金投资不再受相关限制。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（三）基金托管人</w:t>
      </w:r>
      <w:bookmarkStart w:id="5" w:name="OLE_LINK1"/>
      <w:r>
        <w:rPr>
          <w:rFonts w:ascii="彩虹粗仿宋" w:eastAsia="彩虹粗仿宋" w:hAnsi="宋体" w:cs="Arial" w:hint="eastAsia"/>
          <w:sz w:val="24"/>
        </w:rPr>
        <w:t>根据有关法律法规的规定及《基金合同》的约定，</w:t>
      </w:r>
      <w:bookmarkEnd w:id="5"/>
      <w:r>
        <w:rPr>
          <w:rFonts w:ascii="彩虹粗仿宋" w:eastAsia="彩虹粗仿宋" w:hAnsi="宋体" w:cs="Arial" w:hint="eastAsia"/>
          <w:sz w:val="24"/>
        </w:rPr>
        <w:t>对本托管协议第十五条第（九）款基金投资禁止行为通过事后监督方式进行监督。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基金管理人运用基金财产买卖基金管理人、基金托管人及其控股股东、实际控</w:t>
      </w:r>
      <w:r>
        <w:rPr>
          <w:rFonts w:ascii="彩虹粗仿宋" w:eastAsia="彩虹粗仿宋" w:hAnsi="宋体" w:cs="Arial" w:hint="eastAsia"/>
          <w:sz w:val="24"/>
        </w:rPr>
        <w:lastRenderedPageBreak/>
        <w:t>制人或者与其有重大利害关系的公司发行的证券或者承销期内承销的证券，或者从事其他重大关联交易的，应</w:t>
      </w:r>
      <w:r>
        <w:rPr>
          <w:rFonts w:ascii="彩虹粗仿宋" w:eastAsia="彩虹粗仿宋" w:hAnsi="宋体" w:cs="Arial" w:hint="eastAsia"/>
          <w:sz w:val="24"/>
        </w:rPr>
        <w:t>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法律、行政法规或监管部门取消或变更上述限制，如适用于本基金，基金管理人在履行适当程序后，则本基金投资不再受相关限制或以变更后的规定为准。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（四）基金托管人根据有关法律法规的规定及《基金合同》的约定，对基金管理人投资流通受限证券进行监督。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int="eastAsia"/>
          <w:sz w:val="24"/>
        </w:rPr>
        <w:t>基金管理人投资流通受限证券，应事先根据中国证监会相关规定，明确基金投资流通受限证券的比例，</w:t>
      </w:r>
      <w:r>
        <w:rPr>
          <w:rFonts w:ascii="彩虹粗仿宋" w:eastAsia="彩虹粗仿宋" w:hAnsi="宋体" w:cs="Arial" w:hint="eastAsia"/>
          <w:sz w:val="24"/>
        </w:rPr>
        <w:t>制订严格的投资决策流程和风险控制制度，防范流动性风险、法律风险和操作风险等各种风险。</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1.</w:t>
      </w:r>
      <w:r>
        <w:rPr>
          <w:rFonts w:ascii="彩虹粗仿宋" w:eastAsia="彩虹粗仿宋" w:hAnsi="宋体" w:cs="Arial" w:hint="eastAsia"/>
          <w:sz w:val="24"/>
        </w:rPr>
        <w:t>本基金</w:t>
      </w:r>
      <w:r>
        <w:rPr>
          <w:rFonts w:ascii="彩虹粗仿宋" w:eastAsia="彩虹粗仿宋" w:hint="eastAsia"/>
          <w:sz w:val="24"/>
        </w:rPr>
        <w:t>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w:t>
      </w:r>
      <w:r>
        <w:rPr>
          <w:rFonts w:ascii="彩虹粗仿宋" w:eastAsia="彩虹粗仿宋" w:hint="eastAsia"/>
          <w:sz w:val="24"/>
        </w:rPr>
        <w:t>基金不投资有锁定期但锁定期不明确的证券。</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本基金</w:t>
      </w:r>
      <w:r>
        <w:rPr>
          <w:rFonts w:ascii="彩虹粗仿宋" w:eastAsia="彩虹粗仿宋" w:hint="eastAsia"/>
          <w:sz w:val="24"/>
        </w:rPr>
        <w:t>投资的流通受限证券限于可由中国证券登记结算有限责任公司或中央国债登记结算有限责任公司负责登记和存管，并可在证券交易所或全国银行间债券市场交易的证券。</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本基金</w:t>
      </w:r>
      <w:r>
        <w:rPr>
          <w:rFonts w:ascii="彩虹粗仿宋" w:eastAsia="彩虹粗仿宋" w:hint="eastAsia"/>
          <w:sz w:val="24"/>
        </w:rPr>
        <w:t>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2.</w:t>
      </w:r>
      <w:r>
        <w:rPr>
          <w:rFonts w:ascii="彩虹粗仿宋" w:eastAsia="彩虹粗仿宋" w:hint="eastAsia"/>
          <w:sz w:val="24"/>
        </w:rPr>
        <w:t>基金管理人投资</w:t>
      </w:r>
      <w:bookmarkStart w:id="6" w:name="_Hlk132721344"/>
      <w:r>
        <w:rPr>
          <w:rFonts w:ascii="彩虹粗仿宋" w:eastAsia="彩虹粗仿宋" w:hint="eastAsia"/>
          <w:sz w:val="24"/>
        </w:rPr>
        <w:t>非公开发</w:t>
      </w:r>
      <w:r>
        <w:rPr>
          <w:rFonts w:ascii="彩虹粗仿宋" w:eastAsia="彩虹粗仿宋" w:hint="eastAsia"/>
          <w:sz w:val="24"/>
        </w:rPr>
        <w:t>行股票</w:t>
      </w:r>
      <w:bookmarkEnd w:id="6"/>
      <w:r>
        <w:rPr>
          <w:rFonts w:ascii="彩虹粗仿宋" w:eastAsia="彩虹粗仿宋" w:hint="eastAsia"/>
          <w:sz w:val="24"/>
        </w:rPr>
        <w:t>，应制订流动性风险处置预案并经其董事会批准。风险处置预案应包括但不限于因投资流通受限证券需要解决的基金投资比</w:t>
      </w:r>
      <w:r>
        <w:rPr>
          <w:rFonts w:ascii="彩虹粗仿宋" w:eastAsia="彩虹粗仿宋" w:hint="eastAsia"/>
          <w:sz w:val="24"/>
        </w:rPr>
        <w:lastRenderedPageBreak/>
        <w:t>例限制失调、基金流动性困难以及相关损失的应对解决措施，以及有关异常情况的处置。</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对本基金因投资流通受限证券导致的流动性风险，基金托管人不承担任何责任。如因</w:t>
      </w:r>
      <w:r>
        <w:rPr>
          <w:rFonts w:ascii="彩虹粗仿宋" w:eastAsia="彩虹粗仿宋" w:hint="eastAsia"/>
          <w:sz w:val="24"/>
        </w:rPr>
        <w:t>基金管理人原因导致本基金出现损失致使基金托管人承担连带赔偿责任的，基金管理人应赔偿基金托管人由此遭受的损失。</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3.</w:t>
      </w:r>
      <w:r>
        <w:rPr>
          <w:rFonts w:ascii="彩虹粗仿宋" w:eastAsia="彩虹粗仿宋" w:hint="eastAsia"/>
          <w:sz w:val="24"/>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w:t>
      </w:r>
      <w:r>
        <w:rPr>
          <w:rFonts w:ascii="彩虹粗仿宋" w:eastAsia="彩虹粗仿宋" w:hint="eastAsia"/>
          <w:sz w:val="24"/>
        </w:rPr>
        <w:t>1</w:t>
      </w:r>
      <w:r>
        <w:rPr>
          <w:rFonts w:ascii="彩虹粗仿宋" w:eastAsia="彩虹粗仿宋" w:hint="eastAsia"/>
          <w:sz w:val="24"/>
        </w:rPr>
        <w:t>）中国证监会批准发行非公开发行股票的批准文件。</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w:t>
      </w:r>
      <w:r>
        <w:rPr>
          <w:rFonts w:ascii="彩虹粗仿宋" w:eastAsia="彩虹粗仿宋" w:hint="eastAsia"/>
          <w:sz w:val="24"/>
        </w:rPr>
        <w:t>2</w:t>
      </w:r>
      <w:r>
        <w:rPr>
          <w:rFonts w:ascii="彩虹粗仿宋" w:eastAsia="彩虹粗仿宋" w:hint="eastAsia"/>
          <w:sz w:val="24"/>
        </w:rPr>
        <w:t>）非公开发行股票有关发行数量、发行价格、锁定期等发行资料。</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int="eastAsia"/>
          <w:sz w:val="24"/>
        </w:rPr>
        <w:t>（</w:t>
      </w:r>
      <w:r>
        <w:rPr>
          <w:rFonts w:ascii="彩虹粗仿宋" w:eastAsia="彩虹粗仿宋" w:hint="eastAsia"/>
          <w:sz w:val="24"/>
        </w:rPr>
        <w:t>3</w:t>
      </w:r>
      <w:r>
        <w:rPr>
          <w:rFonts w:ascii="彩虹粗仿宋" w:eastAsia="彩虹粗仿宋" w:hint="eastAsia"/>
          <w:sz w:val="24"/>
        </w:rPr>
        <w:t>）基金拟认购的数量、价格、总成本、账面价值。</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hint="eastAsia"/>
          <w:sz w:val="24"/>
        </w:rPr>
        <w:t>4.</w:t>
      </w:r>
      <w:r>
        <w:rPr>
          <w:rFonts w:ascii="彩虹粗仿宋" w:eastAsia="彩虹粗仿宋" w:hint="eastAsia"/>
          <w:sz w:val="24"/>
        </w:rPr>
        <w:t>基金管理人应在本基金投资非公开发行股票后按照法律法规规定时间，在中国证监会规定媒介披露所投资非公开发行股票的名称、数量、总成本、账面价值，以及总成本和账面价值占基金资产净值的比例、锁定期等信息。</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本基金有关投资流通受限证券比例如违反有关限制规定，在合理期限内未能进行及时调整，基金管理人应在两日内编制临时报告书，并登载在规定报刊和规定网站上。</w:t>
      </w:r>
    </w:p>
    <w:p w:rsidR="003F2F5E" w:rsidRDefault="00DD591D">
      <w:pPr>
        <w:adjustRightInd w:val="0"/>
        <w:snapToGrid w:val="0"/>
        <w:ind w:firstLineChars="200" w:firstLine="480"/>
        <w:rPr>
          <w:rFonts w:ascii="彩虹粗仿宋" w:eastAsia="彩虹粗仿宋"/>
          <w:sz w:val="24"/>
        </w:rPr>
      </w:pPr>
      <w:r>
        <w:rPr>
          <w:rFonts w:ascii="彩虹粗仿宋" w:eastAsia="彩虹粗仿宋" w:hAnsi="宋体" w:cs="Arial"/>
          <w:sz w:val="24"/>
        </w:rPr>
        <w:t>5</w:t>
      </w:r>
      <w:r>
        <w:rPr>
          <w:rFonts w:ascii="彩虹粗仿宋" w:eastAsia="彩虹粗仿宋" w:hAnsi="宋体" w:cs="Arial" w:hint="eastAsia"/>
          <w:sz w:val="24"/>
        </w:rPr>
        <w:t>.</w:t>
      </w:r>
      <w:r>
        <w:rPr>
          <w:rFonts w:ascii="彩虹粗仿宋" w:eastAsia="彩虹粗仿宋" w:hint="eastAsia"/>
          <w:sz w:val="24"/>
        </w:rPr>
        <w:t>相关法律法规对基金投资流通受限证券有新规定的，从其规定。</w:t>
      </w:r>
    </w:p>
    <w:p w:rsidR="003F2F5E" w:rsidRDefault="00DD591D">
      <w:pPr>
        <w:widowControl/>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（五）基金管理人负责对交易对手的资信控制，按银行间债券市场的交易规则进行交易，并负责解决因交易对手不履行合</w:t>
      </w:r>
      <w:r>
        <w:rPr>
          <w:rFonts w:ascii="彩虹粗仿宋" w:eastAsia="彩虹粗仿宋" w:hAnsi="宋体" w:cs="Arial" w:hint="eastAsia"/>
          <w:sz w:val="24"/>
        </w:rPr>
        <w:t>同而造成的纠纷及损失，基金托管人不承担由此造成的任何法律责任及损失。若未履约的交易对手在基金托管人与基金</w:t>
      </w:r>
      <w:r>
        <w:rPr>
          <w:rFonts w:ascii="彩虹粗仿宋" w:eastAsia="彩虹粗仿宋" w:hAnsi="宋体" w:cs="Arial" w:hint="eastAsia"/>
          <w:sz w:val="24"/>
        </w:rPr>
        <w:lastRenderedPageBreak/>
        <w:t>管理人确定的时间前仍未承担违约责任及其他相关法律责任的，基金管理人应向相关交易对手追偿。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rsidR="003F2F5E" w:rsidRDefault="00DD591D">
      <w:pPr>
        <w:widowControl/>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（六）基金托管人根据有关法律法规的规定及《基金合同》的约定，基金托管人对基金管理人选择存款银行进行监督。基</w:t>
      </w:r>
      <w:r>
        <w:rPr>
          <w:rFonts w:ascii="彩虹粗仿宋" w:eastAsia="彩虹粗仿宋" w:hAnsi="宋体" w:cs="Arial" w:hint="eastAsia"/>
          <w:sz w:val="24"/>
        </w:rPr>
        <w:t>金投资银行存款的，基金管理人应根据法律法规的规定及《基金合同》的约定，确定符合条件的所有存款银行的名单，并及时提供给基金托管人，基金托管人应据以对基金投资银行存款的交易对手是否符合有关规定进行监督。如基金管理人在基金投资运作之前未向基金托管人提供存款银行名单的，视为基金管理人认可所有银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七）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w:t>
      </w:r>
      <w:r>
        <w:rPr>
          <w:rFonts w:ascii="彩虹粗仿宋" w:eastAsia="彩虹粗仿宋" w:hAnsi="宋体" w:cs="Arial" w:hint="eastAsia"/>
          <w:sz w:val="24"/>
        </w:rPr>
        <w:t>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八）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个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w:t>
      </w:r>
      <w:r>
        <w:rPr>
          <w:rFonts w:ascii="彩虹粗仿宋" w:eastAsia="彩虹粗仿宋" w:hAnsi="宋体" w:cs="Arial" w:hint="eastAsia"/>
          <w:sz w:val="24"/>
        </w:rPr>
        <w:t>期内纠正的，基金托管人应报告中国证监会。</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九）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（十）若基金托管人发现基金管理人依据交易程序已经生效的指令违反法律、行政法规和其他有关规定，或者违反《基金合同》约定的，应当及时</w:t>
      </w:r>
      <w:r>
        <w:rPr>
          <w:rFonts w:ascii="彩虹粗仿宋" w:eastAsia="彩虹粗仿宋" w:hAnsi="宋体" w:cs="Arial" w:hint="eastAsia"/>
          <w:sz w:val="24"/>
        </w:rPr>
        <w:t>通知基金管理人，由此造成的损失由基金管理人承担。</w:t>
      </w:r>
    </w:p>
    <w:p w:rsidR="003F2F5E" w:rsidRDefault="00DD591D">
      <w:pPr>
        <w:adjustRightInd w:val="0"/>
        <w:snapToGrid w:val="0"/>
        <w:ind w:firstLineChars="200" w:firstLine="480"/>
        <w:rPr>
          <w:rFonts w:ascii="彩虹粗仿宋" w:eastAsia="彩虹粗仿宋" w:hAnsi="宋体" w:cs="Arial"/>
          <w:sz w:val="24"/>
        </w:rPr>
      </w:pPr>
      <w:bookmarkStart w:id="7" w:name="OLE_LINK2"/>
      <w:r>
        <w:rPr>
          <w:rFonts w:ascii="彩虹粗仿宋" w:eastAsia="彩虹粗仿宋" w:hAnsi="宋体" w:cs="Arial" w:hint="eastAsia"/>
          <w:sz w:val="24"/>
        </w:rPr>
        <w:t>（十一）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基金托管人发现基金管理人、基金销售机构借助基金托管人的品牌、声誉开展不当营销宣传的，应当督促相关机构及时纠正。相关机构未及时采取有效纠正措施的，</w:t>
      </w:r>
      <w:r>
        <w:rPr>
          <w:rFonts w:ascii="彩虹粗仿宋" w:eastAsia="彩虹粗仿宋" w:hAnsi="宋体" w:cs="Arial" w:hint="eastAsia"/>
          <w:sz w:val="24"/>
        </w:rPr>
        <w:t>基金托管人应当按照托管协议约定终止业务合作，并进行通知。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十二）基金管理人应遵守中华人民共和国反洗钱法律法规，不参与涉嫌洗钱、恐怖融资、扩散融资等违法犯罪活动；主动配合基金托管人客户身份识别与尽职调查，提供真实、准确、完整客户资料，遵守基金托管人反洗钱与反恐怖融资相关管理规定。对具备合理理由怀疑涉嫌洗钱、恐怖融资的客户，基金托管人将按照中国人民银行反洗钱监管规定采取必要管控措施。</w:t>
      </w:r>
      <w:bookmarkEnd w:id="7"/>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（十三）侧袋机制实施期间，本部分约定的投资组合比例、组合限制等约定仅适用于主袋账户。</w:t>
      </w:r>
    </w:p>
    <w:p w:rsidR="003F2F5E" w:rsidRDefault="003F2F5E">
      <w:pPr>
        <w:rPr>
          <w:rFonts w:ascii="彩虹粗仿宋" w:eastAsia="彩虹粗仿宋"/>
          <w:sz w:val="24"/>
        </w:rPr>
      </w:pPr>
    </w:p>
    <w:p w:rsidR="003F2F5E" w:rsidRDefault="00DD591D">
      <w:pPr>
        <w:pStyle w:val="2"/>
        <w:jc w:val="center"/>
        <w:rPr>
          <w:rFonts w:ascii="彩虹粗仿宋" w:eastAsia="彩虹粗仿宋"/>
          <w:sz w:val="30"/>
        </w:rPr>
      </w:pPr>
      <w:bookmarkStart w:id="8" w:name="_Toc124325888"/>
      <w:bookmarkStart w:id="9" w:name="_Toc86726439"/>
      <w:bookmarkStart w:id="10" w:name="_Toc86737929"/>
      <w:bookmarkStart w:id="11" w:name="_Toc86225291"/>
      <w:bookmarkStart w:id="12" w:name="_Toc118212950"/>
      <w:bookmarkStart w:id="13" w:name="_Toc86223242"/>
      <w:bookmarkStart w:id="14" w:name="_Toc86727355"/>
      <w:bookmarkStart w:id="15" w:name="_Toc118774803"/>
      <w:bookmarkStart w:id="16" w:name="_Toc108512358"/>
      <w:bookmarkStart w:id="17" w:name="_Toc119402710"/>
      <w:bookmarkStart w:id="18" w:name="_Toc110830492"/>
      <w:bookmarkStart w:id="19" w:name="_Toc118972648"/>
      <w:bookmarkStart w:id="20" w:name="_Toc110765660"/>
      <w:bookmarkStart w:id="21" w:name="_Toc89163368"/>
      <w:bookmarkStart w:id="22" w:name="_Toc110761796"/>
      <w:bookmarkStart w:id="23" w:name="_Toc120435783"/>
      <w:bookmarkStart w:id="24" w:name="_Toc86649722"/>
      <w:bookmarkEnd w:id="4"/>
      <w:r>
        <w:rPr>
          <w:rFonts w:ascii="彩虹粗仿宋" w:eastAsia="彩虹粗仿宋" w:hint="eastAsia"/>
          <w:sz w:val="30"/>
        </w:rPr>
        <w:t>四、基金管理人对基金托管人的业务核查</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管理人对基金托管人履行托管职责情况进行核查，核查事项包括基金托管人安全保管基金财产、开设基金财产的资金账户和证券账户等投资所需账户、复核基金管理人计算的基金资产净值和各类基金份额净值、根据基金管理人指令办理清算交收、相关信息披露和监督基金投资运作等行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（二）基金管理人发现基金托管人擅自挪用基金财产、未对基金财产实行分账管理、未执行或无故延迟执行基金管理人资金划拨指令、泄露基金投资信息等违反</w:t>
      </w:r>
      <w:r>
        <w:rPr>
          <w:rFonts w:ascii="彩虹粗仿宋" w:eastAsia="彩虹粗仿宋" w:hAnsi="宋体" w:cs="Arial" w:hint="eastAsia"/>
          <w:sz w:val="24"/>
        </w:rPr>
        <w:lastRenderedPageBreak/>
        <w:t>《基金法》、《基金合同》、本协议及其他有关规定时，应及时以书面形式通知基金托管人限期纠正。基金托管人收到通</w:t>
      </w:r>
      <w:r>
        <w:rPr>
          <w:rFonts w:ascii="彩虹粗仿宋" w:eastAsia="彩虹粗仿宋" w:hAnsi="宋体" w:cs="Arial" w:hint="eastAsia"/>
          <w:sz w:val="24"/>
        </w:rPr>
        <w:t>知后应及时核对并以书面形式给基金管理人发出回函，说明违规原因及纠正期限，并保证在规定期限内及时改正。在上述规定期限内，</w:t>
      </w:r>
      <w:r>
        <w:rPr>
          <w:rFonts w:ascii="彩虹粗仿宋" w:eastAsia="彩虹粗仿宋" w:hAnsi="宋体" w:cs="Arial" w:hint="eastAsia"/>
          <w:sz w:val="24"/>
        </w:rPr>
        <w:t xml:space="preserve"> </w:t>
      </w:r>
      <w:r>
        <w:rPr>
          <w:rFonts w:ascii="彩虹粗仿宋" w:eastAsia="彩虹粗仿宋" w:hAnsi="宋体" w:cs="Arial" w:hint="eastAsia"/>
          <w:sz w:val="24"/>
        </w:rPr>
        <w:t>基金管理人有权随时对通知事项进行复查，督促基金托管人改正。基金托管人应积极配合基金管理人的核查行为，包括但不限于：提交相关资料以供基金管理人核查基金财产的完整性和真实性，在规定时间内答复基金管理人并改正。</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（三）基金管理人发现基金托管人有重大违规行为，应及时报告中国证监会，同时通知基金托管人限期纠正，并将纠正结果报告中国证监会。基金托管人无正当理由，拒绝、阻挠基金管理人根据本协议规定行使监</w:t>
      </w:r>
      <w:r>
        <w:rPr>
          <w:rFonts w:ascii="彩虹粗仿宋" w:eastAsia="彩虹粗仿宋" w:hAnsi="宋体" w:cs="Arial" w:hint="eastAsia"/>
          <w:sz w:val="24"/>
        </w:rPr>
        <w:t>督权，或采取拖延、欺诈等手段妨碍基金管理人进行有效监督，情节严重或经基金管理人提出警告仍不改正的，基金管理人应报告中国证监会。</w:t>
      </w:r>
    </w:p>
    <w:p w:rsidR="003F2F5E" w:rsidRDefault="003F2F5E">
      <w:pPr>
        <w:rPr>
          <w:rFonts w:ascii="彩虹粗仿宋" w:eastAsia="彩虹粗仿宋"/>
          <w:sz w:val="24"/>
        </w:rPr>
      </w:pPr>
    </w:p>
    <w:p w:rsidR="003F2F5E" w:rsidRDefault="00DD591D">
      <w:pPr>
        <w:pStyle w:val="2"/>
        <w:jc w:val="center"/>
        <w:rPr>
          <w:rFonts w:ascii="彩虹粗仿宋" w:eastAsia="彩虹粗仿宋"/>
          <w:sz w:val="30"/>
        </w:rPr>
      </w:pPr>
      <w:bookmarkStart w:id="25" w:name="_Toc110761797"/>
      <w:bookmarkStart w:id="26" w:name="_Toc118212951"/>
      <w:bookmarkStart w:id="27" w:name="_Toc124325889"/>
      <w:bookmarkStart w:id="28" w:name="_Toc110830493"/>
      <w:bookmarkStart w:id="29" w:name="_Toc119402711"/>
      <w:bookmarkStart w:id="30" w:name="_Toc84234388"/>
      <w:bookmarkStart w:id="31" w:name="_Toc86726440"/>
      <w:bookmarkStart w:id="32" w:name="_Toc86727356"/>
      <w:bookmarkStart w:id="33" w:name="_Toc120435784"/>
      <w:bookmarkStart w:id="34" w:name="_Toc108512359"/>
      <w:bookmarkStart w:id="35" w:name="_Toc84234435"/>
      <w:bookmarkStart w:id="36" w:name="_Toc86204789"/>
      <w:bookmarkStart w:id="37" w:name="_Toc89163369"/>
      <w:bookmarkStart w:id="38" w:name="_Toc86225292"/>
      <w:bookmarkStart w:id="39" w:name="_Toc86223243"/>
      <w:bookmarkStart w:id="40" w:name="_Toc86649723"/>
      <w:bookmarkStart w:id="41" w:name="_Toc84133786"/>
      <w:bookmarkStart w:id="42" w:name="_Toc118972649"/>
      <w:bookmarkStart w:id="43" w:name="_Toc110765661"/>
      <w:bookmarkStart w:id="44" w:name="_Toc118774804"/>
      <w:bookmarkStart w:id="45" w:name="_Toc86737930"/>
      <w:r>
        <w:rPr>
          <w:rFonts w:ascii="彩虹粗仿宋" w:eastAsia="彩虹粗仿宋" w:hint="eastAsia"/>
          <w:sz w:val="30"/>
        </w:rPr>
        <w:t>五、基金财产的保管</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rsidR="003F2F5E" w:rsidRDefault="00DD591D">
      <w:pPr>
        <w:adjustRightInd w:val="0"/>
        <w:snapToGrid w:val="0"/>
        <w:ind w:firstLine="480"/>
        <w:rPr>
          <w:rFonts w:ascii="彩虹粗仿宋" w:eastAsia="彩虹粗仿宋" w:hAnsi="宋体" w:cs="Arial"/>
          <w:sz w:val="24"/>
        </w:rPr>
      </w:pPr>
      <w:bookmarkStart w:id="46" w:name="OLE_LINK3"/>
      <w:r>
        <w:rPr>
          <w:rFonts w:ascii="彩虹粗仿宋" w:eastAsia="彩虹粗仿宋" w:hAnsi="宋体" w:cs="Arial" w:hint="eastAsia"/>
          <w:sz w:val="24"/>
        </w:rPr>
        <w:t>（一）基金财产保管的原则</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基金财产应独立于基金管理人、基金托管人的固有财产。</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基金托管人应安全保管基金财产。</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基金托管人按照规定开设基金财产的资金账户和证券账户等投资所需账户。</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基金托管人对所托管的不同基金财产分别设置账户，分账管理，独立核算，确保基金财产的完整与独立。</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5.</w:t>
      </w:r>
      <w:r>
        <w:rPr>
          <w:rFonts w:ascii="彩虹粗仿宋" w:eastAsia="彩虹粗仿宋" w:hAnsi="宋体" w:cs="Arial" w:hint="eastAsia"/>
          <w:sz w:val="24"/>
        </w:rPr>
        <w:t>基金托管人按照《基金合同》和本协议的约定保管基金财产，</w:t>
      </w:r>
      <w:r>
        <w:rPr>
          <w:rFonts w:ascii="彩虹粗仿宋" w:eastAsia="彩虹粗仿宋" w:hAnsi="宋体" w:cs="Arial" w:hint="eastAsia"/>
          <w:sz w:val="24"/>
        </w:rPr>
        <w:t xml:space="preserve"> </w:t>
      </w:r>
      <w:r>
        <w:rPr>
          <w:rFonts w:ascii="彩虹粗仿宋" w:eastAsia="彩虹粗仿宋" w:hAnsi="宋体" w:cs="Arial" w:hint="eastAsia"/>
          <w:sz w:val="24"/>
        </w:rPr>
        <w:t>如有特殊情况双方可另行协商解决。基金托管人未经基金管理人的指令，</w:t>
      </w:r>
      <w:r>
        <w:rPr>
          <w:rFonts w:ascii="彩虹粗仿宋" w:eastAsia="彩虹粗仿宋" w:hAnsi="宋体" w:cs="Arial" w:hint="eastAsia"/>
          <w:sz w:val="24"/>
        </w:rPr>
        <w:t xml:space="preserve"> </w:t>
      </w:r>
      <w:r>
        <w:rPr>
          <w:rFonts w:ascii="彩虹粗仿宋" w:eastAsia="彩虹粗仿宋" w:hAnsi="宋体" w:cs="Arial" w:hint="eastAsia"/>
          <w:sz w:val="24"/>
        </w:rPr>
        <w:t>不得自行运用、处分、分配本基金的任何资产（不包含开户银行或交易</w:t>
      </w:r>
      <w:r>
        <w:rPr>
          <w:rFonts w:ascii="彩虹粗仿宋" w:eastAsia="彩虹粗仿宋" w:hAnsi="宋体" w:cs="Arial" w:hint="eastAsia"/>
          <w:sz w:val="24"/>
        </w:rPr>
        <w:t>/</w:t>
      </w:r>
      <w:r>
        <w:rPr>
          <w:rFonts w:ascii="彩虹粗仿宋" w:eastAsia="彩虹粗仿宋" w:hAnsi="宋体" w:cs="Arial" w:hint="eastAsia"/>
          <w:sz w:val="24"/>
        </w:rPr>
        <w:t>登记结算机构扣收交易费、结算费和账户维护费等费用）。</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6.</w:t>
      </w:r>
      <w:r>
        <w:rPr>
          <w:rFonts w:ascii="彩虹粗仿宋" w:eastAsia="彩虹粗仿宋" w:hAnsi="宋体" w:cs="Arial" w:hint="eastAsia"/>
          <w:sz w:val="24"/>
        </w:rPr>
        <w:t>对于因为基金投资产生的应收资产，应由基金管理人负责与有关当事人确定到账日期并书面通知基金托管人，到账日基金财产没有到达基金银行账户的，基金</w:t>
      </w:r>
      <w:r>
        <w:rPr>
          <w:rFonts w:ascii="彩虹粗仿宋" w:eastAsia="彩虹粗仿宋" w:hAnsi="宋体" w:cs="Arial" w:hint="eastAsia"/>
          <w:sz w:val="24"/>
        </w:rPr>
        <w:lastRenderedPageBreak/>
        <w:t>托管人应及时通知基金管理人采取措施进行催收。由此给基金财产造成损失的，</w:t>
      </w:r>
      <w:r>
        <w:rPr>
          <w:rFonts w:ascii="彩虹粗仿宋" w:eastAsia="彩虹粗仿宋" w:hAnsi="宋体" w:cs="Arial" w:hint="eastAsia"/>
          <w:sz w:val="24"/>
        </w:rPr>
        <w:t xml:space="preserve"> </w:t>
      </w:r>
      <w:r>
        <w:rPr>
          <w:rFonts w:ascii="彩虹粗仿宋" w:eastAsia="彩虹粗仿宋" w:hAnsi="宋体" w:cs="Arial" w:hint="eastAsia"/>
          <w:sz w:val="24"/>
        </w:rPr>
        <w:t>基金管理人应负责向有关当事人追偿基金财产的损失，基金托管人对此不承担任何责任。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7.</w:t>
      </w:r>
      <w:r>
        <w:rPr>
          <w:rFonts w:ascii="彩虹粗仿宋" w:eastAsia="彩虹粗仿宋" w:hAnsi="宋体" w:cs="Arial" w:hint="eastAsia"/>
          <w:sz w:val="24"/>
        </w:rPr>
        <w:t>基金托管人不保证基金财产、投资</w:t>
      </w:r>
      <w:r>
        <w:rPr>
          <w:rFonts w:ascii="彩虹粗仿宋" w:eastAsia="彩虹粗仿宋" w:hAnsi="宋体" w:cs="Arial" w:hint="eastAsia"/>
          <w:sz w:val="24"/>
        </w:rPr>
        <w:t>人投资本金不受损失或取得最低收益。基金托管人承担的托管职责仅限于法律法规规定、基金合同及托管协议约定，</w:t>
      </w:r>
      <w:r>
        <w:rPr>
          <w:rFonts w:ascii="彩虹粗仿宋" w:eastAsia="彩虹粗仿宋" w:hAnsi="宋体" w:cs="Arial" w:hint="eastAsia"/>
          <w:sz w:val="24"/>
        </w:rPr>
        <w:t xml:space="preserve"> </w:t>
      </w:r>
      <w:r>
        <w:rPr>
          <w:rFonts w:ascii="彩虹粗仿宋" w:eastAsia="彩虹粗仿宋" w:hAnsi="宋体" w:cs="Arial" w:hint="eastAsia"/>
          <w:sz w:val="24"/>
        </w:rPr>
        <w:t>对基金托管人实际管控的托管资金账户及证券账户内资产承担保管职责，对于已划出托管账户以及没有存管在基金托管人处的基金财产不负有保管责任；对处于基金托管人实际控制之外的资产所发生的灭失、亏损等，基金托管人不承担责任。由于非基金托管人的过错致使其保管的基金财产发生毁损或灭失的，</w:t>
      </w:r>
      <w:r>
        <w:rPr>
          <w:rFonts w:ascii="彩虹粗仿宋" w:eastAsia="彩虹粗仿宋" w:hAnsi="宋体" w:cs="Arial" w:hint="eastAsia"/>
          <w:sz w:val="24"/>
        </w:rPr>
        <w:t xml:space="preserve"> </w:t>
      </w:r>
      <w:r>
        <w:rPr>
          <w:rFonts w:ascii="彩虹粗仿宋" w:eastAsia="彩虹粗仿宋" w:hAnsi="宋体" w:cs="Arial" w:hint="eastAsia"/>
          <w:sz w:val="24"/>
        </w:rPr>
        <w:t>基金托管人不承担赔偿责任。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8.</w:t>
      </w:r>
      <w:r>
        <w:rPr>
          <w:rFonts w:ascii="彩虹粗仿宋" w:eastAsia="彩虹粗仿宋" w:hAnsi="宋体" w:cs="Arial" w:hint="eastAsia"/>
          <w:sz w:val="24"/>
        </w:rPr>
        <w:t>除依据法律法规和《基金合同》的规定外，基金托管人不得委托第三人托管基金财产。</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（二）基金募集期间及募集</w:t>
      </w:r>
      <w:r>
        <w:rPr>
          <w:rFonts w:ascii="彩虹粗仿宋" w:eastAsia="彩虹粗仿宋" w:hAnsi="宋体" w:cs="Arial" w:hint="eastAsia"/>
          <w:sz w:val="24"/>
        </w:rPr>
        <w:t>资金的验资</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基金募集期间募集的资金应存于基金管理人开立的“基金募集专户</w:t>
      </w:r>
      <w:r>
        <w:rPr>
          <w:rFonts w:ascii="彩虹粗仿宋" w:eastAsia="彩虹粗仿宋" w:hAnsi="宋体" w:cs="Arial" w:hint="eastAsia"/>
          <w:sz w:val="24"/>
        </w:rPr>
        <w:t xml:space="preserve"> </w:t>
      </w:r>
      <w:r>
        <w:rPr>
          <w:rFonts w:ascii="彩虹粗仿宋" w:eastAsia="彩虹粗仿宋" w:hAnsi="宋体" w:cs="Arial" w:hint="eastAsia"/>
          <w:sz w:val="24"/>
        </w:rPr>
        <w:t>”。该账户由基金管理人开立并管理。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基金募集期满或基金停止募集时，募集的基金份额总额、基金募集金额、基金份额持有人人数符合《基金法》、《运作办法》等有关规定后，</w:t>
      </w:r>
      <w:r>
        <w:rPr>
          <w:rFonts w:ascii="彩虹粗仿宋" w:eastAsia="彩虹粗仿宋" w:hAnsi="宋体" w:cs="Arial" w:hint="eastAsia"/>
          <w:sz w:val="24"/>
        </w:rPr>
        <w:t xml:space="preserve"> </w:t>
      </w:r>
      <w:r>
        <w:rPr>
          <w:rFonts w:ascii="彩虹粗仿宋" w:eastAsia="彩虹粗仿宋" w:hAnsi="宋体" w:cs="Arial" w:hint="eastAsia"/>
          <w:sz w:val="24"/>
        </w:rPr>
        <w:t>基金管理人应将属于基金财产的全部资金划入基金托管人开立的基金银行账户，同时在规定时间内，聘请符合《证券法》规定的会计师事务所进行验资，出具验资报告。出具的验资报告由参加验资的</w:t>
      </w:r>
      <w:r>
        <w:rPr>
          <w:rFonts w:ascii="彩虹粗仿宋" w:eastAsia="彩虹粗仿宋" w:hAnsi="宋体" w:cs="Arial" w:hint="eastAsia"/>
          <w:sz w:val="24"/>
        </w:rPr>
        <w:t xml:space="preserve"> 2 </w:t>
      </w:r>
      <w:r>
        <w:rPr>
          <w:rFonts w:ascii="彩虹粗仿宋" w:eastAsia="彩虹粗仿宋" w:hAnsi="宋体" w:cs="Arial" w:hint="eastAsia"/>
          <w:sz w:val="24"/>
        </w:rPr>
        <w:t>名或</w:t>
      </w:r>
      <w:r>
        <w:rPr>
          <w:rFonts w:ascii="彩虹粗仿宋" w:eastAsia="彩虹粗仿宋" w:hAnsi="宋体" w:cs="Arial" w:hint="eastAsia"/>
          <w:sz w:val="24"/>
        </w:rPr>
        <w:t xml:space="preserve"> 2 </w:t>
      </w:r>
      <w:r>
        <w:rPr>
          <w:rFonts w:ascii="彩虹粗仿宋" w:eastAsia="彩虹粗仿宋" w:hAnsi="宋体" w:cs="Arial" w:hint="eastAsia"/>
          <w:sz w:val="24"/>
        </w:rPr>
        <w:t>名以上中国注册会计师签名方为有效。</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若基金募集期限届满，未能达到《基金合同》</w:t>
      </w:r>
      <w:r>
        <w:rPr>
          <w:rFonts w:ascii="彩虹粗仿宋" w:eastAsia="彩虹粗仿宋" w:hAnsi="宋体" w:cs="Arial" w:hint="eastAsia"/>
          <w:sz w:val="24"/>
        </w:rPr>
        <w:t>生效的条件，</w:t>
      </w:r>
      <w:r>
        <w:rPr>
          <w:rFonts w:ascii="彩虹粗仿宋" w:eastAsia="彩虹粗仿宋" w:hAnsi="宋体" w:cs="Arial" w:hint="eastAsia"/>
          <w:sz w:val="24"/>
        </w:rPr>
        <w:t xml:space="preserve"> </w:t>
      </w:r>
      <w:r>
        <w:rPr>
          <w:rFonts w:ascii="彩虹粗仿宋" w:eastAsia="彩虹粗仿宋" w:hAnsi="宋体" w:cs="Arial" w:hint="eastAsia"/>
          <w:sz w:val="24"/>
        </w:rPr>
        <w:t>由基金管理人按规定办理退款等事宜。</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（三）基金银行账户的开立和管理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托管人可以基金的名义在其营业机构开立基金的银行账户，并根据基金管理人合法合规的指令办理资金收付。开立托管账户时，托管账户名称应包含开户主体和产品名称字样，预留银行印鉴由基金管理人印鉴和基金托管人印鉴组成。本</w:t>
      </w:r>
      <w:r>
        <w:rPr>
          <w:rFonts w:ascii="彩虹粗仿宋" w:eastAsia="彩虹粗仿宋" w:hAnsi="宋体" w:cs="Arial" w:hint="eastAsia"/>
          <w:sz w:val="24"/>
        </w:rPr>
        <w:lastRenderedPageBreak/>
        <w:t>协议的签订，视为基金管理人的法定代表人同意在基金托管人的营业机构开立基金的银行账户。本基金的银行预留印鉴卡由基金托管人保管和使用。基金管理人应依法履行反洗钱及受益所有人识别义务，在开立托管账户时按照开户银行要求，就相</w:t>
      </w:r>
      <w:r>
        <w:rPr>
          <w:rFonts w:ascii="彩虹粗仿宋" w:eastAsia="彩虹粗仿宋" w:hAnsi="宋体" w:cs="Arial" w:hint="eastAsia"/>
          <w:sz w:val="24"/>
        </w:rPr>
        <w:t>关信息的提供、核实等提供必要的协助，并确保所提供信息以及证明材料的真实性、准确性。</w:t>
      </w:r>
    </w:p>
    <w:p w:rsidR="003F2F5E" w:rsidRDefault="003F2F5E">
      <w:pPr>
        <w:adjustRightInd w:val="0"/>
        <w:snapToGrid w:val="0"/>
        <w:ind w:firstLine="480"/>
        <w:rPr>
          <w:rFonts w:ascii="彩虹粗仿宋" w:eastAsia="彩虹粗仿宋" w:hAnsi="宋体" w:cs="Arial"/>
          <w:sz w:val="24"/>
        </w:rPr>
      </w:pP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银行账户的开立和使用，限于满足开展本基金业务的需要。基金托管人和基金管理人不得假借本基金的名义开立任何其他银行账户；亦不得使用基金的任何账户进行本基金业务以外的活动。基金清算结束后，应对账户及时进行销户。</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基金银行账户的开立和管理应符合银行业监督管理机构的有关规定。</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在符合法律法规规定的条件下，基金托管人可以通过基金托管人专用账户办理基金资产的支付。</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5.</w:t>
      </w:r>
      <w:r>
        <w:rPr>
          <w:rFonts w:ascii="彩虹粗仿宋" w:eastAsia="彩虹粗仿宋" w:hAnsi="宋体" w:cs="Arial" w:hint="eastAsia"/>
          <w:sz w:val="24"/>
        </w:rPr>
        <w:t>基金管理人应于基金终止后及时完成收益兑付、费用结清及</w:t>
      </w:r>
      <w:r>
        <w:rPr>
          <w:rFonts w:ascii="彩虹粗仿宋" w:eastAsia="彩虹粗仿宋" w:hAnsi="宋体" w:cs="Arial" w:hint="eastAsia"/>
          <w:sz w:val="24"/>
        </w:rPr>
        <w:t>其他应收应付款项资金划转，在确保后续不再发生款项进出后的</w:t>
      </w:r>
      <w:r>
        <w:rPr>
          <w:rFonts w:ascii="彩虹粗仿宋" w:eastAsia="彩虹粗仿宋" w:hAnsi="宋体" w:cs="Arial" w:hint="eastAsia"/>
          <w:sz w:val="24"/>
        </w:rPr>
        <w:t xml:space="preserve"> 10 </w:t>
      </w:r>
      <w:r>
        <w:rPr>
          <w:rFonts w:ascii="彩虹粗仿宋" w:eastAsia="彩虹粗仿宋" w:hAnsi="宋体" w:cs="Arial" w:hint="eastAsia"/>
          <w:sz w:val="24"/>
        </w:rPr>
        <w:t>个工作日内向基金托管人发出销户申请。</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（四）基金证券账户及其他投资账户的开设和管理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基金托管人应当代表本基金，以基金托管人和本基金联名的方式在中国证券登记结算有限责任公司开设证券账户。</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本基金证券账户的开立和使用，限于满足开展本基金业务的需要。基金托管人和基金管理人不得出借或转让本基金的证券账户，亦不得使用本基金的证券账户进行本基金业务以外的活动。</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在本托管协议生效日之后，本基金被允许从事其他投资品种的投资业务的，涉及相关账户的开设</w:t>
      </w:r>
      <w:r>
        <w:rPr>
          <w:rFonts w:ascii="彩虹粗仿宋" w:eastAsia="彩虹粗仿宋" w:hAnsi="宋体" w:cs="Arial" w:hint="eastAsia"/>
          <w:sz w:val="24"/>
        </w:rPr>
        <w:t>、使用的，若无相关规定，则基金托管人应当比照并遵守上述关于账户开设、使用的规定。</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（五）债券托管专户的开设和管理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lastRenderedPageBreak/>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持有人账户和资金结算账户，并代表基金进行银行间市场债券的结算。</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（六）证券资金账户的开立和管理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基金管理人根据相关法律法规及协议约定在选定的证券经纪机构处为本基金开立证券资金账</w:t>
      </w:r>
      <w:r>
        <w:rPr>
          <w:rFonts w:ascii="彩虹粗仿宋" w:eastAsia="彩虹粗仿宋" w:hAnsi="宋体" w:cs="Arial" w:hint="eastAsia"/>
          <w:sz w:val="24"/>
        </w:rPr>
        <w:t>户，用于办理本基金在证券交易所进行证券投资所涉及的资金结算业务。结算备付金和交易保证金的收取按照代理证券买卖的证券经纪机构的规定执行。</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基金管理人以本基金名义在基金管理人选择的证券经纪机构营业网点开立证券资金账户，并按照该营业网点开户的流程和要求，签订相关的协议。证券资金账户与基金托管人开立的银行账户建立第三方存管关系。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（七）基金财产投资的有关有价凭证等的保管</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基金财产投资的有关实物证券、银行存款开户证实书等有价凭证由基金托管人存放于基金托管人的保险柜，也可存入中央国债登记结算有限责任公司、中国证券登</w:t>
      </w:r>
      <w:r>
        <w:rPr>
          <w:rFonts w:ascii="彩虹粗仿宋" w:eastAsia="彩虹粗仿宋" w:hAnsi="宋体" w:cs="Arial" w:hint="eastAsia"/>
          <w:sz w:val="24"/>
        </w:rPr>
        <w:t>记结算有限责任公司上海分公司</w:t>
      </w:r>
      <w:r>
        <w:rPr>
          <w:rFonts w:ascii="彩虹粗仿宋" w:eastAsia="彩虹粗仿宋" w:hAnsi="宋体" w:cs="Arial" w:hint="eastAsia"/>
          <w:sz w:val="24"/>
        </w:rPr>
        <w:t>/</w:t>
      </w:r>
      <w:r>
        <w:rPr>
          <w:rFonts w:ascii="彩虹粗仿宋" w:eastAsia="彩虹粗仿宋" w:hAnsi="宋体" w:cs="Arial" w:hint="eastAsia"/>
          <w:sz w:val="24"/>
        </w:rPr>
        <w:t>深圳分公司</w:t>
      </w:r>
      <w:r>
        <w:rPr>
          <w:rFonts w:ascii="彩虹粗仿宋" w:eastAsia="彩虹粗仿宋" w:hAnsi="宋体" w:cs="Arial" w:hint="eastAsia"/>
          <w:sz w:val="24"/>
        </w:rPr>
        <w:t>/</w:t>
      </w:r>
      <w:r>
        <w:rPr>
          <w:rFonts w:ascii="彩虹粗仿宋" w:eastAsia="彩虹粗仿宋" w:hAnsi="宋体" w:cs="Arial" w:hint="eastAsia"/>
          <w:sz w:val="24"/>
        </w:rPr>
        <w:t>北京分公司、银行间市场清算所股份有限公司或票据营业中心的代保管库，保管凭证由基金托管人持有。实物证券、银行定期存款证实书等有价凭证的购买和转让，按基金管理人和基金托管人双方约定办理。基金托管人对由基金托管人以外机构实际有效控制的资产或保管的资产不承担保管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（八）与基金财产有关的重大合同的保管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通过指定邮箱发送给基</w:t>
      </w:r>
      <w:r>
        <w:rPr>
          <w:rFonts w:ascii="彩虹粗仿宋" w:eastAsia="彩虹粗仿宋" w:hAnsi="宋体" w:cs="Arial" w:hint="eastAsia"/>
          <w:sz w:val="24"/>
        </w:rPr>
        <w:lastRenderedPageBreak/>
        <w:t>金托管人，并在三十个工作日内将正本送达基金托管人处。基金管理人和基金托管人对重大合同的保</w:t>
      </w:r>
      <w:r>
        <w:rPr>
          <w:rFonts w:ascii="彩虹粗仿宋" w:eastAsia="彩虹粗仿宋" w:hAnsi="宋体" w:cs="Arial" w:hint="eastAsia"/>
          <w:sz w:val="24"/>
        </w:rPr>
        <w:t>管期限不少于法律法规规定的最低期限。对于无法取得二份以上正本的，基金管理人应向基金托管人提供加盖公章的合同传真件。未经双方协商一致，合同原件应由基金管理人保存。</w:t>
      </w:r>
      <w:bookmarkEnd w:id="46"/>
    </w:p>
    <w:p w:rsidR="003F2F5E" w:rsidRDefault="003F2F5E">
      <w:pPr>
        <w:rPr>
          <w:rFonts w:ascii="彩虹粗仿宋" w:eastAsia="彩虹粗仿宋"/>
          <w:sz w:val="24"/>
        </w:rPr>
      </w:pPr>
    </w:p>
    <w:p w:rsidR="003F2F5E" w:rsidRDefault="00DD591D">
      <w:pPr>
        <w:pStyle w:val="2"/>
        <w:jc w:val="center"/>
        <w:rPr>
          <w:rFonts w:ascii="彩虹粗仿宋" w:eastAsia="彩虹粗仿宋"/>
          <w:sz w:val="30"/>
        </w:rPr>
      </w:pPr>
      <w:bookmarkStart w:id="47" w:name="_Toc118972650"/>
      <w:bookmarkStart w:id="48" w:name="_Toc86649724"/>
      <w:bookmarkStart w:id="49" w:name="_Toc108512360"/>
      <w:bookmarkStart w:id="50" w:name="_Toc119402712"/>
      <w:bookmarkStart w:id="51" w:name="_Toc84234436"/>
      <w:bookmarkStart w:id="52" w:name="_Toc118774805"/>
      <w:bookmarkStart w:id="53" w:name="_Toc86737931"/>
      <w:bookmarkStart w:id="54" w:name="_Toc86223244"/>
      <w:bookmarkStart w:id="55" w:name="_Toc86727357"/>
      <w:bookmarkStart w:id="56" w:name="_Toc86726441"/>
      <w:bookmarkStart w:id="57" w:name="_Toc110761798"/>
      <w:bookmarkStart w:id="58" w:name="_Toc86225293"/>
      <w:bookmarkStart w:id="59" w:name="_Toc120435785"/>
      <w:bookmarkStart w:id="60" w:name="_Toc84234389"/>
      <w:bookmarkStart w:id="61" w:name="_Toc124325890"/>
      <w:bookmarkStart w:id="62" w:name="_Toc118212952"/>
      <w:bookmarkStart w:id="63" w:name="_Toc89163370"/>
      <w:bookmarkStart w:id="64" w:name="_Toc110830494"/>
      <w:bookmarkStart w:id="65" w:name="_Toc84133787"/>
      <w:bookmarkStart w:id="66" w:name="_Toc110765662"/>
      <w:bookmarkStart w:id="67" w:name="_Toc86204790"/>
      <w:r>
        <w:rPr>
          <w:rFonts w:ascii="彩虹粗仿宋" w:eastAsia="彩虹粗仿宋" w:hint="eastAsia"/>
          <w:sz w:val="30"/>
        </w:rPr>
        <w:t>六、指令的发送、确认及执行</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基金管理人在运用基金财产时向基金托管人发送资金划拨及其他款项付款指令，基金托管人执行基金管理人的指令、办理基金名下的资金往来等有关事项。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（一）基金管理人对发送指令人员的书面授权</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基金管理人应指定专人向基金托管人发送指令。</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基金管理人应向基金托管人提供书面授权文件，内容包括被授权人名单、预留印鉴及被授权人签名样</w:t>
      </w:r>
      <w:r>
        <w:rPr>
          <w:rFonts w:ascii="彩虹粗仿宋" w:eastAsia="彩虹粗仿宋" w:hAnsi="宋体" w:cs="Arial" w:hint="eastAsia"/>
          <w:sz w:val="24"/>
        </w:rPr>
        <w:t>本，授权文件应注明被授权人相应的权限。</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托管人在收到授权文件原件后，经双方电话确认，授权文件即生效。如果授权文件中载明具体生效时间的，该生效时间不得早于基金托管人收到授权文件并经电话确认的时点。如早于，则以基金托管人收到授权文件并经电话确认的时点为授权文件的生效时间。</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基金管理人和基金托管人对授权文件负有保密义务，其内容不得向被授权人及相关操作人员以外的任何人泄露。但法律法规规定或有权机关要求的除外。</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（二）指令的内容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指令包括付款指令以及其他资金划拨指令等。</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基金管理人发给基金托管人的</w:t>
      </w:r>
      <w:r>
        <w:rPr>
          <w:rFonts w:ascii="彩虹粗仿宋" w:eastAsia="彩虹粗仿宋" w:hAnsi="宋体" w:cs="Arial" w:hint="eastAsia"/>
          <w:sz w:val="24"/>
        </w:rPr>
        <w:t>指令应写明款项事由、支付时间、到账时间、金额、账户等，加盖预留印鉴并由被授权人签名或盖章。</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（三）指令的发送、确认及执行的时间和程序</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指令的发送</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基金管理人发送指令应采用深证通、邮件、传真方式或双方协商一致的其他方式。基金管理人应按照法律法规和《基金合同》的规定，</w:t>
      </w:r>
      <w:r>
        <w:rPr>
          <w:rFonts w:ascii="彩虹粗仿宋" w:eastAsia="彩虹粗仿宋" w:hAnsi="宋体" w:cs="Arial" w:hint="eastAsia"/>
          <w:sz w:val="24"/>
        </w:rPr>
        <w:t xml:space="preserve"> </w:t>
      </w:r>
      <w:r>
        <w:rPr>
          <w:rFonts w:ascii="彩虹粗仿宋" w:eastAsia="彩虹粗仿宋" w:hAnsi="宋体" w:cs="Arial" w:hint="eastAsia"/>
          <w:sz w:val="24"/>
        </w:rPr>
        <w:t>在其合法的经营权限和交易权限内发送指令；被授权人应严格按照其授权权限发送指令。对于被授权人依约定程序发出的指令，基金管理人不得否认其效力。但如果基金管理人已经撤销或更改对被授权人的授权，</w:t>
      </w:r>
      <w:r>
        <w:rPr>
          <w:rFonts w:ascii="彩虹粗仿宋" w:eastAsia="彩虹粗仿宋" w:hAnsi="宋体" w:cs="Arial" w:hint="eastAsia"/>
          <w:sz w:val="24"/>
        </w:rPr>
        <w:t xml:space="preserve"> </w:t>
      </w:r>
      <w:r>
        <w:rPr>
          <w:rFonts w:ascii="彩虹粗仿宋" w:eastAsia="彩虹粗仿宋" w:hAnsi="宋体" w:cs="Arial" w:hint="eastAsia"/>
          <w:sz w:val="24"/>
        </w:rPr>
        <w:t>并且基金托管人根据本协议确认后，则对于此后该被授权人无权发送的指令，或超权限发送的指令，基金管理人不承担责任，授权已更改但未经基金托管人确认的情况除外。</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指令发出后，基金管理人应及时以电话或其他双方认可的方式向基金托管人确认。</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在银行间交易成交后，及时将银行间同业市场债券交易成交单和划款指令发送至基金托管人并电话或者双方认可的其他方式确认，如基金管理人出具书面的免成交单申请，则交易时可免于向基金托管人提供银行间同业市场债券交易成交单。由基金托管人完成后台交易匹配及资金交收事宜。如果银行间结算系统</w:t>
      </w:r>
      <w:r>
        <w:rPr>
          <w:rFonts w:ascii="彩虹粗仿宋" w:eastAsia="彩虹粗仿宋" w:hAnsi="宋体" w:cs="Arial" w:hint="eastAsia"/>
          <w:sz w:val="24"/>
        </w:rPr>
        <w:t>已经生成的交易需要取消或终止，</w:t>
      </w:r>
      <w:r>
        <w:rPr>
          <w:rFonts w:ascii="彩虹粗仿宋" w:eastAsia="彩虹粗仿宋" w:hAnsi="宋体" w:cs="Arial" w:hint="eastAsia"/>
          <w:sz w:val="24"/>
        </w:rPr>
        <w:t xml:space="preserve"> </w:t>
      </w:r>
      <w:r>
        <w:rPr>
          <w:rFonts w:ascii="彩虹粗仿宋" w:eastAsia="彩虹粗仿宋" w:hAnsi="宋体" w:cs="Arial" w:hint="eastAsia"/>
          <w:sz w:val="24"/>
        </w:rPr>
        <w:t>基金管理人要以书面或者双方认可的其他方式通知基金托管人。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指令的确认</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基金托管人应采用深证通、邮件、传真方式或双方认可的其他方式接收基金管理人的指令，预先通知基金管理人，并与基金管理人商定指令发送和接收方式。指令到达基金托管人后，</w:t>
      </w:r>
      <w:r>
        <w:rPr>
          <w:rFonts w:ascii="彩虹粗仿宋" w:eastAsia="彩虹粗仿宋" w:hAnsi="宋体" w:cs="Arial" w:hint="eastAsia"/>
          <w:sz w:val="24"/>
        </w:rPr>
        <w:t xml:space="preserve"> </w:t>
      </w:r>
      <w:r>
        <w:rPr>
          <w:rFonts w:ascii="彩虹粗仿宋" w:eastAsia="彩虹粗仿宋" w:hAnsi="宋体" w:cs="Arial" w:hint="eastAsia"/>
          <w:sz w:val="24"/>
        </w:rPr>
        <w:t>基金托管人应及时审慎验证指令的要素是否齐全，并将指令所载签名和印鉴与授权文件进行表面真实性及权限范围核对，复核无误后应在规定期限内执行，不得延误，如有疑问必须及时通知基金管理人。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指令的时间和执行</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对于要求当天到账的指令，必须在当天</w:t>
      </w:r>
      <w:r>
        <w:rPr>
          <w:rFonts w:ascii="彩虹粗仿宋" w:eastAsia="彩虹粗仿宋" w:hAnsi="宋体" w:cs="Arial" w:hint="eastAsia"/>
          <w:sz w:val="24"/>
        </w:rPr>
        <w:t xml:space="preserve"> 15:</w:t>
      </w:r>
      <w:r>
        <w:rPr>
          <w:rFonts w:ascii="彩虹粗仿宋" w:eastAsia="彩虹粗仿宋" w:hAnsi="宋体" w:cs="Arial" w:hint="eastAsia"/>
          <w:sz w:val="24"/>
        </w:rPr>
        <w:t xml:space="preserve">00 </w:t>
      </w:r>
      <w:r>
        <w:rPr>
          <w:rFonts w:ascii="彩虹粗仿宋" w:eastAsia="彩虹粗仿宋" w:hAnsi="宋体" w:cs="Arial" w:hint="eastAsia"/>
          <w:sz w:val="24"/>
        </w:rPr>
        <w:t>前向基金托管人发送，</w:t>
      </w:r>
      <w:r>
        <w:rPr>
          <w:rFonts w:ascii="彩虹粗仿宋" w:eastAsia="彩虹粗仿宋" w:hAnsi="宋体" w:cs="Arial" w:hint="eastAsia"/>
          <w:sz w:val="24"/>
        </w:rPr>
        <w:t xml:space="preserve">15:00 </w:t>
      </w:r>
      <w:r>
        <w:rPr>
          <w:rFonts w:ascii="彩虹粗仿宋" w:eastAsia="彩虹粗仿宋" w:hAnsi="宋体" w:cs="Arial" w:hint="eastAsia"/>
          <w:sz w:val="24"/>
        </w:rPr>
        <w:t>之后发送的，基金托管人尽力执行，但不能保证划账成功。如果要求当天某一时点到账的指令，则指令需要提前</w:t>
      </w:r>
      <w:r>
        <w:rPr>
          <w:rFonts w:ascii="彩虹粗仿宋" w:eastAsia="彩虹粗仿宋" w:hAnsi="宋体" w:cs="Arial" w:hint="eastAsia"/>
          <w:sz w:val="24"/>
        </w:rPr>
        <w:t xml:space="preserve"> 2 </w:t>
      </w:r>
      <w:r>
        <w:rPr>
          <w:rFonts w:ascii="彩虹粗仿宋" w:eastAsia="彩虹粗仿宋" w:hAnsi="宋体" w:cs="Arial" w:hint="eastAsia"/>
          <w:sz w:val="24"/>
        </w:rPr>
        <w:t>个工作小时发送，并相关付款条件已经具备。基金托管人将视付款条件具备时为指令送达时间。</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新股申购网下发行业务，基金管理人应在网下申购缴款日（</w:t>
      </w:r>
      <w:r>
        <w:rPr>
          <w:rFonts w:ascii="彩虹粗仿宋" w:eastAsia="彩虹粗仿宋" w:hAnsi="宋体" w:cs="Arial" w:hint="eastAsia"/>
          <w:sz w:val="24"/>
        </w:rPr>
        <w:t xml:space="preserve">T </w:t>
      </w:r>
      <w:r>
        <w:rPr>
          <w:rFonts w:ascii="彩虹粗仿宋" w:eastAsia="彩虹粗仿宋" w:hAnsi="宋体" w:cs="Arial" w:hint="eastAsia"/>
          <w:sz w:val="24"/>
        </w:rPr>
        <w:t>日）的前一工作</w:t>
      </w:r>
      <w:r>
        <w:rPr>
          <w:rFonts w:ascii="彩虹粗仿宋" w:eastAsia="彩虹粗仿宋" w:hAnsi="宋体" w:cs="Arial" w:hint="eastAsia"/>
          <w:sz w:val="24"/>
        </w:rPr>
        <w:lastRenderedPageBreak/>
        <w:t>日下班前将指令发送给基金托管人，指令发送时间最迟不应晚于</w:t>
      </w:r>
      <w:r>
        <w:rPr>
          <w:rFonts w:ascii="彩虹粗仿宋" w:eastAsia="彩虹粗仿宋" w:hAnsi="宋体" w:cs="Arial" w:hint="eastAsia"/>
          <w:sz w:val="24"/>
        </w:rPr>
        <w:t xml:space="preserve"> T </w:t>
      </w:r>
      <w:r>
        <w:rPr>
          <w:rFonts w:ascii="彩虹粗仿宋" w:eastAsia="彩虹粗仿宋" w:hAnsi="宋体" w:cs="Arial" w:hint="eastAsia"/>
          <w:sz w:val="24"/>
        </w:rPr>
        <w:t>日上午</w:t>
      </w:r>
      <w:r>
        <w:rPr>
          <w:rFonts w:ascii="彩虹粗仿宋" w:eastAsia="彩虹粗仿宋" w:hAnsi="宋体" w:cs="Arial" w:hint="eastAsia"/>
          <w:sz w:val="24"/>
        </w:rPr>
        <w:t xml:space="preserve"> 10:00</w:t>
      </w:r>
      <w:r>
        <w:rPr>
          <w:rFonts w:ascii="彩虹粗仿宋" w:eastAsia="彩虹粗仿宋" w:hAnsi="宋体" w:cs="Arial" w:hint="eastAsia"/>
          <w:sz w:val="24"/>
        </w:rPr>
        <w:t>。基金托管人对基金管理人符合法律法规、《基金合同》、本协议的指令不得拖延或拒绝执行。</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（四）基金管理人发送错误指令的情形和处理程序</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w:t>
      </w:r>
      <w:r>
        <w:rPr>
          <w:rFonts w:ascii="彩虹粗仿宋" w:eastAsia="彩虹粗仿宋" w:hAnsi="宋体" w:cs="Arial" w:hint="eastAsia"/>
          <w:sz w:val="24"/>
        </w:rPr>
        <w:t>金管理人发送错误指令的情形包括指令违反法律法规和《基金合同》，指令发送人员无权或超越权限发送指令。</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基金托管人在履行监督职能时，发现基金管理人的指令错误时，有权拒绝执行，并及时通知基金管理人改正。如需撤销指令，基金管理人应出具书面说明，并加盖业务用章。</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（五）基金托管人依照法律法规暂缓、拒绝执行指令的情形和处理程序</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若基金托管人发现基金管理人的指令违反法律法规，或者违反《基金合同》约定的，</w:t>
      </w:r>
      <w:r>
        <w:rPr>
          <w:rFonts w:ascii="彩虹粗仿宋" w:eastAsia="彩虹粗仿宋" w:hAnsi="宋体" w:cs="Arial" w:hint="eastAsia"/>
          <w:sz w:val="24"/>
        </w:rPr>
        <w:t xml:space="preserve"> </w:t>
      </w:r>
      <w:r>
        <w:rPr>
          <w:rFonts w:ascii="彩虹粗仿宋" w:eastAsia="彩虹粗仿宋" w:hAnsi="宋体" w:cs="Arial" w:hint="eastAsia"/>
          <w:sz w:val="24"/>
        </w:rPr>
        <w:t>应当拒绝执行，立即通知基金管理人。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（六）基金托管人未按照基金管理人指令执行的处理方法</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基金托管人由于过错，未按照基金管理人发送的指令执行并对基金财产或投资人造成的直接损失，由基金托管人赔偿由此造成的直接损失。</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（七）更换被授权人的程序</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基金管理人更换被授权人、更改或终止对被授权人的授权，</w:t>
      </w:r>
      <w:r>
        <w:rPr>
          <w:rFonts w:ascii="彩虹粗仿宋" w:eastAsia="彩虹粗仿宋" w:hAnsi="宋体" w:cs="Arial" w:hint="eastAsia"/>
          <w:sz w:val="24"/>
        </w:rPr>
        <w:t xml:space="preserve"> </w:t>
      </w:r>
      <w:r>
        <w:rPr>
          <w:rFonts w:ascii="彩虹粗仿宋" w:eastAsia="彩虹粗仿宋" w:hAnsi="宋体" w:cs="Arial" w:hint="eastAsia"/>
          <w:sz w:val="24"/>
        </w:rPr>
        <w:t>应立即将新的授权文件以</w:t>
      </w:r>
      <w:r>
        <w:rPr>
          <w:rFonts w:ascii="彩虹粗仿宋" w:eastAsia="彩虹粗仿宋" w:hAnsi="宋体" w:cs="Arial" w:hint="eastAsia"/>
          <w:sz w:val="24"/>
        </w:rPr>
        <w:t>邮件、</w:t>
      </w:r>
      <w:r>
        <w:rPr>
          <w:rFonts w:ascii="彩虹粗仿宋" w:eastAsia="彩虹粗仿宋" w:hAnsi="宋体" w:cs="Arial" w:hint="eastAsia"/>
          <w:sz w:val="24"/>
        </w:rPr>
        <w:t>传真方式或者双方认可的其他方式通知基金托管人，并经电话确认后生效，原授权文件同时废止。新的授权文件在邮箱、传真或双方认可的其他方式发出后七个工作日内送达文件正本。新的授权文件生效之后，</w:t>
      </w:r>
      <w:r>
        <w:rPr>
          <w:rFonts w:ascii="彩虹粗仿宋" w:eastAsia="彩虹粗仿宋" w:hAnsi="宋体" w:cs="Arial" w:hint="eastAsia"/>
          <w:sz w:val="24"/>
        </w:rPr>
        <w:t xml:space="preserve"> </w:t>
      </w:r>
      <w:r>
        <w:rPr>
          <w:rFonts w:ascii="彩虹粗仿宋" w:eastAsia="彩虹粗仿宋" w:hAnsi="宋体" w:cs="Arial" w:hint="eastAsia"/>
          <w:sz w:val="24"/>
        </w:rPr>
        <w:t>正本送达之前，基金托管人按照新的授权文件传真件内容执行有关业务，如果新的授权文件正本与传真件内</w:t>
      </w:r>
      <w:r>
        <w:rPr>
          <w:rFonts w:ascii="彩虹粗仿宋" w:eastAsia="彩虹粗仿宋" w:hAnsi="宋体" w:cs="Arial" w:hint="eastAsia"/>
          <w:sz w:val="24"/>
        </w:rPr>
        <w:t>容不同，由此产生的责任由基金管理人承担。基金托管人更换接收基金管理人指令的人员，应提前通过以双方认可的方式通知基金管理人。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（八）其他事项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基金托管人在接收指令时，应对指令的要素是否齐全、印鉴和被授权人是否与</w:t>
      </w:r>
      <w:r>
        <w:rPr>
          <w:rFonts w:ascii="彩虹粗仿宋" w:eastAsia="彩虹粗仿宋" w:hAnsi="宋体" w:cs="Arial" w:hint="eastAsia"/>
          <w:sz w:val="24"/>
        </w:rPr>
        <w:lastRenderedPageBreak/>
        <w:t>预留的授权文件内容相符进行表面一致性检查，如发现问题，应及时报告基金管理人，基金托管人对执行基金管理人的合法指令对基金财产造成的损失不承担赔偿责任。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基金参与认购未上市债券时，基金管理人应代表本基金与对手方签署相关合同或协议，明确约定债券过户具体事宜。否则，基金管理人需对所认购债券的过户事宜承担相应责任</w:t>
      </w:r>
      <w:r>
        <w:rPr>
          <w:rFonts w:ascii="彩虹粗仿宋" w:eastAsia="彩虹粗仿宋" w:hAnsi="宋体" w:cs="Arial" w:hint="eastAsia"/>
          <w:sz w:val="24"/>
        </w:rPr>
        <w:t>。</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68" w:name="_Toc84133788"/>
      <w:bookmarkStart w:id="69" w:name="_Toc86223245"/>
      <w:bookmarkStart w:id="70" w:name="_Toc86726442"/>
      <w:bookmarkStart w:id="71" w:name="_Toc86204791"/>
      <w:bookmarkStart w:id="72" w:name="_Toc124325891"/>
      <w:bookmarkStart w:id="73" w:name="_Toc118774806"/>
      <w:bookmarkStart w:id="74" w:name="_Toc86649725"/>
      <w:bookmarkStart w:id="75" w:name="_Toc119402713"/>
      <w:bookmarkStart w:id="76" w:name="_Toc84234437"/>
      <w:bookmarkStart w:id="77" w:name="_Toc89163371"/>
      <w:bookmarkStart w:id="78" w:name="_Toc110761799"/>
      <w:bookmarkStart w:id="79" w:name="_Toc120435786"/>
      <w:bookmarkStart w:id="80" w:name="_Toc118212953"/>
      <w:bookmarkStart w:id="81" w:name="_Toc86727358"/>
      <w:bookmarkStart w:id="82" w:name="_Toc118972651"/>
      <w:bookmarkStart w:id="83" w:name="_Toc86225294"/>
      <w:bookmarkStart w:id="84" w:name="_Toc86737932"/>
      <w:bookmarkStart w:id="85" w:name="_Toc110765663"/>
      <w:bookmarkStart w:id="86" w:name="_Toc84234390"/>
      <w:bookmarkStart w:id="87" w:name="_Toc110830495"/>
      <w:bookmarkStart w:id="88" w:name="_Toc108512361"/>
      <w:r>
        <w:rPr>
          <w:rFonts w:ascii="彩虹粗仿宋" w:eastAsia="彩虹粗仿宋" w:hint="eastAsia"/>
          <w:sz w:val="30"/>
        </w:rPr>
        <w:t>七、交易及清算交收安排</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（一）基金管理人负责选择代理本基金证券买卖的证券经纪机构。</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选择代理证券买卖的证券经纪机构的程序</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制定选择代理证券买卖的证券经纪机构的标准和程序。基金管理人根据相关标准进行考察后确定证券经纪机构的选择。基金管理人应代表基金与被选择的证券经纪机构签订证券经纪合同或其他约定的形式。基金管理人、基金托管人和证券经纪机构可就本基金参与证券交易的具体事项另行签订协议，明确三方在本基金参与场内证券买卖中的各类证券交易、证券交收及相关资金交收过程中的职责和义务。基金管理人应及</w:t>
      </w:r>
      <w:r>
        <w:rPr>
          <w:rFonts w:ascii="彩虹粗仿宋" w:eastAsia="彩虹粗仿宋" w:hAnsi="宋体" w:cs="Arial" w:hint="eastAsia"/>
          <w:sz w:val="24"/>
        </w:rPr>
        <w:t>时将基金佣金费率等基本信息以及变更情况以书面形式通知基金托管人，并在法定信息披露公告中披露相关内容。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（二）基金清算交收</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本基金通过证券经纪机构进行的交易所场内交易由证券经纪机构作为结算参与人代理本基金进行结算，并承担由证券经纪机构原因造成的正常结算、交收业务无法完成的责任。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基金托管人以及被选择的证券经纪机构应根据有关法律法规及相关业务规则，签订证券经纪服务协议，用以具体明确三方在证券交易资金结算业务中的责任。证券经纪机构代理本基金财产与中国证券登记结算有限责任公司完成证券交易及非交易涉及</w:t>
      </w:r>
      <w:r>
        <w:rPr>
          <w:rFonts w:ascii="彩虹粗仿宋" w:eastAsia="彩虹粗仿宋" w:hAnsi="宋体" w:cs="Arial" w:hint="eastAsia"/>
          <w:sz w:val="24"/>
        </w:rPr>
        <w:t>的证券资金结算业务，并承担由证券经纪机构原因造成</w:t>
      </w:r>
      <w:r>
        <w:rPr>
          <w:rFonts w:ascii="彩虹粗仿宋" w:eastAsia="彩虹粗仿宋" w:hAnsi="宋体" w:cs="Arial" w:hint="eastAsia"/>
          <w:sz w:val="24"/>
        </w:rPr>
        <w:lastRenderedPageBreak/>
        <w:t>的正常结算、交收业务无法完成的责任。本基金投资于证券发生的所有场外交易的资金清算交收，由基金托管人负责办理。对基金管理人的资金划拨指令，基金托管人在表面一致性检查后按托管协议约定在规定期限内执行不得不合理延误。如果因为基金管理人违反法律法规的规定进行证券投资或违反双方签订的协议造成基金投资清算困难和风险的，基金托管人发现后应立即通知基金管理人，由基金管理人负责解决，由此给基金造成的损失由基金管理人承担。场外资金对外投资划款由基金托管人凭基金管理人符合本托管协议</w:t>
      </w:r>
      <w:r>
        <w:rPr>
          <w:rFonts w:ascii="彩虹粗仿宋" w:eastAsia="彩虹粗仿宋" w:hAnsi="宋体" w:cs="Arial" w:hint="eastAsia"/>
          <w:sz w:val="24"/>
        </w:rPr>
        <w:t>约定的有效资金划拨指令进行资金划拨；场外投资本金及收益的划回，由基金管理人负责协调相关资金划拨回资金托管账户事宜。</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由于基金管理人或基金托管人原因导致基金资金透支、超买或超卖等情形的，由责任方承担相应的责任。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管理人应保证基金托管人在执行基金管理人发送的划款指令时，基金银行账户或资金交收账户上有充足的资金。基金的资金头寸不足时，基金托管人有权拒绝基金管理人发送的划款指令，并及时通知基金管理人，由此造成的损失，由基金管理人负责赔偿。基金管理人在发送划款指令时应充分考虑基金托管人的划款处理时间。对于</w:t>
      </w:r>
      <w:r>
        <w:rPr>
          <w:rFonts w:ascii="彩虹粗仿宋" w:eastAsia="彩虹粗仿宋" w:hAnsi="宋体" w:cs="Arial" w:hint="eastAsia"/>
          <w:sz w:val="24"/>
        </w:rPr>
        <w:t>要求当天到账的指令，应在当天</w:t>
      </w:r>
      <w:r>
        <w:rPr>
          <w:rFonts w:ascii="彩虹粗仿宋" w:eastAsia="彩虹粗仿宋" w:hAnsi="宋体" w:cs="Arial" w:hint="eastAsia"/>
          <w:sz w:val="24"/>
        </w:rPr>
        <w:t>15:00</w:t>
      </w:r>
      <w:r>
        <w:rPr>
          <w:rFonts w:ascii="彩虹粗仿宋" w:eastAsia="彩虹粗仿宋" w:hAnsi="宋体" w:cs="Arial" w:hint="eastAsia"/>
          <w:sz w:val="24"/>
        </w:rPr>
        <w:t>前发送；对于要求当天某一时点到账，则指令需提前</w:t>
      </w:r>
      <w:r>
        <w:rPr>
          <w:rFonts w:ascii="彩虹粗仿宋" w:eastAsia="彩虹粗仿宋" w:hAnsi="宋体" w:cs="Arial" w:hint="eastAsia"/>
          <w:sz w:val="24"/>
        </w:rPr>
        <w:t>2</w:t>
      </w:r>
      <w:r>
        <w:rPr>
          <w:rFonts w:ascii="彩虹粗仿宋" w:eastAsia="彩虹粗仿宋" w:hAnsi="宋体" w:cs="Arial" w:hint="eastAsia"/>
          <w:sz w:val="24"/>
        </w:rPr>
        <w:t>个工作小时发送，并保证相关付款条件已经具备。</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（三）资金、证券账目和交易记录核对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基金管理人和基金托管人应对本基金的资金、证券账目及交易记录按日进行核对，确保双方账目相符。若基金管理人与基金托管人核对不一致，双方应积极查找原因并纠正。</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（四）申购、赎回和基金转换的资金清算</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1.T</w:t>
      </w:r>
      <w:r>
        <w:rPr>
          <w:rFonts w:ascii="彩虹粗仿宋" w:eastAsia="彩虹粗仿宋" w:hAnsi="宋体" w:cs="Arial" w:hint="eastAsia"/>
          <w:sz w:val="24"/>
        </w:rPr>
        <w:t>日，投资者进行基金申购、赎回和转换申请，基金管理人和基金托管人分别计算基金资产净值，并进行核对；基金管理人将双方确认的或基金管理人决定采用的各类基</w:t>
      </w:r>
      <w:r>
        <w:rPr>
          <w:rFonts w:ascii="彩虹粗仿宋" w:eastAsia="彩虹粗仿宋" w:hAnsi="宋体" w:cs="Arial" w:hint="eastAsia"/>
          <w:sz w:val="24"/>
        </w:rPr>
        <w:t>金份额净值以基金份额净值公告的形式发送至相关信息披露媒介。</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2.T+3</w:t>
      </w:r>
      <w:r>
        <w:rPr>
          <w:rFonts w:ascii="彩虹粗仿宋" w:eastAsia="彩虹粗仿宋" w:hAnsi="宋体" w:cs="Arial" w:hint="eastAsia"/>
          <w:sz w:val="24"/>
        </w:rPr>
        <w:t>日，</w:t>
      </w:r>
      <w:r>
        <w:rPr>
          <w:rFonts w:ascii="彩虹粗仿宋" w:eastAsia="彩虹粗仿宋" w:hAnsi="宋体" w:cs="Arial" w:hint="eastAsia"/>
          <w:sz w:val="24"/>
        </w:rPr>
        <w:t xml:space="preserve"> </w:t>
      </w:r>
      <w:r>
        <w:rPr>
          <w:rFonts w:ascii="彩虹粗仿宋" w:eastAsia="彩虹粗仿宋" w:hAnsi="宋体" w:cs="Arial" w:hint="eastAsia"/>
          <w:sz w:val="24"/>
        </w:rPr>
        <w:t>登记机构根据</w:t>
      </w:r>
      <w:r>
        <w:rPr>
          <w:rFonts w:ascii="彩虹粗仿宋" w:eastAsia="彩虹粗仿宋" w:hAnsi="宋体" w:cs="Arial" w:hint="eastAsia"/>
          <w:sz w:val="24"/>
        </w:rPr>
        <w:t>T</w:t>
      </w:r>
      <w:r>
        <w:rPr>
          <w:rFonts w:ascii="彩虹粗仿宋" w:eastAsia="彩虹粗仿宋" w:hAnsi="宋体" w:cs="Arial" w:hint="eastAsia"/>
          <w:sz w:val="24"/>
        </w:rPr>
        <w:t>日各类基金份额净值计算申购份额、赎回金额及转换份额，更新基金份额持有人数据库；并将确认的申购、赎回及转换数据向基金</w:t>
      </w:r>
      <w:r>
        <w:rPr>
          <w:rFonts w:ascii="彩虹粗仿宋" w:eastAsia="彩虹粗仿宋" w:hAnsi="宋体" w:cs="Arial" w:hint="eastAsia"/>
          <w:sz w:val="24"/>
        </w:rPr>
        <w:lastRenderedPageBreak/>
        <w:t>托管人、基金管理人传送。基金管理人、基金托管人根据确认数据进行账务处理。</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资金托管账户与“基金清算账户”间的资金清算遵循“全额清算、净额交收”的原则，即按照托管账户当日应收资金（包括申购资金及基金转换转入款）与托管账户应付额（含赎回资金、基金转换转出款）的差额来确定托管账户净应收额或净应付额，以此确定资</w:t>
      </w:r>
      <w:r>
        <w:rPr>
          <w:rFonts w:ascii="彩虹粗仿宋" w:eastAsia="彩虹粗仿宋" w:hAnsi="宋体" w:cs="Arial" w:hint="eastAsia"/>
          <w:sz w:val="24"/>
        </w:rPr>
        <w:t>金交收额。当存在托管账户净应收额时，基金管理人负责将托管账户净应收额在交收日</w:t>
      </w:r>
      <w:r>
        <w:rPr>
          <w:rFonts w:ascii="彩虹粗仿宋" w:eastAsia="彩虹粗仿宋" w:hAnsi="宋体" w:cs="Arial" w:hint="eastAsia"/>
          <w:sz w:val="24"/>
        </w:rPr>
        <w:t>15:00</w:t>
      </w:r>
      <w:r>
        <w:rPr>
          <w:rFonts w:ascii="彩虹粗仿宋" w:eastAsia="彩虹粗仿宋" w:hAnsi="宋体" w:cs="Arial" w:hint="eastAsia"/>
          <w:sz w:val="24"/>
        </w:rPr>
        <w:t>前从“基金清算账户”划到资金托管账户；当存在托管账户净应付额时，基金托管人按管理人的划款指令将托管账户净应付额在交收日</w:t>
      </w:r>
      <w:r>
        <w:rPr>
          <w:rFonts w:ascii="彩虹粗仿宋" w:eastAsia="彩虹粗仿宋" w:hAnsi="宋体" w:cs="Arial" w:hint="eastAsia"/>
          <w:sz w:val="24"/>
        </w:rPr>
        <w:t>12:00</w:t>
      </w:r>
      <w:r>
        <w:rPr>
          <w:rFonts w:ascii="彩虹粗仿宋" w:eastAsia="彩虹粗仿宋" w:hAnsi="宋体" w:cs="Arial" w:hint="eastAsia"/>
          <w:sz w:val="24"/>
        </w:rPr>
        <w:t>前划到“基金清算账户”。</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因基金管理人原因，未能按上款约定将托管账户净应收额全额、及时汇至资金托管账户，由此产生的责任应由基金管理人承担</w:t>
      </w:r>
      <w:r>
        <w:rPr>
          <w:rFonts w:ascii="彩虹粗仿宋" w:eastAsia="彩虹粗仿宋" w:hAnsi="宋体" w:cs="Arial" w:hint="eastAsia"/>
          <w:sz w:val="24"/>
        </w:rPr>
        <w:t>(</w:t>
      </w:r>
      <w:r>
        <w:rPr>
          <w:rFonts w:ascii="彩虹粗仿宋" w:eastAsia="彩虹粗仿宋" w:hAnsi="宋体" w:cs="Arial" w:hint="eastAsia"/>
          <w:sz w:val="24"/>
        </w:rPr>
        <w:t>不可抗力或基金管理人无过错的情况除外</w:t>
      </w:r>
      <w:r>
        <w:rPr>
          <w:rFonts w:ascii="彩虹粗仿宋" w:eastAsia="彩虹粗仿宋" w:hAnsi="宋体" w:cs="Arial" w:hint="eastAsia"/>
          <w:sz w:val="24"/>
        </w:rPr>
        <w:t>)</w:t>
      </w:r>
      <w:r>
        <w:rPr>
          <w:rFonts w:ascii="彩虹粗仿宋" w:eastAsia="彩虹粗仿宋" w:hAnsi="宋体" w:cs="Arial" w:hint="eastAsia"/>
          <w:sz w:val="24"/>
        </w:rPr>
        <w:t>；基金托管人未能按上款约定将托管账户净应付额全额、及时汇至“基金清算账户”，由此产生的责任应由基金托管人承担</w:t>
      </w:r>
      <w:r>
        <w:rPr>
          <w:rFonts w:ascii="彩虹粗仿宋" w:eastAsia="彩虹粗仿宋" w:hAnsi="宋体" w:cs="Arial" w:hint="eastAsia"/>
          <w:sz w:val="24"/>
        </w:rPr>
        <w:t>(</w:t>
      </w:r>
      <w:r>
        <w:rPr>
          <w:rFonts w:ascii="彩虹粗仿宋" w:eastAsia="彩虹粗仿宋" w:hAnsi="宋体" w:cs="Arial" w:hint="eastAsia"/>
          <w:sz w:val="24"/>
        </w:rPr>
        <w:t>不可抗力或基金托管人无过错的情况除外</w:t>
      </w:r>
      <w:r>
        <w:rPr>
          <w:rFonts w:ascii="彩虹粗仿宋" w:eastAsia="彩虹粗仿宋" w:hAnsi="宋体" w:cs="Arial" w:hint="eastAsia"/>
          <w:sz w:val="24"/>
        </w:rPr>
        <w:t>)</w:t>
      </w:r>
      <w:r>
        <w:rPr>
          <w:rFonts w:ascii="彩虹粗仿宋" w:eastAsia="彩虹粗仿宋" w:hAnsi="宋体" w:cs="Arial" w:hint="eastAsia"/>
          <w:sz w:val="24"/>
        </w:rPr>
        <w:t>。</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5.</w:t>
      </w:r>
      <w:r>
        <w:rPr>
          <w:rFonts w:ascii="彩虹粗仿宋" w:eastAsia="彩虹粗仿宋" w:hAnsi="宋体" w:cs="Arial" w:hint="eastAsia"/>
          <w:sz w:val="24"/>
        </w:rPr>
        <w:t>基金管理人应将每个开放日的申购、赎回、转换开放式基金的数据传送给基金托管人。基金管理人应对传递的申购、赎回、转换开放式基金的数据真实性负责。基金托管人应及时查收申购资金的到账情况并根据基金管理人指令及时</w:t>
      </w:r>
      <w:r>
        <w:rPr>
          <w:rFonts w:ascii="彩虹粗仿宋" w:eastAsia="彩虹粗仿宋" w:hAnsi="宋体" w:cs="Arial" w:hint="eastAsia"/>
          <w:sz w:val="24"/>
        </w:rPr>
        <w:t>划付赎回款项。</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（五）港股通交易</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本基金的港股通交易应遵守相关法律法规及业务规则，股票投资比例合计应当符合法律法规和基金合同的约定，并充分揭示风险。</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基金管理人声明和承诺</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）基金管理人承诺其是依照中国内地法律设立且有效存续的法人机构，具备从事港股通业务的资质；</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）基金管理人承诺托管资产具有合法的港股通交易资格，不存在相关法律、行政法规、部门规章、规范性文件以及业务规则等规定的禁止、限制或不适于参与港股通交易的情形；</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hint="eastAsia"/>
          <w:sz w:val="24"/>
        </w:rPr>
        <w:t>3</w:t>
      </w:r>
      <w:r>
        <w:rPr>
          <w:rFonts w:ascii="彩虹粗仿宋" w:eastAsia="彩虹粗仿宋" w:hAnsi="宋体" w:cs="Arial" w:hint="eastAsia"/>
          <w:sz w:val="24"/>
        </w:rPr>
        <w:t>）基金管理人保证其提供的所有证件、资料均真实、准确、完整、合法、有效，且用于港股通交易的资金来源合法，并保证遵守国家反洗钱的相关规定；</w:t>
      </w:r>
      <w:r>
        <w:rPr>
          <w:rFonts w:ascii="彩虹粗仿宋" w:eastAsia="彩虹粗仿宋" w:hAnsi="宋体" w:cs="Arial" w:hint="eastAsia"/>
          <w:sz w:val="24"/>
        </w:rPr>
        <w:t xml:space="preserve"> </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基金管理人承诺遵守港股通交易的中国内地与香港地区法律、行政法规、部门规章、规范性文件、业务规则等相关规定，并承诺按照基金托管人的相关业务流程办理业务；基金管理人应准确理解港股通交易的业务规则，包括不限于交收规则、投资额度、汇兑安排、交易日、风险管理要求、延迟交收等，由于基金管理人对港股通业务规则理解错误而导致的交收失败及其他损害基金份额持有人合法权益的行为，基金</w:t>
      </w:r>
      <w:r>
        <w:rPr>
          <w:rFonts w:ascii="彩虹粗仿宋" w:eastAsia="彩虹粗仿宋" w:hAnsi="宋体" w:cs="Arial" w:hint="eastAsia"/>
          <w:sz w:val="24"/>
        </w:rPr>
        <w:t>管理人自行承担相应赔偿责任，基金托管人不承担相应责任；</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5</w:t>
      </w:r>
      <w:r>
        <w:rPr>
          <w:rFonts w:ascii="彩虹粗仿宋" w:eastAsia="彩虹粗仿宋" w:hAnsi="宋体" w:cs="Arial" w:hint="eastAsia"/>
          <w:sz w:val="24"/>
        </w:rPr>
        <w:t>）基金管理人承诺，同意由中国证券登记结算有限责任公司（以下简称“中国结算”）以自己的名义持有通过港股通取得的证券；基金管理人已清楚认识并愿意承担从事港股通交易的相关风险，特别是其中有关基金托管人的免责条款。</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账户开立</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基金管理人在参与港股通交易前，应先依照法律法规、相关业务规则委托基金托管人代为在中国结算开立人民币普通股票（</w:t>
      </w:r>
      <w:r>
        <w:rPr>
          <w:rFonts w:ascii="彩虹粗仿宋" w:eastAsia="彩虹粗仿宋" w:hAnsi="宋体" w:cs="Arial" w:hint="eastAsia"/>
          <w:sz w:val="24"/>
        </w:rPr>
        <w:t>A</w:t>
      </w:r>
      <w:r>
        <w:rPr>
          <w:rFonts w:ascii="彩虹粗仿宋" w:eastAsia="彩虹粗仿宋" w:hAnsi="宋体" w:cs="Arial" w:hint="eastAsia"/>
          <w:sz w:val="24"/>
        </w:rPr>
        <w:t>股）证券账户及资金账户用于证券交易、清算交收和计付利息等。基金管理人已经开立人民币普通股票（</w:t>
      </w:r>
      <w:r>
        <w:rPr>
          <w:rFonts w:ascii="彩虹粗仿宋" w:eastAsia="彩虹粗仿宋" w:hAnsi="宋体" w:cs="Arial" w:hint="eastAsia"/>
          <w:sz w:val="24"/>
        </w:rPr>
        <w:t>A</w:t>
      </w:r>
      <w:r>
        <w:rPr>
          <w:rFonts w:ascii="彩虹粗仿宋" w:eastAsia="彩虹粗仿宋" w:hAnsi="宋体" w:cs="Arial" w:hint="eastAsia"/>
          <w:sz w:val="24"/>
        </w:rPr>
        <w:t>股）证券账户及资金账户，可</w:t>
      </w:r>
      <w:r>
        <w:rPr>
          <w:rFonts w:ascii="彩虹粗仿宋" w:eastAsia="彩虹粗仿宋" w:hAnsi="宋体" w:cs="Arial" w:hint="eastAsia"/>
          <w:sz w:val="24"/>
        </w:rPr>
        <w:t>使用上述现有账户进行港股通交易。</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通过港股通购买的证券记录在中国结算在香港中央结算有限公司（以下简称“香港结算”）开立的证券账户，并由中国结算存管。基金管理人以中国结算名义持有的证券，以香港中央结算（代理人）有限公司的名义登记于香港联合交易所有限公司上市公司的股东名册。基金管理人不能要求存入或提取纸面股票，中国证监会另有规定的除外。</w:t>
      </w:r>
    </w:p>
    <w:p w:rsidR="003F2F5E" w:rsidRDefault="00DD591D">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港股通交易及清算交收安排</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中国结算按照香港结算的业务规则，与香港结算完成港股通交易的证券和资金的交收。港股通交易的境内结算由基金管理人选定的证券经纪机构作为结算参</w:t>
      </w:r>
      <w:r>
        <w:rPr>
          <w:rFonts w:ascii="彩虹粗仿宋" w:eastAsia="彩虹粗仿宋" w:hAnsi="宋体" w:cs="Arial" w:hint="eastAsia"/>
          <w:sz w:val="24"/>
        </w:rPr>
        <w:t>与人与中国结算根据相关业务规则完成。</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89" w:name="_Toc124325892"/>
      <w:bookmarkStart w:id="90" w:name="_Hlk193011797"/>
      <w:r>
        <w:rPr>
          <w:rFonts w:ascii="彩虹粗仿宋" w:eastAsia="彩虹粗仿宋" w:hint="eastAsia"/>
          <w:sz w:val="30"/>
        </w:rPr>
        <w:lastRenderedPageBreak/>
        <w:t>八、基金资产净值计算和会计核算</w:t>
      </w:r>
      <w:bookmarkEnd w:id="89"/>
    </w:p>
    <w:p w:rsidR="003F2F5E" w:rsidRDefault="00DD591D">
      <w:pPr>
        <w:adjustRightInd w:val="0"/>
        <w:snapToGrid w:val="0"/>
        <w:ind w:firstLineChars="200" w:firstLine="480"/>
        <w:rPr>
          <w:rFonts w:ascii="彩虹粗仿宋" w:eastAsia="彩虹粗仿宋" w:hAnsi="宋体" w:cs="Arial"/>
          <w:sz w:val="24"/>
        </w:rPr>
      </w:pPr>
      <w:bookmarkStart w:id="91" w:name="_Hlk233747017"/>
      <w:r>
        <w:rPr>
          <w:rFonts w:ascii="彩虹粗仿宋" w:eastAsia="彩虹粗仿宋" w:hAnsi="宋体" w:cs="Arial" w:hint="eastAsia"/>
          <w:sz w:val="24"/>
        </w:rPr>
        <w:t>（一）基金资产净值的计算、复核与完成的时间及程序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、基金资产净值是指基金资产总值减去基金负债后的价值。各类基金份额净值是按照估值日各类基金份额的基金资产净值除以估值日该类基金份额的余额数量计算，精确到</w:t>
      </w:r>
      <w:r>
        <w:rPr>
          <w:rFonts w:ascii="彩虹粗仿宋" w:eastAsia="彩虹粗仿宋" w:hAnsi="宋体" w:cs="Arial" w:hint="eastAsia"/>
          <w:sz w:val="24"/>
        </w:rPr>
        <w:t>0.0001</w:t>
      </w:r>
      <w:r>
        <w:rPr>
          <w:rFonts w:ascii="彩虹粗仿宋" w:eastAsia="彩虹粗仿宋" w:hAnsi="宋体" w:cs="Arial" w:hint="eastAsia"/>
          <w:sz w:val="24"/>
        </w:rPr>
        <w:t>元，小数点后第</w:t>
      </w:r>
      <w:r>
        <w:rPr>
          <w:rFonts w:ascii="彩虹粗仿宋" w:eastAsia="彩虹粗仿宋" w:hAnsi="宋体" w:cs="Arial" w:hint="eastAsia"/>
          <w:sz w:val="24"/>
        </w:rPr>
        <w:t>5</w:t>
      </w:r>
      <w:r>
        <w:rPr>
          <w:rFonts w:ascii="彩虹粗仿宋" w:eastAsia="彩虹粗仿宋" w:hAnsi="宋体" w:cs="Arial" w:hint="eastAsia"/>
          <w:sz w:val="24"/>
        </w:rPr>
        <w:t>位四舍五入。基金管理人可以设立大额赎回情形下的净值精度应急调整机制。国家另有规定的，从其规定。</w:t>
      </w:r>
      <w:r>
        <w:rPr>
          <w:rFonts w:ascii="彩虹粗仿宋" w:eastAsia="彩虹粗仿宋" w:hAnsi="宋体" w:cs="Arial" w:hint="eastAsia"/>
          <w:sz w:val="24"/>
        </w:rPr>
        <w:t>T</w:t>
      </w:r>
      <w:r>
        <w:rPr>
          <w:rFonts w:ascii="彩虹粗仿宋" w:eastAsia="彩虹粗仿宋" w:hAnsi="宋体" w:cs="Arial" w:hint="eastAsia"/>
          <w:sz w:val="24"/>
        </w:rPr>
        <w:t>日的各类基金份额净值在所投资基金披露净值或万份收益的当日（法定节假日顺延至第一个交易日）计算，并于</w:t>
      </w:r>
      <w:r>
        <w:rPr>
          <w:rFonts w:ascii="彩虹粗仿宋" w:eastAsia="彩虹粗仿宋" w:hAnsi="宋体" w:cs="Arial" w:hint="eastAsia"/>
          <w:sz w:val="24"/>
        </w:rPr>
        <w:t>T+3</w:t>
      </w:r>
      <w:r>
        <w:rPr>
          <w:rFonts w:ascii="彩虹粗仿宋" w:eastAsia="彩虹粗仿宋" w:hAnsi="宋体" w:cs="Arial" w:hint="eastAsia"/>
          <w:sz w:val="24"/>
        </w:rPr>
        <w:t>日公告。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基金管理人应每个工作日计算基金资产净值及各类基金份额的基金份额净值，按规定披露。</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、基金管理人应每个估值日对基金资产估值，但基金管理人根据法律法规或基金合同的规定暂停估值时除外。基金管理人每个估值日对基金资产估值后，</w:t>
      </w:r>
      <w:r>
        <w:rPr>
          <w:rFonts w:ascii="彩虹粗仿宋" w:eastAsia="彩虹粗仿宋" w:hAnsi="宋体" w:cs="Arial" w:hint="eastAsia"/>
          <w:sz w:val="24"/>
        </w:rPr>
        <w:t xml:space="preserve"> </w:t>
      </w:r>
      <w:r>
        <w:rPr>
          <w:rFonts w:ascii="彩虹粗仿宋" w:eastAsia="彩虹粗仿宋" w:hAnsi="宋体" w:cs="Arial" w:hint="eastAsia"/>
          <w:sz w:val="24"/>
        </w:rPr>
        <w:t>将各类基金份额的基金份额净值结果发送基金托管人，经基金托管人复核无误后，由基金管理人按规定对外公布。基金托管人估值结果与基金管理人无法达成一致的，基金托管人应当及时提示基金管理人按照有关法律法规进行信息披露。</w:t>
      </w:r>
      <w:bookmarkEnd w:id="91"/>
    </w:p>
    <w:p w:rsidR="003F2F5E" w:rsidRDefault="00DD591D">
      <w:pPr>
        <w:ind w:firstLineChars="200" w:firstLine="480"/>
        <w:rPr>
          <w:rFonts w:ascii="彩虹粗仿宋" w:eastAsia="彩虹粗仿宋" w:hAnsi="宋体" w:cs="Arial"/>
          <w:sz w:val="24"/>
        </w:rPr>
      </w:pPr>
      <w:bookmarkStart w:id="92" w:name="_Hlk132725196"/>
      <w:r>
        <w:rPr>
          <w:rFonts w:ascii="彩虹粗仿宋" w:eastAsia="彩虹粗仿宋" w:hAnsi="宋体" w:cs="Arial" w:hint="eastAsia"/>
          <w:sz w:val="24"/>
        </w:rPr>
        <w:t>（二）基金资产估值方法和特殊情形的处理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估值对象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基金所拥有的股票、债券</w:t>
      </w:r>
      <w:r>
        <w:rPr>
          <w:rFonts w:ascii="彩虹粗仿宋" w:eastAsia="彩虹粗仿宋" w:hAnsi="宋体" w:cs="Arial" w:hint="eastAsia"/>
          <w:sz w:val="24"/>
        </w:rPr>
        <w:t>、基金</w:t>
      </w:r>
      <w:r>
        <w:rPr>
          <w:rFonts w:ascii="彩虹粗仿宋" w:eastAsia="彩虹粗仿宋" w:hAnsi="宋体" w:cs="Arial" w:hint="eastAsia"/>
          <w:sz w:val="24"/>
        </w:rPr>
        <w:t>份额、资产支持证券、银行存款本息</w:t>
      </w:r>
      <w:r>
        <w:rPr>
          <w:rFonts w:ascii="彩虹粗仿宋" w:eastAsia="彩虹粗仿宋" w:hAnsi="宋体" w:cs="Arial"/>
          <w:sz w:val="24"/>
        </w:rPr>
        <w:t>和其</w:t>
      </w:r>
      <w:r>
        <w:rPr>
          <w:rFonts w:ascii="彩虹粗仿宋" w:eastAsia="彩虹粗仿宋" w:hAnsi="宋体" w:cs="Arial" w:hint="eastAsia"/>
          <w:sz w:val="24"/>
        </w:rPr>
        <w:t>他</w:t>
      </w:r>
      <w:r>
        <w:rPr>
          <w:rFonts w:ascii="彩虹粗仿宋" w:eastAsia="彩虹粗仿宋" w:hAnsi="宋体" w:cs="Arial"/>
          <w:sz w:val="24"/>
        </w:rPr>
        <w:t>投资等</w:t>
      </w:r>
      <w:r>
        <w:rPr>
          <w:rFonts w:ascii="彩虹粗仿宋" w:eastAsia="彩虹粗仿宋" w:hAnsi="宋体" w:cs="Arial" w:hint="eastAsia"/>
          <w:sz w:val="24"/>
        </w:rPr>
        <w:t>持续以公允价值计量的金融</w:t>
      </w:r>
      <w:r>
        <w:rPr>
          <w:rFonts w:ascii="彩虹粗仿宋" w:eastAsia="彩虹粗仿宋" w:hAnsi="宋体" w:cs="Arial"/>
          <w:sz w:val="24"/>
        </w:rPr>
        <w:t>资产及负债。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估值方法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）以公允价值计量的权益品种的估值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交易所已上市的权益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w:t>
      </w:r>
      <w:r>
        <w:rPr>
          <w:rFonts w:ascii="彩虹粗仿宋" w:eastAsia="彩虹粗仿宋" w:hAnsi="宋体" w:cs="Arial" w:hint="eastAsia"/>
          <w:sz w:val="24"/>
        </w:rPr>
        <w:lastRenderedPageBreak/>
        <w:t>的，可参考类似投资品种的现行市价及重大变化因素，采用估值技术确定公允价格；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）交易所处于未上</w:t>
      </w:r>
      <w:r>
        <w:rPr>
          <w:rFonts w:ascii="彩虹粗仿宋" w:eastAsia="彩虹粗仿宋" w:hAnsi="宋体" w:cs="Arial" w:hint="eastAsia"/>
          <w:sz w:val="24"/>
        </w:rPr>
        <w:t>市期间的有价权益证券应区分如下情况处理：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①送股、转增股、配股和公开增发的新股，按估值日在证券交易所挂牌的同一股票的估值方法估值；该日无交易的，以最近一日的市价（收盘价）估值；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②首次公开发行未上市的股票，采用估值技术确定公允价值；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③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）以公允价值计量的固定收益品种的估值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）对于已上市或已挂牌转让的不含权固定收益品种，选取第三方估值基准服务机构提供的相应品种当日的估值全价，基金管理人应根据相关法律、法规的规定进行涉税处理（下同）。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）对于已上市或已挂牌转让的含权固定收益品种，选取第三方估值基准服务机构提供的相应品种当日的唯一估值全价或推荐估值全价。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对于含投资者回售权的固定收益品种，行使回售权的，在回售登记日至实际收款日期间选取第三方估值基准服务机构提供的相应品种的唯一估值全价或推荐估值全价。回售登记期截止日（含当日）后未行使回售</w:t>
      </w:r>
      <w:r>
        <w:rPr>
          <w:rFonts w:ascii="彩虹粗仿宋" w:eastAsia="彩虹粗仿宋" w:hAnsi="宋体" w:cs="Arial" w:hint="eastAsia"/>
          <w:sz w:val="24"/>
        </w:rPr>
        <w:t>权的按照长待偿期所对应的价格进行估值。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对于在交易所市场上市交易的公开发行的可转换债券等有活跃市场的含转股权的债券，实行全价交易的债券选取估值日收盘价作为估值全价；实行净价交易的债券选取估值日收盘价并加计每百元应计利息作为估值全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）对于未上市或未挂牌转让且不存在活跃市场的固定收益品种，应采用在当前情况下适用并且有足够可利用数据和其他信息支持的估值技术确定其公允价值。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w:t>
      </w:r>
      <w:r>
        <w:rPr>
          <w:rFonts w:ascii="彩虹粗仿宋" w:eastAsia="彩虹粗仿宋" w:hAnsi="宋体" w:cs="Arial" w:hint="eastAsia"/>
          <w:sz w:val="24"/>
        </w:rPr>
        <w:t>）对于发行人已破产、发行人未能按时足额偿付本金或利息，或者有其它可</w:t>
      </w:r>
      <w:r>
        <w:rPr>
          <w:rFonts w:ascii="彩虹粗仿宋" w:eastAsia="彩虹粗仿宋" w:hAnsi="宋体" w:cs="Arial" w:hint="eastAsia"/>
          <w:sz w:val="24"/>
        </w:rPr>
        <w:lastRenderedPageBreak/>
        <w:t>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w:t>
      </w:r>
      <w:r>
        <w:rPr>
          <w:rFonts w:ascii="彩虹粗仿宋" w:eastAsia="彩虹粗仿宋" w:hAnsi="宋体" w:cs="Arial" w:hint="eastAsia"/>
          <w:sz w:val="24"/>
        </w:rPr>
        <w:t>）当基金管理人认为第三方估值基准服务机构发布的估值或估值区间未能体现公允价值时，基金管理人应综合第三方估值基准服务机构估值结果以及内部评估结果，经与基金托管人协商，谨慎确定公允价值，</w:t>
      </w:r>
      <w:r>
        <w:rPr>
          <w:rFonts w:ascii="彩虹粗仿宋" w:eastAsia="彩虹粗仿宋" w:hAnsi="宋体" w:cs="Arial" w:hint="eastAsia"/>
          <w:sz w:val="24"/>
        </w:rPr>
        <w:t>并按相关法规的规定，发布相关公告，充分披露确定公允价值的方法、相关估值结果等信息。</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）同一证券同时在两个或两个以上市场交易的，按证券所处的市场分别估值。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4</w:t>
      </w:r>
      <w:r>
        <w:rPr>
          <w:rFonts w:ascii="彩虹粗仿宋" w:eastAsia="彩虹粗仿宋" w:hAnsi="宋体" w:cs="Arial" w:hint="eastAsia"/>
          <w:sz w:val="24"/>
        </w:rPr>
        <w:t>）基金估值方法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）本基金投资于非上市基金的估值。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①本基金投资的境内非货币市场基金，按所投资基金估值日的份额净值估值。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②本基金投资的境内货币市场基金，如其披露万份（百份）收益，按所投资基金前一估值日后至估值日期间（含节假日）的万份（百份）收益计提估值日基金收益；如所投资基金披露份额净值，则按所投资基金估值日的份额净值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）本</w:t>
      </w:r>
      <w:r>
        <w:rPr>
          <w:rFonts w:ascii="彩虹粗仿宋" w:eastAsia="彩虹粗仿宋" w:hAnsi="宋体" w:cs="Arial"/>
          <w:sz w:val="24"/>
        </w:rPr>
        <w:t>基金</w:t>
      </w:r>
      <w:r>
        <w:rPr>
          <w:rFonts w:ascii="彩虹粗仿宋" w:eastAsia="彩虹粗仿宋" w:hAnsi="宋体" w:cs="Arial" w:hint="eastAsia"/>
          <w:sz w:val="24"/>
        </w:rPr>
        <w:t>投资于交易</w:t>
      </w:r>
      <w:r>
        <w:rPr>
          <w:rFonts w:ascii="彩虹粗仿宋" w:eastAsia="彩虹粗仿宋" w:hAnsi="宋体" w:cs="Arial" w:hint="eastAsia"/>
          <w:sz w:val="24"/>
        </w:rPr>
        <w:t>所上市基金的估值。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①本基金投资的</w:t>
      </w:r>
      <w:r>
        <w:rPr>
          <w:rFonts w:ascii="彩虹粗仿宋" w:eastAsia="彩虹粗仿宋" w:hAnsi="宋体" w:cs="Arial"/>
          <w:sz w:val="24"/>
        </w:rPr>
        <w:t>ETF</w:t>
      </w:r>
      <w:r>
        <w:rPr>
          <w:rFonts w:ascii="彩虹粗仿宋" w:eastAsia="彩虹粗仿宋" w:hAnsi="宋体" w:cs="Arial" w:hint="eastAsia"/>
          <w:sz w:val="24"/>
        </w:rPr>
        <w:t>基金，按所投资</w:t>
      </w:r>
      <w:r>
        <w:rPr>
          <w:rFonts w:ascii="彩虹粗仿宋" w:eastAsia="彩虹粗仿宋" w:hAnsi="宋体" w:cs="Arial"/>
          <w:sz w:val="24"/>
        </w:rPr>
        <w:t>ETF</w:t>
      </w:r>
      <w:r>
        <w:rPr>
          <w:rFonts w:ascii="彩虹粗仿宋" w:eastAsia="彩虹粗仿宋" w:hAnsi="宋体" w:cs="Arial" w:hint="eastAsia"/>
          <w:sz w:val="24"/>
        </w:rPr>
        <w:t>基金估值日的收盘价估值。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②本基金投资的境内上市开放式基金（</w:t>
      </w:r>
      <w:r>
        <w:rPr>
          <w:rFonts w:ascii="彩虹粗仿宋" w:eastAsia="彩虹粗仿宋" w:hAnsi="宋体" w:cs="Arial"/>
          <w:sz w:val="24"/>
        </w:rPr>
        <w:t>LOF</w:t>
      </w:r>
      <w:r>
        <w:rPr>
          <w:rFonts w:ascii="彩虹粗仿宋" w:eastAsia="彩虹粗仿宋" w:hAnsi="宋体" w:cs="Arial" w:hint="eastAsia"/>
          <w:sz w:val="24"/>
        </w:rPr>
        <w:t>），按所投资基金估值日的份额净值估值。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③本基金投资的境内上市定期开放式基金、封闭式基金，按所投资基金估值日的收盘价估值。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④本基金投资的境内上市交易型货币市场基金，如所投资基金披露份额净值，则按所投资基金估值日的份额净值估值；如所投资基金披露万份（百份）收益，则按所投资基金前一估值日后至估值日期间（含节假日）的万份（百份）收益计提估</w:t>
      </w:r>
      <w:r>
        <w:rPr>
          <w:rFonts w:ascii="彩虹粗仿宋" w:eastAsia="彩虹粗仿宋" w:hAnsi="宋体" w:cs="Arial" w:hint="eastAsia"/>
          <w:sz w:val="24"/>
        </w:rPr>
        <w:lastRenderedPageBreak/>
        <w:t>值日基金收益。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）如遇所投资基金不公布基金份额净</w:t>
      </w:r>
      <w:r>
        <w:rPr>
          <w:rFonts w:ascii="彩虹粗仿宋" w:eastAsia="彩虹粗仿宋" w:hAnsi="宋体" w:cs="Arial" w:hint="eastAsia"/>
          <w:sz w:val="24"/>
        </w:rPr>
        <w:t>值、进行折算或拆分、估值日无交易等特殊情况，基金管理人根据</w:t>
      </w:r>
      <w:r>
        <w:rPr>
          <w:rFonts w:ascii="彩虹粗仿宋" w:eastAsia="彩虹粗仿宋" w:hAnsi="宋体" w:cs="Arial"/>
          <w:sz w:val="24"/>
        </w:rPr>
        <w:t>《</w:t>
      </w:r>
      <w:r>
        <w:rPr>
          <w:rFonts w:ascii="彩虹粗仿宋" w:eastAsia="彩虹粗仿宋" w:hAnsi="宋体" w:cs="Arial" w:hint="eastAsia"/>
          <w:sz w:val="24"/>
        </w:rPr>
        <w:t>基金中基金估值业务指引（试行）</w:t>
      </w:r>
      <w:r>
        <w:rPr>
          <w:rFonts w:ascii="彩虹粗仿宋" w:eastAsia="彩虹粗仿宋" w:hAnsi="宋体" w:cs="Arial"/>
          <w:sz w:val="24"/>
        </w:rPr>
        <w:t>》</w:t>
      </w:r>
      <w:r>
        <w:rPr>
          <w:rFonts w:ascii="彩虹粗仿宋" w:eastAsia="彩虹粗仿宋" w:hAnsi="宋体" w:cs="Arial" w:hint="eastAsia"/>
          <w:sz w:val="24"/>
        </w:rPr>
        <w:t>等相关法律法规以及监管部门、自律规则的</w:t>
      </w:r>
      <w:r>
        <w:rPr>
          <w:rFonts w:ascii="彩虹粗仿宋" w:eastAsia="彩虹粗仿宋" w:hAnsi="宋体" w:cs="Arial"/>
          <w:sz w:val="24"/>
        </w:rPr>
        <w:t>规定进行估值。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）当基金管理人认为所投资基金按上述第</w:t>
      </w:r>
      <w:r>
        <w:rPr>
          <w:rFonts w:ascii="彩虹粗仿宋" w:eastAsia="彩虹粗仿宋" w:hAnsi="宋体" w:cs="Arial" w:hint="eastAsia"/>
          <w:sz w:val="24"/>
        </w:rPr>
        <w:t>1</w:t>
      </w:r>
      <w:r>
        <w:rPr>
          <w:rFonts w:ascii="彩虹粗仿宋" w:eastAsia="彩虹粗仿宋" w:hAnsi="宋体" w:cs="Arial" w:hint="eastAsia"/>
          <w:sz w:val="24"/>
        </w:rPr>
        <w:t>）至第</w:t>
      </w:r>
      <w:r>
        <w:rPr>
          <w:rFonts w:ascii="彩虹粗仿宋" w:eastAsia="彩虹粗仿宋" w:hAnsi="宋体" w:cs="Arial" w:hint="eastAsia"/>
          <w:sz w:val="24"/>
        </w:rPr>
        <w:t>3</w:t>
      </w:r>
      <w:r>
        <w:rPr>
          <w:rFonts w:ascii="彩虹粗仿宋" w:eastAsia="彩虹粗仿宋" w:hAnsi="宋体" w:cs="Arial" w:hint="eastAsia"/>
          <w:sz w:val="24"/>
        </w:rPr>
        <w:t>）条进行估值存在不公允时，应与基金托管人协商一致采用合理的估值技术或估值标准确定其公允价值。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5</w:t>
      </w:r>
      <w:r>
        <w:rPr>
          <w:rFonts w:ascii="彩虹粗仿宋" w:eastAsia="彩虹粗仿宋" w:hAnsi="宋体" w:cs="Arial" w:hint="eastAsia"/>
          <w:sz w:val="24"/>
        </w:rPr>
        <w:t>）当基金发生大额申购或赎回情形时，基金管理人可以采用摆动定价机制，以确保基金估值的公平性。</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6</w:t>
      </w:r>
      <w:r>
        <w:rPr>
          <w:rFonts w:ascii="彩虹粗仿宋" w:eastAsia="彩虹粗仿宋" w:hAnsi="宋体" w:cs="Arial" w:hint="eastAsia"/>
          <w:sz w:val="24"/>
        </w:rPr>
        <w:t>）估值计算中涉及港币对人民币汇率的，应当以基金估值日中国人民银行或其授权机构公布的人民币与港币的汇率中间价为准。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7</w:t>
      </w:r>
      <w:r>
        <w:rPr>
          <w:rFonts w:ascii="彩虹粗仿宋" w:eastAsia="彩虹粗仿宋" w:hAnsi="宋体" w:cs="Arial" w:hint="eastAsia"/>
          <w:sz w:val="24"/>
        </w:rPr>
        <w:t>）对于</w:t>
      </w:r>
      <w:r>
        <w:rPr>
          <w:rFonts w:ascii="彩虹粗仿宋" w:eastAsia="彩虹粗仿宋" w:hAnsi="宋体" w:cs="Arial" w:hint="eastAsia"/>
          <w:sz w:val="24"/>
        </w:rPr>
        <w:t>按照中国法律法规和基金投资境内外股票市场交易互联互通机制涉及的境外交易场所所在地的法律法规规定应交纳的各项税金，本基金将按权责发生制原则进行估值；对于因税收规定调整或其他原因导致基金实际交纳税金与估算的应交税金有差异的，基金将在相关税金调整日或实际支付日进行相应的估值调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8</w:t>
      </w:r>
      <w:r>
        <w:rPr>
          <w:rFonts w:ascii="彩虹粗仿宋" w:eastAsia="彩虹粗仿宋" w:hAnsi="宋体" w:cs="Arial" w:hint="eastAsia"/>
          <w:sz w:val="24"/>
        </w:rPr>
        <w:t>）本基金投资存托凭证的估值核算依照内地上市交易的股票执行。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9</w:t>
      </w:r>
      <w:r>
        <w:rPr>
          <w:rFonts w:ascii="彩虹粗仿宋" w:eastAsia="彩虹粗仿宋" w:hAnsi="宋体" w:cs="Arial" w:hint="eastAsia"/>
          <w:sz w:val="24"/>
        </w:rPr>
        <w:t>）存款的估值方法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持有的银行定期存款或通知存款以本金列示，按协议或合同利率逐日确认利息收入。</w:t>
      </w:r>
    </w:p>
    <w:p w:rsidR="003F2F5E" w:rsidRDefault="00DD591D">
      <w:pPr>
        <w:numPr>
          <w:ilvl w:val="0"/>
          <w:numId w:val="1"/>
        </w:num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有确凿证据表明按原有方法进行估值不能客观反映上述资产或负债公允价值的，基金管理人可根据具体情况与基金托管人商定后，按最能反映公允价值的方法估值。使用模型估值的，应当审慎确定模型参数，不得随意调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11</w:t>
      </w:r>
      <w:r>
        <w:rPr>
          <w:rFonts w:ascii="彩虹粗仿宋" w:eastAsia="彩虹粗仿宋" w:hAnsi="宋体" w:cs="Arial" w:hint="eastAsia"/>
          <w:sz w:val="24"/>
        </w:rPr>
        <w:t>）</w:t>
      </w:r>
      <w:r>
        <w:rPr>
          <w:rFonts w:ascii="彩虹粗仿宋" w:eastAsia="彩虹粗仿宋" w:hAnsi="宋体" w:cs="Arial" w:hint="eastAsia"/>
          <w:sz w:val="24"/>
        </w:rPr>
        <w:t>对仅依赖基金管理人所提供数据且无法从其他渠道获取可靠数据进行会计核算的，基金托管人</w:t>
      </w:r>
      <w:r>
        <w:rPr>
          <w:rFonts w:ascii="彩虹粗仿宋" w:eastAsia="彩虹粗仿宋" w:hAnsi="宋体" w:cs="Arial" w:hint="eastAsia"/>
          <w:sz w:val="24"/>
        </w:rPr>
        <w:t>依</w:t>
      </w:r>
      <w:r>
        <w:rPr>
          <w:rFonts w:ascii="彩虹粗仿宋" w:eastAsia="彩虹粗仿宋" w:hAnsi="宋体" w:cs="Arial" w:hint="eastAsia"/>
          <w:sz w:val="24"/>
        </w:rPr>
        <w:t>照基金管理人提供的数据进行核算，由此给基金份额持有人造成的损失，基金托管人不承担责任。</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hint="eastAsia"/>
          <w:sz w:val="24"/>
        </w:rPr>
        <w:t>1</w:t>
      </w:r>
      <w:r>
        <w:rPr>
          <w:rFonts w:ascii="彩虹粗仿宋" w:eastAsia="彩虹粗仿宋" w:hAnsi="宋体" w:cs="Arial" w:hint="eastAsia"/>
          <w:sz w:val="24"/>
        </w:rPr>
        <w:t>2</w:t>
      </w:r>
      <w:r>
        <w:rPr>
          <w:rFonts w:ascii="彩虹粗仿宋" w:eastAsia="彩虹粗仿宋" w:hAnsi="宋体" w:cs="Arial" w:hint="eastAsia"/>
          <w:sz w:val="24"/>
        </w:rPr>
        <w:t>）相关法律法规以及监管部门、自律规则另有规定的，从其规定。如有新增事项，按国家最新规定估值。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如基金管理人或基金托管人发现基金估值违反基金合同订明的估值方法、程序及相关法律法规的规定或者未能充分维护基金份额持有人利益时，应立即通知对方，共同查明原因，双方协商解决。</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w:t>
      </w:r>
      <w:r>
        <w:rPr>
          <w:rFonts w:ascii="彩虹粗仿宋" w:eastAsia="彩虹粗仿宋" w:hint="eastAsia"/>
          <w:sz w:val="24"/>
          <w:szCs w:val="21"/>
        </w:rPr>
        <w:t>基金管理人向基金托管人出具盖章的书面说明后，</w:t>
      </w:r>
      <w:r>
        <w:rPr>
          <w:rFonts w:ascii="彩虹粗仿宋" w:eastAsia="彩虹粗仿宋" w:hAnsi="宋体" w:cs="Arial"/>
          <w:sz w:val="24"/>
        </w:rPr>
        <w:t>按照基金管理人对基金净值信息的计算结果对外予以公布，由此给基金份额持有人和基金造成的损失以及因</w:t>
      </w:r>
      <w:r>
        <w:rPr>
          <w:rFonts w:ascii="彩虹粗仿宋" w:eastAsia="彩虹粗仿宋" w:hAnsi="宋体" w:cs="Arial"/>
          <w:sz w:val="24"/>
        </w:rPr>
        <w:t>该交易日基金资产净值计算顺延错误而引起的损失，基金托管人不承担任何责任。</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特殊情形的处理</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w:t>
      </w:r>
      <w:r>
        <w:rPr>
          <w:rStyle w:val="read"/>
          <w:rFonts w:ascii="彩虹粗仿宋" w:eastAsia="彩虹粗仿宋"/>
          <w:sz w:val="24"/>
        </w:rPr>
        <w:t>1</w:t>
      </w:r>
      <w:r>
        <w:rPr>
          <w:rStyle w:val="read"/>
          <w:rFonts w:ascii="彩虹粗仿宋" w:eastAsia="彩虹粗仿宋" w:hint="eastAsia"/>
          <w:sz w:val="24"/>
        </w:rPr>
        <w:t>）基金管理人或基金托管人按估值方法的第（</w:t>
      </w:r>
      <w:r>
        <w:rPr>
          <w:rStyle w:val="read"/>
          <w:rFonts w:ascii="彩虹粗仿宋" w:eastAsia="彩虹粗仿宋" w:hint="eastAsia"/>
          <w:sz w:val="24"/>
        </w:rPr>
        <w:t>10</w:t>
      </w:r>
      <w:r>
        <w:rPr>
          <w:rStyle w:val="read"/>
          <w:rFonts w:ascii="彩虹粗仿宋" w:eastAsia="彩虹粗仿宋" w:hint="eastAsia"/>
          <w:sz w:val="24"/>
        </w:rPr>
        <w:t>）项进行估值时，所造成的误差不作为基金资产估值错误处理。</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w:t>
      </w:r>
      <w:r>
        <w:rPr>
          <w:rStyle w:val="read"/>
          <w:rFonts w:ascii="彩虹粗仿宋" w:eastAsia="彩虹粗仿宋"/>
          <w:sz w:val="24"/>
        </w:rPr>
        <w:t>2</w:t>
      </w:r>
      <w:r>
        <w:rPr>
          <w:rStyle w:val="read"/>
          <w:rFonts w:ascii="彩虹粗仿宋" w:eastAsia="彩虹粗仿宋" w:hint="eastAsia"/>
          <w:sz w:val="24"/>
        </w:rPr>
        <w:t>）由于不可抗力原因，或由于证券交易所、登记结算公司、估值基准服务机构、存款银行等第三方机构发送的数据错误，或国家会计政策变更、市场规则变更等，基金管理人和基金托管人虽然已经采取必要、适当、合理的措施进行检查，未能发现错误或发现错误但因前述原因无法改正的，由此造成的基金资产估值错误，基金管理人和基金托管人免除</w:t>
      </w:r>
      <w:r>
        <w:rPr>
          <w:rStyle w:val="read"/>
          <w:rFonts w:ascii="彩虹粗仿宋" w:eastAsia="彩虹粗仿宋" w:hint="eastAsia"/>
          <w:sz w:val="24"/>
        </w:rPr>
        <w:t>赔偿责任。但基金管理人、基金托管人应当积极采取必要的措施减轻或消除由此造成的影响。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（三）基金份额净值错误的处理方式</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1</w:t>
      </w:r>
      <w:r>
        <w:rPr>
          <w:rStyle w:val="read"/>
          <w:rFonts w:ascii="彩虹粗仿宋" w:eastAsia="彩虹粗仿宋"/>
          <w:sz w:val="24"/>
        </w:rPr>
        <w:t>.</w:t>
      </w:r>
      <w:r>
        <w:rPr>
          <w:rStyle w:val="read"/>
          <w:rFonts w:ascii="彩虹粗仿宋" w:eastAsia="彩虹粗仿宋" w:hint="eastAsia"/>
          <w:sz w:val="24"/>
        </w:rPr>
        <w:t>当任一类基金份额净值小数点后</w:t>
      </w:r>
      <w:r>
        <w:rPr>
          <w:rStyle w:val="read"/>
          <w:rFonts w:ascii="彩虹粗仿宋" w:eastAsia="彩虹粗仿宋" w:hint="eastAsia"/>
          <w:sz w:val="24"/>
        </w:rPr>
        <w:t>4</w:t>
      </w:r>
      <w:r>
        <w:rPr>
          <w:rStyle w:val="read"/>
          <w:rFonts w:ascii="彩虹粗仿宋" w:eastAsia="彩虹粗仿宋" w:hint="eastAsia"/>
          <w:sz w:val="24"/>
        </w:rPr>
        <w:t>位以内</w:t>
      </w:r>
      <w:r>
        <w:rPr>
          <w:rStyle w:val="read"/>
          <w:rFonts w:ascii="彩虹粗仿宋" w:eastAsia="彩虹粗仿宋" w:hint="eastAsia"/>
          <w:sz w:val="24"/>
        </w:rPr>
        <w:t>(</w:t>
      </w:r>
      <w:r>
        <w:rPr>
          <w:rStyle w:val="read"/>
          <w:rFonts w:ascii="彩虹粗仿宋" w:eastAsia="彩虹粗仿宋" w:hint="eastAsia"/>
          <w:sz w:val="24"/>
        </w:rPr>
        <w:t>含第</w:t>
      </w:r>
      <w:r>
        <w:rPr>
          <w:rStyle w:val="read"/>
          <w:rFonts w:ascii="彩虹粗仿宋" w:eastAsia="彩虹粗仿宋" w:hint="eastAsia"/>
          <w:sz w:val="24"/>
        </w:rPr>
        <w:t>4</w:t>
      </w:r>
      <w:r>
        <w:rPr>
          <w:rStyle w:val="read"/>
          <w:rFonts w:ascii="彩虹粗仿宋" w:eastAsia="彩虹粗仿宋" w:hint="eastAsia"/>
          <w:sz w:val="24"/>
        </w:rPr>
        <w:t>位</w:t>
      </w:r>
      <w:r>
        <w:rPr>
          <w:rStyle w:val="read"/>
          <w:rFonts w:ascii="彩虹粗仿宋" w:eastAsia="彩虹粗仿宋" w:hint="eastAsia"/>
          <w:sz w:val="24"/>
        </w:rPr>
        <w:t>)</w:t>
      </w:r>
      <w:r>
        <w:rPr>
          <w:rStyle w:val="read"/>
          <w:rFonts w:ascii="彩虹粗仿宋" w:eastAsia="彩虹粗仿宋" w:hint="eastAsia"/>
          <w:sz w:val="24"/>
        </w:rPr>
        <w:t>发生估值错误时，视为该类基金份额净值错误；基金份额净值出现错误时，基金管理人应当立即予以纠正，通报基金托管人，并采取合理的措施防止损失进一步扩大。</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2</w:t>
      </w:r>
      <w:r>
        <w:rPr>
          <w:rStyle w:val="read"/>
          <w:rFonts w:ascii="彩虹粗仿宋" w:eastAsia="彩虹粗仿宋"/>
          <w:sz w:val="24"/>
        </w:rPr>
        <w:t>.</w:t>
      </w:r>
      <w:r>
        <w:rPr>
          <w:rStyle w:val="read"/>
          <w:rFonts w:ascii="彩虹粗仿宋" w:eastAsia="彩虹粗仿宋" w:hint="eastAsia"/>
          <w:sz w:val="24"/>
        </w:rPr>
        <w:t>错误偏差达到该类基金份额净值的</w:t>
      </w:r>
      <w:r>
        <w:rPr>
          <w:rStyle w:val="read"/>
          <w:rFonts w:ascii="彩虹粗仿宋" w:eastAsia="彩虹粗仿宋" w:hint="eastAsia"/>
          <w:sz w:val="24"/>
        </w:rPr>
        <w:t>0.25%</w:t>
      </w:r>
      <w:r>
        <w:rPr>
          <w:rStyle w:val="read"/>
          <w:rFonts w:ascii="彩虹粗仿宋" w:eastAsia="彩虹粗仿宋" w:hint="eastAsia"/>
          <w:sz w:val="24"/>
        </w:rPr>
        <w:t>时，基金管理人应当通报基金托管人并报中国证监会备案；错误偏差达到该类基金份额净值的</w:t>
      </w:r>
      <w:r>
        <w:rPr>
          <w:rStyle w:val="read"/>
          <w:rFonts w:ascii="彩虹粗仿宋" w:eastAsia="彩虹粗仿宋" w:hint="eastAsia"/>
          <w:sz w:val="24"/>
        </w:rPr>
        <w:t>0.5%</w:t>
      </w:r>
      <w:r>
        <w:rPr>
          <w:rStyle w:val="read"/>
          <w:rFonts w:ascii="彩虹粗仿宋" w:eastAsia="彩虹粗仿宋" w:hint="eastAsia"/>
          <w:sz w:val="24"/>
        </w:rPr>
        <w:t>时，基金管理</w:t>
      </w:r>
      <w:r>
        <w:rPr>
          <w:rStyle w:val="read"/>
          <w:rFonts w:ascii="彩虹粗仿宋" w:eastAsia="彩虹粗仿宋" w:hint="eastAsia"/>
          <w:sz w:val="24"/>
        </w:rPr>
        <w:lastRenderedPageBreak/>
        <w:t>人应当公告，并报中国证监会备案。当发生净值计算错</w:t>
      </w:r>
      <w:r>
        <w:rPr>
          <w:rStyle w:val="read"/>
          <w:rFonts w:ascii="彩虹粗仿宋" w:eastAsia="彩虹粗仿宋" w:hint="eastAsia"/>
          <w:sz w:val="24"/>
        </w:rPr>
        <w:t>误时，由基金管理人负责处理，由此给基金份额持有人和基金造成损失的，应由基金管理人先行赔付，基金管理人按差错情形，有权向其他当事人追偿。</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3</w:t>
      </w:r>
      <w:r>
        <w:rPr>
          <w:rStyle w:val="read"/>
          <w:rFonts w:ascii="彩虹粗仿宋" w:eastAsia="彩虹粗仿宋"/>
          <w:sz w:val="24"/>
        </w:rPr>
        <w:t>.</w:t>
      </w:r>
      <w:r>
        <w:rPr>
          <w:rStyle w:val="read"/>
          <w:rFonts w:ascii="彩虹粗仿宋" w:eastAsia="彩虹粗仿宋" w:hint="eastAsia"/>
          <w:sz w:val="24"/>
        </w:rPr>
        <w:t>当基金份额净值计算差错给基金和基金份额持有人造成损失需要进行赔偿时，基金管理人和基金托管人应根据实际情况界定双方承担的责任，经确认后按以下条款进行赔偿：</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①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②若基金管理</w:t>
      </w:r>
      <w:r>
        <w:rPr>
          <w:rStyle w:val="read"/>
          <w:rFonts w:ascii="彩虹粗仿宋" w:eastAsia="彩虹粗仿宋" w:hint="eastAsia"/>
          <w:sz w:val="24"/>
        </w:rPr>
        <w:t>人计算的各类基金份额净值已由基金托管人复核确认后公告，而且基金托管人未对计算过程提出疑义或要求基金管理人书面说明，基金份额净值出错且由此给基金份额持有人造成损失的，应根据法律法规的规定对投资者或基金支付赔偿金，就实际向投资者或基金支付的赔偿金额，基金管理人与基金托管人按照</w:t>
      </w:r>
      <w:r>
        <w:rPr>
          <w:rFonts w:ascii="彩虹粗仿宋" w:eastAsia="彩虹粗仿宋" w:hint="eastAsia"/>
          <w:kern w:val="0"/>
          <w:sz w:val="24"/>
        </w:rPr>
        <w:t>管理费和托管费的比例</w:t>
      </w:r>
      <w:r>
        <w:rPr>
          <w:rStyle w:val="read"/>
          <w:rFonts w:ascii="彩虹粗仿宋" w:eastAsia="彩虹粗仿宋" w:hint="eastAsia"/>
          <w:sz w:val="24"/>
        </w:rPr>
        <w:t>各自承担相应的责任。</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③如基金管理人和基金托管人对各类基金份额净值的计算结果，虽然多次重新计算和核对，尚不能达成一致时，为避免不能按时公布各类基金份额净值的情形，以基金管理人的计算结果对外公布，由此给基金份额持有人和基金</w:t>
      </w:r>
      <w:r>
        <w:rPr>
          <w:rStyle w:val="read"/>
          <w:rFonts w:ascii="彩虹粗仿宋" w:eastAsia="彩虹粗仿宋" w:hint="eastAsia"/>
          <w:sz w:val="24"/>
        </w:rPr>
        <w:t>造成的损失，由基金管理人负责赔付。</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④由于基金管理人提供的信息错误（包括但不限于基金申购或赎回金额等），进而导致基金份额净值计算错误而引起的基金份额持有人和基金财产的损失，由基金管理人负责赔付。</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hint="eastAsia"/>
          <w:sz w:val="24"/>
        </w:rPr>
        <w:t>4</w:t>
      </w:r>
      <w:r>
        <w:rPr>
          <w:rStyle w:val="read"/>
          <w:rFonts w:ascii="彩虹粗仿宋" w:eastAsia="彩虹粗仿宋"/>
          <w:sz w:val="24"/>
        </w:rPr>
        <w:t>.</w:t>
      </w:r>
      <w:r>
        <w:rPr>
          <w:rStyle w:val="read"/>
          <w:rFonts w:ascii="彩虹粗仿宋" w:eastAsia="彩虹粗仿宋" w:hint="eastAsia"/>
          <w:sz w:val="24"/>
        </w:rPr>
        <w:t>前述内容如法律法规或监管机关另有规定的，从其规定处理。如果行业另有通行做法，双方当事人应本着平等和保护基金份额持有人利益的原则进行协商。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（四）暂停估值的情形</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1</w:t>
      </w:r>
      <w:r>
        <w:rPr>
          <w:rStyle w:val="read"/>
          <w:rFonts w:ascii="彩虹粗仿宋" w:eastAsia="彩虹粗仿宋"/>
          <w:sz w:val="24"/>
        </w:rPr>
        <w:t>、基金投资所涉及的证券交易市场</w:t>
      </w:r>
      <w:r>
        <w:rPr>
          <w:rStyle w:val="read"/>
          <w:rFonts w:ascii="彩虹粗仿宋" w:eastAsia="彩虹粗仿宋" w:hint="eastAsia"/>
          <w:sz w:val="24"/>
        </w:rPr>
        <w:t>或相关交易所、外汇市场</w:t>
      </w:r>
      <w:r>
        <w:rPr>
          <w:rStyle w:val="read"/>
          <w:rFonts w:ascii="彩虹粗仿宋" w:eastAsia="彩虹粗仿宋"/>
          <w:sz w:val="24"/>
        </w:rPr>
        <w:t>遇法定节假日或因其他原因暂停营业时；</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lastRenderedPageBreak/>
        <w:t>2</w:t>
      </w:r>
      <w:r>
        <w:rPr>
          <w:rStyle w:val="read"/>
          <w:rFonts w:ascii="彩虹粗仿宋" w:eastAsia="彩虹粗仿宋"/>
          <w:sz w:val="24"/>
        </w:rPr>
        <w:t>、因不可抗力致使基金管理人、基金托管人无法准确评估基金资产</w:t>
      </w:r>
      <w:r>
        <w:rPr>
          <w:rStyle w:val="read"/>
          <w:rFonts w:ascii="彩虹粗仿宋" w:eastAsia="彩虹粗仿宋"/>
          <w:sz w:val="24"/>
        </w:rPr>
        <w:t>价值时；</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3</w:t>
      </w:r>
      <w:r>
        <w:rPr>
          <w:rStyle w:val="read"/>
          <w:rFonts w:ascii="彩虹粗仿宋" w:eastAsia="彩虹粗仿宋"/>
          <w:sz w:val="24"/>
        </w:rPr>
        <w:t>、</w:t>
      </w:r>
      <w:r>
        <w:rPr>
          <w:rStyle w:val="read"/>
          <w:rFonts w:ascii="彩虹粗仿宋" w:eastAsia="彩虹粗仿宋" w:hint="eastAsia"/>
          <w:sz w:val="24"/>
        </w:rPr>
        <w:t>当前一估值日基金资产净值</w:t>
      </w:r>
      <w:r>
        <w:rPr>
          <w:rStyle w:val="read"/>
          <w:rFonts w:ascii="彩虹粗仿宋" w:eastAsia="彩虹粗仿宋"/>
          <w:sz w:val="24"/>
        </w:rPr>
        <w:t xml:space="preserve"> </w:t>
      </w:r>
      <w:r>
        <w:rPr>
          <w:rStyle w:val="read"/>
          <w:rFonts w:ascii="彩虹粗仿宋" w:eastAsia="彩虹粗仿宋" w:hint="eastAsia"/>
          <w:sz w:val="24"/>
        </w:rPr>
        <w:t>50%</w:t>
      </w:r>
      <w:r>
        <w:rPr>
          <w:rStyle w:val="read"/>
          <w:rFonts w:ascii="彩虹粗仿宋" w:eastAsia="彩虹粗仿宋" w:hint="eastAsia"/>
          <w:sz w:val="24"/>
        </w:rPr>
        <w:t>以上的资产出现无可参考的活跃市场价格且采用估值技术仍导致公允价值存在重大不确定性时，经与基金托管人协商一致的，基金应当暂停估值</w:t>
      </w:r>
      <w:r>
        <w:rPr>
          <w:rStyle w:val="read"/>
          <w:rFonts w:ascii="彩虹粗仿宋" w:eastAsia="彩虹粗仿宋"/>
          <w:sz w:val="24"/>
        </w:rPr>
        <w:t>；</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4</w:t>
      </w:r>
      <w:r>
        <w:rPr>
          <w:rStyle w:val="read"/>
          <w:rFonts w:ascii="彩虹粗仿宋" w:eastAsia="彩虹粗仿宋" w:hint="eastAsia"/>
          <w:sz w:val="24"/>
        </w:rPr>
        <w:t>、占相当比例的被投资基金暂停估值时；</w:t>
      </w:r>
    </w:p>
    <w:p w:rsidR="003F2F5E" w:rsidRDefault="00DD591D">
      <w:pPr>
        <w:adjustRightInd w:val="0"/>
        <w:snapToGrid w:val="0"/>
        <w:ind w:firstLineChars="200" w:firstLine="480"/>
        <w:rPr>
          <w:rStyle w:val="read"/>
          <w:rFonts w:ascii="彩虹粗仿宋" w:eastAsia="彩虹粗仿宋"/>
          <w:sz w:val="24"/>
        </w:rPr>
      </w:pPr>
      <w:r>
        <w:rPr>
          <w:rStyle w:val="read"/>
          <w:rFonts w:ascii="彩虹粗仿宋" w:eastAsia="彩虹粗仿宋"/>
          <w:sz w:val="24"/>
        </w:rPr>
        <w:t>5</w:t>
      </w:r>
      <w:r>
        <w:rPr>
          <w:rStyle w:val="read"/>
          <w:rFonts w:ascii="彩虹粗仿宋" w:eastAsia="彩虹粗仿宋" w:hint="eastAsia"/>
          <w:sz w:val="24"/>
        </w:rPr>
        <w:t>、</w:t>
      </w:r>
      <w:r>
        <w:rPr>
          <w:rStyle w:val="read"/>
          <w:rFonts w:ascii="彩虹粗仿宋" w:eastAsia="彩虹粗仿宋"/>
          <w:sz w:val="24"/>
        </w:rPr>
        <w:t>中国证监会和基金合同认定的其它情形。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（五）实施侧袋机制期间的基金资产估值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本基金实施侧袋机制的，应根据本部分的约定对主袋账户资产进行估值并披露主袋账户的基金净值信息，暂停披露侧袋账户份额净值。</w:t>
      </w:r>
    </w:p>
    <w:bookmarkEnd w:id="92"/>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（六）基金会计制度</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按国家有关部门规定的会计制度执行。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（七）基金账册的建立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进行基金会计核算并编制基金财务会计报告。基金管理人独立地设置、记录和保管本基金的全套账册。若基金管理人和基金托管人对会计处理方法存在分歧，应以基金管理人的处理方法为准。若当日核对不符，暂时无法查找到错账的原因而影响到基金净值信息的计算和披露的，以基金管理人的账册为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（八）基金财务报表与报告的编制和复核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财务报表的编制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基金财务报表由基金管理人编制，基金托管人复核。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报表复核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基金托管人在收到基金管理人编制的基金财务报表后，进行独立的复核。核对不符时，应及时通知基金管理人共同查出原因，进</w:t>
      </w:r>
      <w:r>
        <w:rPr>
          <w:rFonts w:ascii="彩虹粗仿宋" w:eastAsia="彩虹粗仿宋" w:hAnsi="宋体" w:cs="Arial" w:hint="eastAsia"/>
          <w:sz w:val="24"/>
        </w:rPr>
        <w:t>行调整，直至双方数据完全一致。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财务报表的编制与复核时间安排</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报表的编制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基金管理人应当在每月结束后</w:t>
      </w:r>
      <w:r>
        <w:rPr>
          <w:rFonts w:ascii="彩虹粗仿宋" w:eastAsia="彩虹粗仿宋" w:hAnsi="宋体" w:cs="Arial" w:hint="eastAsia"/>
          <w:sz w:val="24"/>
        </w:rPr>
        <w:t>5</w:t>
      </w:r>
      <w:r>
        <w:rPr>
          <w:rFonts w:ascii="彩虹粗仿宋" w:eastAsia="彩虹粗仿宋" w:hAnsi="宋体" w:cs="Arial" w:hint="eastAsia"/>
          <w:sz w:val="24"/>
        </w:rPr>
        <w:t>个工作日内完成月度报表的编制；在季度结束之日起</w:t>
      </w:r>
      <w:r>
        <w:rPr>
          <w:rFonts w:ascii="彩虹粗仿宋" w:eastAsia="彩虹粗仿宋" w:hAnsi="宋体" w:cs="Arial" w:hint="eastAsia"/>
          <w:sz w:val="24"/>
        </w:rPr>
        <w:t>15</w:t>
      </w:r>
      <w:r>
        <w:rPr>
          <w:rFonts w:ascii="彩虹粗仿宋" w:eastAsia="彩虹粗仿宋" w:hAnsi="宋体" w:cs="Arial" w:hint="eastAsia"/>
          <w:sz w:val="24"/>
        </w:rPr>
        <w:t>个工作日内完成基金季度报告的编制；在上半年结束之日起两个月内完成基金中期报告的编制；在每年结束之日起三个月内完成基金年度报告的编制。基金年度报告中的财务会计报告应当经过符合《证券法》规定的会计师事务所审计。《基金合同》生效不足两个月的，基金管理人可以不编制当期季度报告、中期报告或者年度报告。</w:t>
      </w:r>
    </w:p>
    <w:p w:rsidR="003F2F5E" w:rsidRDefault="00DD591D">
      <w:pPr>
        <w:pStyle w:val="a0"/>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报表的复核</w:t>
      </w:r>
    </w:p>
    <w:p w:rsidR="003F2F5E" w:rsidRDefault="00DD591D">
      <w:pPr>
        <w:pStyle w:val="a0"/>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基金管理人应及时完成报表编制，将有关报</w:t>
      </w:r>
      <w:r>
        <w:rPr>
          <w:rFonts w:ascii="彩虹粗仿宋" w:eastAsia="彩虹粗仿宋" w:hAnsi="宋体" w:cs="Arial" w:hint="eastAsia"/>
          <w:sz w:val="24"/>
        </w:rPr>
        <w:t>表提供给基金托管人复核；基金托管人在复核过程中，发现双方的报表存在不符时，基金管理人和基金托管人应共同查明原因，进行调整，调整以国家有关规定为准；若双方无法达成一致，以基金管理人的账务处理为准。如果基金管理人与基金托管人不能于应当发布公告之日之前就相关报表达成一致，基金管理人有权按照其编制的报表对外发布公告，基金托管人有权就相关情况报证监会备案。基金托管人不承担基金管理人未接受基金托管人的复核意见进行信息披露的责任。</w:t>
      </w:r>
    </w:p>
    <w:p w:rsidR="003F2F5E" w:rsidRDefault="00DD591D">
      <w:pPr>
        <w:pStyle w:val="a0"/>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基金管理人应留足充分的时间，便于基金托管人复核相关报表及报告。</w:t>
      </w:r>
    </w:p>
    <w:p w:rsidR="003F2F5E" w:rsidRDefault="00DD591D">
      <w:pPr>
        <w:pStyle w:val="a0"/>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（九）基金管理人应在编制季</w:t>
      </w:r>
      <w:r>
        <w:rPr>
          <w:rFonts w:ascii="彩虹粗仿宋" w:eastAsia="彩虹粗仿宋" w:hAnsi="宋体" w:cs="Arial" w:hint="eastAsia"/>
          <w:sz w:val="24"/>
        </w:rPr>
        <w:t>度报告、中期报告或者年度报告之前及时向基金托管人提供基金业绩比较基准的基础数据和编制结果。</w:t>
      </w:r>
    </w:p>
    <w:p w:rsidR="003F2F5E" w:rsidRDefault="003F2F5E">
      <w:pPr>
        <w:pStyle w:val="a0"/>
        <w:adjustRightInd w:val="0"/>
        <w:snapToGrid w:val="0"/>
        <w:ind w:firstLine="48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93" w:name="_Toc124325893"/>
      <w:bookmarkStart w:id="94" w:name="_Hlk193011807"/>
      <w:bookmarkEnd w:id="90"/>
      <w:r>
        <w:rPr>
          <w:rFonts w:ascii="彩虹粗仿宋" w:eastAsia="彩虹粗仿宋" w:hint="eastAsia"/>
          <w:sz w:val="30"/>
        </w:rPr>
        <w:t>九、基金收益分配</w:t>
      </w:r>
      <w:bookmarkEnd w:id="93"/>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基金收益分配是指按规定将基金的可分配收益按基金份额进行比例分配。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（一）基金收益分配的原则</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1</w:t>
      </w:r>
      <w:r>
        <w:rPr>
          <w:rFonts w:ascii="彩虹粗仿宋" w:eastAsia="彩虹粗仿宋" w:hAnsi="宋体" w:cs="Arial"/>
          <w:sz w:val="24"/>
        </w:rPr>
        <w:t>、在符合有关基金分红条件的前提下，基金管理人可以根据实际情况进行收益分配，具体分配方案详见届时基金管理人发布的公告，若《基金合同》生效不满</w:t>
      </w:r>
      <w:r>
        <w:rPr>
          <w:rFonts w:ascii="彩虹粗仿宋" w:eastAsia="彩虹粗仿宋" w:hAnsi="宋体" w:cs="Arial"/>
          <w:sz w:val="24"/>
        </w:rPr>
        <w:t>3</w:t>
      </w:r>
      <w:r>
        <w:rPr>
          <w:rFonts w:ascii="彩虹粗仿宋" w:eastAsia="彩虹粗仿宋" w:hAnsi="宋体" w:cs="Arial"/>
          <w:sz w:val="24"/>
        </w:rPr>
        <w:t>个月可不进行收益分配；</w:t>
      </w:r>
      <w:r>
        <w:rPr>
          <w:rFonts w:ascii="彩虹粗仿宋" w:eastAsia="彩虹粗仿宋" w:hAnsi="宋体" w:cs="Arial"/>
          <w:sz w:val="24"/>
        </w:rPr>
        <w:br/>
        <w:t xml:space="preserve">    2</w:t>
      </w:r>
      <w:r>
        <w:rPr>
          <w:rFonts w:ascii="彩虹粗仿宋" w:eastAsia="彩虹粗仿宋" w:hAnsi="宋体" w:cs="Arial"/>
          <w:sz w:val="24"/>
        </w:rPr>
        <w:t>、基金管理人可每</w:t>
      </w:r>
      <w:r>
        <w:rPr>
          <w:rFonts w:ascii="彩虹粗仿宋" w:eastAsia="彩虹粗仿宋" w:hAnsi="宋体" w:cs="Arial" w:hint="eastAsia"/>
          <w:sz w:val="24"/>
        </w:rPr>
        <w:t>半年度</w:t>
      </w:r>
      <w:r>
        <w:rPr>
          <w:rFonts w:ascii="彩虹粗仿宋" w:eastAsia="彩虹粗仿宋" w:hAnsi="宋体" w:cs="Arial"/>
          <w:sz w:val="24"/>
        </w:rPr>
        <w:t>评估是否进行收益分配。基金管理人可每</w:t>
      </w:r>
      <w:r>
        <w:rPr>
          <w:rFonts w:ascii="彩虹粗仿宋" w:eastAsia="彩虹粗仿宋" w:hAnsi="宋体" w:cs="Arial" w:hint="eastAsia"/>
          <w:sz w:val="24"/>
        </w:rPr>
        <w:t>半年</w:t>
      </w:r>
      <w:r>
        <w:rPr>
          <w:rFonts w:ascii="彩虹粗仿宋" w:eastAsia="彩虹粗仿宋" w:hAnsi="宋体" w:cs="Arial"/>
          <w:sz w:val="24"/>
        </w:rPr>
        <w:t>对基</w:t>
      </w:r>
      <w:r>
        <w:rPr>
          <w:rFonts w:ascii="彩虹粗仿宋" w:eastAsia="彩虹粗仿宋" w:hAnsi="宋体" w:cs="Arial"/>
          <w:sz w:val="24"/>
        </w:rPr>
        <w:lastRenderedPageBreak/>
        <w:t>金的可供分配利润进行评价，在符合基金收益分配条件下，可安排收益分配</w:t>
      </w:r>
      <w:r>
        <w:rPr>
          <w:rFonts w:ascii="彩虹粗仿宋" w:eastAsia="彩虹粗仿宋" w:hAnsi="宋体" w:cs="Arial"/>
          <w:sz w:val="24"/>
        </w:rPr>
        <w:t>。收益分配条件、评估时间、分配时间、分配方案及每次基金收益分配数额等内容，基金管理人可以根据实际情况确定并按照有关规定公告</w:t>
      </w:r>
      <w:r>
        <w:rPr>
          <w:rFonts w:ascii="彩虹粗仿宋" w:eastAsia="彩虹粗仿宋" w:hAnsi="宋体" w:cs="Arial"/>
          <w:sz w:val="24"/>
        </w:rPr>
        <w:t> </w:t>
      </w:r>
      <w:r>
        <w:rPr>
          <w:rFonts w:ascii="彩虹粗仿宋" w:eastAsia="彩虹粗仿宋" w:hAnsi="宋体" w:cs="Arial"/>
          <w:sz w:val="24"/>
        </w:rPr>
        <w:br/>
        <w:t xml:space="preserve">    3</w:t>
      </w:r>
      <w:r>
        <w:rPr>
          <w:rFonts w:ascii="彩虹粗仿宋" w:eastAsia="彩虹粗仿宋" w:hAnsi="宋体" w:cs="Arial"/>
          <w:sz w:val="24"/>
        </w:rPr>
        <w:t>、本基金收益分配方式分两种：现金分红与红利再投资，投资人可选择现金红利或将现金红利自动转为同一类别基金份额进行再投资；若投资人不选择，本基金默认的收益分配方式是现金分红；</w:t>
      </w:r>
      <w:r>
        <w:rPr>
          <w:rFonts w:ascii="彩虹粗仿宋" w:eastAsia="彩虹粗仿宋" w:hAnsi="宋体" w:cs="Arial"/>
          <w:sz w:val="24"/>
        </w:rPr>
        <w:br/>
        <w:t xml:space="preserve">    4</w:t>
      </w:r>
      <w:r>
        <w:rPr>
          <w:rFonts w:ascii="彩虹粗仿宋" w:eastAsia="彩虹粗仿宋" w:hAnsi="宋体" w:cs="Arial"/>
          <w:sz w:val="24"/>
        </w:rPr>
        <w:t>、基金收益分配后</w:t>
      </w:r>
      <w:r>
        <w:rPr>
          <w:rFonts w:ascii="彩虹粗仿宋" w:eastAsia="彩虹粗仿宋" w:hAnsi="宋体" w:cs="Arial" w:hint="eastAsia"/>
          <w:sz w:val="24"/>
        </w:rPr>
        <w:t>各类</w:t>
      </w:r>
      <w:r>
        <w:rPr>
          <w:rFonts w:ascii="彩虹粗仿宋" w:eastAsia="彩虹粗仿宋" w:hAnsi="宋体" w:cs="Arial"/>
          <w:sz w:val="24"/>
        </w:rPr>
        <w:t>基金份额净值不能低于面值；即基金收益分配基准日的</w:t>
      </w:r>
      <w:r>
        <w:rPr>
          <w:rFonts w:ascii="彩虹粗仿宋" w:eastAsia="彩虹粗仿宋" w:hAnsi="宋体" w:cs="Arial" w:hint="eastAsia"/>
          <w:sz w:val="24"/>
        </w:rPr>
        <w:t>各类</w:t>
      </w:r>
      <w:r>
        <w:rPr>
          <w:rFonts w:ascii="彩虹粗仿宋" w:eastAsia="彩虹粗仿宋" w:hAnsi="宋体" w:cs="Arial"/>
          <w:sz w:val="24"/>
        </w:rPr>
        <w:t>基金份额净值减去每单位</w:t>
      </w:r>
      <w:r>
        <w:rPr>
          <w:rFonts w:ascii="彩虹粗仿宋" w:eastAsia="彩虹粗仿宋" w:hAnsi="宋体" w:cs="Arial" w:hint="eastAsia"/>
          <w:sz w:val="24"/>
        </w:rPr>
        <w:t>该类</w:t>
      </w:r>
      <w:r>
        <w:rPr>
          <w:rFonts w:ascii="彩虹粗仿宋" w:eastAsia="彩虹粗仿宋" w:hAnsi="宋体" w:cs="Arial"/>
          <w:sz w:val="24"/>
        </w:rPr>
        <w:t>基金份额收益分配金额后不能低于面值；</w:t>
      </w:r>
      <w:r>
        <w:rPr>
          <w:rFonts w:ascii="彩虹粗仿宋" w:eastAsia="彩虹粗仿宋" w:hAnsi="宋体" w:cs="Arial"/>
          <w:sz w:val="24"/>
        </w:rPr>
        <w:br/>
        <w:t xml:space="preserve">    5</w:t>
      </w:r>
      <w:r>
        <w:rPr>
          <w:rFonts w:ascii="彩虹粗仿宋" w:eastAsia="彩虹粗仿宋" w:hAnsi="宋体" w:cs="Arial"/>
          <w:sz w:val="24"/>
        </w:rPr>
        <w:t>、同一类别每一基金份额享有同等分配权，红利再投资</w:t>
      </w:r>
      <w:r>
        <w:rPr>
          <w:rFonts w:ascii="彩虹粗仿宋" w:eastAsia="彩虹粗仿宋" w:hAnsi="宋体" w:cs="Arial"/>
          <w:sz w:val="24"/>
        </w:rPr>
        <w:t>份额的锁定期视作与原份额相同；</w:t>
      </w:r>
      <w:r>
        <w:rPr>
          <w:rFonts w:ascii="彩虹粗仿宋" w:eastAsia="彩虹粗仿宋" w:hAnsi="宋体" w:cs="Arial"/>
          <w:sz w:val="24"/>
        </w:rPr>
        <w:br/>
        <w:t xml:space="preserve">    6</w:t>
      </w:r>
      <w:r>
        <w:rPr>
          <w:rFonts w:ascii="彩虹粗仿宋" w:eastAsia="彩虹粗仿宋" w:hAnsi="宋体" w:cs="Arial"/>
          <w:sz w:val="24"/>
        </w:rPr>
        <w:t>、法律法规或监管机关另有规定的，从其规定。</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在不违反法律法规、基金合同的约定以及对基金份额持有人利益无实质性不利影响的前提下，基金管理人经与基金托管人协商一致并按照监管部门要求履行适当程序后可对基金收益分配原则进行调整，但应于变更实施日前在规定媒介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（二）基金收益分配的时间和程序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本基金收益分配方案由基金管理人拟定，并由基金托管人复核，</w:t>
      </w:r>
      <w:r>
        <w:rPr>
          <w:rFonts w:ascii="彩虹粗仿宋" w:eastAsia="彩虹粗仿宋" w:hAnsi="宋体" w:cs="Arial"/>
          <w:sz w:val="24"/>
        </w:rPr>
        <w:t>在</w:t>
      </w:r>
      <w:r>
        <w:rPr>
          <w:rFonts w:ascii="彩虹粗仿宋" w:eastAsia="彩虹粗仿宋" w:hAnsi="宋体" w:cs="Arial"/>
          <w:sz w:val="24"/>
        </w:rPr>
        <w:t>2</w:t>
      </w:r>
      <w:r>
        <w:rPr>
          <w:rFonts w:ascii="彩虹粗仿宋" w:eastAsia="彩虹粗仿宋" w:hAnsi="宋体" w:cs="Arial"/>
          <w:sz w:val="24"/>
        </w:rPr>
        <w:t>日内</w:t>
      </w:r>
      <w:r>
        <w:rPr>
          <w:rFonts w:ascii="彩虹粗仿宋" w:eastAsia="彩虹粗仿宋" w:hAnsi="宋体" w:cs="Arial" w:hint="eastAsia"/>
          <w:sz w:val="24"/>
        </w:rPr>
        <w:t>在规定媒介公告。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收益分配时所发生的银行转账或其他手续费用由投资者自行承担。当投资人的现金红利小于一定金额，不足以支付银行转账或其他手续费用时，基金登记机构可将基金份额持有人的现金红利自动转为同一类别基金份额。红利再投资的计算方法，依照登记机构相关业务规则执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（三）实施侧袋机制期间的收益分配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本基金实施侧袋机制的，侧袋账户不进行收益分配，详见招募说明书的规定。</w:t>
      </w:r>
    </w:p>
    <w:p w:rsidR="003F2F5E" w:rsidRDefault="003F2F5E">
      <w:pPr>
        <w:adjustRightInd w:val="0"/>
        <w:snapToGrid w:val="0"/>
        <w:ind w:firstLineChars="200" w:firstLine="48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95" w:name="_Toc124325894"/>
      <w:bookmarkEnd w:id="94"/>
      <w:r>
        <w:rPr>
          <w:rFonts w:ascii="彩虹粗仿宋" w:eastAsia="彩虹粗仿宋" w:hint="eastAsia"/>
          <w:sz w:val="30"/>
        </w:rPr>
        <w:lastRenderedPageBreak/>
        <w:t>十、基金信息披露</w:t>
      </w:r>
      <w:bookmarkEnd w:id="95"/>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（一）保密义务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和基金管理人应按法律法规、《基金合同》的有关规定进行信息披露，拟公开披露的信息在公开披露之前应予保密。除按《基金法》、《基金合同》、《信息披露办法》、《流动性风险管理规定》及其他有关规定进行信息披露外，基金管理人和基金托管人对基金运作中产生的信息以及从对方获得的业务信息应予保密。但是，如下情况不应视为基金管理人或基金托管人违反保密义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非因基金管理人和基金托管人的原因导致保密信息被披露、泄露或公开；</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基金管理人和基金托管人为遵守和服从法院判决或裁定、仲裁裁决或中国证监会等监管机构的命令、</w:t>
      </w:r>
      <w:r>
        <w:rPr>
          <w:rFonts w:ascii="彩虹粗仿宋" w:eastAsia="彩虹粗仿宋" w:hAnsi="宋体" w:cs="Arial" w:hint="eastAsia"/>
          <w:sz w:val="24"/>
        </w:rPr>
        <w:t>决定所做出的信息披露或公开；</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法律法规或监管机构、司法机关等有权机关要求提供；</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因审计、法律等外部专业顾问提供服务需要提供。</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（二）信息披露的内容</w:t>
      </w:r>
    </w:p>
    <w:p w:rsidR="003F2F5E" w:rsidRDefault="00DD591D">
      <w:pPr>
        <w:adjustRightInd w:val="0"/>
        <w:snapToGrid w:val="0"/>
        <w:ind w:firstLineChars="200" w:firstLine="480"/>
        <w:rPr>
          <w:rFonts w:ascii="彩虹粗仿宋" w:eastAsia="彩虹粗仿宋" w:hAnsi="宋体" w:cs="Arial"/>
          <w:sz w:val="24"/>
        </w:rPr>
      </w:pPr>
      <w:bookmarkStart w:id="96" w:name="_Hlk191903838"/>
      <w:r>
        <w:rPr>
          <w:rFonts w:ascii="彩虹粗仿宋" w:eastAsia="彩虹粗仿宋" w:hAnsi="宋体" w:cs="Arial" w:hint="eastAsia"/>
          <w:sz w:val="24"/>
        </w:rPr>
        <w:t>基金的信息披露内容主要包括基金招募说明书、《基金合同》、托管协议、基金</w:t>
      </w:r>
      <w:r>
        <w:rPr>
          <w:rFonts w:ascii="彩虹粗仿宋" w:eastAsia="彩虹粗仿宋" w:hAnsi="宋体" w:cs="Arial"/>
          <w:sz w:val="24"/>
        </w:rPr>
        <w:t>产品资料概要、</w:t>
      </w:r>
      <w:r>
        <w:rPr>
          <w:rFonts w:ascii="彩虹粗仿宋" w:eastAsia="彩虹粗仿宋" w:hAnsi="宋体" w:cs="Arial" w:hint="eastAsia"/>
          <w:sz w:val="24"/>
        </w:rPr>
        <w:t>基金份额发售公告、《基金合同》生效公告、基金净值信息、基金份额申购、赎回价格、基金定期报告（包括基金年度报告、基金中期报告和基金季度报告）、临时报告、澄清公告、基金份额持有人大会决议、投资基金份额的信息披露、投资存托凭证的信息披露、投资资产支持证券的信息披露、投资港股通标</w:t>
      </w:r>
      <w:r>
        <w:rPr>
          <w:rFonts w:ascii="彩虹粗仿宋" w:eastAsia="彩虹粗仿宋" w:hAnsi="宋体" w:cs="Arial" w:hint="eastAsia"/>
          <w:sz w:val="24"/>
        </w:rPr>
        <w:t>的证券相关公告、清算报告、实施侧袋机制期间的信息披露、中国证监会规定的其他信息。基金年度报告中的财务会计报告需经符合《证券法》规定的会计师事务所审计后，方可披露。</w:t>
      </w:r>
      <w:bookmarkEnd w:id="96"/>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（三）基金托管人和基金管理人在信息披露中的职责和信息披露程序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职责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基金托管人和基金管理人在信息披露过程中应以保护基金份额持有人利益为宗旨，诚实信用，严守秘密。基金管理人负责办理与基金有关的信息披露事宜，基</w:t>
      </w:r>
      <w:r>
        <w:rPr>
          <w:rFonts w:ascii="彩虹粗仿宋" w:eastAsia="彩虹粗仿宋" w:hAnsi="宋体" w:cs="Arial" w:hint="eastAsia"/>
          <w:sz w:val="24"/>
        </w:rPr>
        <w:lastRenderedPageBreak/>
        <w:t>金托管人应当按照相关法律法规和《基金合同》的约定，对于上一款规定的应由基金托管人复核的事项进行复核，基金托管人复核无误后，由基金管理人予以</w:t>
      </w:r>
      <w:r>
        <w:rPr>
          <w:rFonts w:ascii="彩虹粗仿宋" w:eastAsia="彩虹粗仿宋" w:hAnsi="宋体" w:cs="Arial" w:hint="eastAsia"/>
          <w:sz w:val="24"/>
        </w:rPr>
        <w:t>公布。基金托管人应当根据自身能够获取的数据和信息进行复核，基金管理人应在信息披露时说明基金托管人所复核的数据和信息范围。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基金管理人和基金托管人应积极配合、互相监督，</w:t>
      </w:r>
      <w:r>
        <w:rPr>
          <w:rFonts w:ascii="彩虹粗仿宋" w:eastAsia="彩虹粗仿宋" w:hAnsi="宋体" w:cs="Arial" w:hint="eastAsia"/>
          <w:sz w:val="24"/>
        </w:rPr>
        <w:t xml:space="preserve"> </w:t>
      </w:r>
      <w:r>
        <w:rPr>
          <w:rFonts w:ascii="彩虹粗仿宋" w:eastAsia="彩虹粗仿宋" w:hAnsi="宋体" w:cs="Arial" w:hint="eastAsia"/>
          <w:sz w:val="24"/>
        </w:rPr>
        <w:t>保证其履行按照法定方式和限时披露的义务。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基金管理人应当在中国证监会规定的时间内，将应予披露的基金信息通过规定媒介披露。根据法律法规应由基金托管人公开披露的信息，基金托管人将通过规定媒介公开披露。</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当出现下述情况时，基金管理人和基金托管人可暂停或延迟披露基金相关信息：</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）基金投资所涉及的证券交易市场遇法定节假日或因其他原因暂停营业时；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）因不可抗力或其他情形致使基金管理人、基金托管人无法准确评估基金资产价值时；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）当特定资产占前一估值日基金资产净值</w:t>
      </w:r>
      <w:r>
        <w:rPr>
          <w:rFonts w:ascii="彩虹粗仿宋" w:eastAsia="彩虹粗仿宋" w:hAnsi="宋体" w:cs="Arial" w:hint="eastAsia"/>
          <w:sz w:val="24"/>
        </w:rPr>
        <w:t>50%</w:t>
      </w:r>
      <w:r>
        <w:rPr>
          <w:rFonts w:ascii="彩虹粗仿宋" w:eastAsia="彩虹粗仿宋" w:hAnsi="宋体" w:cs="Arial" w:hint="eastAsia"/>
          <w:sz w:val="24"/>
        </w:rPr>
        <w:t>以上的，经与基金托管人协商确认后，基金管理人暂停估值时；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）法律法规规定、基金合同或中国证监会认定的其他情形。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按有关规定须经基金托管人复核的信息披露文件，由基金管理人起草、并经基金托管人复核后由基金管理人公告。发生《基金合同》中规定需要披露的事项时，按《基金合同》规定公布。</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信息文本的存放</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依法必须披露的信息发布后，基金管理人、基金托管人应当按照相关法律法规规定将</w:t>
      </w:r>
      <w:r>
        <w:rPr>
          <w:rFonts w:ascii="彩虹粗仿宋" w:eastAsia="彩虹粗仿宋" w:hAnsi="宋体" w:cs="Arial" w:hint="eastAsia"/>
          <w:sz w:val="24"/>
        </w:rPr>
        <w:t>信息置备于各自住所，供社会公众查阅、复制。投资者可以免费查阅。投资者在支付工本费后可在合理时间获得上述文件的复制件或复印件。基金管理人和</w:t>
      </w:r>
      <w:r>
        <w:rPr>
          <w:rFonts w:ascii="彩虹粗仿宋" w:eastAsia="彩虹粗仿宋" w:hAnsi="宋体" w:cs="Arial" w:hint="eastAsia"/>
          <w:sz w:val="24"/>
        </w:rPr>
        <w:lastRenderedPageBreak/>
        <w:t>基金托管人应保证文本的内容与所公告的内容完全一致。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（四）实施侧袋机制期间的信息披露</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本基金实施侧袋机制的，相关信息披露义务人应当根据法律法规、基金合同和招募说明书的规定进行信息披露，详见招募说明书的规定。</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（五）法律法规或监管部门对适用于本基金的信息披露另有规定的，从其规定。如规定发生变化的，从其最新规定。</w:t>
      </w:r>
    </w:p>
    <w:p w:rsidR="003F2F5E" w:rsidRDefault="003F2F5E">
      <w:pPr>
        <w:pStyle w:val="a0"/>
        <w:ind w:firstLineChars="0" w:firstLine="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97" w:name="_Toc124325895"/>
      <w:r>
        <w:rPr>
          <w:rFonts w:ascii="彩虹粗仿宋" w:eastAsia="彩虹粗仿宋" w:hint="eastAsia"/>
          <w:sz w:val="30"/>
        </w:rPr>
        <w:t>十一、基金费用</w:t>
      </w:r>
      <w:bookmarkEnd w:id="97"/>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（一）基金管理费的计提比例和计提方法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1</w:t>
      </w:r>
      <w:r>
        <w:rPr>
          <w:rFonts w:ascii="彩虹粗仿宋" w:eastAsia="彩虹粗仿宋" w:hAnsi="宋体" w:cs="Arial"/>
          <w:sz w:val="24"/>
        </w:rPr>
        <w:t>、基金管理人的管理费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本基金投资于本基金管理人所管理的公开募集证券投资基金的部分不收取管理费。</w:t>
      </w:r>
      <w:r>
        <w:rPr>
          <w:rFonts w:ascii="彩虹粗仿宋" w:eastAsia="彩虹粗仿宋" w:hAnsi="宋体" w:cs="Arial"/>
          <w:sz w:val="24"/>
        </w:rPr>
        <w:t>本基金的管理费按前一日基金资产净值</w:t>
      </w:r>
      <w:r>
        <w:rPr>
          <w:rFonts w:ascii="彩虹粗仿宋" w:eastAsia="彩虹粗仿宋" w:hAnsi="宋体" w:cs="Arial" w:hint="eastAsia"/>
          <w:sz w:val="24"/>
        </w:rPr>
        <w:t>扣除本基金持有的基金管理人自身管理的其他公开募集证券投资基金部分公允</w:t>
      </w:r>
      <w:r>
        <w:rPr>
          <w:rFonts w:ascii="彩虹粗仿宋" w:eastAsia="彩虹粗仿宋" w:hAnsi="宋体" w:cs="Arial"/>
          <w:sz w:val="24"/>
        </w:rPr>
        <w:t>价值</w:t>
      </w:r>
      <w:r>
        <w:rPr>
          <w:rFonts w:ascii="彩虹粗仿宋" w:eastAsia="彩虹粗仿宋" w:hAnsi="宋体" w:cs="Arial" w:hint="eastAsia"/>
          <w:sz w:val="24"/>
        </w:rPr>
        <w:t>后的余额（若为负数，则取</w:t>
      </w:r>
      <w:r>
        <w:rPr>
          <w:rFonts w:ascii="彩虹粗仿宋" w:eastAsia="彩虹粗仿宋" w:hAnsi="宋体" w:cs="Arial" w:hint="eastAsia"/>
          <w:sz w:val="24"/>
        </w:rPr>
        <w:t>0</w:t>
      </w:r>
      <w:r>
        <w:rPr>
          <w:rFonts w:ascii="彩虹粗仿宋" w:eastAsia="彩虹粗仿宋" w:hAnsi="宋体" w:cs="Arial" w:hint="eastAsia"/>
          <w:sz w:val="24"/>
        </w:rPr>
        <w:t>）</w:t>
      </w:r>
      <w:r>
        <w:rPr>
          <w:rFonts w:ascii="彩虹粗仿宋" w:eastAsia="彩虹粗仿宋" w:hAnsi="宋体" w:cs="Arial"/>
          <w:sz w:val="24"/>
        </w:rPr>
        <w:t>的</w:t>
      </w:r>
      <w:r>
        <w:rPr>
          <w:rFonts w:ascii="彩虹粗仿宋" w:eastAsia="彩虹粗仿宋" w:hAnsi="宋体" w:cs="Arial"/>
          <w:sz w:val="24"/>
        </w:rPr>
        <w:t>0.40%</w:t>
      </w:r>
      <w:r>
        <w:rPr>
          <w:rFonts w:ascii="彩虹粗仿宋" w:eastAsia="彩虹粗仿宋" w:hAnsi="宋体" w:cs="Arial"/>
          <w:sz w:val="24"/>
        </w:rPr>
        <w:t>年费率计提。管理费的计算方法如下：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H</w:t>
      </w:r>
      <w:r>
        <w:rPr>
          <w:rFonts w:ascii="彩虹粗仿宋" w:eastAsia="彩虹粗仿宋" w:hAnsi="宋体" w:cs="Arial"/>
          <w:sz w:val="24"/>
        </w:rPr>
        <w:t>＝</w:t>
      </w:r>
      <w:r>
        <w:rPr>
          <w:rFonts w:ascii="彩虹粗仿宋" w:eastAsia="彩虹粗仿宋" w:hAnsi="宋体" w:cs="Arial"/>
          <w:sz w:val="24"/>
        </w:rPr>
        <w:t>E</w:t>
      </w:r>
      <w:r>
        <w:rPr>
          <w:rFonts w:ascii="彩虹粗仿宋" w:eastAsia="彩虹粗仿宋" w:hAnsi="宋体" w:cs="Arial"/>
          <w:sz w:val="24"/>
        </w:rPr>
        <w:t>×</w:t>
      </w:r>
      <w:r>
        <w:rPr>
          <w:rFonts w:ascii="彩虹粗仿宋" w:eastAsia="彩虹粗仿宋" w:hAnsi="宋体" w:cs="Arial"/>
          <w:sz w:val="24"/>
        </w:rPr>
        <w:t>0.40%</w:t>
      </w:r>
      <w:r>
        <w:rPr>
          <w:rFonts w:ascii="彩虹粗仿宋" w:eastAsia="彩虹粗仿宋" w:hAnsi="宋体" w:cs="Arial"/>
          <w:sz w:val="24"/>
        </w:rPr>
        <w:t>÷</w:t>
      </w:r>
      <w:r>
        <w:rPr>
          <w:rFonts w:ascii="彩虹粗仿宋" w:eastAsia="彩虹粗仿宋" w:hAnsi="宋体" w:cs="Arial"/>
          <w:sz w:val="24"/>
        </w:rPr>
        <w:t>当年天数</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H</w:t>
      </w:r>
      <w:r>
        <w:rPr>
          <w:rFonts w:ascii="彩虹粗仿宋" w:eastAsia="彩虹粗仿宋" w:hAnsi="宋体" w:cs="Arial"/>
          <w:sz w:val="24"/>
        </w:rPr>
        <w:t>为每日应计提的基金管理费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E</w:t>
      </w:r>
      <w:r>
        <w:rPr>
          <w:rFonts w:ascii="彩虹粗仿宋" w:eastAsia="彩虹粗仿宋" w:hAnsi="宋体" w:cs="Arial"/>
          <w:sz w:val="24"/>
        </w:rPr>
        <w:t>为前一日的基金资产净值中扣除本基金持有的基金管理人自身管理的其他</w:t>
      </w:r>
      <w:r>
        <w:rPr>
          <w:rFonts w:ascii="彩虹粗仿宋" w:eastAsia="彩虹粗仿宋" w:hAnsi="宋体" w:cs="Arial" w:hint="eastAsia"/>
          <w:sz w:val="24"/>
        </w:rPr>
        <w:t>公开募集证券投资</w:t>
      </w:r>
      <w:r>
        <w:rPr>
          <w:rFonts w:ascii="彩虹粗仿宋" w:eastAsia="彩虹粗仿宋" w:hAnsi="宋体" w:cs="Arial"/>
          <w:sz w:val="24"/>
        </w:rPr>
        <w:t>基金部分</w:t>
      </w:r>
      <w:r>
        <w:rPr>
          <w:rFonts w:ascii="彩虹粗仿宋" w:eastAsia="彩虹粗仿宋" w:hAnsi="宋体" w:cs="Arial" w:hint="eastAsia"/>
          <w:sz w:val="24"/>
        </w:rPr>
        <w:t>公允价值后的余额（若为负数，则取</w:t>
      </w:r>
      <w:r>
        <w:rPr>
          <w:rFonts w:ascii="彩虹粗仿宋" w:eastAsia="彩虹粗仿宋" w:hAnsi="宋体" w:cs="Arial" w:hint="eastAsia"/>
          <w:sz w:val="24"/>
        </w:rPr>
        <w:t>0</w:t>
      </w:r>
      <w:r>
        <w:rPr>
          <w:rFonts w:ascii="彩虹粗仿宋" w:eastAsia="彩虹粗仿宋" w:hAnsi="宋体" w:cs="Arial" w:hint="eastAsia"/>
          <w:sz w:val="24"/>
        </w:rPr>
        <w:t>）</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（二）基金托管费的计提比例和计提方法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本基金投资于本基金托管人所托管的公开募集证券投资基金的部分不收取托管费。</w:t>
      </w:r>
      <w:r>
        <w:rPr>
          <w:rFonts w:ascii="彩虹粗仿宋" w:eastAsia="彩虹粗仿宋" w:hAnsi="宋体" w:cs="Arial"/>
          <w:sz w:val="24"/>
        </w:rPr>
        <w:t>本基金的托管费按前一日基金资产净值</w:t>
      </w:r>
      <w:r>
        <w:rPr>
          <w:rFonts w:ascii="彩虹粗仿宋" w:eastAsia="彩虹粗仿宋" w:hAnsi="宋体" w:cs="Arial" w:hint="eastAsia"/>
          <w:sz w:val="24"/>
        </w:rPr>
        <w:t>扣除本基金持有的本基金托管人所托管公开募集证券投资基金部分公允价值后的余额（若为负数，则取</w:t>
      </w:r>
      <w:r>
        <w:rPr>
          <w:rFonts w:ascii="彩虹粗仿宋" w:eastAsia="彩虹粗仿宋" w:hAnsi="宋体" w:cs="Arial" w:hint="eastAsia"/>
          <w:sz w:val="24"/>
        </w:rPr>
        <w:t>0</w:t>
      </w:r>
      <w:r>
        <w:rPr>
          <w:rFonts w:ascii="彩虹粗仿宋" w:eastAsia="彩虹粗仿宋" w:hAnsi="宋体" w:cs="Arial" w:hint="eastAsia"/>
          <w:sz w:val="24"/>
        </w:rPr>
        <w:t>）</w:t>
      </w:r>
      <w:r>
        <w:rPr>
          <w:rFonts w:ascii="彩虹粗仿宋" w:eastAsia="彩虹粗仿宋" w:hAnsi="宋体" w:cs="Arial"/>
          <w:sz w:val="24"/>
        </w:rPr>
        <w:t>的</w:t>
      </w:r>
      <w:r>
        <w:rPr>
          <w:rFonts w:ascii="彩虹粗仿宋" w:eastAsia="彩虹粗仿宋" w:hAnsi="宋体" w:cs="Arial"/>
          <w:sz w:val="24"/>
        </w:rPr>
        <w:t>0.10%</w:t>
      </w:r>
      <w:r>
        <w:rPr>
          <w:rFonts w:ascii="彩虹粗仿宋" w:eastAsia="彩虹粗仿宋" w:hAnsi="宋体" w:cs="Arial"/>
          <w:sz w:val="24"/>
        </w:rPr>
        <w:t>的年费率计提。托管费的计算方法如下：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lastRenderedPageBreak/>
        <w:t>H</w:t>
      </w:r>
      <w:r>
        <w:rPr>
          <w:rFonts w:ascii="彩虹粗仿宋" w:eastAsia="彩虹粗仿宋" w:hAnsi="宋体" w:cs="Arial"/>
          <w:sz w:val="24"/>
        </w:rPr>
        <w:t>＝</w:t>
      </w:r>
      <w:r>
        <w:rPr>
          <w:rFonts w:ascii="彩虹粗仿宋" w:eastAsia="彩虹粗仿宋" w:hAnsi="宋体" w:cs="Arial"/>
          <w:sz w:val="24"/>
        </w:rPr>
        <w:t>E</w:t>
      </w:r>
      <w:r>
        <w:rPr>
          <w:rFonts w:ascii="彩虹粗仿宋" w:eastAsia="彩虹粗仿宋" w:hAnsi="宋体" w:cs="Arial"/>
          <w:sz w:val="24"/>
        </w:rPr>
        <w:t>×</w:t>
      </w:r>
      <w:r>
        <w:rPr>
          <w:rFonts w:ascii="彩虹粗仿宋" w:eastAsia="彩虹粗仿宋" w:hAnsi="宋体" w:cs="Arial"/>
          <w:sz w:val="24"/>
        </w:rPr>
        <w:t>0.10%</w:t>
      </w:r>
      <w:r>
        <w:rPr>
          <w:rFonts w:ascii="彩虹粗仿宋" w:eastAsia="彩虹粗仿宋" w:hAnsi="宋体" w:cs="Arial"/>
          <w:sz w:val="24"/>
        </w:rPr>
        <w:t>÷</w:t>
      </w:r>
      <w:r>
        <w:rPr>
          <w:rFonts w:ascii="彩虹粗仿宋" w:eastAsia="彩虹粗仿宋" w:hAnsi="宋体" w:cs="Arial"/>
          <w:sz w:val="24"/>
        </w:rPr>
        <w:t>当年天数</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H</w:t>
      </w:r>
      <w:r>
        <w:rPr>
          <w:rFonts w:ascii="彩虹粗仿宋" w:eastAsia="彩虹粗仿宋" w:hAnsi="宋体" w:cs="Arial"/>
          <w:sz w:val="24"/>
        </w:rPr>
        <w:t>为每日应计提的基金托管费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E</w:t>
      </w:r>
      <w:r>
        <w:rPr>
          <w:rFonts w:ascii="彩虹粗仿宋" w:eastAsia="彩虹粗仿宋" w:hAnsi="宋体" w:cs="Arial"/>
          <w:sz w:val="24"/>
        </w:rPr>
        <w:t>为前一日的基金资产净值中扣除本基金持有的基金托管人自身托管的其他</w:t>
      </w:r>
      <w:r>
        <w:rPr>
          <w:rFonts w:ascii="彩虹粗仿宋" w:eastAsia="彩虹粗仿宋" w:hAnsi="宋体" w:cs="Arial" w:hint="eastAsia"/>
          <w:sz w:val="24"/>
        </w:rPr>
        <w:t>公开募集证券投资</w:t>
      </w:r>
      <w:r>
        <w:rPr>
          <w:rFonts w:ascii="彩虹粗仿宋" w:eastAsia="彩虹粗仿宋" w:hAnsi="宋体" w:cs="Arial"/>
          <w:sz w:val="24"/>
        </w:rPr>
        <w:t>基金部分</w:t>
      </w:r>
      <w:r>
        <w:rPr>
          <w:rFonts w:ascii="彩虹粗仿宋" w:eastAsia="彩虹粗仿宋" w:hAnsi="宋体" w:cs="Arial" w:hint="eastAsia"/>
          <w:sz w:val="24"/>
        </w:rPr>
        <w:t>公允价值后的余额（若为负数，则取</w:t>
      </w:r>
      <w:r>
        <w:rPr>
          <w:rFonts w:ascii="彩虹粗仿宋" w:eastAsia="彩虹粗仿宋" w:hAnsi="宋体" w:cs="Arial" w:hint="eastAsia"/>
          <w:sz w:val="24"/>
        </w:rPr>
        <w:t>0</w:t>
      </w:r>
      <w:r>
        <w:rPr>
          <w:rFonts w:ascii="彩虹粗仿宋" w:eastAsia="彩虹粗仿宋" w:hAnsi="宋体" w:cs="Arial" w:hint="eastAsia"/>
          <w:sz w:val="24"/>
        </w:rPr>
        <w:t>）</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（三）销售服务费的计提比例和计提方法</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w:t>
      </w:r>
      <w:r>
        <w:rPr>
          <w:rFonts w:ascii="彩虹粗仿宋" w:eastAsia="彩虹粗仿宋" w:hAnsi="宋体" w:cs="Arial" w:hint="eastAsia"/>
          <w:sz w:val="24"/>
        </w:rPr>
        <w:t>A</w:t>
      </w:r>
      <w:r>
        <w:rPr>
          <w:rFonts w:ascii="彩虹粗仿宋" w:eastAsia="彩虹粗仿宋" w:hAnsi="宋体" w:cs="Arial" w:hint="eastAsia"/>
          <w:sz w:val="24"/>
        </w:rPr>
        <w:t>类基金份额不收取销售服务费，</w:t>
      </w:r>
      <w:r>
        <w:rPr>
          <w:rFonts w:ascii="彩虹粗仿宋" w:eastAsia="彩虹粗仿宋" w:hAnsi="宋体" w:cs="Arial" w:hint="eastAsia"/>
          <w:sz w:val="24"/>
        </w:rPr>
        <w:t>C</w:t>
      </w:r>
      <w:r>
        <w:rPr>
          <w:rFonts w:ascii="彩虹粗仿宋" w:eastAsia="彩虹粗仿宋" w:hAnsi="宋体" w:cs="Arial" w:hint="eastAsia"/>
          <w:sz w:val="24"/>
        </w:rPr>
        <w:t>类基金份额的销售服务费年费率为</w:t>
      </w:r>
      <w:r>
        <w:rPr>
          <w:rFonts w:ascii="彩虹粗仿宋" w:eastAsia="彩虹粗仿宋" w:hAnsi="宋体" w:cs="Arial"/>
          <w:sz w:val="24"/>
        </w:rPr>
        <w:t>0.20%</w:t>
      </w:r>
      <w:r>
        <w:rPr>
          <w:rFonts w:ascii="彩虹粗仿宋" w:eastAsia="彩虹粗仿宋" w:hAnsi="宋体" w:cs="Arial" w:hint="eastAsia"/>
          <w:sz w:val="24"/>
        </w:rPr>
        <w:t>。本基金销售服务费按前一日</w:t>
      </w:r>
      <w:r>
        <w:rPr>
          <w:rFonts w:ascii="彩虹粗仿宋" w:eastAsia="彩虹粗仿宋" w:hAnsi="宋体" w:cs="Arial"/>
          <w:sz w:val="24"/>
        </w:rPr>
        <w:t>C</w:t>
      </w:r>
      <w:r>
        <w:rPr>
          <w:rFonts w:ascii="彩虹粗仿宋" w:eastAsia="彩虹粗仿宋" w:hAnsi="宋体" w:cs="Arial" w:hint="eastAsia"/>
          <w:sz w:val="24"/>
        </w:rPr>
        <w:t>类基金份额资产净值的</w:t>
      </w:r>
      <w:r>
        <w:rPr>
          <w:rFonts w:ascii="彩虹粗仿宋" w:eastAsia="彩虹粗仿宋" w:hAnsi="宋体" w:cs="Arial"/>
          <w:sz w:val="24"/>
        </w:rPr>
        <w:t>0.20%</w:t>
      </w:r>
      <w:r>
        <w:rPr>
          <w:rFonts w:ascii="彩虹粗仿宋" w:eastAsia="彩虹粗仿宋" w:hAnsi="宋体" w:cs="Arial" w:hint="eastAsia"/>
          <w:sz w:val="24"/>
        </w:rPr>
        <w:t>年费率计提。计算方法如下：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H</w:t>
      </w:r>
      <w:r>
        <w:rPr>
          <w:rFonts w:ascii="彩虹粗仿宋" w:eastAsia="彩虹粗仿宋" w:hAnsi="宋体" w:cs="Arial" w:hint="eastAsia"/>
          <w:sz w:val="24"/>
        </w:rPr>
        <w:t>＝</w:t>
      </w:r>
      <w:r>
        <w:rPr>
          <w:rFonts w:ascii="彩虹粗仿宋" w:eastAsia="彩虹粗仿宋" w:hAnsi="宋体" w:cs="Arial"/>
          <w:sz w:val="24"/>
        </w:rPr>
        <w:t>E</w:t>
      </w:r>
      <w:r>
        <w:rPr>
          <w:rFonts w:ascii="彩虹粗仿宋" w:eastAsia="彩虹粗仿宋" w:hAnsi="宋体" w:cs="Arial" w:hint="eastAsia"/>
          <w:sz w:val="24"/>
        </w:rPr>
        <w:t>×年销售服务费率÷当年天数</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H</w:t>
      </w:r>
      <w:r>
        <w:rPr>
          <w:rFonts w:ascii="彩虹粗仿宋" w:eastAsia="彩虹粗仿宋" w:hAnsi="宋体" w:cs="Arial" w:hint="eastAsia"/>
          <w:sz w:val="24"/>
        </w:rPr>
        <w:t>为</w:t>
      </w:r>
      <w:r>
        <w:rPr>
          <w:rFonts w:ascii="彩虹粗仿宋" w:eastAsia="彩虹粗仿宋" w:hAnsi="宋体" w:cs="Arial" w:hint="eastAsia"/>
          <w:sz w:val="24"/>
        </w:rPr>
        <w:t>C</w:t>
      </w:r>
      <w:r>
        <w:rPr>
          <w:rFonts w:ascii="彩虹粗仿宋" w:eastAsia="彩虹粗仿宋" w:hAnsi="宋体" w:cs="Arial" w:hint="eastAsia"/>
          <w:sz w:val="24"/>
        </w:rPr>
        <w:t>类基金份额每日应计提的基金销售服务费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E</w:t>
      </w:r>
      <w:r>
        <w:rPr>
          <w:rFonts w:ascii="彩虹粗仿宋" w:eastAsia="彩虹粗仿宋" w:hAnsi="宋体" w:cs="Arial" w:hint="eastAsia"/>
          <w:sz w:val="24"/>
        </w:rPr>
        <w:t>为</w:t>
      </w:r>
      <w:r>
        <w:rPr>
          <w:rFonts w:ascii="彩虹粗仿宋" w:eastAsia="彩虹粗仿宋" w:hAnsi="宋体" w:cs="Arial" w:hint="eastAsia"/>
          <w:sz w:val="24"/>
        </w:rPr>
        <w:t>C</w:t>
      </w:r>
      <w:r>
        <w:rPr>
          <w:rFonts w:ascii="彩虹粗仿宋" w:eastAsia="彩虹粗仿宋" w:hAnsi="宋体" w:cs="Arial" w:hint="eastAsia"/>
          <w:sz w:val="24"/>
        </w:rPr>
        <w:t>类基金份额前一日基金资产净值</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四）基金相关账户开户费用、基金的银行汇划费用、账户维护费、《基金合同》生效后的信息披露费用（法律法规、中国证监会另有规定的除外）、基金份额持有人大会费用、《基金合同》生效后与基金有关的会计师费、律师费</w:t>
      </w:r>
      <w:r>
        <w:rPr>
          <w:rFonts w:ascii="彩虹粗仿宋" w:eastAsia="彩虹粗仿宋" w:hAnsi="宋体" w:cs="Arial" w:hint="eastAsia"/>
          <w:bCs/>
          <w:sz w:val="24"/>
        </w:rPr>
        <w:t>、公证费、</w:t>
      </w:r>
      <w:r>
        <w:rPr>
          <w:rFonts w:ascii="彩虹粗仿宋" w:eastAsia="彩虹粗仿宋" w:hAnsi="宋体" w:cs="Arial"/>
          <w:bCs/>
          <w:sz w:val="24"/>
        </w:rPr>
        <w:t>诉讼费</w:t>
      </w:r>
      <w:r>
        <w:rPr>
          <w:rFonts w:ascii="彩虹粗仿宋" w:eastAsia="彩虹粗仿宋" w:hAnsi="宋体" w:cs="Arial" w:hint="eastAsia"/>
          <w:bCs/>
          <w:sz w:val="24"/>
        </w:rPr>
        <w:t>、仲裁费、</w:t>
      </w:r>
      <w:r>
        <w:rPr>
          <w:rFonts w:ascii="彩虹粗仿宋" w:eastAsia="彩虹粗仿宋" w:hAnsi="宋体" w:cs="Arial"/>
          <w:bCs/>
          <w:sz w:val="24"/>
        </w:rPr>
        <w:t>基金的证券交易费用</w:t>
      </w:r>
      <w:r>
        <w:rPr>
          <w:rFonts w:ascii="彩虹粗仿宋" w:eastAsia="彩虹粗仿宋" w:hAnsi="宋体" w:cs="Arial" w:hint="eastAsia"/>
          <w:bCs/>
          <w:sz w:val="24"/>
        </w:rPr>
        <w:t>、因投资港股通标的证券而产</w:t>
      </w:r>
      <w:r>
        <w:rPr>
          <w:rFonts w:ascii="彩虹粗仿宋" w:eastAsia="彩虹粗仿宋" w:hAnsi="宋体" w:cs="Arial" w:hint="eastAsia"/>
          <w:bCs/>
          <w:sz w:val="24"/>
        </w:rPr>
        <w:t>生的各项合理费用、基金投资其他基金产生的相关费用，但法律法规禁止从基金财产中列支的除外</w:t>
      </w:r>
      <w:r>
        <w:rPr>
          <w:rFonts w:ascii="彩虹粗仿宋" w:eastAsia="彩虹粗仿宋" w:hAnsi="宋体" w:cs="Arial" w:hint="eastAsia"/>
          <w:sz w:val="24"/>
        </w:rPr>
        <w:t>、《基金合同》及相应协议的规定，列入当期基金费用。</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（五）不列入基金费用的项目</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合同》生效前的律师费、会计师费和信息披露费用不得从基金财产中列支；基金管理人和基金托管人因未履行或未完全履行义务导致的费用支出或基金财产的损失，处理与基金运作无关的事项发生的费用，以及其他根据相关法律法规及中国证监会的有关规定不得列入基金费用的项目。</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（六）基金管理费、基金托管费和销售服务费的复核程序、支付方式和时间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复核程序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基金托管人对基金管理人计提的基金管理费、基金托管费和销售服务费等，根</w:t>
      </w:r>
      <w:r>
        <w:rPr>
          <w:rFonts w:ascii="彩虹粗仿宋" w:eastAsia="彩虹粗仿宋" w:hAnsi="宋体" w:cs="Arial" w:hint="eastAsia"/>
          <w:sz w:val="24"/>
        </w:rPr>
        <w:lastRenderedPageBreak/>
        <w:t>据本托管协议和《基金合同》的有关规定进行复核。</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支付方式和时间</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基金管理费、基金托管费每日计提，逐日累计至每月月末，按月支付，由基金托管人根据与基金管理人核对一致的财务数据，自动在月初</w:t>
      </w:r>
      <w:r>
        <w:rPr>
          <w:rFonts w:ascii="彩虹粗仿宋" w:eastAsia="彩虹粗仿宋" w:hAnsi="宋体" w:cs="Arial" w:hint="eastAsia"/>
          <w:sz w:val="24"/>
        </w:rPr>
        <w:t>5</w:t>
      </w:r>
      <w:r>
        <w:rPr>
          <w:rFonts w:ascii="彩虹粗仿宋" w:eastAsia="彩虹粗仿宋" w:hAnsi="宋体" w:cs="Arial" w:hint="eastAsia"/>
          <w:sz w:val="24"/>
        </w:rPr>
        <w:t>个工作日内、按照指定的账户路径进行资金支付，基金管理人无需再出具资金划拨指令。若遇法定节假日、公休日</w:t>
      </w:r>
      <w:bookmarkStart w:id="98" w:name="_Hlk193012100"/>
      <w:r>
        <w:rPr>
          <w:rFonts w:ascii="彩虹粗仿宋" w:eastAsia="彩虹粗仿宋" w:hAnsi="宋体" w:cs="Arial" w:hint="eastAsia"/>
          <w:sz w:val="24"/>
        </w:rPr>
        <w:t>或不可抗力</w:t>
      </w:r>
      <w:bookmarkEnd w:id="98"/>
      <w:r>
        <w:rPr>
          <w:rFonts w:ascii="彩虹粗仿宋" w:eastAsia="彩虹粗仿宋" w:hAnsi="宋体" w:cs="Arial" w:hint="eastAsia"/>
          <w:sz w:val="24"/>
        </w:rPr>
        <w:t>等，支付日期顺延。费用自动扣划后，基金管理人应进行核对，如发现数据不符，及时联系基金托管人协商解决。</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C</w:t>
      </w:r>
      <w:r>
        <w:rPr>
          <w:rFonts w:ascii="彩虹粗仿宋" w:eastAsia="彩虹粗仿宋" w:hAnsi="宋体" w:cs="Arial" w:hint="eastAsia"/>
          <w:sz w:val="24"/>
        </w:rPr>
        <w:t>类基金份额的销售服务费计提、具体收取</w:t>
      </w:r>
      <w:r>
        <w:rPr>
          <w:rFonts w:ascii="彩虹粗仿宋" w:eastAsia="彩虹粗仿宋" w:hAnsi="宋体" w:cs="Arial"/>
          <w:sz w:val="24"/>
        </w:rPr>
        <w:t>/</w:t>
      </w:r>
      <w:r>
        <w:rPr>
          <w:rFonts w:ascii="彩虹粗仿宋" w:eastAsia="彩虹粗仿宋" w:hAnsi="宋体" w:cs="Arial" w:hint="eastAsia"/>
          <w:sz w:val="24"/>
        </w:rPr>
        <w:t>返</w:t>
      </w:r>
      <w:r>
        <w:rPr>
          <w:rFonts w:ascii="彩虹粗仿宋" w:eastAsia="彩虹粗仿宋" w:hAnsi="宋体" w:cs="Arial" w:hint="eastAsia"/>
          <w:sz w:val="24"/>
        </w:rPr>
        <w:t>还方式详见《招募说明书》。</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在首期支付基金管理费、销售服务费前，基金管理人应向基金托管人出具正式函件指定基金管理费、销售服务费的收款账户。基金管理人如需要变更此账户，应提前</w:t>
      </w:r>
      <w:r>
        <w:rPr>
          <w:rFonts w:ascii="彩虹粗仿宋" w:eastAsia="彩虹粗仿宋" w:hAnsi="宋体" w:cs="Arial" w:hint="eastAsia"/>
          <w:sz w:val="24"/>
        </w:rPr>
        <w:t>5</w:t>
      </w:r>
      <w:r>
        <w:rPr>
          <w:rFonts w:ascii="彩虹粗仿宋" w:eastAsia="彩虹粗仿宋" w:hAnsi="宋体" w:cs="Arial" w:hint="eastAsia"/>
          <w:sz w:val="24"/>
        </w:rPr>
        <w:t>个工作日向基金托管人出具书面的收款账户变更通知。</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（七）基金管理人运用本基金财产申购自身管理的基金的（</w:t>
      </w:r>
      <w:r>
        <w:rPr>
          <w:rFonts w:ascii="彩虹粗仿宋" w:eastAsia="彩虹粗仿宋" w:hAnsi="宋体" w:cs="Arial" w:hint="eastAsia"/>
          <w:sz w:val="24"/>
        </w:rPr>
        <w:t>ETF</w:t>
      </w:r>
      <w:r>
        <w:rPr>
          <w:rFonts w:ascii="彩虹粗仿宋" w:eastAsia="彩虹粗仿宋" w:hAnsi="宋体" w:cs="Arial" w:hint="eastAsia"/>
          <w:sz w:val="24"/>
        </w:rPr>
        <w:t>除外），应当通过直销渠道申购且不得收取申购费、赎回费（按照相关法规、基金招募说明书约定应当收取，并计入基金财产的赎回费用除外）、销售服务费等销售费用。</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（八）违规处理方式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（九）实施侧袋机制期间的基金费用</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本基金实施侧袋机制的，与侧袋账户有关的费用可以从侧袋账户中列支，但应待侧袋账户资产变现后方可列支，有关费用可酌情收取或减免，但不得收取管理费，详见招募说明书的规定。</w:t>
      </w:r>
    </w:p>
    <w:p w:rsidR="003F2F5E" w:rsidRDefault="003F2F5E">
      <w:pPr>
        <w:adjustRightInd w:val="0"/>
        <w:snapToGrid w:val="0"/>
        <w:ind w:firstLineChars="200" w:firstLine="48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99" w:name="_Toc124325896"/>
      <w:r>
        <w:rPr>
          <w:rFonts w:ascii="彩虹粗仿宋" w:eastAsia="彩虹粗仿宋" w:hint="eastAsia"/>
          <w:sz w:val="30"/>
        </w:rPr>
        <w:lastRenderedPageBreak/>
        <w:t>十二、基金份额持有人名册的保管</w:t>
      </w:r>
      <w:bookmarkEnd w:id="99"/>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基金份额持有人名册至少应包括基金份额持有人的名称和持有的基金份额。基金份额持有人名册由</w:t>
      </w:r>
      <w:r>
        <w:rPr>
          <w:rFonts w:ascii="彩虹粗仿宋" w:eastAsia="彩虹粗仿宋" w:hAnsi="宋体" w:cs="Arial" w:hint="eastAsia"/>
          <w:sz w:val="24"/>
        </w:rPr>
        <w:t>基金登记机构根据基金管理人的指令编制和保管，基金管理人和基金托管人应分别保管基金份额持有人名册，保存期不少于法律法规规定的最低年限。如不能妥善保管，则按相关法规承担责任。</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在基金托管人要求或编制中期报告和年度报告前，基金管理人应将有关资料送交基金托管人，不得无故拒绝或延误提供，并保证其真实性、准确性和完整性。</w:t>
      </w:r>
      <w:r>
        <w:rPr>
          <w:rFonts w:ascii="彩虹粗仿宋" w:eastAsia="彩虹粗仿宋" w:hAnsi="宋体" w:hint="eastAsia"/>
          <w:kern w:val="0"/>
          <w:sz w:val="24"/>
        </w:rPr>
        <w:t>基金托管人不得将所保管的基金份额持有人名册用于基金托管业务以外的其他用途，并应遵守保密义务。</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100" w:name="_Toc124325897"/>
      <w:r>
        <w:rPr>
          <w:rFonts w:ascii="彩虹粗仿宋" w:eastAsia="彩虹粗仿宋" w:hint="eastAsia"/>
          <w:sz w:val="30"/>
        </w:rPr>
        <w:t>十三、基金有关文件档案的保存</w:t>
      </w:r>
      <w:bookmarkEnd w:id="100"/>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（一）档案保存</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基金管理人应保存基金财产管理业务活动的记录、账册、报表和其他</w:t>
      </w:r>
      <w:r>
        <w:rPr>
          <w:rFonts w:ascii="彩虹粗仿宋" w:eastAsia="彩虹粗仿宋" w:hAnsi="宋体" w:cs="Arial" w:hint="eastAsia"/>
          <w:sz w:val="24"/>
        </w:rPr>
        <w:t>相关资料。基金托管人应保存基金托管业务活动的记录、账册、报表和其他相关资料。基金管理人和基金托管人都应当按规定的期限保管。保存期限不少于法律法规规定</w:t>
      </w:r>
      <w:r>
        <w:rPr>
          <w:rFonts w:ascii="彩虹粗仿宋" w:eastAsia="彩虹粗仿宋" w:hAnsi="宋体" w:cs="Arial"/>
          <w:sz w:val="24"/>
        </w:rPr>
        <w:t>的最低年限</w:t>
      </w:r>
      <w:r>
        <w:rPr>
          <w:rFonts w:ascii="彩虹粗仿宋" w:eastAsia="彩虹粗仿宋" w:hAnsi="宋体" w:cs="Arial" w:hint="eastAsia"/>
          <w:sz w:val="24"/>
        </w:rPr>
        <w:t>。</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（二）合同档案的建立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基金管理人签署重大合同文本后，应及时将合同文本正本送达基金托管人处。</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基金管理人应及时将与本基金账务处理、资金划拨等有关的合同、协议发送给基金托管人。</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（三）变更与协助</w:t>
      </w:r>
    </w:p>
    <w:p w:rsidR="003F2F5E" w:rsidRDefault="00DD591D">
      <w:pPr>
        <w:adjustRightInd w:val="0"/>
        <w:snapToGrid w:val="0"/>
        <w:ind w:firstLineChars="200" w:firstLine="480"/>
        <w:rPr>
          <w:rFonts w:ascii="彩虹粗仿宋" w:eastAsia="彩虹粗仿宋"/>
          <w:b/>
          <w:bCs/>
          <w:sz w:val="30"/>
          <w:szCs w:val="30"/>
        </w:rPr>
      </w:pPr>
      <w:r>
        <w:rPr>
          <w:rFonts w:ascii="彩虹粗仿宋" w:eastAsia="彩虹粗仿宋" w:hAnsi="宋体" w:cs="Arial" w:hint="eastAsia"/>
          <w:sz w:val="24"/>
        </w:rPr>
        <w:t>若基金管理人</w:t>
      </w:r>
      <w:r>
        <w:rPr>
          <w:rFonts w:ascii="彩虹粗仿宋" w:eastAsia="彩虹粗仿宋" w:hAnsi="宋体" w:cs="Arial" w:hint="eastAsia"/>
          <w:sz w:val="24"/>
        </w:rPr>
        <w:t>/</w:t>
      </w:r>
      <w:r>
        <w:rPr>
          <w:rFonts w:ascii="彩虹粗仿宋" w:eastAsia="彩虹粗仿宋" w:hAnsi="宋体" w:cs="Arial" w:hint="eastAsia"/>
          <w:sz w:val="24"/>
        </w:rPr>
        <w:t>基金托管人发生变更，未变更的一方有义务协助变更后的接任人接收相应文件。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（四）基金管理人和基金托管人应按各自职责完整保存原始凭证、记账凭</w:t>
      </w:r>
      <w:r>
        <w:rPr>
          <w:rFonts w:ascii="彩虹粗仿宋" w:eastAsia="彩虹粗仿宋" w:hAnsi="宋体" w:cs="Arial" w:hint="eastAsia"/>
          <w:sz w:val="24"/>
        </w:rPr>
        <w:t>证、</w:t>
      </w:r>
      <w:r>
        <w:rPr>
          <w:rFonts w:ascii="彩虹粗仿宋" w:eastAsia="彩虹粗仿宋" w:hAnsi="宋体" w:cs="Arial" w:hint="eastAsia"/>
          <w:sz w:val="24"/>
        </w:rPr>
        <w:lastRenderedPageBreak/>
        <w:t>基金账册、交易记录和重要合同等，承担保密义务，保存期限不少于法律法规规定</w:t>
      </w:r>
      <w:r>
        <w:rPr>
          <w:rFonts w:ascii="彩虹粗仿宋" w:eastAsia="彩虹粗仿宋" w:hAnsi="宋体" w:cs="Arial"/>
          <w:sz w:val="24"/>
        </w:rPr>
        <w:t>的最低年限</w:t>
      </w:r>
      <w:r>
        <w:rPr>
          <w:rFonts w:ascii="彩虹粗仿宋" w:eastAsia="彩虹粗仿宋" w:hAnsi="宋体" w:cs="Arial" w:hint="eastAsia"/>
          <w:sz w:val="24"/>
        </w:rPr>
        <w:t>。</w:t>
      </w:r>
    </w:p>
    <w:p w:rsidR="003F2F5E" w:rsidRDefault="003F2F5E">
      <w:pPr>
        <w:adjustRightInd w:val="0"/>
        <w:snapToGrid w:val="0"/>
        <w:rPr>
          <w:rFonts w:ascii="彩虹粗仿宋" w:eastAsia="彩虹粗仿宋"/>
          <w:sz w:val="30"/>
          <w:szCs w:val="30"/>
        </w:rPr>
      </w:pPr>
    </w:p>
    <w:p w:rsidR="003F2F5E" w:rsidRDefault="00DD591D">
      <w:pPr>
        <w:pStyle w:val="2"/>
        <w:jc w:val="center"/>
        <w:rPr>
          <w:rFonts w:ascii="彩虹粗仿宋" w:eastAsia="彩虹粗仿宋"/>
          <w:sz w:val="30"/>
        </w:rPr>
      </w:pPr>
      <w:bookmarkStart w:id="101" w:name="_Toc124325898"/>
      <w:r>
        <w:rPr>
          <w:rFonts w:ascii="彩虹粗仿宋" w:eastAsia="彩虹粗仿宋" w:hint="eastAsia"/>
          <w:sz w:val="30"/>
        </w:rPr>
        <w:t>十四、基金管理人和基金托管人的更换</w:t>
      </w:r>
      <w:bookmarkEnd w:id="101"/>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（一）基金管理人职责终止的情形及更换程序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基金管理人职责终止的情形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有下列情形之一的，基金管理人职责终止：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）被依法取消基金管理资格；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）被基金份额持有人大会解任；</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）依法解散、被依法撤销或被依法宣告破产；</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）法律法规及中国证监会规定的和《基金合同》约定的其他情形。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基金管理人的更换程序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更换基金管理人必须依照如下程序进行：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）提名：新任基金管理人由基金托管人或由单独或合计持有</w:t>
      </w:r>
      <w:r>
        <w:rPr>
          <w:rFonts w:ascii="彩虹粗仿宋" w:eastAsia="彩虹粗仿宋" w:hAnsi="宋体" w:cs="Arial" w:hint="eastAsia"/>
          <w:sz w:val="24"/>
        </w:rPr>
        <w:t>10%</w:t>
      </w:r>
      <w:r>
        <w:rPr>
          <w:rFonts w:ascii="彩虹粗仿宋" w:eastAsia="彩虹粗仿宋" w:hAnsi="宋体" w:cs="Arial" w:hint="eastAsia"/>
          <w:sz w:val="24"/>
        </w:rPr>
        <w:t>以上（含</w:t>
      </w:r>
      <w:r>
        <w:rPr>
          <w:rFonts w:ascii="彩虹粗仿宋" w:eastAsia="彩虹粗仿宋" w:hAnsi="宋体" w:cs="Arial" w:hint="eastAsia"/>
          <w:sz w:val="24"/>
        </w:rPr>
        <w:t>10%</w:t>
      </w:r>
      <w:r>
        <w:rPr>
          <w:rFonts w:ascii="彩虹粗仿宋" w:eastAsia="彩虹粗仿宋" w:hAnsi="宋体" w:cs="Arial" w:hint="eastAsia"/>
          <w:sz w:val="24"/>
        </w:rPr>
        <w:t>）基金份额的基金份额持有人提名；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）决议：基金份额持有人大会在基金管理人职责终止后</w:t>
      </w:r>
      <w:r>
        <w:rPr>
          <w:rFonts w:ascii="彩虹粗仿宋" w:eastAsia="彩虹粗仿宋" w:hAnsi="宋体" w:cs="Arial" w:hint="eastAsia"/>
          <w:sz w:val="24"/>
        </w:rPr>
        <w:t>6</w:t>
      </w:r>
      <w:r>
        <w:rPr>
          <w:rFonts w:ascii="彩虹粗仿宋" w:eastAsia="彩虹粗仿宋" w:hAnsi="宋体" w:cs="Arial" w:hint="eastAsia"/>
          <w:sz w:val="24"/>
        </w:rPr>
        <w:t>个月内对被提名的基金管理人形成决议，该决议需经参加大会的基金份额持有人所持表决权的三分之二以上（含三分之二）表决通过，决议自表决通过之日起生效；</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）临时基金管理人：新任基金管理人产生之前，由中国证监会指定临时基金管理人；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）备案：基金份额持有人大会更换基金管理人的决议须报中国证监会备案；</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5</w:t>
      </w:r>
      <w:r>
        <w:rPr>
          <w:rFonts w:ascii="彩虹粗仿宋" w:eastAsia="彩虹粗仿宋" w:hAnsi="宋体" w:cs="Arial" w:hint="eastAsia"/>
          <w:sz w:val="24"/>
        </w:rPr>
        <w:t>）公告：基金管理人更换后，由基金托管人在更换基金管理人的基金份额持有人大会决议生效后</w:t>
      </w:r>
      <w:r>
        <w:rPr>
          <w:rFonts w:ascii="彩虹粗仿宋" w:eastAsia="彩虹粗仿宋" w:hAnsi="宋体" w:cs="Arial" w:hint="eastAsia"/>
          <w:sz w:val="24"/>
        </w:rPr>
        <w:t>2</w:t>
      </w:r>
      <w:r>
        <w:rPr>
          <w:rFonts w:ascii="彩虹粗仿宋" w:eastAsia="彩虹粗仿宋" w:hAnsi="宋体" w:cs="Arial" w:hint="eastAsia"/>
          <w:sz w:val="24"/>
        </w:rPr>
        <w:t>日内在规定媒介公告；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hint="eastAsia"/>
          <w:sz w:val="24"/>
        </w:rPr>
        <w:t>6</w:t>
      </w:r>
      <w:r>
        <w:rPr>
          <w:rFonts w:ascii="彩虹粗仿宋" w:eastAsia="彩虹粗仿宋" w:hAnsi="宋体" w:cs="Arial" w:hint="eastAsia"/>
          <w:sz w:val="24"/>
        </w:rPr>
        <w:t>）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和基金资产净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7</w:t>
      </w:r>
      <w:r>
        <w:rPr>
          <w:rFonts w:ascii="彩虹粗仿宋" w:eastAsia="彩虹粗仿宋" w:hAnsi="宋体" w:cs="Arial" w:hint="eastAsia"/>
          <w:sz w:val="24"/>
        </w:rPr>
        <w:t>）审计：基金管理人职责终止的，应当按照法律法规规定聘请符合《证券法》规定的会计师事务所对基金财产进行审计，并将审计结果予以公告，同时报中国证</w:t>
      </w:r>
      <w:r>
        <w:rPr>
          <w:rFonts w:ascii="彩虹粗仿宋" w:eastAsia="彩虹粗仿宋" w:hAnsi="宋体" w:cs="Arial" w:hint="eastAsia"/>
          <w:sz w:val="24"/>
        </w:rPr>
        <w:t>监会备案，审计费用从基金财产中列支；</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8</w:t>
      </w:r>
      <w:r>
        <w:rPr>
          <w:rFonts w:ascii="彩虹粗仿宋" w:eastAsia="彩虹粗仿宋" w:hAnsi="宋体" w:cs="Arial" w:hint="eastAsia"/>
          <w:sz w:val="24"/>
        </w:rPr>
        <w:t>）基金名称变更：基金管理人更换后，如果原任或新任基金管理人要求，应按其要求替换或删除基金名称中与原任基金管理人有关的名称字样。</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（二）基金托管人职责终止的情形及更换程序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基金托管人职责终止的情形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有下列情形之一的，基金托管人职责终止：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）被依法取消基金托管资格；</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）被基金份额持有人大会解任；</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）依法解散、被依法撤销或被依法宣告破产；</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）法律法规及中国证监会规定的和《基金合同》约定的其他情形。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基金托管人的更换程序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）提名：新任基金托管人由</w:t>
      </w:r>
      <w:r>
        <w:rPr>
          <w:rFonts w:ascii="彩虹粗仿宋" w:eastAsia="彩虹粗仿宋" w:hAnsi="宋体" w:cs="Arial" w:hint="eastAsia"/>
          <w:sz w:val="24"/>
        </w:rPr>
        <w:t>基金管理人或由单独或合计持有</w:t>
      </w:r>
      <w:r>
        <w:rPr>
          <w:rFonts w:ascii="彩虹粗仿宋" w:eastAsia="彩虹粗仿宋" w:hAnsi="宋体" w:cs="Arial" w:hint="eastAsia"/>
          <w:sz w:val="24"/>
        </w:rPr>
        <w:t>10%</w:t>
      </w:r>
      <w:r>
        <w:rPr>
          <w:rFonts w:ascii="彩虹粗仿宋" w:eastAsia="彩虹粗仿宋" w:hAnsi="宋体" w:cs="Arial" w:hint="eastAsia"/>
          <w:sz w:val="24"/>
        </w:rPr>
        <w:t>以上（含</w:t>
      </w:r>
      <w:r>
        <w:rPr>
          <w:rFonts w:ascii="彩虹粗仿宋" w:eastAsia="彩虹粗仿宋" w:hAnsi="宋体" w:cs="Arial" w:hint="eastAsia"/>
          <w:sz w:val="24"/>
        </w:rPr>
        <w:t>10%</w:t>
      </w:r>
      <w:r>
        <w:rPr>
          <w:rFonts w:ascii="彩虹粗仿宋" w:eastAsia="彩虹粗仿宋" w:hAnsi="宋体" w:cs="Arial" w:hint="eastAsia"/>
          <w:sz w:val="24"/>
        </w:rPr>
        <w:t>）基金份额的基金份额持有人提名；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）决议：基金份额持有人大会在基金托管人职责终止后</w:t>
      </w:r>
      <w:r>
        <w:rPr>
          <w:rFonts w:ascii="彩虹粗仿宋" w:eastAsia="彩虹粗仿宋" w:hAnsi="宋体" w:cs="Arial" w:hint="eastAsia"/>
          <w:sz w:val="24"/>
        </w:rPr>
        <w:t>6</w:t>
      </w:r>
      <w:r>
        <w:rPr>
          <w:rFonts w:ascii="彩虹粗仿宋" w:eastAsia="彩虹粗仿宋" w:hAnsi="宋体" w:cs="Arial" w:hint="eastAsia"/>
          <w:sz w:val="24"/>
        </w:rPr>
        <w:t>个月内对被提名的基金托管人形成决议，该决议需经参加大会的基金份额持有人所持表决权的三分之二以上（含三分之二）表决通过，决议自表决通过之日起生效；</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3</w:t>
      </w:r>
      <w:r>
        <w:rPr>
          <w:rFonts w:ascii="彩虹粗仿宋" w:eastAsia="彩虹粗仿宋" w:hAnsi="宋体" w:cs="Arial" w:hint="eastAsia"/>
          <w:sz w:val="24"/>
        </w:rPr>
        <w:t>）临时基金托管人：新任基金托管人产生之前，由中国证监会指定临时基金托管人；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hint="eastAsia"/>
          <w:sz w:val="24"/>
        </w:rPr>
        <w:t>4</w:t>
      </w:r>
      <w:r>
        <w:rPr>
          <w:rFonts w:ascii="彩虹粗仿宋" w:eastAsia="彩虹粗仿宋" w:hAnsi="宋体" w:cs="Arial" w:hint="eastAsia"/>
          <w:sz w:val="24"/>
        </w:rPr>
        <w:t>）备案：基金份额持有人大会更换基金托管人的决议须报中国证监会备案；</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5</w:t>
      </w:r>
      <w:r>
        <w:rPr>
          <w:rFonts w:ascii="彩虹粗仿宋" w:eastAsia="彩虹粗仿宋" w:hAnsi="宋体" w:cs="Arial" w:hint="eastAsia"/>
          <w:sz w:val="24"/>
        </w:rPr>
        <w:t>）公告：基金托管人更换后，由基金管理人在更换基金托管人的基金份额持有人大会决议生效后</w:t>
      </w:r>
      <w:r>
        <w:rPr>
          <w:rFonts w:ascii="彩虹粗仿宋" w:eastAsia="彩虹粗仿宋" w:hAnsi="宋体" w:cs="Arial" w:hint="eastAsia"/>
          <w:sz w:val="24"/>
        </w:rPr>
        <w:t>2</w:t>
      </w:r>
      <w:r>
        <w:rPr>
          <w:rFonts w:ascii="彩虹粗仿宋" w:eastAsia="彩虹粗仿宋" w:hAnsi="宋体" w:cs="Arial" w:hint="eastAsia"/>
          <w:sz w:val="24"/>
        </w:rPr>
        <w:t>日内在规定媒介公告；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6</w:t>
      </w:r>
      <w:r>
        <w:rPr>
          <w:rFonts w:ascii="彩虹粗仿宋" w:eastAsia="彩虹粗仿宋" w:hAnsi="宋体" w:cs="Arial" w:hint="eastAsia"/>
          <w:sz w:val="24"/>
        </w:rPr>
        <w:t>）交接：基金托管人职责终止的，应当妥善保管基金财产和基金托管业务资料，及时办理基金财产和基金托管业务的移交手续，新任基金托管人或者临时基金托管人应当及时接收。临时基金托管人或新任基金托管人应与基金管理人核对基金资产总值和基金资产净值；</w:t>
      </w:r>
      <w:r>
        <w:rPr>
          <w:rFonts w:ascii="彩虹粗仿宋" w:eastAsia="彩虹粗仿宋" w:hAnsi="宋体" w:cs="Arial" w:hint="eastAsia"/>
          <w:sz w:val="24"/>
        </w:rPr>
        <w:t xml:space="preserve"> </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7</w:t>
      </w:r>
      <w:r>
        <w:rPr>
          <w:rFonts w:ascii="彩虹粗仿宋" w:eastAsia="彩虹粗仿宋" w:hAnsi="宋体" w:cs="Arial" w:hint="eastAsia"/>
          <w:sz w:val="24"/>
        </w:rPr>
        <w:t>）审计：基金托管人职责终止的，应当按照法律法规规定聘请符合《证券法》规定的会计师事务所对基金财产进行审计，并将审计结果予以公告，同时报中国证监会备案，审计</w:t>
      </w:r>
      <w:r>
        <w:rPr>
          <w:rFonts w:ascii="彩虹粗仿宋" w:eastAsia="彩虹粗仿宋" w:hAnsi="宋体" w:cs="Arial" w:hint="eastAsia"/>
          <w:sz w:val="24"/>
        </w:rPr>
        <w:t>费用从基金财产中列支。</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（三）基金管理人与基金托管人同时更换的条件和程序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、提名：如果基金管理人和基金托管人同时更换，由单独或合计持有基金总份额</w:t>
      </w:r>
      <w:r>
        <w:rPr>
          <w:rFonts w:ascii="彩虹粗仿宋" w:eastAsia="彩虹粗仿宋" w:hAnsi="宋体" w:cs="Arial" w:hint="eastAsia"/>
          <w:sz w:val="24"/>
        </w:rPr>
        <w:t>10%</w:t>
      </w:r>
      <w:r>
        <w:rPr>
          <w:rFonts w:ascii="彩虹粗仿宋" w:eastAsia="彩虹粗仿宋" w:hAnsi="宋体" w:cs="Arial" w:hint="eastAsia"/>
          <w:sz w:val="24"/>
        </w:rPr>
        <w:t>以上（含</w:t>
      </w:r>
      <w:r>
        <w:rPr>
          <w:rFonts w:ascii="彩虹粗仿宋" w:eastAsia="彩虹粗仿宋" w:hAnsi="宋体" w:cs="Arial" w:hint="eastAsia"/>
          <w:sz w:val="24"/>
        </w:rPr>
        <w:t>10%</w:t>
      </w:r>
      <w:r>
        <w:rPr>
          <w:rFonts w:ascii="彩虹粗仿宋" w:eastAsia="彩虹粗仿宋" w:hAnsi="宋体" w:cs="Arial" w:hint="eastAsia"/>
          <w:sz w:val="24"/>
        </w:rPr>
        <w:t>）的基金份额持有人提名新的基金管理人和基金托管人；</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、基金管理人和基金托管人的更换分别按上述程序进行；</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、公告：新任或临时基金管理人和新任或临时基金托管人应在更换基金管理人和基金托管人的基金份额持有人大会决议生效后</w:t>
      </w:r>
      <w:r>
        <w:rPr>
          <w:rFonts w:ascii="彩虹粗仿宋" w:eastAsia="彩虹粗仿宋" w:hAnsi="宋体" w:cs="Arial" w:hint="eastAsia"/>
          <w:sz w:val="24"/>
        </w:rPr>
        <w:t>2</w:t>
      </w:r>
      <w:r>
        <w:rPr>
          <w:rFonts w:ascii="彩虹粗仿宋" w:eastAsia="彩虹粗仿宋" w:hAnsi="宋体" w:cs="Arial" w:hint="eastAsia"/>
          <w:sz w:val="24"/>
        </w:rPr>
        <w:t>日内在规定媒介上联合公告。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（四）新任或临时基金管理人接收基金管理业务或新任或临时基金托管人接收基金财产和基金托管业务前，原任</w:t>
      </w:r>
      <w:r>
        <w:rPr>
          <w:rFonts w:ascii="彩虹粗仿宋" w:eastAsia="彩虹粗仿宋" w:hAnsi="宋体" w:cs="Arial" w:hint="eastAsia"/>
          <w:sz w:val="24"/>
        </w:rPr>
        <w:t>基金管理人或基金托管人应依据法律法规和《基金合同》的规定继续履行相关职责，并保证不对基金份额持有人的利益造成损害。原任基金管理人或基金托管人在继续履行相关职责期间，仍有权按照基金合同的规定收取基金管理费或基金托管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本部分关于基金管理人、基金托管人更换条件和程序的约定，凡是直接引用法律法规或监管规则的部分，如将来法律法规或监管规则修改导致相关内容被取消或变更的，基金管理人与基金托管人根据新颁布的法律法规或监管规则协商一致并提前公告后，可直接对相应内容进行修改和调整，无需召开基金份额持有人大会审议。</w:t>
      </w:r>
    </w:p>
    <w:p w:rsidR="003F2F5E" w:rsidRDefault="00DD591D">
      <w:pPr>
        <w:pStyle w:val="2"/>
        <w:jc w:val="center"/>
        <w:rPr>
          <w:rFonts w:ascii="彩虹粗仿宋" w:eastAsia="彩虹粗仿宋"/>
          <w:sz w:val="30"/>
        </w:rPr>
      </w:pPr>
      <w:bookmarkStart w:id="102" w:name="_Toc124325899"/>
      <w:r>
        <w:rPr>
          <w:rFonts w:ascii="彩虹粗仿宋" w:eastAsia="彩虹粗仿宋" w:hint="eastAsia"/>
          <w:sz w:val="30"/>
        </w:rPr>
        <w:lastRenderedPageBreak/>
        <w:t>十五、禁止行为</w:t>
      </w:r>
      <w:bookmarkEnd w:id="102"/>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本协议当事人禁止从事的行为，包括但不限于：</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（一）基金管理人、基金托管人将其固有财产或者他人财产混同于基金财产从事证券投资。</w:t>
      </w:r>
    </w:p>
    <w:p w:rsidR="003F2F5E" w:rsidRDefault="00DD591D">
      <w:pPr>
        <w:adjustRightInd w:val="0"/>
        <w:snapToGrid w:val="0"/>
        <w:ind w:firstLineChars="200" w:firstLine="480"/>
        <w:rPr>
          <w:rFonts w:ascii="彩虹粗仿宋" w:eastAsia="彩虹粗仿宋"/>
        </w:rPr>
      </w:pPr>
      <w:r>
        <w:rPr>
          <w:rFonts w:ascii="彩虹粗仿宋" w:eastAsia="彩虹粗仿宋" w:hint="eastAsia"/>
          <w:sz w:val="24"/>
        </w:rPr>
        <w:t>（二）基金管理人不公平地对待其管理的不同基金财产，基金托管人不公平地对待其托管的不同基金财产。</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（三）基金管理人、基金托管人利用基金财产为基金份额持有人以外的第三人牟取利益。</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（四）基金管理人、基金托管人向基金份额持有人违规承诺收益或者承担损失。</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（五）基金管理人、基金托管人对他人泄露基金运作和管理过程中任何尚未按法律法规规定的方式公开披露的信息。</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（六）基金管理人在</w:t>
      </w:r>
      <w:r>
        <w:rPr>
          <w:rFonts w:ascii="彩虹粗仿宋" w:eastAsia="彩虹粗仿宋" w:hint="eastAsia"/>
          <w:sz w:val="24"/>
        </w:rPr>
        <w:t>没有充足资金的情况下向基金托管人发出投资指令和赎回、分红资金的划拨指令，或违规向基金托管人发出指令。</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（七）基金管理人、基金托管人在行政上、财务上不独立</w:t>
      </w:r>
      <w:r>
        <w:rPr>
          <w:rFonts w:ascii="彩虹粗仿宋" w:eastAsia="彩虹粗仿宋" w:hint="eastAsia"/>
          <w:sz w:val="24"/>
        </w:rPr>
        <w:t xml:space="preserve">, </w:t>
      </w:r>
      <w:r>
        <w:rPr>
          <w:rFonts w:ascii="彩虹粗仿宋" w:eastAsia="彩虹粗仿宋" w:hint="eastAsia"/>
          <w:sz w:val="24"/>
        </w:rPr>
        <w:t>其高级管理人员和其他从业人员相互兼职。</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（八）基金托管人私自动用或处分基金财产，根据基金管理人的合法指令、《基金合同》或托管协议的规定进行处分的除外。</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（九）基金财产用于下列投资或者活动：</w:t>
      </w:r>
      <w:r>
        <w:rPr>
          <w:rFonts w:ascii="彩虹粗仿宋" w:eastAsia="彩虹粗仿宋" w:hint="eastAsia"/>
          <w:sz w:val="24"/>
        </w:rPr>
        <w:t>1.</w:t>
      </w:r>
      <w:r>
        <w:rPr>
          <w:rFonts w:ascii="彩虹粗仿宋" w:eastAsia="彩虹粗仿宋" w:hint="eastAsia"/>
          <w:sz w:val="24"/>
        </w:rPr>
        <w:t>承销证券；</w:t>
      </w:r>
      <w:r>
        <w:rPr>
          <w:rFonts w:ascii="彩虹粗仿宋" w:eastAsia="彩虹粗仿宋" w:hint="eastAsia"/>
          <w:sz w:val="24"/>
        </w:rPr>
        <w:t>2.</w:t>
      </w:r>
      <w:r>
        <w:rPr>
          <w:rFonts w:ascii="彩虹粗仿宋" w:eastAsia="彩虹粗仿宋" w:hint="eastAsia"/>
          <w:sz w:val="24"/>
        </w:rPr>
        <w:t>违反规定向他人贷款或者提供担保；</w:t>
      </w:r>
      <w:r>
        <w:rPr>
          <w:rFonts w:ascii="彩虹粗仿宋" w:eastAsia="彩虹粗仿宋" w:hint="eastAsia"/>
          <w:sz w:val="24"/>
        </w:rPr>
        <w:t>3.</w:t>
      </w:r>
      <w:r>
        <w:rPr>
          <w:rFonts w:ascii="彩虹粗仿宋" w:eastAsia="彩虹粗仿宋" w:hint="eastAsia"/>
          <w:sz w:val="24"/>
        </w:rPr>
        <w:t>从事承担无限责任的投资；</w:t>
      </w:r>
      <w:r>
        <w:rPr>
          <w:rFonts w:ascii="彩虹粗仿宋" w:eastAsia="彩虹粗仿宋" w:hint="eastAsia"/>
          <w:sz w:val="24"/>
        </w:rPr>
        <w:t>4.</w:t>
      </w:r>
      <w:r>
        <w:rPr>
          <w:rFonts w:ascii="彩虹粗仿宋" w:eastAsia="彩虹粗仿宋" w:hint="eastAsia"/>
          <w:sz w:val="24"/>
        </w:rPr>
        <w:t>向其基金管理人、基金托管人出资；</w:t>
      </w:r>
      <w:r>
        <w:rPr>
          <w:rFonts w:ascii="彩虹粗仿宋" w:eastAsia="彩虹粗仿宋"/>
          <w:sz w:val="24"/>
        </w:rPr>
        <w:t>5</w:t>
      </w:r>
      <w:r>
        <w:rPr>
          <w:rFonts w:ascii="彩虹粗仿宋" w:eastAsia="彩虹粗仿宋" w:hint="eastAsia"/>
          <w:sz w:val="24"/>
        </w:rPr>
        <w:t>.</w:t>
      </w:r>
      <w:r>
        <w:rPr>
          <w:rFonts w:ascii="彩虹粗仿宋" w:eastAsia="彩虹粗仿宋" w:hint="eastAsia"/>
          <w:sz w:val="24"/>
        </w:rPr>
        <w:t>从事内幕交易、操纵证券交易价格及其他不正当的证券交易活动；</w:t>
      </w:r>
      <w:r>
        <w:rPr>
          <w:rFonts w:ascii="彩虹粗仿宋" w:eastAsia="彩虹粗仿宋" w:hint="eastAsia"/>
          <w:sz w:val="24"/>
        </w:rPr>
        <w:t>6</w:t>
      </w:r>
      <w:r>
        <w:rPr>
          <w:rFonts w:ascii="彩虹粗仿宋" w:eastAsia="彩虹粗仿宋"/>
          <w:sz w:val="24"/>
        </w:rPr>
        <w:t>.</w:t>
      </w:r>
      <w:r>
        <w:rPr>
          <w:rFonts w:ascii="彩虹粗仿宋" w:eastAsia="彩虹粗仿宋" w:hint="eastAsia"/>
          <w:sz w:val="24"/>
        </w:rPr>
        <w:t>持有具有复杂、衍生品性质的基金份额，包括分级基金和中国证监会认定的其他基金份额；</w:t>
      </w:r>
      <w:r>
        <w:rPr>
          <w:rFonts w:ascii="彩虹粗仿宋" w:eastAsia="彩虹粗仿宋"/>
          <w:sz w:val="24"/>
        </w:rPr>
        <w:t>7</w:t>
      </w:r>
      <w:r>
        <w:rPr>
          <w:rFonts w:ascii="彩虹粗仿宋" w:eastAsia="彩虹粗仿宋" w:hint="eastAsia"/>
          <w:sz w:val="24"/>
        </w:rPr>
        <w:t>.</w:t>
      </w:r>
      <w:r>
        <w:rPr>
          <w:rFonts w:hint="eastAsia"/>
        </w:rPr>
        <w:t xml:space="preserve"> </w:t>
      </w:r>
      <w:r>
        <w:rPr>
          <w:rFonts w:ascii="彩虹粗仿宋" w:eastAsia="彩虹粗仿宋" w:hint="eastAsia"/>
          <w:sz w:val="24"/>
        </w:rPr>
        <w:t>法律、行政法规和中国证监会规定禁止的其他活动。法律法规或监管部门取消</w:t>
      </w:r>
      <w:r>
        <w:rPr>
          <w:rFonts w:ascii="彩虹粗仿宋" w:eastAsia="彩虹粗仿宋" w:hint="eastAsia"/>
          <w:bCs/>
          <w:sz w:val="24"/>
        </w:rPr>
        <w:t>或变更</w:t>
      </w:r>
      <w:r>
        <w:rPr>
          <w:rFonts w:ascii="彩虹粗仿宋" w:eastAsia="彩虹粗仿宋" w:hint="eastAsia"/>
          <w:sz w:val="24"/>
        </w:rPr>
        <w:t>上述限制，如适用于本基金，基金管理人在履行适当程序后，则本基金投资不再受相关限制</w:t>
      </w:r>
      <w:r>
        <w:rPr>
          <w:rFonts w:ascii="彩虹粗仿宋" w:eastAsia="彩虹粗仿宋" w:hint="eastAsia"/>
          <w:bCs/>
          <w:sz w:val="24"/>
        </w:rPr>
        <w:t>或按变更后的规定执行</w:t>
      </w:r>
      <w:r>
        <w:rPr>
          <w:rFonts w:ascii="彩虹粗仿宋" w:eastAsia="彩虹粗仿宋" w:hint="eastAsia"/>
          <w:sz w:val="24"/>
        </w:rPr>
        <w:t>。</w:t>
      </w:r>
    </w:p>
    <w:p w:rsidR="003F2F5E" w:rsidRDefault="00DD591D">
      <w:pPr>
        <w:adjustRightInd w:val="0"/>
        <w:snapToGrid w:val="0"/>
        <w:ind w:firstLineChars="200" w:firstLine="480"/>
        <w:rPr>
          <w:rFonts w:ascii="彩虹粗仿宋" w:eastAsia="彩虹粗仿宋"/>
          <w:sz w:val="24"/>
        </w:rPr>
      </w:pPr>
      <w:r>
        <w:rPr>
          <w:rFonts w:ascii="彩虹粗仿宋" w:eastAsia="彩虹粗仿宋" w:hint="eastAsia"/>
          <w:sz w:val="24"/>
        </w:rPr>
        <w:t>（十）法律法规和《基金合同》禁止的其他行为，以及依照法律、行政法规有</w:t>
      </w:r>
      <w:r>
        <w:rPr>
          <w:rFonts w:ascii="彩虹粗仿宋" w:eastAsia="彩虹粗仿宋" w:hint="eastAsia"/>
          <w:sz w:val="24"/>
        </w:rPr>
        <w:lastRenderedPageBreak/>
        <w:t>关规定，由中国证监会规定禁止基金管理人、基金托管人从事的其他行为。</w:t>
      </w:r>
    </w:p>
    <w:p w:rsidR="003F2F5E" w:rsidRDefault="003F2F5E">
      <w:pPr>
        <w:adjustRightInd w:val="0"/>
        <w:snapToGrid w:val="0"/>
        <w:rPr>
          <w:rFonts w:ascii="彩虹粗仿宋" w:eastAsia="彩虹粗仿宋"/>
          <w:sz w:val="30"/>
          <w:szCs w:val="30"/>
        </w:rPr>
      </w:pPr>
    </w:p>
    <w:p w:rsidR="003F2F5E" w:rsidRDefault="00DD591D">
      <w:pPr>
        <w:pStyle w:val="2"/>
        <w:jc w:val="center"/>
        <w:rPr>
          <w:rFonts w:ascii="彩虹粗仿宋" w:eastAsia="彩虹粗仿宋"/>
          <w:sz w:val="30"/>
        </w:rPr>
      </w:pPr>
      <w:bookmarkStart w:id="103" w:name="_Toc124325900"/>
      <w:bookmarkStart w:id="104" w:name="_Hlk193011875"/>
      <w:r>
        <w:rPr>
          <w:rFonts w:ascii="彩虹粗仿宋" w:eastAsia="彩虹粗仿宋" w:hint="eastAsia"/>
          <w:sz w:val="30"/>
        </w:rPr>
        <w:t>十六、托管协议的变更、终止与基金财产的清算</w:t>
      </w:r>
      <w:bookmarkEnd w:id="103"/>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一）托管协议的变更程序</w:t>
      </w:r>
    </w:p>
    <w:p w:rsidR="003F2F5E" w:rsidRDefault="00DD591D">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本协议双方当事人经协商一致，可以对协议进行修改。修改后的新协议，其内容不得与《基金合同》的规定有任何冲突。</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（二）基金托管协议终止的情形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《基金合同》终止；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基金托管人解散、依法被撤销、破产或由其他基金托管人接管基金资产；</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基金管理人解散、依法被撤销、破产或由其他基金管理人接管基金管理业务；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发生法律法规、中国证监会或《基金合同》规定的终止事项。</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（三）基金财产的清算</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、基金财产清算小组：自出现《基金合同》终止事由之日起</w:t>
      </w:r>
      <w:r>
        <w:rPr>
          <w:rFonts w:ascii="彩虹粗仿宋" w:eastAsia="彩虹粗仿宋" w:hAnsi="宋体" w:cs="Arial" w:hint="eastAsia"/>
          <w:sz w:val="24"/>
        </w:rPr>
        <w:t>30</w:t>
      </w:r>
      <w:r>
        <w:rPr>
          <w:rFonts w:ascii="彩虹粗仿宋" w:eastAsia="彩虹粗仿宋" w:hAnsi="宋体" w:cs="Arial" w:hint="eastAsia"/>
          <w:sz w:val="24"/>
        </w:rPr>
        <w:t>个工作日内成立基金财产清算小组，基金管理人组织基金财产清算小组并在中国证监会的监督下进行基金清算。</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、基金财产清算小组组成：基金财产清算小组成员由基金管理人、基金托管人、符合《证券法》规定的注册会计师、律师以及中国证监会指定的人员组成。基金财产清算小组可以聘用必要的工作人员。</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、基金财产清算小组职责：基金财产清算小组负责基金财产的保管、清理、估价、变现和分配。基金财产清算小组可以依法进行必要的民事活动。</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hint="eastAsia"/>
          <w:sz w:val="24"/>
        </w:rPr>
        <w:t>、基金财产清算程序：</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1</w:t>
      </w:r>
      <w:r>
        <w:rPr>
          <w:rFonts w:ascii="彩虹粗仿宋" w:eastAsia="彩虹粗仿宋" w:hAnsi="宋体" w:cs="Arial" w:hint="eastAsia"/>
          <w:sz w:val="24"/>
        </w:rPr>
        <w:t>）《基金合同》</w:t>
      </w:r>
      <w:r>
        <w:rPr>
          <w:rFonts w:ascii="彩虹粗仿宋" w:eastAsia="彩虹粗仿宋" w:hAnsi="宋体" w:cs="Arial" w:hint="eastAsia"/>
          <w:sz w:val="24"/>
        </w:rPr>
        <w:t>终止情形出现时，由基金财产清算小组统一接管基金财产；</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2</w:t>
      </w:r>
      <w:r>
        <w:rPr>
          <w:rFonts w:ascii="彩虹粗仿宋" w:eastAsia="彩虹粗仿宋" w:hAnsi="宋体" w:cs="Arial" w:hint="eastAsia"/>
          <w:sz w:val="24"/>
        </w:rPr>
        <w:t>）对基金财产和债权债务进行清理和确认；</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hint="eastAsia"/>
          <w:sz w:val="24"/>
        </w:rPr>
        <w:t>3</w:t>
      </w:r>
      <w:r>
        <w:rPr>
          <w:rFonts w:ascii="彩虹粗仿宋" w:eastAsia="彩虹粗仿宋" w:hAnsi="宋体" w:cs="Arial" w:hint="eastAsia"/>
          <w:sz w:val="24"/>
        </w:rPr>
        <w:t>）对基金财产进行估值和变现；</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4</w:t>
      </w:r>
      <w:r>
        <w:rPr>
          <w:rFonts w:ascii="彩虹粗仿宋" w:eastAsia="彩虹粗仿宋" w:hAnsi="宋体" w:cs="Arial" w:hint="eastAsia"/>
          <w:sz w:val="24"/>
        </w:rPr>
        <w:t>）制作清算报告；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5</w:t>
      </w:r>
      <w:r>
        <w:rPr>
          <w:rFonts w:ascii="彩虹粗仿宋" w:eastAsia="彩虹粗仿宋" w:hAnsi="宋体" w:cs="Arial" w:hint="eastAsia"/>
          <w:sz w:val="24"/>
        </w:rPr>
        <w:t>）聘请符合《证券法》规定的会计师事务所对清算报告进行外部审计，聘请律师事务所对清算报告出具法律意见书；</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6</w:t>
      </w:r>
      <w:r>
        <w:rPr>
          <w:rFonts w:ascii="彩虹粗仿宋" w:eastAsia="彩虹粗仿宋" w:hAnsi="宋体" w:cs="Arial" w:hint="eastAsia"/>
          <w:sz w:val="24"/>
        </w:rPr>
        <w:t>）将清算报告报中国证监会备案并公告；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hint="eastAsia"/>
          <w:sz w:val="24"/>
        </w:rPr>
        <w:t>7</w:t>
      </w:r>
      <w:r>
        <w:rPr>
          <w:rFonts w:ascii="彩虹粗仿宋" w:eastAsia="彩虹粗仿宋" w:hAnsi="宋体" w:cs="Arial" w:hint="eastAsia"/>
          <w:sz w:val="24"/>
        </w:rPr>
        <w:t>）对基金剩余财产进行分配。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w:t>
      </w:r>
      <w:r>
        <w:rPr>
          <w:rFonts w:ascii="彩虹粗仿宋" w:eastAsia="彩虹粗仿宋" w:hAnsi="宋体" w:cs="Arial" w:hint="eastAsia"/>
          <w:sz w:val="24"/>
        </w:rPr>
        <w:t>、基金财产清算的期限为</w:t>
      </w:r>
      <w:r>
        <w:rPr>
          <w:rFonts w:ascii="彩虹粗仿宋" w:eastAsia="彩虹粗仿宋" w:hAnsi="宋体" w:cs="Arial" w:hint="eastAsia"/>
          <w:sz w:val="24"/>
        </w:rPr>
        <w:t>6</w:t>
      </w:r>
      <w:r>
        <w:rPr>
          <w:rFonts w:ascii="彩虹粗仿宋" w:eastAsia="彩虹粗仿宋" w:hAnsi="宋体" w:cs="Arial" w:hint="eastAsia"/>
          <w:sz w:val="24"/>
        </w:rPr>
        <w:t>个月，但因本基金所持证券的流动性受到限制而不能及时变现的，清算期限相应顺延。</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w:t>
      </w:r>
      <w:r>
        <w:rPr>
          <w:rFonts w:ascii="彩虹粗仿宋" w:eastAsia="彩虹粗仿宋" w:hAnsi="宋体" w:cs="Arial" w:hint="eastAsia"/>
          <w:sz w:val="24"/>
        </w:rPr>
        <w:t>、基金管理人与基金托管人协商一致或基金财产清算小组认为有对基金份额持有</w:t>
      </w:r>
      <w:r>
        <w:rPr>
          <w:rFonts w:ascii="彩虹粗仿宋" w:eastAsia="彩虹粗仿宋" w:hAnsi="宋体" w:cs="Arial" w:hint="eastAsia"/>
          <w:sz w:val="24"/>
        </w:rPr>
        <w:t>人更为有利的清算方法，本基金财产的清算可按该方法进行，并及时公告，不需召开基金份额持有人大会。相关法律法规或监管部门另有规定的，按相关法律法规或监管部门的要求办理。</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7</w:t>
      </w:r>
      <w:r>
        <w:rPr>
          <w:rFonts w:ascii="彩虹粗仿宋" w:eastAsia="彩虹粗仿宋" w:hAnsi="宋体" w:cs="Arial" w:hint="eastAsia"/>
          <w:sz w:val="24"/>
        </w:rPr>
        <w:t>、清算费用</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清算费用是指基金财产清算小组在进行基金清算过程中发生的所有合理费用，清算费用由基金财产清算小组优先从基金财产中支付。</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8</w:t>
      </w:r>
      <w:r>
        <w:rPr>
          <w:rFonts w:ascii="彩虹粗仿宋" w:eastAsia="彩虹粗仿宋" w:hAnsi="宋体" w:cs="Arial" w:hint="eastAsia"/>
          <w:sz w:val="24"/>
        </w:rPr>
        <w:t>、基金财产清算剩余资产的分配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依据基金财产清算的分配方案，将基金财产清算后的全部剩余资产扣除基金财产清算费用、交纳所欠税款并清偿基金债务后，按各类基金份额在基金合同终止事由发生时各自基金份额资产净值的比例确定剩余财产在各类基金份额中的分配比例，并在各类基金份额可分配的剩余财产范围内按各份额类别内基金份额持有人持有的基金份额比例进行分配。</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9</w:t>
      </w:r>
      <w:r>
        <w:rPr>
          <w:rFonts w:ascii="彩虹粗仿宋" w:eastAsia="彩虹粗仿宋" w:hAnsi="宋体" w:cs="Arial" w:hint="eastAsia"/>
          <w:sz w:val="24"/>
        </w:rPr>
        <w:t>、基金财产清算的公告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清算过程中的有关重大事项须及时公告；基金财产清算报告经符合《证券法》规定的会计师事务所审计并由律师事务所出具法律意见书后报中国证监会备案并公告。基金财产清算公告于基金财产清算报告</w:t>
      </w:r>
      <w:r>
        <w:rPr>
          <w:rFonts w:ascii="彩虹粗仿宋" w:eastAsia="彩虹粗仿宋" w:hAnsi="宋体" w:cs="Arial" w:hint="eastAsia"/>
          <w:sz w:val="24"/>
        </w:rPr>
        <w:t>报中国证监会备案后</w:t>
      </w:r>
      <w:r>
        <w:rPr>
          <w:rFonts w:ascii="彩虹粗仿宋" w:eastAsia="彩虹粗仿宋" w:hAnsi="宋体" w:cs="Arial" w:hint="eastAsia"/>
          <w:sz w:val="24"/>
        </w:rPr>
        <w:t>5</w:t>
      </w:r>
      <w:r>
        <w:rPr>
          <w:rFonts w:ascii="彩虹粗仿宋" w:eastAsia="彩虹粗仿宋" w:hAnsi="宋体" w:cs="Arial" w:hint="eastAsia"/>
          <w:sz w:val="24"/>
        </w:rPr>
        <w:t>个工作日内</w:t>
      </w:r>
      <w:r>
        <w:rPr>
          <w:rFonts w:ascii="彩虹粗仿宋" w:eastAsia="彩虹粗仿宋" w:hAnsi="宋体" w:cs="Arial" w:hint="eastAsia"/>
          <w:sz w:val="24"/>
        </w:rPr>
        <w:lastRenderedPageBreak/>
        <w:t>由基金财产清算小组进行公告，基金财产清算小组应当将清算报告登载在规定网站上，并将清算报告提示性公告登载在规定报刊上。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10</w:t>
      </w:r>
      <w:r>
        <w:rPr>
          <w:rFonts w:ascii="彩虹粗仿宋" w:eastAsia="彩虹粗仿宋" w:hAnsi="宋体" w:cs="Arial" w:hint="eastAsia"/>
          <w:sz w:val="24"/>
        </w:rPr>
        <w:t>、基金财产清算账册及文件的保存</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基金财产清算账册及有关文件由基金托管人保存不少于法律法规规定的最低年限。</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105" w:name="_Toc124325901"/>
      <w:bookmarkEnd w:id="104"/>
      <w:r>
        <w:rPr>
          <w:rFonts w:ascii="彩虹粗仿宋" w:eastAsia="彩虹粗仿宋" w:hint="eastAsia"/>
          <w:sz w:val="30"/>
        </w:rPr>
        <w:t>十七、违约责任</w:t>
      </w:r>
      <w:bookmarkEnd w:id="105"/>
    </w:p>
    <w:p w:rsidR="003F2F5E" w:rsidRDefault="00DD591D">
      <w:pPr>
        <w:adjustRightInd w:val="0"/>
        <w:snapToGrid w:val="0"/>
        <w:ind w:firstLineChars="200" w:firstLine="480"/>
        <w:outlineLvl w:val="0"/>
        <w:rPr>
          <w:rFonts w:ascii="彩虹粗仿宋" w:eastAsia="彩虹粗仿宋" w:hAnsi="宋体" w:cs="Arial"/>
          <w:sz w:val="24"/>
        </w:rPr>
      </w:pPr>
      <w:bookmarkStart w:id="106" w:name="_Hlk193011889"/>
      <w:r>
        <w:rPr>
          <w:rFonts w:ascii="彩虹粗仿宋" w:eastAsia="彩虹粗仿宋" w:hAnsi="宋体" w:cs="Arial" w:hint="eastAsia"/>
          <w:sz w:val="24"/>
        </w:rPr>
        <w:t>（一）基金管理人、基金托管人不履行本协议或履行本协议不符合约定的，应当承担违约责任。</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w:t>
      </w:r>
      <w:r>
        <w:rPr>
          <w:rFonts w:ascii="彩虹粗仿宋" w:eastAsia="彩虹粗仿宋" w:hAnsi="宋体" w:cs="Arial" w:hint="eastAsia"/>
          <w:sz w:val="24"/>
        </w:rPr>
        <w:t>不可抗力；</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Ansi="宋体" w:cs="Arial" w:hint="eastAsia"/>
          <w:sz w:val="24"/>
        </w:rPr>
        <w:t>基金管理人、基金托管人按照当时有效的法律法规或中国证监会的规定作为或不作为而造成的损失等；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w:t>
      </w:r>
      <w:r>
        <w:rPr>
          <w:rFonts w:ascii="彩虹粗仿宋" w:eastAsia="彩虹粗仿宋" w:hAnsi="宋体" w:cs="Arial" w:hint="eastAsia"/>
          <w:sz w:val="24"/>
        </w:rPr>
        <w:t>基金管理人由于按照《基金合同》规定的投资原则行使或不行使其投资权而造成的损失等。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Ansi="宋体" w:cs="Arial"/>
          <w:sz w:val="24"/>
        </w:rPr>
        <w:t>.</w:t>
      </w:r>
      <w:r>
        <w:rPr>
          <w:rFonts w:hint="eastAsia"/>
        </w:rPr>
        <w:t xml:space="preserve"> </w:t>
      </w:r>
      <w:r>
        <w:rPr>
          <w:rFonts w:ascii="彩虹粗仿宋" w:eastAsia="彩虹粗仿宋" w:hAnsi="宋体" w:cs="Arial" w:hint="eastAsia"/>
          <w:sz w:val="24"/>
        </w:rPr>
        <w:t>非因基金管理人、基金托管人的故意或重大过失造成的计算机系统故障、网络故障、通讯故障、电力故障、计算机病毒攻击及其它意外事故所导致的损失等。</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四）一方当事人违约，另一方当事人在职责范围内有义务及时采取必要的措施，尽力防止损失的扩大。没有采取适当措施致使损失进一步扩大的，不得就扩大的损失要求赔偿。非违约方因防止损失扩大而支出的合</w:t>
      </w:r>
      <w:r>
        <w:rPr>
          <w:rFonts w:ascii="彩虹粗仿宋" w:eastAsia="彩虹粗仿宋" w:hAnsi="宋体" w:cs="Arial" w:hint="eastAsia"/>
          <w:sz w:val="24"/>
        </w:rPr>
        <w:t>理费用由违约方承担。</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（五）违约行为虽已发生，但本托管协议能够继续履行的，在最大限度地保护基金份额持有人利益的前提下，基金管理人和基金托管人应当继续履行本协议。</w:t>
      </w:r>
    </w:p>
    <w:p w:rsidR="003F2F5E" w:rsidRDefault="00DD591D">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（六）由于基金管理人、基金托管人不可控制的因素导致业务出现差错，基金管理人和基金托管人虽然已经采取必要、适当、合理的措施进行检查，但是未能发现错误</w:t>
      </w:r>
      <w:bookmarkStart w:id="107" w:name="_Hlk63238867"/>
      <w:r>
        <w:rPr>
          <w:rFonts w:ascii="彩虹粗仿宋" w:eastAsia="彩虹粗仿宋" w:hAnsi="宋体" w:cs="Arial" w:hint="eastAsia"/>
          <w:bCs/>
          <w:sz w:val="24"/>
        </w:rPr>
        <w:t>或因前述原因未能避免或更正错误</w:t>
      </w:r>
      <w:bookmarkEnd w:id="107"/>
      <w:r>
        <w:rPr>
          <w:rFonts w:ascii="彩虹粗仿宋" w:eastAsia="彩虹粗仿宋" w:hAnsi="宋体" w:cs="Arial" w:hint="eastAsia"/>
          <w:sz w:val="24"/>
        </w:rPr>
        <w:t>的，由此造成基金财产或投资人损失，基金管理人和基金托管人免除赔偿责任。但是基金管理人和基金托管人应积极采取必要的措施消除或减轻由此造成的影响。</w:t>
      </w:r>
    </w:p>
    <w:bookmarkEnd w:id="106"/>
    <w:p w:rsidR="003F2F5E" w:rsidRDefault="003F2F5E"/>
    <w:p w:rsidR="003F2F5E" w:rsidRDefault="00DD591D">
      <w:pPr>
        <w:pStyle w:val="2"/>
        <w:jc w:val="center"/>
        <w:rPr>
          <w:rFonts w:ascii="彩虹粗仿宋" w:eastAsia="彩虹粗仿宋"/>
          <w:sz w:val="30"/>
        </w:rPr>
      </w:pPr>
      <w:bookmarkStart w:id="108" w:name="_Toc124325902"/>
      <w:r>
        <w:rPr>
          <w:rFonts w:ascii="彩虹粗仿宋" w:eastAsia="彩虹粗仿宋" w:hint="eastAsia"/>
          <w:sz w:val="30"/>
        </w:rPr>
        <w:t>十八、争议解决方式</w:t>
      </w:r>
      <w:bookmarkEnd w:id="108"/>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因本协议</w:t>
      </w:r>
      <w:r>
        <w:rPr>
          <w:rFonts w:ascii="彩虹粗仿宋" w:eastAsia="彩虹粗仿宋" w:hAnsi="宋体" w:cs="Arial" w:hint="eastAsia"/>
          <w:sz w:val="24"/>
        </w:rPr>
        <w:t>产生或与之相关的争议，双方当事人应通过协商解决，如经友好协商未能解决的，任何一方均有权将争议提交重庆仲裁委员会，按照重庆仲裁委员会届时有效的仲裁规则进行仲裁。仲裁地点为重庆市。仲裁裁决是终局的，对各方当事人均有约束力。除非仲裁裁决另有规定，仲裁费由败诉方承担。</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争议处理期间，双方当事人应恪守基金管理人和基金托管人职责，各自继续忠实、勤勉、尽责地履行基金合同和本托管协议规定的义务，维护基金份额持有人的合法权益。</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本协议受中国法律（为托管协议之目的，不含港澳台地区有关规定）管辖并从其解释。</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109" w:name="_Toc124325903"/>
      <w:r>
        <w:rPr>
          <w:rFonts w:ascii="彩虹粗仿宋" w:eastAsia="彩虹粗仿宋" w:hint="eastAsia"/>
          <w:sz w:val="30"/>
        </w:rPr>
        <w:t>十九、托管协议的效</w:t>
      </w:r>
      <w:r>
        <w:rPr>
          <w:rFonts w:ascii="彩虹粗仿宋" w:eastAsia="彩虹粗仿宋" w:hint="eastAsia"/>
          <w:sz w:val="30"/>
        </w:rPr>
        <w:t>力</w:t>
      </w:r>
      <w:bookmarkEnd w:id="109"/>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双方对托管协议的效力约定如下：</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一）基金管理人在向中国证监会申请基金募集注册时提交的托管协议草案，应经托管协议当事人双方盖章以及双方法定代表人或授权代表签章，协议当事人双方根据中国证监会的意见修改托管协议草案。托管协议以中国证监会</w:t>
      </w:r>
      <w:r>
        <w:rPr>
          <w:rFonts w:ascii="彩虹粗仿宋" w:eastAsia="彩虹粗仿宋" w:hAnsi="宋体" w:cs="Arial"/>
          <w:sz w:val="24"/>
        </w:rPr>
        <w:t>注册</w:t>
      </w:r>
      <w:r>
        <w:rPr>
          <w:rFonts w:ascii="彩虹粗仿宋" w:eastAsia="彩虹粗仿宋" w:hAnsi="宋体" w:cs="Arial" w:hint="eastAsia"/>
          <w:sz w:val="24"/>
        </w:rPr>
        <w:t>的文本为正式文本。</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（二）托管协议自《基金合同》成立之日起成立，自《基金合同》生效之日起生效。托管协议的有效期自其生效之日起至基金财产清算结果报中国证监会备案并公告之日止。</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（三）托管协议自生效之日起对托管协议当事人具有同等的法律约束力。</w:t>
      </w:r>
    </w:p>
    <w:p w:rsidR="003F2F5E" w:rsidRDefault="00DD591D">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（四）本协议一式三份，协议双方各持一份，上报监管机构一份，每份具有同等的法律效力。</w:t>
      </w:r>
    </w:p>
    <w:p w:rsidR="003F2F5E" w:rsidRDefault="003F2F5E">
      <w:pPr>
        <w:adjustRightInd w:val="0"/>
        <w:snapToGrid w:val="0"/>
        <w:rPr>
          <w:rFonts w:ascii="彩虹粗仿宋" w:eastAsia="彩虹粗仿宋" w:hAnsi="宋体" w:cs="Arial"/>
          <w:sz w:val="24"/>
        </w:rPr>
      </w:pPr>
    </w:p>
    <w:p w:rsidR="003F2F5E" w:rsidRDefault="00DD591D">
      <w:pPr>
        <w:pStyle w:val="2"/>
        <w:jc w:val="center"/>
        <w:rPr>
          <w:rFonts w:ascii="彩虹粗仿宋" w:eastAsia="彩虹粗仿宋"/>
          <w:sz w:val="30"/>
        </w:rPr>
      </w:pPr>
      <w:bookmarkStart w:id="110" w:name="_Toc124325904"/>
      <w:r>
        <w:rPr>
          <w:rFonts w:ascii="彩虹粗仿宋" w:eastAsia="彩虹粗仿宋" w:hint="eastAsia"/>
          <w:sz w:val="30"/>
        </w:rPr>
        <w:t>二十、其他事项</w:t>
      </w:r>
      <w:bookmarkEnd w:id="110"/>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如发生有权司法机关依法冻结基金份额持有人的基金份额时，基金管理人、基金托管人应予以配合，承担司法协助义务。</w:t>
      </w:r>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除本协议有明确定义外，本协议的用语定义适用《基金合同》的约定。本协议未尽事宜，当事人依据《基金合同》、有关法律法规等规定协商办理。</w:t>
      </w:r>
    </w:p>
    <w:p w:rsidR="003F2F5E" w:rsidRDefault="003F2F5E">
      <w:pPr>
        <w:adjustRightInd w:val="0"/>
        <w:snapToGrid w:val="0"/>
        <w:rPr>
          <w:rFonts w:ascii="彩虹粗仿宋" w:eastAsia="彩虹粗仿宋"/>
          <w:b/>
          <w:bCs/>
        </w:rPr>
      </w:pPr>
    </w:p>
    <w:p w:rsidR="003F2F5E" w:rsidRDefault="00DD591D">
      <w:pPr>
        <w:pStyle w:val="2"/>
        <w:jc w:val="center"/>
        <w:rPr>
          <w:rFonts w:ascii="彩虹粗仿宋" w:eastAsia="彩虹粗仿宋"/>
          <w:sz w:val="30"/>
        </w:rPr>
      </w:pPr>
      <w:bookmarkStart w:id="111" w:name="_Toc124325905"/>
      <w:r>
        <w:rPr>
          <w:rFonts w:ascii="彩虹粗仿宋" w:eastAsia="彩虹粗仿宋" w:hint="eastAsia"/>
          <w:sz w:val="30"/>
        </w:rPr>
        <w:t>二十一、托管协议的签订</w:t>
      </w:r>
      <w:bookmarkEnd w:id="111"/>
    </w:p>
    <w:p w:rsidR="003F2F5E" w:rsidRDefault="00DD591D">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本协议双方盖章及双方法定代表人或授权代表签章、签订地、签订日。</w:t>
      </w:r>
    </w:p>
    <w:p w:rsidR="003F2F5E" w:rsidRDefault="00DD591D">
      <w:pPr>
        <w:widowControl/>
        <w:jc w:val="left"/>
        <w:rPr>
          <w:rFonts w:ascii="彩虹粗仿宋" w:eastAsia="彩虹粗仿宋" w:hAnsi="宋体" w:cs="Arial"/>
          <w:sz w:val="24"/>
        </w:rPr>
      </w:pPr>
      <w:r>
        <w:rPr>
          <w:rFonts w:ascii="彩虹粗仿宋" w:eastAsia="彩虹粗仿宋" w:hAnsi="宋体" w:cs="Arial"/>
          <w:sz w:val="24"/>
        </w:rPr>
        <w:br w:type="page"/>
      </w:r>
    </w:p>
    <w:p w:rsidR="003F2F5E" w:rsidRDefault="00DD591D">
      <w:pPr>
        <w:pStyle w:val="Style6"/>
        <w:spacing w:line="360" w:lineRule="auto"/>
        <w:ind w:firstLineChars="0" w:firstLine="0"/>
        <w:rPr>
          <w:rFonts w:ascii="宋体" w:eastAsia="宋体"/>
          <w:sz w:val="21"/>
        </w:rPr>
      </w:pPr>
      <w:r>
        <w:rPr>
          <w:rFonts w:ascii="宋体" w:eastAsia="宋体" w:hint="eastAsia"/>
          <w:sz w:val="21"/>
        </w:rPr>
        <w:lastRenderedPageBreak/>
        <w:t>（</w:t>
      </w:r>
      <w:r>
        <w:rPr>
          <w:rFonts w:ascii="宋体" w:eastAsia="宋体"/>
          <w:sz w:val="21"/>
        </w:rPr>
        <w:t>本页无正文</w:t>
      </w:r>
      <w:r>
        <w:rPr>
          <w:rFonts w:ascii="宋体" w:eastAsia="宋体" w:hint="eastAsia"/>
          <w:sz w:val="21"/>
        </w:rPr>
        <w:t>，为《南方稳庆</w:t>
      </w:r>
      <w:r>
        <w:rPr>
          <w:rFonts w:ascii="宋体" w:eastAsia="宋体" w:hint="eastAsia"/>
          <w:sz w:val="21"/>
        </w:rPr>
        <w:t>6</w:t>
      </w:r>
      <w:r>
        <w:rPr>
          <w:rFonts w:ascii="宋体" w:eastAsia="宋体" w:hint="eastAsia"/>
          <w:sz w:val="21"/>
        </w:rPr>
        <w:t>个月持有期混合型基金中基金（</w:t>
      </w:r>
      <w:r>
        <w:rPr>
          <w:rFonts w:ascii="宋体" w:eastAsia="宋体" w:hint="eastAsia"/>
          <w:sz w:val="21"/>
        </w:rPr>
        <w:t>FOF</w:t>
      </w:r>
      <w:r>
        <w:rPr>
          <w:rFonts w:ascii="宋体" w:eastAsia="宋体" w:hint="eastAsia"/>
          <w:sz w:val="21"/>
        </w:rPr>
        <w:t>）托管协议》签字页</w:t>
      </w:r>
      <w:r>
        <w:rPr>
          <w:rFonts w:ascii="宋体" w:eastAsia="宋体"/>
          <w:sz w:val="21"/>
        </w:rPr>
        <w:t>）</w:t>
      </w: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DD591D">
      <w:pPr>
        <w:snapToGrid w:val="0"/>
        <w:spacing w:line="360" w:lineRule="auto"/>
        <w:rPr>
          <w:rFonts w:ascii="宋体" w:hAnsi="宋体"/>
        </w:rPr>
      </w:pPr>
      <w:r>
        <w:rPr>
          <w:rFonts w:ascii="宋体" w:hAnsi="宋体"/>
        </w:rPr>
        <w:t>基金管理人：</w:t>
      </w:r>
      <w:r>
        <w:rPr>
          <w:rFonts w:ascii="宋体" w:hAnsi="宋体" w:hint="eastAsia"/>
        </w:rPr>
        <w:t>南方基金管理股份有限公司</w:t>
      </w: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DD591D">
      <w:pPr>
        <w:pStyle w:val="Style6"/>
        <w:spacing w:line="360" w:lineRule="auto"/>
        <w:ind w:firstLineChars="0" w:firstLine="0"/>
        <w:rPr>
          <w:rFonts w:ascii="宋体" w:eastAsia="宋体"/>
          <w:sz w:val="21"/>
        </w:rPr>
      </w:pPr>
      <w:r>
        <w:rPr>
          <w:rFonts w:ascii="宋体" w:eastAsia="宋体"/>
          <w:sz w:val="21"/>
        </w:rPr>
        <w:t>法定代表人或授权代表（签字</w:t>
      </w:r>
      <w:r>
        <w:rPr>
          <w:rFonts w:ascii="宋体" w:eastAsia="宋体" w:hint="eastAsia"/>
          <w:sz w:val="21"/>
        </w:rPr>
        <w:t>或签章</w:t>
      </w:r>
      <w:r>
        <w:rPr>
          <w:rFonts w:ascii="宋体" w:eastAsia="宋体"/>
          <w:sz w:val="21"/>
        </w:rPr>
        <w:t>）：</w:t>
      </w:r>
      <w:r>
        <w:rPr>
          <w:rFonts w:ascii="宋体" w:eastAsia="宋体"/>
          <w:sz w:val="21"/>
        </w:rPr>
        <w:t xml:space="preserve"> </w:t>
      </w: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DD591D">
      <w:pPr>
        <w:pStyle w:val="Style6"/>
        <w:spacing w:line="360" w:lineRule="auto"/>
        <w:ind w:firstLineChars="0" w:firstLine="0"/>
        <w:rPr>
          <w:rFonts w:ascii="宋体" w:eastAsia="宋体"/>
          <w:sz w:val="21"/>
        </w:rPr>
      </w:pPr>
      <w:r>
        <w:rPr>
          <w:rFonts w:ascii="宋体" w:eastAsia="宋体"/>
          <w:sz w:val="21"/>
        </w:rPr>
        <w:t>基金托管人</w:t>
      </w:r>
      <w:r>
        <w:rPr>
          <w:rFonts w:ascii="宋体"/>
        </w:rPr>
        <w:t>：</w:t>
      </w:r>
      <w:r>
        <w:rPr>
          <w:rFonts w:ascii="宋体" w:eastAsia="宋体" w:hint="eastAsia"/>
          <w:sz w:val="21"/>
        </w:rPr>
        <w:t>重庆农村商业银行股份有限公司</w:t>
      </w: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DD591D">
      <w:pPr>
        <w:pStyle w:val="Style6"/>
        <w:spacing w:line="360" w:lineRule="auto"/>
        <w:ind w:firstLineChars="0" w:firstLine="0"/>
        <w:rPr>
          <w:rFonts w:ascii="宋体" w:eastAsia="宋体"/>
          <w:sz w:val="21"/>
        </w:rPr>
      </w:pPr>
      <w:r>
        <w:rPr>
          <w:rFonts w:ascii="宋体" w:eastAsia="宋体"/>
          <w:sz w:val="21"/>
        </w:rPr>
        <w:t>法定代表人或授权代表（签字</w:t>
      </w:r>
      <w:r>
        <w:rPr>
          <w:rFonts w:ascii="宋体" w:eastAsia="宋体" w:hint="eastAsia"/>
          <w:sz w:val="21"/>
        </w:rPr>
        <w:t>或签章</w:t>
      </w:r>
      <w:r>
        <w:rPr>
          <w:rFonts w:ascii="宋体" w:eastAsia="宋体"/>
          <w:sz w:val="21"/>
        </w:rPr>
        <w:t>）：</w:t>
      </w:r>
    </w:p>
    <w:p w:rsidR="003F2F5E" w:rsidRDefault="003F2F5E">
      <w:pPr>
        <w:snapToGrid w:val="0"/>
        <w:spacing w:line="360" w:lineRule="auto"/>
        <w:rPr>
          <w:rFonts w:ascii="宋体" w:hAnsi="宋体"/>
        </w:rPr>
      </w:pPr>
    </w:p>
    <w:p w:rsidR="003F2F5E" w:rsidRDefault="003F2F5E">
      <w:pPr>
        <w:snapToGrid w:val="0"/>
        <w:spacing w:line="360" w:lineRule="auto"/>
        <w:rPr>
          <w:rFonts w:ascii="宋体" w:hAnsi="宋体"/>
        </w:rPr>
      </w:pPr>
    </w:p>
    <w:p w:rsidR="003F2F5E" w:rsidRDefault="003F2F5E">
      <w:pPr>
        <w:pStyle w:val="Style6"/>
        <w:spacing w:line="360" w:lineRule="auto"/>
        <w:ind w:firstLineChars="0" w:firstLine="0"/>
      </w:pPr>
      <w:bookmarkStart w:id="112" w:name="_Hlt89590562"/>
      <w:bookmarkEnd w:id="112"/>
    </w:p>
    <w:sectPr w:rsidR="003F2F5E">
      <w:footerReference w:type="default" r:id="rId9"/>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91D" w:rsidRDefault="00DD591D">
      <w:pPr>
        <w:spacing w:after="0" w:line="240" w:lineRule="auto"/>
      </w:pPr>
      <w:r>
        <w:separator/>
      </w:r>
    </w:p>
  </w:endnote>
  <w:endnote w:type="continuationSeparator" w:id="0">
    <w:p w:rsidR="00DD591D" w:rsidRDefault="00DD5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font>
  <w:font w:name="方正仿宋简体">
    <w:altName w:val="微软雅黑"/>
    <w:charset w:val="86"/>
    <w:family w:val="auto"/>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彩虹粗仿宋">
    <w:altName w:val="微软雅黑"/>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2F5E" w:rsidRDefault="00DD591D">
    <w:pPr>
      <w:pStyle w:val="a8"/>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3F2F5E" w:rsidRDefault="00DD591D">
                          <w:pPr>
                            <w:pStyle w:val="a8"/>
                          </w:pPr>
                          <w:r>
                            <w:rPr>
                              <w:rFonts w:hint="eastAsia"/>
                            </w:rPr>
                            <w:fldChar w:fldCharType="begin"/>
                          </w:r>
                          <w:r>
                            <w:rPr>
                              <w:rFonts w:hint="eastAsia"/>
                            </w:rPr>
                            <w:instrText xml:space="preserve"> PAGE  \* MERGEFORMAT </w:instrText>
                          </w:r>
                          <w:r>
                            <w:rPr>
                              <w:rFonts w:hint="eastAsia"/>
                            </w:rPr>
                            <w:fldChar w:fldCharType="separate"/>
                          </w:r>
                          <w:r w:rsidR="003D6B17">
                            <w:rPr>
                              <w:noProof/>
                            </w:rPr>
                            <w:t>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3F2F5E" w:rsidRDefault="00DD591D">
                    <w:pPr>
                      <w:pStyle w:val="a8"/>
                    </w:pPr>
                    <w:r>
                      <w:rPr>
                        <w:rFonts w:hint="eastAsia"/>
                      </w:rPr>
                      <w:fldChar w:fldCharType="begin"/>
                    </w:r>
                    <w:r>
                      <w:rPr>
                        <w:rFonts w:hint="eastAsia"/>
                      </w:rPr>
                      <w:instrText xml:space="preserve"> PAGE  \* MERGEFORMAT </w:instrText>
                    </w:r>
                    <w:r>
                      <w:rPr>
                        <w:rFonts w:hint="eastAsia"/>
                      </w:rPr>
                      <w:fldChar w:fldCharType="separate"/>
                    </w:r>
                    <w:r w:rsidR="003D6B17">
                      <w:rPr>
                        <w:noProof/>
                      </w:rPr>
                      <w:t>4</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91D" w:rsidRDefault="00DD591D">
      <w:pPr>
        <w:spacing w:after="0" w:line="240" w:lineRule="auto"/>
      </w:pPr>
      <w:r>
        <w:separator/>
      </w:r>
    </w:p>
  </w:footnote>
  <w:footnote w:type="continuationSeparator" w:id="0">
    <w:p w:rsidR="00DD591D" w:rsidRDefault="00DD591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481D93"/>
    <w:multiLevelType w:val="singleLevel"/>
    <w:tmpl w:val="4A481D93"/>
    <w:lvl w:ilvl="0">
      <w:start w:val="10"/>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E74"/>
    <w:rsid w:val="00001942"/>
    <w:rsid w:val="00001AB6"/>
    <w:rsid w:val="00004362"/>
    <w:rsid w:val="00004CC0"/>
    <w:rsid w:val="000055C8"/>
    <w:rsid w:val="000106EF"/>
    <w:rsid w:val="000107CB"/>
    <w:rsid w:val="00010FA9"/>
    <w:rsid w:val="00011418"/>
    <w:rsid w:val="00011A4D"/>
    <w:rsid w:val="00014D1F"/>
    <w:rsid w:val="00014DE5"/>
    <w:rsid w:val="0001676E"/>
    <w:rsid w:val="00020CF3"/>
    <w:rsid w:val="00022271"/>
    <w:rsid w:val="0002440F"/>
    <w:rsid w:val="00031081"/>
    <w:rsid w:val="0003192F"/>
    <w:rsid w:val="000319D8"/>
    <w:rsid w:val="000328D4"/>
    <w:rsid w:val="00034727"/>
    <w:rsid w:val="00034761"/>
    <w:rsid w:val="00035C77"/>
    <w:rsid w:val="000372E3"/>
    <w:rsid w:val="000376B5"/>
    <w:rsid w:val="000403DC"/>
    <w:rsid w:val="00042430"/>
    <w:rsid w:val="00042A67"/>
    <w:rsid w:val="00043FE5"/>
    <w:rsid w:val="00044AB6"/>
    <w:rsid w:val="00045893"/>
    <w:rsid w:val="00046402"/>
    <w:rsid w:val="00047C68"/>
    <w:rsid w:val="00047FC0"/>
    <w:rsid w:val="00051FCD"/>
    <w:rsid w:val="0005278E"/>
    <w:rsid w:val="00054F86"/>
    <w:rsid w:val="000565AC"/>
    <w:rsid w:val="00057390"/>
    <w:rsid w:val="00062A08"/>
    <w:rsid w:val="000634A2"/>
    <w:rsid w:val="00063F20"/>
    <w:rsid w:val="000666BC"/>
    <w:rsid w:val="00066B31"/>
    <w:rsid w:val="000672EA"/>
    <w:rsid w:val="00070457"/>
    <w:rsid w:val="00071E45"/>
    <w:rsid w:val="0007208B"/>
    <w:rsid w:val="0007382B"/>
    <w:rsid w:val="00074577"/>
    <w:rsid w:val="0007501D"/>
    <w:rsid w:val="000802A2"/>
    <w:rsid w:val="00080A26"/>
    <w:rsid w:val="000822E6"/>
    <w:rsid w:val="0008405E"/>
    <w:rsid w:val="00085461"/>
    <w:rsid w:val="0008595C"/>
    <w:rsid w:val="00087083"/>
    <w:rsid w:val="00087A51"/>
    <w:rsid w:val="0009224F"/>
    <w:rsid w:val="00094B29"/>
    <w:rsid w:val="00095317"/>
    <w:rsid w:val="000966D3"/>
    <w:rsid w:val="000A0416"/>
    <w:rsid w:val="000A07D9"/>
    <w:rsid w:val="000A176E"/>
    <w:rsid w:val="000A1C0D"/>
    <w:rsid w:val="000A1E60"/>
    <w:rsid w:val="000A55A6"/>
    <w:rsid w:val="000A6B35"/>
    <w:rsid w:val="000A6E60"/>
    <w:rsid w:val="000A6F53"/>
    <w:rsid w:val="000B0D86"/>
    <w:rsid w:val="000B16BA"/>
    <w:rsid w:val="000B45BA"/>
    <w:rsid w:val="000B507D"/>
    <w:rsid w:val="000B5144"/>
    <w:rsid w:val="000B5E9D"/>
    <w:rsid w:val="000C100E"/>
    <w:rsid w:val="000C4736"/>
    <w:rsid w:val="000C4D78"/>
    <w:rsid w:val="000C54B7"/>
    <w:rsid w:val="000C57D4"/>
    <w:rsid w:val="000C66D3"/>
    <w:rsid w:val="000C712C"/>
    <w:rsid w:val="000D0580"/>
    <w:rsid w:val="000D136F"/>
    <w:rsid w:val="000D222A"/>
    <w:rsid w:val="000D29BD"/>
    <w:rsid w:val="000D4172"/>
    <w:rsid w:val="000D4604"/>
    <w:rsid w:val="000D48F2"/>
    <w:rsid w:val="000D4C04"/>
    <w:rsid w:val="000D6F04"/>
    <w:rsid w:val="000D71A8"/>
    <w:rsid w:val="000D7743"/>
    <w:rsid w:val="000E1E68"/>
    <w:rsid w:val="000E2A46"/>
    <w:rsid w:val="000E31BF"/>
    <w:rsid w:val="000E4092"/>
    <w:rsid w:val="000E5FBC"/>
    <w:rsid w:val="000E6BCF"/>
    <w:rsid w:val="000E7B60"/>
    <w:rsid w:val="000F0393"/>
    <w:rsid w:val="000F12EA"/>
    <w:rsid w:val="000F2531"/>
    <w:rsid w:val="000F37B2"/>
    <w:rsid w:val="000F3A96"/>
    <w:rsid w:val="000F6A7E"/>
    <w:rsid w:val="001008F8"/>
    <w:rsid w:val="00100B41"/>
    <w:rsid w:val="00101BCD"/>
    <w:rsid w:val="0010204F"/>
    <w:rsid w:val="00102E8F"/>
    <w:rsid w:val="0010372E"/>
    <w:rsid w:val="00103757"/>
    <w:rsid w:val="00106017"/>
    <w:rsid w:val="00106DC9"/>
    <w:rsid w:val="001071FD"/>
    <w:rsid w:val="001074B4"/>
    <w:rsid w:val="00110DFD"/>
    <w:rsid w:val="00111B05"/>
    <w:rsid w:val="001148BB"/>
    <w:rsid w:val="001148C3"/>
    <w:rsid w:val="00114D32"/>
    <w:rsid w:val="00120D7F"/>
    <w:rsid w:val="00121A5E"/>
    <w:rsid w:val="00122B1E"/>
    <w:rsid w:val="00122FCA"/>
    <w:rsid w:val="001253BC"/>
    <w:rsid w:val="001305B0"/>
    <w:rsid w:val="00130A39"/>
    <w:rsid w:val="0013367F"/>
    <w:rsid w:val="00134802"/>
    <w:rsid w:val="0013507D"/>
    <w:rsid w:val="00136CC9"/>
    <w:rsid w:val="00137238"/>
    <w:rsid w:val="00140669"/>
    <w:rsid w:val="001452AE"/>
    <w:rsid w:val="001463D2"/>
    <w:rsid w:val="0014766B"/>
    <w:rsid w:val="0015295F"/>
    <w:rsid w:val="00155B1F"/>
    <w:rsid w:val="00156EA6"/>
    <w:rsid w:val="001571B3"/>
    <w:rsid w:val="00161ECC"/>
    <w:rsid w:val="001663BE"/>
    <w:rsid w:val="001669F6"/>
    <w:rsid w:val="00167228"/>
    <w:rsid w:val="0016732F"/>
    <w:rsid w:val="0016753E"/>
    <w:rsid w:val="00167EDC"/>
    <w:rsid w:val="0017001D"/>
    <w:rsid w:val="0017113F"/>
    <w:rsid w:val="00172AB8"/>
    <w:rsid w:val="00172BD0"/>
    <w:rsid w:val="00172D7F"/>
    <w:rsid w:val="00175369"/>
    <w:rsid w:val="00176DB0"/>
    <w:rsid w:val="001775A7"/>
    <w:rsid w:val="001778DB"/>
    <w:rsid w:val="0018074E"/>
    <w:rsid w:val="001836BD"/>
    <w:rsid w:val="00186C0D"/>
    <w:rsid w:val="001877C7"/>
    <w:rsid w:val="00187C58"/>
    <w:rsid w:val="0019043B"/>
    <w:rsid w:val="00192138"/>
    <w:rsid w:val="00192683"/>
    <w:rsid w:val="00192772"/>
    <w:rsid w:val="001930B0"/>
    <w:rsid w:val="00195EE5"/>
    <w:rsid w:val="001A02F1"/>
    <w:rsid w:val="001A07C9"/>
    <w:rsid w:val="001A30E6"/>
    <w:rsid w:val="001A315C"/>
    <w:rsid w:val="001A4F20"/>
    <w:rsid w:val="001A559B"/>
    <w:rsid w:val="001A57B7"/>
    <w:rsid w:val="001A5EB3"/>
    <w:rsid w:val="001A65F2"/>
    <w:rsid w:val="001B0021"/>
    <w:rsid w:val="001B07DD"/>
    <w:rsid w:val="001B3419"/>
    <w:rsid w:val="001B3B5D"/>
    <w:rsid w:val="001B553D"/>
    <w:rsid w:val="001B5F17"/>
    <w:rsid w:val="001B6302"/>
    <w:rsid w:val="001B6BE8"/>
    <w:rsid w:val="001B7002"/>
    <w:rsid w:val="001B72D8"/>
    <w:rsid w:val="001C0152"/>
    <w:rsid w:val="001C18CD"/>
    <w:rsid w:val="001C230D"/>
    <w:rsid w:val="001C2883"/>
    <w:rsid w:val="001C7311"/>
    <w:rsid w:val="001C73FE"/>
    <w:rsid w:val="001D0553"/>
    <w:rsid w:val="001D0E42"/>
    <w:rsid w:val="001D4A1B"/>
    <w:rsid w:val="001E0091"/>
    <w:rsid w:val="001E18D3"/>
    <w:rsid w:val="001E27CC"/>
    <w:rsid w:val="001E2CF8"/>
    <w:rsid w:val="001E5925"/>
    <w:rsid w:val="001E611C"/>
    <w:rsid w:val="001E617B"/>
    <w:rsid w:val="001E6454"/>
    <w:rsid w:val="001E677F"/>
    <w:rsid w:val="001E7B66"/>
    <w:rsid w:val="001F048D"/>
    <w:rsid w:val="001F0BF8"/>
    <w:rsid w:val="001F185A"/>
    <w:rsid w:val="001F259C"/>
    <w:rsid w:val="001F35DE"/>
    <w:rsid w:val="001F5164"/>
    <w:rsid w:val="001F5DDD"/>
    <w:rsid w:val="001F61FC"/>
    <w:rsid w:val="0020043C"/>
    <w:rsid w:val="002006FC"/>
    <w:rsid w:val="002023DD"/>
    <w:rsid w:val="00202706"/>
    <w:rsid w:val="00202D04"/>
    <w:rsid w:val="00204008"/>
    <w:rsid w:val="0020424C"/>
    <w:rsid w:val="00205234"/>
    <w:rsid w:val="0020717A"/>
    <w:rsid w:val="002146B0"/>
    <w:rsid w:val="0021568E"/>
    <w:rsid w:val="00215762"/>
    <w:rsid w:val="00215803"/>
    <w:rsid w:val="00216A55"/>
    <w:rsid w:val="00217028"/>
    <w:rsid w:val="00217186"/>
    <w:rsid w:val="002171FA"/>
    <w:rsid w:val="002208A7"/>
    <w:rsid w:val="00223860"/>
    <w:rsid w:val="00224E70"/>
    <w:rsid w:val="00225205"/>
    <w:rsid w:val="002257DA"/>
    <w:rsid w:val="002319F2"/>
    <w:rsid w:val="00231DD3"/>
    <w:rsid w:val="00232D20"/>
    <w:rsid w:val="002334AD"/>
    <w:rsid w:val="00234997"/>
    <w:rsid w:val="002358F5"/>
    <w:rsid w:val="00237B3A"/>
    <w:rsid w:val="00237DF2"/>
    <w:rsid w:val="00241347"/>
    <w:rsid w:val="00241F0D"/>
    <w:rsid w:val="002420E5"/>
    <w:rsid w:val="0024245C"/>
    <w:rsid w:val="002431B4"/>
    <w:rsid w:val="00244CC3"/>
    <w:rsid w:val="002455BD"/>
    <w:rsid w:val="00246CBB"/>
    <w:rsid w:val="0025107C"/>
    <w:rsid w:val="00254004"/>
    <w:rsid w:val="00254361"/>
    <w:rsid w:val="0025698F"/>
    <w:rsid w:val="002616A3"/>
    <w:rsid w:val="00262039"/>
    <w:rsid w:val="002627E9"/>
    <w:rsid w:val="00266523"/>
    <w:rsid w:val="0026654C"/>
    <w:rsid w:val="00266A76"/>
    <w:rsid w:val="002704DF"/>
    <w:rsid w:val="002713A0"/>
    <w:rsid w:val="002715B7"/>
    <w:rsid w:val="00272E80"/>
    <w:rsid w:val="002746BB"/>
    <w:rsid w:val="002758C8"/>
    <w:rsid w:val="00277589"/>
    <w:rsid w:val="00277EA3"/>
    <w:rsid w:val="002805C5"/>
    <w:rsid w:val="002813CE"/>
    <w:rsid w:val="00282216"/>
    <w:rsid w:val="00282675"/>
    <w:rsid w:val="0028442A"/>
    <w:rsid w:val="002845A8"/>
    <w:rsid w:val="00284A77"/>
    <w:rsid w:val="00285D24"/>
    <w:rsid w:val="00285E1A"/>
    <w:rsid w:val="0028655B"/>
    <w:rsid w:val="00287A5D"/>
    <w:rsid w:val="00287B07"/>
    <w:rsid w:val="00290584"/>
    <w:rsid w:val="002906CA"/>
    <w:rsid w:val="00291203"/>
    <w:rsid w:val="00291AEB"/>
    <w:rsid w:val="00291CCE"/>
    <w:rsid w:val="00292027"/>
    <w:rsid w:val="00292BEB"/>
    <w:rsid w:val="002947F8"/>
    <w:rsid w:val="00295A98"/>
    <w:rsid w:val="002972A1"/>
    <w:rsid w:val="002A0C78"/>
    <w:rsid w:val="002A1041"/>
    <w:rsid w:val="002A2760"/>
    <w:rsid w:val="002A2970"/>
    <w:rsid w:val="002A3B38"/>
    <w:rsid w:val="002A5A1F"/>
    <w:rsid w:val="002A710F"/>
    <w:rsid w:val="002A7F1E"/>
    <w:rsid w:val="002B0CA0"/>
    <w:rsid w:val="002B0CC0"/>
    <w:rsid w:val="002B2560"/>
    <w:rsid w:val="002B47FE"/>
    <w:rsid w:val="002B63BE"/>
    <w:rsid w:val="002B6898"/>
    <w:rsid w:val="002B788B"/>
    <w:rsid w:val="002C1551"/>
    <w:rsid w:val="002C1717"/>
    <w:rsid w:val="002C33C4"/>
    <w:rsid w:val="002C3645"/>
    <w:rsid w:val="002C4F71"/>
    <w:rsid w:val="002C555A"/>
    <w:rsid w:val="002C686C"/>
    <w:rsid w:val="002C79A7"/>
    <w:rsid w:val="002C7B85"/>
    <w:rsid w:val="002D18C8"/>
    <w:rsid w:val="002D2441"/>
    <w:rsid w:val="002D50C3"/>
    <w:rsid w:val="002D733E"/>
    <w:rsid w:val="002D74E0"/>
    <w:rsid w:val="002D7F50"/>
    <w:rsid w:val="002F309D"/>
    <w:rsid w:val="002F4033"/>
    <w:rsid w:val="002F40EB"/>
    <w:rsid w:val="002F4E6C"/>
    <w:rsid w:val="002F53F1"/>
    <w:rsid w:val="002F6019"/>
    <w:rsid w:val="002F6C97"/>
    <w:rsid w:val="003012B2"/>
    <w:rsid w:val="003027C8"/>
    <w:rsid w:val="00303E57"/>
    <w:rsid w:val="00303F78"/>
    <w:rsid w:val="0030505B"/>
    <w:rsid w:val="003062FC"/>
    <w:rsid w:val="003063AC"/>
    <w:rsid w:val="003072DC"/>
    <w:rsid w:val="00307BF9"/>
    <w:rsid w:val="00313E52"/>
    <w:rsid w:val="00314127"/>
    <w:rsid w:val="0031414C"/>
    <w:rsid w:val="003151FA"/>
    <w:rsid w:val="003154FF"/>
    <w:rsid w:val="003159F3"/>
    <w:rsid w:val="00315F8B"/>
    <w:rsid w:val="00316ADC"/>
    <w:rsid w:val="00317638"/>
    <w:rsid w:val="00321B78"/>
    <w:rsid w:val="00323959"/>
    <w:rsid w:val="00324712"/>
    <w:rsid w:val="00326469"/>
    <w:rsid w:val="00326822"/>
    <w:rsid w:val="0033031D"/>
    <w:rsid w:val="00330D7F"/>
    <w:rsid w:val="003324D9"/>
    <w:rsid w:val="00332BF0"/>
    <w:rsid w:val="00332D12"/>
    <w:rsid w:val="0033465E"/>
    <w:rsid w:val="00334F1D"/>
    <w:rsid w:val="003355E2"/>
    <w:rsid w:val="003368AF"/>
    <w:rsid w:val="00337129"/>
    <w:rsid w:val="00337232"/>
    <w:rsid w:val="003375E6"/>
    <w:rsid w:val="003413DE"/>
    <w:rsid w:val="0034349B"/>
    <w:rsid w:val="00344C55"/>
    <w:rsid w:val="003461DD"/>
    <w:rsid w:val="003478DD"/>
    <w:rsid w:val="003502D5"/>
    <w:rsid w:val="00351201"/>
    <w:rsid w:val="00351A9F"/>
    <w:rsid w:val="00352DED"/>
    <w:rsid w:val="003530F1"/>
    <w:rsid w:val="003532E6"/>
    <w:rsid w:val="0035391F"/>
    <w:rsid w:val="00354A2B"/>
    <w:rsid w:val="0035759A"/>
    <w:rsid w:val="0036215B"/>
    <w:rsid w:val="003622F2"/>
    <w:rsid w:val="00362827"/>
    <w:rsid w:val="0036425A"/>
    <w:rsid w:val="00364452"/>
    <w:rsid w:val="003654A9"/>
    <w:rsid w:val="00365B75"/>
    <w:rsid w:val="00366795"/>
    <w:rsid w:val="003704F4"/>
    <w:rsid w:val="0037337E"/>
    <w:rsid w:val="00373975"/>
    <w:rsid w:val="00373A4F"/>
    <w:rsid w:val="00373CBE"/>
    <w:rsid w:val="00373E3D"/>
    <w:rsid w:val="00375EC6"/>
    <w:rsid w:val="003765C4"/>
    <w:rsid w:val="003821E4"/>
    <w:rsid w:val="003832F5"/>
    <w:rsid w:val="00385AA9"/>
    <w:rsid w:val="00386C4A"/>
    <w:rsid w:val="00390E43"/>
    <w:rsid w:val="00390ECE"/>
    <w:rsid w:val="0039348E"/>
    <w:rsid w:val="003959AA"/>
    <w:rsid w:val="00395ADE"/>
    <w:rsid w:val="00396238"/>
    <w:rsid w:val="003A0F20"/>
    <w:rsid w:val="003A1E4F"/>
    <w:rsid w:val="003A2224"/>
    <w:rsid w:val="003A2DE3"/>
    <w:rsid w:val="003A3A57"/>
    <w:rsid w:val="003A4CEE"/>
    <w:rsid w:val="003A529D"/>
    <w:rsid w:val="003A66F8"/>
    <w:rsid w:val="003B3397"/>
    <w:rsid w:val="003B457D"/>
    <w:rsid w:val="003B5947"/>
    <w:rsid w:val="003B5E63"/>
    <w:rsid w:val="003B6259"/>
    <w:rsid w:val="003B62DA"/>
    <w:rsid w:val="003C0916"/>
    <w:rsid w:val="003C14FD"/>
    <w:rsid w:val="003C20A8"/>
    <w:rsid w:val="003C343B"/>
    <w:rsid w:val="003C361D"/>
    <w:rsid w:val="003C5D4F"/>
    <w:rsid w:val="003C62A6"/>
    <w:rsid w:val="003C780E"/>
    <w:rsid w:val="003C7CE3"/>
    <w:rsid w:val="003D3644"/>
    <w:rsid w:val="003D4F85"/>
    <w:rsid w:val="003D5FF9"/>
    <w:rsid w:val="003D6B17"/>
    <w:rsid w:val="003D6C19"/>
    <w:rsid w:val="003D72D8"/>
    <w:rsid w:val="003E1F4F"/>
    <w:rsid w:val="003E3DA0"/>
    <w:rsid w:val="003E40A1"/>
    <w:rsid w:val="003E4CBE"/>
    <w:rsid w:val="003E4DCE"/>
    <w:rsid w:val="003E5CC4"/>
    <w:rsid w:val="003E6866"/>
    <w:rsid w:val="003E704B"/>
    <w:rsid w:val="003E7A24"/>
    <w:rsid w:val="003F0C52"/>
    <w:rsid w:val="003F0F49"/>
    <w:rsid w:val="003F148A"/>
    <w:rsid w:val="003F2011"/>
    <w:rsid w:val="003F2CAD"/>
    <w:rsid w:val="003F2F5E"/>
    <w:rsid w:val="003F4074"/>
    <w:rsid w:val="003F43E3"/>
    <w:rsid w:val="003F63E8"/>
    <w:rsid w:val="00400D64"/>
    <w:rsid w:val="004013E8"/>
    <w:rsid w:val="00402BEF"/>
    <w:rsid w:val="00403F29"/>
    <w:rsid w:val="004049AF"/>
    <w:rsid w:val="004073B6"/>
    <w:rsid w:val="00410F4D"/>
    <w:rsid w:val="004121C6"/>
    <w:rsid w:val="004127E2"/>
    <w:rsid w:val="004137A6"/>
    <w:rsid w:val="00413D18"/>
    <w:rsid w:val="0041488C"/>
    <w:rsid w:val="0041693B"/>
    <w:rsid w:val="00417FE1"/>
    <w:rsid w:val="00421257"/>
    <w:rsid w:val="00421E1D"/>
    <w:rsid w:val="0042484D"/>
    <w:rsid w:val="00424957"/>
    <w:rsid w:val="00424B99"/>
    <w:rsid w:val="00424BEF"/>
    <w:rsid w:val="004273CE"/>
    <w:rsid w:val="004276BF"/>
    <w:rsid w:val="00430303"/>
    <w:rsid w:val="00431C35"/>
    <w:rsid w:val="004365D5"/>
    <w:rsid w:val="00440326"/>
    <w:rsid w:val="00440754"/>
    <w:rsid w:val="00441398"/>
    <w:rsid w:val="0044236D"/>
    <w:rsid w:val="00443343"/>
    <w:rsid w:val="00445840"/>
    <w:rsid w:val="00446807"/>
    <w:rsid w:val="00447709"/>
    <w:rsid w:val="004514C2"/>
    <w:rsid w:val="004525FD"/>
    <w:rsid w:val="00453DAB"/>
    <w:rsid w:val="004559BD"/>
    <w:rsid w:val="00455CC9"/>
    <w:rsid w:val="004565B1"/>
    <w:rsid w:val="004665C3"/>
    <w:rsid w:val="0046729E"/>
    <w:rsid w:val="00467952"/>
    <w:rsid w:val="004716AB"/>
    <w:rsid w:val="00475291"/>
    <w:rsid w:val="00476249"/>
    <w:rsid w:val="0048009E"/>
    <w:rsid w:val="00482BC2"/>
    <w:rsid w:val="00482EA3"/>
    <w:rsid w:val="00486CD6"/>
    <w:rsid w:val="004875D2"/>
    <w:rsid w:val="00487F22"/>
    <w:rsid w:val="00487FF2"/>
    <w:rsid w:val="0049067F"/>
    <w:rsid w:val="00491579"/>
    <w:rsid w:val="004939B8"/>
    <w:rsid w:val="00494076"/>
    <w:rsid w:val="004978E1"/>
    <w:rsid w:val="004A209E"/>
    <w:rsid w:val="004A23AA"/>
    <w:rsid w:val="004A2C36"/>
    <w:rsid w:val="004A424B"/>
    <w:rsid w:val="004A555F"/>
    <w:rsid w:val="004A58E0"/>
    <w:rsid w:val="004B0935"/>
    <w:rsid w:val="004B364E"/>
    <w:rsid w:val="004B3DB1"/>
    <w:rsid w:val="004B4274"/>
    <w:rsid w:val="004B5D71"/>
    <w:rsid w:val="004B6942"/>
    <w:rsid w:val="004C0688"/>
    <w:rsid w:val="004C1DD6"/>
    <w:rsid w:val="004C24B0"/>
    <w:rsid w:val="004C3FC9"/>
    <w:rsid w:val="004C5FFA"/>
    <w:rsid w:val="004D06D0"/>
    <w:rsid w:val="004D1CF2"/>
    <w:rsid w:val="004D2EDA"/>
    <w:rsid w:val="004D5709"/>
    <w:rsid w:val="004D632A"/>
    <w:rsid w:val="004D635F"/>
    <w:rsid w:val="004D63CE"/>
    <w:rsid w:val="004D6A5E"/>
    <w:rsid w:val="004D7E16"/>
    <w:rsid w:val="004E01C1"/>
    <w:rsid w:val="004E304D"/>
    <w:rsid w:val="004E4B16"/>
    <w:rsid w:val="004E5123"/>
    <w:rsid w:val="004E597D"/>
    <w:rsid w:val="004E5BD3"/>
    <w:rsid w:val="004F0774"/>
    <w:rsid w:val="004F29D7"/>
    <w:rsid w:val="004F34AE"/>
    <w:rsid w:val="004F6627"/>
    <w:rsid w:val="004F69C0"/>
    <w:rsid w:val="004F7BE0"/>
    <w:rsid w:val="00501451"/>
    <w:rsid w:val="005024BB"/>
    <w:rsid w:val="005039B0"/>
    <w:rsid w:val="0050591B"/>
    <w:rsid w:val="00505AC7"/>
    <w:rsid w:val="005061FF"/>
    <w:rsid w:val="005062EB"/>
    <w:rsid w:val="005069F9"/>
    <w:rsid w:val="00510081"/>
    <w:rsid w:val="00511C7C"/>
    <w:rsid w:val="00511D84"/>
    <w:rsid w:val="00515140"/>
    <w:rsid w:val="005151D2"/>
    <w:rsid w:val="00516D53"/>
    <w:rsid w:val="005202F9"/>
    <w:rsid w:val="00520B37"/>
    <w:rsid w:val="0052464E"/>
    <w:rsid w:val="0052634C"/>
    <w:rsid w:val="00526808"/>
    <w:rsid w:val="00526EE0"/>
    <w:rsid w:val="00527418"/>
    <w:rsid w:val="005279E1"/>
    <w:rsid w:val="0053019C"/>
    <w:rsid w:val="00531729"/>
    <w:rsid w:val="005325B3"/>
    <w:rsid w:val="00534921"/>
    <w:rsid w:val="00534D58"/>
    <w:rsid w:val="005352C9"/>
    <w:rsid w:val="005361C7"/>
    <w:rsid w:val="00536243"/>
    <w:rsid w:val="0053651D"/>
    <w:rsid w:val="00536928"/>
    <w:rsid w:val="0054075E"/>
    <w:rsid w:val="00541111"/>
    <w:rsid w:val="00541484"/>
    <w:rsid w:val="005419DB"/>
    <w:rsid w:val="005424CD"/>
    <w:rsid w:val="0054276A"/>
    <w:rsid w:val="005428BE"/>
    <w:rsid w:val="00542A58"/>
    <w:rsid w:val="005507A8"/>
    <w:rsid w:val="005516DA"/>
    <w:rsid w:val="00552BB9"/>
    <w:rsid w:val="005541C1"/>
    <w:rsid w:val="00554E01"/>
    <w:rsid w:val="00555057"/>
    <w:rsid w:val="0055664C"/>
    <w:rsid w:val="005571E8"/>
    <w:rsid w:val="005578FF"/>
    <w:rsid w:val="0056239E"/>
    <w:rsid w:val="00562401"/>
    <w:rsid w:val="00562E2A"/>
    <w:rsid w:val="00563340"/>
    <w:rsid w:val="00565BE8"/>
    <w:rsid w:val="00566403"/>
    <w:rsid w:val="005670D2"/>
    <w:rsid w:val="00567764"/>
    <w:rsid w:val="0057102A"/>
    <w:rsid w:val="00571516"/>
    <w:rsid w:val="005715E3"/>
    <w:rsid w:val="00573E06"/>
    <w:rsid w:val="00574AFC"/>
    <w:rsid w:val="00577C3F"/>
    <w:rsid w:val="00580400"/>
    <w:rsid w:val="00581A6A"/>
    <w:rsid w:val="00581E9F"/>
    <w:rsid w:val="0058258E"/>
    <w:rsid w:val="005830E9"/>
    <w:rsid w:val="00584C13"/>
    <w:rsid w:val="00587DA7"/>
    <w:rsid w:val="005921A0"/>
    <w:rsid w:val="005928EC"/>
    <w:rsid w:val="005931F8"/>
    <w:rsid w:val="005937B4"/>
    <w:rsid w:val="005942A6"/>
    <w:rsid w:val="00596B0F"/>
    <w:rsid w:val="00597545"/>
    <w:rsid w:val="005A01C3"/>
    <w:rsid w:val="005A2464"/>
    <w:rsid w:val="005A450C"/>
    <w:rsid w:val="005A6295"/>
    <w:rsid w:val="005A6EE1"/>
    <w:rsid w:val="005B0A81"/>
    <w:rsid w:val="005B2098"/>
    <w:rsid w:val="005B3394"/>
    <w:rsid w:val="005B3C77"/>
    <w:rsid w:val="005B4259"/>
    <w:rsid w:val="005B6074"/>
    <w:rsid w:val="005C36E8"/>
    <w:rsid w:val="005C3E52"/>
    <w:rsid w:val="005C4954"/>
    <w:rsid w:val="005D17E5"/>
    <w:rsid w:val="005D4226"/>
    <w:rsid w:val="005D4FFC"/>
    <w:rsid w:val="005D6F58"/>
    <w:rsid w:val="005D74B7"/>
    <w:rsid w:val="005D7840"/>
    <w:rsid w:val="005E1780"/>
    <w:rsid w:val="005E26DE"/>
    <w:rsid w:val="005E3753"/>
    <w:rsid w:val="005E7337"/>
    <w:rsid w:val="005E7442"/>
    <w:rsid w:val="005E7D6C"/>
    <w:rsid w:val="005F5059"/>
    <w:rsid w:val="00600855"/>
    <w:rsid w:val="00602B03"/>
    <w:rsid w:val="00607CF7"/>
    <w:rsid w:val="00610AA3"/>
    <w:rsid w:val="006127B7"/>
    <w:rsid w:val="00612B85"/>
    <w:rsid w:val="00613CBA"/>
    <w:rsid w:val="006147CE"/>
    <w:rsid w:val="00614BAF"/>
    <w:rsid w:val="006173E0"/>
    <w:rsid w:val="00617DA1"/>
    <w:rsid w:val="00620BA7"/>
    <w:rsid w:val="0062288E"/>
    <w:rsid w:val="0062295C"/>
    <w:rsid w:val="006248D7"/>
    <w:rsid w:val="006275D7"/>
    <w:rsid w:val="006315B6"/>
    <w:rsid w:val="00631719"/>
    <w:rsid w:val="00633906"/>
    <w:rsid w:val="006339D7"/>
    <w:rsid w:val="00633BC2"/>
    <w:rsid w:val="0063421E"/>
    <w:rsid w:val="0063449D"/>
    <w:rsid w:val="00634D9C"/>
    <w:rsid w:val="00634F14"/>
    <w:rsid w:val="00635B24"/>
    <w:rsid w:val="00636B39"/>
    <w:rsid w:val="006375BE"/>
    <w:rsid w:val="006432D8"/>
    <w:rsid w:val="00646300"/>
    <w:rsid w:val="00646F24"/>
    <w:rsid w:val="0065116C"/>
    <w:rsid w:val="00653B28"/>
    <w:rsid w:val="00655900"/>
    <w:rsid w:val="00656D48"/>
    <w:rsid w:val="00657D44"/>
    <w:rsid w:val="0066145F"/>
    <w:rsid w:val="0066311A"/>
    <w:rsid w:val="006641E4"/>
    <w:rsid w:val="00665EC4"/>
    <w:rsid w:val="00666EFB"/>
    <w:rsid w:val="00667E7A"/>
    <w:rsid w:val="00670DC1"/>
    <w:rsid w:val="00670F3C"/>
    <w:rsid w:val="00670FB5"/>
    <w:rsid w:val="00671DB6"/>
    <w:rsid w:val="006768C9"/>
    <w:rsid w:val="00677878"/>
    <w:rsid w:val="00677E9E"/>
    <w:rsid w:val="00681481"/>
    <w:rsid w:val="006873C2"/>
    <w:rsid w:val="006879C2"/>
    <w:rsid w:val="00687FD1"/>
    <w:rsid w:val="006952E6"/>
    <w:rsid w:val="00695F6C"/>
    <w:rsid w:val="00696760"/>
    <w:rsid w:val="00697924"/>
    <w:rsid w:val="00697F43"/>
    <w:rsid w:val="006A154B"/>
    <w:rsid w:val="006A2459"/>
    <w:rsid w:val="006A27C6"/>
    <w:rsid w:val="006A4D8D"/>
    <w:rsid w:val="006A5ABC"/>
    <w:rsid w:val="006A6286"/>
    <w:rsid w:val="006A6E53"/>
    <w:rsid w:val="006B0CF7"/>
    <w:rsid w:val="006B1BB3"/>
    <w:rsid w:val="006B3DEC"/>
    <w:rsid w:val="006B43BC"/>
    <w:rsid w:val="006B43DE"/>
    <w:rsid w:val="006B450F"/>
    <w:rsid w:val="006B5A59"/>
    <w:rsid w:val="006B5B91"/>
    <w:rsid w:val="006B6DD1"/>
    <w:rsid w:val="006B760B"/>
    <w:rsid w:val="006B7A89"/>
    <w:rsid w:val="006B7BC8"/>
    <w:rsid w:val="006C1780"/>
    <w:rsid w:val="006C1D94"/>
    <w:rsid w:val="006C33D8"/>
    <w:rsid w:val="006C5911"/>
    <w:rsid w:val="006D132E"/>
    <w:rsid w:val="006D51B7"/>
    <w:rsid w:val="006D52E8"/>
    <w:rsid w:val="006D65F5"/>
    <w:rsid w:val="006D6788"/>
    <w:rsid w:val="006D7480"/>
    <w:rsid w:val="006D74FB"/>
    <w:rsid w:val="006D7790"/>
    <w:rsid w:val="006E1F6D"/>
    <w:rsid w:val="006E2950"/>
    <w:rsid w:val="006E2C48"/>
    <w:rsid w:val="006E2EB1"/>
    <w:rsid w:val="006E35D1"/>
    <w:rsid w:val="006E392F"/>
    <w:rsid w:val="006E5E4D"/>
    <w:rsid w:val="006E692A"/>
    <w:rsid w:val="006E7B72"/>
    <w:rsid w:val="006E7F96"/>
    <w:rsid w:val="006F1ECA"/>
    <w:rsid w:val="006F61A8"/>
    <w:rsid w:val="006F63B6"/>
    <w:rsid w:val="006F6C24"/>
    <w:rsid w:val="006F77B4"/>
    <w:rsid w:val="006F7923"/>
    <w:rsid w:val="00704059"/>
    <w:rsid w:val="00704095"/>
    <w:rsid w:val="00705F6C"/>
    <w:rsid w:val="00706A8E"/>
    <w:rsid w:val="00707394"/>
    <w:rsid w:val="00707436"/>
    <w:rsid w:val="00707FA5"/>
    <w:rsid w:val="007133D4"/>
    <w:rsid w:val="007139F6"/>
    <w:rsid w:val="007151E7"/>
    <w:rsid w:val="00715E30"/>
    <w:rsid w:val="0071665D"/>
    <w:rsid w:val="007173B5"/>
    <w:rsid w:val="00720497"/>
    <w:rsid w:val="00720763"/>
    <w:rsid w:val="0072089E"/>
    <w:rsid w:val="0072286B"/>
    <w:rsid w:val="0072395F"/>
    <w:rsid w:val="007245A0"/>
    <w:rsid w:val="00724DB6"/>
    <w:rsid w:val="00725FBF"/>
    <w:rsid w:val="00727167"/>
    <w:rsid w:val="0073076A"/>
    <w:rsid w:val="00730E44"/>
    <w:rsid w:val="00731580"/>
    <w:rsid w:val="00732A55"/>
    <w:rsid w:val="0073374A"/>
    <w:rsid w:val="00735E8F"/>
    <w:rsid w:val="007447BC"/>
    <w:rsid w:val="00745177"/>
    <w:rsid w:val="00746465"/>
    <w:rsid w:val="0074682C"/>
    <w:rsid w:val="00746C3B"/>
    <w:rsid w:val="00747E89"/>
    <w:rsid w:val="00753824"/>
    <w:rsid w:val="00754467"/>
    <w:rsid w:val="00755303"/>
    <w:rsid w:val="007555AA"/>
    <w:rsid w:val="00755BC6"/>
    <w:rsid w:val="00756724"/>
    <w:rsid w:val="007575F7"/>
    <w:rsid w:val="00757919"/>
    <w:rsid w:val="007609C8"/>
    <w:rsid w:val="0076163F"/>
    <w:rsid w:val="007619BE"/>
    <w:rsid w:val="00762F4D"/>
    <w:rsid w:val="00763B7F"/>
    <w:rsid w:val="00763E85"/>
    <w:rsid w:val="00764C04"/>
    <w:rsid w:val="007662EA"/>
    <w:rsid w:val="00770210"/>
    <w:rsid w:val="00770F4C"/>
    <w:rsid w:val="00770FB3"/>
    <w:rsid w:val="007712A2"/>
    <w:rsid w:val="00772256"/>
    <w:rsid w:val="00777A9E"/>
    <w:rsid w:val="00781D82"/>
    <w:rsid w:val="007860F9"/>
    <w:rsid w:val="007915DB"/>
    <w:rsid w:val="0079183B"/>
    <w:rsid w:val="00791A23"/>
    <w:rsid w:val="007933A5"/>
    <w:rsid w:val="007942F0"/>
    <w:rsid w:val="00795F48"/>
    <w:rsid w:val="0079687B"/>
    <w:rsid w:val="00796969"/>
    <w:rsid w:val="00796CC4"/>
    <w:rsid w:val="00796D73"/>
    <w:rsid w:val="007A0F60"/>
    <w:rsid w:val="007A1E2C"/>
    <w:rsid w:val="007A2C8F"/>
    <w:rsid w:val="007A351B"/>
    <w:rsid w:val="007A5D5A"/>
    <w:rsid w:val="007A6015"/>
    <w:rsid w:val="007A7F6F"/>
    <w:rsid w:val="007B1523"/>
    <w:rsid w:val="007B1AD5"/>
    <w:rsid w:val="007B2EB0"/>
    <w:rsid w:val="007B64FF"/>
    <w:rsid w:val="007B7EBA"/>
    <w:rsid w:val="007B7F66"/>
    <w:rsid w:val="007C0A02"/>
    <w:rsid w:val="007C411F"/>
    <w:rsid w:val="007C603C"/>
    <w:rsid w:val="007C607A"/>
    <w:rsid w:val="007C713C"/>
    <w:rsid w:val="007C73B9"/>
    <w:rsid w:val="007D1427"/>
    <w:rsid w:val="007D277E"/>
    <w:rsid w:val="007D42FB"/>
    <w:rsid w:val="007D5D2D"/>
    <w:rsid w:val="007D7242"/>
    <w:rsid w:val="007D7343"/>
    <w:rsid w:val="007E2A8D"/>
    <w:rsid w:val="007E5089"/>
    <w:rsid w:val="007E582A"/>
    <w:rsid w:val="007E5A34"/>
    <w:rsid w:val="007E629A"/>
    <w:rsid w:val="007E6666"/>
    <w:rsid w:val="007E7D01"/>
    <w:rsid w:val="007F041C"/>
    <w:rsid w:val="007F063F"/>
    <w:rsid w:val="007F3379"/>
    <w:rsid w:val="007F6AC3"/>
    <w:rsid w:val="007F7717"/>
    <w:rsid w:val="00800745"/>
    <w:rsid w:val="00800E57"/>
    <w:rsid w:val="00801738"/>
    <w:rsid w:val="008035DB"/>
    <w:rsid w:val="00804D3E"/>
    <w:rsid w:val="008051FD"/>
    <w:rsid w:val="0080557C"/>
    <w:rsid w:val="00805EAA"/>
    <w:rsid w:val="00806BE9"/>
    <w:rsid w:val="008075C9"/>
    <w:rsid w:val="008129F8"/>
    <w:rsid w:val="00813871"/>
    <w:rsid w:val="00813FA0"/>
    <w:rsid w:val="00815CA6"/>
    <w:rsid w:val="00821AA6"/>
    <w:rsid w:val="00821D80"/>
    <w:rsid w:val="00822778"/>
    <w:rsid w:val="00823EAC"/>
    <w:rsid w:val="00825DA5"/>
    <w:rsid w:val="00826179"/>
    <w:rsid w:val="0082710B"/>
    <w:rsid w:val="00827112"/>
    <w:rsid w:val="00827635"/>
    <w:rsid w:val="00830024"/>
    <w:rsid w:val="00830F6D"/>
    <w:rsid w:val="0083315B"/>
    <w:rsid w:val="00833C79"/>
    <w:rsid w:val="00841EDE"/>
    <w:rsid w:val="0084367A"/>
    <w:rsid w:val="008463FB"/>
    <w:rsid w:val="008467DE"/>
    <w:rsid w:val="008504E4"/>
    <w:rsid w:val="00852262"/>
    <w:rsid w:val="00852331"/>
    <w:rsid w:val="0085619F"/>
    <w:rsid w:val="0086049C"/>
    <w:rsid w:val="00861666"/>
    <w:rsid w:val="0086184A"/>
    <w:rsid w:val="00861A5B"/>
    <w:rsid w:val="00861D91"/>
    <w:rsid w:val="0086438C"/>
    <w:rsid w:val="00864AEF"/>
    <w:rsid w:val="00865292"/>
    <w:rsid w:val="00873C30"/>
    <w:rsid w:val="008742F7"/>
    <w:rsid w:val="00876A2B"/>
    <w:rsid w:val="00876E2D"/>
    <w:rsid w:val="00877397"/>
    <w:rsid w:val="00877D10"/>
    <w:rsid w:val="008801D7"/>
    <w:rsid w:val="008805B9"/>
    <w:rsid w:val="00880EE6"/>
    <w:rsid w:val="008825B7"/>
    <w:rsid w:val="008826A0"/>
    <w:rsid w:val="00882B27"/>
    <w:rsid w:val="00883DF4"/>
    <w:rsid w:val="0088476E"/>
    <w:rsid w:val="008853C0"/>
    <w:rsid w:val="00885D45"/>
    <w:rsid w:val="008902A1"/>
    <w:rsid w:val="0089088D"/>
    <w:rsid w:val="008920EA"/>
    <w:rsid w:val="00896CF7"/>
    <w:rsid w:val="008A1556"/>
    <w:rsid w:val="008A2EB3"/>
    <w:rsid w:val="008A5749"/>
    <w:rsid w:val="008A5B6B"/>
    <w:rsid w:val="008A7DD0"/>
    <w:rsid w:val="008A7F8F"/>
    <w:rsid w:val="008B020A"/>
    <w:rsid w:val="008B1FEE"/>
    <w:rsid w:val="008B272D"/>
    <w:rsid w:val="008B376E"/>
    <w:rsid w:val="008B3CF2"/>
    <w:rsid w:val="008B4DD7"/>
    <w:rsid w:val="008B5017"/>
    <w:rsid w:val="008B627B"/>
    <w:rsid w:val="008B76B1"/>
    <w:rsid w:val="008C0362"/>
    <w:rsid w:val="008C26EF"/>
    <w:rsid w:val="008C7C30"/>
    <w:rsid w:val="008C7E81"/>
    <w:rsid w:val="008C7FB8"/>
    <w:rsid w:val="008D3FD2"/>
    <w:rsid w:val="008D5DBC"/>
    <w:rsid w:val="008D6166"/>
    <w:rsid w:val="008E261F"/>
    <w:rsid w:val="008E3AA2"/>
    <w:rsid w:val="008E3AB8"/>
    <w:rsid w:val="008E3FA6"/>
    <w:rsid w:val="008E4527"/>
    <w:rsid w:val="008E4A99"/>
    <w:rsid w:val="008E6935"/>
    <w:rsid w:val="008F22A3"/>
    <w:rsid w:val="008F4223"/>
    <w:rsid w:val="008F425E"/>
    <w:rsid w:val="008F5D09"/>
    <w:rsid w:val="008F6247"/>
    <w:rsid w:val="008F7A35"/>
    <w:rsid w:val="008F7E2C"/>
    <w:rsid w:val="008F7FB3"/>
    <w:rsid w:val="00901466"/>
    <w:rsid w:val="009014ED"/>
    <w:rsid w:val="00902353"/>
    <w:rsid w:val="00904614"/>
    <w:rsid w:val="00906A5A"/>
    <w:rsid w:val="00907862"/>
    <w:rsid w:val="00910620"/>
    <w:rsid w:val="00912DAE"/>
    <w:rsid w:val="00913958"/>
    <w:rsid w:val="00915175"/>
    <w:rsid w:val="0092093E"/>
    <w:rsid w:val="0092127B"/>
    <w:rsid w:val="00922BE2"/>
    <w:rsid w:val="00923C71"/>
    <w:rsid w:val="009241C9"/>
    <w:rsid w:val="009243F8"/>
    <w:rsid w:val="00924E57"/>
    <w:rsid w:val="009318B8"/>
    <w:rsid w:val="00932B3E"/>
    <w:rsid w:val="0093316F"/>
    <w:rsid w:val="00934857"/>
    <w:rsid w:val="00934F0C"/>
    <w:rsid w:val="00936595"/>
    <w:rsid w:val="00936812"/>
    <w:rsid w:val="009409BC"/>
    <w:rsid w:val="00941610"/>
    <w:rsid w:val="00941712"/>
    <w:rsid w:val="00943960"/>
    <w:rsid w:val="00944713"/>
    <w:rsid w:val="00945B49"/>
    <w:rsid w:val="00947213"/>
    <w:rsid w:val="0094778B"/>
    <w:rsid w:val="00947C75"/>
    <w:rsid w:val="009507F3"/>
    <w:rsid w:val="00950B56"/>
    <w:rsid w:val="00953D84"/>
    <w:rsid w:val="00954EED"/>
    <w:rsid w:val="0095652A"/>
    <w:rsid w:val="009567A8"/>
    <w:rsid w:val="00956AF2"/>
    <w:rsid w:val="009579F3"/>
    <w:rsid w:val="00960A4C"/>
    <w:rsid w:val="00960A81"/>
    <w:rsid w:val="009612CE"/>
    <w:rsid w:val="00961AF3"/>
    <w:rsid w:val="00962695"/>
    <w:rsid w:val="00963086"/>
    <w:rsid w:val="0096370C"/>
    <w:rsid w:val="00963D5C"/>
    <w:rsid w:val="009748F9"/>
    <w:rsid w:val="00975B72"/>
    <w:rsid w:val="00975B93"/>
    <w:rsid w:val="009828AE"/>
    <w:rsid w:val="009840BB"/>
    <w:rsid w:val="00985537"/>
    <w:rsid w:val="00986D66"/>
    <w:rsid w:val="00991DC7"/>
    <w:rsid w:val="0099216A"/>
    <w:rsid w:val="009928E1"/>
    <w:rsid w:val="00993FE2"/>
    <w:rsid w:val="009948C7"/>
    <w:rsid w:val="00994AAA"/>
    <w:rsid w:val="00994BA8"/>
    <w:rsid w:val="00995D54"/>
    <w:rsid w:val="00997794"/>
    <w:rsid w:val="009A1EE5"/>
    <w:rsid w:val="009A2957"/>
    <w:rsid w:val="009A5D99"/>
    <w:rsid w:val="009A6B06"/>
    <w:rsid w:val="009A7189"/>
    <w:rsid w:val="009B2078"/>
    <w:rsid w:val="009B27D7"/>
    <w:rsid w:val="009B2E55"/>
    <w:rsid w:val="009B3298"/>
    <w:rsid w:val="009B44A7"/>
    <w:rsid w:val="009C16BD"/>
    <w:rsid w:val="009C1F65"/>
    <w:rsid w:val="009C2CAB"/>
    <w:rsid w:val="009C2F63"/>
    <w:rsid w:val="009C3CEC"/>
    <w:rsid w:val="009C3DAF"/>
    <w:rsid w:val="009C5488"/>
    <w:rsid w:val="009C550B"/>
    <w:rsid w:val="009C6AF0"/>
    <w:rsid w:val="009C79F0"/>
    <w:rsid w:val="009D08B0"/>
    <w:rsid w:val="009D314F"/>
    <w:rsid w:val="009D45A3"/>
    <w:rsid w:val="009D585B"/>
    <w:rsid w:val="009D5CB9"/>
    <w:rsid w:val="009E040D"/>
    <w:rsid w:val="009E16CB"/>
    <w:rsid w:val="009E2621"/>
    <w:rsid w:val="009E411C"/>
    <w:rsid w:val="009E45A8"/>
    <w:rsid w:val="009E5678"/>
    <w:rsid w:val="009E596E"/>
    <w:rsid w:val="009F0EFC"/>
    <w:rsid w:val="009F495E"/>
    <w:rsid w:val="009F751A"/>
    <w:rsid w:val="00A00CA8"/>
    <w:rsid w:val="00A0180A"/>
    <w:rsid w:val="00A02536"/>
    <w:rsid w:val="00A05CF2"/>
    <w:rsid w:val="00A0614D"/>
    <w:rsid w:val="00A07EB5"/>
    <w:rsid w:val="00A100C3"/>
    <w:rsid w:val="00A117D8"/>
    <w:rsid w:val="00A1407B"/>
    <w:rsid w:val="00A202AF"/>
    <w:rsid w:val="00A23472"/>
    <w:rsid w:val="00A23C00"/>
    <w:rsid w:val="00A30C26"/>
    <w:rsid w:val="00A310FE"/>
    <w:rsid w:val="00A338FF"/>
    <w:rsid w:val="00A33BDD"/>
    <w:rsid w:val="00A34C7F"/>
    <w:rsid w:val="00A3521D"/>
    <w:rsid w:val="00A35597"/>
    <w:rsid w:val="00A35898"/>
    <w:rsid w:val="00A370DE"/>
    <w:rsid w:val="00A40828"/>
    <w:rsid w:val="00A4376E"/>
    <w:rsid w:val="00A47A6A"/>
    <w:rsid w:val="00A50E7D"/>
    <w:rsid w:val="00A50F44"/>
    <w:rsid w:val="00A517CF"/>
    <w:rsid w:val="00A53A66"/>
    <w:rsid w:val="00A542BD"/>
    <w:rsid w:val="00A54545"/>
    <w:rsid w:val="00A5462C"/>
    <w:rsid w:val="00A57A51"/>
    <w:rsid w:val="00A57D55"/>
    <w:rsid w:val="00A620DD"/>
    <w:rsid w:val="00A63C3A"/>
    <w:rsid w:val="00A64981"/>
    <w:rsid w:val="00A65E78"/>
    <w:rsid w:val="00A701EF"/>
    <w:rsid w:val="00A72DDD"/>
    <w:rsid w:val="00A731D3"/>
    <w:rsid w:val="00A739B6"/>
    <w:rsid w:val="00A74104"/>
    <w:rsid w:val="00A76987"/>
    <w:rsid w:val="00A77373"/>
    <w:rsid w:val="00A77E34"/>
    <w:rsid w:val="00A82E20"/>
    <w:rsid w:val="00A830DB"/>
    <w:rsid w:val="00A84790"/>
    <w:rsid w:val="00A85ACF"/>
    <w:rsid w:val="00A86609"/>
    <w:rsid w:val="00A8671E"/>
    <w:rsid w:val="00A87449"/>
    <w:rsid w:val="00A87AAC"/>
    <w:rsid w:val="00A87F6F"/>
    <w:rsid w:val="00A90882"/>
    <w:rsid w:val="00A93BF4"/>
    <w:rsid w:val="00A93E75"/>
    <w:rsid w:val="00A96740"/>
    <w:rsid w:val="00A96EED"/>
    <w:rsid w:val="00A97515"/>
    <w:rsid w:val="00AA0C48"/>
    <w:rsid w:val="00AA1815"/>
    <w:rsid w:val="00AA5059"/>
    <w:rsid w:val="00AA51B4"/>
    <w:rsid w:val="00AA76BF"/>
    <w:rsid w:val="00AB1A75"/>
    <w:rsid w:val="00AB1DD2"/>
    <w:rsid w:val="00AB28BE"/>
    <w:rsid w:val="00AB3343"/>
    <w:rsid w:val="00AB36A2"/>
    <w:rsid w:val="00AB4E03"/>
    <w:rsid w:val="00AB5468"/>
    <w:rsid w:val="00AB5554"/>
    <w:rsid w:val="00AB65AE"/>
    <w:rsid w:val="00AB6C71"/>
    <w:rsid w:val="00AB7680"/>
    <w:rsid w:val="00AC0107"/>
    <w:rsid w:val="00AC1176"/>
    <w:rsid w:val="00AC2A71"/>
    <w:rsid w:val="00AC2CF5"/>
    <w:rsid w:val="00AC4AEA"/>
    <w:rsid w:val="00AC4B79"/>
    <w:rsid w:val="00AC50F3"/>
    <w:rsid w:val="00AC54D8"/>
    <w:rsid w:val="00AC71C3"/>
    <w:rsid w:val="00AC727A"/>
    <w:rsid w:val="00AC7B58"/>
    <w:rsid w:val="00AD1DAD"/>
    <w:rsid w:val="00AD317F"/>
    <w:rsid w:val="00AD65D5"/>
    <w:rsid w:val="00AD7521"/>
    <w:rsid w:val="00AE2AB3"/>
    <w:rsid w:val="00AE3B76"/>
    <w:rsid w:val="00AE3EC7"/>
    <w:rsid w:val="00AE4242"/>
    <w:rsid w:val="00AE4C74"/>
    <w:rsid w:val="00AE5E2C"/>
    <w:rsid w:val="00AF0EF6"/>
    <w:rsid w:val="00AF1B66"/>
    <w:rsid w:val="00AF2310"/>
    <w:rsid w:val="00AF3F46"/>
    <w:rsid w:val="00AF4C3F"/>
    <w:rsid w:val="00AF4ED9"/>
    <w:rsid w:val="00AF5913"/>
    <w:rsid w:val="00AF5C20"/>
    <w:rsid w:val="00AF62EC"/>
    <w:rsid w:val="00AF6983"/>
    <w:rsid w:val="00AF7444"/>
    <w:rsid w:val="00B02BEE"/>
    <w:rsid w:val="00B04E69"/>
    <w:rsid w:val="00B0517D"/>
    <w:rsid w:val="00B055D4"/>
    <w:rsid w:val="00B05A43"/>
    <w:rsid w:val="00B060DB"/>
    <w:rsid w:val="00B06A6D"/>
    <w:rsid w:val="00B06DB9"/>
    <w:rsid w:val="00B115AD"/>
    <w:rsid w:val="00B12BD3"/>
    <w:rsid w:val="00B155A8"/>
    <w:rsid w:val="00B15764"/>
    <w:rsid w:val="00B17B7A"/>
    <w:rsid w:val="00B2067C"/>
    <w:rsid w:val="00B2209E"/>
    <w:rsid w:val="00B2326F"/>
    <w:rsid w:val="00B262E4"/>
    <w:rsid w:val="00B31498"/>
    <w:rsid w:val="00B31ED3"/>
    <w:rsid w:val="00B34102"/>
    <w:rsid w:val="00B35F9A"/>
    <w:rsid w:val="00B36799"/>
    <w:rsid w:val="00B3682C"/>
    <w:rsid w:val="00B368D9"/>
    <w:rsid w:val="00B36A27"/>
    <w:rsid w:val="00B374F7"/>
    <w:rsid w:val="00B376F4"/>
    <w:rsid w:val="00B402FB"/>
    <w:rsid w:val="00B42822"/>
    <w:rsid w:val="00B428CF"/>
    <w:rsid w:val="00B4576C"/>
    <w:rsid w:val="00B45900"/>
    <w:rsid w:val="00B468AF"/>
    <w:rsid w:val="00B47380"/>
    <w:rsid w:val="00B477C9"/>
    <w:rsid w:val="00B53800"/>
    <w:rsid w:val="00B57593"/>
    <w:rsid w:val="00B5789B"/>
    <w:rsid w:val="00B60BE3"/>
    <w:rsid w:val="00B60F48"/>
    <w:rsid w:val="00B61D95"/>
    <w:rsid w:val="00B6306F"/>
    <w:rsid w:val="00B6331E"/>
    <w:rsid w:val="00B63654"/>
    <w:rsid w:val="00B678C6"/>
    <w:rsid w:val="00B67F33"/>
    <w:rsid w:val="00B7472A"/>
    <w:rsid w:val="00B75F92"/>
    <w:rsid w:val="00B767DE"/>
    <w:rsid w:val="00B775E2"/>
    <w:rsid w:val="00B811E0"/>
    <w:rsid w:val="00B823D9"/>
    <w:rsid w:val="00B827D5"/>
    <w:rsid w:val="00B841A9"/>
    <w:rsid w:val="00B8434C"/>
    <w:rsid w:val="00B854AA"/>
    <w:rsid w:val="00B86911"/>
    <w:rsid w:val="00B87A26"/>
    <w:rsid w:val="00B900ED"/>
    <w:rsid w:val="00B907DF"/>
    <w:rsid w:val="00B91291"/>
    <w:rsid w:val="00B927D7"/>
    <w:rsid w:val="00B94A5D"/>
    <w:rsid w:val="00B94EF4"/>
    <w:rsid w:val="00B9677E"/>
    <w:rsid w:val="00B967B5"/>
    <w:rsid w:val="00B96820"/>
    <w:rsid w:val="00BA0DD3"/>
    <w:rsid w:val="00BA1BB8"/>
    <w:rsid w:val="00BA268D"/>
    <w:rsid w:val="00BA33FB"/>
    <w:rsid w:val="00BA4600"/>
    <w:rsid w:val="00BA4C6A"/>
    <w:rsid w:val="00BA6B2D"/>
    <w:rsid w:val="00BA6F27"/>
    <w:rsid w:val="00BB013D"/>
    <w:rsid w:val="00BB0623"/>
    <w:rsid w:val="00BB2D35"/>
    <w:rsid w:val="00BB2F1C"/>
    <w:rsid w:val="00BB5BB4"/>
    <w:rsid w:val="00BB6303"/>
    <w:rsid w:val="00BB796D"/>
    <w:rsid w:val="00BB7EAF"/>
    <w:rsid w:val="00BC005C"/>
    <w:rsid w:val="00BC1DE3"/>
    <w:rsid w:val="00BC7B48"/>
    <w:rsid w:val="00BC7D72"/>
    <w:rsid w:val="00BD2860"/>
    <w:rsid w:val="00BD35F6"/>
    <w:rsid w:val="00BD53F8"/>
    <w:rsid w:val="00BD6112"/>
    <w:rsid w:val="00BD6EF2"/>
    <w:rsid w:val="00BD78C0"/>
    <w:rsid w:val="00BE0F2B"/>
    <w:rsid w:val="00BE0F97"/>
    <w:rsid w:val="00BE14C7"/>
    <w:rsid w:val="00BE23C8"/>
    <w:rsid w:val="00BE2485"/>
    <w:rsid w:val="00BE2B70"/>
    <w:rsid w:val="00BE34A9"/>
    <w:rsid w:val="00BE4193"/>
    <w:rsid w:val="00BE431D"/>
    <w:rsid w:val="00BE5AAE"/>
    <w:rsid w:val="00BF0B6E"/>
    <w:rsid w:val="00BF2B1C"/>
    <w:rsid w:val="00BF460E"/>
    <w:rsid w:val="00BF4722"/>
    <w:rsid w:val="00BF5398"/>
    <w:rsid w:val="00BF6D76"/>
    <w:rsid w:val="00C0037C"/>
    <w:rsid w:val="00C02AF4"/>
    <w:rsid w:val="00C03709"/>
    <w:rsid w:val="00C03995"/>
    <w:rsid w:val="00C045F4"/>
    <w:rsid w:val="00C05EEF"/>
    <w:rsid w:val="00C06592"/>
    <w:rsid w:val="00C0699D"/>
    <w:rsid w:val="00C1193F"/>
    <w:rsid w:val="00C126CD"/>
    <w:rsid w:val="00C16D27"/>
    <w:rsid w:val="00C1798F"/>
    <w:rsid w:val="00C2141E"/>
    <w:rsid w:val="00C223C9"/>
    <w:rsid w:val="00C23730"/>
    <w:rsid w:val="00C242E8"/>
    <w:rsid w:val="00C24D60"/>
    <w:rsid w:val="00C25028"/>
    <w:rsid w:val="00C25B01"/>
    <w:rsid w:val="00C26FA0"/>
    <w:rsid w:val="00C30AD6"/>
    <w:rsid w:val="00C32683"/>
    <w:rsid w:val="00C3290C"/>
    <w:rsid w:val="00C339C5"/>
    <w:rsid w:val="00C34E39"/>
    <w:rsid w:val="00C353E7"/>
    <w:rsid w:val="00C35B61"/>
    <w:rsid w:val="00C37E58"/>
    <w:rsid w:val="00C4066F"/>
    <w:rsid w:val="00C43F3E"/>
    <w:rsid w:val="00C44631"/>
    <w:rsid w:val="00C45317"/>
    <w:rsid w:val="00C46832"/>
    <w:rsid w:val="00C46CDB"/>
    <w:rsid w:val="00C47CF6"/>
    <w:rsid w:val="00C50DAC"/>
    <w:rsid w:val="00C5285C"/>
    <w:rsid w:val="00C52C67"/>
    <w:rsid w:val="00C52E39"/>
    <w:rsid w:val="00C5474D"/>
    <w:rsid w:val="00C559C5"/>
    <w:rsid w:val="00C5661C"/>
    <w:rsid w:val="00C573C2"/>
    <w:rsid w:val="00C57875"/>
    <w:rsid w:val="00C57999"/>
    <w:rsid w:val="00C60E01"/>
    <w:rsid w:val="00C62AB3"/>
    <w:rsid w:val="00C63504"/>
    <w:rsid w:val="00C65DD3"/>
    <w:rsid w:val="00C67650"/>
    <w:rsid w:val="00C67AC0"/>
    <w:rsid w:val="00C67AC5"/>
    <w:rsid w:val="00C71DB3"/>
    <w:rsid w:val="00C73A37"/>
    <w:rsid w:val="00C7450D"/>
    <w:rsid w:val="00C80223"/>
    <w:rsid w:val="00C80EC0"/>
    <w:rsid w:val="00C8116F"/>
    <w:rsid w:val="00C81806"/>
    <w:rsid w:val="00C81BDD"/>
    <w:rsid w:val="00C84775"/>
    <w:rsid w:val="00C87F79"/>
    <w:rsid w:val="00C923F1"/>
    <w:rsid w:val="00C953B2"/>
    <w:rsid w:val="00C969B1"/>
    <w:rsid w:val="00CA058C"/>
    <w:rsid w:val="00CA108A"/>
    <w:rsid w:val="00CA128F"/>
    <w:rsid w:val="00CA2821"/>
    <w:rsid w:val="00CA2A7F"/>
    <w:rsid w:val="00CA3B19"/>
    <w:rsid w:val="00CA4FFF"/>
    <w:rsid w:val="00CA51E3"/>
    <w:rsid w:val="00CA5A90"/>
    <w:rsid w:val="00CA75C6"/>
    <w:rsid w:val="00CA7D81"/>
    <w:rsid w:val="00CB0D50"/>
    <w:rsid w:val="00CB2D89"/>
    <w:rsid w:val="00CB418A"/>
    <w:rsid w:val="00CB484F"/>
    <w:rsid w:val="00CB5DBA"/>
    <w:rsid w:val="00CC0EA7"/>
    <w:rsid w:val="00CC2D33"/>
    <w:rsid w:val="00CC41D0"/>
    <w:rsid w:val="00CC44C0"/>
    <w:rsid w:val="00CC5B6F"/>
    <w:rsid w:val="00CC646F"/>
    <w:rsid w:val="00CC6F65"/>
    <w:rsid w:val="00CD15BC"/>
    <w:rsid w:val="00CD2BBB"/>
    <w:rsid w:val="00CD3488"/>
    <w:rsid w:val="00CD3779"/>
    <w:rsid w:val="00CD5001"/>
    <w:rsid w:val="00CD7779"/>
    <w:rsid w:val="00CE4A4F"/>
    <w:rsid w:val="00CE5150"/>
    <w:rsid w:val="00CE5191"/>
    <w:rsid w:val="00CE5D79"/>
    <w:rsid w:val="00CE61FC"/>
    <w:rsid w:val="00CE6D88"/>
    <w:rsid w:val="00CE7AF2"/>
    <w:rsid w:val="00CF1FE9"/>
    <w:rsid w:val="00CF22A4"/>
    <w:rsid w:val="00CF4875"/>
    <w:rsid w:val="00CF5B28"/>
    <w:rsid w:val="00CF6F55"/>
    <w:rsid w:val="00D000E4"/>
    <w:rsid w:val="00D05E12"/>
    <w:rsid w:val="00D10447"/>
    <w:rsid w:val="00D106D2"/>
    <w:rsid w:val="00D11459"/>
    <w:rsid w:val="00D122C1"/>
    <w:rsid w:val="00D12DEF"/>
    <w:rsid w:val="00D1353F"/>
    <w:rsid w:val="00D1386B"/>
    <w:rsid w:val="00D1396A"/>
    <w:rsid w:val="00D14824"/>
    <w:rsid w:val="00D14A9E"/>
    <w:rsid w:val="00D1519C"/>
    <w:rsid w:val="00D15781"/>
    <w:rsid w:val="00D159D2"/>
    <w:rsid w:val="00D1638B"/>
    <w:rsid w:val="00D20627"/>
    <w:rsid w:val="00D21F98"/>
    <w:rsid w:val="00D2237D"/>
    <w:rsid w:val="00D22F7D"/>
    <w:rsid w:val="00D244BC"/>
    <w:rsid w:val="00D25BFC"/>
    <w:rsid w:val="00D26F6F"/>
    <w:rsid w:val="00D2741B"/>
    <w:rsid w:val="00D321D6"/>
    <w:rsid w:val="00D33D88"/>
    <w:rsid w:val="00D35107"/>
    <w:rsid w:val="00D36FC6"/>
    <w:rsid w:val="00D375AF"/>
    <w:rsid w:val="00D37AB5"/>
    <w:rsid w:val="00D41AEA"/>
    <w:rsid w:val="00D424F6"/>
    <w:rsid w:val="00D424FE"/>
    <w:rsid w:val="00D4559F"/>
    <w:rsid w:val="00D45730"/>
    <w:rsid w:val="00D461B7"/>
    <w:rsid w:val="00D4634D"/>
    <w:rsid w:val="00D50288"/>
    <w:rsid w:val="00D50C3B"/>
    <w:rsid w:val="00D50D77"/>
    <w:rsid w:val="00D5196B"/>
    <w:rsid w:val="00D545FF"/>
    <w:rsid w:val="00D54BF5"/>
    <w:rsid w:val="00D552BD"/>
    <w:rsid w:val="00D56458"/>
    <w:rsid w:val="00D5709A"/>
    <w:rsid w:val="00D6456F"/>
    <w:rsid w:val="00D652CF"/>
    <w:rsid w:val="00D67882"/>
    <w:rsid w:val="00D71D80"/>
    <w:rsid w:val="00D73CB6"/>
    <w:rsid w:val="00D74E58"/>
    <w:rsid w:val="00D76BC6"/>
    <w:rsid w:val="00D818C3"/>
    <w:rsid w:val="00D828D9"/>
    <w:rsid w:val="00D82CE7"/>
    <w:rsid w:val="00D83861"/>
    <w:rsid w:val="00D84C4F"/>
    <w:rsid w:val="00D87138"/>
    <w:rsid w:val="00D912A8"/>
    <w:rsid w:val="00D91FDE"/>
    <w:rsid w:val="00D92BF8"/>
    <w:rsid w:val="00D932D2"/>
    <w:rsid w:val="00D94B5B"/>
    <w:rsid w:val="00D94F94"/>
    <w:rsid w:val="00D978FF"/>
    <w:rsid w:val="00D97FF9"/>
    <w:rsid w:val="00DA19F5"/>
    <w:rsid w:val="00DA1A2F"/>
    <w:rsid w:val="00DA2813"/>
    <w:rsid w:val="00DA35C4"/>
    <w:rsid w:val="00DA3A14"/>
    <w:rsid w:val="00DA41EB"/>
    <w:rsid w:val="00DA44AB"/>
    <w:rsid w:val="00DA4533"/>
    <w:rsid w:val="00DA5109"/>
    <w:rsid w:val="00DA6F64"/>
    <w:rsid w:val="00DB13C4"/>
    <w:rsid w:val="00DB1815"/>
    <w:rsid w:val="00DB1BD9"/>
    <w:rsid w:val="00DB202F"/>
    <w:rsid w:val="00DB2FE0"/>
    <w:rsid w:val="00DB523C"/>
    <w:rsid w:val="00DC1A2F"/>
    <w:rsid w:val="00DC26E5"/>
    <w:rsid w:val="00DC28BA"/>
    <w:rsid w:val="00DC2E25"/>
    <w:rsid w:val="00DC2E40"/>
    <w:rsid w:val="00DC54F3"/>
    <w:rsid w:val="00DC5BBB"/>
    <w:rsid w:val="00DC6C0D"/>
    <w:rsid w:val="00DC6DBB"/>
    <w:rsid w:val="00DC6EC1"/>
    <w:rsid w:val="00DC7146"/>
    <w:rsid w:val="00DC7E74"/>
    <w:rsid w:val="00DD2347"/>
    <w:rsid w:val="00DD34FC"/>
    <w:rsid w:val="00DD4621"/>
    <w:rsid w:val="00DD568D"/>
    <w:rsid w:val="00DD591D"/>
    <w:rsid w:val="00DD753F"/>
    <w:rsid w:val="00DD77D5"/>
    <w:rsid w:val="00DE0254"/>
    <w:rsid w:val="00DE21D9"/>
    <w:rsid w:val="00DE2E04"/>
    <w:rsid w:val="00DE490C"/>
    <w:rsid w:val="00DE5959"/>
    <w:rsid w:val="00DE65B5"/>
    <w:rsid w:val="00DE7709"/>
    <w:rsid w:val="00DE796E"/>
    <w:rsid w:val="00DF11C0"/>
    <w:rsid w:val="00DF1BA8"/>
    <w:rsid w:val="00DF439B"/>
    <w:rsid w:val="00DF4A4B"/>
    <w:rsid w:val="00DF5240"/>
    <w:rsid w:val="00DF5283"/>
    <w:rsid w:val="00DF55CE"/>
    <w:rsid w:val="00DF66A5"/>
    <w:rsid w:val="00DF7851"/>
    <w:rsid w:val="00DF7F9A"/>
    <w:rsid w:val="00E03553"/>
    <w:rsid w:val="00E04210"/>
    <w:rsid w:val="00E04474"/>
    <w:rsid w:val="00E072C2"/>
    <w:rsid w:val="00E1062A"/>
    <w:rsid w:val="00E128FF"/>
    <w:rsid w:val="00E12F18"/>
    <w:rsid w:val="00E134BD"/>
    <w:rsid w:val="00E14B52"/>
    <w:rsid w:val="00E16F1D"/>
    <w:rsid w:val="00E1799D"/>
    <w:rsid w:val="00E2000D"/>
    <w:rsid w:val="00E20A63"/>
    <w:rsid w:val="00E21646"/>
    <w:rsid w:val="00E21859"/>
    <w:rsid w:val="00E2456B"/>
    <w:rsid w:val="00E24879"/>
    <w:rsid w:val="00E265CE"/>
    <w:rsid w:val="00E26884"/>
    <w:rsid w:val="00E268E9"/>
    <w:rsid w:val="00E30A2A"/>
    <w:rsid w:val="00E31703"/>
    <w:rsid w:val="00E31D34"/>
    <w:rsid w:val="00E333F4"/>
    <w:rsid w:val="00E34439"/>
    <w:rsid w:val="00E3645B"/>
    <w:rsid w:val="00E37284"/>
    <w:rsid w:val="00E3759E"/>
    <w:rsid w:val="00E4079A"/>
    <w:rsid w:val="00E41219"/>
    <w:rsid w:val="00E413CA"/>
    <w:rsid w:val="00E41A34"/>
    <w:rsid w:val="00E4305F"/>
    <w:rsid w:val="00E508BC"/>
    <w:rsid w:val="00E525AD"/>
    <w:rsid w:val="00E53CC0"/>
    <w:rsid w:val="00E54FA7"/>
    <w:rsid w:val="00E5546F"/>
    <w:rsid w:val="00E574E1"/>
    <w:rsid w:val="00E607CA"/>
    <w:rsid w:val="00E611E8"/>
    <w:rsid w:val="00E6141F"/>
    <w:rsid w:val="00E61EFB"/>
    <w:rsid w:val="00E62E3B"/>
    <w:rsid w:val="00E63AE5"/>
    <w:rsid w:val="00E64F2B"/>
    <w:rsid w:val="00E64FEA"/>
    <w:rsid w:val="00E65B7C"/>
    <w:rsid w:val="00E66FEB"/>
    <w:rsid w:val="00E707FA"/>
    <w:rsid w:val="00E720A2"/>
    <w:rsid w:val="00E73609"/>
    <w:rsid w:val="00E74539"/>
    <w:rsid w:val="00E76FF1"/>
    <w:rsid w:val="00E779EC"/>
    <w:rsid w:val="00E85714"/>
    <w:rsid w:val="00E86786"/>
    <w:rsid w:val="00E86C77"/>
    <w:rsid w:val="00E86C82"/>
    <w:rsid w:val="00E87146"/>
    <w:rsid w:val="00E87E0B"/>
    <w:rsid w:val="00E91491"/>
    <w:rsid w:val="00E91BC5"/>
    <w:rsid w:val="00E92FF9"/>
    <w:rsid w:val="00E95A65"/>
    <w:rsid w:val="00E97CAA"/>
    <w:rsid w:val="00EA0CF8"/>
    <w:rsid w:val="00EA174D"/>
    <w:rsid w:val="00EA3879"/>
    <w:rsid w:val="00EA590F"/>
    <w:rsid w:val="00EA5C08"/>
    <w:rsid w:val="00EA6867"/>
    <w:rsid w:val="00EA6ADF"/>
    <w:rsid w:val="00EB1F70"/>
    <w:rsid w:val="00EB412B"/>
    <w:rsid w:val="00EB61EE"/>
    <w:rsid w:val="00EB664A"/>
    <w:rsid w:val="00EB7D18"/>
    <w:rsid w:val="00EC20D0"/>
    <w:rsid w:val="00EC368D"/>
    <w:rsid w:val="00EC368F"/>
    <w:rsid w:val="00EC3B7C"/>
    <w:rsid w:val="00EC3D97"/>
    <w:rsid w:val="00EC56B8"/>
    <w:rsid w:val="00EC5922"/>
    <w:rsid w:val="00EC6245"/>
    <w:rsid w:val="00EC6E75"/>
    <w:rsid w:val="00ED022C"/>
    <w:rsid w:val="00ED05B3"/>
    <w:rsid w:val="00ED0E91"/>
    <w:rsid w:val="00ED16DC"/>
    <w:rsid w:val="00ED1A24"/>
    <w:rsid w:val="00ED2692"/>
    <w:rsid w:val="00ED3B44"/>
    <w:rsid w:val="00ED45A0"/>
    <w:rsid w:val="00ED47A6"/>
    <w:rsid w:val="00EE0F73"/>
    <w:rsid w:val="00EE0FF1"/>
    <w:rsid w:val="00EE2FFE"/>
    <w:rsid w:val="00EE6B76"/>
    <w:rsid w:val="00EE74C7"/>
    <w:rsid w:val="00EE798A"/>
    <w:rsid w:val="00EF00AD"/>
    <w:rsid w:val="00EF0186"/>
    <w:rsid w:val="00EF0B09"/>
    <w:rsid w:val="00EF14AC"/>
    <w:rsid w:val="00EF22D3"/>
    <w:rsid w:val="00EF24EA"/>
    <w:rsid w:val="00EF25F3"/>
    <w:rsid w:val="00EF7AA9"/>
    <w:rsid w:val="00F00348"/>
    <w:rsid w:val="00F02163"/>
    <w:rsid w:val="00F029D4"/>
    <w:rsid w:val="00F044DF"/>
    <w:rsid w:val="00F05A3B"/>
    <w:rsid w:val="00F06131"/>
    <w:rsid w:val="00F0687B"/>
    <w:rsid w:val="00F078A5"/>
    <w:rsid w:val="00F10074"/>
    <w:rsid w:val="00F12438"/>
    <w:rsid w:val="00F12500"/>
    <w:rsid w:val="00F15B96"/>
    <w:rsid w:val="00F20DCE"/>
    <w:rsid w:val="00F21962"/>
    <w:rsid w:val="00F228F7"/>
    <w:rsid w:val="00F243EF"/>
    <w:rsid w:val="00F2473D"/>
    <w:rsid w:val="00F26BD2"/>
    <w:rsid w:val="00F315A4"/>
    <w:rsid w:val="00F316D8"/>
    <w:rsid w:val="00F36DF5"/>
    <w:rsid w:val="00F42AB6"/>
    <w:rsid w:val="00F42E72"/>
    <w:rsid w:val="00F44B7B"/>
    <w:rsid w:val="00F450CE"/>
    <w:rsid w:val="00F458BF"/>
    <w:rsid w:val="00F45EC4"/>
    <w:rsid w:val="00F46B4F"/>
    <w:rsid w:val="00F46EBD"/>
    <w:rsid w:val="00F47609"/>
    <w:rsid w:val="00F508D0"/>
    <w:rsid w:val="00F50FBF"/>
    <w:rsid w:val="00F530AA"/>
    <w:rsid w:val="00F53FC4"/>
    <w:rsid w:val="00F56BDA"/>
    <w:rsid w:val="00F57C09"/>
    <w:rsid w:val="00F611C1"/>
    <w:rsid w:val="00F61379"/>
    <w:rsid w:val="00F6226A"/>
    <w:rsid w:val="00F62511"/>
    <w:rsid w:val="00F64DF3"/>
    <w:rsid w:val="00F65371"/>
    <w:rsid w:val="00F66194"/>
    <w:rsid w:val="00F6777E"/>
    <w:rsid w:val="00F67AE8"/>
    <w:rsid w:val="00F70A1F"/>
    <w:rsid w:val="00F71021"/>
    <w:rsid w:val="00F7251E"/>
    <w:rsid w:val="00F737F3"/>
    <w:rsid w:val="00F73ACA"/>
    <w:rsid w:val="00F74A71"/>
    <w:rsid w:val="00F76A62"/>
    <w:rsid w:val="00F8291E"/>
    <w:rsid w:val="00F83C22"/>
    <w:rsid w:val="00F83EA0"/>
    <w:rsid w:val="00F8679D"/>
    <w:rsid w:val="00F90FF3"/>
    <w:rsid w:val="00F92A0C"/>
    <w:rsid w:val="00F94635"/>
    <w:rsid w:val="00F94A83"/>
    <w:rsid w:val="00F956AE"/>
    <w:rsid w:val="00F95E96"/>
    <w:rsid w:val="00F96087"/>
    <w:rsid w:val="00F97180"/>
    <w:rsid w:val="00F97638"/>
    <w:rsid w:val="00FA03C2"/>
    <w:rsid w:val="00FA2A17"/>
    <w:rsid w:val="00FA483A"/>
    <w:rsid w:val="00FA63F5"/>
    <w:rsid w:val="00FA7884"/>
    <w:rsid w:val="00FB0BA1"/>
    <w:rsid w:val="00FB1440"/>
    <w:rsid w:val="00FB175A"/>
    <w:rsid w:val="00FB2142"/>
    <w:rsid w:val="00FB398F"/>
    <w:rsid w:val="00FB49BD"/>
    <w:rsid w:val="00FB5832"/>
    <w:rsid w:val="00FB6C6E"/>
    <w:rsid w:val="00FB7B8A"/>
    <w:rsid w:val="00FC0506"/>
    <w:rsid w:val="00FC19F4"/>
    <w:rsid w:val="00FC1F16"/>
    <w:rsid w:val="00FD27E6"/>
    <w:rsid w:val="00FD2A52"/>
    <w:rsid w:val="00FD412C"/>
    <w:rsid w:val="00FD5237"/>
    <w:rsid w:val="00FD57CE"/>
    <w:rsid w:val="00FD6771"/>
    <w:rsid w:val="00FD6B0D"/>
    <w:rsid w:val="00FD7C42"/>
    <w:rsid w:val="00FE14EE"/>
    <w:rsid w:val="00FE3F38"/>
    <w:rsid w:val="00FE3FB7"/>
    <w:rsid w:val="00FE5909"/>
    <w:rsid w:val="00FE5C95"/>
    <w:rsid w:val="00FE6960"/>
    <w:rsid w:val="00FE72B7"/>
    <w:rsid w:val="00FE7A9F"/>
    <w:rsid w:val="00FF0320"/>
    <w:rsid w:val="00FF09C8"/>
    <w:rsid w:val="00FF1CB1"/>
    <w:rsid w:val="00FF5022"/>
    <w:rsid w:val="00FF5949"/>
    <w:rsid w:val="00FF679D"/>
    <w:rsid w:val="00FF73BF"/>
    <w:rsid w:val="093420E1"/>
    <w:rsid w:val="0B8A3459"/>
    <w:rsid w:val="0CFC5E8F"/>
    <w:rsid w:val="0D7B6ECE"/>
    <w:rsid w:val="0ED24EBD"/>
    <w:rsid w:val="12FD3388"/>
    <w:rsid w:val="1EE6755C"/>
    <w:rsid w:val="1F1F02E9"/>
    <w:rsid w:val="27763937"/>
    <w:rsid w:val="39485575"/>
    <w:rsid w:val="39541DDD"/>
    <w:rsid w:val="3C602E00"/>
    <w:rsid w:val="448C316E"/>
    <w:rsid w:val="48D56CA5"/>
    <w:rsid w:val="4B535D1D"/>
    <w:rsid w:val="506105FE"/>
    <w:rsid w:val="53362691"/>
    <w:rsid w:val="53D56A66"/>
    <w:rsid w:val="55A27110"/>
    <w:rsid w:val="631032B3"/>
    <w:rsid w:val="63400DDA"/>
    <w:rsid w:val="651976E1"/>
    <w:rsid w:val="666E4FEC"/>
    <w:rsid w:val="6AED302B"/>
    <w:rsid w:val="7A8A4108"/>
    <w:rsid w:val="7AAF385C"/>
    <w:rsid w:val="7B9839FA"/>
    <w:rsid w:val="7BAB4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EE660C8-2BFD-47D7-9C36-F98A5D10D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160" w:line="278" w:lineRule="auto"/>
      <w:jc w:val="both"/>
    </w:pPr>
    <w:rPr>
      <w:kern w:val="2"/>
      <w:sz w:val="21"/>
      <w:szCs w:val="24"/>
    </w:rPr>
  </w:style>
  <w:style w:type="paragraph" w:styleId="2">
    <w:name w:val="heading 2"/>
    <w:basedOn w:val="a"/>
    <w:next w:val="a0"/>
    <w:qFormat/>
    <w:pPr>
      <w:keepNext/>
      <w:keepLines/>
      <w:spacing w:before="260" w:after="260" w:line="416" w:lineRule="auto"/>
      <w:outlineLvl w:val="1"/>
    </w:pPr>
    <w:rPr>
      <w:rFonts w:ascii="Arial" w:eastAsia="黑体" w:hAnsi="Arial"/>
      <w:b/>
      <w:sz w:val="32"/>
      <w:szCs w:val="20"/>
    </w:rPr>
  </w:style>
  <w:style w:type="paragraph" w:styleId="3">
    <w:name w:val="heading 3"/>
    <w:basedOn w:val="a"/>
    <w:next w:val="a"/>
    <w:link w:val="3Char"/>
    <w:semiHidden/>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7">
    <w:name w:val="toc 7"/>
    <w:basedOn w:val="a"/>
    <w:next w:val="a"/>
    <w:semiHidden/>
    <w:qFormat/>
    <w:pPr>
      <w:ind w:leftChars="1200" w:left="2520"/>
    </w:pPr>
  </w:style>
  <w:style w:type="paragraph" w:styleId="a4">
    <w:name w:val="annotation text"/>
    <w:basedOn w:val="a"/>
    <w:link w:val="Char"/>
    <w:qFormat/>
    <w:pPr>
      <w:jc w:val="left"/>
    </w:pPr>
  </w:style>
  <w:style w:type="paragraph" w:styleId="a5">
    <w:name w:val="Body Text"/>
    <w:basedOn w:val="a"/>
    <w:qFormat/>
    <w:pPr>
      <w:spacing w:line="360" w:lineRule="auto"/>
    </w:pPr>
    <w:rPr>
      <w:rFonts w:ascii="仿宋_GB2312" w:eastAsia="仿宋_GB2312"/>
      <w:color w:val="000000"/>
      <w:kern w:val="0"/>
      <w:sz w:val="24"/>
      <w:szCs w:val="28"/>
    </w:rPr>
  </w:style>
  <w:style w:type="paragraph" w:styleId="a6">
    <w:name w:val="Body Text Indent"/>
    <w:basedOn w:val="a"/>
    <w:qFormat/>
    <w:pPr>
      <w:adjustRightInd w:val="0"/>
      <w:snapToGrid w:val="0"/>
      <w:spacing w:line="560" w:lineRule="exact"/>
      <w:ind w:firstLineChars="200" w:firstLine="480"/>
    </w:pPr>
    <w:rPr>
      <w:rFonts w:eastAsia="方正仿宋简体"/>
      <w:sz w:val="24"/>
      <w:szCs w:val="30"/>
    </w:rPr>
  </w:style>
  <w:style w:type="paragraph" w:styleId="5">
    <w:name w:val="toc 5"/>
    <w:basedOn w:val="a"/>
    <w:next w:val="a"/>
    <w:semiHidden/>
    <w:qFormat/>
    <w:pPr>
      <w:ind w:leftChars="800" w:left="1680"/>
    </w:pPr>
  </w:style>
  <w:style w:type="paragraph" w:styleId="30">
    <w:name w:val="toc 3"/>
    <w:basedOn w:val="a"/>
    <w:next w:val="a"/>
    <w:semiHidden/>
    <w:qFormat/>
    <w:pPr>
      <w:ind w:leftChars="400" w:left="840"/>
    </w:pPr>
  </w:style>
  <w:style w:type="paragraph" w:styleId="8">
    <w:name w:val="toc 8"/>
    <w:basedOn w:val="a"/>
    <w:next w:val="a"/>
    <w:semiHidden/>
    <w:qFormat/>
    <w:pPr>
      <w:ind w:leftChars="1400" w:left="2940"/>
    </w:pPr>
  </w:style>
  <w:style w:type="paragraph" w:styleId="20">
    <w:name w:val="Body Text Indent 2"/>
    <w:basedOn w:val="a"/>
    <w:qFormat/>
    <w:pPr>
      <w:spacing w:line="360" w:lineRule="auto"/>
      <w:ind w:firstLine="525"/>
    </w:pPr>
    <w:rPr>
      <w:rFonts w:ascii="宋体" w:hAnsi="宋体"/>
      <w:sz w:val="28"/>
      <w:szCs w:val="20"/>
    </w:rPr>
  </w:style>
  <w:style w:type="paragraph" w:styleId="a7">
    <w:name w:val="Balloon Text"/>
    <w:basedOn w:val="a"/>
    <w:semiHidden/>
    <w:qFormat/>
    <w:rPr>
      <w:sz w:val="18"/>
      <w:szCs w:val="18"/>
    </w:rPr>
  </w:style>
  <w:style w:type="paragraph" w:styleId="a8">
    <w:name w:val="footer"/>
    <w:basedOn w:val="a"/>
    <w:qFormat/>
    <w:pPr>
      <w:tabs>
        <w:tab w:val="center" w:pos="4153"/>
        <w:tab w:val="right" w:pos="8306"/>
      </w:tabs>
      <w:snapToGrid w:val="0"/>
      <w:jc w:val="left"/>
    </w:pPr>
    <w:rPr>
      <w:sz w:val="18"/>
      <w:szCs w:val="18"/>
    </w:rPr>
  </w:style>
  <w:style w:type="paragraph" w:styleId="a9">
    <w:name w:val="header"/>
    <w:basedOn w:val="a"/>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semiHidden/>
    <w:qFormat/>
  </w:style>
  <w:style w:type="paragraph" w:styleId="4">
    <w:name w:val="toc 4"/>
    <w:basedOn w:val="a"/>
    <w:next w:val="a"/>
    <w:semiHidden/>
    <w:qFormat/>
    <w:pPr>
      <w:ind w:leftChars="600" w:left="1260"/>
    </w:pPr>
  </w:style>
  <w:style w:type="paragraph" w:styleId="6">
    <w:name w:val="toc 6"/>
    <w:basedOn w:val="a"/>
    <w:next w:val="a"/>
    <w:semiHidden/>
    <w:qFormat/>
    <w:pPr>
      <w:ind w:leftChars="1000" w:left="2100"/>
    </w:pPr>
  </w:style>
  <w:style w:type="paragraph" w:styleId="31">
    <w:name w:val="Body Text Indent 3"/>
    <w:basedOn w:val="a"/>
    <w:qFormat/>
    <w:pPr>
      <w:adjustRightInd w:val="0"/>
      <w:snapToGrid w:val="0"/>
      <w:ind w:firstLineChars="200" w:firstLine="480"/>
    </w:pPr>
    <w:rPr>
      <w:rFonts w:ascii="仿宋_GB2312" w:eastAsia="仿宋_GB2312" w:hAnsi="宋体" w:cs="Arial"/>
      <w:color w:val="000000"/>
      <w:sz w:val="24"/>
    </w:rPr>
  </w:style>
  <w:style w:type="paragraph" w:styleId="21">
    <w:name w:val="toc 2"/>
    <w:basedOn w:val="a"/>
    <w:next w:val="a"/>
    <w:semiHidden/>
    <w:qFormat/>
    <w:pPr>
      <w:ind w:leftChars="200" w:left="420"/>
    </w:pPr>
  </w:style>
  <w:style w:type="paragraph" w:styleId="9">
    <w:name w:val="toc 9"/>
    <w:basedOn w:val="a"/>
    <w:next w:val="a"/>
    <w:semiHidden/>
    <w:qFormat/>
    <w:pPr>
      <w:ind w:leftChars="1600" w:left="3360"/>
    </w:pPr>
  </w:style>
  <w:style w:type="paragraph" w:styleId="HTML">
    <w:name w:val="HTML Preformatted"/>
    <w:basedOn w:val="a"/>
    <w:link w:val="HTML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a">
    <w:name w:val="Normal (Web)"/>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b">
    <w:name w:val="annotation subject"/>
    <w:basedOn w:val="a4"/>
    <w:next w:val="a4"/>
    <w:link w:val="Char0"/>
    <w:qFormat/>
    <w:rPr>
      <w:b/>
      <w:bCs/>
    </w:rPr>
  </w:style>
  <w:style w:type="character" w:styleId="ac">
    <w:name w:val="Strong"/>
    <w:basedOn w:val="a1"/>
    <w:qFormat/>
    <w:rPr>
      <w:b/>
      <w:bCs/>
    </w:rPr>
  </w:style>
  <w:style w:type="character" w:styleId="ad">
    <w:name w:val="page number"/>
    <w:basedOn w:val="a1"/>
    <w:qFormat/>
  </w:style>
  <w:style w:type="character" w:styleId="ae">
    <w:name w:val="FollowedHyperlink"/>
    <w:basedOn w:val="a1"/>
    <w:qFormat/>
    <w:rPr>
      <w:color w:val="800080"/>
      <w:u w:val="single"/>
    </w:rPr>
  </w:style>
  <w:style w:type="character" w:styleId="af">
    <w:name w:val="Hyperlink"/>
    <w:basedOn w:val="a1"/>
    <w:qFormat/>
    <w:rPr>
      <w:color w:val="0000FF"/>
      <w:u w:val="single"/>
    </w:rPr>
  </w:style>
  <w:style w:type="character" w:styleId="af0">
    <w:name w:val="annotation reference"/>
    <w:basedOn w:val="a1"/>
    <w:qFormat/>
    <w:rPr>
      <w:sz w:val="21"/>
      <w:szCs w:val="21"/>
    </w:rPr>
  </w:style>
  <w:style w:type="paragraph" w:customStyle="1" w:styleId="wz1">
    <w:name w:val="wz1"/>
    <w:basedOn w:val="a"/>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character" w:customStyle="1" w:styleId="read">
    <w:name w:val="read"/>
    <w:basedOn w:val="a1"/>
    <w:qFormat/>
  </w:style>
  <w:style w:type="paragraph" w:customStyle="1" w:styleId="Char1">
    <w:name w:val="Char"/>
    <w:basedOn w:val="a"/>
    <w:qFormat/>
  </w:style>
  <w:style w:type="paragraph" w:customStyle="1" w:styleId="Char10">
    <w:name w:val="Char1"/>
    <w:basedOn w:val="a"/>
    <w:qFormat/>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a"/>
    <w:qFormat/>
  </w:style>
  <w:style w:type="paragraph" w:customStyle="1" w:styleId="CharCharCharCharCharCharChar1CharCharCharCharCharChar">
    <w:name w:val="Char Char Char Char Char Char Char1 Char Char Char Char Char Char"/>
    <w:basedOn w:val="a"/>
    <w:qFormat/>
  </w:style>
  <w:style w:type="paragraph" w:customStyle="1" w:styleId="CharChar">
    <w:name w:val="Char Char"/>
    <w:basedOn w:val="a"/>
    <w:qFormat/>
    <w:rPr>
      <w:szCs w:val="20"/>
    </w:rPr>
  </w:style>
  <w:style w:type="character" w:customStyle="1" w:styleId="HTMLChar">
    <w:name w:val="HTML 预设格式 Char"/>
    <w:basedOn w:val="a1"/>
    <w:link w:val="HTML"/>
    <w:uiPriority w:val="99"/>
    <w:qFormat/>
    <w:rPr>
      <w:rFonts w:ascii="宋体" w:hAnsi="宋体" w:cs="宋体"/>
      <w:sz w:val="24"/>
      <w:szCs w:val="24"/>
    </w:rPr>
  </w:style>
  <w:style w:type="character" w:customStyle="1" w:styleId="Char">
    <w:name w:val="批注文字 Char"/>
    <w:basedOn w:val="a1"/>
    <w:link w:val="a4"/>
    <w:qFormat/>
    <w:rPr>
      <w:kern w:val="2"/>
      <w:sz w:val="21"/>
      <w:szCs w:val="24"/>
    </w:rPr>
  </w:style>
  <w:style w:type="character" w:customStyle="1" w:styleId="Char0">
    <w:name w:val="批注主题 Char"/>
    <w:basedOn w:val="Char"/>
    <w:link w:val="ab"/>
    <w:qFormat/>
    <w:rPr>
      <w:kern w:val="2"/>
      <w:sz w:val="21"/>
      <w:szCs w:val="24"/>
    </w:rPr>
  </w:style>
  <w:style w:type="paragraph" w:customStyle="1" w:styleId="Default">
    <w:name w:val="Default"/>
    <w:qFormat/>
    <w:pPr>
      <w:widowControl w:val="0"/>
      <w:autoSpaceDE w:val="0"/>
      <w:autoSpaceDN w:val="0"/>
      <w:adjustRightInd w:val="0"/>
      <w:spacing w:after="160" w:line="278" w:lineRule="auto"/>
    </w:pPr>
    <w:rPr>
      <w:rFonts w:ascii="仿宋_GB2312" w:eastAsia="仿宋_GB2312" w:cs="仿宋_GB2312"/>
      <w:color w:val="000000"/>
      <w:sz w:val="24"/>
      <w:szCs w:val="24"/>
    </w:rPr>
  </w:style>
  <w:style w:type="paragraph" w:styleId="af1">
    <w:name w:val="List Paragraph"/>
    <w:basedOn w:val="a"/>
    <w:uiPriority w:val="34"/>
    <w:qFormat/>
    <w:pPr>
      <w:ind w:firstLineChars="200" w:firstLine="420"/>
    </w:pPr>
    <w:rPr>
      <w:rFonts w:ascii="Calibri" w:hAnsi="Calibri"/>
      <w:szCs w:val="22"/>
    </w:rPr>
  </w:style>
  <w:style w:type="paragraph" w:customStyle="1" w:styleId="10">
    <w:name w:val="修订1"/>
    <w:hidden/>
    <w:uiPriority w:val="99"/>
    <w:semiHidden/>
    <w:qFormat/>
    <w:pPr>
      <w:spacing w:after="160" w:line="278" w:lineRule="auto"/>
    </w:pPr>
    <w:rPr>
      <w:kern w:val="2"/>
      <w:sz w:val="21"/>
      <w:szCs w:val="24"/>
    </w:rPr>
  </w:style>
  <w:style w:type="character" w:customStyle="1" w:styleId="3Char">
    <w:name w:val="标题 3 Char"/>
    <w:basedOn w:val="a1"/>
    <w:link w:val="3"/>
    <w:semiHidden/>
    <w:qFormat/>
    <w:rPr>
      <w:b/>
      <w:bCs/>
      <w:kern w:val="2"/>
      <w:sz w:val="32"/>
      <w:szCs w:val="32"/>
    </w:rPr>
  </w:style>
  <w:style w:type="paragraph" w:customStyle="1" w:styleId="Style6">
    <w:name w:val="_Style 6"/>
    <w:basedOn w:val="a"/>
    <w:next w:val="a"/>
    <w:qFormat/>
    <w:pPr>
      <w:adjustRightInd w:val="0"/>
      <w:snapToGrid w:val="0"/>
      <w:ind w:firstLineChars="200" w:firstLine="480"/>
    </w:pPr>
    <w:rPr>
      <w:rFonts w:ascii="仿宋_GB2312" w:eastAsia="仿宋_GB2312" w:hAnsi="宋体"/>
      <w:color w:val="000000"/>
      <w:sz w:val="24"/>
      <w:szCs w:val="20"/>
    </w:rPr>
  </w:style>
  <w:style w:type="paragraph" w:customStyle="1" w:styleId="22">
    <w:name w:val="修订2"/>
    <w:hidden/>
    <w:uiPriority w:val="99"/>
    <w:semiHidden/>
    <w:qFormat/>
    <w:pPr>
      <w:spacing w:after="160" w:line="278" w:lineRule="auto"/>
    </w:pPr>
    <w:rPr>
      <w:kern w:val="2"/>
      <w:sz w:val="21"/>
      <w:szCs w:val="24"/>
    </w:rPr>
  </w:style>
  <w:style w:type="paragraph" w:customStyle="1" w:styleId="32">
    <w:name w:val="修订3"/>
    <w:hidden/>
    <w:uiPriority w:val="99"/>
    <w:unhideWhenUsed/>
    <w:qFormat/>
    <w:rPr>
      <w:kern w:val="2"/>
      <w:sz w:val="21"/>
      <w:szCs w:val="24"/>
    </w:rPr>
  </w:style>
  <w:style w:type="paragraph" w:customStyle="1" w:styleId="40">
    <w:name w:val="修订4"/>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2856AF8-1AA4-4918-84DC-6A7123962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5126</Words>
  <Characters>29224</Characters>
  <Application>Microsoft Office Word</Application>
  <DocSecurity>0</DocSecurity>
  <Lines>243</Lines>
  <Paragraphs>68</Paragraphs>
  <ScaleCrop>false</ScaleCrop>
  <Company>Microsoft China</Company>
  <LinksUpToDate>false</LinksUpToDate>
  <CharactersWithSpaces>34282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25</cp:revision>
  <cp:lastPrinted>2026-07-06T05:57:00Z</cp:lastPrinted>
  <dcterms:created xsi:type="dcterms:W3CDTF">2026-06-30T12:41:00Z</dcterms:created>
  <dcterms:modified xsi:type="dcterms:W3CDTF">2026-09-24T01:05:00Z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CF7C584B70B7418E9157293F904577FD</vt:lpwstr>
  </property>
</Properties>
</file>