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24C" w:rsidRPr="00072977" w:rsidRDefault="00072977" w:rsidP="00072977">
      <w:pPr>
        <w:jc w:val="center"/>
        <w:rPr>
          <w:b/>
          <w:sz w:val="28"/>
        </w:rPr>
      </w:pPr>
      <w:r w:rsidRPr="00072977">
        <w:rPr>
          <w:rFonts w:hint="eastAsia"/>
          <w:b/>
          <w:sz w:val="28"/>
        </w:rPr>
        <w:t>苏州银行股份有限公司</w:t>
      </w:r>
    </w:p>
    <w:p w:rsidR="00072977" w:rsidRDefault="00072977" w:rsidP="00072977">
      <w:pPr>
        <w:jc w:val="center"/>
        <w:rPr>
          <w:b/>
          <w:sz w:val="28"/>
        </w:rPr>
      </w:pPr>
      <w:r w:rsidRPr="00072977">
        <w:rPr>
          <w:rFonts w:hint="eastAsia"/>
          <w:b/>
          <w:sz w:val="28"/>
        </w:rPr>
        <w:t>2019</w:t>
      </w:r>
      <w:r w:rsidRPr="00072977">
        <w:rPr>
          <w:rFonts w:hint="eastAsia"/>
          <w:b/>
          <w:sz w:val="28"/>
        </w:rPr>
        <w:t>年上半年杠杆</w:t>
      </w:r>
      <w:proofErr w:type="gramStart"/>
      <w:r w:rsidRPr="00072977">
        <w:rPr>
          <w:rFonts w:hint="eastAsia"/>
          <w:b/>
          <w:sz w:val="28"/>
        </w:rPr>
        <w:t>率信息</w:t>
      </w:r>
      <w:proofErr w:type="gramEnd"/>
      <w:r w:rsidRPr="00072977">
        <w:rPr>
          <w:rFonts w:hint="eastAsia"/>
          <w:b/>
          <w:sz w:val="28"/>
        </w:rPr>
        <w:t>披露</w:t>
      </w:r>
    </w:p>
    <w:p w:rsidR="00072977" w:rsidRDefault="00072977" w:rsidP="00072977">
      <w:pPr>
        <w:jc w:val="left"/>
        <w:rPr>
          <w:sz w:val="20"/>
        </w:rPr>
      </w:pPr>
    </w:p>
    <w:p w:rsidR="00072977" w:rsidRDefault="00072977" w:rsidP="00072977">
      <w:pPr>
        <w:jc w:val="left"/>
        <w:rPr>
          <w:sz w:val="20"/>
        </w:rPr>
      </w:pPr>
      <w:bookmarkStart w:id="0" w:name="_GoBack"/>
      <w:bookmarkEnd w:id="0"/>
    </w:p>
    <w:p w:rsidR="00072977" w:rsidRPr="0065074D" w:rsidRDefault="00072977" w:rsidP="00072977">
      <w:pPr>
        <w:jc w:val="left"/>
        <w:rPr>
          <w:rFonts w:ascii="Times New Roman" w:hAnsi="Times New Roman" w:cs="Times New Roman"/>
          <w:b/>
          <w:sz w:val="24"/>
          <w:szCs w:val="24"/>
        </w:rPr>
      </w:pPr>
      <w:r w:rsidRPr="0065074D">
        <w:rPr>
          <w:rFonts w:ascii="Times New Roman" w:hAnsi="Times New Roman" w:cs="Times New Roman"/>
          <w:b/>
          <w:sz w:val="24"/>
          <w:szCs w:val="24"/>
        </w:rPr>
        <w:t>表</w:t>
      </w:r>
      <w:r w:rsidRPr="0065074D">
        <w:rPr>
          <w:rFonts w:ascii="Times New Roman" w:hAnsi="Times New Roman" w:cs="Times New Roman"/>
          <w:b/>
          <w:sz w:val="24"/>
          <w:szCs w:val="24"/>
        </w:rPr>
        <w:t>1</w:t>
      </w:r>
      <w:r w:rsidRPr="0065074D">
        <w:rPr>
          <w:rFonts w:ascii="Times New Roman" w:hAnsi="Times New Roman" w:cs="Times New Roman"/>
          <w:b/>
          <w:sz w:val="24"/>
          <w:szCs w:val="24"/>
        </w:rPr>
        <w:t>：杠杆率监管项目以及对应会计项目情况表</w:t>
      </w:r>
    </w:p>
    <w:p w:rsidR="00072977" w:rsidRPr="0065074D" w:rsidRDefault="00072977" w:rsidP="00072977">
      <w:pPr>
        <w:jc w:val="left"/>
        <w:rPr>
          <w:rFonts w:ascii="Times New Roman" w:hAnsi="Times New Roman" w:cs="Times New Roman"/>
          <w:sz w:val="24"/>
          <w:szCs w:val="24"/>
        </w:rPr>
      </w:pPr>
    </w:p>
    <w:p w:rsidR="00072977" w:rsidRPr="0065074D" w:rsidRDefault="00072977" w:rsidP="00072977">
      <w:pPr>
        <w:jc w:val="right"/>
        <w:rPr>
          <w:rFonts w:ascii="Times New Roman" w:hAnsi="Times New Roman" w:cs="Times New Roman"/>
          <w:sz w:val="24"/>
          <w:szCs w:val="24"/>
        </w:rPr>
      </w:pPr>
      <w:r w:rsidRPr="0065074D">
        <w:rPr>
          <w:rFonts w:ascii="Times New Roman" w:hAnsi="Times New Roman" w:cs="Times New Roman"/>
          <w:sz w:val="24"/>
          <w:szCs w:val="24"/>
        </w:rPr>
        <w:t>单位：人民币万元、监管并表口径</w:t>
      </w:r>
    </w:p>
    <w:tbl>
      <w:tblPr>
        <w:tblW w:w="5000" w:type="pct"/>
        <w:tblLook w:val="04A0" w:firstRow="1" w:lastRow="0" w:firstColumn="1" w:lastColumn="0" w:noHBand="0" w:noVBand="1"/>
      </w:tblPr>
      <w:tblGrid>
        <w:gridCol w:w="939"/>
        <w:gridCol w:w="5987"/>
        <w:gridCol w:w="1596"/>
      </w:tblGrid>
      <w:tr w:rsidR="00072977" w:rsidRPr="0065074D" w:rsidTr="00072977">
        <w:trPr>
          <w:trHeight w:val="240"/>
        </w:trPr>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072977">
            <w:pPr>
              <w:widowControl/>
              <w:jc w:val="center"/>
              <w:rPr>
                <w:rFonts w:ascii="Times New Roman" w:eastAsia="宋体" w:hAnsi="Times New Roman" w:cs="Times New Roman"/>
                <w:b/>
                <w:color w:val="000000"/>
                <w:kern w:val="0"/>
                <w:sz w:val="24"/>
                <w:szCs w:val="24"/>
              </w:rPr>
            </w:pPr>
            <w:r w:rsidRPr="0065074D">
              <w:rPr>
                <w:rFonts w:ascii="Times New Roman" w:eastAsia="宋体" w:hAnsi="Times New Roman" w:cs="Times New Roman"/>
                <w:b/>
                <w:color w:val="000000"/>
                <w:kern w:val="0"/>
                <w:sz w:val="24"/>
                <w:szCs w:val="24"/>
              </w:rPr>
              <w:t>序号</w:t>
            </w:r>
          </w:p>
        </w:tc>
        <w:tc>
          <w:tcPr>
            <w:tcW w:w="3550" w:type="pct"/>
            <w:tcBorders>
              <w:top w:val="single" w:sz="4" w:space="0" w:color="auto"/>
              <w:left w:val="nil"/>
              <w:bottom w:val="single" w:sz="4" w:space="0" w:color="auto"/>
              <w:right w:val="single" w:sz="4" w:space="0" w:color="auto"/>
            </w:tcBorders>
            <w:shd w:val="clear" w:color="auto" w:fill="auto"/>
            <w:noWrap/>
            <w:vAlign w:val="center"/>
            <w:hideMark/>
          </w:tcPr>
          <w:p w:rsidR="00072977" w:rsidRPr="0065074D" w:rsidRDefault="00072977" w:rsidP="00072977">
            <w:pPr>
              <w:widowControl/>
              <w:jc w:val="center"/>
              <w:rPr>
                <w:rFonts w:ascii="Times New Roman" w:eastAsia="宋体" w:hAnsi="Times New Roman" w:cs="Times New Roman"/>
                <w:b/>
                <w:color w:val="000000"/>
                <w:kern w:val="0"/>
                <w:sz w:val="24"/>
                <w:szCs w:val="24"/>
              </w:rPr>
            </w:pPr>
            <w:r w:rsidRPr="0065074D">
              <w:rPr>
                <w:rFonts w:ascii="Times New Roman" w:eastAsia="宋体" w:hAnsi="Times New Roman" w:cs="Times New Roman"/>
                <w:b/>
                <w:color w:val="000000"/>
                <w:kern w:val="0"/>
                <w:sz w:val="24"/>
                <w:szCs w:val="24"/>
              </w:rPr>
              <w:t>项目</w:t>
            </w:r>
          </w:p>
        </w:tc>
        <w:tc>
          <w:tcPr>
            <w:tcW w:w="861" w:type="pct"/>
            <w:tcBorders>
              <w:top w:val="single" w:sz="4" w:space="0" w:color="auto"/>
              <w:left w:val="nil"/>
              <w:bottom w:val="single" w:sz="4" w:space="0" w:color="auto"/>
              <w:right w:val="single" w:sz="4" w:space="0" w:color="auto"/>
            </w:tcBorders>
            <w:shd w:val="clear" w:color="auto" w:fill="auto"/>
            <w:noWrap/>
            <w:vAlign w:val="center"/>
            <w:hideMark/>
          </w:tcPr>
          <w:p w:rsidR="00072977" w:rsidRPr="0065074D" w:rsidRDefault="00072977" w:rsidP="00072977">
            <w:pPr>
              <w:widowControl/>
              <w:jc w:val="center"/>
              <w:rPr>
                <w:rFonts w:ascii="Times New Roman" w:eastAsia="宋体" w:hAnsi="Times New Roman" w:cs="Times New Roman"/>
                <w:b/>
                <w:color w:val="000000"/>
                <w:kern w:val="0"/>
                <w:sz w:val="24"/>
                <w:szCs w:val="24"/>
              </w:rPr>
            </w:pPr>
            <w:r w:rsidRPr="0065074D">
              <w:rPr>
                <w:rFonts w:ascii="Times New Roman" w:eastAsia="宋体" w:hAnsi="Times New Roman" w:cs="Times New Roman"/>
                <w:b/>
                <w:color w:val="000000"/>
                <w:kern w:val="0"/>
                <w:sz w:val="24"/>
                <w:szCs w:val="24"/>
              </w:rPr>
              <w:t>余额</w:t>
            </w:r>
          </w:p>
        </w:tc>
      </w:tr>
      <w:tr w:rsidR="00072977" w:rsidRPr="0065074D"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1</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proofErr w:type="gramStart"/>
            <w:r w:rsidRPr="0065074D">
              <w:rPr>
                <w:rFonts w:ascii="Times New Roman" w:eastAsia="宋体" w:hAnsi="Times New Roman" w:cs="Times New Roman"/>
                <w:color w:val="000000"/>
                <w:kern w:val="0"/>
                <w:sz w:val="24"/>
                <w:szCs w:val="24"/>
              </w:rPr>
              <w:t>并表总资产</w:t>
            </w:r>
            <w:proofErr w:type="gramEnd"/>
          </w:p>
        </w:tc>
        <w:tc>
          <w:tcPr>
            <w:tcW w:w="861"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 xml:space="preserve">34,094,095.75 </w:t>
            </w:r>
          </w:p>
        </w:tc>
      </w:tr>
      <w:tr w:rsidR="00072977" w:rsidRPr="0065074D"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2</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并</w:t>
            </w:r>
            <w:proofErr w:type="gramStart"/>
            <w:r w:rsidRPr="0065074D">
              <w:rPr>
                <w:rFonts w:ascii="Times New Roman" w:eastAsia="宋体" w:hAnsi="Times New Roman" w:cs="Times New Roman"/>
                <w:color w:val="000000"/>
                <w:kern w:val="0"/>
                <w:sz w:val="24"/>
                <w:szCs w:val="24"/>
              </w:rPr>
              <w:t>表调整项</w:t>
            </w:r>
            <w:proofErr w:type="gramEnd"/>
          </w:p>
        </w:tc>
        <w:tc>
          <w:tcPr>
            <w:tcW w:w="861" w:type="pct"/>
            <w:tcBorders>
              <w:top w:val="nil"/>
              <w:left w:val="nil"/>
              <w:bottom w:val="single" w:sz="4" w:space="0" w:color="auto"/>
              <w:right w:val="single" w:sz="4" w:space="0" w:color="auto"/>
            </w:tcBorders>
            <w:shd w:val="clear" w:color="auto" w:fill="auto"/>
            <w:noWrap/>
            <w:vAlign w:val="center"/>
            <w:hideMark/>
          </w:tcPr>
          <w:p w:rsidR="00072977" w:rsidRPr="0065074D" w:rsidRDefault="00CF4E12"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w:t>
            </w:r>
          </w:p>
        </w:tc>
      </w:tr>
      <w:tr w:rsidR="00072977" w:rsidRPr="0065074D"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3</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客户资产调整项</w:t>
            </w:r>
          </w:p>
        </w:tc>
        <w:tc>
          <w:tcPr>
            <w:tcW w:w="861"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w:t>
            </w:r>
          </w:p>
        </w:tc>
      </w:tr>
      <w:tr w:rsidR="00072977" w:rsidRPr="0065074D"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4</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衍生产品调整项</w:t>
            </w:r>
          </w:p>
        </w:tc>
        <w:tc>
          <w:tcPr>
            <w:tcW w:w="861" w:type="pct"/>
            <w:tcBorders>
              <w:top w:val="nil"/>
              <w:left w:val="nil"/>
              <w:bottom w:val="single" w:sz="4" w:space="0" w:color="auto"/>
              <w:right w:val="single" w:sz="4" w:space="0" w:color="auto"/>
            </w:tcBorders>
            <w:shd w:val="clear" w:color="auto" w:fill="auto"/>
            <w:noWrap/>
            <w:vAlign w:val="center"/>
            <w:hideMark/>
          </w:tcPr>
          <w:p w:rsidR="00072977" w:rsidRPr="0065074D" w:rsidRDefault="00CF4E12"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72,724.46</w:t>
            </w:r>
          </w:p>
        </w:tc>
      </w:tr>
      <w:tr w:rsidR="00072977" w:rsidRPr="0065074D"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5</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证券融资交易调整项</w:t>
            </w:r>
          </w:p>
        </w:tc>
        <w:tc>
          <w:tcPr>
            <w:tcW w:w="861"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 xml:space="preserve">- </w:t>
            </w:r>
          </w:p>
        </w:tc>
      </w:tr>
      <w:tr w:rsidR="00072977" w:rsidRPr="0065074D"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6</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表外项目调整项</w:t>
            </w:r>
          </w:p>
        </w:tc>
        <w:tc>
          <w:tcPr>
            <w:tcW w:w="861"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 xml:space="preserve">4,576,755.38 </w:t>
            </w:r>
          </w:p>
        </w:tc>
      </w:tr>
      <w:tr w:rsidR="00072977" w:rsidRPr="0065074D"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7</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其他调整项</w:t>
            </w:r>
          </w:p>
        </w:tc>
        <w:tc>
          <w:tcPr>
            <w:tcW w:w="861"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(13,556.13)</w:t>
            </w:r>
          </w:p>
        </w:tc>
      </w:tr>
      <w:tr w:rsidR="00072977" w:rsidRPr="0065074D"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8</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调整后的表内外资产余额</w:t>
            </w:r>
          </w:p>
        </w:tc>
        <w:tc>
          <w:tcPr>
            <w:tcW w:w="861"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 xml:space="preserve">38,730,019.46 </w:t>
            </w:r>
          </w:p>
        </w:tc>
      </w:tr>
    </w:tbl>
    <w:p w:rsidR="00072977" w:rsidRPr="0065074D" w:rsidRDefault="00072977" w:rsidP="00072977">
      <w:pPr>
        <w:jc w:val="left"/>
        <w:rPr>
          <w:rFonts w:ascii="Times New Roman" w:hAnsi="Times New Roman" w:cs="Times New Roman"/>
          <w:sz w:val="24"/>
          <w:szCs w:val="24"/>
        </w:rPr>
      </w:pPr>
    </w:p>
    <w:p w:rsidR="00072977" w:rsidRPr="0065074D" w:rsidRDefault="00072977" w:rsidP="00072977">
      <w:pPr>
        <w:jc w:val="left"/>
        <w:rPr>
          <w:rFonts w:ascii="Times New Roman" w:hAnsi="Times New Roman" w:cs="Times New Roman"/>
          <w:sz w:val="24"/>
          <w:szCs w:val="24"/>
        </w:rPr>
      </w:pPr>
    </w:p>
    <w:p w:rsidR="002F223A" w:rsidRPr="0065074D" w:rsidRDefault="002F223A" w:rsidP="002F223A">
      <w:pPr>
        <w:widowControl/>
        <w:jc w:val="left"/>
        <w:rPr>
          <w:rFonts w:ascii="Times New Roman" w:hAnsi="Times New Roman" w:cs="Times New Roman"/>
          <w:b/>
          <w:sz w:val="24"/>
          <w:szCs w:val="24"/>
        </w:rPr>
      </w:pPr>
    </w:p>
    <w:p w:rsidR="00072977" w:rsidRPr="0065074D" w:rsidRDefault="00072977" w:rsidP="002F223A">
      <w:pPr>
        <w:widowControl/>
        <w:jc w:val="left"/>
        <w:rPr>
          <w:rFonts w:ascii="Times New Roman" w:hAnsi="Times New Roman" w:cs="Times New Roman"/>
          <w:b/>
          <w:sz w:val="24"/>
          <w:szCs w:val="24"/>
        </w:rPr>
      </w:pPr>
      <w:r w:rsidRPr="0065074D">
        <w:rPr>
          <w:rFonts w:ascii="Times New Roman" w:hAnsi="Times New Roman" w:cs="Times New Roman"/>
          <w:b/>
          <w:sz w:val="24"/>
          <w:szCs w:val="24"/>
        </w:rPr>
        <w:t>表</w:t>
      </w:r>
      <w:r w:rsidRPr="0065074D">
        <w:rPr>
          <w:rFonts w:ascii="Times New Roman" w:hAnsi="Times New Roman" w:cs="Times New Roman"/>
          <w:b/>
          <w:sz w:val="24"/>
          <w:szCs w:val="24"/>
        </w:rPr>
        <w:t>2</w:t>
      </w:r>
      <w:r w:rsidRPr="0065074D">
        <w:rPr>
          <w:rFonts w:ascii="Times New Roman" w:hAnsi="Times New Roman" w:cs="Times New Roman"/>
          <w:b/>
          <w:sz w:val="24"/>
          <w:szCs w:val="24"/>
        </w:rPr>
        <w:t>：杠杆</w:t>
      </w:r>
      <w:proofErr w:type="gramStart"/>
      <w:r w:rsidRPr="0065074D">
        <w:rPr>
          <w:rFonts w:ascii="Times New Roman" w:hAnsi="Times New Roman" w:cs="Times New Roman"/>
          <w:b/>
          <w:sz w:val="24"/>
          <w:szCs w:val="24"/>
        </w:rPr>
        <w:t>率相关</w:t>
      </w:r>
      <w:proofErr w:type="gramEnd"/>
      <w:r w:rsidRPr="0065074D">
        <w:rPr>
          <w:rFonts w:ascii="Times New Roman" w:hAnsi="Times New Roman" w:cs="Times New Roman"/>
          <w:b/>
          <w:sz w:val="24"/>
          <w:szCs w:val="24"/>
        </w:rPr>
        <w:t>明细数据</w:t>
      </w:r>
    </w:p>
    <w:p w:rsidR="00800B47" w:rsidRPr="0065074D" w:rsidRDefault="00800B47" w:rsidP="00072977">
      <w:pPr>
        <w:jc w:val="left"/>
        <w:rPr>
          <w:rFonts w:ascii="Times New Roman" w:hAnsi="Times New Roman" w:cs="Times New Roman"/>
          <w:sz w:val="24"/>
          <w:szCs w:val="24"/>
        </w:rPr>
      </w:pPr>
    </w:p>
    <w:p w:rsidR="00072977" w:rsidRPr="0065074D" w:rsidRDefault="00800B47" w:rsidP="00800B47">
      <w:pPr>
        <w:jc w:val="right"/>
        <w:rPr>
          <w:rFonts w:ascii="Times New Roman" w:hAnsi="Times New Roman" w:cs="Times New Roman"/>
          <w:sz w:val="24"/>
          <w:szCs w:val="24"/>
        </w:rPr>
      </w:pPr>
      <w:r w:rsidRPr="0065074D">
        <w:rPr>
          <w:rFonts w:ascii="Times New Roman" w:hAnsi="Times New Roman" w:cs="Times New Roman"/>
          <w:sz w:val="24"/>
          <w:szCs w:val="24"/>
        </w:rPr>
        <w:t>单位：人民币万元、监管并表口径</w:t>
      </w:r>
    </w:p>
    <w:tbl>
      <w:tblPr>
        <w:tblW w:w="5000" w:type="pct"/>
        <w:tblLayout w:type="fixed"/>
        <w:tblLook w:val="04A0" w:firstRow="1" w:lastRow="0" w:firstColumn="1" w:lastColumn="0" w:noHBand="0" w:noVBand="1"/>
      </w:tblPr>
      <w:tblGrid>
        <w:gridCol w:w="960"/>
        <w:gridCol w:w="5812"/>
        <w:gridCol w:w="1750"/>
      </w:tblGrid>
      <w:tr w:rsidR="00072977" w:rsidRPr="0065074D" w:rsidTr="00A01C2A">
        <w:trPr>
          <w:trHeight w:val="240"/>
          <w:tblHeader/>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b/>
                <w:color w:val="000000"/>
                <w:kern w:val="0"/>
                <w:sz w:val="24"/>
                <w:szCs w:val="24"/>
              </w:rPr>
            </w:pPr>
            <w:r w:rsidRPr="0065074D">
              <w:rPr>
                <w:rFonts w:ascii="Times New Roman" w:eastAsia="宋体" w:hAnsi="Times New Roman" w:cs="Times New Roman"/>
                <w:b/>
                <w:color w:val="000000"/>
                <w:kern w:val="0"/>
                <w:sz w:val="24"/>
                <w:szCs w:val="24"/>
              </w:rPr>
              <w:t>序号</w:t>
            </w:r>
          </w:p>
        </w:tc>
        <w:tc>
          <w:tcPr>
            <w:tcW w:w="3410" w:type="pct"/>
            <w:tcBorders>
              <w:top w:val="single" w:sz="4" w:space="0" w:color="auto"/>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b/>
                <w:color w:val="000000"/>
                <w:kern w:val="0"/>
                <w:sz w:val="24"/>
                <w:szCs w:val="24"/>
              </w:rPr>
            </w:pPr>
            <w:r w:rsidRPr="0065074D">
              <w:rPr>
                <w:rFonts w:ascii="Times New Roman" w:eastAsia="宋体" w:hAnsi="Times New Roman" w:cs="Times New Roman"/>
                <w:b/>
                <w:color w:val="000000"/>
                <w:kern w:val="0"/>
                <w:sz w:val="24"/>
                <w:szCs w:val="24"/>
              </w:rPr>
              <w:t>项目</w:t>
            </w:r>
          </w:p>
        </w:tc>
        <w:tc>
          <w:tcPr>
            <w:tcW w:w="1027" w:type="pct"/>
            <w:tcBorders>
              <w:top w:val="single" w:sz="4" w:space="0" w:color="auto"/>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center"/>
              <w:rPr>
                <w:rFonts w:ascii="Times New Roman" w:eastAsia="宋体" w:hAnsi="Times New Roman" w:cs="Times New Roman"/>
                <w:b/>
                <w:color w:val="000000"/>
                <w:kern w:val="0"/>
                <w:sz w:val="24"/>
                <w:szCs w:val="24"/>
              </w:rPr>
            </w:pPr>
            <w:r w:rsidRPr="0065074D">
              <w:rPr>
                <w:rFonts w:ascii="Times New Roman" w:eastAsia="宋体" w:hAnsi="Times New Roman" w:cs="Times New Roman"/>
                <w:b/>
                <w:color w:val="000000"/>
                <w:kern w:val="0"/>
                <w:sz w:val="24"/>
                <w:szCs w:val="24"/>
              </w:rPr>
              <w:t>余额</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1</w:t>
            </w:r>
          </w:p>
        </w:tc>
        <w:tc>
          <w:tcPr>
            <w:tcW w:w="3410"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表内资产（除衍生产品和证券融资交易外）</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 xml:space="preserve">34,092,600.16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2</w:t>
            </w:r>
          </w:p>
        </w:tc>
        <w:tc>
          <w:tcPr>
            <w:tcW w:w="3410"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减：一级资本扣减项</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 xml:space="preserve">13,556.13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b/>
                <w:color w:val="000000"/>
                <w:kern w:val="0"/>
                <w:sz w:val="24"/>
                <w:szCs w:val="24"/>
              </w:rPr>
            </w:pPr>
            <w:r w:rsidRPr="0065074D">
              <w:rPr>
                <w:rFonts w:ascii="Times New Roman" w:eastAsia="宋体" w:hAnsi="Times New Roman" w:cs="Times New Roman"/>
                <w:b/>
                <w:color w:val="000000"/>
                <w:kern w:val="0"/>
                <w:sz w:val="24"/>
                <w:szCs w:val="24"/>
              </w:rPr>
              <w:t>3</w:t>
            </w:r>
          </w:p>
        </w:tc>
        <w:tc>
          <w:tcPr>
            <w:tcW w:w="3410"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left"/>
              <w:rPr>
                <w:rFonts w:ascii="Times New Roman" w:eastAsia="宋体" w:hAnsi="Times New Roman" w:cs="Times New Roman"/>
                <w:b/>
                <w:color w:val="000000"/>
                <w:kern w:val="0"/>
                <w:sz w:val="24"/>
                <w:szCs w:val="24"/>
              </w:rPr>
            </w:pPr>
            <w:r w:rsidRPr="0065074D">
              <w:rPr>
                <w:rFonts w:ascii="Times New Roman" w:eastAsia="宋体" w:hAnsi="Times New Roman" w:cs="Times New Roman"/>
                <w:b/>
                <w:color w:val="000000"/>
                <w:kern w:val="0"/>
                <w:sz w:val="24"/>
                <w:szCs w:val="24"/>
              </w:rPr>
              <w:t>调整后的表内资产余额（衍生产品和证券融资交易除外）</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b/>
                <w:color w:val="000000"/>
                <w:kern w:val="0"/>
                <w:sz w:val="24"/>
                <w:szCs w:val="24"/>
              </w:rPr>
            </w:pPr>
            <w:r w:rsidRPr="0065074D">
              <w:rPr>
                <w:rFonts w:ascii="Times New Roman" w:eastAsia="宋体" w:hAnsi="Times New Roman" w:cs="Times New Roman"/>
                <w:b/>
                <w:color w:val="000000"/>
                <w:kern w:val="0"/>
                <w:sz w:val="24"/>
                <w:szCs w:val="24"/>
              </w:rPr>
              <w:t xml:space="preserve">34,079,044.03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4</w:t>
            </w:r>
          </w:p>
        </w:tc>
        <w:tc>
          <w:tcPr>
            <w:tcW w:w="3410" w:type="pct"/>
            <w:tcBorders>
              <w:top w:val="nil"/>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各类衍生产品的重置成本（扣除合格保证金）</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 xml:space="preserve">1,495.59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5</w:t>
            </w:r>
          </w:p>
        </w:tc>
        <w:tc>
          <w:tcPr>
            <w:tcW w:w="3410" w:type="pct"/>
            <w:tcBorders>
              <w:top w:val="nil"/>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各类衍生产品的潜在风险暴露</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 xml:space="preserve">72,724.46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6</w:t>
            </w:r>
          </w:p>
        </w:tc>
        <w:tc>
          <w:tcPr>
            <w:tcW w:w="3410" w:type="pct"/>
            <w:tcBorders>
              <w:top w:val="nil"/>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已从资产负债表中扣除的抵质押品总和</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w:t>
            </w:r>
            <w:r w:rsidRPr="0065074D">
              <w:rPr>
                <w:rFonts w:ascii="Times New Roman" w:eastAsia="宋体" w:hAnsi="Times New Roman" w:cs="Times New Roman"/>
                <w:color w:val="000000"/>
                <w:kern w:val="0"/>
                <w:sz w:val="24"/>
                <w:szCs w:val="24"/>
              </w:rPr>
              <w:t xml:space="preserve">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7</w:t>
            </w:r>
          </w:p>
        </w:tc>
        <w:tc>
          <w:tcPr>
            <w:tcW w:w="3410" w:type="pct"/>
            <w:tcBorders>
              <w:top w:val="nil"/>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减：因提供合格保证金形成的应收资产</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w:t>
            </w:r>
            <w:r w:rsidRPr="0065074D">
              <w:rPr>
                <w:rFonts w:ascii="Times New Roman" w:eastAsia="宋体" w:hAnsi="Times New Roman" w:cs="Times New Roman"/>
                <w:color w:val="000000"/>
                <w:kern w:val="0"/>
                <w:sz w:val="24"/>
                <w:szCs w:val="24"/>
              </w:rPr>
              <w:t xml:space="preserve">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8</w:t>
            </w:r>
          </w:p>
        </w:tc>
        <w:tc>
          <w:tcPr>
            <w:tcW w:w="3410" w:type="pct"/>
            <w:tcBorders>
              <w:top w:val="nil"/>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减：为客户提供清算服务时与中央交易对手交易形成的衍生产品资产余额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w:t>
            </w:r>
            <w:r w:rsidRPr="0065074D">
              <w:rPr>
                <w:rFonts w:ascii="Times New Roman" w:eastAsia="宋体" w:hAnsi="Times New Roman" w:cs="Times New Roman"/>
                <w:color w:val="000000"/>
                <w:kern w:val="0"/>
                <w:sz w:val="24"/>
                <w:szCs w:val="24"/>
              </w:rPr>
              <w:t xml:space="preserve">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9</w:t>
            </w:r>
          </w:p>
        </w:tc>
        <w:tc>
          <w:tcPr>
            <w:tcW w:w="3410" w:type="pct"/>
            <w:tcBorders>
              <w:top w:val="nil"/>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卖出信用衍生产品的名义本金</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w:t>
            </w:r>
            <w:r w:rsidRPr="0065074D">
              <w:rPr>
                <w:rFonts w:ascii="Times New Roman" w:eastAsia="宋体" w:hAnsi="Times New Roman" w:cs="Times New Roman"/>
                <w:color w:val="000000"/>
                <w:kern w:val="0"/>
                <w:sz w:val="24"/>
                <w:szCs w:val="24"/>
              </w:rPr>
              <w:t xml:space="preserve">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10</w:t>
            </w:r>
          </w:p>
        </w:tc>
        <w:tc>
          <w:tcPr>
            <w:tcW w:w="3410" w:type="pct"/>
            <w:tcBorders>
              <w:top w:val="nil"/>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减：可扣除的卖出信用衍生产品资产余额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w:t>
            </w:r>
            <w:r w:rsidRPr="0065074D">
              <w:rPr>
                <w:rFonts w:ascii="Times New Roman" w:eastAsia="宋体" w:hAnsi="Times New Roman" w:cs="Times New Roman"/>
                <w:color w:val="000000"/>
                <w:kern w:val="0"/>
                <w:sz w:val="24"/>
                <w:szCs w:val="24"/>
              </w:rPr>
              <w:t xml:space="preserve">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b/>
                <w:color w:val="000000"/>
                <w:kern w:val="0"/>
                <w:sz w:val="24"/>
                <w:szCs w:val="24"/>
              </w:rPr>
            </w:pPr>
            <w:r w:rsidRPr="0065074D">
              <w:rPr>
                <w:rFonts w:ascii="Times New Roman" w:eastAsia="宋体" w:hAnsi="Times New Roman" w:cs="Times New Roman"/>
                <w:b/>
                <w:color w:val="000000"/>
                <w:kern w:val="0"/>
                <w:sz w:val="24"/>
                <w:szCs w:val="24"/>
              </w:rPr>
              <w:t>11</w:t>
            </w:r>
          </w:p>
        </w:tc>
        <w:tc>
          <w:tcPr>
            <w:tcW w:w="3410" w:type="pct"/>
            <w:tcBorders>
              <w:top w:val="nil"/>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left"/>
              <w:rPr>
                <w:rFonts w:ascii="Times New Roman" w:eastAsia="宋体" w:hAnsi="Times New Roman" w:cs="Times New Roman"/>
                <w:b/>
                <w:color w:val="000000"/>
                <w:kern w:val="0"/>
                <w:sz w:val="24"/>
                <w:szCs w:val="24"/>
              </w:rPr>
            </w:pPr>
            <w:r w:rsidRPr="0065074D">
              <w:rPr>
                <w:rFonts w:ascii="Times New Roman" w:eastAsia="宋体" w:hAnsi="Times New Roman" w:cs="Times New Roman"/>
                <w:b/>
                <w:color w:val="000000"/>
                <w:kern w:val="0"/>
                <w:sz w:val="24"/>
                <w:szCs w:val="24"/>
              </w:rPr>
              <w:t>衍生产品资产余额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b/>
                <w:color w:val="000000"/>
                <w:kern w:val="0"/>
                <w:sz w:val="24"/>
                <w:szCs w:val="24"/>
              </w:rPr>
            </w:pPr>
            <w:r w:rsidRPr="0065074D">
              <w:rPr>
                <w:rFonts w:ascii="Times New Roman" w:eastAsia="宋体" w:hAnsi="Times New Roman" w:cs="Times New Roman"/>
                <w:b/>
                <w:color w:val="000000"/>
                <w:kern w:val="0"/>
                <w:sz w:val="24"/>
                <w:szCs w:val="24"/>
              </w:rPr>
              <w:t xml:space="preserve">74,220.05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12</w:t>
            </w:r>
          </w:p>
        </w:tc>
        <w:tc>
          <w:tcPr>
            <w:tcW w:w="3410" w:type="pct"/>
            <w:tcBorders>
              <w:top w:val="nil"/>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证券融资交易的会计资产余额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w:t>
            </w:r>
            <w:r w:rsidRPr="0065074D">
              <w:rPr>
                <w:rFonts w:ascii="Times New Roman" w:eastAsia="宋体" w:hAnsi="Times New Roman" w:cs="Times New Roman"/>
                <w:color w:val="000000"/>
                <w:kern w:val="0"/>
                <w:sz w:val="24"/>
                <w:szCs w:val="24"/>
              </w:rPr>
              <w:t xml:space="preserve">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13</w:t>
            </w:r>
          </w:p>
        </w:tc>
        <w:tc>
          <w:tcPr>
            <w:tcW w:w="3410" w:type="pct"/>
            <w:tcBorders>
              <w:top w:val="nil"/>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减：可以扣除的证券融资交易资产余额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w:t>
            </w:r>
            <w:r w:rsidRPr="0065074D">
              <w:rPr>
                <w:rFonts w:ascii="Times New Roman" w:eastAsia="宋体" w:hAnsi="Times New Roman" w:cs="Times New Roman"/>
                <w:color w:val="000000"/>
                <w:kern w:val="0"/>
                <w:sz w:val="24"/>
                <w:szCs w:val="24"/>
              </w:rPr>
              <w:t xml:space="preserve">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14</w:t>
            </w:r>
          </w:p>
        </w:tc>
        <w:tc>
          <w:tcPr>
            <w:tcW w:w="3410" w:type="pct"/>
            <w:tcBorders>
              <w:top w:val="nil"/>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证券融资交易的交易对手信用风险暴露</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w:t>
            </w:r>
            <w:r w:rsidRPr="0065074D">
              <w:rPr>
                <w:rFonts w:ascii="Times New Roman" w:eastAsia="宋体" w:hAnsi="Times New Roman" w:cs="Times New Roman"/>
                <w:color w:val="000000"/>
                <w:kern w:val="0"/>
                <w:sz w:val="24"/>
                <w:szCs w:val="24"/>
              </w:rPr>
              <w:t xml:space="preserve">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15</w:t>
            </w:r>
          </w:p>
        </w:tc>
        <w:tc>
          <w:tcPr>
            <w:tcW w:w="3410" w:type="pct"/>
            <w:tcBorders>
              <w:top w:val="nil"/>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代理证券融资交易形成的证券融资交易资产余额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w:t>
            </w:r>
            <w:r w:rsidRPr="0065074D">
              <w:rPr>
                <w:rFonts w:ascii="Times New Roman" w:eastAsia="宋体" w:hAnsi="Times New Roman" w:cs="Times New Roman"/>
                <w:color w:val="000000"/>
                <w:kern w:val="0"/>
                <w:sz w:val="24"/>
                <w:szCs w:val="24"/>
              </w:rPr>
              <w:t xml:space="preserve">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b/>
                <w:color w:val="000000"/>
                <w:kern w:val="0"/>
                <w:sz w:val="24"/>
                <w:szCs w:val="24"/>
              </w:rPr>
            </w:pPr>
            <w:r w:rsidRPr="0065074D">
              <w:rPr>
                <w:rFonts w:ascii="Times New Roman" w:eastAsia="宋体" w:hAnsi="Times New Roman" w:cs="Times New Roman"/>
                <w:b/>
                <w:color w:val="000000"/>
                <w:kern w:val="0"/>
                <w:sz w:val="24"/>
                <w:szCs w:val="24"/>
              </w:rPr>
              <w:t>16</w:t>
            </w:r>
          </w:p>
        </w:tc>
        <w:tc>
          <w:tcPr>
            <w:tcW w:w="3410" w:type="pct"/>
            <w:tcBorders>
              <w:top w:val="nil"/>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left"/>
              <w:rPr>
                <w:rFonts w:ascii="Times New Roman" w:eastAsia="宋体" w:hAnsi="Times New Roman" w:cs="Times New Roman"/>
                <w:b/>
                <w:color w:val="000000"/>
                <w:kern w:val="0"/>
                <w:sz w:val="24"/>
                <w:szCs w:val="24"/>
              </w:rPr>
            </w:pPr>
            <w:r w:rsidRPr="0065074D">
              <w:rPr>
                <w:rFonts w:ascii="Times New Roman" w:eastAsia="宋体" w:hAnsi="Times New Roman" w:cs="Times New Roman"/>
                <w:b/>
                <w:color w:val="000000"/>
                <w:kern w:val="0"/>
                <w:sz w:val="24"/>
                <w:szCs w:val="24"/>
              </w:rPr>
              <w:t>证券融资交易资产余额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b/>
                <w:color w:val="000000"/>
                <w:kern w:val="0"/>
                <w:sz w:val="24"/>
                <w:szCs w:val="24"/>
              </w:rPr>
            </w:pPr>
            <w:r w:rsidRPr="0065074D">
              <w:rPr>
                <w:rFonts w:ascii="Times New Roman" w:eastAsia="宋体" w:hAnsi="Times New Roman" w:cs="Times New Roman"/>
                <w:b/>
                <w:color w:val="000000"/>
                <w:kern w:val="0"/>
                <w:sz w:val="24"/>
                <w:szCs w:val="24"/>
              </w:rPr>
              <w:t>-</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lastRenderedPageBreak/>
              <w:t>17</w:t>
            </w:r>
          </w:p>
        </w:tc>
        <w:tc>
          <w:tcPr>
            <w:tcW w:w="3410" w:type="pct"/>
            <w:tcBorders>
              <w:top w:val="nil"/>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表外项目余额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 xml:space="preserve">6,738,229.71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18</w:t>
            </w:r>
          </w:p>
        </w:tc>
        <w:tc>
          <w:tcPr>
            <w:tcW w:w="3410" w:type="pct"/>
            <w:tcBorders>
              <w:top w:val="nil"/>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减：因信用转换减少的表外项目余额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 xml:space="preserve">2,161,474.34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b/>
                <w:color w:val="000000"/>
                <w:kern w:val="0"/>
                <w:sz w:val="24"/>
                <w:szCs w:val="24"/>
              </w:rPr>
            </w:pPr>
            <w:r w:rsidRPr="0065074D">
              <w:rPr>
                <w:rFonts w:ascii="Times New Roman" w:eastAsia="宋体" w:hAnsi="Times New Roman" w:cs="Times New Roman"/>
                <w:b/>
                <w:color w:val="000000"/>
                <w:kern w:val="0"/>
                <w:sz w:val="24"/>
                <w:szCs w:val="24"/>
              </w:rPr>
              <w:t>19</w:t>
            </w:r>
          </w:p>
        </w:tc>
        <w:tc>
          <w:tcPr>
            <w:tcW w:w="3410" w:type="pct"/>
            <w:tcBorders>
              <w:top w:val="nil"/>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left"/>
              <w:rPr>
                <w:rFonts w:ascii="Times New Roman" w:eastAsia="宋体" w:hAnsi="Times New Roman" w:cs="Times New Roman"/>
                <w:b/>
                <w:color w:val="000000"/>
                <w:kern w:val="0"/>
                <w:sz w:val="24"/>
                <w:szCs w:val="24"/>
              </w:rPr>
            </w:pPr>
            <w:r w:rsidRPr="0065074D">
              <w:rPr>
                <w:rFonts w:ascii="Times New Roman" w:eastAsia="宋体" w:hAnsi="Times New Roman" w:cs="Times New Roman"/>
                <w:b/>
                <w:color w:val="000000"/>
                <w:kern w:val="0"/>
                <w:sz w:val="24"/>
                <w:szCs w:val="24"/>
              </w:rPr>
              <w:t>调整后的表外项目余额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b/>
                <w:color w:val="000000"/>
                <w:kern w:val="0"/>
                <w:sz w:val="24"/>
                <w:szCs w:val="24"/>
              </w:rPr>
            </w:pPr>
            <w:r w:rsidRPr="0065074D">
              <w:rPr>
                <w:rFonts w:ascii="Times New Roman" w:eastAsia="宋体" w:hAnsi="Times New Roman" w:cs="Times New Roman"/>
                <w:b/>
                <w:color w:val="000000"/>
                <w:kern w:val="0"/>
                <w:sz w:val="24"/>
                <w:szCs w:val="24"/>
              </w:rPr>
              <w:t xml:space="preserve">4,576,755.38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20</w:t>
            </w:r>
          </w:p>
        </w:tc>
        <w:tc>
          <w:tcPr>
            <w:tcW w:w="3410" w:type="pct"/>
            <w:tcBorders>
              <w:top w:val="nil"/>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一级资本净额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 xml:space="preserve">2,459,995.70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21</w:t>
            </w:r>
          </w:p>
        </w:tc>
        <w:tc>
          <w:tcPr>
            <w:tcW w:w="3410" w:type="pct"/>
            <w:tcBorders>
              <w:top w:val="nil"/>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调整后的表内外资产余额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 xml:space="preserve">38,730,019.45 </w:t>
            </w:r>
          </w:p>
        </w:tc>
      </w:tr>
      <w:tr w:rsidR="00072977" w:rsidRPr="0065074D"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65074D" w:rsidRDefault="00072977" w:rsidP="00A01C2A">
            <w:pPr>
              <w:widowControl/>
              <w:jc w:val="center"/>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22</w:t>
            </w:r>
          </w:p>
        </w:tc>
        <w:tc>
          <w:tcPr>
            <w:tcW w:w="3410" w:type="pct"/>
            <w:tcBorders>
              <w:top w:val="nil"/>
              <w:left w:val="nil"/>
              <w:bottom w:val="single" w:sz="4" w:space="0" w:color="auto"/>
              <w:right w:val="single" w:sz="4" w:space="0" w:color="auto"/>
            </w:tcBorders>
            <w:shd w:val="clear" w:color="auto" w:fill="auto"/>
            <w:vAlign w:val="center"/>
            <w:hideMark/>
          </w:tcPr>
          <w:p w:rsidR="00072977" w:rsidRPr="0065074D" w:rsidRDefault="00072977" w:rsidP="00A01C2A">
            <w:pPr>
              <w:widowControl/>
              <w:jc w:val="lef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杠杆率</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65074D" w:rsidRDefault="00072977" w:rsidP="00A01C2A">
            <w:pPr>
              <w:widowControl/>
              <w:jc w:val="right"/>
              <w:rPr>
                <w:rFonts w:ascii="Times New Roman" w:eastAsia="宋体" w:hAnsi="Times New Roman" w:cs="Times New Roman"/>
                <w:color w:val="000000"/>
                <w:kern w:val="0"/>
                <w:sz w:val="24"/>
                <w:szCs w:val="24"/>
              </w:rPr>
            </w:pPr>
            <w:r w:rsidRPr="0065074D">
              <w:rPr>
                <w:rFonts w:ascii="Times New Roman" w:eastAsia="宋体" w:hAnsi="Times New Roman" w:cs="Times New Roman"/>
                <w:color w:val="000000"/>
                <w:kern w:val="0"/>
                <w:sz w:val="24"/>
                <w:szCs w:val="24"/>
              </w:rPr>
              <w:t>6.35%</w:t>
            </w:r>
          </w:p>
        </w:tc>
      </w:tr>
    </w:tbl>
    <w:p w:rsidR="00072977" w:rsidRPr="0065074D" w:rsidRDefault="00072977" w:rsidP="00072977">
      <w:pPr>
        <w:jc w:val="left"/>
        <w:rPr>
          <w:rFonts w:ascii="Times New Roman" w:hAnsi="Times New Roman" w:cs="Times New Roman"/>
          <w:sz w:val="24"/>
          <w:szCs w:val="24"/>
        </w:rPr>
      </w:pPr>
    </w:p>
    <w:sectPr w:rsidR="00072977" w:rsidRPr="006507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7FE" w:rsidRDefault="001017FE" w:rsidP="00072977">
      <w:r>
        <w:separator/>
      </w:r>
    </w:p>
  </w:endnote>
  <w:endnote w:type="continuationSeparator" w:id="0">
    <w:p w:rsidR="001017FE" w:rsidRDefault="001017FE" w:rsidP="0007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7FE" w:rsidRDefault="001017FE" w:rsidP="00072977">
      <w:r>
        <w:separator/>
      </w:r>
    </w:p>
  </w:footnote>
  <w:footnote w:type="continuationSeparator" w:id="0">
    <w:p w:rsidR="001017FE" w:rsidRDefault="001017FE" w:rsidP="00072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F9"/>
    <w:rsid w:val="00012CBB"/>
    <w:rsid w:val="00072977"/>
    <w:rsid w:val="00076668"/>
    <w:rsid w:val="000C4A91"/>
    <w:rsid w:val="00100398"/>
    <w:rsid w:val="001017FE"/>
    <w:rsid w:val="001071C5"/>
    <w:rsid w:val="001452B6"/>
    <w:rsid w:val="00166B14"/>
    <w:rsid w:val="001A3F5F"/>
    <w:rsid w:val="001B369D"/>
    <w:rsid w:val="001B6D5E"/>
    <w:rsid w:val="00216C2A"/>
    <w:rsid w:val="00236087"/>
    <w:rsid w:val="00240703"/>
    <w:rsid w:val="002639F9"/>
    <w:rsid w:val="00273E3E"/>
    <w:rsid w:val="002900EF"/>
    <w:rsid w:val="002A157B"/>
    <w:rsid w:val="002E7849"/>
    <w:rsid w:val="002F223A"/>
    <w:rsid w:val="0031207A"/>
    <w:rsid w:val="0037049F"/>
    <w:rsid w:val="0039757E"/>
    <w:rsid w:val="003B56F9"/>
    <w:rsid w:val="005279D3"/>
    <w:rsid w:val="005B29F7"/>
    <w:rsid w:val="005D478A"/>
    <w:rsid w:val="005F3A42"/>
    <w:rsid w:val="0060324C"/>
    <w:rsid w:val="00620C38"/>
    <w:rsid w:val="0065074D"/>
    <w:rsid w:val="00687D72"/>
    <w:rsid w:val="00714C11"/>
    <w:rsid w:val="0073665E"/>
    <w:rsid w:val="0075793A"/>
    <w:rsid w:val="0077752C"/>
    <w:rsid w:val="007F3BF1"/>
    <w:rsid w:val="00800B47"/>
    <w:rsid w:val="008822A6"/>
    <w:rsid w:val="008A7926"/>
    <w:rsid w:val="00933642"/>
    <w:rsid w:val="00942E5E"/>
    <w:rsid w:val="009E3726"/>
    <w:rsid w:val="009E65F5"/>
    <w:rsid w:val="00A01C2A"/>
    <w:rsid w:val="00A757BF"/>
    <w:rsid w:val="00A9428A"/>
    <w:rsid w:val="00AA4961"/>
    <w:rsid w:val="00AF1129"/>
    <w:rsid w:val="00AF473E"/>
    <w:rsid w:val="00BF7233"/>
    <w:rsid w:val="00C1364A"/>
    <w:rsid w:val="00C15D22"/>
    <w:rsid w:val="00C74299"/>
    <w:rsid w:val="00CE6908"/>
    <w:rsid w:val="00CF4E12"/>
    <w:rsid w:val="00D7103B"/>
    <w:rsid w:val="00DD2F9B"/>
    <w:rsid w:val="00DE7D86"/>
    <w:rsid w:val="00DF04A2"/>
    <w:rsid w:val="00ED4CD5"/>
    <w:rsid w:val="00F92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9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2977"/>
    <w:rPr>
      <w:sz w:val="18"/>
      <w:szCs w:val="18"/>
    </w:rPr>
  </w:style>
  <w:style w:type="paragraph" w:styleId="a4">
    <w:name w:val="footer"/>
    <w:basedOn w:val="a"/>
    <w:link w:val="Char0"/>
    <w:uiPriority w:val="99"/>
    <w:unhideWhenUsed/>
    <w:rsid w:val="00072977"/>
    <w:pPr>
      <w:tabs>
        <w:tab w:val="center" w:pos="4153"/>
        <w:tab w:val="right" w:pos="8306"/>
      </w:tabs>
      <w:snapToGrid w:val="0"/>
      <w:jc w:val="left"/>
    </w:pPr>
    <w:rPr>
      <w:sz w:val="18"/>
      <w:szCs w:val="18"/>
    </w:rPr>
  </w:style>
  <w:style w:type="character" w:customStyle="1" w:styleId="Char0">
    <w:name w:val="页脚 Char"/>
    <w:basedOn w:val="a0"/>
    <w:link w:val="a4"/>
    <w:uiPriority w:val="99"/>
    <w:rsid w:val="00072977"/>
    <w:rPr>
      <w:sz w:val="18"/>
      <w:szCs w:val="18"/>
    </w:rPr>
  </w:style>
  <w:style w:type="paragraph" w:customStyle="1" w:styleId="TableText">
    <w:name w:val="TableText"/>
    <w:basedOn w:val="a"/>
    <w:rsid w:val="005F3A42"/>
    <w:pPr>
      <w:widowControl/>
      <w:tabs>
        <w:tab w:val="decimal" w:pos="474"/>
        <w:tab w:val="left" w:pos="794"/>
      </w:tabs>
      <w:spacing w:before="40" w:after="40"/>
      <w:jc w:val="left"/>
    </w:pPr>
    <w:rPr>
      <w:rFonts w:ascii="Segoe UI" w:eastAsia="宋体" w:hAnsi="Segoe UI" w:cs="Times New Roman"/>
      <w:sz w:val="17"/>
      <w:szCs w:val="17"/>
    </w:rPr>
  </w:style>
  <w:style w:type="paragraph" w:customStyle="1" w:styleId="TableColumnHeading">
    <w:name w:val="TableColumnHeading"/>
    <w:basedOn w:val="a"/>
    <w:rsid w:val="005F3A42"/>
    <w:pPr>
      <w:widowControl/>
      <w:tabs>
        <w:tab w:val="left" w:pos="794"/>
      </w:tabs>
      <w:spacing w:before="40" w:after="40"/>
      <w:jc w:val="center"/>
    </w:pPr>
    <w:rPr>
      <w:rFonts w:ascii="Segoe UI" w:eastAsia="宋体" w:hAnsi="Segoe UI"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9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2977"/>
    <w:rPr>
      <w:sz w:val="18"/>
      <w:szCs w:val="18"/>
    </w:rPr>
  </w:style>
  <w:style w:type="paragraph" w:styleId="a4">
    <w:name w:val="footer"/>
    <w:basedOn w:val="a"/>
    <w:link w:val="Char0"/>
    <w:uiPriority w:val="99"/>
    <w:unhideWhenUsed/>
    <w:rsid w:val="00072977"/>
    <w:pPr>
      <w:tabs>
        <w:tab w:val="center" w:pos="4153"/>
        <w:tab w:val="right" w:pos="8306"/>
      </w:tabs>
      <w:snapToGrid w:val="0"/>
      <w:jc w:val="left"/>
    </w:pPr>
    <w:rPr>
      <w:sz w:val="18"/>
      <w:szCs w:val="18"/>
    </w:rPr>
  </w:style>
  <w:style w:type="character" w:customStyle="1" w:styleId="Char0">
    <w:name w:val="页脚 Char"/>
    <w:basedOn w:val="a0"/>
    <w:link w:val="a4"/>
    <w:uiPriority w:val="99"/>
    <w:rsid w:val="00072977"/>
    <w:rPr>
      <w:sz w:val="18"/>
      <w:szCs w:val="18"/>
    </w:rPr>
  </w:style>
  <w:style w:type="paragraph" w:customStyle="1" w:styleId="TableText">
    <w:name w:val="TableText"/>
    <w:basedOn w:val="a"/>
    <w:rsid w:val="005F3A42"/>
    <w:pPr>
      <w:widowControl/>
      <w:tabs>
        <w:tab w:val="decimal" w:pos="474"/>
        <w:tab w:val="left" w:pos="794"/>
      </w:tabs>
      <w:spacing w:before="40" w:after="40"/>
      <w:jc w:val="left"/>
    </w:pPr>
    <w:rPr>
      <w:rFonts w:ascii="Segoe UI" w:eastAsia="宋体" w:hAnsi="Segoe UI" w:cs="Times New Roman"/>
      <w:sz w:val="17"/>
      <w:szCs w:val="17"/>
    </w:rPr>
  </w:style>
  <w:style w:type="paragraph" w:customStyle="1" w:styleId="TableColumnHeading">
    <w:name w:val="TableColumnHeading"/>
    <w:basedOn w:val="a"/>
    <w:rsid w:val="005F3A42"/>
    <w:pPr>
      <w:widowControl/>
      <w:tabs>
        <w:tab w:val="left" w:pos="794"/>
      </w:tabs>
      <w:spacing w:before="40" w:after="40"/>
      <w:jc w:val="center"/>
    </w:pPr>
    <w:rPr>
      <w:rFonts w:ascii="Segoe UI" w:eastAsia="宋体" w:hAnsi="Segoe UI"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128645">
      <w:bodyDiv w:val="1"/>
      <w:marLeft w:val="0"/>
      <w:marRight w:val="0"/>
      <w:marTop w:val="0"/>
      <w:marBottom w:val="0"/>
      <w:divBdr>
        <w:top w:val="none" w:sz="0" w:space="0" w:color="auto"/>
        <w:left w:val="none" w:sz="0" w:space="0" w:color="auto"/>
        <w:bottom w:val="none" w:sz="0" w:space="0" w:color="auto"/>
        <w:right w:val="none" w:sz="0" w:space="0" w:color="auto"/>
      </w:divBdr>
    </w:div>
    <w:div w:id="464740894">
      <w:bodyDiv w:val="1"/>
      <w:marLeft w:val="0"/>
      <w:marRight w:val="0"/>
      <w:marTop w:val="0"/>
      <w:marBottom w:val="0"/>
      <w:divBdr>
        <w:top w:val="none" w:sz="0" w:space="0" w:color="auto"/>
        <w:left w:val="none" w:sz="0" w:space="0" w:color="auto"/>
        <w:bottom w:val="none" w:sz="0" w:space="0" w:color="auto"/>
        <w:right w:val="none" w:sz="0" w:space="0" w:color="auto"/>
      </w:divBdr>
    </w:div>
    <w:div w:id="84371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刘诗成</dc:creator>
  <cp:keywords/>
  <dc:description/>
  <cp:lastModifiedBy>余晓桐</cp:lastModifiedBy>
  <cp:revision>9</cp:revision>
  <dcterms:created xsi:type="dcterms:W3CDTF">2019-09-02T09:30:00Z</dcterms:created>
  <dcterms:modified xsi:type="dcterms:W3CDTF">2019-09-19T02:50:00Z</dcterms:modified>
</cp:coreProperties>
</file>