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16C90" w14:textId="77777777" w:rsidR="00AB6D2C" w:rsidRPr="003752FB" w:rsidRDefault="00AB6D2C" w:rsidP="00AB6D2C">
      <w:pPr>
        <w:pStyle w:val="Default"/>
        <w:jc w:val="center"/>
        <w:rPr>
          <w:rFonts w:ascii="Times New Roman" w:hAnsi="Times New Roman" w:cs="Times New Roman"/>
          <w:b/>
          <w:sz w:val="32"/>
        </w:rPr>
      </w:pPr>
      <w:bookmarkStart w:id="0" w:name="_GoBack"/>
      <w:bookmarkEnd w:id="0"/>
      <w:r w:rsidRPr="003752FB">
        <w:rPr>
          <w:rFonts w:ascii="Times New Roman" w:hAnsi="Times New Roman" w:cs="Times New Roman"/>
          <w:b/>
          <w:sz w:val="32"/>
        </w:rPr>
        <w:t>苏州银行股份有限公司资本构成信息表</w:t>
      </w:r>
    </w:p>
    <w:p w14:paraId="66DE9864" w14:textId="77777777" w:rsidR="00AB6D2C" w:rsidRPr="003752FB" w:rsidRDefault="00AB6D2C" w:rsidP="00AB6D2C">
      <w:pPr>
        <w:pStyle w:val="Default"/>
        <w:rPr>
          <w:rFonts w:ascii="Times New Roman" w:hAnsi="Times New Roman" w:cs="Times New Roman"/>
        </w:rPr>
      </w:pPr>
    </w:p>
    <w:p w14:paraId="04892A7E" w14:textId="22E75BC9" w:rsidR="0060324C" w:rsidRPr="003752FB" w:rsidRDefault="00AB6D2C" w:rsidP="00AB6D2C">
      <w:pPr>
        <w:ind w:firstLine="420"/>
        <w:rPr>
          <w:rFonts w:ascii="Times New Roman" w:hAnsi="Times New Roman" w:cs="Times New Roman"/>
          <w:szCs w:val="21"/>
        </w:rPr>
      </w:pPr>
      <w:r w:rsidRPr="003752FB">
        <w:rPr>
          <w:rFonts w:ascii="Times New Roman" w:hAnsi="Times New Roman" w:cs="Times New Roman"/>
          <w:szCs w:val="21"/>
        </w:rPr>
        <w:t>以下监管资本项目与资产负债表对应关系附表依据《中国银监会关于印发商业银行资本监管配套政策文件的通知》</w:t>
      </w:r>
      <w:r w:rsidRPr="003752FB">
        <w:rPr>
          <w:rFonts w:ascii="Times New Roman" w:hAnsi="Times New Roman" w:cs="Times New Roman"/>
          <w:szCs w:val="21"/>
        </w:rPr>
        <w:t>(</w:t>
      </w:r>
      <w:r w:rsidRPr="003752FB">
        <w:rPr>
          <w:rFonts w:ascii="Times New Roman" w:hAnsi="Times New Roman" w:cs="Times New Roman"/>
          <w:szCs w:val="21"/>
        </w:rPr>
        <w:t>银监发</w:t>
      </w:r>
      <w:r w:rsidRPr="003752FB">
        <w:rPr>
          <w:rFonts w:ascii="Times New Roman" w:hAnsi="Times New Roman" w:cs="Times New Roman"/>
          <w:szCs w:val="21"/>
        </w:rPr>
        <w:t>[2013]33</w:t>
      </w:r>
      <w:r w:rsidRPr="003752FB">
        <w:rPr>
          <w:rFonts w:ascii="Times New Roman" w:hAnsi="Times New Roman" w:cs="Times New Roman"/>
          <w:szCs w:val="21"/>
        </w:rPr>
        <w:t>号</w:t>
      </w:r>
      <w:r w:rsidRPr="003752FB">
        <w:rPr>
          <w:rFonts w:ascii="Times New Roman" w:hAnsi="Times New Roman" w:cs="Times New Roman"/>
          <w:szCs w:val="21"/>
        </w:rPr>
        <w:t>)</w:t>
      </w:r>
      <w:r w:rsidRPr="003752FB">
        <w:rPr>
          <w:rFonts w:ascii="Times New Roman" w:hAnsi="Times New Roman" w:cs="Times New Roman"/>
          <w:szCs w:val="21"/>
        </w:rPr>
        <w:t>中《关于商</w:t>
      </w:r>
      <w:r w:rsidR="00F47C6F" w:rsidRPr="003752FB">
        <w:rPr>
          <w:rFonts w:ascii="Times New Roman" w:hAnsi="Times New Roman" w:cs="Times New Roman" w:hint="eastAsia"/>
          <w:szCs w:val="21"/>
        </w:rPr>
        <w:t>业</w:t>
      </w:r>
      <w:r w:rsidR="00F47C6F" w:rsidRPr="003752FB">
        <w:rPr>
          <w:rFonts w:ascii="Times New Roman" w:hAnsi="Times New Roman" w:cs="Times New Roman"/>
          <w:szCs w:val="21"/>
        </w:rPr>
        <w:t>银</w:t>
      </w:r>
      <w:r w:rsidR="00F47C6F" w:rsidRPr="003752FB">
        <w:rPr>
          <w:rFonts w:ascii="Times New Roman" w:hAnsi="Times New Roman" w:cs="Times New Roman" w:hint="eastAsia"/>
          <w:szCs w:val="21"/>
        </w:rPr>
        <w:t>行</w:t>
      </w:r>
      <w:r w:rsidRPr="003752FB">
        <w:rPr>
          <w:rFonts w:ascii="Times New Roman" w:hAnsi="Times New Roman" w:cs="Times New Roman"/>
          <w:szCs w:val="21"/>
        </w:rPr>
        <w:t>资本构成信息披露的监管要求》进行披露，报表日为</w:t>
      </w:r>
      <w:r w:rsidRPr="003752FB">
        <w:rPr>
          <w:rFonts w:ascii="Times New Roman" w:hAnsi="Times New Roman" w:cs="Times New Roman"/>
          <w:szCs w:val="21"/>
        </w:rPr>
        <w:t>2</w:t>
      </w:r>
      <w:r w:rsidR="00257302" w:rsidRPr="003752FB">
        <w:rPr>
          <w:rFonts w:ascii="Times New Roman" w:hAnsi="Times New Roman" w:cs="Times New Roman"/>
          <w:szCs w:val="21"/>
        </w:rPr>
        <w:t>02</w:t>
      </w:r>
      <w:r w:rsidR="008F5E9D" w:rsidRPr="003752FB">
        <w:rPr>
          <w:rFonts w:ascii="Times New Roman" w:hAnsi="Times New Roman" w:cs="Times New Roman"/>
          <w:szCs w:val="21"/>
        </w:rPr>
        <w:t>1</w:t>
      </w:r>
      <w:r w:rsidRPr="003752FB">
        <w:rPr>
          <w:rFonts w:ascii="Times New Roman" w:hAnsi="Times New Roman" w:cs="Times New Roman"/>
          <w:szCs w:val="21"/>
        </w:rPr>
        <w:t>年</w:t>
      </w:r>
      <w:r w:rsidR="003C2EC0" w:rsidRPr="003752FB">
        <w:rPr>
          <w:rFonts w:ascii="Times New Roman" w:hAnsi="Times New Roman" w:cs="Times New Roman"/>
          <w:szCs w:val="21"/>
        </w:rPr>
        <w:t>12</w:t>
      </w:r>
      <w:r w:rsidRPr="003752FB">
        <w:rPr>
          <w:rFonts w:ascii="Times New Roman" w:hAnsi="Times New Roman" w:cs="Times New Roman"/>
          <w:szCs w:val="21"/>
        </w:rPr>
        <w:t>月</w:t>
      </w:r>
      <w:r w:rsidR="003C2EC0" w:rsidRPr="003752FB">
        <w:rPr>
          <w:rFonts w:ascii="Times New Roman" w:hAnsi="Times New Roman" w:cs="Times New Roman"/>
          <w:szCs w:val="21"/>
        </w:rPr>
        <w:t>31</w:t>
      </w:r>
      <w:r w:rsidRPr="003752FB">
        <w:rPr>
          <w:rFonts w:ascii="Times New Roman" w:hAnsi="Times New Roman" w:cs="Times New Roman"/>
          <w:szCs w:val="21"/>
        </w:rPr>
        <w:t>日。</w:t>
      </w:r>
    </w:p>
    <w:p w14:paraId="1D2FE869" w14:textId="77777777" w:rsidR="00AB6D2C" w:rsidRPr="003752FB" w:rsidRDefault="00AB6D2C" w:rsidP="00AB6D2C">
      <w:pPr>
        <w:ind w:firstLine="420"/>
        <w:rPr>
          <w:rFonts w:ascii="Times New Roman" w:hAnsi="Times New Roman" w:cs="Times New Roman"/>
          <w:szCs w:val="21"/>
        </w:rPr>
      </w:pPr>
    </w:p>
    <w:p w14:paraId="51F3C64E" w14:textId="77777777" w:rsidR="00AB6D2C" w:rsidRPr="003752FB" w:rsidRDefault="00AB6D2C" w:rsidP="00AB6D2C">
      <w:pPr>
        <w:ind w:firstLine="420"/>
        <w:rPr>
          <w:rFonts w:ascii="Times New Roman" w:hAnsi="Times New Roman" w:cs="Times New Roman"/>
          <w:b/>
          <w:sz w:val="24"/>
          <w:szCs w:val="21"/>
        </w:rPr>
      </w:pPr>
      <w:r w:rsidRPr="003752FB">
        <w:rPr>
          <w:rFonts w:ascii="Times New Roman" w:hAnsi="Times New Roman" w:cs="Times New Roman"/>
          <w:b/>
          <w:sz w:val="24"/>
          <w:szCs w:val="21"/>
        </w:rPr>
        <w:t>一、资本构成</w:t>
      </w:r>
    </w:p>
    <w:p w14:paraId="100B8717" w14:textId="77777777" w:rsidR="00AB6D2C" w:rsidRPr="003752FB" w:rsidRDefault="00AB6D2C" w:rsidP="00AB6D2C">
      <w:pPr>
        <w:ind w:firstLine="420"/>
        <w:jc w:val="right"/>
        <w:rPr>
          <w:rFonts w:ascii="Times New Roman" w:hAnsi="Times New Roman" w:cs="Times New Roman"/>
        </w:rPr>
      </w:pPr>
      <w:r w:rsidRPr="003752FB">
        <w:rPr>
          <w:rFonts w:ascii="Times New Roman" w:hAnsi="Times New Roman" w:cs="Times New Roman"/>
        </w:rPr>
        <w:t>单位：人民币万元</w:t>
      </w:r>
      <w:r w:rsidR="000B0DF4" w:rsidRPr="003752FB">
        <w:rPr>
          <w:rFonts w:ascii="Times New Roman" w:hAnsi="Times New Roman" w:cs="Times New Roman"/>
        </w:rPr>
        <w:t>、</w:t>
      </w:r>
      <w:r w:rsidR="000B0DF4" w:rsidRPr="003752FB">
        <w:rPr>
          <w:rFonts w:ascii="Times New Roman" w:eastAsia="宋体" w:hAnsi="Times New Roman" w:cs="Times New Roman"/>
          <w:color w:val="000000"/>
          <w:kern w:val="0"/>
          <w:sz w:val="22"/>
        </w:rPr>
        <w:t>%</w:t>
      </w:r>
      <w:r w:rsidR="001E0D63" w:rsidRPr="003752FB">
        <w:rPr>
          <w:rFonts w:ascii="Times New Roman" w:hAnsi="Times New Roman" w:cs="Times New Roman"/>
        </w:rPr>
        <w:t xml:space="preserve"> </w:t>
      </w:r>
    </w:p>
    <w:tbl>
      <w:tblPr>
        <w:tblW w:w="5000" w:type="pct"/>
        <w:tblLook w:val="04A0" w:firstRow="1" w:lastRow="0" w:firstColumn="1" w:lastColumn="0" w:noHBand="0" w:noVBand="1"/>
      </w:tblPr>
      <w:tblGrid>
        <w:gridCol w:w="546"/>
        <w:gridCol w:w="6330"/>
        <w:gridCol w:w="1646"/>
      </w:tblGrid>
      <w:tr w:rsidR="00AB6D2C" w:rsidRPr="003752FB" w14:paraId="55B314D4"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54A2E49"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核心一级资本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9DE7173" w14:textId="77777777" w:rsidR="00AB6D2C" w:rsidRPr="003752FB" w:rsidRDefault="00AB6D2C" w:rsidP="00AB6D2C">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数额</w:t>
            </w:r>
          </w:p>
        </w:tc>
      </w:tr>
      <w:tr w:rsidR="00CE7787" w:rsidRPr="003752FB" w14:paraId="59A657CB" w14:textId="77777777" w:rsidTr="00D0615F">
        <w:trPr>
          <w:trHeight w:val="299"/>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232F0DE"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w:t>
            </w:r>
          </w:p>
        </w:tc>
        <w:tc>
          <w:tcPr>
            <w:tcW w:w="3714" w:type="pct"/>
            <w:tcBorders>
              <w:top w:val="nil"/>
              <w:left w:val="nil"/>
              <w:bottom w:val="single" w:sz="4" w:space="0" w:color="auto"/>
              <w:right w:val="single" w:sz="4" w:space="0" w:color="auto"/>
            </w:tcBorders>
            <w:shd w:val="clear" w:color="auto" w:fill="auto"/>
            <w:vAlign w:val="center"/>
            <w:hideMark/>
          </w:tcPr>
          <w:p w14:paraId="074F450D"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实收资本</w:t>
            </w:r>
          </w:p>
        </w:tc>
        <w:tc>
          <w:tcPr>
            <w:tcW w:w="966" w:type="pct"/>
            <w:tcBorders>
              <w:top w:val="nil"/>
              <w:left w:val="nil"/>
              <w:bottom w:val="single" w:sz="4" w:space="0" w:color="auto"/>
              <w:right w:val="single" w:sz="4" w:space="0" w:color="auto"/>
            </w:tcBorders>
            <w:shd w:val="clear" w:color="auto" w:fill="auto"/>
            <w:vAlign w:val="bottom"/>
          </w:tcPr>
          <w:p w14:paraId="0718B361" w14:textId="5961BE77" w:rsidR="00CE7787" w:rsidRPr="003752FB" w:rsidRDefault="003C2EC0" w:rsidP="00CE7787">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333,337.53</w:t>
            </w:r>
          </w:p>
        </w:tc>
      </w:tr>
      <w:tr w:rsidR="00CE7787" w:rsidRPr="003752FB" w14:paraId="2111AEFE"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D82F27E"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w:t>
            </w:r>
          </w:p>
        </w:tc>
        <w:tc>
          <w:tcPr>
            <w:tcW w:w="3714" w:type="pct"/>
            <w:tcBorders>
              <w:top w:val="nil"/>
              <w:left w:val="nil"/>
              <w:bottom w:val="single" w:sz="4" w:space="0" w:color="auto"/>
              <w:right w:val="single" w:sz="4" w:space="0" w:color="auto"/>
            </w:tcBorders>
            <w:shd w:val="clear" w:color="auto" w:fill="auto"/>
            <w:vAlign w:val="center"/>
            <w:hideMark/>
          </w:tcPr>
          <w:p w14:paraId="039DAD42"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留存收益</w:t>
            </w:r>
          </w:p>
        </w:tc>
        <w:tc>
          <w:tcPr>
            <w:tcW w:w="966" w:type="pct"/>
            <w:tcBorders>
              <w:top w:val="nil"/>
              <w:left w:val="nil"/>
              <w:bottom w:val="single" w:sz="4" w:space="0" w:color="auto"/>
              <w:right w:val="single" w:sz="4" w:space="0" w:color="auto"/>
            </w:tcBorders>
            <w:shd w:val="clear" w:color="auto" w:fill="auto"/>
            <w:vAlign w:val="bottom"/>
          </w:tcPr>
          <w:p w14:paraId="530C7C84" w14:textId="6A5C47D9" w:rsidR="00CE7787" w:rsidRPr="003752FB" w:rsidRDefault="003C2EC0"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1,771,238.35</w:t>
            </w:r>
          </w:p>
        </w:tc>
      </w:tr>
      <w:tr w:rsidR="003C2EC0" w:rsidRPr="003752FB" w14:paraId="4D9D5455"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E731459"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2a</w:t>
            </w:r>
          </w:p>
        </w:tc>
        <w:tc>
          <w:tcPr>
            <w:tcW w:w="3714" w:type="pct"/>
            <w:tcBorders>
              <w:top w:val="nil"/>
              <w:left w:val="nil"/>
              <w:bottom w:val="single" w:sz="4" w:space="0" w:color="auto"/>
              <w:right w:val="single" w:sz="4" w:space="0" w:color="auto"/>
            </w:tcBorders>
            <w:shd w:val="clear" w:color="auto" w:fill="auto"/>
            <w:vAlign w:val="center"/>
            <w:hideMark/>
          </w:tcPr>
          <w:p w14:paraId="5FE07E82"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盈余公积</w:t>
            </w:r>
          </w:p>
        </w:tc>
        <w:tc>
          <w:tcPr>
            <w:tcW w:w="966" w:type="pct"/>
            <w:tcBorders>
              <w:top w:val="nil"/>
              <w:left w:val="nil"/>
              <w:bottom w:val="single" w:sz="4" w:space="0" w:color="auto"/>
              <w:right w:val="single" w:sz="4" w:space="0" w:color="auto"/>
            </w:tcBorders>
            <w:shd w:val="clear" w:color="auto" w:fill="auto"/>
          </w:tcPr>
          <w:p w14:paraId="42623BCF" w14:textId="08554E7C"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250,445.33 </w:t>
            </w:r>
          </w:p>
        </w:tc>
      </w:tr>
      <w:tr w:rsidR="003C2EC0" w:rsidRPr="003752FB" w14:paraId="2B2DB5D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7B91C71"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2b</w:t>
            </w:r>
          </w:p>
        </w:tc>
        <w:tc>
          <w:tcPr>
            <w:tcW w:w="3714" w:type="pct"/>
            <w:tcBorders>
              <w:top w:val="nil"/>
              <w:left w:val="nil"/>
              <w:bottom w:val="single" w:sz="4" w:space="0" w:color="auto"/>
              <w:right w:val="single" w:sz="4" w:space="0" w:color="auto"/>
            </w:tcBorders>
            <w:shd w:val="clear" w:color="auto" w:fill="auto"/>
            <w:vAlign w:val="center"/>
            <w:hideMark/>
          </w:tcPr>
          <w:p w14:paraId="0384F38C"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一般风险准备</w:t>
            </w:r>
          </w:p>
        </w:tc>
        <w:tc>
          <w:tcPr>
            <w:tcW w:w="966" w:type="pct"/>
            <w:tcBorders>
              <w:top w:val="nil"/>
              <w:left w:val="nil"/>
              <w:bottom w:val="single" w:sz="4" w:space="0" w:color="auto"/>
              <w:right w:val="single" w:sz="4" w:space="0" w:color="auto"/>
            </w:tcBorders>
            <w:shd w:val="clear" w:color="auto" w:fill="auto"/>
          </w:tcPr>
          <w:p w14:paraId="1E7FE2D5" w14:textId="4F378973"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549,751.23 </w:t>
            </w:r>
          </w:p>
        </w:tc>
      </w:tr>
      <w:tr w:rsidR="003C2EC0" w:rsidRPr="003752FB" w14:paraId="4DC6AFBB"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3A68068"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2c</w:t>
            </w:r>
          </w:p>
        </w:tc>
        <w:tc>
          <w:tcPr>
            <w:tcW w:w="3714" w:type="pct"/>
            <w:tcBorders>
              <w:top w:val="nil"/>
              <w:left w:val="nil"/>
              <w:bottom w:val="single" w:sz="4" w:space="0" w:color="auto"/>
              <w:right w:val="single" w:sz="4" w:space="0" w:color="auto"/>
            </w:tcBorders>
            <w:shd w:val="clear" w:color="auto" w:fill="auto"/>
            <w:vAlign w:val="center"/>
            <w:hideMark/>
          </w:tcPr>
          <w:p w14:paraId="7598D432"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未分配利润</w:t>
            </w:r>
          </w:p>
        </w:tc>
        <w:tc>
          <w:tcPr>
            <w:tcW w:w="966" w:type="pct"/>
            <w:tcBorders>
              <w:top w:val="nil"/>
              <w:left w:val="nil"/>
              <w:bottom w:val="single" w:sz="4" w:space="0" w:color="auto"/>
              <w:right w:val="single" w:sz="4" w:space="0" w:color="auto"/>
            </w:tcBorders>
            <w:shd w:val="clear" w:color="auto" w:fill="auto"/>
          </w:tcPr>
          <w:p w14:paraId="031167C5" w14:textId="56D88698"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971,041.79 </w:t>
            </w:r>
          </w:p>
        </w:tc>
      </w:tr>
      <w:tr w:rsidR="003C2EC0" w:rsidRPr="003752FB" w14:paraId="62D4E2A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A50777F"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w:t>
            </w:r>
          </w:p>
        </w:tc>
        <w:tc>
          <w:tcPr>
            <w:tcW w:w="3714" w:type="pct"/>
            <w:tcBorders>
              <w:top w:val="nil"/>
              <w:left w:val="nil"/>
              <w:bottom w:val="single" w:sz="4" w:space="0" w:color="auto"/>
              <w:right w:val="single" w:sz="4" w:space="0" w:color="auto"/>
            </w:tcBorders>
            <w:shd w:val="clear" w:color="auto" w:fill="auto"/>
            <w:vAlign w:val="center"/>
            <w:hideMark/>
          </w:tcPr>
          <w:p w14:paraId="5C051675"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累计其他综合收益和公开储备</w:t>
            </w:r>
          </w:p>
        </w:tc>
        <w:tc>
          <w:tcPr>
            <w:tcW w:w="966" w:type="pct"/>
            <w:tcBorders>
              <w:top w:val="nil"/>
              <w:left w:val="nil"/>
              <w:bottom w:val="single" w:sz="4" w:space="0" w:color="auto"/>
              <w:right w:val="single" w:sz="4" w:space="0" w:color="auto"/>
            </w:tcBorders>
            <w:shd w:val="clear" w:color="auto" w:fill="auto"/>
          </w:tcPr>
          <w:p w14:paraId="4A3B5FBE" w14:textId="477C511C"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1,136,111.03 </w:t>
            </w:r>
          </w:p>
        </w:tc>
      </w:tr>
      <w:tr w:rsidR="003C2EC0" w:rsidRPr="003752FB" w14:paraId="41B2AF39"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08DAD8"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3a</w:t>
            </w:r>
          </w:p>
        </w:tc>
        <w:tc>
          <w:tcPr>
            <w:tcW w:w="3714" w:type="pct"/>
            <w:tcBorders>
              <w:top w:val="nil"/>
              <w:left w:val="nil"/>
              <w:bottom w:val="single" w:sz="4" w:space="0" w:color="auto"/>
              <w:right w:val="single" w:sz="4" w:space="0" w:color="auto"/>
            </w:tcBorders>
            <w:shd w:val="clear" w:color="auto" w:fill="auto"/>
            <w:vAlign w:val="center"/>
            <w:hideMark/>
          </w:tcPr>
          <w:p w14:paraId="1AC05BB3"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资本公积</w:t>
            </w:r>
          </w:p>
        </w:tc>
        <w:tc>
          <w:tcPr>
            <w:tcW w:w="966" w:type="pct"/>
            <w:tcBorders>
              <w:top w:val="nil"/>
              <w:left w:val="nil"/>
              <w:bottom w:val="single" w:sz="4" w:space="0" w:color="auto"/>
              <w:right w:val="single" w:sz="4" w:space="0" w:color="auto"/>
            </w:tcBorders>
            <w:shd w:val="clear" w:color="auto" w:fill="auto"/>
          </w:tcPr>
          <w:p w14:paraId="608AA397" w14:textId="50918CB3"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1,082,935.70 </w:t>
            </w:r>
          </w:p>
        </w:tc>
      </w:tr>
      <w:tr w:rsidR="003C2EC0" w:rsidRPr="003752FB" w14:paraId="0D3A3BD8"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EF8EF9A"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3b</w:t>
            </w:r>
          </w:p>
        </w:tc>
        <w:tc>
          <w:tcPr>
            <w:tcW w:w="3714" w:type="pct"/>
            <w:tcBorders>
              <w:top w:val="nil"/>
              <w:left w:val="nil"/>
              <w:bottom w:val="single" w:sz="4" w:space="0" w:color="auto"/>
              <w:right w:val="single" w:sz="4" w:space="0" w:color="auto"/>
            </w:tcBorders>
            <w:shd w:val="clear" w:color="auto" w:fill="auto"/>
            <w:vAlign w:val="center"/>
            <w:hideMark/>
          </w:tcPr>
          <w:p w14:paraId="2F0CD53E"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w:t>
            </w:r>
          </w:p>
        </w:tc>
        <w:tc>
          <w:tcPr>
            <w:tcW w:w="966" w:type="pct"/>
            <w:tcBorders>
              <w:top w:val="nil"/>
              <w:left w:val="nil"/>
              <w:bottom w:val="single" w:sz="4" w:space="0" w:color="auto"/>
              <w:right w:val="single" w:sz="4" w:space="0" w:color="auto"/>
            </w:tcBorders>
            <w:shd w:val="clear" w:color="auto" w:fill="auto"/>
          </w:tcPr>
          <w:p w14:paraId="1A5D6D63" w14:textId="078E9524"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53,175.33 </w:t>
            </w:r>
          </w:p>
        </w:tc>
      </w:tr>
      <w:tr w:rsidR="003C2EC0" w:rsidRPr="003752FB" w14:paraId="3643160B" w14:textId="77777777" w:rsidTr="002957BB">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0E168EE2"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w:t>
            </w:r>
          </w:p>
        </w:tc>
        <w:tc>
          <w:tcPr>
            <w:tcW w:w="3714" w:type="pct"/>
            <w:tcBorders>
              <w:top w:val="nil"/>
              <w:left w:val="nil"/>
              <w:bottom w:val="single" w:sz="4" w:space="0" w:color="auto"/>
              <w:right w:val="single" w:sz="4" w:space="0" w:color="auto"/>
            </w:tcBorders>
            <w:shd w:val="clear" w:color="auto" w:fill="auto"/>
            <w:vAlign w:val="center"/>
            <w:hideMark/>
          </w:tcPr>
          <w:p w14:paraId="12743D89"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过渡期内可计入核心一级资本数额（仅适用于非股份公司，股份制公司的银行填</w:t>
            </w:r>
            <w:r w:rsidRPr="003752FB">
              <w:rPr>
                <w:rFonts w:ascii="Times New Roman" w:eastAsia="宋体" w:hAnsi="Times New Roman" w:cs="Times New Roman"/>
                <w:color w:val="000000"/>
                <w:kern w:val="0"/>
                <w:sz w:val="22"/>
              </w:rPr>
              <w:t>0</w:t>
            </w:r>
            <w:r w:rsidRPr="003752FB">
              <w:rPr>
                <w:rFonts w:ascii="Times New Roman" w:eastAsia="宋体" w:hAnsi="Times New Roman" w:cs="Times New Roman"/>
                <w:color w:val="000000"/>
                <w:kern w:val="0"/>
                <w:sz w:val="22"/>
              </w:rPr>
              <w:t>即可）</w:t>
            </w:r>
          </w:p>
        </w:tc>
        <w:tc>
          <w:tcPr>
            <w:tcW w:w="966" w:type="pct"/>
            <w:tcBorders>
              <w:top w:val="nil"/>
              <w:left w:val="nil"/>
              <w:bottom w:val="single" w:sz="4" w:space="0" w:color="auto"/>
              <w:right w:val="single" w:sz="4" w:space="0" w:color="auto"/>
            </w:tcBorders>
            <w:shd w:val="clear" w:color="auto" w:fill="auto"/>
            <w:vAlign w:val="center"/>
          </w:tcPr>
          <w:p w14:paraId="1069648C" w14:textId="64BD0D95" w:rsidR="003C2EC0" w:rsidRPr="003752FB" w:rsidRDefault="003C2EC0" w:rsidP="002957BB">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t>
            </w:r>
          </w:p>
        </w:tc>
      </w:tr>
      <w:tr w:rsidR="003C2EC0" w:rsidRPr="003752FB" w14:paraId="37F712F5"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6B16CE7"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w:t>
            </w:r>
          </w:p>
        </w:tc>
        <w:tc>
          <w:tcPr>
            <w:tcW w:w="3714" w:type="pct"/>
            <w:tcBorders>
              <w:top w:val="nil"/>
              <w:left w:val="nil"/>
              <w:bottom w:val="single" w:sz="4" w:space="0" w:color="auto"/>
              <w:right w:val="single" w:sz="4" w:space="0" w:color="auto"/>
            </w:tcBorders>
            <w:shd w:val="clear" w:color="auto" w:fill="auto"/>
            <w:vAlign w:val="center"/>
            <w:hideMark/>
          </w:tcPr>
          <w:p w14:paraId="1FABA9A5"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tcPr>
          <w:p w14:paraId="1797DC9C" w14:textId="748D9116"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103,321.08 </w:t>
            </w:r>
          </w:p>
        </w:tc>
      </w:tr>
      <w:tr w:rsidR="003C2EC0" w:rsidRPr="003752FB" w14:paraId="597DE157"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9F0305"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w:t>
            </w:r>
          </w:p>
        </w:tc>
        <w:tc>
          <w:tcPr>
            <w:tcW w:w="3714" w:type="pct"/>
            <w:tcBorders>
              <w:top w:val="nil"/>
              <w:left w:val="nil"/>
              <w:bottom w:val="single" w:sz="4" w:space="0" w:color="auto"/>
              <w:right w:val="single" w:sz="4" w:space="0" w:color="auto"/>
            </w:tcBorders>
            <w:shd w:val="clear" w:color="auto" w:fill="auto"/>
            <w:vAlign w:val="center"/>
            <w:hideMark/>
          </w:tcPr>
          <w:p w14:paraId="1B438B45"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监管调整前的核心一级资本</w:t>
            </w:r>
          </w:p>
        </w:tc>
        <w:tc>
          <w:tcPr>
            <w:tcW w:w="966" w:type="pct"/>
            <w:tcBorders>
              <w:top w:val="nil"/>
              <w:left w:val="nil"/>
              <w:bottom w:val="single" w:sz="4" w:space="0" w:color="auto"/>
              <w:right w:val="single" w:sz="4" w:space="0" w:color="auto"/>
            </w:tcBorders>
            <w:shd w:val="clear" w:color="auto" w:fill="auto"/>
          </w:tcPr>
          <w:p w14:paraId="09428F3E" w14:textId="11197F4B"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3,344,007.99 </w:t>
            </w:r>
          </w:p>
        </w:tc>
      </w:tr>
      <w:tr w:rsidR="00AB6D2C" w:rsidRPr="003752FB" w14:paraId="6B9D7638"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4D3A99B3"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核心一级资本：监管调整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C2752B9" w14:textId="77777777" w:rsidR="00AB6D2C" w:rsidRPr="003752FB" w:rsidRDefault="00AB6D2C"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23649943"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2CD3B95"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w:t>
            </w:r>
          </w:p>
        </w:tc>
        <w:tc>
          <w:tcPr>
            <w:tcW w:w="3714" w:type="pct"/>
            <w:tcBorders>
              <w:top w:val="nil"/>
              <w:left w:val="nil"/>
              <w:bottom w:val="single" w:sz="4" w:space="0" w:color="auto"/>
              <w:right w:val="single" w:sz="4" w:space="0" w:color="auto"/>
            </w:tcBorders>
            <w:shd w:val="clear" w:color="auto" w:fill="auto"/>
            <w:vAlign w:val="center"/>
            <w:hideMark/>
          </w:tcPr>
          <w:p w14:paraId="667372B5"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审慎估值调整</w:t>
            </w:r>
          </w:p>
        </w:tc>
        <w:tc>
          <w:tcPr>
            <w:tcW w:w="966" w:type="pct"/>
            <w:tcBorders>
              <w:top w:val="nil"/>
              <w:left w:val="nil"/>
              <w:bottom w:val="single" w:sz="4" w:space="0" w:color="auto"/>
              <w:right w:val="single" w:sz="4" w:space="0" w:color="auto"/>
            </w:tcBorders>
            <w:shd w:val="clear" w:color="auto" w:fill="auto"/>
          </w:tcPr>
          <w:p w14:paraId="760470B4" w14:textId="3DCF269F"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2313D58E"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5585A28"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w:t>
            </w:r>
          </w:p>
        </w:tc>
        <w:tc>
          <w:tcPr>
            <w:tcW w:w="3714" w:type="pct"/>
            <w:tcBorders>
              <w:top w:val="nil"/>
              <w:left w:val="nil"/>
              <w:bottom w:val="single" w:sz="4" w:space="0" w:color="auto"/>
              <w:right w:val="single" w:sz="4" w:space="0" w:color="auto"/>
            </w:tcBorders>
            <w:shd w:val="clear" w:color="auto" w:fill="auto"/>
            <w:vAlign w:val="center"/>
            <w:hideMark/>
          </w:tcPr>
          <w:p w14:paraId="0987A0ED"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商誉（扣除</w:t>
            </w:r>
            <w:proofErr w:type="gramStart"/>
            <w:r w:rsidRPr="003752FB">
              <w:rPr>
                <w:rFonts w:ascii="Times New Roman" w:eastAsia="宋体" w:hAnsi="Times New Roman" w:cs="Times New Roman"/>
                <w:color w:val="000000"/>
                <w:kern w:val="0"/>
                <w:sz w:val="22"/>
              </w:rPr>
              <w:t>递延税负债</w:t>
            </w:r>
            <w:proofErr w:type="gramEnd"/>
            <w:r w:rsidRPr="003752FB">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tcPr>
          <w:p w14:paraId="33356942" w14:textId="3A254821"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093DAA05"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AF4747D"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9</w:t>
            </w:r>
          </w:p>
        </w:tc>
        <w:tc>
          <w:tcPr>
            <w:tcW w:w="3714" w:type="pct"/>
            <w:tcBorders>
              <w:top w:val="nil"/>
              <w:left w:val="nil"/>
              <w:bottom w:val="single" w:sz="4" w:space="0" w:color="auto"/>
              <w:right w:val="single" w:sz="4" w:space="0" w:color="auto"/>
            </w:tcBorders>
            <w:shd w:val="clear" w:color="auto" w:fill="auto"/>
            <w:vAlign w:val="center"/>
            <w:hideMark/>
          </w:tcPr>
          <w:p w14:paraId="1F25B954"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其他无形资产（土地使用权除外）（扣除</w:t>
            </w:r>
            <w:proofErr w:type="gramStart"/>
            <w:r w:rsidRPr="003752FB">
              <w:rPr>
                <w:rFonts w:ascii="Times New Roman" w:eastAsia="宋体" w:hAnsi="Times New Roman" w:cs="Times New Roman"/>
                <w:color w:val="000000"/>
                <w:kern w:val="0"/>
                <w:sz w:val="22"/>
              </w:rPr>
              <w:t>递延税负债</w:t>
            </w:r>
            <w:proofErr w:type="gramEnd"/>
            <w:r w:rsidRPr="003752FB">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tcPr>
          <w:p w14:paraId="05437DCC" w14:textId="79586783"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25,364.40 </w:t>
            </w:r>
          </w:p>
        </w:tc>
      </w:tr>
      <w:tr w:rsidR="003C2EC0" w:rsidRPr="003752FB" w14:paraId="165ADFA7"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DB02A0E"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10</w:t>
            </w:r>
          </w:p>
        </w:tc>
        <w:tc>
          <w:tcPr>
            <w:tcW w:w="3714" w:type="pct"/>
            <w:tcBorders>
              <w:top w:val="nil"/>
              <w:left w:val="nil"/>
              <w:bottom w:val="single" w:sz="4" w:space="0" w:color="auto"/>
              <w:right w:val="single" w:sz="4" w:space="0" w:color="auto"/>
            </w:tcBorders>
            <w:shd w:val="clear" w:color="auto" w:fill="auto"/>
            <w:vAlign w:val="center"/>
            <w:hideMark/>
          </w:tcPr>
          <w:p w14:paraId="0A4A2352"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依赖未来盈利的由经营亏损引起的</w:t>
            </w:r>
            <w:proofErr w:type="gramStart"/>
            <w:r w:rsidRPr="003752FB">
              <w:rPr>
                <w:rFonts w:ascii="Times New Roman" w:eastAsia="宋体" w:hAnsi="Times New Roman" w:cs="Times New Roman"/>
                <w:color w:val="000000"/>
                <w:kern w:val="0"/>
                <w:sz w:val="22"/>
              </w:rPr>
              <w:t>净递延税资产</w:t>
            </w:r>
            <w:proofErr w:type="gramEnd"/>
          </w:p>
        </w:tc>
        <w:tc>
          <w:tcPr>
            <w:tcW w:w="966" w:type="pct"/>
            <w:tcBorders>
              <w:top w:val="nil"/>
              <w:left w:val="nil"/>
              <w:bottom w:val="single" w:sz="4" w:space="0" w:color="auto"/>
              <w:right w:val="single" w:sz="4" w:space="0" w:color="auto"/>
            </w:tcBorders>
            <w:shd w:val="clear" w:color="auto" w:fill="auto"/>
          </w:tcPr>
          <w:p w14:paraId="5939B829" w14:textId="323FCF68"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57275F17"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742CC94"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11</w:t>
            </w:r>
          </w:p>
        </w:tc>
        <w:tc>
          <w:tcPr>
            <w:tcW w:w="3714" w:type="pct"/>
            <w:tcBorders>
              <w:top w:val="nil"/>
              <w:left w:val="nil"/>
              <w:bottom w:val="single" w:sz="4" w:space="0" w:color="auto"/>
              <w:right w:val="single" w:sz="4" w:space="0" w:color="auto"/>
            </w:tcBorders>
            <w:shd w:val="clear" w:color="auto" w:fill="auto"/>
            <w:vAlign w:val="center"/>
            <w:hideMark/>
          </w:tcPr>
          <w:p w14:paraId="18AF2B7A"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对未按公允价值计量的项目进行</w:t>
            </w:r>
            <w:proofErr w:type="gramStart"/>
            <w:r w:rsidRPr="003752FB">
              <w:rPr>
                <w:rFonts w:ascii="Times New Roman" w:eastAsia="宋体" w:hAnsi="Times New Roman" w:cs="Times New Roman"/>
                <w:color w:val="000000"/>
                <w:kern w:val="0"/>
                <w:sz w:val="22"/>
              </w:rPr>
              <w:t>现金流套期</w:t>
            </w:r>
            <w:proofErr w:type="gramEnd"/>
            <w:r w:rsidRPr="003752FB">
              <w:rPr>
                <w:rFonts w:ascii="Times New Roman" w:eastAsia="宋体" w:hAnsi="Times New Roman" w:cs="Times New Roman"/>
                <w:color w:val="000000"/>
                <w:kern w:val="0"/>
                <w:sz w:val="22"/>
              </w:rPr>
              <w:t>形成的储备</w:t>
            </w:r>
          </w:p>
        </w:tc>
        <w:tc>
          <w:tcPr>
            <w:tcW w:w="966" w:type="pct"/>
            <w:tcBorders>
              <w:top w:val="nil"/>
              <w:left w:val="nil"/>
              <w:bottom w:val="single" w:sz="4" w:space="0" w:color="auto"/>
              <w:right w:val="single" w:sz="4" w:space="0" w:color="auto"/>
            </w:tcBorders>
            <w:shd w:val="clear" w:color="auto" w:fill="auto"/>
          </w:tcPr>
          <w:p w14:paraId="13239567" w14:textId="2CABED46"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60E54299"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77EAEC"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12</w:t>
            </w:r>
          </w:p>
        </w:tc>
        <w:tc>
          <w:tcPr>
            <w:tcW w:w="3714" w:type="pct"/>
            <w:tcBorders>
              <w:top w:val="nil"/>
              <w:left w:val="nil"/>
              <w:bottom w:val="single" w:sz="4" w:space="0" w:color="auto"/>
              <w:right w:val="single" w:sz="4" w:space="0" w:color="auto"/>
            </w:tcBorders>
            <w:shd w:val="clear" w:color="auto" w:fill="auto"/>
            <w:vAlign w:val="center"/>
            <w:hideMark/>
          </w:tcPr>
          <w:p w14:paraId="3F7C12FC"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贷款损失准备缺口</w:t>
            </w:r>
          </w:p>
        </w:tc>
        <w:tc>
          <w:tcPr>
            <w:tcW w:w="966" w:type="pct"/>
            <w:tcBorders>
              <w:top w:val="nil"/>
              <w:left w:val="nil"/>
              <w:bottom w:val="single" w:sz="4" w:space="0" w:color="auto"/>
              <w:right w:val="single" w:sz="4" w:space="0" w:color="auto"/>
            </w:tcBorders>
            <w:shd w:val="clear" w:color="auto" w:fill="auto"/>
          </w:tcPr>
          <w:p w14:paraId="15F130AE" w14:textId="3A781B03"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405C880E"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638DB0C"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13</w:t>
            </w:r>
          </w:p>
        </w:tc>
        <w:tc>
          <w:tcPr>
            <w:tcW w:w="3714" w:type="pct"/>
            <w:tcBorders>
              <w:top w:val="nil"/>
              <w:left w:val="nil"/>
              <w:bottom w:val="single" w:sz="4" w:space="0" w:color="auto"/>
              <w:right w:val="single" w:sz="4" w:space="0" w:color="auto"/>
            </w:tcBorders>
            <w:shd w:val="clear" w:color="auto" w:fill="auto"/>
            <w:vAlign w:val="center"/>
            <w:hideMark/>
          </w:tcPr>
          <w:p w14:paraId="5E3831AD"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资产证券化销售利得</w:t>
            </w:r>
          </w:p>
        </w:tc>
        <w:tc>
          <w:tcPr>
            <w:tcW w:w="966" w:type="pct"/>
            <w:tcBorders>
              <w:top w:val="nil"/>
              <w:left w:val="nil"/>
              <w:bottom w:val="single" w:sz="4" w:space="0" w:color="auto"/>
              <w:right w:val="single" w:sz="4" w:space="0" w:color="auto"/>
            </w:tcBorders>
            <w:shd w:val="clear" w:color="auto" w:fill="auto"/>
          </w:tcPr>
          <w:p w14:paraId="2CD69D47" w14:textId="1E674F38"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3939630B"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8DC6411"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14</w:t>
            </w:r>
          </w:p>
        </w:tc>
        <w:tc>
          <w:tcPr>
            <w:tcW w:w="3714" w:type="pct"/>
            <w:tcBorders>
              <w:top w:val="nil"/>
              <w:left w:val="nil"/>
              <w:bottom w:val="single" w:sz="4" w:space="0" w:color="auto"/>
              <w:right w:val="single" w:sz="4" w:space="0" w:color="auto"/>
            </w:tcBorders>
            <w:shd w:val="clear" w:color="auto" w:fill="auto"/>
            <w:vAlign w:val="center"/>
            <w:hideMark/>
          </w:tcPr>
          <w:p w14:paraId="79F7B7FD"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自身信用风险变化导致其负债公允价值变化带来的未实现损益</w:t>
            </w:r>
          </w:p>
        </w:tc>
        <w:tc>
          <w:tcPr>
            <w:tcW w:w="966" w:type="pct"/>
            <w:tcBorders>
              <w:top w:val="nil"/>
              <w:left w:val="nil"/>
              <w:bottom w:val="single" w:sz="4" w:space="0" w:color="auto"/>
              <w:right w:val="single" w:sz="4" w:space="0" w:color="auto"/>
            </w:tcBorders>
            <w:shd w:val="clear" w:color="auto" w:fill="auto"/>
          </w:tcPr>
          <w:p w14:paraId="2F5A609E" w14:textId="28734EAE"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3BAC05D6"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9996812"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15</w:t>
            </w:r>
          </w:p>
        </w:tc>
        <w:tc>
          <w:tcPr>
            <w:tcW w:w="3714" w:type="pct"/>
            <w:tcBorders>
              <w:top w:val="nil"/>
              <w:left w:val="nil"/>
              <w:bottom w:val="single" w:sz="4" w:space="0" w:color="auto"/>
              <w:right w:val="single" w:sz="4" w:space="0" w:color="auto"/>
            </w:tcBorders>
            <w:shd w:val="clear" w:color="auto" w:fill="auto"/>
            <w:vAlign w:val="center"/>
            <w:hideMark/>
          </w:tcPr>
          <w:p w14:paraId="3D3A7AE4"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确定受益类的养老金资产净额（扣除递延税项负债）</w:t>
            </w:r>
          </w:p>
        </w:tc>
        <w:tc>
          <w:tcPr>
            <w:tcW w:w="966" w:type="pct"/>
            <w:tcBorders>
              <w:top w:val="nil"/>
              <w:left w:val="nil"/>
              <w:bottom w:val="single" w:sz="4" w:space="0" w:color="auto"/>
              <w:right w:val="single" w:sz="4" w:space="0" w:color="auto"/>
            </w:tcBorders>
            <w:shd w:val="clear" w:color="auto" w:fill="auto"/>
          </w:tcPr>
          <w:p w14:paraId="07895C71" w14:textId="50298D50"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4D22E51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168B1B7"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16</w:t>
            </w:r>
          </w:p>
        </w:tc>
        <w:tc>
          <w:tcPr>
            <w:tcW w:w="3714" w:type="pct"/>
            <w:tcBorders>
              <w:top w:val="nil"/>
              <w:left w:val="nil"/>
              <w:bottom w:val="single" w:sz="4" w:space="0" w:color="auto"/>
              <w:right w:val="single" w:sz="4" w:space="0" w:color="auto"/>
            </w:tcBorders>
            <w:shd w:val="clear" w:color="auto" w:fill="auto"/>
            <w:vAlign w:val="center"/>
            <w:hideMark/>
          </w:tcPr>
          <w:p w14:paraId="3876A48E"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直接或间接持有本银行的普通股</w:t>
            </w:r>
          </w:p>
        </w:tc>
        <w:tc>
          <w:tcPr>
            <w:tcW w:w="966" w:type="pct"/>
            <w:tcBorders>
              <w:top w:val="nil"/>
              <w:left w:val="nil"/>
              <w:bottom w:val="single" w:sz="4" w:space="0" w:color="auto"/>
              <w:right w:val="single" w:sz="4" w:space="0" w:color="auto"/>
            </w:tcBorders>
            <w:shd w:val="clear" w:color="auto" w:fill="auto"/>
          </w:tcPr>
          <w:p w14:paraId="3A93A4B7" w14:textId="764CC495"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7D58AEC6"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4EBC3AD6"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17</w:t>
            </w:r>
          </w:p>
        </w:tc>
        <w:tc>
          <w:tcPr>
            <w:tcW w:w="3714" w:type="pct"/>
            <w:tcBorders>
              <w:top w:val="nil"/>
              <w:left w:val="nil"/>
              <w:bottom w:val="single" w:sz="4" w:space="0" w:color="auto"/>
              <w:right w:val="single" w:sz="4" w:space="0" w:color="auto"/>
            </w:tcBorders>
            <w:shd w:val="clear" w:color="auto" w:fill="auto"/>
            <w:vAlign w:val="center"/>
            <w:hideMark/>
          </w:tcPr>
          <w:p w14:paraId="262A1184"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银行间或银行与其他金融机构间通过协议相互持有的核心一级资本</w:t>
            </w:r>
          </w:p>
        </w:tc>
        <w:tc>
          <w:tcPr>
            <w:tcW w:w="966" w:type="pct"/>
            <w:tcBorders>
              <w:top w:val="nil"/>
              <w:left w:val="nil"/>
              <w:bottom w:val="single" w:sz="4" w:space="0" w:color="auto"/>
              <w:right w:val="single" w:sz="4" w:space="0" w:color="auto"/>
            </w:tcBorders>
            <w:shd w:val="clear" w:color="auto" w:fill="auto"/>
          </w:tcPr>
          <w:p w14:paraId="36EEAC67" w14:textId="00C2B23C"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3E7B58AA"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4E35ED72"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18</w:t>
            </w:r>
          </w:p>
        </w:tc>
        <w:tc>
          <w:tcPr>
            <w:tcW w:w="3714" w:type="pct"/>
            <w:tcBorders>
              <w:top w:val="nil"/>
              <w:left w:val="nil"/>
              <w:bottom w:val="single" w:sz="4" w:space="0" w:color="auto"/>
              <w:right w:val="single" w:sz="4" w:space="0" w:color="auto"/>
            </w:tcBorders>
            <w:shd w:val="clear" w:color="auto" w:fill="auto"/>
            <w:vAlign w:val="center"/>
            <w:hideMark/>
          </w:tcPr>
          <w:p w14:paraId="05E310A6"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机构小额少数资本投资中的核心一级资本中应扣除金额</w:t>
            </w:r>
          </w:p>
        </w:tc>
        <w:tc>
          <w:tcPr>
            <w:tcW w:w="966" w:type="pct"/>
            <w:tcBorders>
              <w:top w:val="nil"/>
              <w:left w:val="nil"/>
              <w:bottom w:val="single" w:sz="4" w:space="0" w:color="auto"/>
              <w:right w:val="single" w:sz="4" w:space="0" w:color="auto"/>
            </w:tcBorders>
            <w:shd w:val="clear" w:color="auto" w:fill="auto"/>
          </w:tcPr>
          <w:p w14:paraId="730268CC" w14:textId="4BC33DEB"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27D9082C"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1D0543A8"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19</w:t>
            </w:r>
          </w:p>
        </w:tc>
        <w:tc>
          <w:tcPr>
            <w:tcW w:w="3714" w:type="pct"/>
            <w:tcBorders>
              <w:top w:val="nil"/>
              <w:left w:val="nil"/>
              <w:bottom w:val="single" w:sz="4" w:space="0" w:color="auto"/>
              <w:right w:val="single" w:sz="4" w:space="0" w:color="auto"/>
            </w:tcBorders>
            <w:shd w:val="clear" w:color="auto" w:fill="auto"/>
            <w:vAlign w:val="center"/>
            <w:hideMark/>
          </w:tcPr>
          <w:p w14:paraId="6E014BF6"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机构大额少数资本投资中的核心一级资本中应扣除金额</w:t>
            </w:r>
          </w:p>
        </w:tc>
        <w:tc>
          <w:tcPr>
            <w:tcW w:w="966" w:type="pct"/>
            <w:tcBorders>
              <w:top w:val="nil"/>
              <w:left w:val="nil"/>
              <w:bottom w:val="single" w:sz="4" w:space="0" w:color="auto"/>
              <w:right w:val="single" w:sz="4" w:space="0" w:color="auto"/>
            </w:tcBorders>
            <w:shd w:val="clear" w:color="auto" w:fill="auto"/>
          </w:tcPr>
          <w:p w14:paraId="42CC0498" w14:textId="3FBE6E4D"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1D56D57B"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C1B485D"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20</w:t>
            </w:r>
          </w:p>
        </w:tc>
        <w:tc>
          <w:tcPr>
            <w:tcW w:w="3714" w:type="pct"/>
            <w:tcBorders>
              <w:top w:val="nil"/>
              <w:left w:val="nil"/>
              <w:bottom w:val="single" w:sz="4" w:space="0" w:color="auto"/>
              <w:right w:val="single" w:sz="4" w:space="0" w:color="auto"/>
            </w:tcBorders>
            <w:shd w:val="clear" w:color="auto" w:fill="auto"/>
            <w:vAlign w:val="center"/>
            <w:hideMark/>
          </w:tcPr>
          <w:p w14:paraId="4DB40375"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抵押贷款服务权</w:t>
            </w:r>
          </w:p>
        </w:tc>
        <w:tc>
          <w:tcPr>
            <w:tcW w:w="966" w:type="pct"/>
            <w:tcBorders>
              <w:top w:val="nil"/>
              <w:left w:val="nil"/>
              <w:bottom w:val="single" w:sz="4" w:space="0" w:color="auto"/>
              <w:right w:val="single" w:sz="4" w:space="0" w:color="auto"/>
            </w:tcBorders>
            <w:shd w:val="clear" w:color="auto" w:fill="auto"/>
          </w:tcPr>
          <w:p w14:paraId="0DF57A05" w14:textId="462F80D9"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6C2245A1"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74883FC"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21</w:t>
            </w:r>
          </w:p>
        </w:tc>
        <w:tc>
          <w:tcPr>
            <w:tcW w:w="3714" w:type="pct"/>
            <w:tcBorders>
              <w:top w:val="nil"/>
              <w:left w:val="nil"/>
              <w:bottom w:val="single" w:sz="4" w:space="0" w:color="auto"/>
              <w:right w:val="single" w:sz="4" w:space="0" w:color="auto"/>
            </w:tcBorders>
            <w:shd w:val="clear" w:color="auto" w:fill="auto"/>
            <w:vAlign w:val="center"/>
            <w:hideMark/>
          </w:tcPr>
          <w:p w14:paraId="23FC2C25"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其他依赖于银行未来盈利的</w:t>
            </w:r>
            <w:proofErr w:type="gramStart"/>
            <w:r w:rsidRPr="003752FB">
              <w:rPr>
                <w:rFonts w:ascii="Times New Roman" w:eastAsia="宋体" w:hAnsi="Times New Roman" w:cs="Times New Roman"/>
                <w:color w:val="000000"/>
                <w:kern w:val="0"/>
                <w:sz w:val="22"/>
              </w:rPr>
              <w:t>净递延税资产</w:t>
            </w:r>
            <w:proofErr w:type="gramEnd"/>
            <w:r w:rsidRPr="003752FB">
              <w:rPr>
                <w:rFonts w:ascii="Times New Roman" w:eastAsia="宋体" w:hAnsi="Times New Roman" w:cs="Times New Roman"/>
                <w:color w:val="000000"/>
                <w:kern w:val="0"/>
                <w:sz w:val="22"/>
              </w:rPr>
              <w:t>中应扣除金额</w:t>
            </w:r>
          </w:p>
        </w:tc>
        <w:tc>
          <w:tcPr>
            <w:tcW w:w="966" w:type="pct"/>
            <w:tcBorders>
              <w:top w:val="nil"/>
              <w:left w:val="nil"/>
              <w:bottom w:val="single" w:sz="4" w:space="0" w:color="auto"/>
              <w:right w:val="single" w:sz="4" w:space="0" w:color="auto"/>
            </w:tcBorders>
            <w:shd w:val="clear" w:color="auto" w:fill="auto"/>
          </w:tcPr>
          <w:p w14:paraId="1C3659DD" w14:textId="641C15C0"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3C2EC0" w:rsidRPr="003752FB" w14:paraId="2F18B894"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79D6233A"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22</w:t>
            </w:r>
          </w:p>
        </w:tc>
        <w:tc>
          <w:tcPr>
            <w:tcW w:w="3714" w:type="pct"/>
            <w:tcBorders>
              <w:top w:val="nil"/>
              <w:left w:val="nil"/>
              <w:bottom w:val="single" w:sz="4" w:space="0" w:color="auto"/>
              <w:right w:val="single" w:sz="4" w:space="0" w:color="auto"/>
            </w:tcBorders>
            <w:shd w:val="clear" w:color="auto" w:fill="auto"/>
            <w:vAlign w:val="center"/>
            <w:hideMark/>
          </w:tcPr>
          <w:p w14:paraId="27125E16"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机构大额少数资本投资中的核心一级资本和其他依赖于银行未来盈利的</w:t>
            </w:r>
            <w:proofErr w:type="gramStart"/>
            <w:r w:rsidRPr="003752FB">
              <w:rPr>
                <w:rFonts w:ascii="Times New Roman" w:eastAsia="宋体" w:hAnsi="Times New Roman" w:cs="Times New Roman"/>
                <w:color w:val="000000"/>
                <w:kern w:val="0"/>
                <w:sz w:val="22"/>
              </w:rPr>
              <w:t>净递延税资产</w:t>
            </w:r>
            <w:proofErr w:type="gramEnd"/>
            <w:r w:rsidRPr="003752FB">
              <w:rPr>
                <w:rFonts w:ascii="Times New Roman" w:eastAsia="宋体" w:hAnsi="Times New Roman" w:cs="Times New Roman"/>
                <w:color w:val="000000"/>
                <w:kern w:val="0"/>
                <w:sz w:val="22"/>
              </w:rPr>
              <w:t>的未扣除部分超过核心一</w:t>
            </w:r>
            <w:r w:rsidRPr="003752FB">
              <w:rPr>
                <w:rFonts w:ascii="Times New Roman" w:eastAsia="宋体" w:hAnsi="Times New Roman" w:cs="Times New Roman"/>
                <w:color w:val="000000"/>
                <w:kern w:val="0"/>
                <w:sz w:val="22"/>
              </w:rPr>
              <w:lastRenderedPageBreak/>
              <w:t>级资本</w:t>
            </w:r>
            <w:r w:rsidRPr="003752FB">
              <w:rPr>
                <w:rFonts w:ascii="Times New Roman" w:eastAsia="宋体" w:hAnsi="Times New Roman" w:cs="Times New Roman"/>
                <w:color w:val="000000"/>
                <w:kern w:val="0"/>
                <w:sz w:val="22"/>
              </w:rPr>
              <w:t>15%</w:t>
            </w:r>
            <w:r w:rsidRPr="003752FB">
              <w:rPr>
                <w:rFonts w:ascii="Times New Roman" w:eastAsia="宋体" w:hAnsi="Times New Roman" w:cs="Times New Roman"/>
                <w:color w:val="000000"/>
                <w:kern w:val="0"/>
                <w:sz w:val="22"/>
              </w:rPr>
              <w:t>的应扣除金额</w:t>
            </w:r>
          </w:p>
        </w:tc>
        <w:tc>
          <w:tcPr>
            <w:tcW w:w="966" w:type="pct"/>
            <w:tcBorders>
              <w:top w:val="nil"/>
              <w:left w:val="nil"/>
              <w:bottom w:val="single" w:sz="4" w:space="0" w:color="auto"/>
              <w:right w:val="single" w:sz="4" w:space="0" w:color="auto"/>
            </w:tcBorders>
            <w:shd w:val="clear" w:color="auto" w:fill="auto"/>
          </w:tcPr>
          <w:p w14:paraId="06B028C5" w14:textId="27725224"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lastRenderedPageBreak/>
              <w:t xml:space="preserve">- </w:t>
            </w:r>
          </w:p>
        </w:tc>
      </w:tr>
      <w:tr w:rsidR="00CE7787" w:rsidRPr="003752FB" w14:paraId="4B1644F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26DC348"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lastRenderedPageBreak/>
              <w:t>23</w:t>
            </w:r>
          </w:p>
        </w:tc>
        <w:tc>
          <w:tcPr>
            <w:tcW w:w="3714" w:type="pct"/>
            <w:tcBorders>
              <w:top w:val="nil"/>
              <w:left w:val="nil"/>
              <w:bottom w:val="single" w:sz="4" w:space="0" w:color="auto"/>
              <w:right w:val="single" w:sz="4" w:space="0" w:color="auto"/>
            </w:tcBorders>
            <w:shd w:val="clear" w:color="auto" w:fill="auto"/>
            <w:vAlign w:val="center"/>
            <w:hideMark/>
          </w:tcPr>
          <w:p w14:paraId="27E97FDE"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其中：应在对金融机构大额少数资本投资中扣除的金额</w:t>
            </w:r>
          </w:p>
        </w:tc>
        <w:tc>
          <w:tcPr>
            <w:tcW w:w="966" w:type="pct"/>
            <w:tcBorders>
              <w:top w:val="nil"/>
              <w:left w:val="nil"/>
              <w:bottom w:val="single" w:sz="4" w:space="0" w:color="auto"/>
              <w:right w:val="single" w:sz="4" w:space="0" w:color="auto"/>
            </w:tcBorders>
            <w:shd w:val="clear" w:color="auto" w:fill="auto"/>
            <w:vAlign w:val="bottom"/>
          </w:tcPr>
          <w:p w14:paraId="43DB31E7"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204F0531"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06137C3"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24</w:t>
            </w:r>
          </w:p>
        </w:tc>
        <w:tc>
          <w:tcPr>
            <w:tcW w:w="3714" w:type="pct"/>
            <w:tcBorders>
              <w:top w:val="nil"/>
              <w:left w:val="nil"/>
              <w:bottom w:val="single" w:sz="4" w:space="0" w:color="auto"/>
              <w:right w:val="single" w:sz="4" w:space="0" w:color="auto"/>
            </w:tcBorders>
            <w:shd w:val="clear" w:color="auto" w:fill="auto"/>
            <w:vAlign w:val="center"/>
            <w:hideMark/>
          </w:tcPr>
          <w:p w14:paraId="1CA500DE"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其中：抵押贷款服务权应扣除的金额</w:t>
            </w:r>
          </w:p>
        </w:tc>
        <w:tc>
          <w:tcPr>
            <w:tcW w:w="966" w:type="pct"/>
            <w:tcBorders>
              <w:top w:val="nil"/>
              <w:left w:val="nil"/>
              <w:bottom w:val="single" w:sz="4" w:space="0" w:color="auto"/>
              <w:right w:val="single" w:sz="4" w:space="0" w:color="auto"/>
            </w:tcBorders>
            <w:shd w:val="clear" w:color="auto" w:fill="auto"/>
            <w:vAlign w:val="bottom"/>
          </w:tcPr>
          <w:p w14:paraId="011F1400"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3ED0E21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1286DD54"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25</w:t>
            </w:r>
          </w:p>
        </w:tc>
        <w:tc>
          <w:tcPr>
            <w:tcW w:w="3714" w:type="pct"/>
            <w:tcBorders>
              <w:top w:val="nil"/>
              <w:left w:val="nil"/>
              <w:bottom w:val="single" w:sz="4" w:space="0" w:color="auto"/>
              <w:right w:val="single" w:sz="4" w:space="0" w:color="auto"/>
            </w:tcBorders>
            <w:shd w:val="clear" w:color="auto" w:fill="auto"/>
            <w:vAlign w:val="center"/>
            <w:hideMark/>
          </w:tcPr>
          <w:p w14:paraId="5AE5AB28"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其中：应在其他依赖于银行未来盈利的</w:t>
            </w:r>
            <w:proofErr w:type="gramStart"/>
            <w:r w:rsidRPr="003752FB">
              <w:rPr>
                <w:rFonts w:ascii="Times New Roman" w:eastAsia="宋体" w:hAnsi="Times New Roman" w:cs="Times New Roman"/>
                <w:color w:val="000000"/>
                <w:kern w:val="0"/>
                <w:sz w:val="22"/>
              </w:rPr>
              <w:t>净递延税资产</w:t>
            </w:r>
            <w:proofErr w:type="gramEnd"/>
            <w:r w:rsidRPr="003752FB">
              <w:rPr>
                <w:rFonts w:ascii="Times New Roman" w:eastAsia="宋体" w:hAnsi="Times New Roman" w:cs="Times New Roman"/>
                <w:color w:val="000000"/>
                <w:kern w:val="0"/>
                <w:sz w:val="22"/>
              </w:rPr>
              <w:t>中扣除的金额</w:t>
            </w:r>
          </w:p>
        </w:tc>
        <w:tc>
          <w:tcPr>
            <w:tcW w:w="966" w:type="pct"/>
            <w:tcBorders>
              <w:top w:val="nil"/>
              <w:left w:val="nil"/>
              <w:bottom w:val="single" w:sz="4" w:space="0" w:color="auto"/>
              <w:right w:val="single" w:sz="4" w:space="0" w:color="auto"/>
            </w:tcBorders>
            <w:shd w:val="clear" w:color="auto" w:fill="auto"/>
            <w:vAlign w:val="center"/>
          </w:tcPr>
          <w:p w14:paraId="37E3F23D"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6A9D005C"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E7E03E3"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26a</w:t>
            </w:r>
          </w:p>
        </w:tc>
        <w:tc>
          <w:tcPr>
            <w:tcW w:w="3714" w:type="pct"/>
            <w:tcBorders>
              <w:top w:val="nil"/>
              <w:left w:val="nil"/>
              <w:bottom w:val="single" w:sz="4" w:space="0" w:color="auto"/>
              <w:right w:val="single" w:sz="4" w:space="0" w:color="auto"/>
            </w:tcBorders>
            <w:shd w:val="clear" w:color="auto" w:fill="auto"/>
            <w:vAlign w:val="center"/>
            <w:hideMark/>
          </w:tcPr>
          <w:p w14:paraId="73680782"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对有控制权但不并表的金融机构的核心一级资本投资</w:t>
            </w:r>
          </w:p>
        </w:tc>
        <w:tc>
          <w:tcPr>
            <w:tcW w:w="966" w:type="pct"/>
            <w:tcBorders>
              <w:top w:val="nil"/>
              <w:left w:val="nil"/>
              <w:bottom w:val="single" w:sz="4" w:space="0" w:color="auto"/>
              <w:right w:val="single" w:sz="4" w:space="0" w:color="auto"/>
            </w:tcBorders>
            <w:shd w:val="clear" w:color="auto" w:fill="auto"/>
            <w:vAlign w:val="bottom"/>
          </w:tcPr>
          <w:p w14:paraId="78F503BA"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13B6FC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423CB20"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26b</w:t>
            </w:r>
          </w:p>
        </w:tc>
        <w:tc>
          <w:tcPr>
            <w:tcW w:w="3714" w:type="pct"/>
            <w:tcBorders>
              <w:top w:val="nil"/>
              <w:left w:val="nil"/>
              <w:bottom w:val="single" w:sz="4" w:space="0" w:color="auto"/>
              <w:right w:val="single" w:sz="4" w:space="0" w:color="auto"/>
            </w:tcBorders>
            <w:shd w:val="clear" w:color="auto" w:fill="auto"/>
            <w:vAlign w:val="center"/>
            <w:hideMark/>
          </w:tcPr>
          <w:p w14:paraId="0C344E37"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对有控制权但不并表的金融机构的核心一级资本缺口</w:t>
            </w:r>
          </w:p>
        </w:tc>
        <w:tc>
          <w:tcPr>
            <w:tcW w:w="966" w:type="pct"/>
            <w:tcBorders>
              <w:top w:val="nil"/>
              <w:left w:val="nil"/>
              <w:bottom w:val="single" w:sz="4" w:space="0" w:color="auto"/>
              <w:right w:val="single" w:sz="4" w:space="0" w:color="auto"/>
            </w:tcBorders>
            <w:shd w:val="clear" w:color="auto" w:fill="auto"/>
            <w:vAlign w:val="bottom"/>
          </w:tcPr>
          <w:p w14:paraId="4DA94150"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17980409"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03C1DB5"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26c</w:t>
            </w:r>
          </w:p>
        </w:tc>
        <w:tc>
          <w:tcPr>
            <w:tcW w:w="3714" w:type="pct"/>
            <w:tcBorders>
              <w:top w:val="nil"/>
              <w:left w:val="nil"/>
              <w:bottom w:val="single" w:sz="4" w:space="0" w:color="auto"/>
              <w:right w:val="single" w:sz="4" w:space="0" w:color="auto"/>
            </w:tcBorders>
            <w:shd w:val="clear" w:color="auto" w:fill="auto"/>
            <w:vAlign w:val="center"/>
            <w:hideMark/>
          </w:tcPr>
          <w:p w14:paraId="6D4C5855"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其他应在核心一级资本中扣除的项目合计</w:t>
            </w:r>
          </w:p>
        </w:tc>
        <w:tc>
          <w:tcPr>
            <w:tcW w:w="966" w:type="pct"/>
            <w:tcBorders>
              <w:top w:val="nil"/>
              <w:left w:val="nil"/>
              <w:bottom w:val="single" w:sz="4" w:space="0" w:color="auto"/>
              <w:right w:val="single" w:sz="4" w:space="0" w:color="auto"/>
            </w:tcBorders>
            <w:shd w:val="clear" w:color="auto" w:fill="auto"/>
            <w:vAlign w:val="bottom"/>
          </w:tcPr>
          <w:p w14:paraId="24E59BD5"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5EE9A0B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DDF95F3"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27</w:t>
            </w:r>
          </w:p>
        </w:tc>
        <w:tc>
          <w:tcPr>
            <w:tcW w:w="3714" w:type="pct"/>
            <w:tcBorders>
              <w:top w:val="nil"/>
              <w:left w:val="nil"/>
              <w:bottom w:val="single" w:sz="4" w:space="0" w:color="auto"/>
              <w:right w:val="single" w:sz="4" w:space="0" w:color="auto"/>
            </w:tcBorders>
            <w:shd w:val="clear" w:color="auto" w:fill="auto"/>
            <w:vAlign w:val="center"/>
            <w:hideMark/>
          </w:tcPr>
          <w:p w14:paraId="45886C76"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应从其他一级资本和二级资本中扣除的未扣缺口</w:t>
            </w:r>
          </w:p>
        </w:tc>
        <w:tc>
          <w:tcPr>
            <w:tcW w:w="966" w:type="pct"/>
            <w:tcBorders>
              <w:top w:val="nil"/>
              <w:left w:val="nil"/>
              <w:bottom w:val="single" w:sz="4" w:space="0" w:color="auto"/>
              <w:right w:val="single" w:sz="4" w:space="0" w:color="auto"/>
            </w:tcBorders>
            <w:shd w:val="clear" w:color="auto" w:fill="auto"/>
            <w:vAlign w:val="bottom"/>
          </w:tcPr>
          <w:p w14:paraId="1DB5B4E6"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3C2EC0" w:rsidRPr="003752FB" w14:paraId="56D4D750"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3C7590F"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28</w:t>
            </w:r>
          </w:p>
        </w:tc>
        <w:tc>
          <w:tcPr>
            <w:tcW w:w="3714" w:type="pct"/>
            <w:tcBorders>
              <w:top w:val="nil"/>
              <w:left w:val="nil"/>
              <w:bottom w:val="single" w:sz="4" w:space="0" w:color="auto"/>
              <w:right w:val="single" w:sz="4" w:space="0" w:color="auto"/>
            </w:tcBorders>
            <w:shd w:val="clear" w:color="auto" w:fill="auto"/>
            <w:vAlign w:val="center"/>
            <w:hideMark/>
          </w:tcPr>
          <w:p w14:paraId="51B0605A"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核心一级资本监管调整总和</w:t>
            </w:r>
          </w:p>
        </w:tc>
        <w:tc>
          <w:tcPr>
            <w:tcW w:w="966" w:type="pct"/>
            <w:tcBorders>
              <w:top w:val="nil"/>
              <w:left w:val="nil"/>
              <w:bottom w:val="single" w:sz="4" w:space="0" w:color="auto"/>
              <w:right w:val="single" w:sz="4" w:space="0" w:color="auto"/>
            </w:tcBorders>
            <w:shd w:val="clear" w:color="auto" w:fill="auto"/>
          </w:tcPr>
          <w:p w14:paraId="766D369B" w14:textId="7F10D721"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25,364.40 </w:t>
            </w:r>
          </w:p>
        </w:tc>
      </w:tr>
      <w:tr w:rsidR="003C2EC0" w:rsidRPr="003752FB" w14:paraId="5A54A0F2" w14:textId="77777777" w:rsidTr="003C2EC0">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E54ED68" w14:textId="77777777" w:rsidR="003C2EC0" w:rsidRPr="003752FB" w:rsidRDefault="003C2EC0" w:rsidP="003C2EC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29</w:t>
            </w:r>
          </w:p>
        </w:tc>
        <w:tc>
          <w:tcPr>
            <w:tcW w:w="3714" w:type="pct"/>
            <w:tcBorders>
              <w:top w:val="nil"/>
              <w:left w:val="nil"/>
              <w:bottom w:val="single" w:sz="4" w:space="0" w:color="auto"/>
              <w:right w:val="single" w:sz="4" w:space="0" w:color="auto"/>
            </w:tcBorders>
            <w:shd w:val="clear" w:color="auto" w:fill="auto"/>
            <w:vAlign w:val="center"/>
            <w:hideMark/>
          </w:tcPr>
          <w:p w14:paraId="5B248459" w14:textId="77777777" w:rsidR="003C2EC0" w:rsidRPr="003752FB" w:rsidRDefault="003C2EC0" w:rsidP="003C2EC0">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核心一级资本</w:t>
            </w:r>
          </w:p>
        </w:tc>
        <w:tc>
          <w:tcPr>
            <w:tcW w:w="966" w:type="pct"/>
            <w:tcBorders>
              <w:top w:val="nil"/>
              <w:left w:val="nil"/>
              <w:bottom w:val="single" w:sz="4" w:space="0" w:color="auto"/>
              <w:right w:val="single" w:sz="4" w:space="0" w:color="auto"/>
            </w:tcBorders>
            <w:shd w:val="clear" w:color="auto" w:fill="auto"/>
          </w:tcPr>
          <w:p w14:paraId="22F634CF" w14:textId="33204916" w:rsidR="003C2EC0" w:rsidRPr="003752FB" w:rsidRDefault="003C2EC0" w:rsidP="003C2EC0">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3,318,643.59 </w:t>
            </w:r>
          </w:p>
        </w:tc>
      </w:tr>
      <w:tr w:rsidR="00AB6D2C" w:rsidRPr="003752FB" w14:paraId="2ED04EB0"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BAF4325"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其他一级资本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0DAFDD7A" w14:textId="77777777" w:rsidR="00AB6D2C" w:rsidRPr="003752FB" w:rsidRDefault="00AB6D2C"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CE7787" w:rsidRPr="003752FB" w14:paraId="2E7999F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86786B7"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30</w:t>
            </w:r>
          </w:p>
        </w:tc>
        <w:tc>
          <w:tcPr>
            <w:tcW w:w="3714" w:type="pct"/>
            <w:tcBorders>
              <w:top w:val="nil"/>
              <w:left w:val="nil"/>
              <w:bottom w:val="single" w:sz="4" w:space="0" w:color="auto"/>
              <w:right w:val="single" w:sz="4" w:space="0" w:color="auto"/>
            </w:tcBorders>
            <w:shd w:val="clear" w:color="auto" w:fill="auto"/>
            <w:vAlign w:val="center"/>
            <w:hideMark/>
          </w:tcPr>
          <w:p w14:paraId="06A7C69E"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其他一级资本工具及其溢价</w:t>
            </w:r>
          </w:p>
        </w:tc>
        <w:tc>
          <w:tcPr>
            <w:tcW w:w="966" w:type="pct"/>
            <w:tcBorders>
              <w:top w:val="nil"/>
              <w:left w:val="nil"/>
              <w:bottom w:val="single" w:sz="4" w:space="0" w:color="auto"/>
              <w:right w:val="single" w:sz="4" w:space="0" w:color="auto"/>
            </w:tcBorders>
            <w:shd w:val="clear" w:color="auto" w:fill="auto"/>
            <w:vAlign w:val="bottom"/>
          </w:tcPr>
          <w:p w14:paraId="6D7B4E59" w14:textId="77777777" w:rsidR="00CE7787" w:rsidRPr="003752FB" w:rsidRDefault="00CE7787" w:rsidP="00CE7787">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4B30F63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A13F598"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31</w:t>
            </w:r>
          </w:p>
        </w:tc>
        <w:tc>
          <w:tcPr>
            <w:tcW w:w="3714" w:type="pct"/>
            <w:tcBorders>
              <w:top w:val="nil"/>
              <w:left w:val="nil"/>
              <w:bottom w:val="single" w:sz="4" w:space="0" w:color="auto"/>
              <w:right w:val="single" w:sz="4" w:space="0" w:color="auto"/>
            </w:tcBorders>
            <w:shd w:val="clear" w:color="auto" w:fill="auto"/>
            <w:vAlign w:val="center"/>
            <w:hideMark/>
          </w:tcPr>
          <w:p w14:paraId="3AC1746D"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其中：权益部分</w:t>
            </w:r>
          </w:p>
        </w:tc>
        <w:tc>
          <w:tcPr>
            <w:tcW w:w="966" w:type="pct"/>
            <w:tcBorders>
              <w:top w:val="nil"/>
              <w:left w:val="nil"/>
              <w:bottom w:val="single" w:sz="4" w:space="0" w:color="auto"/>
              <w:right w:val="single" w:sz="4" w:space="0" w:color="auto"/>
            </w:tcBorders>
            <w:shd w:val="clear" w:color="auto" w:fill="auto"/>
            <w:vAlign w:val="bottom"/>
          </w:tcPr>
          <w:p w14:paraId="2A9C59E2"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15D5EDB9"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0635269"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32</w:t>
            </w:r>
          </w:p>
        </w:tc>
        <w:tc>
          <w:tcPr>
            <w:tcW w:w="3714" w:type="pct"/>
            <w:tcBorders>
              <w:top w:val="nil"/>
              <w:left w:val="nil"/>
              <w:bottom w:val="single" w:sz="4" w:space="0" w:color="auto"/>
              <w:right w:val="single" w:sz="4" w:space="0" w:color="auto"/>
            </w:tcBorders>
            <w:shd w:val="clear" w:color="auto" w:fill="auto"/>
            <w:vAlign w:val="center"/>
            <w:hideMark/>
          </w:tcPr>
          <w:p w14:paraId="6D5D4E39"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其中：负债部分</w:t>
            </w:r>
          </w:p>
        </w:tc>
        <w:tc>
          <w:tcPr>
            <w:tcW w:w="966" w:type="pct"/>
            <w:tcBorders>
              <w:top w:val="nil"/>
              <w:left w:val="nil"/>
              <w:bottom w:val="single" w:sz="4" w:space="0" w:color="auto"/>
              <w:right w:val="single" w:sz="4" w:space="0" w:color="auto"/>
            </w:tcBorders>
            <w:shd w:val="clear" w:color="auto" w:fill="auto"/>
            <w:vAlign w:val="bottom"/>
          </w:tcPr>
          <w:p w14:paraId="2F8ED6DF"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A451A9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B0D9B56"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33</w:t>
            </w:r>
          </w:p>
        </w:tc>
        <w:tc>
          <w:tcPr>
            <w:tcW w:w="3714" w:type="pct"/>
            <w:tcBorders>
              <w:top w:val="nil"/>
              <w:left w:val="nil"/>
              <w:bottom w:val="single" w:sz="4" w:space="0" w:color="auto"/>
              <w:right w:val="single" w:sz="4" w:space="0" w:color="auto"/>
            </w:tcBorders>
            <w:shd w:val="clear" w:color="auto" w:fill="auto"/>
            <w:vAlign w:val="center"/>
            <w:hideMark/>
          </w:tcPr>
          <w:p w14:paraId="640D16DE"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过渡期后不可计入其他一级资本的工具</w:t>
            </w:r>
          </w:p>
        </w:tc>
        <w:tc>
          <w:tcPr>
            <w:tcW w:w="966" w:type="pct"/>
            <w:tcBorders>
              <w:top w:val="nil"/>
              <w:left w:val="nil"/>
              <w:bottom w:val="single" w:sz="4" w:space="0" w:color="auto"/>
              <w:right w:val="single" w:sz="4" w:space="0" w:color="auto"/>
            </w:tcBorders>
            <w:shd w:val="clear" w:color="auto" w:fill="auto"/>
            <w:vAlign w:val="bottom"/>
          </w:tcPr>
          <w:p w14:paraId="653340AD"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497F5C8A"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81AFD35"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34</w:t>
            </w:r>
          </w:p>
        </w:tc>
        <w:tc>
          <w:tcPr>
            <w:tcW w:w="3714" w:type="pct"/>
            <w:tcBorders>
              <w:top w:val="nil"/>
              <w:left w:val="nil"/>
              <w:bottom w:val="single" w:sz="4" w:space="0" w:color="auto"/>
              <w:right w:val="single" w:sz="4" w:space="0" w:color="auto"/>
            </w:tcBorders>
            <w:shd w:val="clear" w:color="auto" w:fill="auto"/>
            <w:vAlign w:val="center"/>
            <w:hideMark/>
          </w:tcPr>
          <w:p w14:paraId="4E70C3FA"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vAlign w:val="bottom"/>
          </w:tcPr>
          <w:p w14:paraId="571B32F9" w14:textId="6A35FBC1" w:rsidR="00CE7787" w:rsidRPr="003752FB" w:rsidRDefault="001A2FCF"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13,776.14</w:t>
            </w:r>
          </w:p>
        </w:tc>
      </w:tr>
      <w:tr w:rsidR="00CE7787" w:rsidRPr="003752FB" w14:paraId="04CF3F5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60DEB0E"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35</w:t>
            </w:r>
          </w:p>
        </w:tc>
        <w:tc>
          <w:tcPr>
            <w:tcW w:w="3714" w:type="pct"/>
            <w:tcBorders>
              <w:top w:val="nil"/>
              <w:left w:val="nil"/>
              <w:bottom w:val="single" w:sz="4" w:space="0" w:color="auto"/>
              <w:right w:val="single" w:sz="4" w:space="0" w:color="auto"/>
            </w:tcBorders>
            <w:shd w:val="clear" w:color="auto" w:fill="auto"/>
            <w:vAlign w:val="center"/>
            <w:hideMark/>
          </w:tcPr>
          <w:p w14:paraId="4EFF5885"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其中：过渡期后不可计入其他一级资本的部分</w:t>
            </w:r>
          </w:p>
        </w:tc>
        <w:tc>
          <w:tcPr>
            <w:tcW w:w="966" w:type="pct"/>
            <w:tcBorders>
              <w:top w:val="nil"/>
              <w:left w:val="nil"/>
              <w:bottom w:val="single" w:sz="4" w:space="0" w:color="auto"/>
              <w:right w:val="single" w:sz="4" w:space="0" w:color="auto"/>
            </w:tcBorders>
            <w:shd w:val="clear" w:color="auto" w:fill="auto"/>
            <w:vAlign w:val="bottom"/>
          </w:tcPr>
          <w:p w14:paraId="34F3B764"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1095A5FC"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DBD8F13"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36</w:t>
            </w:r>
          </w:p>
        </w:tc>
        <w:tc>
          <w:tcPr>
            <w:tcW w:w="3714" w:type="pct"/>
            <w:tcBorders>
              <w:top w:val="nil"/>
              <w:left w:val="nil"/>
              <w:bottom w:val="single" w:sz="4" w:space="0" w:color="auto"/>
              <w:right w:val="single" w:sz="4" w:space="0" w:color="auto"/>
            </w:tcBorders>
            <w:shd w:val="clear" w:color="auto" w:fill="auto"/>
            <w:vAlign w:val="center"/>
            <w:hideMark/>
          </w:tcPr>
          <w:p w14:paraId="0C2694A9"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监管调整前的其他一级资本</w:t>
            </w:r>
          </w:p>
        </w:tc>
        <w:tc>
          <w:tcPr>
            <w:tcW w:w="966" w:type="pct"/>
            <w:tcBorders>
              <w:top w:val="nil"/>
              <w:left w:val="nil"/>
              <w:bottom w:val="single" w:sz="4" w:space="0" w:color="auto"/>
              <w:right w:val="single" w:sz="4" w:space="0" w:color="auto"/>
            </w:tcBorders>
            <w:shd w:val="clear" w:color="auto" w:fill="auto"/>
            <w:vAlign w:val="bottom"/>
          </w:tcPr>
          <w:p w14:paraId="3F21D92F" w14:textId="6B07DF39" w:rsidR="00CE7787" w:rsidRPr="003752FB" w:rsidRDefault="001A2FCF"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13,776.14</w:t>
            </w:r>
          </w:p>
        </w:tc>
      </w:tr>
      <w:tr w:rsidR="00AB6D2C" w:rsidRPr="003752FB" w14:paraId="68EB573B"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580D7A14"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其他一级资本：监管调整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81140B0" w14:textId="77777777" w:rsidR="00AB6D2C" w:rsidRPr="003752FB" w:rsidRDefault="00AB6D2C" w:rsidP="00AB6D2C">
            <w:pPr>
              <w:widowControl/>
              <w:jc w:val="right"/>
              <w:rPr>
                <w:rFonts w:ascii="Times New Roman" w:eastAsia="宋体" w:hAnsi="Times New Roman" w:cs="Times New Roman"/>
                <w:color w:val="000000"/>
                <w:kern w:val="0"/>
                <w:sz w:val="22"/>
              </w:rPr>
            </w:pPr>
          </w:p>
        </w:tc>
      </w:tr>
      <w:tr w:rsidR="00CE7787" w:rsidRPr="003752FB" w14:paraId="5B4DF60E"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77E7496"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37</w:t>
            </w:r>
          </w:p>
        </w:tc>
        <w:tc>
          <w:tcPr>
            <w:tcW w:w="3714" w:type="pct"/>
            <w:tcBorders>
              <w:top w:val="nil"/>
              <w:left w:val="nil"/>
              <w:bottom w:val="single" w:sz="4" w:space="0" w:color="auto"/>
              <w:right w:val="single" w:sz="4" w:space="0" w:color="auto"/>
            </w:tcBorders>
            <w:shd w:val="clear" w:color="auto" w:fill="auto"/>
            <w:vAlign w:val="center"/>
            <w:hideMark/>
          </w:tcPr>
          <w:p w14:paraId="394B6586"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直接或间接持有的本银行其他一级资本</w:t>
            </w:r>
          </w:p>
        </w:tc>
        <w:tc>
          <w:tcPr>
            <w:tcW w:w="966" w:type="pct"/>
            <w:tcBorders>
              <w:top w:val="nil"/>
              <w:left w:val="nil"/>
              <w:bottom w:val="single" w:sz="4" w:space="0" w:color="auto"/>
              <w:right w:val="single" w:sz="4" w:space="0" w:color="auto"/>
            </w:tcBorders>
            <w:shd w:val="clear" w:color="auto" w:fill="auto"/>
            <w:vAlign w:val="bottom"/>
          </w:tcPr>
          <w:p w14:paraId="1C82A704" w14:textId="77777777" w:rsidR="00CE7787" w:rsidRPr="003752FB" w:rsidRDefault="00CE7787" w:rsidP="00CE7787">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28C771D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58E55A5D"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38</w:t>
            </w:r>
          </w:p>
        </w:tc>
        <w:tc>
          <w:tcPr>
            <w:tcW w:w="3714" w:type="pct"/>
            <w:tcBorders>
              <w:top w:val="nil"/>
              <w:left w:val="nil"/>
              <w:bottom w:val="single" w:sz="4" w:space="0" w:color="auto"/>
              <w:right w:val="single" w:sz="4" w:space="0" w:color="auto"/>
            </w:tcBorders>
            <w:shd w:val="clear" w:color="auto" w:fill="auto"/>
            <w:vAlign w:val="center"/>
            <w:hideMark/>
          </w:tcPr>
          <w:p w14:paraId="71C89579"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银行间或银行与其他金融机构间通过协议相互持有的其他一级资本</w:t>
            </w:r>
          </w:p>
        </w:tc>
        <w:tc>
          <w:tcPr>
            <w:tcW w:w="966" w:type="pct"/>
            <w:tcBorders>
              <w:top w:val="nil"/>
              <w:left w:val="nil"/>
              <w:bottom w:val="single" w:sz="4" w:space="0" w:color="auto"/>
              <w:right w:val="single" w:sz="4" w:space="0" w:color="auto"/>
            </w:tcBorders>
            <w:shd w:val="clear" w:color="auto" w:fill="auto"/>
            <w:vAlign w:val="center"/>
          </w:tcPr>
          <w:p w14:paraId="371B2E2E"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4C90E78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06679B8E"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39</w:t>
            </w:r>
          </w:p>
        </w:tc>
        <w:tc>
          <w:tcPr>
            <w:tcW w:w="3714" w:type="pct"/>
            <w:tcBorders>
              <w:top w:val="nil"/>
              <w:left w:val="nil"/>
              <w:bottom w:val="single" w:sz="4" w:space="0" w:color="auto"/>
              <w:right w:val="single" w:sz="4" w:space="0" w:color="auto"/>
            </w:tcBorders>
            <w:shd w:val="clear" w:color="auto" w:fill="auto"/>
            <w:vAlign w:val="center"/>
            <w:hideMark/>
          </w:tcPr>
          <w:p w14:paraId="4FC74484"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机构小额少数资本投资中的其他一级资本应扣除部分</w:t>
            </w:r>
          </w:p>
        </w:tc>
        <w:tc>
          <w:tcPr>
            <w:tcW w:w="966" w:type="pct"/>
            <w:tcBorders>
              <w:top w:val="nil"/>
              <w:left w:val="nil"/>
              <w:bottom w:val="single" w:sz="4" w:space="0" w:color="auto"/>
              <w:right w:val="single" w:sz="4" w:space="0" w:color="auto"/>
            </w:tcBorders>
            <w:shd w:val="clear" w:color="auto" w:fill="auto"/>
            <w:vAlign w:val="center"/>
          </w:tcPr>
          <w:p w14:paraId="2A9C630E"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08C99841"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E0EFEE8"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40</w:t>
            </w:r>
          </w:p>
        </w:tc>
        <w:tc>
          <w:tcPr>
            <w:tcW w:w="3714" w:type="pct"/>
            <w:tcBorders>
              <w:top w:val="nil"/>
              <w:left w:val="nil"/>
              <w:bottom w:val="single" w:sz="4" w:space="0" w:color="auto"/>
              <w:right w:val="single" w:sz="4" w:space="0" w:color="auto"/>
            </w:tcBorders>
            <w:shd w:val="clear" w:color="auto" w:fill="auto"/>
            <w:vAlign w:val="center"/>
            <w:hideMark/>
          </w:tcPr>
          <w:p w14:paraId="5055F474"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机构大额少数资本投资中的其他一级资本</w:t>
            </w:r>
          </w:p>
        </w:tc>
        <w:tc>
          <w:tcPr>
            <w:tcW w:w="966" w:type="pct"/>
            <w:tcBorders>
              <w:top w:val="nil"/>
              <w:left w:val="nil"/>
              <w:bottom w:val="single" w:sz="4" w:space="0" w:color="auto"/>
              <w:right w:val="single" w:sz="4" w:space="0" w:color="auto"/>
            </w:tcBorders>
            <w:shd w:val="clear" w:color="auto" w:fill="auto"/>
            <w:vAlign w:val="bottom"/>
          </w:tcPr>
          <w:p w14:paraId="0C8FEED2"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1DBC63DA"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8E29E4D"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41a</w:t>
            </w:r>
          </w:p>
        </w:tc>
        <w:tc>
          <w:tcPr>
            <w:tcW w:w="3714" w:type="pct"/>
            <w:tcBorders>
              <w:top w:val="nil"/>
              <w:left w:val="nil"/>
              <w:bottom w:val="single" w:sz="4" w:space="0" w:color="auto"/>
              <w:right w:val="single" w:sz="4" w:space="0" w:color="auto"/>
            </w:tcBorders>
            <w:shd w:val="clear" w:color="auto" w:fill="auto"/>
            <w:vAlign w:val="center"/>
            <w:hideMark/>
          </w:tcPr>
          <w:p w14:paraId="68DFBBA6"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对有控制权但不并表的金融机构的其他一级资本投资</w:t>
            </w:r>
          </w:p>
        </w:tc>
        <w:tc>
          <w:tcPr>
            <w:tcW w:w="966" w:type="pct"/>
            <w:tcBorders>
              <w:top w:val="nil"/>
              <w:left w:val="nil"/>
              <w:bottom w:val="single" w:sz="4" w:space="0" w:color="auto"/>
              <w:right w:val="single" w:sz="4" w:space="0" w:color="auto"/>
            </w:tcBorders>
            <w:shd w:val="clear" w:color="auto" w:fill="auto"/>
            <w:vAlign w:val="bottom"/>
          </w:tcPr>
          <w:p w14:paraId="6A2EBAAD"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864E05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F4F7657"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41b</w:t>
            </w:r>
          </w:p>
        </w:tc>
        <w:tc>
          <w:tcPr>
            <w:tcW w:w="3714" w:type="pct"/>
            <w:tcBorders>
              <w:top w:val="nil"/>
              <w:left w:val="nil"/>
              <w:bottom w:val="single" w:sz="4" w:space="0" w:color="auto"/>
              <w:right w:val="single" w:sz="4" w:space="0" w:color="auto"/>
            </w:tcBorders>
            <w:shd w:val="clear" w:color="auto" w:fill="auto"/>
            <w:vAlign w:val="center"/>
            <w:hideMark/>
          </w:tcPr>
          <w:p w14:paraId="067BC0C6"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对有控制权但不并表的金融机构的其他一级资本缺口</w:t>
            </w:r>
          </w:p>
        </w:tc>
        <w:tc>
          <w:tcPr>
            <w:tcW w:w="966" w:type="pct"/>
            <w:tcBorders>
              <w:top w:val="nil"/>
              <w:left w:val="nil"/>
              <w:bottom w:val="single" w:sz="4" w:space="0" w:color="auto"/>
              <w:right w:val="single" w:sz="4" w:space="0" w:color="auto"/>
            </w:tcBorders>
            <w:shd w:val="clear" w:color="auto" w:fill="auto"/>
            <w:vAlign w:val="bottom"/>
          </w:tcPr>
          <w:p w14:paraId="549F2540"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4DDB34E1"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1004100"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41c</w:t>
            </w:r>
          </w:p>
        </w:tc>
        <w:tc>
          <w:tcPr>
            <w:tcW w:w="3714" w:type="pct"/>
            <w:tcBorders>
              <w:top w:val="nil"/>
              <w:left w:val="nil"/>
              <w:bottom w:val="single" w:sz="4" w:space="0" w:color="auto"/>
              <w:right w:val="single" w:sz="4" w:space="0" w:color="auto"/>
            </w:tcBorders>
            <w:shd w:val="clear" w:color="auto" w:fill="auto"/>
            <w:vAlign w:val="center"/>
            <w:hideMark/>
          </w:tcPr>
          <w:p w14:paraId="11CA8886"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其他应在其他一级资本中扣除的项目</w:t>
            </w:r>
          </w:p>
        </w:tc>
        <w:tc>
          <w:tcPr>
            <w:tcW w:w="966" w:type="pct"/>
            <w:tcBorders>
              <w:top w:val="nil"/>
              <w:left w:val="nil"/>
              <w:bottom w:val="single" w:sz="4" w:space="0" w:color="auto"/>
              <w:right w:val="single" w:sz="4" w:space="0" w:color="auto"/>
            </w:tcBorders>
            <w:shd w:val="clear" w:color="auto" w:fill="auto"/>
            <w:vAlign w:val="bottom"/>
          </w:tcPr>
          <w:p w14:paraId="21E44942"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1FE5790"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D8875A6"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42</w:t>
            </w:r>
          </w:p>
        </w:tc>
        <w:tc>
          <w:tcPr>
            <w:tcW w:w="3714" w:type="pct"/>
            <w:tcBorders>
              <w:top w:val="nil"/>
              <w:left w:val="nil"/>
              <w:bottom w:val="single" w:sz="4" w:space="0" w:color="auto"/>
              <w:right w:val="single" w:sz="4" w:space="0" w:color="auto"/>
            </w:tcBorders>
            <w:shd w:val="clear" w:color="auto" w:fill="auto"/>
            <w:vAlign w:val="center"/>
            <w:hideMark/>
          </w:tcPr>
          <w:p w14:paraId="2716604F"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应从二级资本中扣除的未扣缺口</w:t>
            </w:r>
          </w:p>
        </w:tc>
        <w:tc>
          <w:tcPr>
            <w:tcW w:w="966" w:type="pct"/>
            <w:tcBorders>
              <w:top w:val="nil"/>
              <w:left w:val="nil"/>
              <w:bottom w:val="single" w:sz="4" w:space="0" w:color="auto"/>
              <w:right w:val="single" w:sz="4" w:space="0" w:color="auto"/>
            </w:tcBorders>
            <w:shd w:val="clear" w:color="auto" w:fill="auto"/>
            <w:vAlign w:val="bottom"/>
          </w:tcPr>
          <w:p w14:paraId="20798C0B"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226D84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57219C9"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43</w:t>
            </w:r>
          </w:p>
        </w:tc>
        <w:tc>
          <w:tcPr>
            <w:tcW w:w="3714" w:type="pct"/>
            <w:tcBorders>
              <w:top w:val="nil"/>
              <w:left w:val="nil"/>
              <w:bottom w:val="single" w:sz="4" w:space="0" w:color="auto"/>
              <w:right w:val="single" w:sz="4" w:space="0" w:color="auto"/>
            </w:tcBorders>
            <w:shd w:val="clear" w:color="auto" w:fill="auto"/>
            <w:vAlign w:val="center"/>
            <w:hideMark/>
          </w:tcPr>
          <w:p w14:paraId="45541234"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其他一级资本监管调整总和</w:t>
            </w:r>
          </w:p>
        </w:tc>
        <w:tc>
          <w:tcPr>
            <w:tcW w:w="966" w:type="pct"/>
            <w:tcBorders>
              <w:top w:val="nil"/>
              <w:left w:val="nil"/>
              <w:bottom w:val="single" w:sz="4" w:space="0" w:color="auto"/>
              <w:right w:val="single" w:sz="4" w:space="0" w:color="auto"/>
            </w:tcBorders>
            <w:shd w:val="clear" w:color="auto" w:fill="auto"/>
            <w:vAlign w:val="bottom"/>
          </w:tcPr>
          <w:p w14:paraId="454B3B18"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ED77F7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7438CA8"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44</w:t>
            </w:r>
          </w:p>
        </w:tc>
        <w:tc>
          <w:tcPr>
            <w:tcW w:w="3714" w:type="pct"/>
            <w:tcBorders>
              <w:top w:val="nil"/>
              <w:left w:val="nil"/>
              <w:bottom w:val="single" w:sz="4" w:space="0" w:color="auto"/>
              <w:right w:val="single" w:sz="4" w:space="0" w:color="auto"/>
            </w:tcBorders>
            <w:shd w:val="clear" w:color="auto" w:fill="auto"/>
            <w:vAlign w:val="center"/>
            <w:hideMark/>
          </w:tcPr>
          <w:p w14:paraId="5577EEDC"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vAlign w:val="bottom"/>
          </w:tcPr>
          <w:p w14:paraId="751341FD" w14:textId="4A60095A" w:rsidR="00CE7787" w:rsidRPr="003752FB" w:rsidRDefault="001A2FCF"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13,776.14</w:t>
            </w:r>
          </w:p>
        </w:tc>
      </w:tr>
      <w:tr w:rsidR="00CE7787" w:rsidRPr="003752FB" w14:paraId="5D4332D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C42027A"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45</w:t>
            </w:r>
          </w:p>
        </w:tc>
        <w:tc>
          <w:tcPr>
            <w:tcW w:w="3714" w:type="pct"/>
            <w:tcBorders>
              <w:top w:val="nil"/>
              <w:left w:val="nil"/>
              <w:bottom w:val="single" w:sz="4" w:space="0" w:color="auto"/>
              <w:right w:val="single" w:sz="4" w:space="0" w:color="auto"/>
            </w:tcBorders>
            <w:shd w:val="clear" w:color="auto" w:fill="auto"/>
            <w:vAlign w:val="center"/>
            <w:hideMark/>
          </w:tcPr>
          <w:p w14:paraId="7B65BABD"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一级资本（核心一级资本</w:t>
            </w:r>
            <w:r w:rsidRPr="003752FB">
              <w:rPr>
                <w:rFonts w:ascii="Times New Roman" w:eastAsia="宋体" w:hAnsi="Times New Roman" w:cs="Times New Roman"/>
                <w:color w:val="000000"/>
                <w:kern w:val="0"/>
                <w:sz w:val="22"/>
              </w:rPr>
              <w:t>+</w:t>
            </w:r>
            <w:r w:rsidRPr="003752FB">
              <w:rPr>
                <w:rFonts w:ascii="Times New Roman" w:eastAsia="宋体" w:hAnsi="Times New Roman" w:cs="Times New Roman"/>
                <w:color w:val="000000"/>
                <w:kern w:val="0"/>
                <w:sz w:val="22"/>
              </w:rPr>
              <w:t>其他一级资本）</w:t>
            </w:r>
          </w:p>
        </w:tc>
        <w:tc>
          <w:tcPr>
            <w:tcW w:w="966" w:type="pct"/>
            <w:tcBorders>
              <w:top w:val="nil"/>
              <w:left w:val="nil"/>
              <w:bottom w:val="single" w:sz="4" w:space="0" w:color="auto"/>
              <w:right w:val="single" w:sz="4" w:space="0" w:color="auto"/>
            </w:tcBorders>
            <w:shd w:val="clear" w:color="auto" w:fill="auto"/>
            <w:vAlign w:val="bottom"/>
          </w:tcPr>
          <w:p w14:paraId="08B9DC40" w14:textId="1CB060C9" w:rsidR="00CE7787" w:rsidRPr="003752FB" w:rsidRDefault="001A2FCF"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3,332,419.73</w:t>
            </w:r>
          </w:p>
        </w:tc>
      </w:tr>
      <w:tr w:rsidR="00AB6D2C" w:rsidRPr="003752FB" w14:paraId="530C52C3"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601D5F7"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二级资本</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F7A5499" w14:textId="77777777" w:rsidR="00AB6D2C" w:rsidRPr="003752FB" w:rsidRDefault="00AB6D2C"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1A2FCF" w:rsidRPr="003752FB" w14:paraId="2CC8C808"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ACFF33C"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46</w:t>
            </w:r>
          </w:p>
        </w:tc>
        <w:tc>
          <w:tcPr>
            <w:tcW w:w="3714" w:type="pct"/>
            <w:tcBorders>
              <w:top w:val="nil"/>
              <w:left w:val="nil"/>
              <w:bottom w:val="single" w:sz="4" w:space="0" w:color="auto"/>
              <w:right w:val="single" w:sz="4" w:space="0" w:color="auto"/>
            </w:tcBorders>
            <w:shd w:val="clear" w:color="auto" w:fill="auto"/>
            <w:vAlign w:val="center"/>
            <w:hideMark/>
          </w:tcPr>
          <w:p w14:paraId="36B309F5"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二级资本工具及其溢价</w:t>
            </w:r>
          </w:p>
        </w:tc>
        <w:tc>
          <w:tcPr>
            <w:tcW w:w="966" w:type="pct"/>
            <w:tcBorders>
              <w:top w:val="nil"/>
              <w:left w:val="nil"/>
              <w:bottom w:val="single" w:sz="4" w:space="0" w:color="auto"/>
              <w:right w:val="single" w:sz="4" w:space="0" w:color="auto"/>
            </w:tcBorders>
            <w:shd w:val="clear" w:color="auto" w:fill="auto"/>
          </w:tcPr>
          <w:p w14:paraId="0D91C896" w14:textId="55AA8FF9"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449,955.70 </w:t>
            </w:r>
          </w:p>
        </w:tc>
      </w:tr>
      <w:tr w:rsidR="001A2FCF" w:rsidRPr="003752FB" w14:paraId="28854B89"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DAEB4D2"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47</w:t>
            </w:r>
          </w:p>
        </w:tc>
        <w:tc>
          <w:tcPr>
            <w:tcW w:w="3714" w:type="pct"/>
            <w:tcBorders>
              <w:top w:val="nil"/>
              <w:left w:val="nil"/>
              <w:bottom w:val="single" w:sz="4" w:space="0" w:color="auto"/>
              <w:right w:val="single" w:sz="4" w:space="0" w:color="auto"/>
            </w:tcBorders>
            <w:shd w:val="clear" w:color="auto" w:fill="auto"/>
            <w:vAlign w:val="center"/>
            <w:hideMark/>
          </w:tcPr>
          <w:p w14:paraId="225BB4EE"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过渡期后不可计入二级资本的部分</w:t>
            </w:r>
          </w:p>
        </w:tc>
        <w:tc>
          <w:tcPr>
            <w:tcW w:w="966" w:type="pct"/>
            <w:tcBorders>
              <w:top w:val="nil"/>
              <w:left w:val="nil"/>
              <w:bottom w:val="single" w:sz="4" w:space="0" w:color="auto"/>
              <w:right w:val="single" w:sz="4" w:space="0" w:color="auto"/>
            </w:tcBorders>
            <w:shd w:val="clear" w:color="auto" w:fill="auto"/>
          </w:tcPr>
          <w:p w14:paraId="3338E3BB" w14:textId="5154F863"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1A2FCF" w:rsidRPr="003752FB" w14:paraId="449B9EFF"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AF8F01"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48</w:t>
            </w:r>
          </w:p>
        </w:tc>
        <w:tc>
          <w:tcPr>
            <w:tcW w:w="3714" w:type="pct"/>
            <w:tcBorders>
              <w:top w:val="nil"/>
              <w:left w:val="nil"/>
              <w:bottom w:val="single" w:sz="4" w:space="0" w:color="auto"/>
              <w:right w:val="single" w:sz="4" w:space="0" w:color="auto"/>
            </w:tcBorders>
            <w:shd w:val="clear" w:color="auto" w:fill="auto"/>
            <w:vAlign w:val="center"/>
            <w:hideMark/>
          </w:tcPr>
          <w:p w14:paraId="160DD0BD"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少数股东资本可计入部分</w:t>
            </w:r>
          </w:p>
        </w:tc>
        <w:tc>
          <w:tcPr>
            <w:tcW w:w="966" w:type="pct"/>
            <w:tcBorders>
              <w:top w:val="nil"/>
              <w:left w:val="nil"/>
              <w:bottom w:val="single" w:sz="4" w:space="0" w:color="auto"/>
              <w:right w:val="single" w:sz="4" w:space="0" w:color="auto"/>
            </w:tcBorders>
            <w:shd w:val="clear" w:color="auto" w:fill="auto"/>
          </w:tcPr>
          <w:p w14:paraId="2B0D9F0E" w14:textId="31F6F97F"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27,551.89 </w:t>
            </w:r>
          </w:p>
        </w:tc>
      </w:tr>
      <w:tr w:rsidR="001A2FCF" w:rsidRPr="003752FB" w14:paraId="4984C146"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12F7E58"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49</w:t>
            </w:r>
          </w:p>
        </w:tc>
        <w:tc>
          <w:tcPr>
            <w:tcW w:w="3714" w:type="pct"/>
            <w:tcBorders>
              <w:top w:val="nil"/>
              <w:left w:val="nil"/>
              <w:bottom w:val="single" w:sz="4" w:space="0" w:color="auto"/>
              <w:right w:val="single" w:sz="4" w:space="0" w:color="auto"/>
            </w:tcBorders>
            <w:shd w:val="clear" w:color="auto" w:fill="auto"/>
            <w:vAlign w:val="center"/>
            <w:hideMark/>
          </w:tcPr>
          <w:p w14:paraId="360ECA6A"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其中：过渡期结束后不可计入的部分</w:t>
            </w:r>
          </w:p>
        </w:tc>
        <w:tc>
          <w:tcPr>
            <w:tcW w:w="966" w:type="pct"/>
            <w:tcBorders>
              <w:top w:val="nil"/>
              <w:left w:val="nil"/>
              <w:bottom w:val="single" w:sz="4" w:space="0" w:color="auto"/>
              <w:right w:val="single" w:sz="4" w:space="0" w:color="auto"/>
            </w:tcBorders>
            <w:shd w:val="clear" w:color="auto" w:fill="auto"/>
          </w:tcPr>
          <w:p w14:paraId="7078132E" w14:textId="076777F4"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1A2FCF" w:rsidRPr="003752FB" w14:paraId="4C1EC88B"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4F7741F"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50</w:t>
            </w:r>
          </w:p>
        </w:tc>
        <w:tc>
          <w:tcPr>
            <w:tcW w:w="3714" w:type="pct"/>
            <w:tcBorders>
              <w:top w:val="nil"/>
              <w:left w:val="nil"/>
              <w:bottom w:val="single" w:sz="4" w:space="0" w:color="auto"/>
              <w:right w:val="single" w:sz="4" w:space="0" w:color="auto"/>
            </w:tcBorders>
            <w:shd w:val="clear" w:color="auto" w:fill="auto"/>
            <w:vAlign w:val="center"/>
            <w:hideMark/>
          </w:tcPr>
          <w:p w14:paraId="242E8D00"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超额贷款损失准备可计入部分</w:t>
            </w:r>
          </w:p>
        </w:tc>
        <w:tc>
          <w:tcPr>
            <w:tcW w:w="966" w:type="pct"/>
            <w:tcBorders>
              <w:top w:val="nil"/>
              <w:left w:val="nil"/>
              <w:bottom w:val="single" w:sz="4" w:space="0" w:color="auto"/>
              <w:right w:val="single" w:sz="4" w:space="0" w:color="auto"/>
            </w:tcBorders>
            <w:shd w:val="clear" w:color="auto" w:fill="auto"/>
          </w:tcPr>
          <w:p w14:paraId="28E3F445" w14:textId="4AFAD2FB"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369,790.75 </w:t>
            </w:r>
          </w:p>
        </w:tc>
      </w:tr>
      <w:tr w:rsidR="001A2FCF" w:rsidRPr="003752FB" w14:paraId="387EA838"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4004F4A"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51</w:t>
            </w:r>
          </w:p>
        </w:tc>
        <w:tc>
          <w:tcPr>
            <w:tcW w:w="3714" w:type="pct"/>
            <w:tcBorders>
              <w:top w:val="nil"/>
              <w:left w:val="nil"/>
              <w:bottom w:val="single" w:sz="4" w:space="0" w:color="auto"/>
              <w:right w:val="single" w:sz="4" w:space="0" w:color="auto"/>
            </w:tcBorders>
            <w:shd w:val="clear" w:color="auto" w:fill="auto"/>
            <w:vAlign w:val="center"/>
            <w:hideMark/>
          </w:tcPr>
          <w:p w14:paraId="2AEEBF13"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监管调整前的二级资本</w:t>
            </w:r>
          </w:p>
        </w:tc>
        <w:tc>
          <w:tcPr>
            <w:tcW w:w="966" w:type="pct"/>
            <w:tcBorders>
              <w:top w:val="nil"/>
              <w:left w:val="nil"/>
              <w:bottom w:val="single" w:sz="4" w:space="0" w:color="auto"/>
              <w:right w:val="single" w:sz="4" w:space="0" w:color="auto"/>
            </w:tcBorders>
            <w:shd w:val="clear" w:color="auto" w:fill="auto"/>
          </w:tcPr>
          <w:p w14:paraId="2424F2AD" w14:textId="338D1A49"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847,298.34 </w:t>
            </w:r>
          </w:p>
        </w:tc>
      </w:tr>
      <w:tr w:rsidR="00AB6D2C" w:rsidRPr="003752FB" w14:paraId="5710C820"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6E085038"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二级资本：监管调整</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4FFA796A" w14:textId="77777777" w:rsidR="00AB6D2C" w:rsidRPr="003752FB" w:rsidRDefault="00AB6D2C" w:rsidP="00AB6D2C">
            <w:pPr>
              <w:widowControl/>
              <w:jc w:val="right"/>
              <w:rPr>
                <w:rFonts w:ascii="Times New Roman" w:eastAsia="宋体" w:hAnsi="Times New Roman" w:cs="Times New Roman"/>
                <w:color w:val="000000"/>
                <w:kern w:val="0"/>
                <w:sz w:val="22"/>
              </w:rPr>
            </w:pPr>
          </w:p>
        </w:tc>
      </w:tr>
      <w:tr w:rsidR="00CE7787" w:rsidRPr="003752FB" w14:paraId="7AEFA788"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39DA4DB1"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52</w:t>
            </w:r>
          </w:p>
        </w:tc>
        <w:tc>
          <w:tcPr>
            <w:tcW w:w="3714" w:type="pct"/>
            <w:tcBorders>
              <w:top w:val="nil"/>
              <w:left w:val="nil"/>
              <w:bottom w:val="single" w:sz="4" w:space="0" w:color="auto"/>
              <w:right w:val="single" w:sz="4" w:space="0" w:color="auto"/>
            </w:tcBorders>
            <w:shd w:val="clear" w:color="auto" w:fill="auto"/>
            <w:vAlign w:val="center"/>
            <w:hideMark/>
          </w:tcPr>
          <w:p w14:paraId="06E33F85"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直接或间接持有的本银行的二级资本</w:t>
            </w:r>
          </w:p>
        </w:tc>
        <w:tc>
          <w:tcPr>
            <w:tcW w:w="966" w:type="pct"/>
            <w:tcBorders>
              <w:top w:val="nil"/>
              <w:left w:val="nil"/>
              <w:bottom w:val="single" w:sz="4" w:space="0" w:color="auto"/>
              <w:right w:val="single" w:sz="4" w:space="0" w:color="auto"/>
            </w:tcBorders>
            <w:shd w:val="clear" w:color="auto" w:fill="auto"/>
            <w:vAlign w:val="bottom"/>
          </w:tcPr>
          <w:p w14:paraId="570877FA" w14:textId="77777777" w:rsidR="00CE7787" w:rsidRPr="003752FB" w:rsidRDefault="00CE7787" w:rsidP="00CE7787">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EFC1BD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6FAF3F5"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53</w:t>
            </w:r>
          </w:p>
        </w:tc>
        <w:tc>
          <w:tcPr>
            <w:tcW w:w="3714" w:type="pct"/>
            <w:tcBorders>
              <w:top w:val="nil"/>
              <w:left w:val="nil"/>
              <w:bottom w:val="single" w:sz="4" w:space="0" w:color="auto"/>
              <w:right w:val="single" w:sz="4" w:space="0" w:color="auto"/>
            </w:tcBorders>
            <w:shd w:val="clear" w:color="auto" w:fill="auto"/>
            <w:vAlign w:val="center"/>
            <w:hideMark/>
          </w:tcPr>
          <w:p w14:paraId="746DD90A"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银行间或银行与其他金融机构间通过协议相互持有的二级资本</w:t>
            </w:r>
          </w:p>
        </w:tc>
        <w:tc>
          <w:tcPr>
            <w:tcW w:w="966" w:type="pct"/>
            <w:tcBorders>
              <w:top w:val="nil"/>
              <w:left w:val="nil"/>
              <w:bottom w:val="single" w:sz="4" w:space="0" w:color="auto"/>
              <w:right w:val="single" w:sz="4" w:space="0" w:color="auto"/>
            </w:tcBorders>
            <w:shd w:val="clear" w:color="auto" w:fill="auto"/>
            <w:vAlign w:val="bottom"/>
          </w:tcPr>
          <w:p w14:paraId="352C4913"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283F215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8C5F5CE"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lastRenderedPageBreak/>
              <w:t>54</w:t>
            </w:r>
          </w:p>
        </w:tc>
        <w:tc>
          <w:tcPr>
            <w:tcW w:w="3714" w:type="pct"/>
            <w:tcBorders>
              <w:top w:val="nil"/>
              <w:left w:val="nil"/>
              <w:bottom w:val="single" w:sz="4" w:space="0" w:color="auto"/>
              <w:right w:val="single" w:sz="4" w:space="0" w:color="auto"/>
            </w:tcBorders>
            <w:shd w:val="clear" w:color="auto" w:fill="auto"/>
            <w:vAlign w:val="center"/>
            <w:hideMark/>
          </w:tcPr>
          <w:p w14:paraId="4D73B7E0"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机构小额少数资本投资中的二级资本应扣除部分</w:t>
            </w:r>
          </w:p>
        </w:tc>
        <w:tc>
          <w:tcPr>
            <w:tcW w:w="966" w:type="pct"/>
            <w:tcBorders>
              <w:top w:val="nil"/>
              <w:left w:val="nil"/>
              <w:bottom w:val="single" w:sz="4" w:space="0" w:color="auto"/>
              <w:right w:val="single" w:sz="4" w:space="0" w:color="auto"/>
            </w:tcBorders>
            <w:shd w:val="clear" w:color="auto" w:fill="auto"/>
            <w:vAlign w:val="bottom"/>
          </w:tcPr>
          <w:p w14:paraId="6B61F69F"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0F3806A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8EE7F31"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55</w:t>
            </w:r>
          </w:p>
        </w:tc>
        <w:tc>
          <w:tcPr>
            <w:tcW w:w="3714" w:type="pct"/>
            <w:tcBorders>
              <w:top w:val="nil"/>
              <w:left w:val="nil"/>
              <w:bottom w:val="single" w:sz="4" w:space="0" w:color="auto"/>
              <w:right w:val="single" w:sz="4" w:space="0" w:color="auto"/>
            </w:tcBorders>
            <w:shd w:val="clear" w:color="auto" w:fill="auto"/>
            <w:vAlign w:val="center"/>
            <w:hideMark/>
          </w:tcPr>
          <w:p w14:paraId="10922EF4"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机构大额少数资本投资中的二级资本</w:t>
            </w:r>
          </w:p>
        </w:tc>
        <w:tc>
          <w:tcPr>
            <w:tcW w:w="966" w:type="pct"/>
            <w:tcBorders>
              <w:top w:val="nil"/>
              <w:left w:val="nil"/>
              <w:bottom w:val="single" w:sz="4" w:space="0" w:color="auto"/>
              <w:right w:val="single" w:sz="4" w:space="0" w:color="auto"/>
            </w:tcBorders>
            <w:shd w:val="clear" w:color="auto" w:fill="auto"/>
            <w:vAlign w:val="bottom"/>
          </w:tcPr>
          <w:p w14:paraId="53200A4D"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0250FE93"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3636CCF"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56a</w:t>
            </w:r>
          </w:p>
        </w:tc>
        <w:tc>
          <w:tcPr>
            <w:tcW w:w="3714" w:type="pct"/>
            <w:tcBorders>
              <w:top w:val="nil"/>
              <w:left w:val="nil"/>
              <w:bottom w:val="single" w:sz="4" w:space="0" w:color="auto"/>
              <w:right w:val="single" w:sz="4" w:space="0" w:color="auto"/>
            </w:tcBorders>
            <w:shd w:val="clear" w:color="auto" w:fill="auto"/>
            <w:vAlign w:val="center"/>
            <w:hideMark/>
          </w:tcPr>
          <w:p w14:paraId="485239FC"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对有控制权但不并表的金融机构的二级资本投资</w:t>
            </w:r>
          </w:p>
        </w:tc>
        <w:tc>
          <w:tcPr>
            <w:tcW w:w="966" w:type="pct"/>
            <w:tcBorders>
              <w:top w:val="nil"/>
              <w:left w:val="nil"/>
              <w:bottom w:val="single" w:sz="4" w:space="0" w:color="auto"/>
              <w:right w:val="single" w:sz="4" w:space="0" w:color="auto"/>
            </w:tcBorders>
            <w:shd w:val="clear" w:color="auto" w:fill="auto"/>
            <w:vAlign w:val="bottom"/>
          </w:tcPr>
          <w:p w14:paraId="15874AE5"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09F1242F"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842F689"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56b</w:t>
            </w:r>
          </w:p>
        </w:tc>
        <w:tc>
          <w:tcPr>
            <w:tcW w:w="3714" w:type="pct"/>
            <w:tcBorders>
              <w:top w:val="nil"/>
              <w:left w:val="nil"/>
              <w:bottom w:val="single" w:sz="4" w:space="0" w:color="auto"/>
              <w:right w:val="single" w:sz="4" w:space="0" w:color="auto"/>
            </w:tcBorders>
            <w:shd w:val="clear" w:color="auto" w:fill="auto"/>
            <w:vAlign w:val="center"/>
            <w:hideMark/>
          </w:tcPr>
          <w:p w14:paraId="3BF8DB43"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有控制权但不并表的金融机构的二级资本缺口</w:t>
            </w:r>
          </w:p>
        </w:tc>
        <w:tc>
          <w:tcPr>
            <w:tcW w:w="966" w:type="pct"/>
            <w:tcBorders>
              <w:top w:val="nil"/>
              <w:left w:val="nil"/>
              <w:bottom w:val="single" w:sz="4" w:space="0" w:color="auto"/>
              <w:right w:val="single" w:sz="4" w:space="0" w:color="auto"/>
            </w:tcBorders>
            <w:shd w:val="clear" w:color="auto" w:fill="auto"/>
            <w:vAlign w:val="bottom"/>
          </w:tcPr>
          <w:p w14:paraId="55005CB3"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02CA0DAA"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305DACC"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56c</w:t>
            </w:r>
          </w:p>
        </w:tc>
        <w:tc>
          <w:tcPr>
            <w:tcW w:w="3714" w:type="pct"/>
            <w:tcBorders>
              <w:top w:val="nil"/>
              <w:left w:val="nil"/>
              <w:bottom w:val="single" w:sz="4" w:space="0" w:color="auto"/>
              <w:right w:val="single" w:sz="4" w:space="0" w:color="auto"/>
            </w:tcBorders>
            <w:shd w:val="clear" w:color="auto" w:fill="auto"/>
            <w:vAlign w:val="center"/>
            <w:hideMark/>
          </w:tcPr>
          <w:p w14:paraId="12A76EAC"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其他应在二级资本中扣除的项目</w:t>
            </w:r>
          </w:p>
        </w:tc>
        <w:tc>
          <w:tcPr>
            <w:tcW w:w="966" w:type="pct"/>
            <w:tcBorders>
              <w:top w:val="nil"/>
              <w:left w:val="nil"/>
              <w:bottom w:val="single" w:sz="4" w:space="0" w:color="auto"/>
              <w:right w:val="single" w:sz="4" w:space="0" w:color="auto"/>
            </w:tcBorders>
            <w:shd w:val="clear" w:color="auto" w:fill="auto"/>
            <w:vAlign w:val="bottom"/>
          </w:tcPr>
          <w:p w14:paraId="3C4D768F"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CE7787" w:rsidRPr="003752FB" w14:paraId="77F5021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C7AF1B3"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57</w:t>
            </w:r>
          </w:p>
        </w:tc>
        <w:tc>
          <w:tcPr>
            <w:tcW w:w="3714" w:type="pct"/>
            <w:tcBorders>
              <w:top w:val="nil"/>
              <w:left w:val="nil"/>
              <w:bottom w:val="single" w:sz="4" w:space="0" w:color="auto"/>
              <w:right w:val="single" w:sz="4" w:space="0" w:color="auto"/>
            </w:tcBorders>
            <w:shd w:val="clear" w:color="auto" w:fill="auto"/>
            <w:vAlign w:val="center"/>
            <w:hideMark/>
          </w:tcPr>
          <w:p w14:paraId="339729AF"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二级资本监管调整总和</w:t>
            </w:r>
          </w:p>
        </w:tc>
        <w:tc>
          <w:tcPr>
            <w:tcW w:w="966" w:type="pct"/>
            <w:tcBorders>
              <w:top w:val="nil"/>
              <w:left w:val="nil"/>
              <w:bottom w:val="single" w:sz="4" w:space="0" w:color="auto"/>
              <w:right w:val="single" w:sz="4" w:space="0" w:color="auto"/>
            </w:tcBorders>
            <w:shd w:val="clear" w:color="auto" w:fill="auto"/>
            <w:vAlign w:val="bottom"/>
          </w:tcPr>
          <w:p w14:paraId="4926FE42"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 xml:space="preserve">- </w:t>
            </w:r>
          </w:p>
        </w:tc>
      </w:tr>
      <w:tr w:rsidR="001A2FCF" w:rsidRPr="003752FB" w14:paraId="745893E1"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D5E1D93"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58</w:t>
            </w:r>
          </w:p>
        </w:tc>
        <w:tc>
          <w:tcPr>
            <w:tcW w:w="3714" w:type="pct"/>
            <w:tcBorders>
              <w:top w:val="nil"/>
              <w:left w:val="nil"/>
              <w:bottom w:val="single" w:sz="4" w:space="0" w:color="auto"/>
              <w:right w:val="single" w:sz="4" w:space="0" w:color="auto"/>
            </w:tcBorders>
            <w:shd w:val="clear" w:color="auto" w:fill="auto"/>
            <w:vAlign w:val="center"/>
            <w:hideMark/>
          </w:tcPr>
          <w:p w14:paraId="6EA1558F"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tcPr>
          <w:p w14:paraId="3E5C41E4" w14:textId="1642BC08"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847,298.34 </w:t>
            </w:r>
          </w:p>
        </w:tc>
      </w:tr>
      <w:tr w:rsidR="001A2FCF" w:rsidRPr="003752FB" w14:paraId="718E2030"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52E0698"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59</w:t>
            </w:r>
          </w:p>
        </w:tc>
        <w:tc>
          <w:tcPr>
            <w:tcW w:w="3714" w:type="pct"/>
            <w:tcBorders>
              <w:top w:val="nil"/>
              <w:left w:val="nil"/>
              <w:bottom w:val="single" w:sz="4" w:space="0" w:color="auto"/>
              <w:right w:val="single" w:sz="4" w:space="0" w:color="auto"/>
            </w:tcBorders>
            <w:shd w:val="clear" w:color="auto" w:fill="auto"/>
            <w:vAlign w:val="center"/>
            <w:hideMark/>
          </w:tcPr>
          <w:p w14:paraId="51BF9F67"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总资本（一级资本</w:t>
            </w:r>
            <w:r w:rsidRPr="003752FB">
              <w:rPr>
                <w:rFonts w:ascii="Times New Roman" w:eastAsia="宋体" w:hAnsi="Times New Roman" w:cs="Times New Roman"/>
                <w:color w:val="000000"/>
                <w:kern w:val="0"/>
                <w:sz w:val="22"/>
              </w:rPr>
              <w:t>+</w:t>
            </w:r>
            <w:r w:rsidRPr="003752FB">
              <w:rPr>
                <w:rFonts w:ascii="Times New Roman" w:eastAsia="宋体" w:hAnsi="Times New Roman" w:cs="Times New Roman"/>
                <w:color w:val="000000"/>
                <w:kern w:val="0"/>
                <w:sz w:val="22"/>
              </w:rPr>
              <w:t>二级资本）</w:t>
            </w:r>
          </w:p>
        </w:tc>
        <w:tc>
          <w:tcPr>
            <w:tcW w:w="966" w:type="pct"/>
            <w:tcBorders>
              <w:top w:val="nil"/>
              <w:left w:val="nil"/>
              <w:bottom w:val="single" w:sz="4" w:space="0" w:color="auto"/>
              <w:right w:val="single" w:sz="4" w:space="0" w:color="auto"/>
            </w:tcBorders>
            <w:shd w:val="clear" w:color="auto" w:fill="auto"/>
          </w:tcPr>
          <w:p w14:paraId="3F53165F" w14:textId="05ED43B4"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4,179,718.07 </w:t>
            </w:r>
          </w:p>
        </w:tc>
      </w:tr>
      <w:tr w:rsidR="001A2FCF" w:rsidRPr="003752FB" w14:paraId="3F0AEE59"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475BDEE"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60</w:t>
            </w:r>
          </w:p>
        </w:tc>
        <w:tc>
          <w:tcPr>
            <w:tcW w:w="3714" w:type="pct"/>
            <w:tcBorders>
              <w:top w:val="nil"/>
              <w:left w:val="nil"/>
              <w:bottom w:val="single" w:sz="4" w:space="0" w:color="auto"/>
              <w:right w:val="single" w:sz="4" w:space="0" w:color="auto"/>
            </w:tcBorders>
            <w:shd w:val="clear" w:color="auto" w:fill="auto"/>
            <w:vAlign w:val="center"/>
            <w:hideMark/>
          </w:tcPr>
          <w:p w14:paraId="64045443"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总风险加权资产</w:t>
            </w:r>
          </w:p>
        </w:tc>
        <w:tc>
          <w:tcPr>
            <w:tcW w:w="966" w:type="pct"/>
            <w:tcBorders>
              <w:top w:val="nil"/>
              <w:left w:val="nil"/>
              <w:bottom w:val="single" w:sz="4" w:space="0" w:color="auto"/>
              <w:right w:val="single" w:sz="4" w:space="0" w:color="auto"/>
            </w:tcBorders>
            <w:shd w:val="clear" w:color="auto" w:fill="auto"/>
          </w:tcPr>
          <w:p w14:paraId="15217179" w14:textId="2B8CA590"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32,005,120.03 </w:t>
            </w:r>
          </w:p>
        </w:tc>
      </w:tr>
      <w:tr w:rsidR="00AB6D2C" w:rsidRPr="003752FB" w14:paraId="742D3001"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166996F"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资本充足率和储备资本要求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78190DA3" w14:textId="77777777" w:rsidR="00AB6D2C" w:rsidRPr="003752FB" w:rsidRDefault="00AB6D2C" w:rsidP="00AB6D2C">
            <w:pPr>
              <w:widowControl/>
              <w:jc w:val="right"/>
              <w:rPr>
                <w:rFonts w:ascii="Times New Roman" w:eastAsia="宋体" w:hAnsi="Times New Roman" w:cs="Times New Roman"/>
                <w:color w:val="000000"/>
                <w:kern w:val="0"/>
                <w:sz w:val="22"/>
              </w:rPr>
            </w:pPr>
          </w:p>
        </w:tc>
      </w:tr>
      <w:tr w:rsidR="001A2FCF" w:rsidRPr="003752FB" w14:paraId="70842260"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4979811"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61</w:t>
            </w:r>
          </w:p>
        </w:tc>
        <w:tc>
          <w:tcPr>
            <w:tcW w:w="3714" w:type="pct"/>
            <w:tcBorders>
              <w:top w:val="nil"/>
              <w:left w:val="nil"/>
              <w:bottom w:val="single" w:sz="4" w:space="0" w:color="auto"/>
              <w:right w:val="single" w:sz="4" w:space="0" w:color="auto"/>
            </w:tcBorders>
            <w:shd w:val="clear" w:color="auto" w:fill="auto"/>
            <w:vAlign w:val="center"/>
            <w:hideMark/>
          </w:tcPr>
          <w:p w14:paraId="46B187D6"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tcPr>
          <w:p w14:paraId="23B4F768" w14:textId="13366441"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10.37%</w:t>
            </w:r>
          </w:p>
        </w:tc>
      </w:tr>
      <w:tr w:rsidR="001A2FCF" w:rsidRPr="003752FB" w14:paraId="5BA488EA"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827B5AA"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62</w:t>
            </w:r>
          </w:p>
        </w:tc>
        <w:tc>
          <w:tcPr>
            <w:tcW w:w="3714" w:type="pct"/>
            <w:tcBorders>
              <w:top w:val="nil"/>
              <w:left w:val="nil"/>
              <w:bottom w:val="single" w:sz="4" w:space="0" w:color="auto"/>
              <w:right w:val="single" w:sz="4" w:space="0" w:color="auto"/>
            </w:tcBorders>
            <w:shd w:val="clear" w:color="auto" w:fill="auto"/>
            <w:vAlign w:val="center"/>
            <w:hideMark/>
          </w:tcPr>
          <w:p w14:paraId="4670E6BE"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tcPr>
          <w:p w14:paraId="7450D266" w14:textId="2220E289"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10.41%</w:t>
            </w:r>
          </w:p>
        </w:tc>
      </w:tr>
      <w:tr w:rsidR="001A2FCF" w:rsidRPr="003752FB" w14:paraId="52C84CDD"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2256E92"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63</w:t>
            </w:r>
          </w:p>
        </w:tc>
        <w:tc>
          <w:tcPr>
            <w:tcW w:w="3714" w:type="pct"/>
            <w:tcBorders>
              <w:top w:val="nil"/>
              <w:left w:val="nil"/>
              <w:bottom w:val="single" w:sz="4" w:space="0" w:color="auto"/>
              <w:right w:val="single" w:sz="4" w:space="0" w:color="auto"/>
            </w:tcBorders>
            <w:shd w:val="clear" w:color="auto" w:fill="auto"/>
            <w:vAlign w:val="center"/>
            <w:hideMark/>
          </w:tcPr>
          <w:p w14:paraId="010FB0A8"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tcPr>
          <w:p w14:paraId="51F8D9CC" w14:textId="1930DA0C"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13.06%</w:t>
            </w:r>
          </w:p>
        </w:tc>
      </w:tr>
      <w:tr w:rsidR="00CE7787" w:rsidRPr="003752FB" w14:paraId="3E54CCC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93992D9"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64</w:t>
            </w:r>
          </w:p>
        </w:tc>
        <w:tc>
          <w:tcPr>
            <w:tcW w:w="3714" w:type="pct"/>
            <w:tcBorders>
              <w:top w:val="nil"/>
              <w:left w:val="nil"/>
              <w:bottom w:val="single" w:sz="4" w:space="0" w:color="auto"/>
              <w:right w:val="single" w:sz="4" w:space="0" w:color="auto"/>
            </w:tcBorders>
            <w:shd w:val="clear" w:color="auto" w:fill="auto"/>
            <w:vAlign w:val="center"/>
            <w:hideMark/>
          </w:tcPr>
          <w:p w14:paraId="60C3837E"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机构特定的资本要求</w:t>
            </w:r>
          </w:p>
        </w:tc>
        <w:tc>
          <w:tcPr>
            <w:tcW w:w="966" w:type="pct"/>
            <w:tcBorders>
              <w:top w:val="nil"/>
              <w:left w:val="nil"/>
              <w:bottom w:val="single" w:sz="4" w:space="0" w:color="auto"/>
              <w:right w:val="single" w:sz="4" w:space="0" w:color="auto"/>
            </w:tcBorders>
            <w:shd w:val="clear" w:color="auto" w:fill="auto"/>
            <w:vAlign w:val="bottom"/>
          </w:tcPr>
          <w:p w14:paraId="479871DB"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2.50%</w:t>
            </w:r>
          </w:p>
        </w:tc>
      </w:tr>
      <w:tr w:rsidR="00CE7787" w:rsidRPr="003752FB" w14:paraId="7454B85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640CF8D"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65</w:t>
            </w:r>
          </w:p>
        </w:tc>
        <w:tc>
          <w:tcPr>
            <w:tcW w:w="3714" w:type="pct"/>
            <w:tcBorders>
              <w:top w:val="nil"/>
              <w:left w:val="nil"/>
              <w:bottom w:val="single" w:sz="4" w:space="0" w:color="auto"/>
              <w:right w:val="single" w:sz="4" w:space="0" w:color="auto"/>
            </w:tcBorders>
            <w:shd w:val="clear" w:color="auto" w:fill="auto"/>
            <w:vAlign w:val="center"/>
            <w:hideMark/>
          </w:tcPr>
          <w:p w14:paraId="0F672539"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其中：储备资本要求</w:t>
            </w:r>
          </w:p>
        </w:tc>
        <w:tc>
          <w:tcPr>
            <w:tcW w:w="966" w:type="pct"/>
            <w:tcBorders>
              <w:top w:val="nil"/>
              <w:left w:val="nil"/>
              <w:bottom w:val="single" w:sz="4" w:space="0" w:color="auto"/>
              <w:right w:val="single" w:sz="4" w:space="0" w:color="auto"/>
            </w:tcBorders>
            <w:shd w:val="clear" w:color="auto" w:fill="auto"/>
            <w:vAlign w:val="bottom"/>
          </w:tcPr>
          <w:p w14:paraId="030BBCC0"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2.50%</w:t>
            </w:r>
          </w:p>
        </w:tc>
      </w:tr>
      <w:tr w:rsidR="00CE7787" w:rsidRPr="003752FB" w14:paraId="21CD3BD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7130A9FC"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66</w:t>
            </w:r>
          </w:p>
        </w:tc>
        <w:tc>
          <w:tcPr>
            <w:tcW w:w="3714" w:type="pct"/>
            <w:tcBorders>
              <w:top w:val="nil"/>
              <w:left w:val="nil"/>
              <w:bottom w:val="single" w:sz="4" w:space="0" w:color="auto"/>
              <w:right w:val="single" w:sz="4" w:space="0" w:color="auto"/>
            </w:tcBorders>
            <w:shd w:val="clear" w:color="auto" w:fill="auto"/>
            <w:vAlign w:val="center"/>
            <w:hideMark/>
          </w:tcPr>
          <w:p w14:paraId="72F62B4B"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其中：逆周期资本要求</w:t>
            </w:r>
          </w:p>
        </w:tc>
        <w:tc>
          <w:tcPr>
            <w:tcW w:w="966" w:type="pct"/>
            <w:tcBorders>
              <w:top w:val="nil"/>
              <w:left w:val="nil"/>
              <w:bottom w:val="single" w:sz="4" w:space="0" w:color="auto"/>
              <w:right w:val="single" w:sz="4" w:space="0" w:color="auto"/>
            </w:tcBorders>
            <w:shd w:val="clear" w:color="auto" w:fill="auto"/>
            <w:vAlign w:val="bottom"/>
          </w:tcPr>
          <w:p w14:paraId="68E7DB19"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CE7787" w:rsidRPr="003752FB" w14:paraId="3A81A28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97DF801"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67</w:t>
            </w:r>
          </w:p>
        </w:tc>
        <w:tc>
          <w:tcPr>
            <w:tcW w:w="3714" w:type="pct"/>
            <w:tcBorders>
              <w:top w:val="nil"/>
              <w:left w:val="nil"/>
              <w:bottom w:val="single" w:sz="4" w:space="0" w:color="auto"/>
              <w:right w:val="single" w:sz="4" w:space="0" w:color="auto"/>
            </w:tcBorders>
            <w:shd w:val="clear" w:color="auto" w:fill="auto"/>
            <w:vAlign w:val="center"/>
            <w:hideMark/>
          </w:tcPr>
          <w:p w14:paraId="50A02816"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其中：全球系统重要性银行附加资本要求</w:t>
            </w:r>
          </w:p>
        </w:tc>
        <w:tc>
          <w:tcPr>
            <w:tcW w:w="966" w:type="pct"/>
            <w:tcBorders>
              <w:top w:val="nil"/>
              <w:left w:val="nil"/>
              <w:bottom w:val="single" w:sz="4" w:space="0" w:color="auto"/>
              <w:right w:val="single" w:sz="4" w:space="0" w:color="auto"/>
            </w:tcBorders>
            <w:shd w:val="clear" w:color="auto" w:fill="auto"/>
            <w:vAlign w:val="bottom"/>
          </w:tcPr>
          <w:p w14:paraId="2B2EB926"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CE7787" w:rsidRPr="003752FB" w14:paraId="0F52C612"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A44BF9B"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68</w:t>
            </w:r>
          </w:p>
        </w:tc>
        <w:tc>
          <w:tcPr>
            <w:tcW w:w="3714" w:type="pct"/>
            <w:tcBorders>
              <w:top w:val="nil"/>
              <w:left w:val="nil"/>
              <w:bottom w:val="single" w:sz="4" w:space="0" w:color="auto"/>
              <w:right w:val="single" w:sz="4" w:space="0" w:color="auto"/>
            </w:tcBorders>
            <w:shd w:val="clear" w:color="auto" w:fill="auto"/>
            <w:vAlign w:val="center"/>
            <w:hideMark/>
          </w:tcPr>
          <w:p w14:paraId="5A775760"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满足缓冲区的核心一级资本</w:t>
            </w:r>
            <w:proofErr w:type="gramStart"/>
            <w:r w:rsidRPr="003752FB">
              <w:rPr>
                <w:rFonts w:ascii="Times New Roman" w:eastAsia="宋体" w:hAnsi="Times New Roman" w:cs="Times New Roman"/>
                <w:color w:val="000000"/>
                <w:kern w:val="0"/>
                <w:sz w:val="22"/>
              </w:rPr>
              <w:t>占风险</w:t>
            </w:r>
            <w:proofErr w:type="gramEnd"/>
            <w:r w:rsidRPr="003752FB">
              <w:rPr>
                <w:rFonts w:ascii="Times New Roman" w:eastAsia="宋体" w:hAnsi="Times New Roman" w:cs="Times New Roman"/>
                <w:color w:val="000000"/>
                <w:kern w:val="0"/>
                <w:sz w:val="22"/>
              </w:rPr>
              <w:t>加权资产的比例</w:t>
            </w:r>
          </w:p>
        </w:tc>
        <w:tc>
          <w:tcPr>
            <w:tcW w:w="966" w:type="pct"/>
            <w:tcBorders>
              <w:top w:val="nil"/>
              <w:left w:val="nil"/>
              <w:bottom w:val="single" w:sz="4" w:space="0" w:color="auto"/>
              <w:right w:val="single" w:sz="4" w:space="0" w:color="auto"/>
            </w:tcBorders>
            <w:shd w:val="clear" w:color="auto" w:fill="auto"/>
            <w:vAlign w:val="bottom"/>
          </w:tcPr>
          <w:p w14:paraId="2F5FF550"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11EA5AEE" w14:textId="77777777" w:rsidTr="005C08F1">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585695E"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国内最低监管资本要求</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A282A45" w14:textId="77777777" w:rsidR="00AB6D2C" w:rsidRPr="003752FB" w:rsidRDefault="00AB6D2C"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CE7787" w:rsidRPr="003752FB" w14:paraId="5CEA400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6AF2956"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69</w:t>
            </w:r>
          </w:p>
        </w:tc>
        <w:tc>
          <w:tcPr>
            <w:tcW w:w="3714" w:type="pct"/>
            <w:tcBorders>
              <w:top w:val="nil"/>
              <w:left w:val="nil"/>
              <w:bottom w:val="single" w:sz="4" w:space="0" w:color="auto"/>
              <w:right w:val="single" w:sz="4" w:space="0" w:color="auto"/>
            </w:tcBorders>
            <w:shd w:val="clear" w:color="auto" w:fill="auto"/>
            <w:vAlign w:val="center"/>
            <w:hideMark/>
          </w:tcPr>
          <w:p w14:paraId="68D1B004"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核心一级资本充足率</w:t>
            </w:r>
          </w:p>
        </w:tc>
        <w:tc>
          <w:tcPr>
            <w:tcW w:w="966" w:type="pct"/>
            <w:tcBorders>
              <w:top w:val="nil"/>
              <w:left w:val="nil"/>
              <w:bottom w:val="single" w:sz="4" w:space="0" w:color="auto"/>
              <w:right w:val="single" w:sz="4" w:space="0" w:color="auto"/>
            </w:tcBorders>
            <w:shd w:val="clear" w:color="auto" w:fill="auto"/>
            <w:vAlign w:val="bottom"/>
          </w:tcPr>
          <w:p w14:paraId="4F5A793F" w14:textId="77777777" w:rsidR="00CE7787" w:rsidRPr="003752FB" w:rsidRDefault="00CE7787" w:rsidP="00CE7787">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5.00%</w:t>
            </w:r>
          </w:p>
        </w:tc>
      </w:tr>
      <w:tr w:rsidR="00CE7787" w:rsidRPr="003752FB" w14:paraId="19F98907"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1A713BA"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70</w:t>
            </w:r>
          </w:p>
        </w:tc>
        <w:tc>
          <w:tcPr>
            <w:tcW w:w="3714" w:type="pct"/>
            <w:tcBorders>
              <w:top w:val="nil"/>
              <w:left w:val="nil"/>
              <w:bottom w:val="single" w:sz="4" w:space="0" w:color="auto"/>
              <w:right w:val="single" w:sz="4" w:space="0" w:color="auto"/>
            </w:tcBorders>
            <w:shd w:val="clear" w:color="auto" w:fill="auto"/>
            <w:vAlign w:val="center"/>
            <w:hideMark/>
          </w:tcPr>
          <w:p w14:paraId="21AC8F7A"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一级资本充足率</w:t>
            </w:r>
          </w:p>
        </w:tc>
        <w:tc>
          <w:tcPr>
            <w:tcW w:w="966" w:type="pct"/>
            <w:tcBorders>
              <w:top w:val="nil"/>
              <w:left w:val="nil"/>
              <w:bottom w:val="single" w:sz="4" w:space="0" w:color="auto"/>
              <w:right w:val="single" w:sz="4" w:space="0" w:color="auto"/>
            </w:tcBorders>
            <w:shd w:val="clear" w:color="auto" w:fill="auto"/>
            <w:vAlign w:val="bottom"/>
          </w:tcPr>
          <w:p w14:paraId="74090B0B"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6.00%</w:t>
            </w:r>
          </w:p>
        </w:tc>
      </w:tr>
      <w:tr w:rsidR="00CE7787" w:rsidRPr="003752FB" w14:paraId="158BAFCC"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50A97E7" w14:textId="77777777" w:rsidR="00CE7787" w:rsidRPr="003752FB" w:rsidRDefault="00CE7787"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71</w:t>
            </w:r>
          </w:p>
        </w:tc>
        <w:tc>
          <w:tcPr>
            <w:tcW w:w="3714" w:type="pct"/>
            <w:tcBorders>
              <w:top w:val="nil"/>
              <w:left w:val="nil"/>
              <w:bottom w:val="single" w:sz="4" w:space="0" w:color="auto"/>
              <w:right w:val="single" w:sz="4" w:space="0" w:color="auto"/>
            </w:tcBorders>
            <w:shd w:val="clear" w:color="auto" w:fill="auto"/>
            <w:vAlign w:val="center"/>
            <w:hideMark/>
          </w:tcPr>
          <w:p w14:paraId="527241E6" w14:textId="77777777" w:rsidR="00CE7787" w:rsidRPr="003752FB" w:rsidRDefault="00CE7787"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资本充足率</w:t>
            </w:r>
          </w:p>
        </w:tc>
        <w:tc>
          <w:tcPr>
            <w:tcW w:w="966" w:type="pct"/>
            <w:tcBorders>
              <w:top w:val="nil"/>
              <w:left w:val="nil"/>
              <w:bottom w:val="single" w:sz="4" w:space="0" w:color="auto"/>
              <w:right w:val="single" w:sz="4" w:space="0" w:color="auto"/>
            </w:tcBorders>
            <w:shd w:val="clear" w:color="auto" w:fill="auto"/>
            <w:vAlign w:val="bottom"/>
          </w:tcPr>
          <w:p w14:paraId="0456EB40" w14:textId="77777777" w:rsidR="00CE7787" w:rsidRPr="003752FB" w:rsidRDefault="00CE7787" w:rsidP="003C4A0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8.00%</w:t>
            </w:r>
          </w:p>
        </w:tc>
      </w:tr>
      <w:tr w:rsidR="00AB6D2C" w:rsidRPr="003752FB" w14:paraId="05F43CA9"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AE3EBC5"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门槛扣除项中未扣除部分</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4D8A30F" w14:textId="77777777" w:rsidR="00AB6D2C" w:rsidRPr="003752FB" w:rsidRDefault="00AB6D2C" w:rsidP="00AB6D2C">
            <w:pPr>
              <w:widowControl/>
              <w:jc w:val="right"/>
              <w:rPr>
                <w:rFonts w:ascii="Times New Roman" w:eastAsia="宋体" w:hAnsi="Times New Roman" w:cs="Times New Roman"/>
                <w:color w:val="000000"/>
                <w:kern w:val="0"/>
                <w:sz w:val="22"/>
              </w:rPr>
            </w:pPr>
          </w:p>
        </w:tc>
      </w:tr>
      <w:tr w:rsidR="001A2FCF" w:rsidRPr="003752FB" w14:paraId="1EBB3670"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5C7DA71"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72</w:t>
            </w:r>
          </w:p>
        </w:tc>
        <w:tc>
          <w:tcPr>
            <w:tcW w:w="3714" w:type="pct"/>
            <w:tcBorders>
              <w:top w:val="nil"/>
              <w:left w:val="nil"/>
              <w:bottom w:val="single" w:sz="4" w:space="0" w:color="auto"/>
              <w:right w:val="single" w:sz="4" w:space="0" w:color="auto"/>
            </w:tcBorders>
            <w:shd w:val="clear" w:color="auto" w:fill="auto"/>
            <w:vAlign w:val="center"/>
            <w:hideMark/>
          </w:tcPr>
          <w:p w14:paraId="5F13D99F"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机构的小额少数资本投资未扣除部分</w:t>
            </w:r>
          </w:p>
        </w:tc>
        <w:tc>
          <w:tcPr>
            <w:tcW w:w="966" w:type="pct"/>
            <w:tcBorders>
              <w:top w:val="nil"/>
              <w:left w:val="nil"/>
              <w:bottom w:val="single" w:sz="4" w:space="0" w:color="auto"/>
              <w:right w:val="single" w:sz="4" w:space="0" w:color="auto"/>
            </w:tcBorders>
            <w:shd w:val="clear" w:color="auto" w:fill="auto"/>
          </w:tcPr>
          <w:p w14:paraId="179087EC" w14:textId="0495DA61"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16,532.05 </w:t>
            </w:r>
          </w:p>
        </w:tc>
      </w:tr>
      <w:tr w:rsidR="001A2FCF" w:rsidRPr="003752FB" w14:paraId="41168415"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F242807"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73</w:t>
            </w:r>
          </w:p>
        </w:tc>
        <w:tc>
          <w:tcPr>
            <w:tcW w:w="3714" w:type="pct"/>
            <w:tcBorders>
              <w:top w:val="nil"/>
              <w:left w:val="nil"/>
              <w:bottom w:val="single" w:sz="4" w:space="0" w:color="auto"/>
              <w:right w:val="single" w:sz="4" w:space="0" w:color="auto"/>
            </w:tcBorders>
            <w:shd w:val="clear" w:color="auto" w:fill="auto"/>
            <w:vAlign w:val="center"/>
            <w:hideMark/>
          </w:tcPr>
          <w:p w14:paraId="79205700"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机构的大额少数资本投资未扣除部分</w:t>
            </w:r>
          </w:p>
        </w:tc>
        <w:tc>
          <w:tcPr>
            <w:tcW w:w="966" w:type="pct"/>
            <w:tcBorders>
              <w:top w:val="nil"/>
              <w:left w:val="nil"/>
              <w:bottom w:val="single" w:sz="4" w:space="0" w:color="auto"/>
              <w:right w:val="single" w:sz="4" w:space="0" w:color="auto"/>
            </w:tcBorders>
            <w:shd w:val="clear" w:color="auto" w:fill="auto"/>
          </w:tcPr>
          <w:p w14:paraId="68B69F9F" w14:textId="6301D7F5"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68,791.99 </w:t>
            </w:r>
          </w:p>
        </w:tc>
      </w:tr>
      <w:tr w:rsidR="001A2FCF" w:rsidRPr="003752FB" w14:paraId="568EEE5D"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7D5F3FF"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74</w:t>
            </w:r>
          </w:p>
        </w:tc>
        <w:tc>
          <w:tcPr>
            <w:tcW w:w="3714" w:type="pct"/>
            <w:tcBorders>
              <w:top w:val="nil"/>
              <w:left w:val="nil"/>
              <w:bottom w:val="single" w:sz="4" w:space="0" w:color="auto"/>
              <w:right w:val="single" w:sz="4" w:space="0" w:color="auto"/>
            </w:tcBorders>
            <w:shd w:val="clear" w:color="auto" w:fill="auto"/>
            <w:vAlign w:val="center"/>
            <w:hideMark/>
          </w:tcPr>
          <w:p w14:paraId="05FE335D"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抵押贷款服务权（扣除</w:t>
            </w:r>
            <w:proofErr w:type="gramStart"/>
            <w:r w:rsidRPr="003752FB">
              <w:rPr>
                <w:rFonts w:ascii="Times New Roman" w:eastAsia="宋体" w:hAnsi="Times New Roman" w:cs="Times New Roman"/>
                <w:color w:val="000000"/>
                <w:kern w:val="0"/>
                <w:sz w:val="22"/>
              </w:rPr>
              <w:t>递延税负债</w:t>
            </w:r>
            <w:proofErr w:type="gramEnd"/>
            <w:r w:rsidRPr="003752FB">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tcPr>
          <w:p w14:paraId="04053355" w14:textId="5C02A960"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r>
      <w:tr w:rsidR="001A2FCF" w:rsidRPr="003752FB" w14:paraId="560CE8B6"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445B3F40"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75</w:t>
            </w:r>
          </w:p>
        </w:tc>
        <w:tc>
          <w:tcPr>
            <w:tcW w:w="3714" w:type="pct"/>
            <w:tcBorders>
              <w:top w:val="nil"/>
              <w:left w:val="nil"/>
              <w:bottom w:val="single" w:sz="4" w:space="0" w:color="auto"/>
              <w:right w:val="single" w:sz="4" w:space="0" w:color="auto"/>
            </w:tcBorders>
            <w:shd w:val="clear" w:color="auto" w:fill="auto"/>
            <w:vAlign w:val="center"/>
            <w:hideMark/>
          </w:tcPr>
          <w:p w14:paraId="7B964F71"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其他依赖于银行未来盈利的</w:t>
            </w:r>
            <w:proofErr w:type="gramStart"/>
            <w:r w:rsidRPr="003752FB">
              <w:rPr>
                <w:rFonts w:ascii="Times New Roman" w:eastAsia="宋体" w:hAnsi="Times New Roman" w:cs="Times New Roman"/>
                <w:color w:val="000000"/>
                <w:kern w:val="0"/>
                <w:sz w:val="22"/>
              </w:rPr>
              <w:t>净递延税</w:t>
            </w:r>
            <w:proofErr w:type="gramEnd"/>
            <w:r w:rsidRPr="003752FB">
              <w:rPr>
                <w:rFonts w:ascii="Times New Roman" w:eastAsia="宋体" w:hAnsi="Times New Roman" w:cs="Times New Roman"/>
                <w:color w:val="000000"/>
                <w:kern w:val="0"/>
                <w:sz w:val="22"/>
              </w:rPr>
              <w:t>资产（扣除</w:t>
            </w:r>
            <w:proofErr w:type="gramStart"/>
            <w:r w:rsidRPr="003752FB">
              <w:rPr>
                <w:rFonts w:ascii="Times New Roman" w:eastAsia="宋体" w:hAnsi="Times New Roman" w:cs="Times New Roman"/>
                <w:color w:val="000000"/>
                <w:kern w:val="0"/>
                <w:sz w:val="22"/>
              </w:rPr>
              <w:t>递延税负债</w:t>
            </w:r>
            <w:proofErr w:type="gramEnd"/>
            <w:r w:rsidRPr="003752FB">
              <w:rPr>
                <w:rFonts w:ascii="Times New Roman" w:eastAsia="宋体" w:hAnsi="Times New Roman" w:cs="Times New Roman"/>
                <w:color w:val="000000"/>
                <w:kern w:val="0"/>
                <w:sz w:val="22"/>
              </w:rPr>
              <w:t>）</w:t>
            </w:r>
          </w:p>
        </w:tc>
        <w:tc>
          <w:tcPr>
            <w:tcW w:w="966" w:type="pct"/>
            <w:tcBorders>
              <w:top w:val="nil"/>
              <w:left w:val="nil"/>
              <w:bottom w:val="single" w:sz="4" w:space="0" w:color="auto"/>
              <w:right w:val="single" w:sz="4" w:space="0" w:color="auto"/>
            </w:tcBorders>
            <w:shd w:val="clear" w:color="auto" w:fill="auto"/>
          </w:tcPr>
          <w:p w14:paraId="5072900B" w14:textId="4E62D207"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257,653.66 </w:t>
            </w:r>
          </w:p>
        </w:tc>
      </w:tr>
      <w:tr w:rsidR="00AB6D2C" w:rsidRPr="003752FB" w14:paraId="23267E1A"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48486B7A"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可计入二级资本的超额贷款损失准备的限额</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D500D9A" w14:textId="77777777" w:rsidR="00AB6D2C" w:rsidRPr="003752FB" w:rsidRDefault="00AB6D2C" w:rsidP="00AB6D2C">
            <w:pPr>
              <w:widowControl/>
              <w:jc w:val="right"/>
              <w:rPr>
                <w:rFonts w:ascii="Times New Roman" w:eastAsia="宋体" w:hAnsi="Times New Roman" w:cs="Times New Roman"/>
                <w:color w:val="000000"/>
                <w:kern w:val="0"/>
                <w:sz w:val="22"/>
              </w:rPr>
            </w:pPr>
          </w:p>
        </w:tc>
      </w:tr>
      <w:tr w:rsidR="001A2FCF" w:rsidRPr="003752FB" w14:paraId="66748681"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6C064EB"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76</w:t>
            </w:r>
          </w:p>
        </w:tc>
        <w:tc>
          <w:tcPr>
            <w:tcW w:w="3714" w:type="pct"/>
            <w:tcBorders>
              <w:top w:val="nil"/>
              <w:left w:val="nil"/>
              <w:bottom w:val="single" w:sz="4" w:space="0" w:color="auto"/>
              <w:right w:val="single" w:sz="4" w:space="0" w:color="auto"/>
            </w:tcBorders>
            <w:shd w:val="clear" w:color="auto" w:fill="auto"/>
            <w:vAlign w:val="center"/>
            <w:hideMark/>
          </w:tcPr>
          <w:p w14:paraId="6DEC4B0F"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权重法下，实际计提的贷款损失准备金额</w:t>
            </w:r>
          </w:p>
        </w:tc>
        <w:tc>
          <w:tcPr>
            <w:tcW w:w="966" w:type="pct"/>
            <w:tcBorders>
              <w:top w:val="nil"/>
              <w:left w:val="nil"/>
              <w:bottom w:val="single" w:sz="4" w:space="0" w:color="auto"/>
              <w:right w:val="single" w:sz="4" w:space="0" w:color="auto"/>
            </w:tcBorders>
            <w:shd w:val="clear" w:color="auto" w:fill="auto"/>
          </w:tcPr>
          <w:p w14:paraId="1D08676D" w14:textId="68272037"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1,071,963.31 </w:t>
            </w:r>
          </w:p>
        </w:tc>
      </w:tr>
      <w:tr w:rsidR="001A2FCF" w:rsidRPr="003752FB" w14:paraId="5289ABFB" w14:textId="77777777" w:rsidTr="00FE6B4D">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F58EEC3"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77</w:t>
            </w:r>
          </w:p>
        </w:tc>
        <w:tc>
          <w:tcPr>
            <w:tcW w:w="3714" w:type="pct"/>
            <w:tcBorders>
              <w:top w:val="nil"/>
              <w:left w:val="nil"/>
              <w:bottom w:val="single" w:sz="4" w:space="0" w:color="auto"/>
              <w:right w:val="single" w:sz="4" w:space="0" w:color="auto"/>
            </w:tcBorders>
            <w:shd w:val="clear" w:color="auto" w:fill="auto"/>
            <w:vAlign w:val="center"/>
            <w:hideMark/>
          </w:tcPr>
          <w:p w14:paraId="31CC77E5"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权重法下，可计入二级资本超额贷款损失准备的数额</w:t>
            </w:r>
          </w:p>
        </w:tc>
        <w:tc>
          <w:tcPr>
            <w:tcW w:w="966" w:type="pct"/>
            <w:tcBorders>
              <w:top w:val="nil"/>
              <w:left w:val="nil"/>
              <w:bottom w:val="single" w:sz="4" w:space="0" w:color="auto"/>
              <w:right w:val="single" w:sz="4" w:space="0" w:color="auto"/>
            </w:tcBorders>
            <w:shd w:val="clear" w:color="auto" w:fill="auto"/>
          </w:tcPr>
          <w:p w14:paraId="0C2069DB" w14:textId="206BF8DD"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369,790.75 </w:t>
            </w:r>
          </w:p>
        </w:tc>
      </w:tr>
      <w:tr w:rsidR="00AB6D2C" w:rsidRPr="003752FB" w14:paraId="30179EA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697A995"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78</w:t>
            </w:r>
          </w:p>
        </w:tc>
        <w:tc>
          <w:tcPr>
            <w:tcW w:w="3714" w:type="pct"/>
            <w:tcBorders>
              <w:top w:val="nil"/>
              <w:left w:val="nil"/>
              <w:bottom w:val="single" w:sz="4" w:space="0" w:color="auto"/>
              <w:right w:val="single" w:sz="4" w:space="0" w:color="auto"/>
            </w:tcBorders>
            <w:shd w:val="clear" w:color="auto" w:fill="auto"/>
            <w:vAlign w:val="center"/>
            <w:hideMark/>
          </w:tcPr>
          <w:p w14:paraId="0351741A"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内部评级法下，实际计提的超额贷款损失准备金额</w:t>
            </w:r>
          </w:p>
        </w:tc>
        <w:tc>
          <w:tcPr>
            <w:tcW w:w="966" w:type="pct"/>
            <w:tcBorders>
              <w:top w:val="nil"/>
              <w:left w:val="nil"/>
              <w:bottom w:val="single" w:sz="4" w:space="0" w:color="auto"/>
              <w:right w:val="single" w:sz="4" w:space="0" w:color="auto"/>
            </w:tcBorders>
            <w:shd w:val="clear" w:color="auto" w:fill="auto"/>
            <w:vAlign w:val="bottom"/>
          </w:tcPr>
          <w:p w14:paraId="66DFBB0C"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202AD114"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152DDDE9"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79</w:t>
            </w:r>
          </w:p>
        </w:tc>
        <w:tc>
          <w:tcPr>
            <w:tcW w:w="3714" w:type="pct"/>
            <w:tcBorders>
              <w:top w:val="nil"/>
              <w:left w:val="nil"/>
              <w:bottom w:val="single" w:sz="4" w:space="0" w:color="auto"/>
              <w:right w:val="single" w:sz="4" w:space="0" w:color="auto"/>
            </w:tcBorders>
            <w:shd w:val="clear" w:color="auto" w:fill="auto"/>
            <w:vAlign w:val="center"/>
            <w:hideMark/>
          </w:tcPr>
          <w:p w14:paraId="1BA6EF71"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内部评级法下，可计入二级资本超额贷款损失准备的数额</w:t>
            </w:r>
          </w:p>
        </w:tc>
        <w:tc>
          <w:tcPr>
            <w:tcW w:w="966" w:type="pct"/>
            <w:tcBorders>
              <w:top w:val="nil"/>
              <w:left w:val="nil"/>
              <w:bottom w:val="single" w:sz="4" w:space="0" w:color="auto"/>
              <w:right w:val="single" w:sz="4" w:space="0" w:color="auto"/>
            </w:tcBorders>
            <w:shd w:val="clear" w:color="auto" w:fill="auto"/>
            <w:vAlign w:val="bottom"/>
          </w:tcPr>
          <w:p w14:paraId="6E3C7393"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6303B351" w14:textId="77777777" w:rsidTr="008F5E9D">
        <w:trPr>
          <w:trHeight w:val="270"/>
        </w:trPr>
        <w:tc>
          <w:tcPr>
            <w:tcW w:w="4034"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5A3BDB7"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符合退出安排的资本工具</w:t>
            </w:r>
          </w:p>
        </w:tc>
        <w:tc>
          <w:tcPr>
            <w:tcW w:w="966"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5B1D9F8" w14:textId="77777777" w:rsidR="00AB6D2C" w:rsidRPr="003752FB" w:rsidRDefault="00AB6D2C" w:rsidP="00AB6D2C">
            <w:pPr>
              <w:widowControl/>
              <w:jc w:val="right"/>
              <w:rPr>
                <w:rFonts w:ascii="Times New Roman" w:eastAsia="宋体" w:hAnsi="Times New Roman" w:cs="Times New Roman"/>
                <w:color w:val="000000"/>
                <w:kern w:val="0"/>
                <w:sz w:val="22"/>
              </w:rPr>
            </w:pPr>
          </w:p>
        </w:tc>
      </w:tr>
      <w:tr w:rsidR="00AB6D2C" w:rsidRPr="003752FB" w14:paraId="00BA3F96"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20031B6B"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80</w:t>
            </w:r>
          </w:p>
        </w:tc>
        <w:tc>
          <w:tcPr>
            <w:tcW w:w="3714" w:type="pct"/>
            <w:tcBorders>
              <w:top w:val="nil"/>
              <w:left w:val="nil"/>
              <w:bottom w:val="single" w:sz="4" w:space="0" w:color="auto"/>
              <w:right w:val="single" w:sz="4" w:space="0" w:color="auto"/>
            </w:tcBorders>
            <w:shd w:val="clear" w:color="auto" w:fill="auto"/>
            <w:vAlign w:val="center"/>
            <w:hideMark/>
          </w:tcPr>
          <w:p w14:paraId="323FAE6A"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因过渡期安排造成的当期可计入核心一级资本的数额</w:t>
            </w:r>
          </w:p>
        </w:tc>
        <w:tc>
          <w:tcPr>
            <w:tcW w:w="966" w:type="pct"/>
            <w:tcBorders>
              <w:top w:val="nil"/>
              <w:left w:val="nil"/>
              <w:bottom w:val="single" w:sz="4" w:space="0" w:color="auto"/>
              <w:right w:val="single" w:sz="4" w:space="0" w:color="auto"/>
            </w:tcBorders>
            <w:shd w:val="clear" w:color="auto" w:fill="auto"/>
            <w:vAlign w:val="bottom"/>
          </w:tcPr>
          <w:p w14:paraId="5012EA7B"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0A254A68"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4261B3D"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81</w:t>
            </w:r>
          </w:p>
        </w:tc>
        <w:tc>
          <w:tcPr>
            <w:tcW w:w="3714" w:type="pct"/>
            <w:tcBorders>
              <w:top w:val="nil"/>
              <w:left w:val="nil"/>
              <w:bottom w:val="single" w:sz="4" w:space="0" w:color="auto"/>
              <w:right w:val="single" w:sz="4" w:space="0" w:color="auto"/>
            </w:tcBorders>
            <w:shd w:val="clear" w:color="auto" w:fill="auto"/>
            <w:vAlign w:val="center"/>
            <w:hideMark/>
          </w:tcPr>
          <w:p w14:paraId="44EF9A0D"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因过渡期安排造成的不可计入核心一级资本的数额</w:t>
            </w:r>
          </w:p>
        </w:tc>
        <w:tc>
          <w:tcPr>
            <w:tcW w:w="966" w:type="pct"/>
            <w:tcBorders>
              <w:top w:val="nil"/>
              <w:left w:val="nil"/>
              <w:bottom w:val="single" w:sz="4" w:space="0" w:color="auto"/>
              <w:right w:val="single" w:sz="4" w:space="0" w:color="auto"/>
            </w:tcBorders>
            <w:shd w:val="clear" w:color="auto" w:fill="auto"/>
            <w:vAlign w:val="bottom"/>
          </w:tcPr>
          <w:p w14:paraId="36F5AE1C"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568CA179"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53A43047"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82</w:t>
            </w:r>
          </w:p>
        </w:tc>
        <w:tc>
          <w:tcPr>
            <w:tcW w:w="3714" w:type="pct"/>
            <w:tcBorders>
              <w:top w:val="nil"/>
              <w:left w:val="nil"/>
              <w:bottom w:val="single" w:sz="4" w:space="0" w:color="auto"/>
              <w:right w:val="single" w:sz="4" w:space="0" w:color="auto"/>
            </w:tcBorders>
            <w:shd w:val="clear" w:color="auto" w:fill="auto"/>
            <w:vAlign w:val="center"/>
            <w:hideMark/>
          </w:tcPr>
          <w:p w14:paraId="5CDCEBFB"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因过渡期安排造成的当期可计入其他一级资本的数额</w:t>
            </w:r>
          </w:p>
        </w:tc>
        <w:tc>
          <w:tcPr>
            <w:tcW w:w="966" w:type="pct"/>
            <w:tcBorders>
              <w:top w:val="nil"/>
              <w:left w:val="nil"/>
              <w:bottom w:val="single" w:sz="4" w:space="0" w:color="auto"/>
              <w:right w:val="single" w:sz="4" w:space="0" w:color="auto"/>
            </w:tcBorders>
            <w:shd w:val="clear" w:color="auto" w:fill="auto"/>
            <w:vAlign w:val="bottom"/>
          </w:tcPr>
          <w:p w14:paraId="2255F45F"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37DE399D"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C1B8B4D"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83</w:t>
            </w:r>
          </w:p>
        </w:tc>
        <w:tc>
          <w:tcPr>
            <w:tcW w:w="3714" w:type="pct"/>
            <w:tcBorders>
              <w:top w:val="nil"/>
              <w:left w:val="nil"/>
              <w:bottom w:val="single" w:sz="4" w:space="0" w:color="auto"/>
              <w:right w:val="single" w:sz="4" w:space="0" w:color="auto"/>
            </w:tcBorders>
            <w:shd w:val="clear" w:color="auto" w:fill="auto"/>
            <w:vAlign w:val="center"/>
            <w:hideMark/>
          </w:tcPr>
          <w:p w14:paraId="77BBFBD6"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因过渡期安排造成的不可计入其他一级资本的数额</w:t>
            </w:r>
          </w:p>
        </w:tc>
        <w:tc>
          <w:tcPr>
            <w:tcW w:w="966" w:type="pct"/>
            <w:tcBorders>
              <w:top w:val="nil"/>
              <w:left w:val="nil"/>
              <w:bottom w:val="single" w:sz="4" w:space="0" w:color="auto"/>
              <w:right w:val="single" w:sz="4" w:space="0" w:color="auto"/>
            </w:tcBorders>
            <w:shd w:val="clear" w:color="auto" w:fill="auto"/>
            <w:vAlign w:val="bottom"/>
          </w:tcPr>
          <w:p w14:paraId="01B92C1E"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3E0FF8DB"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63551726"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84</w:t>
            </w:r>
          </w:p>
        </w:tc>
        <w:tc>
          <w:tcPr>
            <w:tcW w:w="3714" w:type="pct"/>
            <w:tcBorders>
              <w:top w:val="nil"/>
              <w:left w:val="nil"/>
              <w:bottom w:val="single" w:sz="4" w:space="0" w:color="auto"/>
              <w:right w:val="single" w:sz="4" w:space="0" w:color="auto"/>
            </w:tcBorders>
            <w:shd w:val="clear" w:color="auto" w:fill="auto"/>
            <w:vAlign w:val="center"/>
            <w:hideMark/>
          </w:tcPr>
          <w:p w14:paraId="5265F8DA"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因过渡期安排造成的当期可计入二级资本的数额</w:t>
            </w:r>
          </w:p>
        </w:tc>
        <w:tc>
          <w:tcPr>
            <w:tcW w:w="966" w:type="pct"/>
            <w:tcBorders>
              <w:top w:val="nil"/>
              <w:left w:val="nil"/>
              <w:bottom w:val="single" w:sz="4" w:space="0" w:color="auto"/>
              <w:right w:val="single" w:sz="4" w:space="0" w:color="auto"/>
            </w:tcBorders>
            <w:shd w:val="clear" w:color="auto" w:fill="auto"/>
            <w:vAlign w:val="bottom"/>
          </w:tcPr>
          <w:p w14:paraId="2D089A30"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r w:rsidR="00AB6D2C" w:rsidRPr="003752FB" w14:paraId="279803E5" w14:textId="77777777" w:rsidTr="00D0615F">
        <w:trPr>
          <w:trHeight w:val="270"/>
        </w:trPr>
        <w:tc>
          <w:tcPr>
            <w:tcW w:w="320" w:type="pct"/>
            <w:tcBorders>
              <w:top w:val="nil"/>
              <w:left w:val="single" w:sz="4" w:space="0" w:color="auto"/>
              <w:bottom w:val="single" w:sz="4" w:space="0" w:color="auto"/>
              <w:right w:val="single" w:sz="4" w:space="0" w:color="auto"/>
            </w:tcBorders>
            <w:shd w:val="clear" w:color="auto" w:fill="auto"/>
            <w:vAlign w:val="bottom"/>
            <w:hideMark/>
          </w:tcPr>
          <w:p w14:paraId="05CAC619"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85</w:t>
            </w:r>
          </w:p>
        </w:tc>
        <w:tc>
          <w:tcPr>
            <w:tcW w:w="3714" w:type="pct"/>
            <w:tcBorders>
              <w:top w:val="nil"/>
              <w:left w:val="nil"/>
              <w:bottom w:val="single" w:sz="4" w:space="0" w:color="auto"/>
              <w:right w:val="single" w:sz="4" w:space="0" w:color="auto"/>
            </w:tcBorders>
            <w:shd w:val="clear" w:color="auto" w:fill="auto"/>
            <w:vAlign w:val="center"/>
            <w:hideMark/>
          </w:tcPr>
          <w:p w14:paraId="4F1E6D12"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因过渡期安排造成的当期不可计入二级资本的数额</w:t>
            </w:r>
          </w:p>
        </w:tc>
        <w:tc>
          <w:tcPr>
            <w:tcW w:w="966" w:type="pct"/>
            <w:tcBorders>
              <w:top w:val="nil"/>
              <w:left w:val="nil"/>
              <w:bottom w:val="single" w:sz="4" w:space="0" w:color="auto"/>
              <w:right w:val="single" w:sz="4" w:space="0" w:color="auto"/>
            </w:tcBorders>
            <w:shd w:val="clear" w:color="auto" w:fill="auto"/>
            <w:vAlign w:val="bottom"/>
          </w:tcPr>
          <w:p w14:paraId="5D4B2A06" w14:textId="77777777" w:rsidR="00AB6D2C" w:rsidRPr="003752FB" w:rsidRDefault="00CE7787"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r>
    </w:tbl>
    <w:p w14:paraId="0DDA2842" w14:textId="77777777" w:rsidR="002B0452" w:rsidRPr="003752FB" w:rsidRDefault="001E0D63" w:rsidP="001E0D63">
      <w:pPr>
        <w:rPr>
          <w:rFonts w:ascii="Times New Roman" w:hAnsi="Times New Roman" w:cs="Times New Roman"/>
          <w:sz w:val="18"/>
          <w:szCs w:val="18"/>
        </w:rPr>
      </w:pPr>
      <w:r w:rsidRPr="003752FB">
        <w:rPr>
          <w:rFonts w:ascii="Times New Roman" w:hAnsi="Times New Roman" w:cs="Times New Roman" w:hint="eastAsia"/>
          <w:sz w:val="18"/>
          <w:szCs w:val="18"/>
        </w:rPr>
        <w:t>注：依照《商业银行资本管理办法（试行）》（中国银行业监督管理委员会</w:t>
      </w:r>
      <w:r w:rsidRPr="003752FB">
        <w:rPr>
          <w:rFonts w:ascii="Times New Roman" w:hAnsi="Times New Roman" w:cs="Times New Roman" w:hint="eastAsia"/>
          <w:sz w:val="18"/>
          <w:szCs w:val="18"/>
        </w:rPr>
        <w:t>2012</w:t>
      </w:r>
      <w:r w:rsidRPr="003752FB">
        <w:rPr>
          <w:rFonts w:ascii="Times New Roman" w:hAnsi="Times New Roman" w:cs="Times New Roman" w:hint="eastAsia"/>
          <w:sz w:val="18"/>
          <w:szCs w:val="18"/>
        </w:rPr>
        <w:t>年第</w:t>
      </w:r>
      <w:r w:rsidRPr="003752FB">
        <w:rPr>
          <w:rFonts w:ascii="Times New Roman" w:hAnsi="Times New Roman" w:cs="Times New Roman" w:hint="eastAsia"/>
          <w:sz w:val="18"/>
          <w:szCs w:val="18"/>
        </w:rPr>
        <w:t>1</w:t>
      </w:r>
      <w:r w:rsidRPr="003752FB">
        <w:rPr>
          <w:rFonts w:ascii="Times New Roman" w:hAnsi="Times New Roman" w:cs="Times New Roman" w:hint="eastAsia"/>
          <w:sz w:val="18"/>
          <w:szCs w:val="18"/>
        </w:rPr>
        <w:t>号令）要求，根据经审计的合并财务报表数据重新计算。</w:t>
      </w:r>
    </w:p>
    <w:p w14:paraId="05472B12" w14:textId="77777777" w:rsidR="002B0452" w:rsidRPr="003752FB" w:rsidRDefault="002B0452">
      <w:pPr>
        <w:widowControl/>
        <w:jc w:val="left"/>
        <w:rPr>
          <w:rFonts w:ascii="Times New Roman" w:hAnsi="Times New Roman" w:cs="Times New Roman"/>
          <w:b/>
          <w:sz w:val="24"/>
          <w:szCs w:val="21"/>
        </w:rPr>
      </w:pPr>
      <w:r w:rsidRPr="003752FB">
        <w:rPr>
          <w:rFonts w:ascii="Times New Roman" w:hAnsi="Times New Roman" w:cs="Times New Roman"/>
          <w:b/>
          <w:sz w:val="24"/>
          <w:szCs w:val="21"/>
        </w:rPr>
        <w:br w:type="page"/>
      </w:r>
    </w:p>
    <w:p w14:paraId="164C02C5" w14:textId="77777777" w:rsidR="00AB6D2C" w:rsidRPr="003752FB" w:rsidRDefault="00AB6D2C" w:rsidP="003E26F0">
      <w:pPr>
        <w:ind w:firstLine="420"/>
        <w:rPr>
          <w:rFonts w:ascii="Times New Roman" w:hAnsi="Times New Roman" w:cs="Times New Roman"/>
          <w:b/>
          <w:sz w:val="24"/>
          <w:szCs w:val="21"/>
        </w:rPr>
      </w:pPr>
      <w:r w:rsidRPr="003752FB">
        <w:rPr>
          <w:rFonts w:ascii="Times New Roman" w:hAnsi="Times New Roman" w:cs="Times New Roman"/>
          <w:b/>
          <w:sz w:val="24"/>
          <w:szCs w:val="21"/>
        </w:rPr>
        <w:lastRenderedPageBreak/>
        <w:t>二、有关科目展开说明</w:t>
      </w:r>
    </w:p>
    <w:p w14:paraId="7D130000" w14:textId="77777777" w:rsidR="00834A3C" w:rsidRPr="003752FB" w:rsidRDefault="00834A3C" w:rsidP="003E26F0">
      <w:pPr>
        <w:ind w:firstLine="420"/>
        <w:rPr>
          <w:rFonts w:ascii="Times New Roman" w:hAnsi="Times New Roman" w:cs="Times New Roman"/>
          <w:b/>
          <w:sz w:val="24"/>
          <w:szCs w:val="21"/>
        </w:rPr>
      </w:pPr>
    </w:p>
    <w:p w14:paraId="5CF4084B" w14:textId="77777777" w:rsidR="00AB6D2C" w:rsidRPr="003752FB" w:rsidRDefault="00AB6D2C" w:rsidP="00AB6D2C">
      <w:pPr>
        <w:ind w:firstLine="420"/>
        <w:jc w:val="right"/>
        <w:rPr>
          <w:rFonts w:ascii="Times New Roman" w:hAnsi="Times New Roman" w:cs="Times New Roman"/>
          <w:sz w:val="18"/>
          <w:szCs w:val="18"/>
        </w:rPr>
      </w:pPr>
      <w:r w:rsidRPr="003752FB">
        <w:rPr>
          <w:rFonts w:ascii="Times New Roman" w:hAnsi="Times New Roman" w:cs="Times New Roman"/>
          <w:sz w:val="18"/>
          <w:szCs w:val="18"/>
        </w:rPr>
        <w:t>单位：人民币万元</w:t>
      </w:r>
    </w:p>
    <w:tbl>
      <w:tblPr>
        <w:tblW w:w="5000" w:type="pct"/>
        <w:tblLayout w:type="fixed"/>
        <w:tblLook w:val="04A0" w:firstRow="1" w:lastRow="0" w:firstColumn="1" w:lastColumn="0" w:noHBand="0" w:noVBand="1"/>
      </w:tblPr>
      <w:tblGrid>
        <w:gridCol w:w="4644"/>
        <w:gridCol w:w="3121"/>
        <w:gridCol w:w="757"/>
      </w:tblGrid>
      <w:tr w:rsidR="00AB6D2C" w:rsidRPr="003752FB" w14:paraId="7F449134" w14:textId="77777777" w:rsidTr="005D7AB6">
        <w:trPr>
          <w:trHeight w:val="270"/>
        </w:trPr>
        <w:tc>
          <w:tcPr>
            <w:tcW w:w="272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8EF0EAC" w14:textId="77777777" w:rsidR="00AB6D2C" w:rsidRPr="003752FB" w:rsidRDefault="00AB6D2C" w:rsidP="00AB6D2C">
            <w:pPr>
              <w:widowControl/>
              <w:jc w:val="left"/>
              <w:rPr>
                <w:rFonts w:ascii="Times New Roman" w:eastAsia="宋体" w:hAnsi="Times New Roman" w:cs="Times New Roman"/>
                <w:b/>
                <w:color w:val="000000"/>
                <w:kern w:val="0"/>
                <w:sz w:val="22"/>
              </w:rPr>
            </w:pPr>
            <w:r w:rsidRPr="003752FB">
              <w:rPr>
                <w:rFonts w:ascii="Times New Roman" w:eastAsia="宋体" w:hAnsi="Times New Roman" w:cs="Times New Roman"/>
                <w:b/>
                <w:color w:val="000000"/>
                <w:kern w:val="0"/>
                <w:sz w:val="22"/>
              </w:rPr>
              <w:t>科目</w:t>
            </w:r>
          </w:p>
        </w:tc>
        <w:tc>
          <w:tcPr>
            <w:tcW w:w="183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612A5C4" w14:textId="77777777" w:rsidR="00AB6D2C" w:rsidRPr="003752FB" w:rsidRDefault="00AB6D2C" w:rsidP="00AB6D2C">
            <w:pPr>
              <w:widowControl/>
              <w:jc w:val="right"/>
              <w:rPr>
                <w:rFonts w:ascii="Times New Roman" w:eastAsia="宋体" w:hAnsi="Times New Roman" w:cs="Times New Roman"/>
                <w:b/>
                <w:color w:val="000000"/>
                <w:kern w:val="0"/>
                <w:sz w:val="22"/>
              </w:rPr>
            </w:pPr>
            <w:r w:rsidRPr="003752FB">
              <w:rPr>
                <w:rFonts w:ascii="Times New Roman" w:eastAsia="宋体" w:hAnsi="Times New Roman" w:cs="Times New Roman"/>
                <w:b/>
                <w:color w:val="000000"/>
                <w:kern w:val="0"/>
                <w:sz w:val="22"/>
              </w:rPr>
              <w:t>监管并表口径下的资产负债表</w:t>
            </w:r>
          </w:p>
        </w:tc>
        <w:tc>
          <w:tcPr>
            <w:tcW w:w="444"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46E1C68" w14:textId="77777777" w:rsidR="00AB6D2C" w:rsidRPr="003752FB" w:rsidRDefault="00AB6D2C" w:rsidP="00AB6D2C">
            <w:pPr>
              <w:widowControl/>
              <w:jc w:val="left"/>
              <w:rPr>
                <w:rFonts w:ascii="Times New Roman" w:eastAsia="宋体" w:hAnsi="Times New Roman" w:cs="Times New Roman"/>
                <w:b/>
                <w:color w:val="000000"/>
                <w:kern w:val="0"/>
                <w:sz w:val="22"/>
              </w:rPr>
            </w:pPr>
            <w:r w:rsidRPr="003752FB">
              <w:rPr>
                <w:rFonts w:ascii="Times New Roman" w:eastAsia="宋体" w:hAnsi="Times New Roman" w:cs="Times New Roman"/>
                <w:b/>
                <w:color w:val="000000"/>
                <w:kern w:val="0"/>
                <w:sz w:val="22"/>
              </w:rPr>
              <w:t>代码</w:t>
            </w:r>
          </w:p>
        </w:tc>
      </w:tr>
      <w:tr w:rsidR="001A2FCF" w:rsidRPr="003752FB" w14:paraId="2245CE1C"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0483666A"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商誉</w:t>
            </w:r>
          </w:p>
        </w:tc>
        <w:tc>
          <w:tcPr>
            <w:tcW w:w="1831" w:type="pct"/>
            <w:tcBorders>
              <w:top w:val="nil"/>
              <w:left w:val="nil"/>
              <w:bottom w:val="single" w:sz="4" w:space="0" w:color="auto"/>
              <w:right w:val="single" w:sz="4" w:space="0" w:color="auto"/>
            </w:tcBorders>
            <w:shd w:val="clear" w:color="auto" w:fill="auto"/>
          </w:tcPr>
          <w:p w14:paraId="3FFCA0FD" w14:textId="5D8953C5"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bottom"/>
            <w:hideMark/>
          </w:tcPr>
          <w:p w14:paraId="59B8D164"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a</w:t>
            </w:r>
          </w:p>
        </w:tc>
      </w:tr>
      <w:tr w:rsidR="001A2FCF" w:rsidRPr="003752FB" w14:paraId="776CA58B"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6B00C769"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无形资产</w:t>
            </w:r>
          </w:p>
        </w:tc>
        <w:tc>
          <w:tcPr>
            <w:tcW w:w="1831" w:type="pct"/>
            <w:tcBorders>
              <w:top w:val="nil"/>
              <w:left w:val="nil"/>
              <w:bottom w:val="single" w:sz="4" w:space="0" w:color="auto"/>
              <w:right w:val="single" w:sz="4" w:space="0" w:color="auto"/>
            </w:tcBorders>
            <w:shd w:val="clear" w:color="auto" w:fill="auto"/>
          </w:tcPr>
          <w:p w14:paraId="17EEECAD" w14:textId="0654B732"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51,506.37 </w:t>
            </w:r>
          </w:p>
        </w:tc>
        <w:tc>
          <w:tcPr>
            <w:tcW w:w="444" w:type="pct"/>
            <w:tcBorders>
              <w:top w:val="nil"/>
              <w:left w:val="nil"/>
              <w:bottom w:val="single" w:sz="4" w:space="0" w:color="auto"/>
              <w:right w:val="single" w:sz="4" w:space="0" w:color="auto"/>
            </w:tcBorders>
            <w:shd w:val="clear" w:color="auto" w:fill="auto"/>
            <w:noWrap/>
            <w:vAlign w:val="bottom"/>
            <w:hideMark/>
          </w:tcPr>
          <w:p w14:paraId="43FA611E"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b</w:t>
            </w:r>
          </w:p>
        </w:tc>
      </w:tr>
      <w:tr w:rsidR="001A2FCF" w:rsidRPr="003752FB" w14:paraId="033185C0"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E17CA0C"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其中：土地使用权</w:t>
            </w:r>
          </w:p>
        </w:tc>
        <w:tc>
          <w:tcPr>
            <w:tcW w:w="1831" w:type="pct"/>
            <w:tcBorders>
              <w:top w:val="nil"/>
              <w:left w:val="nil"/>
              <w:bottom w:val="single" w:sz="4" w:space="0" w:color="auto"/>
              <w:right w:val="single" w:sz="4" w:space="0" w:color="auto"/>
            </w:tcBorders>
            <w:shd w:val="clear" w:color="auto" w:fill="auto"/>
          </w:tcPr>
          <w:p w14:paraId="11AEEE47" w14:textId="7C856B13"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26,141.97 </w:t>
            </w:r>
          </w:p>
        </w:tc>
        <w:tc>
          <w:tcPr>
            <w:tcW w:w="444" w:type="pct"/>
            <w:tcBorders>
              <w:top w:val="nil"/>
              <w:left w:val="nil"/>
              <w:bottom w:val="single" w:sz="4" w:space="0" w:color="auto"/>
              <w:right w:val="single" w:sz="4" w:space="0" w:color="auto"/>
            </w:tcBorders>
            <w:shd w:val="clear" w:color="auto" w:fill="auto"/>
            <w:noWrap/>
            <w:vAlign w:val="bottom"/>
            <w:hideMark/>
          </w:tcPr>
          <w:p w14:paraId="7EF7CAF1"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c</w:t>
            </w:r>
          </w:p>
        </w:tc>
      </w:tr>
      <w:tr w:rsidR="001A2FCF" w:rsidRPr="003752FB" w14:paraId="2FC65849"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DE4D684"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投资</w:t>
            </w:r>
          </w:p>
        </w:tc>
        <w:tc>
          <w:tcPr>
            <w:tcW w:w="1831" w:type="pct"/>
            <w:tcBorders>
              <w:top w:val="nil"/>
              <w:left w:val="nil"/>
              <w:bottom w:val="single" w:sz="4" w:space="0" w:color="auto"/>
              <w:right w:val="single" w:sz="4" w:space="0" w:color="auto"/>
            </w:tcBorders>
            <w:shd w:val="clear" w:color="auto" w:fill="auto"/>
          </w:tcPr>
          <w:p w14:paraId="6F064F88" w14:textId="64AEAB35"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16,957,852.75 </w:t>
            </w:r>
          </w:p>
        </w:tc>
        <w:tc>
          <w:tcPr>
            <w:tcW w:w="444" w:type="pct"/>
            <w:tcBorders>
              <w:top w:val="nil"/>
              <w:left w:val="nil"/>
              <w:bottom w:val="single" w:sz="4" w:space="0" w:color="auto"/>
              <w:right w:val="single" w:sz="4" w:space="0" w:color="auto"/>
            </w:tcBorders>
            <w:shd w:val="clear" w:color="auto" w:fill="auto"/>
            <w:noWrap/>
            <w:vAlign w:val="bottom"/>
            <w:hideMark/>
          </w:tcPr>
          <w:p w14:paraId="6026137C"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t>
            </w:r>
          </w:p>
        </w:tc>
      </w:tr>
      <w:tr w:rsidR="001A2FCF" w:rsidRPr="003752FB" w14:paraId="37C9ADD5"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6735B2FF"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其中：长期股权投资</w:t>
            </w:r>
          </w:p>
        </w:tc>
        <w:tc>
          <w:tcPr>
            <w:tcW w:w="1831" w:type="pct"/>
            <w:tcBorders>
              <w:top w:val="nil"/>
              <w:left w:val="nil"/>
              <w:bottom w:val="single" w:sz="4" w:space="0" w:color="auto"/>
              <w:right w:val="single" w:sz="4" w:space="0" w:color="auto"/>
            </w:tcBorders>
            <w:shd w:val="clear" w:color="auto" w:fill="auto"/>
          </w:tcPr>
          <w:p w14:paraId="1220CF9C" w14:textId="2173663E"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68,791.99 </w:t>
            </w:r>
          </w:p>
        </w:tc>
        <w:tc>
          <w:tcPr>
            <w:tcW w:w="444" w:type="pct"/>
            <w:tcBorders>
              <w:top w:val="nil"/>
              <w:left w:val="nil"/>
              <w:bottom w:val="single" w:sz="4" w:space="0" w:color="auto"/>
              <w:right w:val="single" w:sz="4" w:space="0" w:color="auto"/>
            </w:tcBorders>
            <w:shd w:val="clear" w:color="auto" w:fill="auto"/>
            <w:noWrap/>
            <w:vAlign w:val="bottom"/>
            <w:hideMark/>
          </w:tcPr>
          <w:p w14:paraId="0FC94787"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d</w:t>
            </w:r>
          </w:p>
        </w:tc>
      </w:tr>
      <w:tr w:rsidR="001A2FCF" w:rsidRPr="003752FB" w14:paraId="36C609B8"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4F1E892A"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其中：其他股权投资</w:t>
            </w:r>
          </w:p>
        </w:tc>
        <w:tc>
          <w:tcPr>
            <w:tcW w:w="1831" w:type="pct"/>
            <w:tcBorders>
              <w:top w:val="nil"/>
              <w:left w:val="nil"/>
              <w:bottom w:val="single" w:sz="4" w:space="0" w:color="auto"/>
              <w:right w:val="single" w:sz="4" w:space="0" w:color="auto"/>
            </w:tcBorders>
            <w:shd w:val="clear" w:color="auto" w:fill="auto"/>
          </w:tcPr>
          <w:p w14:paraId="6180E05B" w14:textId="475EF9E3"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16,532.05 </w:t>
            </w:r>
          </w:p>
        </w:tc>
        <w:tc>
          <w:tcPr>
            <w:tcW w:w="444" w:type="pct"/>
            <w:tcBorders>
              <w:top w:val="nil"/>
              <w:left w:val="nil"/>
              <w:bottom w:val="single" w:sz="4" w:space="0" w:color="auto"/>
              <w:right w:val="single" w:sz="4" w:space="0" w:color="auto"/>
            </w:tcBorders>
            <w:shd w:val="clear" w:color="auto" w:fill="auto"/>
            <w:noWrap/>
            <w:vAlign w:val="bottom"/>
            <w:hideMark/>
          </w:tcPr>
          <w:p w14:paraId="282BE391"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e</w:t>
            </w:r>
          </w:p>
        </w:tc>
      </w:tr>
      <w:tr w:rsidR="001A2FCF" w:rsidRPr="003752FB" w14:paraId="7A11A09B"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666F9BBA"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递延所得税资产</w:t>
            </w:r>
          </w:p>
        </w:tc>
        <w:tc>
          <w:tcPr>
            <w:tcW w:w="1831" w:type="pct"/>
            <w:tcBorders>
              <w:top w:val="nil"/>
              <w:left w:val="nil"/>
              <w:bottom w:val="single" w:sz="4" w:space="0" w:color="auto"/>
              <w:right w:val="single" w:sz="4" w:space="0" w:color="auto"/>
            </w:tcBorders>
            <w:shd w:val="clear" w:color="auto" w:fill="auto"/>
          </w:tcPr>
          <w:p w14:paraId="62B61E23" w14:textId="5BE7669F"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283,332.98 </w:t>
            </w:r>
          </w:p>
        </w:tc>
        <w:tc>
          <w:tcPr>
            <w:tcW w:w="444" w:type="pct"/>
            <w:tcBorders>
              <w:top w:val="nil"/>
              <w:left w:val="nil"/>
              <w:bottom w:val="single" w:sz="4" w:space="0" w:color="auto"/>
              <w:right w:val="single" w:sz="4" w:space="0" w:color="auto"/>
            </w:tcBorders>
            <w:shd w:val="clear" w:color="auto" w:fill="auto"/>
            <w:noWrap/>
            <w:vAlign w:val="bottom"/>
            <w:hideMark/>
          </w:tcPr>
          <w:p w14:paraId="7FAF104F"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f</w:t>
            </w:r>
          </w:p>
        </w:tc>
      </w:tr>
      <w:tr w:rsidR="001A2FCF" w:rsidRPr="003752FB" w14:paraId="20109163" w14:textId="77777777" w:rsidTr="002957B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14B4888"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其中：依赖未来盈利的由经营亏损引起的</w:t>
            </w:r>
            <w:proofErr w:type="gramStart"/>
            <w:r w:rsidRPr="003752FB">
              <w:rPr>
                <w:rFonts w:ascii="Times New Roman" w:eastAsia="宋体" w:hAnsi="Times New Roman" w:cs="Times New Roman"/>
                <w:color w:val="000000"/>
                <w:kern w:val="0"/>
                <w:sz w:val="22"/>
              </w:rPr>
              <w:t>净递延税资产</w:t>
            </w:r>
            <w:proofErr w:type="gramEnd"/>
          </w:p>
        </w:tc>
        <w:tc>
          <w:tcPr>
            <w:tcW w:w="1831" w:type="pct"/>
            <w:tcBorders>
              <w:top w:val="nil"/>
              <w:left w:val="nil"/>
              <w:bottom w:val="single" w:sz="4" w:space="0" w:color="auto"/>
              <w:right w:val="single" w:sz="4" w:space="0" w:color="auto"/>
            </w:tcBorders>
            <w:shd w:val="clear" w:color="auto" w:fill="auto"/>
            <w:vAlign w:val="center"/>
          </w:tcPr>
          <w:p w14:paraId="102A4461" w14:textId="05830DB2"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14:paraId="408DEED7"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g</w:t>
            </w:r>
          </w:p>
        </w:tc>
      </w:tr>
      <w:tr w:rsidR="001A2FCF" w:rsidRPr="003752FB" w14:paraId="5EEFA9C3"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36A6504B"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递延所得税负债</w:t>
            </w:r>
          </w:p>
        </w:tc>
        <w:tc>
          <w:tcPr>
            <w:tcW w:w="1831" w:type="pct"/>
            <w:tcBorders>
              <w:top w:val="nil"/>
              <w:left w:val="nil"/>
              <w:bottom w:val="single" w:sz="4" w:space="0" w:color="auto"/>
              <w:right w:val="single" w:sz="4" w:space="0" w:color="auto"/>
            </w:tcBorders>
            <w:shd w:val="clear" w:color="auto" w:fill="auto"/>
          </w:tcPr>
          <w:p w14:paraId="2563121B" w14:textId="162182A5"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25,679.32 </w:t>
            </w:r>
          </w:p>
        </w:tc>
        <w:tc>
          <w:tcPr>
            <w:tcW w:w="444" w:type="pct"/>
            <w:tcBorders>
              <w:top w:val="nil"/>
              <w:left w:val="nil"/>
              <w:bottom w:val="single" w:sz="4" w:space="0" w:color="auto"/>
              <w:right w:val="single" w:sz="4" w:space="0" w:color="auto"/>
            </w:tcBorders>
            <w:shd w:val="clear" w:color="auto" w:fill="auto"/>
            <w:noWrap/>
            <w:vAlign w:val="bottom"/>
            <w:hideMark/>
          </w:tcPr>
          <w:p w14:paraId="64BA6CE0" w14:textId="46B8A788"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h</w:t>
            </w:r>
          </w:p>
        </w:tc>
      </w:tr>
      <w:tr w:rsidR="001A2FCF" w:rsidRPr="003752FB" w14:paraId="19FF8E26" w14:textId="77777777" w:rsidTr="002957B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2B507642"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其中：与商誉相关的递延税项负债</w:t>
            </w:r>
          </w:p>
        </w:tc>
        <w:tc>
          <w:tcPr>
            <w:tcW w:w="1831" w:type="pct"/>
            <w:tcBorders>
              <w:top w:val="nil"/>
              <w:left w:val="nil"/>
              <w:bottom w:val="single" w:sz="4" w:space="0" w:color="auto"/>
              <w:right w:val="single" w:sz="4" w:space="0" w:color="auto"/>
            </w:tcBorders>
            <w:shd w:val="clear" w:color="auto" w:fill="auto"/>
            <w:vAlign w:val="center"/>
          </w:tcPr>
          <w:p w14:paraId="48D58257" w14:textId="212F656A"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bottom"/>
            <w:hideMark/>
          </w:tcPr>
          <w:p w14:paraId="41F61E92" w14:textId="58A98B20" w:rsidR="001A2FCF" w:rsidRPr="003752FB" w:rsidRDefault="001A2FCF" w:rsidP="001A2FCF">
            <w:pPr>
              <w:widowControl/>
              <w:jc w:val="center"/>
              <w:rPr>
                <w:rFonts w:ascii="Times New Roman" w:eastAsia="宋体" w:hAnsi="Times New Roman" w:cs="Times New Roman"/>
                <w:color w:val="000000"/>
                <w:kern w:val="0"/>
                <w:sz w:val="22"/>
              </w:rPr>
            </w:pPr>
            <w:proofErr w:type="spellStart"/>
            <w:r w:rsidRPr="003752FB">
              <w:rPr>
                <w:rFonts w:ascii="Times New Roman" w:eastAsia="宋体" w:hAnsi="Times New Roman" w:cs="Times New Roman"/>
                <w:color w:val="000000"/>
                <w:kern w:val="0"/>
                <w:sz w:val="22"/>
              </w:rPr>
              <w:t>i</w:t>
            </w:r>
            <w:proofErr w:type="spellEnd"/>
          </w:p>
        </w:tc>
      </w:tr>
      <w:tr w:rsidR="001A2FCF" w:rsidRPr="003752FB" w14:paraId="5F51BB02" w14:textId="77777777" w:rsidTr="002957BB">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BFD09BD"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其中：与其他无形资产</w:t>
            </w:r>
            <w:r w:rsidRPr="003752FB">
              <w:rPr>
                <w:rFonts w:ascii="Times New Roman" w:eastAsia="宋体" w:hAnsi="Times New Roman" w:cs="Times New Roman"/>
                <w:color w:val="000000"/>
                <w:kern w:val="0"/>
                <w:sz w:val="22"/>
              </w:rPr>
              <w:t>(</w:t>
            </w:r>
            <w:r w:rsidRPr="003752FB">
              <w:rPr>
                <w:rFonts w:ascii="Times New Roman" w:eastAsia="宋体" w:hAnsi="Times New Roman" w:cs="Times New Roman"/>
                <w:color w:val="000000"/>
                <w:kern w:val="0"/>
                <w:sz w:val="22"/>
              </w:rPr>
              <w:t>不含土地使用权</w:t>
            </w:r>
            <w:r w:rsidRPr="003752FB">
              <w:rPr>
                <w:rFonts w:ascii="Times New Roman" w:eastAsia="宋体" w:hAnsi="Times New Roman" w:cs="Times New Roman"/>
                <w:color w:val="000000"/>
                <w:kern w:val="0"/>
                <w:sz w:val="22"/>
              </w:rPr>
              <w:t>)</w:t>
            </w:r>
            <w:r w:rsidRPr="003752FB">
              <w:rPr>
                <w:rFonts w:ascii="Times New Roman" w:eastAsia="宋体" w:hAnsi="Times New Roman" w:cs="Times New Roman"/>
                <w:color w:val="000000"/>
                <w:kern w:val="0"/>
                <w:sz w:val="22"/>
              </w:rPr>
              <w:t>的递延税项负债</w:t>
            </w:r>
          </w:p>
        </w:tc>
        <w:tc>
          <w:tcPr>
            <w:tcW w:w="1831" w:type="pct"/>
            <w:tcBorders>
              <w:top w:val="nil"/>
              <w:left w:val="nil"/>
              <w:bottom w:val="single" w:sz="4" w:space="0" w:color="auto"/>
              <w:right w:val="single" w:sz="4" w:space="0" w:color="auto"/>
            </w:tcBorders>
            <w:shd w:val="clear" w:color="auto" w:fill="auto"/>
            <w:vAlign w:val="center"/>
          </w:tcPr>
          <w:p w14:paraId="356B91DF" w14:textId="1E8A68E5"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14:paraId="7AC7D560" w14:textId="0F801B5A"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j</w:t>
            </w:r>
          </w:p>
        </w:tc>
      </w:tr>
      <w:tr w:rsidR="001A2FCF" w:rsidRPr="003752FB" w14:paraId="290C43C9"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D8034BC"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实收资本</w:t>
            </w:r>
          </w:p>
        </w:tc>
        <w:tc>
          <w:tcPr>
            <w:tcW w:w="1831" w:type="pct"/>
            <w:tcBorders>
              <w:top w:val="nil"/>
              <w:left w:val="nil"/>
              <w:bottom w:val="single" w:sz="4" w:space="0" w:color="auto"/>
              <w:right w:val="single" w:sz="4" w:space="0" w:color="auto"/>
            </w:tcBorders>
            <w:shd w:val="clear" w:color="auto" w:fill="auto"/>
          </w:tcPr>
          <w:p w14:paraId="1A73F78D" w14:textId="3A62C9F8"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333,337.53 </w:t>
            </w:r>
          </w:p>
        </w:tc>
        <w:tc>
          <w:tcPr>
            <w:tcW w:w="444" w:type="pct"/>
            <w:tcBorders>
              <w:top w:val="nil"/>
              <w:left w:val="nil"/>
              <w:bottom w:val="single" w:sz="4" w:space="0" w:color="auto"/>
              <w:right w:val="single" w:sz="4" w:space="0" w:color="auto"/>
            </w:tcBorders>
            <w:shd w:val="clear" w:color="auto" w:fill="auto"/>
            <w:noWrap/>
            <w:vAlign w:val="bottom"/>
            <w:hideMark/>
          </w:tcPr>
          <w:p w14:paraId="6DEC9B3C" w14:textId="105732C3" w:rsidR="001A2FCF" w:rsidRPr="003752FB" w:rsidRDefault="002957BB"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t>
            </w:r>
          </w:p>
        </w:tc>
      </w:tr>
      <w:tr w:rsidR="001A2FCF" w:rsidRPr="003752FB" w14:paraId="0712B151"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6913A94"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tcPr>
          <w:p w14:paraId="1C812153" w14:textId="27189B1C"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333,337.53 </w:t>
            </w:r>
          </w:p>
        </w:tc>
        <w:tc>
          <w:tcPr>
            <w:tcW w:w="444" w:type="pct"/>
            <w:tcBorders>
              <w:top w:val="nil"/>
              <w:left w:val="nil"/>
              <w:bottom w:val="single" w:sz="4" w:space="0" w:color="auto"/>
              <w:right w:val="single" w:sz="4" w:space="0" w:color="auto"/>
            </w:tcBorders>
            <w:shd w:val="clear" w:color="auto" w:fill="auto"/>
            <w:noWrap/>
            <w:vAlign w:val="bottom"/>
            <w:hideMark/>
          </w:tcPr>
          <w:p w14:paraId="20E833A9" w14:textId="39F91B24"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k</w:t>
            </w:r>
          </w:p>
        </w:tc>
      </w:tr>
      <w:tr w:rsidR="001A2FCF" w:rsidRPr="003752FB" w14:paraId="30228809"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3291882"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tcPr>
          <w:p w14:paraId="0A9E3A40" w14:textId="75384844"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 </w:t>
            </w:r>
          </w:p>
        </w:tc>
        <w:tc>
          <w:tcPr>
            <w:tcW w:w="444" w:type="pct"/>
            <w:tcBorders>
              <w:top w:val="nil"/>
              <w:left w:val="nil"/>
              <w:bottom w:val="single" w:sz="4" w:space="0" w:color="auto"/>
              <w:right w:val="single" w:sz="4" w:space="0" w:color="auto"/>
            </w:tcBorders>
            <w:shd w:val="clear" w:color="auto" w:fill="auto"/>
            <w:noWrap/>
            <w:vAlign w:val="bottom"/>
            <w:hideMark/>
          </w:tcPr>
          <w:p w14:paraId="732D6903" w14:textId="1D1EA52E"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l</w:t>
            </w:r>
          </w:p>
        </w:tc>
      </w:tr>
      <w:tr w:rsidR="001A2FCF" w:rsidRPr="003752FB" w14:paraId="76FAE242"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37C98322"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资本公积</w:t>
            </w:r>
          </w:p>
        </w:tc>
        <w:tc>
          <w:tcPr>
            <w:tcW w:w="1831" w:type="pct"/>
            <w:tcBorders>
              <w:top w:val="nil"/>
              <w:left w:val="nil"/>
              <w:bottom w:val="single" w:sz="4" w:space="0" w:color="auto"/>
              <w:right w:val="single" w:sz="4" w:space="0" w:color="auto"/>
            </w:tcBorders>
            <w:shd w:val="clear" w:color="auto" w:fill="auto"/>
          </w:tcPr>
          <w:p w14:paraId="48B87C3A" w14:textId="2FCA2869"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1,082,935.70 </w:t>
            </w:r>
          </w:p>
        </w:tc>
        <w:tc>
          <w:tcPr>
            <w:tcW w:w="444" w:type="pct"/>
            <w:tcBorders>
              <w:top w:val="nil"/>
              <w:left w:val="nil"/>
              <w:bottom w:val="single" w:sz="4" w:space="0" w:color="auto"/>
              <w:right w:val="single" w:sz="4" w:space="0" w:color="auto"/>
            </w:tcBorders>
            <w:shd w:val="clear" w:color="auto" w:fill="auto"/>
            <w:noWrap/>
            <w:vAlign w:val="bottom"/>
            <w:hideMark/>
          </w:tcPr>
          <w:p w14:paraId="6882A4D8" w14:textId="71F3447C"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m</w:t>
            </w:r>
          </w:p>
        </w:tc>
      </w:tr>
      <w:tr w:rsidR="001A2FCF" w:rsidRPr="003752FB" w14:paraId="4905CD33"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1C6FE7B"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盈余公积</w:t>
            </w:r>
          </w:p>
        </w:tc>
        <w:tc>
          <w:tcPr>
            <w:tcW w:w="1831" w:type="pct"/>
            <w:tcBorders>
              <w:top w:val="nil"/>
              <w:left w:val="nil"/>
              <w:bottom w:val="single" w:sz="4" w:space="0" w:color="auto"/>
              <w:right w:val="single" w:sz="4" w:space="0" w:color="auto"/>
            </w:tcBorders>
            <w:shd w:val="clear" w:color="auto" w:fill="auto"/>
          </w:tcPr>
          <w:p w14:paraId="1A1D7BF1" w14:textId="506FB8A8"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250,445.33 </w:t>
            </w:r>
          </w:p>
        </w:tc>
        <w:tc>
          <w:tcPr>
            <w:tcW w:w="444" w:type="pct"/>
            <w:tcBorders>
              <w:top w:val="nil"/>
              <w:left w:val="nil"/>
              <w:bottom w:val="single" w:sz="4" w:space="0" w:color="auto"/>
              <w:right w:val="single" w:sz="4" w:space="0" w:color="auto"/>
            </w:tcBorders>
            <w:shd w:val="clear" w:color="auto" w:fill="auto"/>
            <w:noWrap/>
            <w:vAlign w:val="bottom"/>
            <w:hideMark/>
          </w:tcPr>
          <w:p w14:paraId="78289C6C" w14:textId="417F0795" w:rsidR="001A2FCF" w:rsidRPr="003752FB" w:rsidRDefault="001A2FCF" w:rsidP="001A2FCF">
            <w:pPr>
              <w:widowControl/>
              <w:jc w:val="center"/>
              <w:rPr>
                <w:rFonts w:ascii="Times New Roman" w:eastAsia="宋体" w:hAnsi="Times New Roman" w:cs="Times New Roman"/>
                <w:color w:val="000000"/>
                <w:kern w:val="0"/>
                <w:sz w:val="22"/>
                <w:lang w:val="en-GB"/>
              </w:rPr>
            </w:pPr>
            <w:r w:rsidRPr="003752FB">
              <w:rPr>
                <w:rFonts w:ascii="Times New Roman" w:eastAsia="宋体" w:hAnsi="Times New Roman" w:cs="Times New Roman"/>
                <w:color w:val="000000"/>
                <w:kern w:val="0"/>
                <w:sz w:val="22"/>
                <w:lang w:val="en-GB"/>
              </w:rPr>
              <w:t>n</w:t>
            </w:r>
          </w:p>
        </w:tc>
      </w:tr>
      <w:tr w:rsidR="001A2FCF" w:rsidRPr="003752FB" w14:paraId="5752FD3A"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E9E0201"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一般风险准备</w:t>
            </w:r>
          </w:p>
        </w:tc>
        <w:tc>
          <w:tcPr>
            <w:tcW w:w="1831" w:type="pct"/>
            <w:tcBorders>
              <w:top w:val="nil"/>
              <w:left w:val="nil"/>
              <w:bottom w:val="single" w:sz="4" w:space="0" w:color="auto"/>
              <w:right w:val="single" w:sz="4" w:space="0" w:color="auto"/>
            </w:tcBorders>
            <w:shd w:val="clear" w:color="auto" w:fill="auto"/>
          </w:tcPr>
          <w:p w14:paraId="0EBFD076" w14:textId="09940A1E"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549,751.23 </w:t>
            </w:r>
          </w:p>
        </w:tc>
        <w:tc>
          <w:tcPr>
            <w:tcW w:w="444" w:type="pct"/>
            <w:tcBorders>
              <w:top w:val="nil"/>
              <w:left w:val="nil"/>
              <w:bottom w:val="single" w:sz="4" w:space="0" w:color="auto"/>
              <w:right w:val="single" w:sz="4" w:space="0" w:color="auto"/>
            </w:tcBorders>
            <w:shd w:val="clear" w:color="auto" w:fill="auto"/>
            <w:noWrap/>
            <w:vAlign w:val="bottom"/>
            <w:hideMark/>
          </w:tcPr>
          <w:p w14:paraId="6FACE826" w14:textId="7CD095F2"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o</w:t>
            </w:r>
          </w:p>
        </w:tc>
      </w:tr>
      <w:tr w:rsidR="001A2FCF" w:rsidRPr="003752FB" w14:paraId="6286059A"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25C98AFD"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未分配利润</w:t>
            </w:r>
          </w:p>
        </w:tc>
        <w:tc>
          <w:tcPr>
            <w:tcW w:w="1831" w:type="pct"/>
            <w:tcBorders>
              <w:top w:val="nil"/>
              <w:left w:val="nil"/>
              <w:bottom w:val="single" w:sz="4" w:space="0" w:color="auto"/>
              <w:right w:val="single" w:sz="4" w:space="0" w:color="auto"/>
            </w:tcBorders>
            <w:shd w:val="clear" w:color="auto" w:fill="auto"/>
          </w:tcPr>
          <w:p w14:paraId="3FE5DB7C" w14:textId="41F7547B"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971,041.79 </w:t>
            </w:r>
          </w:p>
        </w:tc>
        <w:tc>
          <w:tcPr>
            <w:tcW w:w="444" w:type="pct"/>
            <w:tcBorders>
              <w:top w:val="nil"/>
              <w:left w:val="nil"/>
              <w:bottom w:val="single" w:sz="4" w:space="0" w:color="auto"/>
              <w:right w:val="single" w:sz="4" w:space="0" w:color="auto"/>
            </w:tcBorders>
            <w:shd w:val="clear" w:color="auto" w:fill="auto"/>
            <w:noWrap/>
            <w:vAlign w:val="bottom"/>
            <w:hideMark/>
          </w:tcPr>
          <w:p w14:paraId="7021FA23" w14:textId="71A1C693"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p</w:t>
            </w:r>
          </w:p>
        </w:tc>
      </w:tr>
      <w:tr w:rsidR="001A2FCF" w:rsidRPr="003752FB" w14:paraId="3297A2D6"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4A91CC92"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应付债券</w:t>
            </w:r>
          </w:p>
        </w:tc>
        <w:tc>
          <w:tcPr>
            <w:tcW w:w="1831" w:type="pct"/>
            <w:tcBorders>
              <w:top w:val="nil"/>
              <w:left w:val="nil"/>
              <w:bottom w:val="single" w:sz="4" w:space="0" w:color="auto"/>
              <w:right w:val="single" w:sz="4" w:space="0" w:color="auto"/>
            </w:tcBorders>
            <w:shd w:val="clear" w:color="auto" w:fill="auto"/>
          </w:tcPr>
          <w:p w14:paraId="5661DEE5" w14:textId="2B7CB5AE"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6,763,951.96 </w:t>
            </w:r>
          </w:p>
        </w:tc>
        <w:tc>
          <w:tcPr>
            <w:tcW w:w="444" w:type="pct"/>
            <w:tcBorders>
              <w:top w:val="nil"/>
              <w:left w:val="nil"/>
              <w:bottom w:val="single" w:sz="4" w:space="0" w:color="auto"/>
              <w:right w:val="single" w:sz="4" w:space="0" w:color="auto"/>
            </w:tcBorders>
            <w:shd w:val="clear" w:color="auto" w:fill="auto"/>
            <w:noWrap/>
            <w:vAlign w:val="bottom"/>
            <w:hideMark/>
          </w:tcPr>
          <w:p w14:paraId="03B0D994"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t>
            </w:r>
          </w:p>
        </w:tc>
      </w:tr>
      <w:tr w:rsidR="001A2FCF" w:rsidRPr="003752FB" w14:paraId="7A8EE47C" w14:textId="77777777" w:rsidTr="00F14E1E">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E4EBBB0"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其中：可计入二级资本工具及其溢价的发行债务</w:t>
            </w:r>
          </w:p>
        </w:tc>
        <w:tc>
          <w:tcPr>
            <w:tcW w:w="1831" w:type="pct"/>
            <w:tcBorders>
              <w:top w:val="nil"/>
              <w:left w:val="nil"/>
              <w:bottom w:val="single" w:sz="4" w:space="0" w:color="auto"/>
              <w:right w:val="single" w:sz="4" w:space="0" w:color="auto"/>
            </w:tcBorders>
            <w:shd w:val="clear" w:color="auto" w:fill="auto"/>
            <w:vAlign w:val="center"/>
          </w:tcPr>
          <w:p w14:paraId="2D8347E0" w14:textId="7DD29E16" w:rsidR="001A2FCF" w:rsidRPr="003752FB" w:rsidRDefault="001A2FCF" w:rsidP="00F14E1E">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449,955.70 </w:t>
            </w:r>
          </w:p>
        </w:tc>
        <w:tc>
          <w:tcPr>
            <w:tcW w:w="444" w:type="pct"/>
            <w:tcBorders>
              <w:top w:val="nil"/>
              <w:left w:val="nil"/>
              <w:bottom w:val="single" w:sz="4" w:space="0" w:color="auto"/>
              <w:right w:val="single" w:sz="4" w:space="0" w:color="auto"/>
            </w:tcBorders>
            <w:shd w:val="clear" w:color="auto" w:fill="auto"/>
            <w:noWrap/>
            <w:vAlign w:val="center"/>
            <w:hideMark/>
          </w:tcPr>
          <w:p w14:paraId="20691672" w14:textId="62DD66D4"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q</w:t>
            </w:r>
          </w:p>
        </w:tc>
      </w:tr>
      <w:tr w:rsidR="001A2FCF" w:rsidRPr="003752FB" w14:paraId="77DD237B"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6E0576A" w14:textId="10778DFA"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其他</w:t>
            </w:r>
          </w:p>
        </w:tc>
        <w:tc>
          <w:tcPr>
            <w:tcW w:w="1831" w:type="pct"/>
            <w:tcBorders>
              <w:top w:val="nil"/>
              <w:left w:val="nil"/>
              <w:bottom w:val="single" w:sz="4" w:space="0" w:color="auto"/>
              <w:right w:val="single" w:sz="4" w:space="0" w:color="auto"/>
            </w:tcBorders>
            <w:shd w:val="clear" w:color="auto" w:fill="auto"/>
          </w:tcPr>
          <w:p w14:paraId="77866CC6" w14:textId="043551F8"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53,175.33 </w:t>
            </w:r>
          </w:p>
        </w:tc>
        <w:tc>
          <w:tcPr>
            <w:tcW w:w="444" w:type="pct"/>
            <w:tcBorders>
              <w:top w:val="nil"/>
              <w:left w:val="nil"/>
              <w:bottom w:val="single" w:sz="4" w:space="0" w:color="auto"/>
              <w:right w:val="single" w:sz="4" w:space="0" w:color="auto"/>
            </w:tcBorders>
            <w:shd w:val="clear" w:color="auto" w:fill="auto"/>
            <w:noWrap/>
            <w:vAlign w:val="bottom"/>
            <w:hideMark/>
          </w:tcPr>
          <w:p w14:paraId="7B07DE03" w14:textId="4F1380DF"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r</w:t>
            </w:r>
          </w:p>
        </w:tc>
      </w:tr>
      <w:tr w:rsidR="001A2FCF" w:rsidRPr="003752FB" w14:paraId="3EEB2614"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9A71267"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少数股东权益</w:t>
            </w:r>
          </w:p>
        </w:tc>
        <w:tc>
          <w:tcPr>
            <w:tcW w:w="1831" w:type="pct"/>
            <w:tcBorders>
              <w:top w:val="nil"/>
              <w:left w:val="nil"/>
              <w:bottom w:val="single" w:sz="4" w:space="0" w:color="auto"/>
              <w:right w:val="single" w:sz="4" w:space="0" w:color="auto"/>
            </w:tcBorders>
            <w:shd w:val="clear" w:color="auto" w:fill="auto"/>
          </w:tcPr>
          <w:p w14:paraId="1979E8D7" w14:textId="7D94EAC0"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164,287.75 </w:t>
            </w:r>
          </w:p>
        </w:tc>
        <w:tc>
          <w:tcPr>
            <w:tcW w:w="444" w:type="pct"/>
            <w:tcBorders>
              <w:top w:val="nil"/>
              <w:left w:val="nil"/>
              <w:bottom w:val="single" w:sz="4" w:space="0" w:color="auto"/>
              <w:right w:val="single" w:sz="4" w:space="0" w:color="auto"/>
            </w:tcBorders>
            <w:shd w:val="clear" w:color="auto" w:fill="auto"/>
            <w:noWrap/>
            <w:vAlign w:val="bottom"/>
            <w:hideMark/>
          </w:tcPr>
          <w:p w14:paraId="74E63779"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t>
            </w:r>
          </w:p>
        </w:tc>
      </w:tr>
      <w:tr w:rsidR="001A2FCF" w:rsidRPr="003752FB" w14:paraId="43FF597D"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5E209053"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其中：可计入核心一级资本的数额</w:t>
            </w:r>
          </w:p>
        </w:tc>
        <w:tc>
          <w:tcPr>
            <w:tcW w:w="1831" w:type="pct"/>
            <w:tcBorders>
              <w:top w:val="nil"/>
              <w:left w:val="nil"/>
              <w:bottom w:val="single" w:sz="4" w:space="0" w:color="auto"/>
              <w:right w:val="single" w:sz="4" w:space="0" w:color="auto"/>
            </w:tcBorders>
            <w:shd w:val="clear" w:color="auto" w:fill="auto"/>
          </w:tcPr>
          <w:p w14:paraId="224DAFCC" w14:textId="4BA8E037"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103,321.08 </w:t>
            </w:r>
          </w:p>
        </w:tc>
        <w:tc>
          <w:tcPr>
            <w:tcW w:w="444" w:type="pct"/>
            <w:tcBorders>
              <w:top w:val="nil"/>
              <w:left w:val="nil"/>
              <w:bottom w:val="single" w:sz="4" w:space="0" w:color="auto"/>
              <w:right w:val="single" w:sz="4" w:space="0" w:color="auto"/>
            </w:tcBorders>
            <w:shd w:val="clear" w:color="auto" w:fill="auto"/>
            <w:noWrap/>
            <w:vAlign w:val="bottom"/>
            <w:hideMark/>
          </w:tcPr>
          <w:p w14:paraId="195DF150" w14:textId="3C79D894"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s</w:t>
            </w:r>
          </w:p>
        </w:tc>
      </w:tr>
      <w:tr w:rsidR="001A2FCF" w:rsidRPr="003752FB" w14:paraId="6411DF12"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3618D891"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其中：可计入其他一级资本的数额</w:t>
            </w:r>
          </w:p>
        </w:tc>
        <w:tc>
          <w:tcPr>
            <w:tcW w:w="1831" w:type="pct"/>
            <w:tcBorders>
              <w:top w:val="nil"/>
              <w:left w:val="nil"/>
              <w:bottom w:val="single" w:sz="4" w:space="0" w:color="auto"/>
              <w:right w:val="single" w:sz="4" w:space="0" w:color="auto"/>
            </w:tcBorders>
            <w:shd w:val="clear" w:color="auto" w:fill="auto"/>
          </w:tcPr>
          <w:p w14:paraId="72390971" w14:textId="47CD29BF"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13,776.14 </w:t>
            </w:r>
          </w:p>
        </w:tc>
        <w:tc>
          <w:tcPr>
            <w:tcW w:w="444" w:type="pct"/>
            <w:tcBorders>
              <w:top w:val="nil"/>
              <w:left w:val="nil"/>
              <w:bottom w:val="single" w:sz="4" w:space="0" w:color="auto"/>
              <w:right w:val="single" w:sz="4" w:space="0" w:color="auto"/>
            </w:tcBorders>
            <w:shd w:val="clear" w:color="auto" w:fill="auto"/>
            <w:noWrap/>
            <w:vAlign w:val="bottom"/>
            <w:hideMark/>
          </w:tcPr>
          <w:p w14:paraId="112C1AEE" w14:textId="1E2A394C"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t</w:t>
            </w:r>
          </w:p>
        </w:tc>
      </w:tr>
      <w:tr w:rsidR="001A2FCF" w:rsidRPr="003752FB" w14:paraId="2E72922D"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1CA7A1BD"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其中：可计入二级资本的数额</w:t>
            </w:r>
          </w:p>
        </w:tc>
        <w:tc>
          <w:tcPr>
            <w:tcW w:w="1831" w:type="pct"/>
            <w:tcBorders>
              <w:top w:val="nil"/>
              <w:left w:val="nil"/>
              <w:bottom w:val="single" w:sz="4" w:space="0" w:color="auto"/>
              <w:right w:val="single" w:sz="4" w:space="0" w:color="auto"/>
            </w:tcBorders>
            <w:shd w:val="clear" w:color="auto" w:fill="auto"/>
          </w:tcPr>
          <w:p w14:paraId="65F48E39" w14:textId="0F400B34"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27,551.89 </w:t>
            </w:r>
          </w:p>
        </w:tc>
        <w:tc>
          <w:tcPr>
            <w:tcW w:w="444" w:type="pct"/>
            <w:tcBorders>
              <w:top w:val="nil"/>
              <w:left w:val="nil"/>
              <w:bottom w:val="single" w:sz="4" w:space="0" w:color="auto"/>
              <w:right w:val="single" w:sz="4" w:space="0" w:color="auto"/>
            </w:tcBorders>
            <w:shd w:val="clear" w:color="auto" w:fill="auto"/>
            <w:noWrap/>
            <w:vAlign w:val="bottom"/>
            <w:hideMark/>
          </w:tcPr>
          <w:p w14:paraId="7201143E" w14:textId="43306B6C"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u</w:t>
            </w:r>
          </w:p>
        </w:tc>
      </w:tr>
      <w:tr w:rsidR="001A2FCF" w:rsidRPr="003752FB" w14:paraId="7BBAADB9"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7C5E815D"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发放贷款及垫款总额</w:t>
            </w:r>
          </w:p>
        </w:tc>
        <w:tc>
          <w:tcPr>
            <w:tcW w:w="1831" w:type="pct"/>
            <w:tcBorders>
              <w:top w:val="nil"/>
              <w:left w:val="nil"/>
              <w:bottom w:val="single" w:sz="4" w:space="0" w:color="auto"/>
              <w:right w:val="single" w:sz="4" w:space="0" w:color="auto"/>
            </w:tcBorders>
            <w:shd w:val="clear" w:color="auto" w:fill="auto"/>
          </w:tcPr>
          <w:p w14:paraId="5095D5C1" w14:textId="72D36EE1"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23,809,808.72 </w:t>
            </w:r>
          </w:p>
        </w:tc>
        <w:tc>
          <w:tcPr>
            <w:tcW w:w="444" w:type="pct"/>
            <w:tcBorders>
              <w:top w:val="nil"/>
              <w:left w:val="nil"/>
              <w:bottom w:val="single" w:sz="4" w:space="0" w:color="auto"/>
              <w:right w:val="single" w:sz="4" w:space="0" w:color="auto"/>
            </w:tcBorders>
            <w:shd w:val="clear" w:color="auto" w:fill="auto"/>
            <w:noWrap/>
            <w:vAlign w:val="bottom"/>
            <w:hideMark/>
          </w:tcPr>
          <w:p w14:paraId="1F362874"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t>
            </w:r>
          </w:p>
        </w:tc>
      </w:tr>
      <w:tr w:rsidR="001A2FCF" w:rsidRPr="003752FB" w14:paraId="0B34D8EB" w14:textId="77777777" w:rsidTr="00FE6B4D">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43A78C44"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权重法下，实际计提的贷款损失准备金额</w:t>
            </w:r>
          </w:p>
        </w:tc>
        <w:tc>
          <w:tcPr>
            <w:tcW w:w="1831" w:type="pct"/>
            <w:tcBorders>
              <w:top w:val="nil"/>
              <w:left w:val="nil"/>
              <w:bottom w:val="single" w:sz="4" w:space="0" w:color="auto"/>
              <w:right w:val="single" w:sz="4" w:space="0" w:color="auto"/>
            </w:tcBorders>
            <w:shd w:val="clear" w:color="auto" w:fill="auto"/>
          </w:tcPr>
          <w:p w14:paraId="0DBCE280" w14:textId="38F5D17A"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1,071,963.31 </w:t>
            </w:r>
          </w:p>
        </w:tc>
        <w:tc>
          <w:tcPr>
            <w:tcW w:w="444" w:type="pct"/>
            <w:tcBorders>
              <w:top w:val="nil"/>
              <w:left w:val="nil"/>
              <w:bottom w:val="single" w:sz="4" w:space="0" w:color="auto"/>
              <w:right w:val="single" w:sz="4" w:space="0" w:color="auto"/>
            </w:tcBorders>
            <w:shd w:val="clear" w:color="auto" w:fill="auto"/>
            <w:noWrap/>
            <w:vAlign w:val="bottom"/>
            <w:hideMark/>
          </w:tcPr>
          <w:p w14:paraId="2249FB27" w14:textId="5BA4CF0C"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v</w:t>
            </w:r>
          </w:p>
        </w:tc>
      </w:tr>
      <w:tr w:rsidR="001A2FCF" w:rsidRPr="003752FB" w14:paraId="126CF37B" w14:textId="77777777" w:rsidTr="00F14E1E">
        <w:trPr>
          <w:trHeight w:val="270"/>
        </w:trPr>
        <w:tc>
          <w:tcPr>
            <w:tcW w:w="2725" w:type="pct"/>
            <w:tcBorders>
              <w:top w:val="nil"/>
              <w:left w:val="single" w:sz="4" w:space="0" w:color="auto"/>
              <w:bottom w:val="single" w:sz="4" w:space="0" w:color="auto"/>
              <w:right w:val="single" w:sz="4" w:space="0" w:color="auto"/>
            </w:tcBorders>
            <w:shd w:val="clear" w:color="auto" w:fill="auto"/>
            <w:noWrap/>
            <w:vAlign w:val="center"/>
            <w:hideMark/>
          </w:tcPr>
          <w:p w14:paraId="0572695F" w14:textId="77777777" w:rsidR="001A2FCF" w:rsidRPr="003752FB" w:rsidRDefault="001A2FCF" w:rsidP="001A2FCF">
            <w:pPr>
              <w:widowControl/>
              <w:ind w:firstLineChars="100" w:firstLine="220"/>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其中：权重法下，可计入二级资本超额贷款损失准备的数额</w:t>
            </w:r>
          </w:p>
        </w:tc>
        <w:tc>
          <w:tcPr>
            <w:tcW w:w="1831" w:type="pct"/>
            <w:tcBorders>
              <w:top w:val="nil"/>
              <w:left w:val="nil"/>
              <w:bottom w:val="single" w:sz="4" w:space="0" w:color="auto"/>
              <w:right w:val="single" w:sz="4" w:space="0" w:color="auto"/>
            </w:tcBorders>
            <w:shd w:val="clear" w:color="auto" w:fill="auto"/>
            <w:vAlign w:val="center"/>
          </w:tcPr>
          <w:p w14:paraId="11410541" w14:textId="3934F8A0" w:rsidR="001A2FCF" w:rsidRPr="003752FB" w:rsidRDefault="001A2FCF" w:rsidP="00F14E1E">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369,790.75 </w:t>
            </w:r>
          </w:p>
        </w:tc>
        <w:tc>
          <w:tcPr>
            <w:tcW w:w="444" w:type="pct"/>
            <w:tcBorders>
              <w:top w:val="nil"/>
              <w:left w:val="nil"/>
              <w:bottom w:val="single" w:sz="4" w:space="0" w:color="auto"/>
              <w:right w:val="single" w:sz="4" w:space="0" w:color="auto"/>
            </w:tcBorders>
            <w:shd w:val="clear" w:color="auto" w:fill="auto"/>
            <w:noWrap/>
            <w:vAlign w:val="center"/>
            <w:hideMark/>
          </w:tcPr>
          <w:p w14:paraId="06735ABF" w14:textId="5CA7F60B"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w:t>
            </w:r>
          </w:p>
        </w:tc>
      </w:tr>
    </w:tbl>
    <w:p w14:paraId="78C581F5" w14:textId="77777777" w:rsidR="001E0D63" w:rsidRPr="003752FB" w:rsidRDefault="001E0D63" w:rsidP="001E0D63">
      <w:pPr>
        <w:rPr>
          <w:rFonts w:ascii="Times New Roman" w:hAnsi="Times New Roman" w:cs="Times New Roman"/>
          <w:sz w:val="18"/>
          <w:szCs w:val="18"/>
        </w:rPr>
      </w:pPr>
      <w:r w:rsidRPr="003752FB">
        <w:rPr>
          <w:rFonts w:ascii="Times New Roman" w:hAnsi="Times New Roman" w:cs="Times New Roman" w:hint="eastAsia"/>
          <w:sz w:val="18"/>
          <w:szCs w:val="18"/>
        </w:rPr>
        <w:t>注：依照《商业银行资本管理办法（试行）》（中国银行业监督管理委员会</w:t>
      </w:r>
      <w:r w:rsidRPr="003752FB">
        <w:rPr>
          <w:rFonts w:ascii="Times New Roman" w:hAnsi="Times New Roman" w:cs="Times New Roman" w:hint="eastAsia"/>
          <w:sz w:val="18"/>
          <w:szCs w:val="18"/>
        </w:rPr>
        <w:t>2012</w:t>
      </w:r>
      <w:r w:rsidRPr="003752FB">
        <w:rPr>
          <w:rFonts w:ascii="Times New Roman" w:hAnsi="Times New Roman" w:cs="Times New Roman" w:hint="eastAsia"/>
          <w:sz w:val="18"/>
          <w:szCs w:val="18"/>
        </w:rPr>
        <w:t>年第</w:t>
      </w:r>
      <w:r w:rsidRPr="003752FB">
        <w:rPr>
          <w:rFonts w:ascii="Times New Roman" w:hAnsi="Times New Roman" w:cs="Times New Roman" w:hint="eastAsia"/>
          <w:sz w:val="18"/>
          <w:szCs w:val="18"/>
        </w:rPr>
        <w:t>1</w:t>
      </w:r>
      <w:r w:rsidRPr="003752FB">
        <w:rPr>
          <w:rFonts w:ascii="Times New Roman" w:hAnsi="Times New Roman" w:cs="Times New Roman" w:hint="eastAsia"/>
          <w:sz w:val="18"/>
          <w:szCs w:val="18"/>
        </w:rPr>
        <w:t>号令）要求，根据经审计的合并财务报表数据重新计算。</w:t>
      </w:r>
    </w:p>
    <w:p w14:paraId="4C1790C2" w14:textId="77777777" w:rsidR="00AB6D2C" w:rsidRPr="003752FB" w:rsidRDefault="00AB6D2C" w:rsidP="00AB6D2C">
      <w:pPr>
        <w:ind w:firstLine="420"/>
        <w:rPr>
          <w:rFonts w:ascii="Times New Roman" w:hAnsi="Times New Roman" w:cs="Times New Roman"/>
        </w:rPr>
      </w:pPr>
    </w:p>
    <w:p w14:paraId="3F194CF3" w14:textId="77777777" w:rsidR="00AB6D2C" w:rsidRPr="003752FB" w:rsidRDefault="00AB6D2C">
      <w:pPr>
        <w:widowControl/>
        <w:jc w:val="left"/>
        <w:rPr>
          <w:rFonts w:ascii="Times New Roman" w:hAnsi="Times New Roman" w:cs="Times New Roman"/>
        </w:rPr>
      </w:pPr>
      <w:r w:rsidRPr="003752FB">
        <w:rPr>
          <w:rFonts w:ascii="Times New Roman" w:hAnsi="Times New Roman" w:cs="Times New Roman"/>
        </w:rPr>
        <w:br w:type="page"/>
      </w:r>
    </w:p>
    <w:p w14:paraId="48A9E463" w14:textId="77777777" w:rsidR="00AB6D2C" w:rsidRPr="003752FB" w:rsidRDefault="00AB6D2C" w:rsidP="00AB6D2C">
      <w:pPr>
        <w:ind w:firstLine="420"/>
        <w:rPr>
          <w:rFonts w:ascii="Times New Roman" w:hAnsi="Times New Roman" w:cs="Times New Roman"/>
          <w:b/>
          <w:sz w:val="24"/>
          <w:szCs w:val="21"/>
        </w:rPr>
      </w:pPr>
      <w:r w:rsidRPr="003752FB">
        <w:rPr>
          <w:rFonts w:ascii="Times New Roman" w:hAnsi="Times New Roman" w:cs="Times New Roman"/>
          <w:b/>
          <w:sz w:val="24"/>
          <w:szCs w:val="21"/>
        </w:rPr>
        <w:lastRenderedPageBreak/>
        <w:t>三、展开项目与资本构成披露模板中的项目对应关系表</w:t>
      </w:r>
    </w:p>
    <w:p w14:paraId="38AB8933" w14:textId="77777777" w:rsidR="00834A3C" w:rsidRPr="003752FB" w:rsidRDefault="00834A3C" w:rsidP="00AB6D2C">
      <w:pPr>
        <w:ind w:firstLine="420"/>
        <w:rPr>
          <w:rFonts w:ascii="Times New Roman" w:hAnsi="Times New Roman" w:cs="Times New Roman"/>
          <w:b/>
          <w:sz w:val="24"/>
          <w:szCs w:val="21"/>
        </w:rPr>
      </w:pPr>
    </w:p>
    <w:p w14:paraId="27BB3E33" w14:textId="77777777" w:rsidR="00AB6D2C" w:rsidRPr="003752FB" w:rsidRDefault="00AB6D2C" w:rsidP="00AB6D2C">
      <w:pPr>
        <w:ind w:firstLine="420"/>
        <w:jc w:val="right"/>
        <w:rPr>
          <w:rFonts w:ascii="Times New Roman" w:hAnsi="Times New Roman" w:cs="Times New Roman"/>
        </w:rPr>
      </w:pPr>
      <w:r w:rsidRPr="003752FB">
        <w:rPr>
          <w:rFonts w:ascii="Times New Roman" w:hAnsi="Times New Roman" w:cs="Times New Roman"/>
        </w:rPr>
        <w:t>单位：人民币万元</w:t>
      </w:r>
    </w:p>
    <w:tbl>
      <w:tblPr>
        <w:tblW w:w="5000" w:type="pct"/>
        <w:tblLook w:val="04A0" w:firstRow="1" w:lastRow="0" w:firstColumn="1" w:lastColumn="0" w:noHBand="0" w:noVBand="1"/>
      </w:tblPr>
      <w:tblGrid>
        <w:gridCol w:w="517"/>
        <w:gridCol w:w="5261"/>
        <w:gridCol w:w="1842"/>
        <w:gridCol w:w="902"/>
      </w:tblGrid>
      <w:tr w:rsidR="00AB6D2C" w:rsidRPr="003752FB" w14:paraId="09B713FC"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54DE7BE"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核心一级资本</w:t>
            </w:r>
          </w:p>
        </w:tc>
        <w:tc>
          <w:tcPr>
            <w:tcW w:w="1081"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8C04D39" w14:textId="77777777" w:rsidR="00AB6D2C" w:rsidRPr="003752FB" w:rsidRDefault="00AB6D2C" w:rsidP="00AB6D2C">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数额</w:t>
            </w:r>
          </w:p>
        </w:tc>
        <w:tc>
          <w:tcPr>
            <w:tcW w:w="52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5F5E71" w14:textId="77777777" w:rsidR="00AB6D2C" w:rsidRPr="003752FB" w:rsidRDefault="00AB6D2C" w:rsidP="003E26F0">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代码</w:t>
            </w:r>
          </w:p>
        </w:tc>
      </w:tr>
      <w:tr w:rsidR="001A2FCF" w:rsidRPr="003752FB" w14:paraId="011E7B62"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F8652A2"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w:t>
            </w:r>
          </w:p>
        </w:tc>
        <w:tc>
          <w:tcPr>
            <w:tcW w:w="3087" w:type="pct"/>
            <w:tcBorders>
              <w:top w:val="nil"/>
              <w:left w:val="nil"/>
              <w:bottom w:val="single" w:sz="4" w:space="0" w:color="auto"/>
              <w:right w:val="single" w:sz="4" w:space="0" w:color="auto"/>
            </w:tcBorders>
            <w:shd w:val="clear" w:color="auto" w:fill="auto"/>
            <w:vAlign w:val="center"/>
            <w:hideMark/>
          </w:tcPr>
          <w:p w14:paraId="6F1CF182"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实收资本</w:t>
            </w:r>
          </w:p>
        </w:tc>
        <w:tc>
          <w:tcPr>
            <w:tcW w:w="1081" w:type="pct"/>
            <w:tcBorders>
              <w:top w:val="nil"/>
              <w:left w:val="nil"/>
              <w:bottom w:val="single" w:sz="4" w:space="0" w:color="auto"/>
              <w:right w:val="single" w:sz="4" w:space="0" w:color="auto"/>
            </w:tcBorders>
            <w:shd w:val="clear" w:color="auto" w:fill="auto"/>
          </w:tcPr>
          <w:p w14:paraId="4469EE34" w14:textId="26D8480A"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333,337.53 </w:t>
            </w:r>
          </w:p>
        </w:tc>
        <w:tc>
          <w:tcPr>
            <w:tcW w:w="529" w:type="pct"/>
            <w:tcBorders>
              <w:top w:val="nil"/>
              <w:left w:val="nil"/>
              <w:bottom w:val="single" w:sz="4" w:space="0" w:color="auto"/>
              <w:right w:val="single" w:sz="4" w:space="0" w:color="auto"/>
            </w:tcBorders>
            <w:shd w:val="clear" w:color="auto" w:fill="auto"/>
            <w:noWrap/>
            <w:vAlign w:val="center"/>
            <w:hideMark/>
          </w:tcPr>
          <w:p w14:paraId="2EE422F9" w14:textId="264DFDAA"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k</w:t>
            </w:r>
          </w:p>
        </w:tc>
      </w:tr>
      <w:tr w:rsidR="001A2FCF" w:rsidRPr="003752FB" w14:paraId="7F1BA3AC"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97018AD"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2a</w:t>
            </w:r>
          </w:p>
        </w:tc>
        <w:tc>
          <w:tcPr>
            <w:tcW w:w="3087" w:type="pct"/>
            <w:tcBorders>
              <w:top w:val="nil"/>
              <w:left w:val="nil"/>
              <w:bottom w:val="single" w:sz="4" w:space="0" w:color="auto"/>
              <w:right w:val="single" w:sz="4" w:space="0" w:color="auto"/>
            </w:tcBorders>
            <w:shd w:val="clear" w:color="auto" w:fill="auto"/>
            <w:vAlign w:val="center"/>
            <w:hideMark/>
          </w:tcPr>
          <w:p w14:paraId="2C6F4F8F"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盈余公积</w:t>
            </w:r>
          </w:p>
        </w:tc>
        <w:tc>
          <w:tcPr>
            <w:tcW w:w="1081" w:type="pct"/>
            <w:tcBorders>
              <w:top w:val="nil"/>
              <w:left w:val="nil"/>
              <w:bottom w:val="single" w:sz="4" w:space="0" w:color="auto"/>
              <w:right w:val="single" w:sz="4" w:space="0" w:color="auto"/>
            </w:tcBorders>
            <w:shd w:val="clear" w:color="auto" w:fill="auto"/>
          </w:tcPr>
          <w:p w14:paraId="454BF475" w14:textId="733C4AE1"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250,445.33 </w:t>
            </w:r>
          </w:p>
        </w:tc>
        <w:tc>
          <w:tcPr>
            <w:tcW w:w="529" w:type="pct"/>
            <w:tcBorders>
              <w:top w:val="nil"/>
              <w:left w:val="nil"/>
              <w:bottom w:val="single" w:sz="4" w:space="0" w:color="auto"/>
              <w:right w:val="single" w:sz="4" w:space="0" w:color="auto"/>
            </w:tcBorders>
            <w:shd w:val="clear" w:color="auto" w:fill="auto"/>
            <w:noWrap/>
            <w:vAlign w:val="center"/>
            <w:hideMark/>
          </w:tcPr>
          <w:p w14:paraId="0DEE03FC" w14:textId="7277C6A5"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n</w:t>
            </w:r>
          </w:p>
        </w:tc>
      </w:tr>
      <w:tr w:rsidR="001A2FCF" w:rsidRPr="003752FB" w14:paraId="12FCB0BA"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62630879"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2b</w:t>
            </w:r>
          </w:p>
        </w:tc>
        <w:tc>
          <w:tcPr>
            <w:tcW w:w="3087" w:type="pct"/>
            <w:tcBorders>
              <w:top w:val="nil"/>
              <w:left w:val="nil"/>
              <w:bottom w:val="single" w:sz="4" w:space="0" w:color="auto"/>
              <w:right w:val="single" w:sz="4" w:space="0" w:color="auto"/>
            </w:tcBorders>
            <w:shd w:val="clear" w:color="auto" w:fill="auto"/>
            <w:vAlign w:val="center"/>
            <w:hideMark/>
          </w:tcPr>
          <w:p w14:paraId="0C490811"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一般风险准备</w:t>
            </w:r>
          </w:p>
        </w:tc>
        <w:tc>
          <w:tcPr>
            <w:tcW w:w="1081" w:type="pct"/>
            <w:tcBorders>
              <w:top w:val="nil"/>
              <w:left w:val="nil"/>
              <w:bottom w:val="single" w:sz="4" w:space="0" w:color="auto"/>
              <w:right w:val="single" w:sz="4" w:space="0" w:color="auto"/>
            </w:tcBorders>
            <w:shd w:val="clear" w:color="auto" w:fill="auto"/>
          </w:tcPr>
          <w:p w14:paraId="68C71C2F" w14:textId="1C1DB1F4"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549,751.23 </w:t>
            </w:r>
          </w:p>
        </w:tc>
        <w:tc>
          <w:tcPr>
            <w:tcW w:w="529" w:type="pct"/>
            <w:tcBorders>
              <w:top w:val="nil"/>
              <w:left w:val="nil"/>
              <w:bottom w:val="single" w:sz="4" w:space="0" w:color="auto"/>
              <w:right w:val="single" w:sz="4" w:space="0" w:color="auto"/>
            </w:tcBorders>
            <w:shd w:val="clear" w:color="auto" w:fill="auto"/>
            <w:noWrap/>
            <w:vAlign w:val="center"/>
            <w:hideMark/>
          </w:tcPr>
          <w:p w14:paraId="39913721" w14:textId="629EB292"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o</w:t>
            </w:r>
          </w:p>
        </w:tc>
      </w:tr>
      <w:tr w:rsidR="001A2FCF" w:rsidRPr="003752FB" w14:paraId="2117162B"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3148AD8"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2c</w:t>
            </w:r>
          </w:p>
        </w:tc>
        <w:tc>
          <w:tcPr>
            <w:tcW w:w="3087" w:type="pct"/>
            <w:tcBorders>
              <w:top w:val="nil"/>
              <w:left w:val="nil"/>
              <w:bottom w:val="single" w:sz="4" w:space="0" w:color="auto"/>
              <w:right w:val="single" w:sz="4" w:space="0" w:color="auto"/>
            </w:tcBorders>
            <w:shd w:val="clear" w:color="auto" w:fill="auto"/>
            <w:vAlign w:val="center"/>
            <w:hideMark/>
          </w:tcPr>
          <w:p w14:paraId="461F2795"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未分配利润</w:t>
            </w:r>
          </w:p>
        </w:tc>
        <w:tc>
          <w:tcPr>
            <w:tcW w:w="1081" w:type="pct"/>
            <w:tcBorders>
              <w:top w:val="nil"/>
              <w:left w:val="nil"/>
              <w:bottom w:val="single" w:sz="4" w:space="0" w:color="auto"/>
              <w:right w:val="single" w:sz="4" w:space="0" w:color="auto"/>
            </w:tcBorders>
            <w:shd w:val="clear" w:color="auto" w:fill="auto"/>
          </w:tcPr>
          <w:p w14:paraId="343E51EE" w14:textId="5DAF53AB"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971,041.79 </w:t>
            </w:r>
          </w:p>
        </w:tc>
        <w:tc>
          <w:tcPr>
            <w:tcW w:w="529" w:type="pct"/>
            <w:tcBorders>
              <w:top w:val="nil"/>
              <w:left w:val="nil"/>
              <w:bottom w:val="single" w:sz="4" w:space="0" w:color="auto"/>
              <w:right w:val="single" w:sz="4" w:space="0" w:color="auto"/>
            </w:tcBorders>
            <w:shd w:val="clear" w:color="auto" w:fill="auto"/>
            <w:noWrap/>
            <w:vAlign w:val="center"/>
            <w:hideMark/>
          </w:tcPr>
          <w:p w14:paraId="55D9D6ED" w14:textId="7D3585B1"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p</w:t>
            </w:r>
          </w:p>
        </w:tc>
      </w:tr>
      <w:tr w:rsidR="001A2FCF" w:rsidRPr="003752FB" w14:paraId="1EA2F266"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DBA41D2"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3a</w:t>
            </w:r>
          </w:p>
        </w:tc>
        <w:tc>
          <w:tcPr>
            <w:tcW w:w="3087" w:type="pct"/>
            <w:tcBorders>
              <w:top w:val="nil"/>
              <w:left w:val="nil"/>
              <w:bottom w:val="single" w:sz="4" w:space="0" w:color="auto"/>
              <w:right w:val="single" w:sz="4" w:space="0" w:color="auto"/>
            </w:tcBorders>
            <w:shd w:val="clear" w:color="auto" w:fill="auto"/>
            <w:vAlign w:val="center"/>
            <w:hideMark/>
          </w:tcPr>
          <w:p w14:paraId="3D7BD2BB"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资本公积</w:t>
            </w:r>
          </w:p>
        </w:tc>
        <w:tc>
          <w:tcPr>
            <w:tcW w:w="1081" w:type="pct"/>
            <w:tcBorders>
              <w:top w:val="nil"/>
              <w:left w:val="nil"/>
              <w:bottom w:val="single" w:sz="4" w:space="0" w:color="auto"/>
              <w:right w:val="single" w:sz="4" w:space="0" w:color="auto"/>
            </w:tcBorders>
            <w:shd w:val="clear" w:color="auto" w:fill="auto"/>
          </w:tcPr>
          <w:p w14:paraId="525027AD" w14:textId="1B1F02E3"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1,082,935.70 </w:t>
            </w:r>
          </w:p>
        </w:tc>
        <w:tc>
          <w:tcPr>
            <w:tcW w:w="529" w:type="pct"/>
            <w:tcBorders>
              <w:top w:val="nil"/>
              <w:left w:val="nil"/>
              <w:bottom w:val="single" w:sz="4" w:space="0" w:color="auto"/>
              <w:right w:val="single" w:sz="4" w:space="0" w:color="auto"/>
            </w:tcBorders>
            <w:shd w:val="clear" w:color="auto" w:fill="auto"/>
            <w:noWrap/>
            <w:vAlign w:val="center"/>
            <w:hideMark/>
          </w:tcPr>
          <w:p w14:paraId="680EE638" w14:textId="282FF6BC"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m</w:t>
            </w:r>
          </w:p>
        </w:tc>
      </w:tr>
      <w:tr w:rsidR="001A2FCF" w:rsidRPr="003752FB" w14:paraId="28F734B2"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6C39F6CA"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3b</w:t>
            </w:r>
          </w:p>
        </w:tc>
        <w:tc>
          <w:tcPr>
            <w:tcW w:w="3087" w:type="pct"/>
            <w:tcBorders>
              <w:top w:val="nil"/>
              <w:left w:val="nil"/>
              <w:bottom w:val="single" w:sz="4" w:space="0" w:color="auto"/>
              <w:right w:val="single" w:sz="4" w:space="0" w:color="auto"/>
            </w:tcBorders>
            <w:shd w:val="clear" w:color="auto" w:fill="auto"/>
            <w:vAlign w:val="center"/>
            <w:hideMark/>
          </w:tcPr>
          <w:p w14:paraId="06BD8505"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w:t>
            </w:r>
          </w:p>
        </w:tc>
        <w:tc>
          <w:tcPr>
            <w:tcW w:w="1081" w:type="pct"/>
            <w:tcBorders>
              <w:top w:val="nil"/>
              <w:left w:val="nil"/>
              <w:bottom w:val="single" w:sz="4" w:space="0" w:color="auto"/>
              <w:right w:val="single" w:sz="4" w:space="0" w:color="auto"/>
            </w:tcBorders>
            <w:shd w:val="clear" w:color="auto" w:fill="auto"/>
          </w:tcPr>
          <w:p w14:paraId="2FA4B801" w14:textId="17850378"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53,175.33 </w:t>
            </w:r>
          </w:p>
        </w:tc>
        <w:tc>
          <w:tcPr>
            <w:tcW w:w="529" w:type="pct"/>
            <w:tcBorders>
              <w:top w:val="nil"/>
              <w:left w:val="nil"/>
              <w:bottom w:val="single" w:sz="4" w:space="0" w:color="auto"/>
              <w:right w:val="single" w:sz="4" w:space="0" w:color="auto"/>
            </w:tcBorders>
            <w:shd w:val="clear" w:color="auto" w:fill="auto"/>
            <w:noWrap/>
            <w:vAlign w:val="center"/>
            <w:hideMark/>
          </w:tcPr>
          <w:p w14:paraId="5D33D820" w14:textId="1515D30B"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r</w:t>
            </w:r>
          </w:p>
        </w:tc>
      </w:tr>
      <w:tr w:rsidR="001A2FCF" w:rsidRPr="003752FB" w14:paraId="2D7CA52C"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2EAD47D0"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w:t>
            </w:r>
          </w:p>
        </w:tc>
        <w:tc>
          <w:tcPr>
            <w:tcW w:w="3087" w:type="pct"/>
            <w:tcBorders>
              <w:top w:val="nil"/>
              <w:left w:val="nil"/>
              <w:bottom w:val="single" w:sz="4" w:space="0" w:color="auto"/>
              <w:right w:val="single" w:sz="4" w:space="0" w:color="auto"/>
            </w:tcBorders>
            <w:shd w:val="clear" w:color="auto" w:fill="auto"/>
            <w:vAlign w:val="center"/>
            <w:hideMark/>
          </w:tcPr>
          <w:p w14:paraId="48A8C46A"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tcPr>
          <w:p w14:paraId="0D83E5C9" w14:textId="6ADB31F3"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103,321.08 </w:t>
            </w:r>
          </w:p>
        </w:tc>
        <w:tc>
          <w:tcPr>
            <w:tcW w:w="529" w:type="pct"/>
            <w:tcBorders>
              <w:top w:val="nil"/>
              <w:left w:val="nil"/>
              <w:bottom w:val="single" w:sz="4" w:space="0" w:color="auto"/>
              <w:right w:val="single" w:sz="4" w:space="0" w:color="auto"/>
            </w:tcBorders>
            <w:shd w:val="clear" w:color="auto" w:fill="auto"/>
            <w:noWrap/>
            <w:vAlign w:val="center"/>
            <w:hideMark/>
          </w:tcPr>
          <w:p w14:paraId="18130A3E" w14:textId="0DA54C9A"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s</w:t>
            </w:r>
          </w:p>
        </w:tc>
      </w:tr>
      <w:tr w:rsidR="00AB6D2C" w:rsidRPr="003752FB" w14:paraId="30CCFB29"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21D948C0"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核心一级资本：监管调整</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27C8B755" w14:textId="77777777" w:rsidR="00AB6D2C" w:rsidRPr="003752FB" w:rsidRDefault="00AB6D2C" w:rsidP="00AB6D2C">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5A2DF997" w14:textId="77777777" w:rsidR="00AB6D2C" w:rsidRPr="003752FB" w:rsidRDefault="00AB6D2C" w:rsidP="003E26F0">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代码</w:t>
            </w:r>
          </w:p>
        </w:tc>
      </w:tr>
      <w:tr w:rsidR="00AB6D2C" w:rsidRPr="003752FB" w14:paraId="6D36917A" w14:textId="77777777" w:rsidTr="00D0615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2CC1D8D"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8</w:t>
            </w:r>
          </w:p>
        </w:tc>
        <w:tc>
          <w:tcPr>
            <w:tcW w:w="3087" w:type="pct"/>
            <w:tcBorders>
              <w:top w:val="nil"/>
              <w:left w:val="nil"/>
              <w:bottom w:val="single" w:sz="4" w:space="0" w:color="auto"/>
              <w:right w:val="single" w:sz="4" w:space="0" w:color="auto"/>
            </w:tcBorders>
            <w:shd w:val="clear" w:color="auto" w:fill="auto"/>
            <w:vAlign w:val="center"/>
            <w:hideMark/>
          </w:tcPr>
          <w:p w14:paraId="2B9672E8"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商誉（扣除</w:t>
            </w:r>
            <w:proofErr w:type="gramStart"/>
            <w:r w:rsidRPr="003752FB">
              <w:rPr>
                <w:rFonts w:ascii="Times New Roman" w:eastAsia="宋体" w:hAnsi="Times New Roman" w:cs="Times New Roman"/>
                <w:color w:val="000000"/>
                <w:kern w:val="0"/>
                <w:sz w:val="22"/>
              </w:rPr>
              <w:t>递延税负债</w:t>
            </w:r>
            <w:proofErr w:type="gramEnd"/>
            <w:r w:rsidRPr="003752FB">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tcPr>
          <w:p w14:paraId="45C2E91A" w14:textId="77777777" w:rsidR="00AB6D2C" w:rsidRPr="003752FB" w:rsidRDefault="00801CCC" w:rsidP="00ED372B">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c>
          <w:tcPr>
            <w:tcW w:w="529" w:type="pct"/>
            <w:tcBorders>
              <w:top w:val="nil"/>
              <w:left w:val="nil"/>
              <w:bottom w:val="single" w:sz="4" w:space="0" w:color="auto"/>
              <w:right w:val="single" w:sz="4" w:space="0" w:color="auto"/>
            </w:tcBorders>
            <w:shd w:val="clear" w:color="auto" w:fill="auto"/>
            <w:noWrap/>
            <w:vAlign w:val="center"/>
            <w:hideMark/>
          </w:tcPr>
          <w:p w14:paraId="61755479" w14:textId="3BCA098D" w:rsidR="00AB6D2C" w:rsidRPr="003752FB" w:rsidRDefault="00AB6D2C" w:rsidP="003E26F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a-</w:t>
            </w:r>
            <w:proofErr w:type="spellStart"/>
            <w:r w:rsidR="00C034DE" w:rsidRPr="003752FB">
              <w:rPr>
                <w:rFonts w:ascii="Times New Roman" w:eastAsia="宋体" w:hAnsi="Times New Roman" w:cs="Times New Roman"/>
                <w:color w:val="000000"/>
                <w:kern w:val="0"/>
                <w:sz w:val="22"/>
              </w:rPr>
              <w:t>i</w:t>
            </w:r>
            <w:proofErr w:type="spellEnd"/>
          </w:p>
        </w:tc>
      </w:tr>
      <w:tr w:rsidR="00AB6D2C" w:rsidRPr="003752FB" w14:paraId="6C306343" w14:textId="77777777" w:rsidTr="00D0615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6177E842"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9</w:t>
            </w:r>
          </w:p>
        </w:tc>
        <w:tc>
          <w:tcPr>
            <w:tcW w:w="3087" w:type="pct"/>
            <w:tcBorders>
              <w:top w:val="nil"/>
              <w:left w:val="nil"/>
              <w:bottom w:val="single" w:sz="4" w:space="0" w:color="auto"/>
              <w:right w:val="single" w:sz="4" w:space="0" w:color="auto"/>
            </w:tcBorders>
            <w:shd w:val="clear" w:color="auto" w:fill="auto"/>
            <w:vAlign w:val="center"/>
            <w:hideMark/>
          </w:tcPr>
          <w:p w14:paraId="50161E64"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其他无形资产（土地使用权除外）（扣除</w:t>
            </w:r>
            <w:proofErr w:type="gramStart"/>
            <w:r w:rsidRPr="003752FB">
              <w:rPr>
                <w:rFonts w:ascii="Times New Roman" w:eastAsia="宋体" w:hAnsi="Times New Roman" w:cs="Times New Roman"/>
                <w:color w:val="000000"/>
                <w:kern w:val="0"/>
                <w:sz w:val="22"/>
              </w:rPr>
              <w:t>递延税负债</w:t>
            </w:r>
            <w:proofErr w:type="gramEnd"/>
            <w:r w:rsidRPr="003752FB">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vAlign w:val="bottom"/>
          </w:tcPr>
          <w:p w14:paraId="7B98CA2D" w14:textId="6951589B" w:rsidR="00AB6D2C" w:rsidRPr="003752FB" w:rsidRDefault="001A2FCF" w:rsidP="00014A16">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25,364.40</w:t>
            </w:r>
          </w:p>
        </w:tc>
        <w:tc>
          <w:tcPr>
            <w:tcW w:w="529" w:type="pct"/>
            <w:tcBorders>
              <w:top w:val="nil"/>
              <w:left w:val="nil"/>
              <w:bottom w:val="single" w:sz="4" w:space="0" w:color="auto"/>
              <w:right w:val="single" w:sz="4" w:space="0" w:color="auto"/>
            </w:tcBorders>
            <w:shd w:val="clear" w:color="auto" w:fill="auto"/>
            <w:noWrap/>
            <w:vAlign w:val="center"/>
            <w:hideMark/>
          </w:tcPr>
          <w:p w14:paraId="2F91171C" w14:textId="534E5337" w:rsidR="00AB6D2C" w:rsidRPr="003752FB" w:rsidRDefault="00AB6D2C" w:rsidP="003E26F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b-c-</w:t>
            </w:r>
            <w:r w:rsidR="00C034DE" w:rsidRPr="003752FB">
              <w:rPr>
                <w:rFonts w:ascii="Times New Roman" w:eastAsia="宋体" w:hAnsi="Times New Roman" w:cs="Times New Roman"/>
                <w:color w:val="000000"/>
                <w:kern w:val="0"/>
                <w:sz w:val="22"/>
              </w:rPr>
              <w:t>j</w:t>
            </w:r>
          </w:p>
        </w:tc>
      </w:tr>
      <w:tr w:rsidR="00AB6D2C" w:rsidRPr="003752FB" w14:paraId="34E27576" w14:textId="77777777" w:rsidTr="00D0615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175CF63B"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10</w:t>
            </w:r>
          </w:p>
        </w:tc>
        <w:tc>
          <w:tcPr>
            <w:tcW w:w="3087" w:type="pct"/>
            <w:tcBorders>
              <w:top w:val="nil"/>
              <w:left w:val="nil"/>
              <w:bottom w:val="single" w:sz="4" w:space="0" w:color="auto"/>
              <w:right w:val="single" w:sz="4" w:space="0" w:color="auto"/>
            </w:tcBorders>
            <w:shd w:val="clear" w:color="auto" w:fill="auto"/>
            <w:vAlign w:val="center"/>
            <w:hideMark/>
          </w:tcPr>
          <w:p w14:paraId="645EF6B2"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依赖未来盈利的由经营亏损引起的</w:t>
            </w:r>
            <w:proofErr w:type="gramStart"/>
            <w:r w:rsidRPr="003752FB">
              <w:rPr>
                <w:rFonts w:ascii="Times New Roman" w:eastAsia="宋体" w:hAnsi="Times New Roman" w:cs="Times New Roman"/>
                <w:color w:val="000000"/>
                <w:kern w:val="0"/>
                <w:sz w:val="22"/>
              </w:rPr>
              <w:t>净递延税资产</w:t>
            </w:r>
            <w:proofErr w:type="gramEnd"/>
          </w:p>
        </w:tc>
        <w:tc>
          <w:tcPr>
            <w:tcW w:w="1081" w:type="pct"/>
            <w:tcBorders>
              <w:top w:val="nil"/>
              <w:left w:val="nil"/>
              <w:bottom w:val="single" w:sz="4" w:space="0" w:color="auto"/>
              <w:right w:val="single" w:sz="4" w:space="0" w:color="auto"/>
            </w:tcBorders>
            <w:shd w:val="clear" w:color="auto" w:fill="auto"/>
            <w:vAlign w:val="bottom"/>
          </w:tcPr>
          <w:p w14:paraId="2A2AEC86" w14:textId="77777777" w:rsidR="00AB6D2C" w:rsidRPr="003752FB" w:rsidRDefault="00801CCC" w:rsidP="00ED372B">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hint="eastAsia"/>
                <w:color w:val="000000"/>
                <w:kern w:val="0"/>
                <w:sz w:val="22"/>
              </w:rPr>
              <w:t>-</w:t>
            </w:r>
          </w:p>
        </w:tc>
        <w:tc>
          <w:tcPr>
            <w:tcW w:w="529" w:type="pct"/>
            <w:tcBorders>
              <w:top w:val="nil"/>
              <w:left w:val="nil"/>
              <w:bottom w:val="single" w:sz="4" w:space="0" w:color="auto"/>
              <w:right w:val="single" w:sz="4" w:space="0" w:color="auto"/>
            </w:tcBorders>
            <w:shd w:val="clear" w:color="auto" w:fill="auto"/>
            <w:noWrap/>
            <w:vAlign w:val="center"/>
            <w:hideMark/>
          </w:tcPr>
          <w:p w14:paraId="4BC08CB2" w14:textId="254D839A" w:rsidR="00AB6D2C" w:rsidRPr="003752FB" w:rsidRDefault="00C034DE" w:rsidP="003E26F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g</w:t>
            </w:r>
          </w:p>
        </w:tc>
      </w:tr>
      <w:tr w:rsidR="00AB6D2C" w:rsidRPr="003752FB" w14:paraId="18633930"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6EC0FFD0"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其他一级资本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7D22C77E" w14:textId="77777777" w:rsidR="00AB6D2C" w:rsidRPr="003752FB" w:rsidRDefault="00AB6D2C" w:rsidP="00AB6D2C">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3A4C3392" w14:textId="77777777" w:rsidR="00AB6D2C" w:rsidRPr="003752FB" w:rsidRDefault="00AB6D2C" w:rsidP="003E26F0">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代码</w:t>
            </w:r>
          </w:p>
        </w:tc>
      </w:tr>
      <w:tr w:rsidR="00AB6D2C" w:rsidRPr="003752FB" w14:paraId="6F38DD28" w14:textId="77777777" w:rsidTr="00D0615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195B56A"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34</w:t>
            </w:r>
          </w:p>
        </w:tc>
        <w:tc>
          <w:tcPr>
            <w:tcW w:w="3087" w:type="pct"/>
            <w:tcBorders>
              <w:top w:val="nil"/>
              <w:left w:val="nil"/>
              <w:bottom w:val="single" w:sz="4" w:space="0" w:color="auto"/>
              <w:right w:val="single" w:sz="4" w:space="0" w:color="auto"/>
            </w:tcBorders>
            <w:shd w:val="clear" w:color="auto" w:fill="auto"/>
            <w:vAlign w:val="center"/>
            <w:hideMark/>
          </w:tcPr>
          <w:p w14:paraId="575D6837"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vAlign w:val="bottom"/>
            <w:hideMark/>
          </w:tcPr>
          <w:p w14:paraId="3573F57A" w14:textId="3BA24E64" w:rsidR="00AB6D2C" w:rsidRPr="003752FB" w:rsidRDefault="001A2FCF" w:rsidP="00014A16">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13,776.14</w:t>
            </w:r>
          </w:p>
        </w:tc>
        <w:tc>
          <w:tcPr>
            <w:tcW w:w="529" w:type="pct"/>
            <w:tcBorders>
              <w:top w:val="nil"/>
              <w:left w:val="nil"/>
              <w:bottom w:val="single" w:sz="4" w:space="0" w:color="auto"/>
              <w:right w:val="single" w:sz="4" w:space="0" w:color="auto"/>
            </w:tcBorders>
            <w:shd w:val="clear" w:color="auto" w:fill="auto"/>
            <w:noWrap/>
            <w:vAlign w:val="center"/>
            <w:hideMark/>
          </w:tcPr>
          <w:p w14:paraId="3C9D0796" w14:textId="3D3F0546" w:rsidR="00AB6D2C" w:rsidRPr="003752FB" w:rsidRDefault="00C034DE" w:rsidP="003E26F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t</w:t>
            </w:r>
          </w:p>
        </w:tc>
      </w:tr>
      <w:tr w:rsidR="00AB6D2C" w:rsidRPr="003752FB" w14:paraId="0ACEBA3B"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7389354C"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二级资本</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71CEA8DB" w14:textId="77777777" w:rsidR="00AB6D2C" w:rsidRPr="003752FB" w:rsidRDefault="00AB6D2C" w:rsidP="00AB6D2C">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2030CA54" w14:textId="77777777" w:rsidR="00AB6D2C" w:rsidRPr="003752FB" w:rsidRDefault="00AB6D2C" w:rsidP="003E26F0">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代码</w:t>
            </w:r>
          </w:p>
        </w:tc>
      </w:tr>
      <w:tr w:rsidR="001A2FCF" w:rsidRPr="003752FB" w14:paraId="45895F60"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7CB2860"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46</w:t>
            </w:r>
          </w:p>
        </w:tc>
        <w:tc>
          <w:tcPr>
            <w:tcW w:w="3087" w:type="pct"/>
            <w:tcBorders>
              <w:top w:val="nil"/>
              <w:left w:val="nil"/>
              <w:bottom w:val="single" w:sz="4" w:space="0" w:color="auto"/>
              <w:right w:val="single" w:sz="4" w:space="0" w:color="auto"/>
            </w:tcBorders>
            <w:shd w:val="clear" w:color="auto" w:fill="auto"/>
            <w:vAlign w:val="center"/>
            <w:hideMark/>
          </w:tcPr>
          <w:p w14:paraId="07D8B489"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二级资本工具及其溢价</w:t>
            </w:r>
          </w:p>
        </w:tc>
        <w:tc>
          <w:tcPr>
            <w:tcW w:w="1081" w:type="pct"/>
            <w:tcBorders>
              <w:top w:val="nil"/>
              <w:left w:val="nil"/>
              <w:bottom w:val="single" w:sz="4" w:space="0" w:color="auto"/>
              <w:right w:val="single" w:sz="4" w:space="0" w:color="auto"/>
            </w:tcBorders>
            <w:shd w:val="clear" w:color="auto" w:fill="auto"/>
          </w:tcPr>
          <w:p w14:paraId="1F928E17" w14:textId="0BCA5688"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449,955.70 </w:t>
            </w:r>
          </w:p>
        </w:tc>
        <w:tc>
          <w:tcPr>
            <w:tcW w:w="529" w:type="pct"/>
            <w:tcBorders>
              <w:top w:val="nil"/>
              <w:left w:val="nil"/>
              <w:bottom w:val="single" w:sz="4" w:space="0" w:color="auto"/>
              <w:right w:val="single" w:sz="4" w:space="0" w:color="auto"/>
            </w:tcBorders>
            <w:shd w:val="clear" w:color="auto" w:fill="auto"/>
            <w:noWrap/>
            <w:vAlign w:val="center"/>
            <w:hideMark/>
          </w:tcPr>
          <w:p w14:paraId="5461C32C" w14:textId="539AB0AC"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q</w:t>
            </w:r>
          </w:p>
        </w:tc>
      </w:tr>
      <w:tr w:rsidR="001A2FCF" w:rsidRPr="003752FB" w14:paraId="4195FF2F"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421CD166"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48</w:t>
            </w:r>
          </w:p>
        </w:tc>
        <w:tc>
          <w:tcPr>
            <w:tcW w:w="3087" w:type="pct"/>
            <w:tcBorders>
              <w:top w:val="nil"/>
              <w:left w:val="nil"/>
              <w:bottom w:val="single" w:sz="4" w:space="0" w:color="auto"/>
              <w:right w:val="single" w:sz="4" w:space="0" w:color="auto"/>
            </w:tcBorders>
            <w:shd w:val="clear" w:color="auto" w:fill="auto"/>
            <w:vAlign w:val="center"/>
            <w:hideMark/>
          </w:tcPr>
          <w:p w14:paraId="669A02A1"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少数股东资本可计入部分</w:t>
            </w:r>
          </w:p>
        </w:tc>
        <w:tc>
          <w:tcPr>
            <w:tcW w:w="1081" w:type="pct"/>
            <w:tcBorders>
              <w:top w:val="nil"/>
              <w:left w:val="nil"/>
              <w:bottom w:val="single" w:sz="4" w:space="0" w:color="auto"/>
              <w:right w:val="single" w:sz="4" w:space="0" w:color="auto"/>
            </w:tcBorders>
            <w:shd w:val="clear" w:color="auto" w:fill="auto"/>
          </w:tcPr>
          <w:p w14:paraId="3D63CCC1" w14:textId="2E1327EE"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27,551.89 </w:t>
            </w:r>
          </w:p>
        </w:tc>
        <w:tc>
          <w:tcPr>
            <w:tcW w:w="529" w:type="pct"/>
            <w:tcBorders>
              <w:top w:val="nil"/>
              <w:left w:val="nil"/>
              <w:bottom w:val="single" w:sz="4" w:space="0" w:color="auto"/>
              <w:right w:val="single" w:sz="4" w:space="0" w:color="auto"/>
            </w:tcBorders>
            <w:shd w:val="clear" w:color="auto" w:fill="auto"/>
            <w:noWrap/>
            <w:vAlign w:val="center"/>
            <w:hideMark/>
          </w:tcPr>
          <w:p w14:paraId="38B2E207" w14:textId="1E68787D"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u</w:t>
            </w:r>
          </w:p>
        </w:tc>
      </w:tr>
      <w:tr w:rsidR="001A2FCF" w:rsidRPr="003752FB" w14:paraId="5BBA193B"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326B8358"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50</w:t>
            </w:r>
          </w:p>
        </w:tc>
        <w:tc>
          <w:tcPr>
            <w:tcW w:w="3087" w:type="pct"/>
            <w:tcBorders>
              <w:top w:val="nil"/>
              <w:left w:val="nil"/>
              <w:bottom w:val="single" w:sz="4" w:space="0" w:color="auto"/>
              <w:right w:val="single" w:sz="4" w:space="0" w:color="auto"/>
            </w:tcBorders>
            <w:shd w:val="clear" w:color="auto" w:fill="auto"/>
            <w:vAlign w:val="center"/>
            <w:hideMark/>
          </w:tcPr>
          <w:p w14:paraId="619A9591"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超额贷款损失准备可计入部分</w:t>
            </w:r>
          </w:p>
        </w:tc>
        <w:tc>
          <w:tcPr>
            <w:tcW w:w="1081" w:type="pct"/>
            <w:tcBorders>
              <w:top w:val="nil"/>
              <w:left w:val="nil"/>
              <w:bottom w:val="single" w:sz="4" w:space="0" w:color="auto"/>
              <w:right w:val="single" w:sz="4" w:space="0" w:color="auto"/>
            </w:tcBorders>
            <w:shd w:val="clear" w:color="auto" w:fill="auto"/>
          </w:tcPr>
          <w:p w14:paraId="0268CA46" w14:textId="1456A600"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369,790.75 </w:t>
            </w:r>
          </w:p>
        </w:tc>
        <w:tc>
          <w:tcPr>
            <w:tcW w:w="529" w:type="pct"/>
            <w:tcBorders>
              <w:top w:val="nil"/>
              <w:left w:val="nil"/>
              <w:bottom w:val="single" w:sz="4" w:space="0" w:color="auto"/>
              <w:right w:val="single" w:sz="4" w:space="0" w:color="auto"/>
            </w:tcBorders>
            <w:shd w:val="clear" w:color="auto" w:fill="auto"/>
            <w:noWrap/>
            <w:vAlign w:val="center"/>
            <w:hideMark/>
          </w:tcPr>
          <w:p w14:paraId="092496CE" w14:textId="100BFC71"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w</w:t>
            </w:r>
          </w:p>
        </w:tc>
      </w:tr>
      <w:tr w:rsidR="00AB6D2C" w:rsidRPr="003752FB" w14:paraId="21502970"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0D66C657"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门槛扣除项中未扣除部分</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3AD3C0F6" w14:textId="77777777" w:rsidR="00AB6D2C" w:rsidRPr="003752FB" w:rsidRDefault="00AB6D2C" w:rsidP="00AB6D2C">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689E7089" w14:textId="77777777" w:rsidR="00AB6D2C" w:rsidRPr="003752FB" w:rsidRDefault="00AB6D2C" w:rsidP="003E26F0">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代码</w:t>
            </w:r>
          </w:p>
        </w:tc>
      </w:tr>
      <w:tr w:rsidR="001A2FCF" w:rsidRPr="003752FB" w14:paraId="0479EEC1"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1B527638"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72</w:t>
            </w:r>
          </w:p>
        </w:tc>
        <w:tc>
          <w:tcPr>
            <w:tcW w:w="3087" w:type="pct"/>
            <w:tcBorders>
              <w:top w:val="nil"/>
              <w:left w:val="nil"/>
              <w:bottom w:val="single" w:sz="4" w:space="0" w:color="auto"/>
              <w:right w:val="single" w:sz="4" w:space="0" w:color="auto"/>
            </w:tcBorders>
            <w:shd w:val="clear" w:color="auto" w:fill="auto"/>
            <w:vAlign w:val="center"/>
            <w:hideMark/>
          </w:tcPr>
          <w:p w14:paraId="458E1597"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机构的小额少数资本投资未扣除部分</w:t>
            </w:r>
          </w:p>
        </w:tc>
        <w:tc>
          <w:tcPr>
            <w:tcW w:w="1081" w:type="pct"/>
            <w:tcBorders>
              <w:top w:val="nil"/>
              <w:left w:val="nil"/>
              <w:bottom w:val="single" w:sz="4" w:space="0" w:color="auto"/>
              <w:right w:val="single" w:sz="4" w:space="0" w:color="auto"/>
            </w:tcBorders>
            <w:shd w:val="clear" w:color="auto" w:fill="auto"/>
            <w:noWrap/>
          </w:tcPr>
          <w:p w14:paraId="76DF1420" w14:textId="045AB14B"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16,532.05 </w:t>
            </w:r>
          </w:p>
        </w:tc>
        <w:tc>
          <w:tcPr>
            <w:tcW w:w="529" w:type="pct"/>
            <w:tcBorders>
              <w:top w:val="nil"/>
              <w:left w:val="nil"/>
              <w:bottom w:val="single" w:sz="4" w:space="0" w:color="auto"/>
              <w:right w:val="single" w:sz="4" w:space="0" w:color="auto"/>
            </w:tcBorders>
            <w:shd w:val="clear" w:color="auto" w:fill="auto"/>
            <w:noWrap/>
            <w:vAlign w:val="center"/>
            <w:hideMark/>
          </w:tcPr>
          <w:p w14:paraId="6713FA65" w14:textId="75E5A7B9"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e</w:t>
            </w:r>
          </w:p>
        </w:tc>
      </w:tr>
      <w:tr w:rsidR="001A2FCF" w:rsidRPr="003752FB" w14:paraId="7A006AAD" w14:textId="77777777" w:rsidTr="00FE6B4D">
        <w:trPr>
          <w:trHeight w:val="2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54C91178"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73</w:t>
            </w:r>
          </w:p>
        </w:tc>
        <w:tc>
          <w:tcPr>
            <w:tcW w:w="3087" w:type="pct"/>
            <w:tcBorders>
              <w:top w:val="nil"/>
              <w:left w:val="nil"/>
              <w:bottom w:val="single" w:sz="4" w:space="0" w:color="auto"/>
              <w:right w:val="single" w:sz="4" w:space="0" w:color="auto"/>
            </w:tcBorders>
            <w:shd w:val="clear" w:color="auto" w:fill="auto"/>
            <w:vAlign w:val="center"/>
            <w:hideMark/>
          </w:tcPr>
          <w:p w14:paraId="40AFFAA4"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对未并</w:t>
            </w:r>
            <w:proofErr w:type="gramStart"/>
            <w:r w:rsidRPr="003752FB">
              <w:rPr>
                <w:rFonts w:ascii="Times New Roman" w:eastAsia="宋体" w:hAnsi="Times New Roman" w:cs="Times New Roman"/>
                <w:color w:val="000000"/>
                <w:kern w:val="0"/>
                <w:sz w:val="22"/>
              </w:rPr>
              <w:t>表金融</w:t>
            </w:r>
            <w:proofErr w:type="gramEnd"/>
            <w:r w:rsidRPr="003752FB">
              <w:rPr>
                <w:rFonts w:ascii="Times New Roman" w:eastAsia="宋体" w:hAnsi="Times New Roman" w:cs="Times New Roman"/>
                <w:color w:val="000000"/>
                <w:kern w:val="0"/>
                <w:sz w:val="22"/>
              </w:rPr>
              <w:t>机构的大额少数资本投资未扣除部分</w:t>
            </w:r>
          </w:p>
        </w:tc>
        <w:tc>
          <w:tcPr>
            <w:tcW w:w="1081" w:type="pct"/>
            <w:tcBorders>
              <w:top w:val="nil"/>
              <w:left w:val="nil"/>
              <w:bottom w:val="single" w:sz="4" w:space="0" w:color="auto"/>
              <w:right w:val="single" w:sz="4" w:space="0" w:color="auto"/>
            </w:tcBorders>
            <w:shd w:val="clear" w:color="auto" w:fill="auto"/>
            <w:noWrap/>
          </w:tcPr>
          <w:p w14:paraId="3A2F3B72" w14:textId="6E1222C0" w:rsidR="001A2FCF" w:rsidRPr="003752FB" w:rsidRDefault="001A2FCF" w:rsidP="001A2FCF">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68,791.99 </w:t>
            </w:r>
          </w:p>
        </w:tc>
        <w:tc>
          <w:tcPr>
            <w:tcW w:w="529" w:type="pct"/>
            <w:tcBorders>
              <w:top w:val="nil"/>
              <w:left w:val="nil"/>
              <w:bottom w:val="single" w:sz="4" w:space="0" w:color="auto"/>
              <w:right w:val="single" w:sz="4" w:space="0" w:color="auto"/>
            </w:tcBorders>
            <w:shd w:val="clear" w:color="auto" w:fill="auto"/>
            <w:noWrap/>
            <w:vAlign w:val="center"/>
            <w:hideMark/>
          </w:tcPr>
          <w:p w14:paraId="41086466" w14:textId="24B2F0B9"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d</w:t>
            </w:r>
          </w:p>
        </w:tc>
      </w:tr>
      <w:tr w:rsidR="001A2FCF" w:rsidRPr="003752FB" w14:paraId="74393338" w14:textId="77777777" w:rsidTr="00F14E1E">
        <w:trPr>
          <w:trHeight w:val="270"/>
        </w:trPr>
        <w:tc>
          <w:tcPr>
            <w:tcW w:w="303" w:type="pct"/>
            <w:tcBorders>
              <w:top w:val="nil"/>
              <w:left w:val="single" w:sz="4" w:space="0" w:color="auto"/>
              <w:bottom w:val="single" w:sz="4" w:space="0" w:color="auto"/>
              <w:right w:val="single" w:sz="4" w:space="0" w:color="auto"/>
            </w:tcBorders>
            <w:shd w:val="clear" w:color="auto" w:fill="auto"/>
            <w:vAlign w:val="center"/>
            <w:hideMark/>
          </w:tcPr>
          <w:p w14:paraId="7D0975F1" w14:textId="7777777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75</w:t>
            </w:r>
          </w:p>
        </w:tc>
        <w:tc>
          <w:tcPr>
            <w:tcW w:w="3087" w:type="pct"/>
            <w:tcBorders>
              <w:top w:val="nil"/>
              <w:left w:val="nil"/>
              <w:bottom w:val="single" w:sz="4" w:space="0" w:color="auto"/>
              <w:right w:val="single" w:sz="4" w:space="0" w:color="auto"/>
            </w:tcBorders>
            <w:shd w:val="clear" w:color="auto" w:fill="auto"/>
            <w:vAlign w:val="center"/>
            <w:hideMark/>
          </w:tcPr>
          <w:p w14:paraId="6EFE8B92" w14:textId="77777777" w:rsidR="001A2FCF" w:rsidRPr="003752FB" w:rsidRDefault="001A2FCF" w:rsidP="001A2FC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其他依赖于银行未来盈利的</w:t>
            </w:r>
            <w:proofErr w:type="gramStart"/>
            <w:r w:rsidRPr="003752FB">
              <w:rPr>
                <w:rFonts w:ascii="Times New Roman" w:eastAsia="宋体" w:hAnsi="Times New Roman" w:cs="Times New Roman"/>
                <w:color w:val="000000"/>
                <w:kern w:val="0"/>
                <w:sz w:val="22"/>
              </w:rPr>
              <w:t>净递延税</w:t>
            </w:r>
            <w:proofErr w:type="gramEnd"/>
            <w:r w:rsidRPr="003752FB">
              <w:rPr>
                <w:rFonts w:ascii="Times New Roman" w:eastAsia="宋体" w:hAnsi="Times New Roman" w:cs="Times New Roman"/>
                <w:color w:val="000000"/>
                <w:kern w:val="0"/>
                <w:sz w:val="22"/>
              </w:rPr>
              <w:t>资产（扣除</w:t>
            </w:r>
            <w:proofErr w:type="gramStart"/>
            <w:r w:rsidRPr="003752FB">
              <w:rPr>
                <w:rFonts w:ascii="Times New Roman" w:eastAsia="宋体" w:hAnsi="Times New Roman" w:cs="Times New Roman"/>
                <w:color w:val="000000"/>
                <w:kern w:val="0"/>
                <w:sz w:val="22"/>
              </w:rPr>
              <w:t>递延税负债</w:t>
            </w:r>
            <w:proofErr w:type="gramEnd"/>
            <w:r w:rsidRPr="003752FB">
              <w:rPr>
                <w:rFonts w:ascii="Times New Roman" w:eastAsia="宋体" w:hAnsi="Times New Roman" w:cs="Times New Roman"/>
                <w:color w:val="000000"/>
                <w:kern w:val="0"/>
                <w:sz w:val="22"/>
              </w:rPr>
              <w:t>）</w:t>
            </w:r>
          </w:p>
        </w:tc>
        <w:tc>
          <w:tcPr>
            <w:tcW w:w="1081" w:type="pct"/>
            <w:tcBorders>
              <w:top w:val="nil"/>
              <w:left w:val="nil"/>
              <w:bottom w:val="single" w:sz="4" w:space="0" w:color="auto"/>
              <w:right w:val="single" w:sz="4" w:space="0" w:color="auto"/>
            </w:tcBorders>
            <w:shd w:val="clear" w:color="auto" w:fill="auto"/>
            <w:noWrap/>
            <w:vAlign w:val="center"/>
          </w:tcPr>
          <w:p w14:paraId="363D44F8" w14:textId="5629F10B" w:rsidR="001A2FCF" w:rsidRPr="003752FB" w:rsidRDefault="001A2FCF" w:rsidP="00F14E1E">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 xml:space="preserve">257,653.66 </w:t>
            </w:r>
          </w:p>
        </w:tc>
        <w:tc>
          <w:tcPr>
            <w:tcW w:w="529" w:type="pct"/>
            <w:tcBorders>
              <w:top w:val="nil"/>
              <w:left w:val="nil"/>
              <w:bottom w:val="single" w:sz="4" w:space="0" w:color="auto"/>
              <w:right w:val="single" w:sz="4" w:space="0" w:color="auto"/>
            </w:tcBorders>
            <w:shd w:val="clear" w:color="auto" w:fill="auto"/>
            <w:noWrap/>
            <w:vAlign w:val="center"/>
            <w:hideMark/>
          </w:tcPr>
          <w:p w14:paraId="678BAB58" w14:textId="0CD2EE17" w:rsidR="001A2FCF" w:rsidRPr="003752FB" w:rsidRDefault="001A2FCF" w:rsidP="001A2FC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f-h</w:t>
            </w:r>
          </w:p>
        </w:tc>
      </w:tr>
      <w:tr w:rsidR="00AB6D2C" w:rsidRPr="003752FB" w14:paraId="736542DF" w14:textId="77777777" w:rsidTr="003E26F0">
        <w:trPr>
          <w:trHeight w:val="270"/>
        </w:trPr>
        <w:tc>
          <w:tcPr>
            <w:tcW w:w="3390" w:type="pct"/>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bottom"/>
            <w:hideMark/>
          </w:tcPr>
          <w:p w14:paraId="516EECE5" w14:textId="77777777" w:rsidR="00AB6D2C" w:rsidRPr="003752FB" w:rsidRDefault="00AB6D2C" w:rsidP="00AB6D2C">
            <w:pPr>
              <w:widowControl/>
              <w:jc w:val="left"/>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可计入二级资本的超额贷款损失准备的限额</w:t>
            </w:r>
          </w:p>
        </w:tc>
        <w:tc>
          <w:tcPr>
            <w:tcW w:w="1081" w:type="pct"/>
            <w:tcBorders>
              <w:top w:val="nil"/>
              <w:left w:val="nil"/>
              <w:bottom w:val="single" w:sz="4" w:space="0" w:color="auto"/>
              <w:right w:val="single" w:sz="4" w:space="0" w:color="auto"/>
            </w:tcBorders>
            <w:shd w:val="clear" w:color="auto" w:fill="BFBFBF" w:themeFill="background1" w:themeFillShade="BF"/>
            <w:vAlign w:val="bottom"/>
            <w:hideMark/>
          </w:tcPr>
          <w:p w14:paraId="2782E948" w14:textId="77777777" w:rsidR="00AB6D2C" w:rsidRPr="003752FB" w:rsidRDefault="00AB6D2C" w:rsidP="00AB6D2C">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数额</w:t>
            </w:r>
          </w:p>
        </w:tc>
        <w:tc>
          <w:tcPr>
            <w:tcW w:w="529" w:type="pct"/>
            <w:tcBorders>
              <w:top w:val="nil"/>
              <w:left w:val="nil"/>
              <w:bottom w:val="single" w:sz="4" w:space="0" w:color="auto"/>
              <w:right w:val="single" w:sz="4" w:space="0" w:color="auto"/>
            </w:tcBorders>
            <w:shd w:val="clear" w:color="auto" w:fill="BFBFBF" w:themeFill="background1" w:themeFillShade="BF"/>
            <w:noWrap/>
            <w:vAlign w:val="center"/>
            <w:hideMark/>
          </w:tcPr>
          <w:p w14:paraId="643C2BB2" w14:textId="77777777" w:rsidR="00AB6D2C" w:rsidRPr="003752FB" w:rsidRDefault="00AB6D2C" w:rsidP="003E26F0">
            <w:pPr>
              <w:widowControl/>
              <w:jc w:val="center"/>
              <w:rPr>
                <w:rFonts w:ascii="Times New Roman" w:eastAsia="宋体" w:hAnsi="Times New Roman" w:cs="Times New Roman"/>
                <w:b/>
                <w:bCs/>
                <w:color w:val="000000"/>
                <w:kern w:val="0"/>
                <w:sz w:val="22"/>
              </w:rPr>
            </w:pPr>
            <w:r w:rsidRPr="003752FB">
              <w:rPr>
                <w:rFonts w:ascii="Times New Roman" w:eastAsia="宋体" w:hAnsi="Times New Roman" w:cs="Times New Roman"/>
                <w:b/>
                <w:bCs/>
                <w:color w:val="000000"/>
                <w:kern w:val="0"/>
                <w:sz w:val="22"/>
              </w:rPr>
              <w:t>代码</w:t>
            </w:r>
          </w:p>
        </w:tc>
      </w:tr>
      <w:tr w:rsidR="00AB6D2C" w:rsidRPr="003752FB" w14:paraId="1B6D3CE8" w14:textId="77777777" w:rsidTr="00D0615F">
        <w:trPr>
          <w:trHeight w:val="270"/>
        </w:trPr>
        <w:tc>
          <w:tcPr>
            <w:tcW w:w="303" w:type="pct"/>
            <w:tcBorders>
              <w:top w:val="nil"/>
              <w:left w:val="single" w:sz="4" w:space="0" w:color="auto"/>
              <w:bottom w:val="single" w:sz="4" w:space="0" w:color="auto"/>
              <w:right w:val="single" w:sz="4" w:space="0" w:color="auto"/>
            </w:tcBorders>
            <w:shd w:val="clear" w:color="auto" w:fill="auto"/>
            <w:vAlign w:val="bottom"/>
            <w:hideMark/>
          </w:tcPr>
          <w:p w14:paraId="0EC364D8" w14:textId="77777777" w:rsidR="00AB6D2C" w:rsidRPr="003752FB" w:rsidRDefault="00AB6D2C" w:rsidP="00C44EAF">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76</w:t>
            </w:r>
          </w:p>
        </w:tc>
        <w:tc>
          <w:tcPr>
            <w:tcW w:w="3087" w:type="pct"/>
            <w:tcBorders>
              <w:top w:val="nil"/>
              <w:left w:val="nil"/>
              <w:bottom w:val="single" w:sz="4" w:space="0" w:color="auto"/>
              <w:right w:val="single" w:sz="4" w:space="0" w:color="auto"/>
            </w:tcBorders>
            <w:shd w:val="clear" w:color="auto" w:fill="auto"/>
            <w:vAlign w:val="center"/>
            <w:hideMark/>
          </w:tcPr>
          <w:p w14:paraId="79006172" w14:textId="77777777" w:rsidR="00AB6D2C" w:rsidRPr="003752FB" w:rsidRDefault="00AB6D2C" w:rsidP="00D0615F">
            <w:pPr>
              <w:widowControl/>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权重法下，实际计提的贷款损失准备金额</w:t>
            </w:r>
          </w:p>
        </w:tc>
        <w:tc>
          <w:tcPr>
            <w:tcW w:w="1081" w:type="pct"/>
            <w:tcBorders>
              <w:top w:val="nil"/>
              <w:left w:val="nil"/>
              <w:bottom w:val="single" w:sz="4" w:space="0" w:color="auto"/>
              <w:right w:val="single" w:sz="4" w:space="0" w:color="auto"/>
            </w:tcBorders>
            <w:shd w:val="clear" w:color="auto" w:fill="auto"/>
            <w:noWrap/>
            <w:vAlign w:val="center"/>
          </w:tcPr>
          <w:p w14:paraId="1EA74E59" w14:textId="78D3D510" w:rsidR="00AB6D2C" w:rsidRPr="003752FB" w:rsidRDefault="001A2FCF" w:rsidP="00AB6D2C">
            <w:pPr>
              <w:widowControl/>
              <w:jc w:val="right"/>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1,071,963.31</w:t>
            </w:r>
          </w:p>
        </w:tc>
        <w:tc>
          <w:tcPr>
            <w:tcW w:w="529" w:type="pct"/>
            <w:tcBorders>
              <w:top w:val="nil"/>
              <w:left w:val="nil"/>
              <w:bottom w:val="single" w:sz="4" w:space="0" w:color="auto"/>
              <w:right w:val="single" w:sz="4" w:space="0" w:color="auto"/>
            </w:tcBorders>
            <w:shd w:val="clear" w:color="auto" w:fill="auto"/>
            <w:noWrap/>
            <w:vAlign w:val="center"/>
            <w:hideMark/>
          </w:tcPr>
          <w:p w14:paraId="13757098" w14:textId="68132276" w:rsidR="00AB6D2C" w:rsidRPr="003752FB" w:rsidRDefault="00C034DE" w:rsidP="003E26F0">
            <w:pPr>
              <w:widowControl/>
              <w:jc w:val="center"/>
              <w:rPr>
                <w:rFonts w:ascii="Times New Roman" w:eastAsia="宋体" w:hAnsi="Times New Roman" w:cs="Times New Roman"/>
                <w:color w:val="000000"/>
                <w:kern w:val="0"/>
                <w:sz w:val="22"/>
              </w:rPr>
            </w:pPr>
            <w:r w:rsidRPr="003752FB">
              <w:rPr>
                <w:rFonts w:ascii="Times New Roman" w:eastAsia="宋体" w:hAnsi="Times New Roman" w:cs="Times New Roman"/>
                <w:color w:val="000000"/>
                <w:kern w:val="0"/>
                <w:sz w:val="22"/>
              </w:rPr>
              <w:t>v</w:t>
            </w:r>
          </w:p>
        </w:tc>
      </w:tr>
    </w:tbl>
    <w:p w14:paraId="48C640E9" w14:textId="77777777" w:rsidR="001E0D63" w:rsidRPr="003752FB" w:rsidRDefault="001E0D63" w:rsidP="001E0D63">
      <w:pPr>
        <w:rPr>
          <w:rFonts w:ascii="Times New Roman" w:hAnsi="Times New Roman" w:cs="Times New Roman"/>
          <w:sz w:val="18"/>
          <w:szCs w:val="18"/>
        </w:rPr>
      </w:pPr>
      <w:r w:rsidRPr="003752FB">
        <w:rPr>
          <w:rFonts w:ascii="Times New Roman" w:hAnsi="Times New Roman" w:cs="Times New Roman" w:hint="eastAsia"/>
          <w:sz w:val="18"/>
          <w:szCs w:val="18"/>
        </w:rPr>
        <w:t>注：依照《商业银行资本管理办法（试行）》（中国银行业监督管理委员会</w:t>
      </w:r>
      <w:r w:rsidRPr="003752FB">
        <w:rPr>
          <w:rFonts w:ascii="Times New Roman" w:hAnsi="Times New Roman" w:cs="Times New Roman" w:hint="eastAsia"/>
          <w:sz w:val="18"/>
          <w:szCs w:val="18"/>
        </w:rPr>
        <w:t>2012</w:t>
      </w:r>
      <w:r w:rsidRPr="003752FB">
        <w:rPr>
          <w:rFonts w:ascii="Times New Roman" w:hAnsi="Times New Roman" w:cs="Times New Roman" w:hint="eastAsia"/>
          <w:sz w:val="18"/>
          <w:szCs w:val="18"/>
        </w:rPr>
        <w:t>年第</w:t>
      </w:r>
      <w:r w:rsidRPr="003752FB">
        <w:rPr>
          <w:rFonts w:ascii="Times New Roman" w:hAnsi="Times New Roman" w:cs="Times New Roman" w:hint="eastAsia"/>
          <w:sz w:val="18"/>
          <w:szCs w:val="18"/>
        </w:rPr>
        <w:t>1</w:t>
      </w:r>
      <w:r w:rsidRPr="003752FB">
        <w:rPr>
          <w:rFonts w:ascii="Times New Roman" w:hAnsi="Times New Roman" w:cs="Times New Roman" w:hint="eastAsia"/>
          <w:sz w:val="18"/>
          <w:szCs w:val="18"/>
        </w:rPr>
        <w:t>号令）要求，根据经审计的合并财务报表数据重新计算。</w:t>
      </w:r>
    </w:p>
    <w:p w14:paraId="78B5000F" w14:textId="77777777" w:rsidR="00077C0D" w:rsidRPr="003752FB" w:rsidRDefault="00077C0D" w:rsidP="00AB6D2C">
      <w:pPr>
        <w:ind w:firstLine="420"/>
        <w:rPr>
          <w:rFonts w:ascii="Times New Roman" w:hAnsi="Times New Roman" w:cs="Times New Roman"/>
        </w:rPr>
      </w:pPr>
    </w:p>
    <w:p w14:paraId="52D04259" w14:textId="77777777" w:rsidR="00077C0D" w:rsidRPr="003752FB" w:rsidRDefault="00077C0D">
      <w:pPr>
        <w:widowControl/>
        <w:jc w:val="left"/>
        <w:rPr>
          <w:rFonts w:ascii="Times New Roman" w:hAnsi="Times New Roman" w:cs="Times New Roman"/>
        </w:rPr>
      </w:pPr>
      <w:r w:rsidRPr="003752FB">
        <w:rPr>
          <w:rFonts w:ascii="Times New Roman" w:hAnsi="Times New Roman" w:cs="Times New Roman"/>
        </w:rPr>
        <w:br w:type="page"/>
      </w:r>
    </w:p>
    <w:p w14:paraId="1A8E36C3" w14:textId="77777777" w:rsidR="00014A16" w:rsidRPr="003752FB" w:rsidRDefault="00F75E4A" w:rsidP="00014A16">
      <w:pPr>
        <w:ind w:firstLine="420"/>
        <w:rPr>
          <w:rFonts w:ascii="Times New Roman" w:hAnsi="Times New Roman" w:cs="Times New Roman"/>
          <w:b/>
          <w:sz w:val="24"/>
          <w:szCs w:val="21"/>
        </w:rPr>
      </w:pPr>
      <w:r w:rsidRPr="003752FB">
        <w:rPr>
          <w:rFonts w:ascii="Times New Roman" w:hAnsi="Times New Roman" w:cs="Times New Roman"/>
          <w:b/>
          <w:sz w:val="24"/>
          <w:szCs w:val="21"/>
        </w:rPr>
        <w:lastRenderedPageBreak/>
        <w:t>四、资本工具主要特征</w:t>
      </w:r>
    </w:p>
    <w:p w14:paraId="5CD795EE" w14:textId="77777777" w:rsidR="00014A16" w:rsidRPr="003752FB" w:rsidRDefault="00014A16" w:rsidP="00014A16">
      <w:pPr>
        <w:ind w:firstLine="420"/>
        <w:rPr>
          <w:rFonts w:ascii="Times New Roman" w:hAnsi="Times New Roman" w:cs="Times New Roman"/>
          <w:b/>
          <w:sz w:val="24"/>
          <w:szCs w:val="21"/>
        </w:rPr>
      </w:pPr>
    </w:p>
    <w:tbl>
      <w:tblPr>
        <w:tblStyle w:val="a6"/>
        <w:tblW w:w="5490" w:type="pct"/>
        <w:tblInd w:w="-318" w:type="dxa"/>
        <w:tblLook w:val="04A0" w:firstRow="1" w:lastRow="0" w:firstColumn="1" w:lastColumn="0" w:noHBand="0" w:noVBand="1"/>
      </w:tblPr>
      <w:tblGrid>
        <w:gridCol w:w="569"/>
        <w:gridCol w:w="2380"/>
        <w:gridCol w:w="2042"/>
        <w:gridCol w:w="2296"/>
        <w:gridCol w:w="2070"/>
      </w:tblGrid>
      <w:tr w:rsidR="008E018D" w:rsidRPr="003752FB" w14:paraId="66AE6C06" w14:textId="77777777" w:rsidTr="006724D1">
        <w:tc>
          <w:tcPr>
            <w:tcW w:w="304" w:type="pct"/>
          </w:tcPr>
          <w:p w14:paraId="4D5D4AF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序号</w:t>
            </w:r>
          </w:p>
        </w:tc>
        <w:tc>
          <w:tcPr>
            <w:tcW w:w="1272" w:type="pct"/>
          </w:tcPr>
          <w:p w14:paraId="0F12C0E0" w14:textId="77777777" w:rsidR="008E018D" w:rsidRPr="003752FB" w:rsidRDefault="008E018D" w:rsidP="00D0615F">
            <w:pPr>
              <w:jc w:val="left"/>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监管资本工具的主要特征</w:t>
            </w:r>
          </w:p>
        </w:tc>
        <w:tc>
          <w:tcPr>
            <w:tcW w:w="1091" w:type="pct"/>
          </w:tcPr>
          <w:p w14:paraId="5D7E199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A</w:t>
            </w:r>
            <w:r w:rsidRPr="003752FB">
              <w:rPr>
                <w:rFonts w:ascii="Times New Roman" w:eastAsiaTheme="majorEastAsia" w:hAnsi="Times New Roman" w:cs="Times New Roman"/>
                <w:sz w:val="16"/>
                <w:szCs w:val="16"/>
              </w:rPr>
              <w:t>股普通股</w:t>
            </w:r>
          </w:p>
        </w:tc>
        <w:tc>
          <w:tcPr>
            <w:tcW w:w="1227" w:type="pct"/>
          </w:tcPr>
          <w:p w14:paraId="49A92D0B" w14:textId="748D41CF" w:rsidR="008E018D" w:rsidRPr="003752FB" w:rsidRDefault="008E018D" w:rsidP="00D0615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可转换公司</w:t>
            </w:r>
            <w:r w:rsidR="00D0615F" w:rsidRPr="003752FB">
              <w:rPr>
                <w:rFonts w:ascii="Times New Roman" w:eastAsiaTheme="majorEastAsia" w:hAnsi="Times New Roman" w:cs="Times New Roman"/>
                <w:sz w:val="16"/>
                <w:szCs w:val="16"/>
              </w:rPr>
              <w:t>债</w:t>
            </w:r>
            <w:proofErr w:type="gramStart"/>
            <w:r w:rsidR="00D0615F" w:rsidRPr="003752FB">
              <w:rPr>
                <w:rFonts w:ascii="Times New Roman" w:eastAsiaTheme="majorEastAsia" w:hAnsi="Times New Roman" w:cs="Times New Roman"/>
                <w:sz w:val="16"/>
                <w:szCs w:val="16"/>
              </w:rPr>
              <w:t>券</w:t>
            </w:r>
            <w:proofErr w:type="gramEnd"/>
          </w:p>
        </w:tc>
        <w:tc>
          <w:tcPr>
            <w:tcW w:w="1106" w:type="pct"/>
          </w:tcPr>
          <w:p w14:paraId="7A31E1C0" w14:textId="33573533"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二级资本工具</w:t>
            </w:r>
          </w:p>
        </w:tc>
      </w:tr>
      <w:tr w:rsidR="008E018D" w:rsidRPr="003752FB" w14:paraId="0DE70FC3" w14:textId="77777777" w:rsidTr="00D0615F">
        <w:tc>
          <w:tcPr>
            <w:tcW w:w="304" w:type="pct"/>
            <w:vAlign w:val="center"/>
          </w:tcPr>
          <w:p w14:paraId="4C7303F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w:t>
            </w:r>
          </w:p>
        </w:tc>
        <w:tc>
          <w:tcPr>
            <w:tcW w:w="1272" w:type="pct"/>
            <w:vAlign w:val="center"/>
          </w:tcPr>
          <w:p w14:paraId="736BCFC7"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发行机构</w:t>
            </w:r>
          </w:p>
        </w:tc>
        <w:tc>
          <w:tcPr>
            <w:tcW w:w="1091" w:type="pct"/>
            <w:vAlign w:val="center"/>
          </w:tcPr>
          <w:p w14:paraId="0A0EF63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公司</w:t>
            </w:r>
          </w:p>
        </w:tc>
        <w:tc>
          <w:tcPr>
            <w:tcW w:w="1227" w:type="pct"/>
            <w:vAlign w:val="center"/>
          </w:tcPr>
          <w:p w14:paraId="7B08454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公司</w:t>
            </w:r>
          </w:p>
        </w:tc>
        <w:tc>
          <w:tcPr>
            <w:tcW w:w="1106" w:type="pct"/>
            <w:vAlign w:val="center"/>
          </w:tcPr>
          <w:p w14:paraId="07561EC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公司</w:t>
            </w:r>
          </w:p>
        </w:tc>
      </w:tr>
      <w:tr w:rsidR="008E018D" w:rsidRPr="003752FB" w14:paraId="24183104" w14:textId="77777777" w:rsidTr="00D0615F">
        <w:tc>
          <w:tcPr>
            <w:tcW w:w="304" w:type="pct"/>
            <w:vAlign w:val="center"/>
          </w:tcPr>
          <w:p w14:paraId="7454550C"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w:t>
            </w:r>
          </w:p>
        </w:tc>
        <w:tc>
          <w:tcPr>
            <w:tcW w:w="1272" w:type="pct"/>
            <w:vAlign w:val="center"/>
          </w:tcPr>
          <w:p w14:paraId="624FA9D0"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标识码</w:t>
            </w:r>
          </w:p>
        </w:tc>
        <w:tc>
          <w:tcPr>
            <w:tcW w:w="1091" w:type="pct"/>
            <w:shd w:val="clear" w:color="auto" w:fill="auto"/>
            <w:vAlign w:val="center"/>
          </w:tcPr>
          <w:p w14:paraId="2532858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002966.SZ</w:t>
            </w:r>
          </w:p>
        </w:tc>
        <w:tc>
          <w:tcPr>
            <w:tcW w:w="1227" w:type="pct"/>
            <w:shd w:val="clear" w:color="auto" w:fill="auto"/>
            <w:vAlign w:val="center"/>
          </w:tcPr>
          <w:p w14:paraId="1E39544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127032.SZ</w:t>
            </w:r>
          </w:p>
        </w:tc>
        <w:tc>
          <w:tcPr>
            <w:tcW w:w="1106" w:type="pct"/>
            <w:shd w:val="clear" w:color="auto" w:fill="auto"/>
            <w:vAlign w:val="center"/>
          </w:tcPr>
          <w:p w14:paraId="1862DF2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2020043</w:t>
            </w:r>
          </w:p>
        </w:tc>
      </w:tr>
      <w:tr w:rsidR="008E018D" w:rsidRPr="003752FB" w14:paraId="4A659511" w14:textId="77777777" w:rsidTr="00D0615F">
        <w:tc>
          <w:tcPr>
            <w:tcW w:w="304" w:type="pct"/>
            <w:vAlign w:val="center"/>
          </w:tcPr>
          <w:p w14:paraId="4F1D295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w:t>
            </w:r>
          </w:p>
        </w:tc>
        <w:tc>
          <w:tcPr>
            <w:tcW w:w="1272" w:type="pct"/>
            <w:vAlign w:val="center"/>
          </w:tcPr>
          <w:p w14:paraId="2CC8B67E"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适用法律</w:t>
            </w:r>
          </w:p>
        </w:tc>
        <w:tc>
          <w:tcPr>
            <w:tcW w:w="1091" w:type="pct"/>
            <w:vAlign w:val="center"/>
          </w:tcPr>
          <w:p w14:paraId="2B0DD438" w14:textId="6173475F"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《证券法》、《商业银行资本管理办法</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试行</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》等</w:t>
            </w:r>
          </w:p>
        </w:tc>
        <w:tc>
          <w:tcPr>
            <w:tcW w:w="1227" w:type="pct"/>
            <w:vAlign w:val="center"/>
          </w:tcPr>
          <w:p w14:paraId="4C933705" w14:textId="4E5C9774" w:rsidR="008E018D" w:rsidRPr="003752FB" w:rsidRDefault="008A0AE9"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《证券法》、《商业银行资本管理办法</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试行</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》等</w:t>
            </w:r>
          </w:p>
        </w:tc>
        <w:tc>
          <w:tcPr>
            <w:tcW w:w="1106" w:type="pct"/>
            <w:vAlign w:val="center"/>
          </w:tcPr>
          <w:p w14:paraId="46B28A04" w14:textId="528E20A6"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《商业银行资本管理办法</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试行</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》等</w:t>
            </w:r>
          </w:p>
        </w:tc>
      </w:tr>
      <w:tr w:rsidR="008E018D" w:rsidRPr="003752FB" w14:paraId="5BC44C2E" w14:textId="77777777" w:rsidTr="00D0615F">
        <w:tc>
          <w:tcPr>
            <w:tcW w:w="304" w:type="pct"/>
            <w:vAlign w:val="center"/>
          </w:tcPr>
          <w:p w14:paraId="3614904F" w14:textId="77777777" w:rsidR="008E018D" w:rsidRPr="003752FB" w:rsidRDefault="008E018D" w:rsidP="00C44EAF">
            <w:pPr>
              <w:jc w:val="center"/>
              <w:rPr>
                <w:rFonts w:ascii="Times New Roman" w:eastAsiaTheme="majorEastAsia" w:hAnsi="Times New Roman" w:cs="Times New Roman"/>
                <w:sz w:val="16"/>
                <w:szCs w:val="16"/>
              </w:rPr>
            </w:pPr>
          </w:p>
        </w:tc>
        <w:tc>
          <w:tcPr>
            <w:tcW w:w="1272" w:type="pct"/>
            <w:vAlign w:val="center"/>
          </w:tcPr>
          <w:p w14:paraId="4DF0E617"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监管处理</w:t>
            </w:r>
          </w:p>
        </w:tc>
        <w:tc>
          <w:tcPr>
            <w:tcW w:w="1091" w:type="pct"/>
            <w:vAlign w:val="center"/>
          </w:tcPr>
          <w:p w14:paraId="2DB7CD75" w14:textId="77777777" w:rsidR="008E018D" w:rsidRPr="003752FB" w:rsidRDefault="008E018D" w:rsidP="00C44EAF">
            <w:pPr>
              <w:jc w:val="center"/>
              <w:rPr>
                <w:rFonts w:ascii="Times New Roman" w:eastAsiaTheme="majorEastAsia" w:hAnsi="Times New Roman" w:cs="Times New Roman"/>
                <w:sz w:val="16"/>
                <w:szCs w:val="16"/>
              </w:rPr>
            </w:pPr>
          </w:p>
        </w:tc>
        <w:tc>
          <w:tcPr>
            <w:tcW w:w="1227" w:type="pct"/>
            <w:vAlign w:val="center"/>
          </w:tcPr>
          <w:p w14:paraId="7F51D7D1" w14:textId="77777777" w:rsidR="008E018D" w:rsidRPr="003752FB" w:rsidRDefault="008E018D" w:rsidP="00C44EAF">
            <w:pPr>
              <w:jc w:val="center"/>
              <w:rPr>
                <w:rFonts w:ascii="Times New Roman" w:eastAsiaTheme="majorEastAsia" w:hAnsi="Times New Roman" w:cs="Times New Roman"/>
                <w:sz w:val="16"/>
                <w:szCs w:val="16"/>
              </w:rPr>
            </w:pPr>
          </w:p>
        </w:tc>
        <w:tc>
          <w:tcPr>
            <w:tcW w:w="1106" w:type="pct"/>
            <w:vAlign w:val="center"/>
          </w:tcPr>
          <w:p w14:paraId="01D176B9" w14:textId="77777777" w:rsidR="008E018D" w:rsidRPr="003752FB" w:rsidRDefault="008E018D" w:rsidP="00C44EAF">
            <w:pPr>
              <w:jc w:val="center"/>
              <w:rPr>
                <w:rFonts w:ascii="Times New Roman" w:eastAsiaTheme="majorEastAsia" w:hAnsi="Times New Roman" w:cs="Times New Roman"/>
                <w:sz w:val="16"/>
                <w:szCs w:val="16"/>
              </w:rPr>
            </w:pPr>
          </w:p>
        </w:tc>
      </w:tr>
      <w:tr w:rsidR="008E018D" w:rsidRPr="003752FB" w14:paraId="7018E3B5" w14:textId="77777777" w:rsidTr="00D0615F">
        <w:tc>
          <w:tcPr>
            <w:tcW w:w="304" w:type="pct"/>
            <w:vAlign w:val="center"/>
          </w:tcPr>
          <w:p w14:paraId="14AB6AA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4</w:t>
            </w:r>
          </w:p>
        </w:tc>
        <w:tc>
          <w:tcPr>
            <w:tcW w:w="1272" w:type="pct"/>
            <w:vAlign w:val="center"/>
          </w:tcPr>
          <w:p w14:paraId="0F27C019"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其中：适用《商业银行资本管理办法</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试行</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》过渡期规则</w:t>
            </w:r>
          </w:p>
        </w:tc>
        <w:tc>
          <w:tcPr>
            <w:tcW w:w="1091" w:type="pct"/>
            <w:vAlign w:val="center"/>
          </w:tcPr>
          <w:p w14:paraId="03012560"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核心一级资本</w:t>
            </w:r>
          </w:p>
        </w:tc>
        <w:tc>
          <w:tcPr>
            <w:tcW w:w="1227" w:type="pct"/>
            <w:vAlign w:val="center"/>
          </w:tcPr>
          <w:p w14:paraId="5E038062"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核心一级资本</w:t>
            </w:r>
          </w:p>
        </w:tc>
        <w:tc>
          <w:tcPr>
            <w:tcW w:w="1106" w:type="pct"/>
            <w:vAlign w:val="center"/>
          </w:tcPr>
          <w:p w14:paraId="4761056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二级资本</w:t>
            </w:r>
          </w:p>
        </w:tc>
      </w:tr>
      <w:tr w:rsidR="008E018D" w:rsidRPr="003752FB" w14:paraId="4A2856DB" w14:textId="77777777" w:rsidTr="00D0615F">
        <w:tc>
          <w:tcPr>
            <w:tcW w:w="304" w:type="pct"/>
            <w:vAlign w:val="center"/>
          </w:tcPr>
          <w:p w14:paraId="05E485C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5</w:t>
            </w:r>
          </w:p>
        </w:tc>
        <w:tc>
          <w:tcPr>
            <w:tcW w:w="1272" w:type="pct"/>
            <w:vAlign w:val="center"/>
          </w:tcPr>
          <w:p w14:paraId="2AEDC471"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其中：适用《商业银行资本管理办法</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试行</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》过渡期结束后规则</w:t>
            </w:r>
          </w:p>
        </w:tc>
        <w:tc>
          <w:tcPr>
            <w:tcW w:w="1091" w:type="pct"/>
            <w:vAlign w:val="center"/>
          </w:tcPr>
          <w:p w14:paraId="7E95FB0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核心一级资本</w:t>
            </w:r>
          </w:p>
        </w:tc>
        <w:tc>
          <w:tcPr>
            <w:tcW w:w="1227" w:type="pct"/>
            <w:vAlign w:val="center"/>
          </w:tcPr>
          <w:p w14:paraId="5ACBABB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核心一级资本</w:t>
            </w:r>
          </w:p>
        </w:tc>
        <w:tc>
          <w:tcPr>
            <w:tcW w:w="1106" w:type="pct"/>
            <w:vAlign w:val="center"/>
          </w:tcPr>
          <w:p w14:paraId="528818B2"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二级资本</w:t>
            </w:r>
          </w:p>
        </w:tc>
      </w:tr>
      <w:tr w:rsidR="008E018D" w:rsidRPr="003752FB" w14:paraId="11302EE2" w14:textId="77777777" w:rsidTr="00D0615F">
        <w:tc>
          <w:tcPr>
            <w:tcW w:w="304" w:type="pct"/>
            <w:vAlign w:val="center"/>
          </w:tcPr>
          <w:p w14:paraId="0898E282"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6</w:t>
            </w:r>
          </w:p>
        </w:tc>
        <w:tc>
          <w:tcPr>
            <w:tcW w:w="1272" w:type="pct"/>
            <w:vAlign w:val="center"/>
          </w:tcPr>
          <w:p w14:paraId="6C364B9F"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其中：适用法人</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集团层面</w:t>
            </w:r>
          </w:p>
        </w:tc>
        <w:tc>
          <w:tcPr>
            <w:tcW w:w="1091" w:type="pct"/>
            <w:vAlign w:val="center"/>
          </w:tcPr>
          <w:p w14:paraId="7A000E0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法人</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集团</w:t>
            </w:r>
          </w:p>
        </w:tc>
        <w:tc>
          <w:tcPr>
            <w:tcW w:w="1227" w:type="pct"/>
            <w:vAlign w:val="center"/>
          </w:tcPr>
          <w:p w14:paraId="6F26A80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法人</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集团</w:t>
            </w:r>
          </w:p>
        </w:tc>
        <w:tc>
          <w:tcPr>
            <w:tcW w:w="1106" w:type="pct"/>
            <w:vAlign w:val="center"/>
          </w:tcPr>
          <w:p w14:paraId="39085EF8"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法人</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集团</w:t>
            </w:r>
          </w:p>
        </w:tc>
      </w:tr>
      <w:tr w:rsidR="008E018D" w:rsidRPr="003752FB" w14:paraId="5C33240D" w14:textId="77777777" w:rsidTr="00D0615F">
        <w:tc>
          <w:tcPr>
            <w:tcW w:w="304" w:type="pct"/>
            <w:vAlign w:val="center"/>
          </w:tcPr>
          <w:p w14:paraId="00833EF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7</w:t>
            </w:r>
          </w:p>
        </w:tc>
        <w:tc>
          <w:tcPr>
            <w:tcW w:w="1272" w:type="pct"/>
            <w:vAlign w:val="center"/>
          </w:tcPr>
          <w:p w14:paraId="4613394F"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工具类型</w:t>
            </w:r>
          </w:p>
        </w:tc>
        <w:tc>
          <w:tcPr>
            <w:tcW w:w="1091" w:type="pct"/>
            <w:vAlign w:val="center"/>
          </w:tcPr>
          <w:p w14:paraId="6A8A72A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普通股</w:t>
            </w:r>
          </w:p>
        </w:tc>
        <w:tc>
          <w:tcPr>
            <w:tcW w:w="1227" w:type="pct"/>
            <w:vAlign w:val="center"/>
          </w:tcPr>
          <w:p w14:paraId="5C5D45A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可转换公司债</w:t>
            </w:r>
            <w:proofErr w:type="gramStart"/>
            <w:r w:rsidRPr="003752FB">
              <w:rPr>
                <w:rFonts w:ascii="Times New Roman" w:eastAsiaTheme="majorEastAsia" w:hAnsi="Times New Roman" w:cs="Times New Roman"/>
                <w:sz w:val="16"/>
                <w:szCs w:val="16"/>
              </w:rPr>
              <w:t>券</w:t>
            </w:r>
            <w:proofErr w:type="gramEnd"/>
          </w:p>
        </w:tc>
        <w:tc>
          <w:tcPr>
            <w:tcW w:w="1106" w:type="pct"/>
            <w:vAlign w:val="center"/>
          </w:tcPr>
          <w:p w14:paraId="0145574F"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二级资本债券</w:t>
            </w:r>
          </w:p>
        </w:tc>
      </w:tr>
      <w:tr w:rsidR="008E018D" w:rsidRPr="003752FB" w14:paraId="2750AEC8" w14:textId="77777777" w:rsidTr="00D0615F">
        <w:tc>
          <w:tcPr>
            <w:tcW w:w="304" w:type="pct"/>
            <w:vAlign w:val="center"/>
          </w:tcPr>
          <w:p w14:paraId="30FAE2F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8</w:t>
            </w:r>
          </w:p>
        </w:tc>
        <w:tc>
          <w:tcPr>
            <w:tcW w:w="1272" w:type="pct"/>
            <w:vAlign w:val="center"/>
          </w:tcPr>
          <w:p w14:paraId="23E1CD50"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可计入监管资本的数额</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单位：万元，最近一期报告日</w:t>
            </w:r>
            <w:r w:rsidRPr="003752FB">
              <w:rPr>
                <w:rFonts w:ascii="Times New Roman" w:eastAsiaTheme="majorEastAsia" w:hAnsi="Times New Roman" w:cs="Times New Roman"/>
                <w:sz w:val="16"/>
                <w:szCs w:val="16"/>
              </w:rPr>
              <w:t>)</w:t>
            </w:r>
          </w:p>
        </w:tc>
        <w:tc>
          <w:tcPr>
            <w:tcW w:w="1091" w:type="pct"/>
            <w:shd w:val="clear" w:color="auto" w:fill="auto"/>
            <w:vAlign w:val="center"/>
          </w:tcPr>
          <w:p w14:paraId="288E36A7" w14:textId="18A7D47F"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257,03</w:t>
            </w:r>
            <w:r w:rsidR="003221C0" w:rsidRPr="003752FB">
              <w:rPr>
                <w:rFonts w:ascii="Times New Roman" w:eastAsiaTheme="majorEastAsia" w:hAnsi="Times New Roman" w:cs="Times New Roman"/>
                <w:sz w:val="16"/>
                <w:szCs w:val="16"/>
              </w:rPr>
              <w:t>0.</w:t>
            </w:r>
            <w:r w:rsidR="00894094" w:rsidRPr="003752FB">
              <w:rPr>
                <w:rFonts w:ascii="Times New Roman" w:eastAsiaTheme="majorEastAsia" w:hAnsi="Times New Roman" w:cs="Times New Roman"/>
                <w:sz w:val="16"/>
                <w:szCs w:val="16"/>
              </w:rPr>
              <w:t>70</w:t>
            </w:r>
          </w:p>
        </w:tc>
        <w:tc>
          <w:tcPr>
            <w:tcW w:w="1227" w:type="pct"/>
            <w:shd w:val="clear" w:color="auto" w:fill="auto"/>
            <w:vAlign w:val="center"/>
          </w:tcPr>
          <w:p w14:paraId="72D36E2B" w14:textId="0B3BE473"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36,69</w:t>
            </w:r>
            <w:r w:rsidR="00FE6B4D" w:rsidRPr="003752FB">
              <w:rPr>
                <w:rFonts w:ascii="Times New Roman" w:eastAsiaTheme="majorEastAsia" w:hAnsi="Times New Roman" w:cs="Times New Roman"/>
                <w:sz w:val="16"/>
                <w:szCs w:val="16"/>
              </w:rPr>
              <w:t>6</w:t>
            </w:r>
            <w:r w:rsidR="003221C0" w:rsidRPr="003752FB">
              <w:rPr>
                <w:rFonts w:ascii="Times New Roman" w:eastAsiaTheme="majorEastAsia" w:hAnsi="Times New Roman" w:cs="Times New Roman"/>
                <w:sz w:val="16"/>
                <w:szCs w:val="16"/>
              </w:rPr>
              <w:t>.</w:t>
            </w:r>
            <w:r w:rsidR="00FE6B4D" w:rsidRPr="003752FB">
              <w:rPr>
                <w:rFonts w:ascii="Times New Roman" w:eastAsiaTheme="majorEastAsia" w:hAnsi="Times New Roman" w:cs="Times New Roman"/>
                <w:sz w:val="16"/>
                <w:szCs w:val="16"/>
              </w:rPr>
              <w:t>34</w:t>
            </w:r>
          </w:p>
        </w:tc>
        <w:tc>
          <w:tcPr>
            <w:tcW w:w="1106" w:type="pct"/>
            <w:shd w:val="clear" w:color="auto" w:fill="auto"/>
            <w:vAlign w:val="center"/>
          </w:tcPr>
          <w:p w14:paraId="34366F18" w14:textId="3E7D5B5F"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449,95</w:t>
            </w:r>
            <w:r w:rsidR="00FE6B4D" w:rsidRPr="003752FB">
              <w:rPr>
                <w:rFonts w:ascii="Times New Roman" w:eastAsiaTheme="majorEastAsia" w:hAnsi="Times New Roman" w:cs="Times New Roman"/>
                <w:sz w:val="16"/>
                <w:szCs w:val="16"/>
              </w:rPr>
              <w:t>5</w:t>
            </w:r>
            <w:r w:rsidR="003221C0" w:rsidRPr="003752FB">
              <w:rPr>
                <w:rFonts w:ascii="Times New Roman" w:eastAsiaTheme="majorEastAsia" w:hAnsi="Times New Roman" w:cs="Times New Roman"/>
                <w:sz w:val="16"/>
                <w:szCs w:val="16"/>
              </w:rPr>
              <w:t>.</w:t>
            </w:r>
            <w:r w:rsidR="00FE6B4D" w:rsidRPr="003752FB">
              <w:rPr>
                <w:rFonts w:ascii="Times New Roman" w:eastAsiaTheme="majorEastAsia" w:hAnsi="Times New Roman" w:cs="Times New Roman"/>
                <w:sz w:val="16"/>
                <w:szCs w:val="16"/>
              </w:rPr>
              <w:t>70</w:t>
            </w:r>
          </w:p>
        </w:tc>
      </w:tr>
      <w:tr w:rsidR="008E018D" w:rsidRPr="003752FB" w14:paraId="11E15442" w14:textId="77777777" w:rsidTr="00D0615F">
        <w:tc>
          <w:tcPr>
            <w:tcW w:w="304" w:type="pct"/>
            <w:vAlign w:val="center"/>
          </w:tcPr>
          <w:p w14:paraId="5D4DF7EF"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9</w:t>
            </w:r>
          </w:p>
        </w:tc>
        <w:tc>
          <w:tcPr>
            <w:tcW w:w="1272" w:type="pct"/>
            <w:vAlign w:val="center"/>
          </w:tcPr>
          <w:p w14:paraId="132D7E65"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工具面值</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单位为万</w:t>
            </w:r>
            <w:r w:rsidRPr="003752FB">
              <w:rPr>
                <w:rFonts w:ascii="Times New Roman" w:eastAsiaTheme="majorEastAsia" w:hAnsi="Times New Roman" w:cs="Times New Roman"/>
                <w:sz w:val="16"/>
                <w:szCs w:val="16"/>
              </w:rPr>
              <w:t>)</w:t>
            </w:r>
          </w:p>
        </w:tc>
        <w:tc>
          <w:tcPr>
            <w:tcW w:w="1091" w:type="pct"/>
            <w:shd w:val="clear" w:color="auto" w:fill="auto"/>
            <w:vAlign w:val="center"/>
          </w:tcPr>
          <w:p w14:paraId="535691C0" w14:textId="45E7D7F5"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262,000</w:t>
            </w:r>
            <w:r w:rsidR="003221C0" w:rsidRPr="003752FB">
              <w:rPr>
                <w:rFonts w:ascii="Times New Roman" w:eastAsiaTheme="majorEastAsia" w:hAnsi="Times New Roman" w:cs="Times New Roman"/>
                <w:sz w:val="16"/>
                <w:szCs w:val="16"/>
              </w:rPr>
              <w:t>.00</w:t>
            </w:r>
          </w:p>
        </w:tc>
        <w:tc>
          <w:tcPr>
            <w:tcW w:w="1227" w:type="pct"/>
            <w:shd w:val="clear" w:color="auto" w:fill="auto"/>
            <w:vAlign w:val="center"/>
          </w:tcPr>
          <w:p w14:paraId="3B226145" w14:textId="694D72D4" w:rsidR="008E018D" w:rsidRPr="003752FB" w:rsidRDefault="00FE6B4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499</w:t>
            </w:r>
            <w:r w:rsidR="008E018D"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965</w:t>
            </w:r>
            <w:r w:rsidR="003221C0"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87</w:t>
            </w:r>
          </w:p>
        </w:tc>
        <w:tc>
          <w:tcPr>
            <w:tcW w:w="1106" w:type="pct"/>
            <w:shd w:val="clear" w:color="auto" w:fill="auto"/>
            <w:vAlign w:val="center"/>
          </w:tcPr>
          <w:p w14:paraId="30FA6AD6" w14:textId="31E5900E"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450,000</w:t>
            </w:r>
            <w:r w:rsidR="003221C0" w:rsidRPr="003752FB">
              <w:rPr>
                <w:rFonts w:ascii="Times New Roman" w:eastAsiaTheme="majorEastAsia" w:hAnsi="Times New Roman" w:cs="Times New Roman"/>
                <w:sz w:val="16"/>
                <w:szCs w:val="16"/>
              </w:rPr>
              <w:t>.00</w:t>
            </w:r>
          </w:p>
        </w:tc>
      </w:tr>
      <w:tr w:rsidR="008E018D" w:rsidRPr="003752FB" w14:paraId="3CE31797" w14:textId="77777777" w:rsidTr="00D0615F">
        <w:tc>
          <w:tcPr>
            <w:tcW w:w="304" w:type="pct"/>
            <w:vAlign w:val="center"/>
          </w:tcPr>
          <w:p w14:paraId="0C6A2A8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10</w:t>
            </w:r>
          </w:p>
        </w:tc>
        <w:tc>
          <w:tcPr>
            <w:tcW w:w="1272" w:type="pct"/>
            <w:vAlign w:val="center"/>
          </w:tcPr>
          <w:p w14:paraId="5FEDC8D1"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会计处理</w:t>
            </w:r>
          </w:p>
        </w:tc>
        <w:tc>
          <w:tcPr>
            <w:tcW w:w="1091" w:type="pct"/>
            <w:vAlign w:val="center"/>
          </w:tcPr>
          <w:p w14:paraId="403DE2F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股本、资本公积</w:t>
            </w:r>
          </w:p>
        </w:tc>
        <w:tc>
          <w:tcPr>
            <w:tcW w:w="1227" w:type="pct"/>
            <w:vAlign w:val="center"/>
          </w:tcPr>
          <w:p w14:paraId="21395DA0"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其他权益工具</w:t>
            </w:r>
          </w:p>
        </w:tc>
        <w:tc>
          <w:tcPr>
            <w:tcW w:w="1106" w:type="pct"/>
            <w:vAlign w:val="center"/>
          </w:tcPr>
          <w:p w14:paraId="30C97D92"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应付债券</w:t>
            </w:r>
          </w:p>
        </w:tc>
      </w:tr>
      <w:tr w:rsidR="008E018D" w:rsidRPr="003752FB" w14:paraId="450E902A" w14:textId="77777777" w:rsidTr="00D0615F">
        <w:tc>
          <w:tcPr>
            <w:tcW w:w="304" w:type="pct"/>
            <w:vAlign w:val="center"/>
          </w:tcPr>
          <w:p w14:paraId="6F0CD59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11</w:t>
            </w:r>
          </w:p>
        </w:tc>
        <w:tc>
          <w:tcPr>
            <w:tcW w:w="1272" w:type="pct"/>
            <w:vAlign w:val="center"/>
          </w:tcPr>
          <w:p w14:paraId="5A6BFF77"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初始发行日</w:t>
            </w:r>
          </w:p>
        </w:tc>
        <w:tc>
          <w:tcPr>
            <w:tcW w:w="1091" w:type="pct"/>
            <w:shd w:val="clear" w:color="auto" w:fill="auto"/>
            <w:vAlign w:val="center"/>
          </w:tcPr>
          <w:p w14:paraId="7C3455D0"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2019/7/18</w:t>
            </w:r>
          </w:p>
        </w:tc>
        <w:tc>
          <w:tcPr>
            <w:tcW w:w="1227" w:type="pct"/>
            <w:vAlign w:val="center"/>
          </w:tcPr>
          <w:p w14:paraId="7ECD07B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2021/4/12</w:t>
            </w:r>
          </w:p>
        </w:tc>
        <w:tc>
          <w:tcPr>
            <w:tcW w:w="1106" w:type="pct"/>
            <w:vAlign w:val="center"/>
          </w:tcPr>
          <w:p w14:paraId="1AAEF58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2020/8/5</w:t>
            </w:r>
          </w:p>
        </w:tc>
      </w:tr>
      <w:tr w:rsidR="008E018D" w:rsidRPr="003752FB" w14:paraId="76ADC763" w14:textId="77777777" w:rsidTr="00D0615F">
        <w:tc>
          <w:tcPr>
            <w:tcW w:w="304" w:type="pct"/>
            <w:vAlign w:val="center"/>
          </w:tcPr>
          <w:p w14:paraId="5ABD7DB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12</w:t>
            </w:r>
          </w:p>
        </w:tc>
        <w:tc>
          <w:tcPr>
            <w:tcW w:w="1272" w:type="pct"/>
            <w:vAlign w:val="center"/>
          </w:tcPr>
          <w:p w14:paraId="328CA2E2"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是否存在期限</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存在期限或永续</w:t>
            </w:r>
            <w:r w:rsidRPr="003752FB">
              <w:rPr>
                <w:rFonts w:ascii="Times New Roman" w:eastAsiaTheme="majorEastAsia" w:hAnsi="Times New Roman" w:cs="Times New Roman"/>
                <w:sz w:val="16"/>
                <w:szCs w:val="16"/>
              </w:rPr>
              <w:t>)</w:t>
            </w:r>
          </w:p>
        </w:tc>
        <w:tc>
          <w:tcPr>
            <w:tcW w:w="1091" w:type="pct"/>
            <w:vAlign w:val="center"/>
          </w:tcPr>
          <w:p w14:paraId="585183E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永续</w:t>
            </w:r>
          </w:p>
        </w:tc>
        <w:tc>
          <w:tcPr>
            <w:tcW w:w="1227" w:type="pct"/>
            <w:vAlign w:val="center"/>
          </w:tcPr>
          <w:p w14:paraId="4A3F1468"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存在期限</w:t>
            </w:r>
          </w:p>
        </w:tc>
        <w:tc>
          <w:tcPr>
            <w:tcW w:w="1106" w:type="pct"/>
            <w:vAlign w:val="center"/>
          </w:tcPr>
          <w:p w14:paraId="70FEB68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存在期限</w:t>
            </w:r>
          </w:p>
        </w:tc>
      </w:tr>
      <w:tr w:rsidR="008E018D" w:rsidRPr="003752FB" w14:paraId="3D304CAC" w14:textId="77777777" w:rsidTr="00D0615F">
        <w:tc>
          <w:tcPr>
            <w:tcW w:w="304" w:type="pct"/>
            <w:vAlign w:val="center"/>
          </w:tcPr>
          <w:p w14:paraId="03C7198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13</w:t>
            </w:r>
          </w:p>
        </w:tc>
        <w:tc>
          <w:tcPr>
            <w:tcW w:w="1272" w:type="pct"/>
            <w:vAlign w:val="center"/>
          </w:tcPr>
          <w:p w14:paraId="082B0D90"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其中：原到期日</w:t>
            </w:r>
          </w:p>
        </w:tc>
        <w:tc>
          <w:tcPr>
            <w:tcW w:w="1091" w:type="pct"/>
            <w:vAlign w:val="center"/>
          </w:tcPr>
          <w:p w14:paraId="76B405A8"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无到期日</w:t>
            </w:r>
          </w:p>
        </w:tc>
        <w:tc>
          <w:tcPr>
            <w:tcW w:w="1227" w:type="pct"/>
            <w:vAlign w:val="center"/>
          </w:tcPr>
          <w:p w14:paraId="7349EEA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2027/4/11</w:t>
            </w:r>
          </w:p>
        </w:tc>
        <w:tc>
          <w:tcPr>
            <w:tcW w:w="1106" w:type="pct"/>
            <w:shd w:val="clear" w:color="auto" w:fill="auto"/>
            <w:vAlign w:val="center"/>
          </w:tcPr>
          <w:p w14:paraId="76553071"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2030/8/7</w:t>
            </w:r>
          </w:p>
        </w:tc>
      </w:tr>
      <w:tr w:rsidR="008E018D" w:rsidRPr="003752FB" w14:paraId="673AC072" w14:textId="77777777" w:rsidTr="00D0615F">
        <w:tc>
          <w:tcPr>
            <w:tcW w:w="304" w:type="pct"/>
            <w:vAlign w:val="center"/>
          </w:tcPr>
          <w:p w14:paraId="00FA3270"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14</w:t>
            </w:r>
          </w:p>
        </w:tc>
        <w:tc>
          <w:tcPr>
            <w:tcW w:w="1272" w:type="pct"/>
            <w:vAlign w:val="center"/>
          </w:tcPr>
          <w:p w14:paraId="196D9EE6"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发行人赎回</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须经监管审批</w:t>
            </w:r>
            <w:r w:rsidRPr="003752FB">
              <w:rPr>
                <w:rFonts w:ascii="Times New Roman" w:eastAsiaTheme="majorEastAsia" w:hAnsi="Times New Roman" w:cs="Times New Roman"/>
                <w:sz w:val="16"/>
                <w:szCs w:val="16"/>
              </w:rPr>
              <w:t>)</w:t>
            </w:r>
          </w:p>
        </w:tc>
        <w:tc>
          <w:tcPr>
            <w:tcW w:w="1091" w:type="pct"/>
            <w:shd w:val="clear" w:color="auto" w:fill="auto"/>
            <w:vAlign w:val="center"/>
          </w:tcPr>
          <w:p w14:paraId="1D75977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4340F1F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是</w:t>
            </w:r>
          </w:p>
        </w:tc>
        <w:tc>
          <w:tcPr>
            <w:tcW w:w="1106" w:type="pct"/>
            <w:shd w:val="clear" w:color="auto" w:fill="auto"/>
            <w:vAlign w:val="center"/>
          </w:tcPr>
          <w:p w14:paraId="2D8F22E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是</w:t>
            </w:r>
          </w:p>
        </w:tc>
      </w:tr>
      <w:tr w:rsidR="008E018D" w:rsidRPr="003752FB" w14:paraId="0D0FC084" w14:textId="77777777" w:rsidTr="00D0615F">
        <w:tc>
          <w:tcPr>
            <w:tcW w:w="304" w:type="pct"/>
            <w:vAlign w:val="center"/>
          </w:tcPr>
          <w:p w14:paraId="53F5CF0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15</w:t>
            </w:r>
          </w:p>
        </w:tc>
        <w:tc>
          <w:tcPr>
            <w:tcW w:w="1272" w:type="pct"/>
            <w:vAlign w:val="center"/>
          </w:tcPr>
          <w:p w14:paraId="1813EB74"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其中：赎回日期</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或有时间赎回日期</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及额度</w:t>
            </w:r>
          </w:p>
        </w:tc>
        <w:tc>
          <w:tcPr>
            <w:tcW w:w="1091" w:type="pct"/>
            <w:vAlign w:val="center"/>
          </w:tcPr>
          <w:p w14:paraId="4F3C858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5FDC45D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自</w:t>
            </w:r>
            <w:r w:rsidRPr="003752FB">
              <w:rPr>
                <w:rFonts w:ascii="Times New Roman" w:eastAsiaTheme="majorEastAsia" w:hAnsi="Times New Roman" w:cs="Times New Roman"/>
                <w:sz w:val="16"/>
                <w:szCs w:val="16"/>
              </w:rPr>
              <w:t>2021/10/18</w:t>
            </w:r>
            <w:r w:rsidRPr="003752FB">
              <w:rPr>
                <w:rFonts w:ascii="Times New Roman" w:eastAsiaTheme="majorEastAsia" w:hAnsi="Times New Roman" w:cs="Times New Roman"/>
                <w:sz w:val="16"/>
                <w:szCs w:val="16"/>
              </w:rPr>
              <w:t>起有条件赎回，全额或部分</w:t>
            </w:r>
          </w:p>
        </w:tc>
        <w:tc>
          <w:tcPr>
            <w:tcW w:w="1106" w:type="pct"/>
            <w:shd w:val="clear" w:color="auto" w:fill="auto"/>
            <w:vAlign w:val="center"/>
          </w:tcPr>
          <w:p w14:paraId="20703E38"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2025/8/7</w:t>
            </w:r>
            <w:r w:rsidRPr="003752FB">
              <w:rPr>
                <w:rFonts w:ascii="Times New Roman" w:eastAsiaTheme="majorEastAsia" w:hAnsi="Times New Roman" w:cs="Times New Roman"/>
                <w:sz w:val="16"/>
                <w:szCs w:val="16"/>
              </w:rPr>
              <w:t>，全额</w:t>
            </w:r>
          </w:p>
        </w:tc>
      </w:tr>
      <w:tr w:rsidR="008E018D" w:rsidRPr="003752FB" w14:paraId="13359945" w14:textId="77777777" w:rsidTr="00D0615F">
        <w:tc>
          <w:tcPr>
            <w:tcW w:w="304" w:type="pct"/>
            <w:vAlign w:val="center"/>
          </w:tcPr>
          <w:p w14:paraId="3059371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16</w:t>
            </w:r>
          </w:p>
        </w:tc>
        <w:tc>
          <w:tcPr>
            <w:tcW w:w="1272" w:type="pct"/>
            <w:vAlign w:val="center"/>
          </w:tcPr>
          <w:p w14:paraId="69A30422"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其中：后续赎回日期</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如果有</w:t>
            </w:r>
            <w:r w:rsidRPr="003752FB">
              <w:rPr>
                <w:rFonts w:ascii="Times New Roman" w:eastAsiaTheme="majorEastAsia" w:hAnsi="Times New Roman" w:cs="Times New Roman"/>
                <w:sz w:val="16"/>
                <w:szCs w:val="16"/>
              </w:rPr>
              <w:t>)</w:t>
            </w:r>
          </w:p>
        </w:tc>
        <w:tc>
          <w:tcPr>
            <w:tcW w:w="1091" w:type="pct"/>
            <w:vAlign w:val="center"/>
          </w:tcPr>
          <w:p w14:paraId="2DE26E9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62B928F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2021</w:t>
            </w:r>
            <w:r w:rsidRPr="003752FB">
              <w:rPr>
                <w:rFonts w:ascii="Times New Roman" w:eastAsiaTheme="majorEastAsia" w:hAnsi="Times New Roman" w:cs="Times New Roman"/>
                <w:sz w:val="16"/>
                <w:szCs w:val="16"/>
              </w:rPr>
              <w:t>年</w:t>
            </w:r>
            <w:r w:rsidRPr="003752FB">
              <w:rPr>
                <w:rFonts w:ascii="Times New Roman" w:eastAsiaTheme="majorEastAsia" w:hAnsi="Times New Roman" w:cs="Times New Roman"/>
                <w:sz w:val="16"/>
                <w:szCs w:val="16"/>
              </w:rPr>
              <w:t>10</w:t>
            </w:r>
            <w:r w:rsidRPr="003752FB">
              <w:rPr>
                <w:rFonts w:ascii="Times New Roman" w:eastAsiaTheme="majorEastAsia" w:hAnsi="Times New Roman" w:cs="Times New Roman"/>
                <w:sz w:val="16"/>
                <w:szCs w:val="16"/>
              </w:rPr>
              <w:t>月</w:t>
            </w:r>
            <w:r w:rsidRPr="003752FB">
              <w:rPr>
                <w:rFonts w:ascii="Times New Roman" w:eastAsiaTheme="majorEastAsia" w:hAnsi="Times New Roman" w:cs="Times New Roman"/>
                <w:sz w:val="16"/>
                <w:szCs w:val="16"/>
              </w:rPr>
              <w:t>18</w:t>
            </w:r>
            <w:r w:rsidRPr="003752FB">
              <w:rPr>
                <w:rFonts w:ascii="Times New Roman" w:eastAsiaTheme="majorEastAsia" w:hAnsi="Times New Roman" w:cs="Times New Roman"/>
                <w:sz w:val="16"/>
                <w:szCs w:val="16"/>
              </w:rPr>
              <w:t>日起至</w:t>
            </w:r>
            <w:r w:rsidRPr="003752FB">
              <w:rPr>
                <w:rFonts w:ascii="Times New Roman" w:eastAsiaTheme="majorEastAsia" w:hAnsi="Times New Roman" w:cs="Times New Roman"/>
                <w:sz w:val="16"/>
                <w:szCs w:val="16"/>
              </w:rPr>
              <w:t>2027</w:t>
            </w:r>
            <w:r w:rsidRPr="003752FB">
              <w:rPr>
                <w:rFonts w:ascii="Times New Roman" w:eastAsiaTheme="majorEastAsia" w:hAnsi="Times New Roman" w:cs="Times New Roman"/>
                <w:sz w:val="16"/>
                <w:szCs w:val="16"/>
              </w:rPr>
              <w:t>年</w:t>
            </w:r>
            <w:r w:rsidRPr="003752FB">
              <w:rPr>
                <w:rFonts w:ascii="Times New Roman" w:eastAsiaTheme="majorEastAsia" w:hAnsi="Times New Roman" w:cs="Times New Roman"/>
                <w:sz w:val="16"/>
                <w:szCs w:val="16"/>
              </w:rPr>
              <w:t>4</w:t>
            </w:r>
            <w:r w:rsidRPr="003752FB">
              <w:rPr>
                <w:rFonts w:ascii="Times New Roman" w:eastAsiaTheme="majorEastAsia" w:hAnsi="Times New Roman" w:cs="Times New Roman"/>
                <w:sz w:val="16"/>
                <w:szCs w:val="16"/>
              </w:rPr>
              <w:t>月</w:t>
            </w:r>
            <w:r w:rsidRPr="003752FB">
              <w:rPr>
                <w:rFonts w:ascii="Times New Roman" w:eastAsiaTheme="majorEastAsia" w:hAnsi="Times New Roman" w:cs="Times New Roman"/>
                <w:sz w:val="16"/>
                <w:szCs w:val="16"/>
              </w:rPr>
              <w:t>11</w:t>
            </w:r>
            <w:r w:rsidRPr="003752FB">
              <w:rPr>
                <w:rFonts w:ascii="Times New Roman" w:eastAsiaTheme="majorEastAsia" w:hAnsi="Times New Roman" w:cs="Times New Roman"/>
                <w:sz w:val="16"/>
                <w:szCs w:val="16"/>
              </w:rPr>
              <w:t>日</w:t>
            </w:r>
          </w:p>
        </w:tc>
        <w:tc>
          <w:tcPr>
            <w:tcW w:w="1106" w:type="pct"/>
            <w:vAlign w:val="center"/>
          </w:tcPr>
          <w:p w14:paraId="74664A19"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245BC7D9" w14:textId="77777777" w:rsidTr="00D0615F">
        <w:tc>
          <w:tcPr>
            <w:tcW w:w="304" w:type="pct"/>
            <w:vAlign w:val="center"/>
          </w:tcPr>
          <w:p w14:paraId="0A45AD08" w14:textId="77777777" w:rsidR="008E018D" w:rsidRPr="003752FB" w:rsidRDefault="008E018D" w:rsidP="00C44EAF">
            <w:pPr>
              <w:jc w:val="center"/>
              <w:rPr>
                <w:rFonts w:ascii="Times New Roman" w:eastAsiaTheme="majorEastAsia" w:hAnsi="Times New Roman" w:cs="Times New Roman"/>
                <w:sz w:val="16"/>
                <w:szCs w:val="16"/>
              </w:rPr>
            </w:pPr>
          </w:p>
        </w:tc>
        <w:tc>
          <w:tcPr>
            <w:tcW w:w="1272" w:type="pct"/>
            <w:vAlign w:val="center"/>
          </w:tcPr>
          <w:p w14:paraId="2E0BD1E4"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分红或派息</w:t>
            </w:r>
          </w:p>
        </w:tc>
        <w:tc>
          <w:tcPr>
            <w:tcW w:w="1091" w:type="pct"/>
            <w:vAlign w:val="center"/>
          </w:tcPr>
          <w:p w14:paraId="167FE455" w14:textId="77777777" w:rsidR="008E018D" w:rsidRPr="003752FB" w:rsidRDefault="008E018D" w:rsidP="00C44EAF">
            <w:pPr>
              <w:jc w:val="center"/>
              <w:rPr>
                <w:rFonts w:ascii="Times New Roman" w:eastAsiaTheme="majorEastAsia" w:hAnsi="Times New Roman" w:cs="Times New Roman"/>
                <w:sz w:val="16"/>
                <w:szCs w:val="16"/>
              </w:rPr>
            </w:pPr>
          </w:p>
        </w:tc>
        <w:tc>
          <w:tcPr>
            <w:tcW w:w="1227" w:type="pct"/>
            <w:vAlign w:val="center"/>
          </w:tcPr>
          <w:p w14:paraId="436755D0" w14:textId="77777777" w:rsidR="008E018D" w:rsidRPr="003752FB" w:rsidRDefault="008E018D" w:rsidP="00C44EAF">
            <w:pPr>
              <w:jc w:val="center"/>
              <w:rPr>
                <w:rFonts w:ascii="Times New Roman" w:eastAsiaTheme="majorEastAsia" w:hAnsi="Times New Roman" w:cs="Times New Roman"/>
                <w:sz w:val="16"/>
                <w:szCs w:val="16"/>
              </w:rPr>
            </w:pPr>
          </w:p>
        </w:tc>
        <w:tc>
          <w:tcPr>
            <w:tcW w:w="1106" w:type="pct"/>
            <w:vAlign w:val="center"/>
          </w:tcPr>
          <w:p w14:paraId="6E53EA98" w14:textId="77777777" w:rsidR="008E018D" w:rsidRPr="003752FB" w:rsidRDefault="008E018D" w:rsidP="00C44EAF">
            <w:pPr>
              <w:jc w:val="center"/>
              <w:rPr>
                <w:rFonts w:ascii="Times New Roman" w:eastAsiaTheme="majorEastAsia" w:hAnsi="Times New Roman" w:cs="Times New Roman"/>
                <w:sz w:val="16"/>
                <w:szCs w:val="16"/>
              </w:rPr>
            </w:pPr>
          </w:p>
        </w:tc>
      </w:tr>
      <w:tr w:rsidR="008E018D" w:rsidRPr="003752FB" w14:paraId="6E882087" w14:textId="77777777" w:rsidTr="00D0615F">
        <w:tc>
          <w:tcPr>
            <w:tcW w:w="304" w:type="pct"/>
            <w:vAlign w:val="center"/>
          </w:tcPr>
          <w:p w14:paraId="700EA8C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17</w:t>
            </w:r>
          </w:p>
        </w:tc>
        <w:tc>
          <w:tcPr>
            <w:tcW w:w="1272" w:type="pct"/>
            <w:vAlign w:val="center"/>
          </w:tcPr>
          <w:p w14:paraId="7D6D7EB4"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其中：固定或浮动派息</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分红</w:t>
            </w:r>
          </w:p>
        </w:tc>
        <w:tc>
          <w:tcPr>
            <w:tcW w:w="1091" w:type="pct"/>
            <w:vAlign w:val="center"/>
          </w:tcPr>
          <w:p w14:paraId="6CA2CA61"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浮动</w:t>
            </w:r>
          </w:p>
        </w:tc>
        <w:tc>
          <w:tcPr>
            <w:tcW w:w="1227" w:type="pct"/>
            <w:shd w:val="clear" w:color="auto" w:fill="auto"/>
            <w:vAlign w:val="center"/>
          </w:tcPr>
          <w:p w14:paraId="3C3AE958"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固定</w:t>
            </w:r>
          </w:p>
        </w:tc>
        <w:tc>
          <w:tcPr>
            <w:tcW w:w="1106" w:type="pct"/>
            <w:vAlign w:val="center"/>
          </w:tcPr>
          <w:p w14:paraId="3B16A36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固定</w:t>
            </w:r>
          </w:p>
        </w:tc>
      </w:tr>
      <w:tr w:rsidR="008E018D" w:rsidRPr="003752FB" w14:paraId="39DCE0A6" w14:textId="77777777" w:rsidTr="00D0615F">
        <w:tc>
          <w:tcPr>
            <w:tcW w:w="304" w:type="pct"/>
            <w:vAlign w:val="center"/>
          </w:tcPr>
          <w:p w14:paraId="7754C10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18</w:t>
            </w:r>
          </w:p>
        </w:tc>
        <w:tc>
          <w:tcPr>
            <w:tcW w:w="1272" w:type="pct"/>
            <w:vAlign w:val="center"/>
          </w:tcPr>
          <w:p w14:paraId="097DBEE7"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其中：票面利率及相关指标</w:t>
            </w:r>
          </w:p>
        </w:tc>
        <w:tc>
          <w:tcPr>
            <w:tcW w:w="1091" w:type="pct"/>
            <w:vAlign w:val="center"/>
          </w:tcPr>
          <w:p w14:paraId="38114E8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0AFF5EA1" w14:textId="1AC89F15" w:rsidR="008E018D" w:rsidRPr="003752FB" w:rsidRDefault="008E018D" w:rsidP="00D0615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20210412-20220411</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票面利率</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0.2%</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20220412-20230411</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票面利率</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0.4%</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20230412-20240411</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票面利率</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1.0%</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20240412-20250411</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票面利率</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1.5%</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20250412-20260411</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票面利率</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2.0%</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20260412-20270411</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票面利率</w:t>
            </w:r>
            <w:r w:rsidR="00D0615F"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2.5%</w:t>
            </w:r>
          </w:p>
        </w:tc>
        <w:tc>
          <w:tcPr>
            <w:tcW w:w="1106" w:type="pct"/>
            <w:vAlign w:val="center"/>
          </w:tcPr>
          <w:p w14:paraId="01DDED1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4.62%</w:t>
            </w:r>
          </w:p>
        </w:tc>
      </w:tr>
      <w:tr w:rsidR="008E018D" w:rsidRPr="003752FB" w14:paraId="1022FF2E" w14:textId="77777777" w:rsidTr="00D0615F">
        <w:tc>
          <w:tcPr>
            <w:tcW w:w="304" w:type="pct"/>
            <w:vAlign w:val="center"/>
          </w:tcPr>
          <w:p w14:paraId="69A3059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19</w:t>
            </w:r>
          </w:p>
        </w:tc>
        <w:tc>
          <w:tcPr>
            <w:tcW w:w="1272" w:type="pct"/>
            <w:vAlign w:val="center"/>
          </w:tcPr>
          <w:p w14:paraId="2E1B498E"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其中：是否存在股息制动机制</w:t>
            </w:r>
          </w:p>
        </w:tc>
        <w:tc>
          <w:tcPr>
            <w:tcW w:w="1091" w:type="pct"/>
            <w:shd w:val="clear" w:color="auto" w:fill="auto"/>
            <w:vAlign w:val="center"/>
          </w:tcPr>
          <w:p w14:paraId="67E1872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520BCB3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106" w:type="pct"/>
            <w:shd w:val="clear" w:color="auto" w:fill="auto"/>
            <w:vAlign w:val="center"/>
          </w:tcPr>
          <w:p w14:paraId="297F350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r>
      <w:tr w:rsidR="008E018D" w:rsidRPr="003752FB" w14:paraId="36871D86" w14:textId="77777777" w:rsidTr="00D0615F">
        <w:tc>
          <w:tcPr>
            <w:tcW w:w="304" w:type="pct"/>
            <w:vAlign w:val="center"/>
          </w:tcPr>
          <w:p w14:paraId="29A437D1"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20</w:t>
            </w:r>
          </w:p>
        </w:tc>
        <w:tc>
          <w:tcPr>
            <w:tcW w:w="1272" w:type="pct"/>
            <w:vAlign w:val="center"/>
          </w:tcPr>
          <w:p w14:paraId="1BFE17EE"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其中：是否可自主取消分红或派息</w:t>
            </w:r>
          </w:p>
        </w:tc>
        <w:tc>
          <w:tcPr>
            <w:tcW w:w="1091" w:type="pct"/>
            <w:shd w:val="clear" w:color="auto" w:fill="auto"/>
            <w:vAlign w:val="center"/>
          </w:tcPr>
          <w:p w14:paraId="7DE8D87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完全自由裁量</w:t>
            </w:r>
          </w:p>
        </w:tc>
        <w:tc>
          <w:tcPr>
            <w:tcW w:w="1227" w:type="pct"/>
            <w:shd w:val="clear" w:color="auto" w:fill="auto"/>
            <w:vAlign w:val="center"/>
          </w:tcPr>
          <w:p w14:paraId="68C5CA69"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转股前：股息制动机制；转股后：完全自由裁量权</w:t>
            </w:r>
          </w:p>
        </w:tc>
        <w:tc>
          <w:tcPr>
            <w:tcW w:w="1106" w:type="pct"/>
            <w:shd w:val="clear" w:color="auto" w:fill="auto"/>
            <w:vAlign w:val="center"/>
          </w:tcPr>
          <w:p w14:paraId="06F3155C"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r>
      <w:tr w:rsidR="008E018D" w:rsidRPr="003752FB" w14:paraId="306612EF" w14:textId="77777777" w:rsidTr="00D0615F">
        <w:tc>
          <w:tcPr>
            <w:tcW w:w="304" w:type="pct"/>
            <w:vAlign w:val="center"/>
          </w:tcPr>
          <w:p w14:paraId="788472DF"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21</w:t>
            </w:r>
          </w:p>
        </w:tc>
        <w:tc>
          <w:tcPr>
            <w:tcW w:w="1272" w:type="pct"/>
            <w:vAlign w:val="center"/>
          </w:tcPr>
          <w:p w14:paraId="0C37C303"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其中：是否有赎回激励机制</w:t>
            </w:r>
          </w:p>
        </w:tc>
        <w:tc>
          <w:tcPr>
            <w:tcW w:w="1091" w:type="pct"/>
            <w:shd w:val="clear" w:color="auto" w:fill="auto"/>
            <w:vAlign w:val="center"/>
          </w:tcPr>
          <w:p w14:paraId="5240F01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227" w:type="pct"/>
            <w:shd w:val="clear" w:color="auto" w:fill="auto"/>
            <w:vAlign w:val="center"/>
          </w:tcPr>
          <w:p w14:paraId="20470CA1"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106" w:type="pct"/>
            <w:shd w:val="clear" w:color="auto" w:fill="auto"/>
            <w:vAlign w:val="center"/>
          </w:tcPr>
          <w:p w14:paraId="60BC3C6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r>
      <w:tr w:rsidR="008E018D" w:rsidRPr="003752FB" w14:paraId="011DE0CC" w14:textId="77777777" w:rsidTr="00D0615F">
        <w:tc>
          <w:tcPr>
            <w:tcW w:w="304" w:type="pct"/>
            <w:vAlign w:val="center"/>
          </w:tcPr>
          <w:p w14:paraId="56F13AA8"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22</w:t>
            </w:r>
          </w:p>
        </w:tc>
        <w:tc>
          <w:tcPr>
            <w:tcW w:w="1272" w:type="pct"/>
            <w:vAlign w:val="center"/>
          </w:tcPr>
          <w:p w14:paraId="7F642514"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其中：累计或非累计</w:t>
            </w:r>
          </w:p>
        </w:tc>
        <w:tc>
          <w:tcPr>
            <w:tcW w:w="1091" w:type="pct"/>
            <w:shd w:val="clear" w:color="auto" w:fill="auto"/>
            <w:vAlign w:val="center"/>
          </w:tcPr>
          <w:p w14:paraId="3FEF7F9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非累计</w:t>
            </w:r>
          </w:p>
        </w:tc>
        <w:tc>
          <w:tcPr>
            <w:tcW w:w="1227" w:type="pct"/>
            <w:shd w:val="clear" w:color="auto" w:fill="auto"/>
            <w:vAlign w:val="center"/>
          </w:tcPr>
          <w:p w14:paraId="61FF2337" w14:textId="68D2386A" w:rsidR="008E018D" w:rsidRPr="003752FB" w:rsidRDefault="00C47CEC"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非累计</w:t>
            </w:r>
          </w:p>
        </w:tc>
        <w:tc>
          <w:tcPr>
            <w:tcW w:w="1106" w:type="pct"/>
            <w:shd w:val="clear" w:color="auto" w:fill="auto"/>
            <w:vAlign w:val="center"/>
          </w:tcPr>
          <w:p w14:paraId="13F6E0E1" w14:textId="08503FCB" w:rsidR="008E018D" w:rsidRPr="003752FB" w:rsidRDefault="00E61ED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493EB66B" w14:textId="77777777" w:rsidTr="00D0615F">
        <w:tc>
          <w:tcPr>
            <w:tcW w:w="304" w:type="pct"/>
            <w:vAlign w:val="center"/>
          </w:tcPr>
          <w:p w14:paraId="7245A96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lastRenderedPageBreak/>
              <w:t>23</w:t>
            </w:r>
          </w:p>
        </w:tc>
        <w:tc>
          <w:tcPr>
            <w:tcW w:w="1272" w:type="pct"/>
            <w:vAlign w:val="center"/>
          </w:tcPr>
          <w:p w14:paraId="7580D691"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是否可转股</w:t>
            </w:r>
          </w:p>
        </w:tc>
        <w:tc>
          <w:tcPr>
            <w:tcW w:w="1091" w:type="pct"/>
            <w:vAlign w:val="center"/>
          </w:tcPr>
          <w:p w14:paraId="6AB471AF"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227" w:type="pct"/>
            <w:vAlign w:val="center"/>
          </w:tcPr>
          <w:p w14:paraId="277A2DE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是</w:t>
            </w:r>
          </w:p>
        </w:tc>
        <w:tc>
          <w:tcPr>
            <w:tcW w:w="1106" w:type="pct"/>
            <w:vAlign w:val="center"/>
          </w:tcPr>
          <w:p w14:paraId="153FBCE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r>
      <w:tr w:rsidR="008E018D" w:rsidRPr="003752FB" w14:paraId="09610A92" w14:textId="77777777" w:rsidTr="00D0615F">
        <w:tc>
          <w:tcPr>
            <w:tcW w:w="304" w:type="pct"/>
            <w:vAlign w:val="center"/>
          </w:tcPr>
          <w:p w14:paraId="05E9122C"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24</w:t>
            </w:r>
          </w:p>
        </w:tc>
        <w:tc>
          <w:tcPr>
            <w:tcW w:w="1272" w:type="pct"/>
            <w:vAlign w:val="center"/>
          </w:tcPr>
          <w:p w14:paraId="596AD9A8"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其中：若可转股，则说明转换触发条件</w:t>
            </w:r>
          </w:p>
        </w:tc>
        <w:tc>
          <w:tcPr>
            <w:tcW w:w="1091" w:type="pct"/>
            <w:shd w:val="clear" w:color="auto" w:fill="auto"/>
            <w:vAlign w:val="center"/>
          </w:tcPr>
          <w:p w14:paraId="732CDA4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1ABF6E6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债券持有人自由裁量</w:t>
            </w:r>
          </w:p>
        </w:tc>
        <w:tc>
          <w:tcPr>
            <w:tcW w:w="1106" w:type="pct"/>
            <w:shd w:val="clear" w:color="auto" w:fill="auto"/>
            <w:vAlign w:val="center"/>
          </w:tcPr>
          <w:p w14:paraId="3CFB225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6F079FFB" w14:textId="77777777" w:rsidTr="00D0615F">
        <w:tc>
          <w:tcPr>
            <w:tcW w:w="304" w:type="pct"/>
            <w:vAlign w:val="center"/>
          </w:tcPr>
          <w:p w14:paraId="6ADF47E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25</w:t>
            </w:r>
          </w:p>
        </w:tc>
        <w:tc>
          <w:tcPr>
            <w:tcW w:w="1272" w:type="pct"/>
            <w:vAlign w:val="center"/>
          </w:tcPr>
          <w:p w14:paraId="12D619A0"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其中：若可转股，则说明全部转股还是部分转股</w:t>
            </w:r>
          </w:p>
        </w:tc>
        <w:tc>
          <w:tcPr>
            <w:tcW w:w="1091" w:type="pct"/>
            <w:vAlign w:val="center"/>
          </w:tcPr>
          <w:p w14:paraId="3AA1C54C"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6B1ADAF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全部可转股</w:t>
            </w:r>
          </w:p>
        </w:tc>
        <w:tc>
          <w:tcPr>
            <w:tcW w:w="1106" w:type="pct"/>
            <w:vAlign w:val="center"/>
          </w:tcPr>
          <w:p w14:paraId="004EEDD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25FDB37B" w14:textId="77777777" w:rsidTr="00D0615F">
        <w:tc>
          <w:tcPr>
            <w:tcW w:w="304" w:type="pct"/>
            <w:vAlign w:val="center"/>
          </w:tcPr>
          <w:p w14:paraId="12914D9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26</w:t>
            </w:r>
          </w:p>
        </w:tc>
        <w:tc>
          <w:tcPr>
            <w:tcW w:w="1272" w:type="pct"/>
            <w:vAlign w:val="center"/>
          </w:tcPr>
          <w:p w14:paraId="6B5A167B"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其中：若可转股，则说明转换价格确定方式</w:t>
            </w:r>
          </w:p>
        </w:tc>
        <w:tc>
          <w:tcPr>
            <w:tcW w:w="1091" w:type="pct"/>
            <w:vAlign w:val="center"/>
          </w:tcPr>
          <w:p w14:paraId="7A1D663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54E73DCC"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约定初始转换价格</w:t>
            </w:r>
            <w:r w:rsidRPr="003752FB">
              <w:rPr>
                <w:rFonts w:ascii="Times New Roman" w:eastAsiaTheme="majorEastAsia" w:hAnsi="Times New Roman" w:cs="Times New Roman"/>
                <w:sz w:val="16"/>
                <w:szCs w:val="16"/>
              </w:rPr>
              <w:t>8.34</w:t>
            </w:r>
            <w:r w:rsidRPr="003752FB">
              <w:rPr>
                <w:rFonts w:ascii="Times New Roman" w:eastAsiaTheme="majorEastAsia" w:hAnsi="Times New Roman" w:cs="Times New Roman"/>
                <w:sz w:val="16"/>
                <w:szCs w:val="16"/>
              </w:rPr>
              <w:t>元</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股；不低于募集说明书公告之日前二十个交易日本行</w:t>
            </w:r>
            <w:r w:rsidRPr="003752FB">
              <w:rPr>
                <w:rFonts w:ascii="Times New Roman" w:eastAsiaTheme="majorEastAsia" w:hAnsi="Times New Roman" w:cs="Times New Roman"/>
                <w:sz w:val="16"/>
                <w:szCs w:val="16"/>
              </w:rPr>
              <w:t>A</w:t>
            </w:r>
            <w:r w:rsidRPr="003752FB">
              <w:rPr>
                <w:rFonts w:ascii="Times New Roman" w:eastAsiaTheme="majorEastAsia" w:hAnsi="Times New Roman" w:cs="Times New Roman"/>
                <w:sz w:val="16"/>
                <w:szCs w:val="16"/>
              </w:rPr>
              <w:t>股股票交易均价（若在该二十个交易日内发生过因除权、除息引起股价调整的情形，则对调整前交易日的交易价</w:t>
            </w:r>
            <w:proofErr w:type="gramStart"/>
            <w:r w:rsidRPr="003752FB">
              <w:rPr>
                <w:rFonts w:ascii="Times New Roman" w:eastAsiaTheme="majorEastAsia" w:hAnsi="Times New Roman" w:cs="Times New Roman"/>
                <w:sz w:val="16"/>
                <w:szCs w:val="16"/>
              </w:rPr>
              <w:t>按经过</w:t>
            </w:r>
            <w:proofErr w:type="gramEnd"/>
            <w:r w:rsidRPr="003752FB">
              <w:rPr>
                <w:rFonts w:ascii="Times New Roman" w:eastAsiaTheme="majorEastAsia" w:hAnsi="Times New Roman" w:cs="Times New Roman"/>
                <w:sz w:val="16"/>
                <w:szCs w:val="16"/>
              </w:rPr>
              <w:t>相应除权、除息调整后的价格计算）和前一个交易日本行</w:t>
            </w:r>
            <w:r w:rsidRPr="003752FB">
              <w:rPr>
                <w:rFonts w:ascii="Times New Roman" w:eastAsiaTheme="majorEastAsia" w:hAnsi="Times New Roman" w:cs="Times New Roman"/>
                <w:sz w:val="16"/>
                <w:szCs w:val="16"/>
              </w:rPr>
              <w:t>A</w:t>
            </w:r>
            <w:r w:rsidRPr="003752FB">
              <w:rPr>
                <w:rFonts w:ascii="Times New Roman" w:eastAsiaTheme="majorEastAsia" w:hAnsi="Times New Roman" w:cs="Times New Roman"/>
                <w:sz w:val="16"/>
                <w:szCs w:val="16"/>
              </w:rPr>
              <w:t>股股票交易均价，以及最近一期经审计的每股净资产和股票面值。</w:t>
            </w:r>
          </w:p>
          <w:p w14:paraId="463A91A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在本次发行之后，当本行出现因派送股票股利、转增股本、增发新股或配股等情况（不包括因本次发行的可转债转股而增加的股本）使本行股份发生变化或派送现金股利时将按照约定公式进行调整。</w:t>
            </w:r>
          </w:p>
        </w:tc>
        <w:tc>
          <w:tcPr>
            <w:tcW w:w="1106" w:type="pct"/>
            <w:vAlign w:val="center"/>
          </w:tcPr>
          <w:p w14:paraId="4FF285A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0C12FA26" w14:textId="77777777" w:rsidTr="00D0615F">
        <w:tc>
          <w:tcPr>
            <w:tcW w:w="304" w:type="pct"/>
            <w:vAlign w:val="center"/>
          </w:tcPr>
          <w:p w14:paraId="10DB336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27</w:t>
            </w:r>
          </w:p>
        </w:tc>
        <w:tc>
          <w:tcPr>
            <w:tcW w:w="1272" w:type="pct"/>
            <w:vAlign w:val="center"/>
          </w:tcPr>
          <w:p w14:paraId="4450A9D9"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其中：若可转股，则说明是否为强制性转换</w:t>
            </w:r>
          </w:p>
        </w:tc>
        <w:tc>
          <w:tcPr>
            <w:tcW w:w="1091" w:type="pct"/>
            <w:vAlign w:val="center"/>
          </w:tcPr>
          <w:p w14:paraId="6590CE1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7F3EFD2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非强制性</w:t>
            </w:r>
          </w:p>
        </w:tc>
        <w:tc>
          <w:tcPr>
            <w:tcW w:w="1106" w:type="pct"/>
            <w:vAlign w:val="center"/>
          </w:tcPr>
          <w:p w14:paraId="2E83A9B9"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27B805E5" w14:textId="77777777" w:rsidTr="00D0615F">
        <w:tc>
          <w:tcPr>
            <w:tcW w:w="304" w:type="pct"/>
            <w:vAlign w:val="center"/>
          </w:tcPr>
          <w:p w14:paraId="4F133269"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28</w:t>
            </w:r>
          </w:p>
        </w:tc>
        <w:tc>
          <w:tcPr>
            <w:tcW w:w="1272" w:type="pct"/>
            <w:vAlign w:val="center"/>
          </w:tcPr>
          <w:p w14:paraId="2E81BF3C"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其中：若可转股，则说明转换</w:t>
            </w:r>
            <w:proofErr w:type="gramStart"/>
            <w:r w:rsidRPr="003752FB">
              <w:rPr>
                <w:rFonts w:ascii="Times New Roman" w:eastAsiaTheme="majorEastAsia" w:hAnsi="Times New Roman" w:cs="Times New Roman"/>
                <w:sz w:val="16"/>
                <w:szCs w:val="16"/>
              </w:rPr>
              <w:t>后工具</w:t>
            </w:r>
            <w:proofErr w:type="gramEnd"/>
            <w:r w:rsidRPr="003752FB">
              <w:rPr>
                <w:rFonts w:ascii="Times New Roman" w:eastAsiaTheme="majorEastAsia" w:hAnsi="Times New Roman" w:cs="Times New Roman"/>
                <w:sz w:val="16"/>
                <w:szCs w:val="16"/>
              </w:rPr>
              <w:t>类型</w:t>
            </w:r>
          </w:p>
        </w:tc>
        <w:tc>
          <w:tcPr>
            <w:tcW w:w="1091" w:type="pct"/>
            <w:vAlign w:val="center"/>
          </w:tcPr>
          <w:p w14:paraId="4292398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7EB532D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核心一级资本</w:t>
            </w:r>
          </w:p>
        </w:tc>
        <w:tc>
          <w:tcPr>
            <w:tcW w:w="1106" w:type="pct"/>
            <w:vAlign w:val="center"/>
          </w:tcPr>
          <w:p w14:paraId="086BB980"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28DF4372" w14:textId="77777777" w:rsidTr="00D0615F">
        <w:tc>
          <w:tcPr>
            <w:tcW w:w="304" w:type="pct"/>
            <w:vAlign w:val="center"/>
          </w:tcPr>
          <w:p w14:paraId="59C6E3F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29</w:t>
            </w:r>
          </w:p>
        </w:tc>
        <w:tc>
          <w:tcPr>
            <w:tcW w:w="1272" w:type="pct"/>
            <w:vAlign w:val="center"/>
          </w:tcPr>
          <w:p w14:paraId="3E24DA18"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其中：若可转股，则说明转换</w:t>
            </w:r>
            <w:proofErr w:type="gramStart"/>
            <w:r w:rsidRPr="003752FB">
              <w:rPr>
                <w:rFonts w:ascii="Times New Roman" w:eastAsiaTheme="majorEastAsia" w:hAnsi="Times New Roman" w:cs="Times New Roman"/>
                <w:sz w:val="16"/>
                <w:szCs w:val="16"/>
              </w:rPr>
              <w:t>后工具</w:t>
            </w:r>
            <w:proofErr w:type="gramEnd"/>
            <w:r w:rsidRPr="003752FB">
              <w:rPr>
                <w:rFonts w:ascii="Times New Roman" w:eastAsiaTheme="majorEastAsia" w:hAnsi="Times New Roman" w:cs="Times New Roman"/>
                <w:sz w:val="16"/>
                <w:szCs w:val="16"/>
              </w:rPr>
              <w:t>的发行人</w:t>
            </w:r>
          </w:p>
        </w:tc>
        <w:tc>
          <w:tcPr>
            <w:tcW w:w="1091" w:type="pct"/>
            <w:vAlign w:val="center"/>
          </w:tcPr>
          <w:p w14:paraId="26CF9041"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shd w:val="clear" w:color="auto" w:fill="auto"/>
            <w:vAlign w:val="center"/>
          </w:tcPr>
          <w:p w14:paraId="03DDD6AC"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苏州银行</w:t>
            </w:r>
          </w:p>
        </w:tc>
        <w:tc>
          <w:tcPr>
            <w:tcW w:w="1106" w:type="pct"/>
            <w:vAlign w:val="center"/>
          </w:tcPr>
          <w:p w14:paraId="70813BC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12546493" w14:textId="77777777" w:rsidTr="00D0615F">
        <w:tc>
          <w:tcPr>
            <w:tcW w:w="304" w:type="pct"/>
            <w:vAlign w:val="center"/>
          </w:tcPr>
          <w:p w14:paraId="182B3386"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30</w:t>
            </w:r>
          </w:p>
        </w:tc>
        <w:tc>
          <w:tcPr>
            <w:tcW w:w="1272" w:type="pct"/>
            <w:vAlign w:val="center"/>
          </w:tcPr>
          <w:p w14:paraId="4C645D9E" w14:textId="77777777" w:rsidR="008E018D" w:rsidRPr="003752FB" w:rsidRDefault="008E018D" w:rsidP="00D0615F">
            <w:pPr>
              <w:rPr>
                <w:rFonts w:ascii="Times New Roman" w:eastAsiaTheme="majorEastAsia" w:hAnsi="Times New Roman" w:cs="Times New Roman"/>
                <w:sz w:val="16"/>
                <w:szCs w:val="16"/>
              </w:rPr>
            </w:pPr>
            <w:proofErr w:type="gramStart"/>
            <w:r w:rsidRPr="003752FB">
              <w:rPr>
                <w:rFonts w:ascii="Times New Roman" w:eastAsiaTheme="majorEastAsia" w:hAnsi="Times New Roman" w:cs="Times New Roman"/>
                <w:sz w:val="16"/>
                <w:szCs w:val="16"/>
              </w:rPr>
              <w:t>是否减记</w:t>
            </w:r>
            <w:proofErr w:type="gramEnd"/>
          </w:p>
        </w:tc>
        <w:tc>
          <w:tcPr>
            <w:tcW w:w="1091" w:type="pct"/>
            <w:vAlign w:val="center"/>
          </w:tcPr>
          <w:p w14:paraId="41684A3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227" w:type="pct"/>
            <w:vAlign w:val="center"/>
          </w:tcPr>
          <w:p w14:paraId="58F5102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106" w:type="pct"/>
            <w:vAlign w:val="center"/>
          </w:tcPr>
          <w:p w14:paraId="4C7A7E8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是</w:t>
            </w:r>
          </w:p>
        </w:tc>
      </w:tr>
      <w:tr w:rsidR="008E018D" w:rsidRPr="003752FB" w14:paraId="7CA73E51" w14:textId="77777777" w:rsidTr="00D0615F">
        <w:tc>
          <w:tcPr>
            <w:tcW w:w="304" w:type="pct"/>
            <w:vAlign w:val="center"/>
          </w:tcPr>
          <w:p w14:paraId="4AA30DF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31</w:t>
            </w:r>
          </w:p>
        </w:tc>
        <w:tc>
          <w:tcPr>
            <w:tcW w:w="1272" w:type="pct"/>
            <w:vAlign w:val="center"/>
          </w:tcPr>
          <w:p w14:paraId="6C5C20F6"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其中：若减记，则</w:t>
            </w:r>
            <w:proofErr w:type="gramStart"/>
            <w:r w:rsidRPr="003752FB">
              <w:rPr>
                <w:rFonts w:ascii="Times New Roman" w:eastAsiaTheme="majorEastAsia" w:hAnsi="Times New Roman" w:cs="Times New Roman"/>
                <w:sz w:val="16"/>
                <w:szCs w:val="16"/>
              </w:rPr>
              <w:t>说明减记触发</w:t>
            </w:r>
            <w:proofErr w:type="gramEnd"/>
            <w:r w:rsidRPr="003752FB">
              <w:rPr>
                <w:rFonts w:ascii="Times New Roman" w:eastAsiaTheme="majorEastAsia" w:hAnsi="Times New Roman" w:cs="Times New Roman"/>
                <w:sz w:val="16"/>
                <w:szCs w:val="16"/>
              </w:rPr>
              <w:t>点</w:t>
            </w:r>
          </w:p>
        </w:tc>
        <w:tc>
          <w:tcPr>
            <w:tcW w:w="1091" w:type="pct"/>
            <w:vAlign w:val="center"/>
          </w:tcPr>
          <w:p w14:paraId="256961D9"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vAlign w:val="center"/>
          </w:tcPr>
          <w:p w14:paraId="56DB8BA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106" w:type="pct"/>
            <w:shd w:val="clear" w:color="auto" w:fill="auto"/>
            <w:vAlign w:val="center"/>
          </w:tcPr>
          <w:p w14:paraId="3F88C2D5"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公司无法生存</w:t>
            </w:r>
          </w:p>
        </w:tc>
      </w:tr>
      <w:tr w:rsidR="008E018D" w:rsidRPr="003752FB" w14:paraId="7BE678AC" w14:textId="77777777" w:rsidTr="00D0615F">
        <w:tc>
          <w:tcPr>
            <w:tcW w:w="304" w:type="pct"/>
            <w:vAlign w:val="center"/>
          </w:tcPr>
          <w:p w14:paraId="370E9A92"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32</w:t>
            </w:r>
          </w:p>
        </w:tc>
        <w:tc>
          <w:tcPr>
            <w:tcW w:w="1272" w:type="pct"/>
            <w:vAlign w:val="center"/>
          </w:tcPr>
          <w:p w14:paraId="464C914E"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其中：若减记，则说明</w:t>
            </w:r>
            <w:proofErr w:type="gramStart"/>
            <w:r w:rsidRPr="003752FB">
              <w:rPr>
                <w:rFonts w:ascii="Times New Roman" w:eastAsiaTheme="majorEastAsia" w:hAnsi="Times New Roman" w:cs="Times New Roman"/>
                <w:sz w:val="16"/>
                <w:szCs w:val="16"/>
              </w:rPr>
              <w:t>部分减记还是全部减记</w:t>
            </w:r>
            <w:proofErr w:type="gramEnd"/>
          </w:p>
        </w:tc>
        <w:tc>
          <w:tcPr>
            <w:tcW w:w="1091" w:type="pct"/>
            <w:vAlign w:val="center"/>
          </w:tcPr>
          <w:p w14:paraId="026F3502"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vAlign w:val="center"/>
          </w:tcPr>
          <w:p w14:paraId="7F512EC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106" w:type="pct"/>
            <w:shd w:val="clear" w:color="auto" w:fill="auto"/>
            <w:vAlign w:val="center"/>
          </w:tcPr>
          <w:p w14:paraId="687C1960" w14:textId="2C822F0D" w:rsidR="008E018D" w:rsidRPr="003752FB" w:rsidRDefault="003806B3"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部分或</w:t>
            </w:r>
            <w:proofErr w:type="gramStart"/>
            <w:r w:rsidRPr="003752FB">
              <w:rPr>
                <w:rFonts w:ascii="Times New Roman" w:eastAsiaTheme="majorEastAsia" w:hAnsi="Times New Roman" w:cs="Times New Roman"/>
                <w:sz w:val="16"/>
                <w:szCs w:val="16"/>
              </w:rPr>
              <w:t>全部减记</w:t>
            </w:r>
            <w:proofErr w:type="gramEnd"/>
          </w:p>
        </w:tc>
      </w:tr>
      <w:tr w:rsidR="008E018D" w:rsidRPr="003752FB" w14:paraId="3F30B22C" w14:textId="77777777" w:rsidTr="00D0615F">
        <w:tc>
          <w:tcPr>
            <w:tcW w:w="304" w:type="pct"/>
            <w:vAlign w:val="center"/>
          </w:tcPr>
          <w:p w14:paraId="53B067E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33</w:t>
            </w:r>
          </w:p>
        </w:tc>
        <w:tc>
          <w:tcPr>
            <w:tcW w:w="1272" w:type="pct"/>
            <w:vAlign w:val="center"/>
          </w:tcPr>
          <w:p w14:paraId="318EE7DA"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其中：若减记，则说明</w:t>
            </w:r>
            <w:proofErr w:type="gramStart"/>
            <w:r w:rsidRPr="003752FB">
              <w:rPr>
                <w:rFonts w:ascii="Times New Roman" w:eastAsiaTheme="majorEastAsia" w:hAnsi="Times New Roman" w:cs="Times New Roman"/>
                <w:sz w:val="16"/>
                <w:szCs w:val="16"/>
              </w:rPr>
              <w:t>永久减记还是暂时减记</w:t>
            </w:r>
            <w:proofErr w:type="gramEnd"/>
          </w:p>
        </w:tc>
        <w:tc>
          <w:tcPr>
            <w:tcW w:w="1091" w:type="pct"/>
            <w:vAlign w:val="center"/>
          </w:tcPr>
          <w:p w14:paraId="5261755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vAlign w:val="center"/>
          </w:tcPr>
          <w:p w14:paraId="7FDFF1C1"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106" w:type="pct"/>
            <w:shd w:val="clear" w:color="auto" w:fill="auto"/>
            <w:vAlign w:val="center"/>
          </w:tcPr>
          <w:p w14:paraId="4D4A872D" w14:textId="77777777" w:rsidR="008E018D" w:rsidRPr="003752FB" w:rsidRDefault="008E018D" w:rsidP="00C44EAF">
            <w:pPr>
              <w:jc w:val="center"/>
              <w:rPr>
                <w:rFonts w:ascii="Times New Roman" w:eastAsiaTheme="majorEastAsia" w:hAnsi="Times New Roman" w:cs="Times New Roman"/>
                <w:sz w:val="16"/>
                <w:szCs w:val="16"/>
              </w:rPr>
            </w:pPr>
            <w:proofErr w:type="gramStart"/>
            <w:r w:rsidRPr="003752FB">
              <w:rPr>
                <w:rFonts w:ascii="Times New Roman" w:eastAsiaTheme="majorEastAsia" w:hAnsi="Times New Roman" w:cs="Times New Roman"/>
                <w:sz w:val="16"/>
                <w:szCs w:val="16"/>
              </w:rPr>
              <w:t>永久减记</w:t>
            </w:r>
            <w:proofErr w:type="gramEnd"/>
          </w:p>
        </w:tc>
      </w:tr>
      <w:tr w:rsidR="008E018D" w:rsidRPr="003752FB" w14:paraId="0C5016FA" w14:textId="77777777" w:rsidTr="00D0615F">
        <w:tc>
          <w:tcPr>
            <w:tcW w:w="304" w:type="pct"/>
            <w:vAlign w:val="center"/>
          </w:tcPr>
          <w:p w14:paraId="4A30203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34</w:t>
            </w:r>
          </w:p>
        </w:tc>
        <w:tc>
          <w:tcPr>
            <w:tcW w:w="1272" w:type="pct"/>
            <w:vAlign w:val="center"/>
          </w:tcPr>
          <w:p w14:paraId="3351D7B2"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其中：若暂时减记，则说明账面价值恢复机制</w:t>
            </w:r>
          </w:p>
        </w:tc>
        <w:tc>
          <w:tcPr>
            <w:tcW w:w="1091" w:type="pct"/>
            <w:vAlign w:val="center"/>
          </w:tcPr>
          <w:p w14:paraId="65CC941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vAlign w:val="center"/>
          </w:tcPr>
          <w:p w14:paraId="745A1AA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106" w:type="pct"/>
            <w:vAlign w:val="center"/>
          </w:tcPr>
          <w:p w14:paraId="3FBE8DBB"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r w:rsidR="008E018D" w:rsidRPr="003752FB" w14:paraId="13FEA015" w14:textId="77777777" w:rsidTr="00D0615F">
        <w:tc>
          <w:tcPr>
            <w:tcW w:w="304" w:type="pct"/>
            <w:vAlign w:val="center"/>
          </w:tcPr>
          <w:p w14:paraId="778E38B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35</w:t>
            </w:r>
          </w:p>
        </w:tc>
        <w:tc>
          <w:tcPr>
            <w:tcW w:w="1272" w:type="pct"/>
            <w:vAlign w:val="center"/>
          </w:tcPr>
          <w:p w14:paraId="262240F6"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清算时清偿顺序</w:t>
            </w:r>
            <w:r w:rsidRPr="003752FB">
              <w:rPr>
                <w:rFonts w:ascii="Times New Roman" w:eastAsiaTheme="majorEastAsia" w:hAnsi="Times New Roman" w:cs="Times New Roman"/>
                <w:sz w:val="16"/>
                <w:szCs w:val="16"/>
              </w:rPr>
              <w:t>(</w:t>
            </w:r>
            <w:r w:rsidRPr="003752FB">
              <w:rPr>
                <w:rFonts w:ascii="Times New Roman" w:eastAsiaTheme="majorEastAsia" w:hAnsi="Times New Roman" w:cs="Times New Roman"/>
                <w:sz w:val="16"/>
                <w:szCs w:val="16"/>
              </w:rPr>
              <w:t>说明清偿顺序更高级的工具类型</w:t>
            </w:r>
            <w:r w:rsidRPr="003752FB">
              <w:rPr>
                <w:rFonts w:ascii="Times New Roman" w:eastAsiaTheme="majorEastAsia" w:hAnsi="Times New Roman" w:cs="Times New Roman"/>
                <w:sz w:val="16"/>
                <w:szCs w:val="16"/>
              </w:rPr>
              <w:t>)</w:t>
            </w:r>
          </w:p>
        </w:tc>
        <w:tc>
          <w:tcPr>
            <w:tcW w:w="1091" w:type="pct"/>
            <w:vAlign w:val="center"/>
          </w:tcPr>
          <w:p w14:paraId="0B22E2AE"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受偿顺序排在存款人、一般债权人、次级债权人、优股股东之后</w:t>
            </w:r>
          </w:p>
        </w:tc>
        <w:tc>
          <w:tcPr>
            <w:tcW w:w="1227" w:type="pct"/>
            <w:shd w:val="clear" w:color="auto" w:fill="auto"/>
            <w:vAlign w:val="center"/>
          </w:tcPr>
          <w:p w14:paraId="545EE15C"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转股前受偿顺序排在存款人、与一般债权人具有同等的清偿顺序；转股后和普通股相同</w:t>
            </w:r>
          </w:p>
        </w:tc>
        <w:tc>
          <w:tcPr>
            <w:tcW w:w="1106" w:type="pct"/>
            <w:vAlign w:val="center"/>
          </w:tcPr>
          <w:p w14:paraId="56F87072" w14:textId="7EE10B5D" w:rsidR="008E018D" w:rsidRPr="003752FB" w:rsidRDefault="008E018D" w:rsidP="00D0615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受偿顺序排在存款人、一般债权人之后，与其他次级债务具有同等的清偿顺序</w:t>
            </w:r>
          </w:p>
        </w:tc>
      </w:tr>
      <w:tr w:rsidR="008E018D" w:rsidRPr="003752FB" w14:paraId="53BEA74B" w14:textId="77777777" w:rsidTr="00D0615F">
        <w:tc>
          <w:tcPr>
            <w:tcW w:w="304" w:type="pct"/>
            <w:vAlign w:val="center"/>
          </w:tcPr>
          <w:p w14:paraId="2A4FF0DD"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36</w:t>
            </w:r>
          </w:p>
        </w:tc>
        <w:tc>
          <w:tcPr>
            <w:tcW w:w="1272" w:type="pct"/>
            <w:vAlign w:val="center"/>
          </w:tcPr>
          <w:p w14:paraId="57D820B5"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是否含有暂时的不合格特征</w:t>
            </w:r>
          </w:p>
        </w:tc>
        <w:tc>
          <w:tcPr>
            <w:tcW w:w="1091" w:type="pct"/>
            <w:vAlign w:val="center"/>
          </w:tcPr>
          <w:p w14:paraId="196B921A"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227" w:type="pct"/>
            <w:vAlign w:val="center"/>
          </w:tcPr>
          <w:p w14:paraId="4ED0BAD3"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c>
          <w:tcPr>
            <w:tcW w:w="1106" w:type="pct"/>
            <w:vAlign w:val="center"/>
          </w:tcPr>
          <w:p w14:paraId="389C0027"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否</w:t>
            </w:r>
          </w:p>
        </w:tc>
      </w:tr>
      <w:tr w:rsidR="008E018D" w:rsidRPr="00213F07" w14:paraId="1C86B46E" w14:textId="77777777" w:rsidTr="00D0615F">
        <w:tc>
          <w:tcPr>
            <w:tcW w:w="304" w:type="pct"/>
            <w:vAlign w:val="center"/>
          </w:tcPr>
          <w:p w14:paraId="5424BAE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37</w:t>
            </w:r>
          </w:p>
        </w:tc>
        <w:tc>
          <w:tcPr>
            <w:tcW w:w="1272" w:type="pct"/>
            <w:vAlign w:val="center"/>
          </w:tcPr>
          <w:p w14:paraId="2022A415" w14:textId="77777777" w:rsidR="008E018D" w:rsidRPr="003752FB" w:rsidRDefault="008E018D" w:rsidP="00D0615F">
            <w:pP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其中：若有，则说明该特征</w:t>
            </w:r>
          </w:p>
        </w:tc>
        <w:tc>
          <w:tcPr>
            <w:tcW w:w="1091" w:type="pct"/>
            <w:vAlign w:val="center"/>
          </w:tcPr>
          <w:p w14:paraId="6BFD78A4"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227" w:type="pct"/>
            <w:vAlign w:val="center"/>
          </w:tcPr>
          <w:p w14:paraId="760A2290" w14:textId="77777777" w:rsidR="008E018D" w:rsidRPr="003752FB"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c>
          <w:tcPr>
            <w:tcW w:w="1106" w:type="pct"/>
            <w:vAlign w:val="center"/>
          </w:tcPr>
          <w:p w14:paraId="7DDCD93B" w14:textId="77777777" w:rsidR="008E018D" w:rsidRPr="00213F07" w:rsidRDefault="008E018D" w:rsidP="00C44EAF">
            <w:pPr>
              <w:jc w:val="center"/>
              <w:rPr>
                <w:rFonts w:ascii="Times New Roman" w:eastAsiaTheme="majorEastAsia" w:hAnsi="Times New Roman" w:cs="Times New Roman"/>
                <w:sz w:val="16"/>
                <w:szCs w:val="16"/>
              </w:rPr>
            </w:pPr>
            <w:r w:rsidRPr="003752FB">
              <w:rPr>
                <w:rFonts w:ascii="Times New Roman" w:eastAsiaTheme="majorEastAsia" w:hAnsi="Times New Roman" w:cs="Times New Roman"/>
                <w:sz w:val="16"/>
                <w:szCs w:val="16"/>
              </w:rPr>
              <w:t>不适用</w:t>
            </w:r>
          </w:p>
        </w:tc>
      </w:tr>
    </w:tbl>
    <w:p w14:paraId="5669C69C" w14:textId="77777777" w:rsidR="00535493" w:rsidRPr="00662CA8" w:rsidRDefault="00535493" w:rsidP="00535493">
      <w:pPr>
        <w:rPr>
          <w:rFonts w:ascii="Times New Roman" w:hAnsi="Times New Roman" w:cs="Times New Roman"/>
        </w:rPr>
      </w:pPr>
    </w:p>
    <w:sectPr w:rsidR="00535493" w:rsidRPr="00662CA8" w:rsidSect="00AB6D2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289E3" w14:textId="77777777" w:rsidR="001A0209" w:rsidRDefault="001A0209" w:rsidP="005C08F1">
      <w:r>
        <w:separator/>
      </w:r>
    </w:p>
  </w:endnote>
  <w:endnote w:type="continuationSeparator" w:id="0">
    <w:p w14:paraId="4A9D9BED" w14:textId="77777777" w:rsidR="001A0209" w:rsidRDefault="001A0209" w:rsidP="005C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725188"/>
      <w:docPartObj>
        <w:docPartGallery w:val="Page Numbers (Bottom of Page)"/>
        <w:docPartUnique/>
      </w:docPartObj>
    </w:sdtPr>
    <w:sdtEndPr/>
    <w:sdtContent>
      <w:p w14:paraId="36DEE8EC" w14:textId="65EDE6D5" w:rsidR="002957BB" w:rsidRDefault="002957BB">
        <w:pPr>
          <w:pStyle w:val="a4"/>
          <w:jc w:val="center"/>
        </w:pPr>
        <w:r>
          <w:fldChar w:fldCharType="begin"/>
        </w:r>
        <w:r>
          <w:instrText>PAGE   \* MERGEFORMAT</w:instrText>
        </w:r>
        <w:r>
          <w:fldChar w:fldCharType="separate"/>
        </w:r>
        <w:r w:rsidR="003752FB" w:rsidRPr="003752FB">
          <w:rPr>
            <w:noProof/>
            <w:lang w:val="zh-CN"/>
          </w:rPr>
          <w:t>1</w:t>
        </w:r>
        <w:r>
          <w:fldChar w:fldCharType="end"/>
        </w:r>
      </w:p>
    </w:sdtContent>
  </w:sdt>
  <w:p w14:paraId="1B9D74A0" w14:textId="77777777" w:rsidR="002957BB" w:rsidRDefault="002957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56DB2" w14:textId="77777777" w:rsidR="001A0209" w:rsidRDefault="001A0209" w:rsidP="005C08F1">
      <w:r>
        <w:separator/>
      </w:r>
    </w:p>
  </w:footnote>
  <w:footnote w:type="continuationSeparator" w:id="0">
    <w:p w14:paraId="2200CE4E" w14:textId="77777777" w:rsidR="001A0209" w:rsidRDefault="001A0209" w:rsidP="005C08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8"/>
    <w:rsid w:val="00012CBB"/>
    <w:rsid w:val="00014A16"/>
    <w:rsid w:val="00034C88"/>
    <w:rsid w:val="00035C85"/>
    <w:rsid w:val="00054156"/>
    <w:rsid w:val="00076668"/>
    <w:rsid w:val="00077C0D"/>
    <w:rsid w:val="000B0DF4"/>
    <w:rsid w:val="000C4A91"/>
    <w:rsid w:val="000E49DF"/>
    <w:rsid w:val="00100398"/>
    <w:rsid w:val="00142CB8"/>
    <w:rsid w:val="00166B14"/>
    <w:rsid w:val="00181569"/>
    <w:rsid w:val="001A0209"/>
    <w:rsid w:val="001A2FCF"/>
    <w:rsid w:val="001A3F5F"/>
    <w:rsid w:val="001B369D"/>
    <w:rsid w:val="001B6D5E"/>
    <w:rsid w:val="001E0D63"/>
    <w:rsid w:val="001E6538"/>
    <w:rsid w:val="00213F07"/>
    <w:rsid w:val="00216C2A"/>
    <w:rsid w:val="00236087"/>
    <w:rsid w:val="00240703"/>
    <w:rsid w:val="00257302"/>
    <w:rsid w:val="002639F9"/>
    <w:rsid w:val="00272586"/>
    <w:rsid w:val="00273E3E"/>
    <w:rsid w:val="002900EF"/>
    <w:rsid w:val="002957BB"/>
    <w:rsid w:val="002A157B"/>
    <w:rsid w:val="002B0452"/>
    <w:rsid w:val="002E7849"/>
    <w:rsid w:val="003003C0"/>
    <w:rsid w:val="0031207A"/>
    <w:rsid w:val="003221C0"/>
    <w:rsid w:val="0037049F"/>
    <w:rsid w:val="003752FB"/>
    <w:rsid w:val="003806B3"/>
    <w:rsid w:val="00390D01"/>
    <w:rsid w:val="0039757E"/>
    <w:rsid w:val="003C2EC0"/>
    <w:rsid w:val="003C4A0F"/>
    <w:rsid w:val="003E0745"/>
    <w:rsid w:val="003E26F0"/>
    <w:rsid w:val="00426443"/>
    <w:rsid w:val="004B3510"/>
    <w:rsid w:val="005200AF"/>
    <w:rsid w:val="005279D3"/>
    <w:rsid w:val="00535493"/>
    <w:rsid w:val="005C08F1"/>
    <w:rsid w:val="005D478A"/>
    <w:rsid w:val="005D7AB6"/>
    <w:rsid w:val="005D7F65"/>
    <w:rsid w:val="005F2355"/>
    <w:rsid w:val="0060324C"/>
    <w:rsid w:val="00620C38"/>
    <w:rsid w:val="0064702C"/>
    <w:rsid w:val="00662CA8"/>
    <w:rsid w:val="00670248"/>
    <w:rsid w:val="00671BBD"/>
    <w:rsid w:val="006724D1"/>
    <w:rsid w:val="0068457E"/>
    <w:rsid w:val="00687D72"/>
    <w:rsid w:val="006925C5"/>
    <w:rsid w:val="006C0233"/>
    <w:rsid w:val="006D12DF"/>
    <w:rsid w:val="006F6E7B"/>
    <w:rsid w:val="006F77F3"/>
    <w:rsid w:val="0071362F"/>
    <w:rsid w:val="00714C11"/>
    <w:rsid w:val="00721CEE"/>
    <w:rsid w:val="0077752C"/>
    <w:rsid w:val="007F3BF1"/>
    <w:rsid w:val="00801CCC"/>
    <w:rsid w:val="00834A3C"/>
    <w:rsid w:val="008822A6"/>
    <w:rsid w:val="00894094"/>
    <w:rsid w:val="008A0AE9"/>
    <w:rsid w:val="008A43DC"/>
    <w:rsid w:val="008A7926"/>
    <w:rsid w:val="008B53E0"/>
    <w:rsid w:val="008B69FD"/>
    <w:rsid w:val="008D4440"/>
    <w:rsid w:val="008E018D"/>
    <w:rsid w:val="008F5E9D"/>
    <w:rsid w:val="009030E2"/>
    <w:rsid w:val="00933642"/>
    <w:rsid w:val="00942503"/>
    <w:rsid w:val="00942E5E"/>
    <w:rsid w:val="0096050B"/>
    <w:rsid w:val="00997488"/>
    <w:rsid w:val="009A693E"/>
    <w:rsid w:val="009E3726"/>
    <w:rsid w:val="009E5E52"/>
    <w:rsid w:val="009E65F5"/>
    <w:rsid w:val="00A10120"/>
    <w:rsid w:val="00A579AB"/>
    <w:rsid w:val="00A656B4"/>
    <w:rsid w:val="00A757BF"/>
    <w:rsid w:val="00A9428A"/>
    <w:rsid w:val="00AA17A3"/>
    <w:rsid w:val="00AA4961"/>
    <w:rsid w:val="00AB0538"/>
    <w:rsid w:val="00AB6D2C"/>
    <w:rsid w:val="00AF1129"/>
    <w:rsid w:val="00B22D73"/>
    <w:rsid w:val="00B40597"/>
    <w:rsid w:val="00B53B38"/>
    <w:rsid w:val="00B91537"/>
    <w:rsid w:val="00BA0E39"/>
    <w:rsid w:val="00BD4165"/>
    <w:rsid w:val="00BD7219"/>
    <w:rsid w:val="00BE508A"/>
    <w:rsid w:val="00BF7233"/>
    <w:rsid w:val="00C034DE"/>
    <w:rsid w:val="00C06770"/>
    <w:rsid w:val="00C1364A"/>
    <w:rsid w:val="00C15D22"/>
    <w:rsid w:val="00C44EAF"/>
    <w:rsid w:val="00C46FC0"/>
    <w:rsid w:val="00C47CEC"/>
    <w:rsid w:val="00C74299"/>
    <w:rsid w:val="00C86C66"/>
    <w:rsid w:val="00CE6908"/>
    <w:rsid w:val="00CE7787"/>
    <w:rsid w:val="00CF1F37"/>
    <w:rsid w:val="00CF6EFE"/>
    <w:rsid w:val="00D0615F"/>
    <w:rsid w:val="00D20610"/>
    <w:rsid w:val="00D7103B"/>
    <w:rsid w:val="00D720C1"/>
    <w:rsid w:val="00DB050D"/>
    <w:rsid w:val="00DD2F9B"/>
    <w:rsid w:val="00DD3B1D"/>
    <w:rsid w:val="00DE7D86"/>
    <w:rsid w:val="00DF04A2"/>
    <w:rsid w:val="00E45B7C"/>
    <w:rsid w:val="00E61EDD"/>
    <w:rsid w:val="00E713E2"/>
    <w:rsid w:val="00E73A5F"/>
    <w:rsid w:val="00ED372B"/>
    <w:rsid w:val="00ED4CD5"/>
    <w:rsid w:val="00F120DC"/>
    <w:rsid w:val="00F14E1E"/>
    <w:rsid w:val="00F47800"/>
    <w:rsid w:val="00F47C6F"/>
    <w:rsid w:val="00F50007"/>
    <w:rsid w:val="00F66C91"/>
    <w:rsid w:val="00F75DA8"/>
    <w:rsid w:val="00F75E4A"/>
    <w:rsid w:val="00F830CE"/>
    <w:rsid w:val="00F92C1D"/>
    <w:rsid w:val="00FE6B4D"/>
    <w:rsid w:val="00FF5285"/>
    <w:rsid w:val="00FF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4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 w:type="paragraph" w:styleId="a5">
    <w:name w:val="Balloon Text"/>
    <w:basedOn w:val="a"/>
    <w:link w:val="Char1"/>
    <w:uiPriority w:val="99"/>
    <w:semiHidden/>
    <w:unhideWhenUsed/>
    <w:rsid w:val="008E018D"/>
    <w:rPr>
      <w:rFonts w:ascii="Segoe UI" w:hAnsi="Segoe UI" w:cs="Segoe UI"/>
      <w:sz w:val="18"/>
      <w:szCs w:val="18"/>
    </w:rPr>
  </w:style>
  <w:style w:type="character" w:customStyle="1" w:styleId="Char1">
    <w:name w:val="批注框文本 Char"/>
    <w:basedOn w:val="a0"/>
    <w:link w:val="a5"/>
    <w:uiPriority w:val="99"/>
    <w:semiHidden/>
    <w:rsid w:val="008E018D"/>
    <w:rPr>
      <w:rFonts w:ascii="Segoe UI" w:hAnsi="Segoe UI" w:cs="Segoe UI"/>
      <w:sz w:val="18"/>
      <w:szCs w:val="18"/>
    </w:rPr>
  </w:style>
  <w:style w:type="table" w:styleId="a6">
    <w:name w:val="Table Grid"/>
    <w:basedOn w:val="a1"/>
    <w:uiPriority w:val="39"/>
    <w:rsid w:val="008E018D"/>
    <w:rPr>
      <w:rFonts w:ascii="Georgia" w:eastAsia="宋体" w:hAnsi="Georgia"/>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8E018D"/>
    <w:rPr>
      <w:sz w:val="21"/>
      <w:szCs w:val="21"/>
    </w:rPr>
  </w:style>
  <w:style w:type="paragraph" w:styleId="a8">
    <w:name w:val="annotation text"/>
    <w:basedOn w:val="a"/>
    <w:link w:val="Char2"/>
    <w:uiPriority w:val="99"/>
    <w:semiHidden/>
    <w:unhideWhenUsed/>
    <w:rsid w:val="008E018D"/>
    <w:pPr>
      <w:widowControl/>
      <w:spacing w:after="160" w:line="259" w:lineRule="auto"/>
      <w:jc w:val="left"/>
    </w:pPr>
    <w:rPr>
      <w:rFonts w:ascii="Georgia" w:eastAsia="宋体" w:hAnsi="Georgia"/>
      <w:kern w:val="0"/>
      <w:sz w:val="22"/>
    </w:rPr>
  </w:style>
  <w:style w:type="character" w:customStyle="1" w:styleId="Char2">
    <w:name w:val="批注文字 Char"/>
    <w:basedOn w:val="a0"/>
    <w:link w:val="a8"/>
    <w:uiPriority w:val="99"/>
    <w:semiHidden/>
    <w:rsid w:val="008E018D"/>
    <w:rPr>
      <w:rFonts w:ascii="Georgia" w:eastAsia="宋体" w:hAnsi="Georgia"/>
      <w:kern w:val="0"/>
      <w:sz w:val="22"/>
    </w:rPr>
  </w:style>
  <w:style w:type="paragraph" w:styleId="a9">
    <w:name w:val="annotation subject"/>
    <w:basedOn w:val="a8"/>
    <w:next w:val="a8"/>
    <w:link w:val="Char3"/>
    <w:uiPriority w:val="99"/>
    <w:semiHidden/>
    <w:unhideWhenUsed/>
    <w:rsid w:val="008E018D"/>
    <w:pPr>
      <w:widowControl w:val="0"/>
      <w:spacing w:after="0" w:line="240" w:lineRule="auto"/>
      <w:jc w:val="both"/>
    </w:pPr>
    <w:rPr>
      <w:rFonts w:asciiTheme="minorHAnsi" w:eastAsiaTheme="minorEastAsia" w:hAnsiTheme="minorHAnsi"/>
      <w:b/>
      <w:bCs/>
      <w:kern w:val="2"/>
      <w:sz w:val="20"/>
      <w:szCs w:val="20"/>
    </w:rPr>
  </w:style>
  <w:style w:type="character" w:customStyle="1" w:styleId="Char3">
    <w:name w:val="批注主题 Char"/>
    <w:basedOn w:val="Char2"/>
    <w:link w:val="a9"/>
    <w:uiPriority w:val="99"/>
    <w:semiHidden/>
    <w:rsid w:val="008E018D"/>
    <w:rPr>
      <w:rFonts w:ascii="Georgia" w:eastAsia="宋体" w:hAnsi="Georgia"/>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6D2C"/>
    <w:pPr>
      <w:widowControl w:val="0"/>
      <w:autoSpaceDE w:val="0"/>
      <w:autoSpaceDN w:val="0"/>
      <w:adjustRightInd w:val="0"/>
    </w:pPr>
    <w:rPr>
      <w:rFonts w:ascii="宋体" w:hAnsi="宋体" w:cs="宋体"/>
      <w:color w:val="000000"/>
      <w:kern w:val="0"/>
      <w:sz w:val="24"/>
      <w:szCs w:val="24"/>
    </w:rPr>
  </w:style>
  <w:style w:type="paragraph" w:styleId="a3">
    <w:name w:val="header"/>
    <w:basedOn w:val="a"/>
    <w:link w:val="Char"/>
    <w:uiPriority w:val="99"/>
    <w:unhideWhenUsed/>
    <w:rsid w:val="005C0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8F1"/>
    <w:rPr>
      <w:sz w:val="18"/>
      <w:szCs w:val="18"/>
    </w:rPr>
  </w:style>
  <w:style w:type="paragraph" w:styleId="a4">
    <w:name w:val="footer"/>
    <w:basedOn w:val="a"/>
    <w:link w:val="Char0"/>
    <w:uiPriority w:val="99"/>
    <w:unhideWhenUsed/>
    <w:rsid w:val="005C08F1"/>
    <w:pPr>
      <w:tabs>
        <w:tab w:val="center" w:pos="4153"/>
        <w:tab w:val="right" w:pos="8306"/>
      </w:tabs>
      <w:snapToGrid w:val="0"/>
      <w:jc w:val="left"/>
    </w:pPr>
    <w:rPr>
      <w:sz w:val="18"/>
      <w:szCs w:val="18"/>
    </w:rPr>
  </w:style>
  <w:style w:type="character" w:customStyle="1" w:styleId="Char0">
    <w:name w:val="页脚 Char"/>
    <w:basedOn w:val="a0"/>
    <w:link w:val="a4"/>
    <w:uiPriority w:val="99"/>
    <w:rsid w:val="005C08F1"/>
    <w:rPr>
      <w:sz w:val="18"/>
      <w:szCs w:val="18"/>
    </w:rPr>
  </w:style>
  <w:style w:type="paragraph" w:styleId="a5">
    <w:name w:val="Balloon Text"/>
    <w:basedOn w:val="a"/>
    <w:link w:val="Char1"/>
    <w:uiPriority w:val="99"/>
    <w:semiHidden/>
    <w:unhideWhenUsed/>
    <w:rsid w:val="008E018D"/>
    <w:rPr>
      <w:rFonts w:ascii="Segoe UI" w:hAnsi="Segoe UI" w:cs="Segoe UI"/>
      <w:sz w:val="18"/>
      <w:szCs w:val="18"/>
    </w:rPr>
  </w:style>
  <w:style w:type="character" w:customStyle="1" w:styleId="Char1">
    <w:name w:val="批注框文本 Char"/>
    <w:basedOn w:val="a0"/>
    <w:link w:val="a5"/>
    <w:uiPriority w:val="99"/>
    <w:semiHidden/>
    <w:rsid w:val="008E018D"/>
    <w:rPr>
      <w:rFonts w:ascii="Segoe UI" w:hAnsi="Segoe UI" w:cs="Segoe UI"/>
      <w:sz w:val="18"/>
      <w:szCs w:val="18"/>
    </w:rPr>
  </w:style>
  <w:style w:type="table" w:styleId="a6">
    <w:name w:val="Table Grid"/>
    <w:basedOn w:val="a1"/>
    <w:uiPriority w:val="39"/>
    <w:rsid w:val="008E018D"/>
    <w:rPr>
      <w:rFonts w:ascii="Georgia" w:eastAsia="宋体" w:hAnsi="Georgia"/>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8E018D"/>
    <w:rPr>
      <w:sz w:val="21"/>
      <w:szCs w:val="21"/>
    </w:rPr>
  </w:style>
  <w:style w:type="paragraph" w:styleId="a8">
    <w:name w:val="annotation text"/>
    <w:basedOn w:val="a"/>
    <w:link w:val="Char2"/>
    <w:uiPriority w:val="99"/>
    <w:semiHidden/>
    <w:unhideWhenUsed/>
    <w:rsid w:val="008E018D"/>
    <w:pPr>
      <w:widowControl/>
      <w:spacing w:after="160" w:line="259" w:lineRule="auto"/>
      <w:jc w:val="left"/>
    </w:pPr>
    <w:rPr>
      <w:rFonts w:ascii="Georgia" w:eastAsia="宋体" w:hAnsi="Georgia"/>
      <w:kern w:val="0"/>
      <w:sz w:val="22"/>
    </w:rPr>
  </w:style>
  <w:style w:type="character" w:customStyle="1" w:styleId="Char2">
    <w:name w:val="批注文字 Char"/>
    <w:basedOn w:val="a0"/>
    <w:link w:val="a8"/>
    <w:uiPriority w:val="99"/>
    <w:semiHidden/>
    <w:rsid w:val="008E018D"/>
    <w:rPr>
      <w:rFonts w:ascii="Georgia" w:eastAsia="宋体" w:hAnsi="Georgia"/>
      <w:kern w:val="0"/>
      <w:sz w:val="22"/>
    </w:rPr>
  </w:style>
  <w:style w:type="paragraph" w:styleId="a9">
    <w:name w:val="annotation subject"/>
    <w:basedOn w:val="a8"/>
    <w:next w:val="a8"/>
    <w:link w:val="Char3"/>
    <w:uiPriority w:val="99"/>
    <w:semiHidden/>
    <w:unhideWhenUsed/>
    <w:rsid w:val="008E018D"/>
    <w:pPr>
      <w:widowControl w:val="0"/>
      <w:spacing w:after="0" w:line="240" w:lineRule="auto"/>
      <w:jc w:val="both"/>
    </w:pPr>
    <w:rPr>
      <w:rFonts w:asciiTheme="minorHAnsi" w:eastAsiaTheme="minorEastAsia" w:hAnsiTheme="minorHAnsi"/>
      <w:b/>
      <w:bCs/>
      <w:kern w:val="2"/>
      <w:sz w:val="20"/>
      <w:szCs w:val="20"/>
    </w:rPr>
  </w:style>
  <w:style w:type="character" w:customStyle="1" w:styleId="Char3">
    <w:name w:val="批注主题 Char"/>
    <w:basedOn w:val="Char2"/>
    <w:link w:val="a9"/>
    <w:uiPriority w:val="99"/>
    <w:semiHidden/>
    <w:rsid w:val="008E018D"/>
    <w:rPr>
      <w:rFonts w:ascii="Georgia" w:eastAsia="宋体" w:hAnsi="Georgia"/>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347">
      <w:bodyDiv w:val="1"/>
      <w:marLeft w:val="0"/>
      <w:marRight w:val="0"/>
      <w:marTop w:val="0"/>
      <w:marBottom w:val="0"/>
      <w:divBdr>
        <w:top w:val="none" w:sz="0" w:space="0" w:color="auto"/>
        <w:left w:val="none" w:sz="0" w:space="0" w:color="auto"/>
        <w:bottom w:val="none" w:sz="0" w:space="0" w:color="auto"/>
        <w:right w:val="none" w:sz="0" w:space="0" w:color="auto"/>
      </w:divBdr>
    </w:div>
    <w:div w:id="96412005">
      <w:bodyDiv w:val="1"/>
      <w:marLeft w:val="0"/>
      <w:marRight w:val="0"/>
      <w:marTop w:val="0"/>
      <w:marBottom w:val="0"/>
      <w:divBdr>
        <w:top w:val="none" w:sz="0" w:space="0" w:color="auto"/>
        <w:left w:val="none" w:sz="0" w:space="0" w:color="auto"/>
        <w:bottom w:val="none" w:sz="0" w:space="0" w:color="auto"/>
        <w:right w:val="none" w:sz="0" w:space="0" w:color="auto"/>
      </w:divBdr>
    </w:div>
    <w:div w:id="206378247">
      <w:bodyDiv w:val="1"/>
      <w:marLeft w:val="0"/>
      <w:marRight w:val="0"/>
      <w:marTop w:val="0"/>
      <w:marBottom w:val="0"/>
      <w:divBdr>
        <w:top w:val="none" w:sz="0" w:space="0" w:color="auto"/>
        <w:left w:val="none" w:sz="0" w:space="0" w:color="auto"/>
        <w:bottom w:val="none" w:sz="0" w:space="0" w:color="auto"/>
        <w:right w:val="none" w:sz="0" w:space="0" w:color="auto"/>
      </w:divBdr>
    </w:div>
    <w:div w:id="274679478">
      <w:bodyDiv w:val="1"/>
      <w:marLeft w:val="0"/>
      <w:marRight w:val="0"/>
      <w:marTop w:val="0"/>
      <w:marBottom w:val="0"/>
      <w:divBdr>
        <w:top w:val="none" w:sz="0" w:space="0" w:color="auto"/>
        <w:left w:val="none" w:sz="0" w:space="0" w:color="auto"/>
        <w:bottom w:val="none" w:sz="0" w:space="0" w:color="auto"/>
        <w:right w:val="none" w:sz="0" w:space="0" w:color="auto"/>
      </w:divBdr>
    </w:div>
    <w:div w:id="331492921">
      <w:bodyDiv w:val="1"/>
      <w:marLeft w:val="0"/>
      <w:marRight w:val="0"/>
      <w:marTop w:val="0"/>
      <w:marBottom w:val="0"/>
      <w:divBdr>
        <w:top w:val="none" w:sz="0" w:space="0" w:color="auto"/>
        <w:left w:val="none" w:sz="0" w:space="0" w:color="auto"/>
        <w:bottom w:val="none" w:sz="0" w:space="0" w:color="auto"/>
        <w:right w:val="none" w:sz="0" w:space="0" w:color="auto"/>
      </w:divBdr>
    </w:div>
    <w:div w:id="342711969">
      <w:bodyDiv w:val="1"/>
      <w:marLeft w:val="0"/>
      <w:marRight w:val="0"/>
      <w:marTop w:val="0"/>
      <w:marBottom w:val="0"/>
      <w:divBdr>
        <w:top w:val="none" w:sz="0" w:space="0" w:color="auto"/>
        <w:left w:val="none" w:sz="0" w:space="0" w:color="auto"/>
        <w:bottom w:val="none" w:sz="0" w:space="0" w:color="auto"/>
        <w:right w:val="none" w:sz="0" w:space="0" w:color="auto"/>
      </w:divBdr>
    </w:div>
    <w:div w:id="411510050">
      <w:bodyDiv w:val="1"/>
      <w:marLeft w:val="0"/>
      <w:marRight w:val="0"/>
      <w:marTop w:val="0"/>
      <w:marBottom w:val="0"/>
      <w:divBdr>
        <w:top w:val="none" w:sz="0" w:space="0" w:color="auto"/>
        <w:left w:val="none" w:sz="0" w:space="0" w:color="auto"/>
        <w:bottom w:val="none" w:sz="0" w:space="0" w:color="auto"/>
        <w:right w:val="none" w:sz="0" w:space="0" w:color="auto"/>
      </w:divBdr>
    </w:div>
    <w:div w:id="582296146">
      <w:bodyDiv w:val="1"/>
      <w:marLeft w:val="0"/>
      <w:marRight w:val="0"/>
      <w:marTop w:val="0"/>
      <w:marBottom w:val="0"/>
      <w:divBdr>
        <w:top w:val="none" w:sz="0" w:space="0" w:color="auto"/>
        <w:left w:val="none" w:sz="0" w:space="0" w:color="auto"/>
        <w:bottom w:val="none" w:sz="0" w:space="0" w:color="auto"/>
        <w:right w:val="none" w:sz="0" w:space="0" w:color="auto"/>
      </w:divBdr>
    </w:div>
    <w:div w:id="612057105">
      <w:bodyDiv w:val="1"/>
      <w:marLeft w:val="0"/>
      <w:marRight w:val="0"/>
      <w:marTop w:val="0"/>
      <w:marBottom w:val="0"/>
      <w:divBdr>
        <w:top w:val="none" w:sz="0" w:space="0" w:color="auto"/>
        <w:left w:val="none" w:sz="0" w:space="0" w:color="auto"/>
        <w:bottom w:val="none" w:sz="0" w:space="0" w:color="auto"/>
        <w:right w:val="none" w:sz="0" w:space="0" w:color="auto"/>
      </w:divBdr>
    </w:div>
    <w:div w:id="667713347">
      <w:bodyDiv w:val="1"/>
      <w:marLeft w:val="0"/>
      <w:marRight w:val="0"/>
      <w:marTop w:val="0"/>
      <w:marBottom w:val="0"/>
      <w:divBdr>
        <w:top w:val="none" w:sz="0" w:space="0" w:color="auto"/>
        <w:left w:val="none" w:sz="0" w:space="0" w:color="auto"/>
        <w:bottom w:val="none" w:sz="0" w:space="0" w:color="auto"/>
        <w:right w:val="none" w:sz="0" w:space="0" w:color="auto"/>
      </w:divBdr>
    </w:div>
    <w:div w:id="719667215">
      <w:bodyDiv w:val="1"/>
      <w:marLeft w:val="0"/>
      <w:marRight w:val="0"/>
      <w:marTop w:val="0"/>
      <w:marBottom w:val="0"/>
      <w:divBdr>
        <w:top w:val="none" w:sz="0" w:space="0" w:color="auto"/>
        <w:left w:val="none" w:sz="0" w:space="0" w:color="auto"/>
        <w:bottom w:val="none" w:sz="0" w:space="0" w:color="auto"/>
        <w:right w:val="none" w:sz="0" w:space="0" w:color="auto"/>
      </w:divBdr>
    </w:div>
    <w:div w:id="724182217">
      <w:bodyDiv w:val="1"/>
      <w:marLeft w:val="0"/>
      <w:marRight w:val="0"/>
      <w:marTop w:val="0"/>
      <w:marBottom w:val="0"/>
      <w:divBdr>
        <w:top w:val="none" w:sz="0" w:space="0" w:color="auto"/>
        <w:left w:val="none" w:sz="0" w:space="0" w:color="auto"/>
        <w:bottom w:val="none" w:sz="0" w:space="0" w:color="auto"/>
        <w:right w:val="none" w:sz="0" w:space="0" w:color="auto"/>
      </w:divBdr>
    </w:div>
    <w:div w:id="749473076">
      <w:bodyDiv w:val="1"/>
      <w:marLeft w:val="0"/>
      <w:marRight w:val="0"/>
      <w:marTop w:val="0"/>
      <w:marBottom w:val="0"/>
      <w:divBdr>
        <w:top w:val="none" w:sz="0" w:space="0" w:color="auto"/>
        <w:left w:val="none" w:sz="0" w:space="0" w:color="auto"/>
        <w:bottom w:val="none" w:sz="0" w:space="0" w:color="auto"/>
        <w:right w:val="none" w:sz="0" w:space="0" w:color="auto"/>
      </w:divBdr>
    </w:div>
    <w:div w:id="750736422">
      <w:bodyDiv w:val="1"/>
      <w:marLeft w:val="0"/>
      <w:marRight w:val="0"/>
      <w:marTop w:val="0"/>
      <w:marBottom w:val="0"/>
      <w:divBdr>
        <w:top w:val="none" w:sz="0" w:space="0" w:color="auto"/>
        <w:left w:val="none" w:sz="0" w:space="0" w:color="auto"/>
        <w:bottom w:val="none" w:sz="0" w:space="0" w:color="auto"/>
        <w:right w:val="none" w:sz="0" w:space="0" w:color="auto"/>
      </w:divBdr>
    </w:div>
    <w:div w:id="789124785">
      <w:bodyDiv w:val="1"/>
      <w:marLeft w:val="0"/>
      <w:marRight w:val="0"/>
      <w:marTop w:val="0"/>
      <w:marBottom w:val="0"/>
      <w:divBdr>
        <w:top w:val="none" w:sz="0" w:space="0" w:color="auto"/>
        <w:left w:val="none" w:sz="0" w:space="0" w:color="auto"/>
        <w:bottom w:val="none" w:sz="0" w:space="0" w:color="auto"/>
        <w:right w:val="none" w:sz="0" w:space="0" w:color="auto"/>
      </w:divBdr>
    </w:div>
    <w:div w:id="795297715">
      <w:bodyDiv w:val="1"/>
      <w:marLeft w:val="0"/>
      <w:marRight w:val="0"/>
      <w:marTop w:val="0"/>
      <w:marBottom w:val="0"/>
      <w:divBdr>
        <w:top w:val="none" w:sz="0" w:space="0" w:color="auto"/>
        <w:left w:val="none" w:sz="0" w:space="0" w:color="auto"/>
        <w:bottom w:val="none" w:sz="0" w:space="0" w:color="auto"/>
        <w:right w:val="none" w:sz="0" w:space="0" w:color="auto"/>
      </w:divBdr>
    </w:div>
    <w:div w:id="840391950">
      <w:bodyDiv w:val="1"/>
      <w:marLeft w:val="0"/>
      <w:marRight w:val="0"/>
      <w:marTop w:val="0"/>
      <w:marBottom w:val="0"/>
      <w:divBdr>
        <w:top w:val="none" w:sz="0" w:space="0" w:color="auto"/>
        <w:left w:val="none" w:sz="0" w:space="0" w:color="auto"/>
        <w:bottom w:val="none" w:sz="0" w:space="0" w:color="auto"/>
        <w:right w:val="none" w:sz="0" w:space="0" w:color="auto"/>
      </w:divBdr>
    </w:div>
    <w:div w:id="846016675">
      <w:bodyDiv w:val="1"/>
      <w:marLeft w:val="0"/>
      <w:marRight w:val="0"/>
      <w:marTop w:val="0"/>
      <w:marBottom w:val="0"/>
      <w:divBdr>
        <w:top w:val="none" w:sz="0" w:space="0" w:color="auto"/>
        <w:left w:val="none" w:sz="0" w:space="0" w:color="auto"/>
        <w:bottom w:val="none" w:sz="0" w:space="0" w:color="auto"/>
        <w:right w:val="none" w:sz="0" w:space="0" w:color="auto"/>
      </w:divBdr>
    </w:div>
    <w:div w:id="913587966">
      <w:bodyDiv w:val="1"/>
      <w:marLeft w:val="0"/>
      <w:marRight w:val="0"/>
      <w:marTop w:val="0"/>
      <w:marBottom w:val="0"/>
      <w:divBdr>
        <w:top w:val="none" w:sz="0" w:space="0" w:color="auto"/>
        <w:left w:val="none" w:sz="0" w:space="0" w:color="auto"/>
        <w:bottom w:val="none" w:sz="0" w:space="0" w:color="auto"/>
        <w:right w:val="none" w:sz="0" w:space="0" w:color="auto"/>
      </w:divBdr>
    </w:div>
    <w:div w:id="973414729">
      <w:bodyDiv w:val="1"/>
      <w:marLeft w:val="0"/>
      <w:marRight w:val="0"/>
      <w:marTop w:val="0"/>
      <w:marBottom w:val="0"/>
      <w:divBdr>
        <w:top w:val="none" w:sz="0" w:space="0" w:color="auto"/>
        <w:left w:val="none" w:sz="0" w:space="0" w:color="auto"/>
        <w:bottom w:val="none" w:sz="0" w:space="0" w:color="auto"/>
        <w:right w:val="none" w:sz="0" w:space="0" w:color="auto"/>
      </w:divBdr>
    </w:div>
    <w:div w:id="1036731968">
      <w:bodyDiv w:val="1"/>
      <w:marLeft w:val="0"/>
      <w:marRight w:val="0"/>
      <w:marTop w:val="0"/>
      <w:marBottom w:val="0"/>
      <w:divBdr>
        <w:top w:val="none" w:sz="0" w:space="0" w:color="auto"/>
        <w:left w:val="none" w:sz="0" w:space="0" w:color="auto"/>
        <w:bottom w:val="none" w:sz="0" w:space="0" w:color="auto"/>
        <w:right w:val="none" w:sz="0" w:space="0" w:color="auto"/>
      </w:divBdr>
    </w:div>
    <w:div w:id="1060404743">
      <w:bodyDiv w:val="1"/>
      <w:marLeft w:val="0"/>
      <w:marRight w:val="0"/>
      <w:marTop w:val="0"/>
      <w:marBottom w:val="0"/>
      <w:divBdr>
        <w:top w:val="none" w:sz="0" w:space="0" w:color="auto"/>
        <w:left w:val="none" w:sz="0" w:space="0" w:color="auto"/>
        <w:bottom w:val="none" w:sz="0" w:space="0" w:color="auto"/>
        <w:right w:val="none" w:sz="0" w:space="0" w:color="auto"/>
      </w:divBdr>
    </w:div>
    <w:div w:id="1217278951">
      <w:bodyDiv w:val="1"/>
      <w:marLeft w:val="0"/>
      <w:marRight w:val="0"/>
      <w:marTop w:val="0"/>
      <w:marBottom w:val="0"/>
      <w:divBdr>
        <w:top w:val="none" w:sz="0" w:space="0" w:color="auto"/>
        <w:left w:val="none" w:sz="0" w:space="0" w:color="auto"/>
        <w:bottom w:val="none" w:sz="0" w:space="0" w:color="auto"/>
        <w:right w:val="none" w:sz="0" w:space="0" w:color="auto"/>
      </w:divBdr>
    </w:div>
    <w:div w:id="1285119857">
      <w:bodyDiv w:val="1"/>
      <w:marLeft w:val="0"/>
      <w:marRight w:val="0"/>
      <w:marTop w:val="0"/>
      <w:marBottom w:val="0"/>
      <w:divBdr>
        <w:top w:val="none" w:sz="0" w:space="0" w:color="auto"/>
        <w:left w:val="none" w:sz="0" w:space="0" w:color="auto"/>
        <w:bottom w:val="none" w:sz="0" w:space="0" w:color="auto"/>
        <w:right w:val="none" w:sz="0" w:space="0" w:color="auto"/>
      </w:divBdr>
    </w:div>
    <w:div w:id="1307394310">
      <w:bodyDiv w:val="1"/>
      <w:marLeft w:val="0"/>
      <w:marRight w:val="0"/>
      <w:marTop w:val="0"/>
      <w:marBottom w:val="0"/>
      <w:divBdr>
        <w:top w:val="none" w:sz="0" w:space="0" w:color="auto"/>
        <w:left w:val="none" w:sz="0" w:space="0" w:color="auto"/>
        <w:bottom w:val="none" w:sz="0" w:space="0" w:color="auto"/>
        <w:right w:val="none" w:sz="0" w:space="0" w:color="auto"/>
      </w:divBdr>
    </w:div>
    <w:div w:id="1326204351">
      <w:bodyDiv w:val="1"/>
      <w:marLeft w:val="0"/>
      <w:marRight w:val="0"/>
      <w:marTop w:val="0"/>
      <w:marBottom w:val="0"/>
      <w:divBdr>
        <w:top w:val="none" w:sz="0" w:space="0" w:color="auto"/>
        <w:left w:val="none" w:sz="0" w:space="0" w:color="auto"/>
        <w:bottom w:val="none" w:sz="0" w:space="0" w:color="auto"/>
        <w:right w:val="none" w:sz="0" w:space="0" w:color="auto"/>
      </w:divBdr>
    </w:div>
    <w:div w:id="1330598773">
      <w:bodyDiv w:val="1"/>
      <w:marLeft w:val="0"/>
      <w:marRight w:val="0"/>
      <w:marTop w:val="0"/>
      <w:marBottom w:val="0"/>
      <w:divBdr>
        <w:top w:val="none" w:sz="0" w:space="0" w:color="auto"/>
        <w:left w:val="none" w:sz="0" w:space="0" w:color="auto"/>
        <w:bottom w:val="none" w:sz="0" w:space="0" w:color="auto"/>
        <w:right w:val="none" w:sz="0" w:space="0" w:color="auto"/>
      </w:divBdr>
    </w:div>
    <w:div w:id="1331757835">
      <w:bodyDiv w:val="1"/>
      <w:marLeft w:val="0"/>
      <w:marRight w:val="0"/>
      <w:marTop w:val="0"/>
      <w:marBottom w:val="0"/>
      <w:divBdr>
        <w:top w:val="none" w:sz="0" w:space="0" w:color="auto"/>
        <w:left w:val="none" w:sz="0" w:space="0" w:color="auto"/>
        <w:bottom w:val="none" w:sz="0" w:space="0" w:color="auto"/>
        <w:right w:val="none" w:sz="0" w:space="0" w:color="auto"/>
      </w:divBdr>
    </w:div>
    <w:div w:id="1387413995">
      <w:bodyDiv w:val="1"/>
      <w:marLeft w:val="0"/>
      <w:marRight w:val="0"/>
      <w:marTop w:val="0"/>
      <w:marBottom w:val="0"/>
      <w:divBdr>
        <w:top w:val="none" w:sz="0" w:space="0" w:color="auto"/>
        <w:left w:val="none" w:sz="0" w:space="0" w:color="auto"/>
        <w:bottom w:val="none" w:sz="0" w:space="0" w:color="auto"/>
        <w:right w:val="none" w:sz="0" w:space="0" w:color="auto"/>
      </w:divBdr>
    </w:div>
    <w:div w:id="1410806670">
      <w:bodyDiv w:val="1"/>
      <w:marLeft w:val="0"/>
      <w:marRight w:val="0"/>
      <w:marTop w:val="0"/>
      <w:marBottom w:val="0"/>
      <w:divBdr>
        <w:top w:val="none" w:sz="0" w:space="0" w:color="auto"/>
        <w:left w:val="none" w:sz="0" w:space="0" w:color="auto"/>
        <w:bottom w:val="none" w:sz="0" w:space="0" w:color="auto"/>
        <w:right w:val="none" w:sz="0" w:space="0" w:color="auto"/>
      </w:divBdr>
    </w:div>
    <w:div w:id="1463578079">
      <w:bodyDiv w:val="1"/>
      <w:marLeft w:val="0"/>
      <w:marRight w:val="0"/>
      <w:marTop w:val="0"/>
      <w:marBottom w:val="0"/>
      <w:divBdr>
        <w:top w:val="none" w:sz="0" w:space="0" w:color="auto"/>
        <w:left w:val="none" w:sz="0" w:space="0" w:color="auto"/>
        <w:bottom w:val="none" w:sz="0" w:space="0" w:color="auto"/>
        <w:right w:val="none" w:sz="0" w:space="0" w:color="auto"/>
      </w:divBdr>
    </w:div>
    <w:div w:id="1621764836">
      <w:bodyDiv w:val="1"/>
      <w:marLeft w:val="0"/>
      <w:marRight w:val="0"/>
      <w:marTop w:val="0"/>
      <w:marBottom w:val="0"/>
      <w:divBdr>
        <w:top w:val="none" w:sz="0" w:space="0" w:color="auto"/>
        <w:left w:val="none" w:sz="0" w:space="0" w:color="auto"/>
        <w:bottom w:val="none" w:sz="0" w:space="0" w:color="auto"/>
        <w:right w:val="none" w:sz="0" w:space="0" w:color="auto"/>
      </w:divBdr>
    </w:div>
    <w:div w:id="1662352082">
      <w:bodyDiv w:val="1"/>
      <w:marLeft w:val="0"/>
      <w:marRight w:val="0"/>
      <w:marTop w:val="0"/>
      <w:marBottom w:val="0"/>
      <w:divBdr>
        <w:top w:val="none" w:sz="0" w:space="0" w:color="auto"/>
        <w:left w:val="none" w:sz="0" w:space="0" w:color="auto"/>
        <w:bottom w:val="none" w:sz="0" w:space="0" w:color="auto"/>
        <w:right w:val="none" w:sz="0" w:space="0" w:color="auto"/>
      </w:divBdr>
    </w:div>
    <w:div w:id="1722092694">
      <w:bodyDiv w:val="1"/>
      <w:marLeft w:val="0"/>
      <w:marRight w:val="0"/>
      <w:marTop w:val="0"/>
      <w:marBottom w:val="0"/>
      <w:divBdr>
        <w:top w:val="none" w:sz="0" w:space="0" w:color="auto"/>
        <w:left w:val="none" w:sz="0" w:space="0" w:color="auto"/>
        <w:bottom w:val="none" w:sz="0" w:space="0" w:color="auto"/>
        <w:right w:val="none" w:sz="0" w:space="0" w:color="auto"/>
      </w:divBdr>
    </w:div>
    <w:div w:id="1795556789">
      <w:bodyDiv w:val="1"/>
      <w:marLeft w:val="0"/>
      <w:marRight w:val="0"/>
      <w:marTop w:val="0"/>
      <w:marBottom w:val="0"/>
      <w:divBdr>
        <w:top w:val="none" w:sz="0" w:space="0" w:color="auto"/>
        <w:left w:val="none" w:sz="0" w:space="0" w:color="auto"/>
        <w:bottom w:val="none" w:sz="0" w:space="0" w:color="auto"/>
        <w:right w:val="none" w:sz="0" w:space="0" w:color="auto"/>
      </w:divBdr>
    </w:div>
    <w:div w:id="1809735652">
      <w:bodyDiv w:val="1"/>
      <w:marLeft w:val="0"/>
      <w:marRight w:val="0"/>
      <w:marTop w:val="0"/>
      <w:marBottom w:val="0"/>
      <w:divBdr>
        <w:top w:val="none" w:sz="0" w:space="0" w:color="auto"/>
        <w:left w:val="none" w:sz="0" w:space="0" w:color="auto"/>
        <w:bottom w:val="none" w:sz="0" w:space="0" w:color="auto"/>
        <w:right w:val="none" w:sz="0" w:space="0" w:color="auto"/>
      </w:divBdr>
    </w:div>
    <w:div w:id="1946771586">
      <w:bodyDiv w:val="1"/>
      <w:marLeft w:val="0"/>
      <w:marRight w:val="0"/>
      <w:marTop w:val="0"/>
      <w:marBottom w:val="0"/>
      <w:divBdr>
        <w:top w:val="none" w:sz="0" w:space="0" w:color="auto"/>
        <w:left w:val="none" w:sz="0" w:space="0" w:color="auto"/>
        <w:bottom w:val="none" w:sz="0" w:space="0" w:color="auto"/>
        <w:right w:val="none" w:sz="0" w:space="0" w:color="auto"/>
      </w:divBdr>
    </w:div>
    <w:div w:id="1958291410">
      <w:bodyDiv w:val="1"/>
      <w:marLeft w:val="0"/>
      <w:marRight w:val="0"/>
      <w:marTop w:val="0"/>
      <w:marBottom w:val="0"/>
      <w:divBdr>
        <w:top w:val="none" w:sz="0" w:space="0" w:color="auto"/>
        <w:left w:val="none" w:sz="0" w:space="0" w:color="auto"/>
        <w:bottom w:val="none" w:sz="0" w:space="0" w:color="auto"/>
        <w:right w:val="none" w:sz="0" w:space="0" w:color="auto"/>
      </w:divBdr>
    </w:div>
    <w:div w:id="2053381321">
      <w:bodyDiv w:val="1"/>
      <w:marLeft w:val="0"/>
      <w:marRight w:val="0"/>
      <w:marTop w:val="0"/>
      <w:marBottom w:val="0"/>
      <w:divBdr>
        <w:top w:val="none" w:sz="0" w:space="0" w:color="auto"/>
        <w:left w:val="none" w:sz="0" w:space="0" w:color="auto"/>
        <w:bottom w:val="none" w:sz="0" w:space="0" w:color="auto"/>
        <w:right w:val="none" w:sz="0" w:space="0" w:color="auto"/>
      </w:divBdr>
    </w:div>
    <w:div w:id="2054965160">
      <w:bodyDiv w:val="1"/>
      <w:marLeft w:val="0"/>
      <w:marRight w:val="0"/>
      <w:marTop w:val="0"/>
      <w:marBottom w:val="0"/>
      <w:divBdr>
        <w:top w:val="none" w:sz="0" w:space="0" w:color="auto"/>
        <w:left w:val="none" w:sz="0" w:space="0" w:color="auto"/>
        <w:bottom w:val="none" w:sz="0" w:space="0" w:color="auto"/>
        <w:right w:val="none" w:sz="0" w:space="0" w:color="auto"/>
      </w:divBdr>
    </w:div>
    <w:div w:id="2098481340">
      <w:bodyDiv w:val="1"/>
      <w:marLeft w:val="0"/>
      <w:marRight w:val="0"/>
      <w:marTop w:val="0"/>
      <w:marBottom w:val="0"/>
      <w:divBdr>
        <w:top w:val="none" w:sz="0" w:space="0" w:color="auto"/>
        <w:left w:val="none" w:sz="0" w:space="0" w:color="auto"/>
        <w:bottom w:val="none" w:sz="0" w:space="0" w:color="auto"/>
        <w:right w:val="none" w:sz="0" w:space="0" w:color="auto"/>
      </w:divBdr>
    </w:div>
    <w:div w:id="21276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刘诗成</dc:creator>
  <cp:lastModifiedBy>马思渊</cp:lastModifiedBy>
  <cp:revision>5</cp:revision>
  <cp:lastPrinted>2021-08-27T01:16:00Z</cp:lastPrinted>
  <dcterms:created xsi:type="dcterms:W3CDTF">2022-03-22T13:15:00Z</dcterms:created>
  <dcterms:modified xsi:type="dcterms:W3CDTF">2022-03-28T07:53:00Z</dcterms:modified>
</cp:coreProperties>
</file>