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4C" w:rsidRPr="00072977" w:rsidRDefault="00072977" w:rsidP="00072977">
      <w:pPr>
        <w:jc w:val="center"/>
        <w:rPr>
          <w:b/>
          <w:sz w:val="28"/>
        </w:rPr>
      </w:pPr>
      <w:r w:rsidRPr="00072977">
        <w:rPr>
          <w:rFonts w:hint="eastAsia"/>
          <w:b/>
          <w:sz w:val="28"/>
        </w:rPr>
        <w:t>苏州银行股份有限公司</w:t>
      </w:r>
    </w:p>
    <w:p w:rsidR="00072977" w:rsidRDefault="00072977" w:rsidP="00072977">
      <w:pPr>
        <w:jc w:val="center"/>
        <w:rPr>
          <w:b/>
          <w:sz w:val="28"/>
        </w:rPr>
      </w:pPr>
      <w:r w:rsidRPr="00072977">
        <w:rPr>
          <w:rFonts w:hint="eastAsia"/>
          <w:b/>
          <w:sz w:val="28"/>
        </w:rPr>
        <w:t>2019</w:t>
      </w:r>
      <w:r w:rsidRPr="00072977">
        <w:rPr>
          <w:rFonts w:hint="eastAsia"/>
          <w:b/>
          <w:sz w:val="28"/>
        </w:rPr>
        <w:t>年杠杆</w:t>
      </w:r>
      <w:proofErr w:type="gramStart"/>
      <w:r w:rsidRPr="00072977">
        <w:rPr>
          <w:rFonts w:hint="eastAsia"/>
          <w:b/>
          <w:sz w:val="28"/>
        </w:rPr>
        <w:t>率信息</w:t>
      </w:r>
      <w:proofErr w:type="gramEnd"/>
      <w:r w:rsidRPr="00072977">
        <w:rPr>
          <w:rFonts w:hint="eastAsia"/>
          <w:b/>
          <w:sz w:val="28"/>
        </w:rPr>
        <w:t>披露</w:t>
      </w:r>
    </w:p>
    <w:p w:rsidR="00072977" w:rsidRDefault="00072977" w:rsidP="00072977">
      <w:pPr>
        <w:jc w:val="left"/>
        <w:rPr>
          <w:sz w:val="20"/>
        </w:rPr>
      </w:pPr>
    </w:p>
    <w:p w:rsidR="00072977" w:rsidRDefault="00072977" w:rsidP="00072977">
      <w:pPr>
        <w:jc w:val="left"/>
        <w:rPr>
          <w:sz w:val="20"/>
        </w:rPr>
      </w:pPr>
    </w:p>
    <w:p w:rsidR="00072977" w:rsidRPr="00A01C2A" w:rsidRDefault="00072977" w:rsidP="00072977">
      <w:pPr>
        <w:jc w:val="left"/>
        <w:rPr>
          <w:b/>
          <w:sz w:val="24"/>
        </w:rPr>
      </w:pPr>
      <w:r w:rsidRPr="00A01C2A">
        <w:rPr>
          <w:rFonts w:hint="eastAsia"/>
          <w:b/>
          <w:sz w:val="24"/>
        </w:rPr>
        <w:t>表</w:t>
      </w:r>
      <w:r w:rsidRPr="00A01C2A">
        <w:rPr>
          <w:rFonts w:hint="eastAsia"/>
          <w:b/>
          <w:sz w:val="24"/>
        </w:rPr>
        <w:t>1</w:t>
      </w:r>
      <w:r w:rsidRPr="00A01C2A">
        <w:rPr>
          <w:rFonts w:hint="eastAsia"/>
          <w:b/>
          <w:sz w:val="24"/>
        </w:rPr>
        <w:t>：杠杆率监管项目以及对应会计项目情况表</w:t>
      </w:r>
    </w:p>
    <w:p w:rsidR="00072977" w:rsidRDefault="00072977" w:rsidP="00072977">
      <w:pPr>
        <w:jc w:val="left"/>
        <w:rPr>
          <w:sz w:val="20"/>
        </w:rPr>
      </w:pPr>
    </w:p>
    <w:p w:rsidR="00072977" w:rsidRDefault="00072977" w:rsidP="00072977">
      <w:pPr>
        <w:jc w:val="right"/>
        <w:rPr>
          <w:sz w:val="20"/>
        </w:rPr>
      </w:pPr>
      <w:r>
        <w:rPr>
          <w:rFonts w:hint="eastAsia"/>
          <w:sz w:val="20"/>
        </w:rPr>
        <w:t>单位：人民币万元、监管并表口径</w:t>
      </w:r>
    </w:p>
    <w:tbl>
      <w:tblPr>
        <w:tblW w:w="5000" w:type="pct"/>
        <w:tblLook w:val="04A0" w:firstRow="1" w:lastRow="0" w:firstColumn="1" w:lastColumn="0" w:noHBand="0" w:noVBand="1"/>
      </w:tblPr>
      <w:tblGrid>
        <w:gridCol w:w="914"/>
        <w:gridCol w:w="5962"/>
        <w:gridCol w:w="1646"/>
      </w:tblGrid>
      <w:tr w:rsidR="00072977" w:rsidRPr="00072977" w:rsidTr="00072977">
        <w:trPr>
          <w:trHeight w:val="240"/>
        </w:trPr>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072977">
            <w:pPr>
              <w:widowControl/>
              <w:jc w:val="center"/>
              <w:rPr>
                <w:rFonts w:ascii="宋体" w:eastAsia="宋体" w:hAnsi="宋体" w:cs="宋体"/>
                <w:b/>
                <w:color w:val="000000"/>
                <w:kern w:val="0"/>
                <w:sz w:val="22"/>
              </w:rPr>
            </w:pPr>
            <w:r w:rsidRPr="00A01C2A">
              <w:rPr>
                <w:rFonts w:ascii="宋体" w:eastAsia="宋体" w:hAnsi="宋体" w:cs="宋体" w:hint="eastAsia"/>
                <w:b/>
                <w:color w:val="000000"/>
                <w:kern w:val="0"/>
                <w:sz w:val="22"/>
              </w:rPr>
              <w:t>序号</w:t>
            </w:r>
          </w:p>
        </w:tc>
        <w:tc>
          <w:tcPr>
            <w:tcW w:w="3550" w:type="pct"/>
            <w:tcBorders>
              <w:top w:val="single" w:sz="4" w:space="0" w:color="auto"/>
              <w:left w:val="nil"/>
              <w:bottom w:val="single" w:sz="4" w:space="0" w:color="auto"/>
              <w:right w:val="single" w:sz="4" w:space="0" w:color="auto"/>
            </w:tcBorders>
            <w:shd w:val="clear" w:color="auto" w:fill="auto"/>
            <w:noWrap/>
            <w:vAlign w:val="center"/>
            <w:hideMark/>
          </w:tcPr>
          <w:p w:rsidR="00072977" w:rsidRPr="00A01C2A" w:rsidRDefault="00072977" w:rsidP="00072977">
            <w:pPr>
              <w:widowControl/>
              <w:jc w:val="center"/>
              <w:rPr>
                <w:rFonts w:ascii="宋体" w:eastAsia="宋体" w:hAnsi="宋体" w:cs="宋体"/>
                <w:b/>
                <w:color w:val="000000"/>
                <w:kern w:val="0"/>
                <w:sz w:val="22"/>
              </w:rPr>
            </w:pPr>
            <w:r w:rsidRPr="00A01C2A">
              <w:rPr>
                <w:rFonts w:ascii="宋体" w:eastAsia="宋体" w:hAnsi="宋体" w:cs="宋体" w:hint="eastAsia"/>
                <w:b/>
                <w:color w:val="000000"/>
                <w:kern w:val="0"/>
                <w:sz w:val="22"/>
              </w:rPr>
              <w:t>项目</w:t>
            </w:r>
          </w:p>
        </w:tc>
        <w:tc>
          <w:tcPr>
            <w:tcW w:w="861" w:type="pct"/>
            <w:tcBorders>
              <w:top w:val="single" w:sz="4" w:space="0" w:color="auto"/>
              <w:left w:val="nil"/>
              <w:bottom w:val="single" w:sz="4" w:space="0" w:color="auto"/>
              <w:right w:val="single" w:sz="4" w:space="0" w:color="auto"/>
            </w:tcBorders>
            <w:shd w:val="clear" w:color="auto" w:fill="auto"/>
            <w:noWrap/>
            <w:vAlign w:val="center"/>
            <w:hideMark/>
          </w:tcPr>
          <w:p w:rsidR="00072977" w:rsidRPr="00A01C2A" w:rsidRDefault="00072977" w:rsidP="00072977">
            <w:pPr>
              <w:widowControl/>
              <w:jc w:val="center"/>
              <w:rPr>
                <w:rFonts w:ascii="宋体" w:eastAsia="宋体" w:hAnsi="宋体" w:cs="宋体"/>
                <w:b/>
                <w:color w:val="000000"/>
                <w:kern w:val="0"/>
                <w:sz w:val="22"/>
              </w:rPr>
            </w:pPr>
            <w:r w:rsidRPr="00A01C2A">
              <w:rPr>
                <w:rFonts w:ascii="宋体" w:eastAsia="宋体" w:hAnsi="宋体" w:cs="宋体" w:hint="eastAsia"/>
                <w:b/>
                <w:color w:val="000000"/>
                <w:kern w:val="0"/>
                <w:sz w:val="22"/>
              </w:rPr>
              <w:t>余额</w:t>
            </w:r>
          </w:p>
        </w:tc>
      </w:tr>
      <w:tr w:rsidR="00072977" w:rsidRPr="00072977"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hint="eastAsia"/>
                <w:color w:val="000000"/>
                <w:kern w:val="0"/>
                <w:sz w:val="22"/>
              </w:rPr>
              <w:t>1</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left"/>
              <w:rPr>
                <w:rFonts w:ascii="宋体" w:eastAsia="宋体" w:hAnsi="宋体" w:cs="宋体"/>
                <w:color w:val="000000"/>
                <w:kern w:val="0"/>
                <w:sz w:val="22"/>
              </w:rPr>
            </w:pPr>
            <w:proofErr w:type="gramStart"/>
            <w:r w:rsidRPr="00A01C2A">
              <w:rPr>
                <w:rFonts w:ascii="宋体" w:eastAsia="宋体" w:hAnsi="宋体" w:cs="宋体" w:hint="eastAsia"/>
                <w:color w:val="000000"/>
                <w:kern w:val="0"/>
                <w:sz w:val="22"/>
              </w:rPr>
              <w:t>并表总资产</w:t>
            </w:r>
            <w:proofErr w:type="gramEnd"/>
          </w:p>
        </w:tc>
        <w:tc>
          <w:tcPr>
            <w:tcW w:w="861" w:type="pct"/>
            <w:tcBorders>
              <w:top w:val="nil"/>
              <w:left w:val="nil"/>
              <w:bottom w:val="single" w:sz="4" w:space="0" w:color="auto"/>
              <w:right w:val="single" w:sz="4" w:space="0" w:color="auto"/>
            </w:tcBorders>
            <w:shd w:val="clear" w:color="auto" w:fill="auto"/>
            <w:noWrap/>
            <w:vAlign w:val="center"/>
            <w:hideMark/>
          </w:tcPr>
          <w:p w:rsidR="00072977" w:rsidRPr="00A01C2A" w:rsidRDefault="000D5846" w:rsidP="00A01C2A">
            <w:pPr>
              <w:widowControl/>
              <w:jc w:val="right"/>
              <w:rPr>
                <w:rFonts w:ascii="宋体" w:eastAsia="宋体" w:hAnsi="宋体" w:cs="宋体"/>
                <w:color w:val="000000"/>
                <w:kern w:val="0"/>
                <w:sz w:val="22"/>
              </w:rPr>
            </w:pPr>
            <w:r w:rsidRPr="000D5846">
              <w:rPr>
                <w:rFonts w:ascii="宋体" w:eastAsia="宋体" w:hAnsi="宋体" w:cs="宋体"/>
                <w:color w:val="000000"/>
                <w:kern w:val="0"/>
                <w:sz w:val="22"/>
              </w:rPr>
              <w:t>34,330,458.65</w:t>
            </w:r>
          </w:p>
        </w:tc>
      </w:tr>
      <w:tr w:rsidR="00072977" w:rsidRPr="00072977"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hint="eastAsia"/>
                <w:color w:val="000000"/>
                <w:kern w:val="0"/>
                <w:sz w:val="22"/>
              </w:rPr>
              <w:t>2</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并</w:t>
            </w:r>
            <w:proofErr w:type="gramStart"/>
            <w:r w:rsidRPr="00A01C2A">
              <w:rPr>
                <w:rFonts w:ascii="宋体" w:eastAsia="宋体" w:hAnsi="宋体" w:cs="宋体" w:hint="eastAsia"/>
                <w:color w:val="000000"/>
                <w:kern w:val="0"/>
                <w:sz w:val="22"/>
              </w:rPr>
              <w:t>表调整项</w:t>
            </w:r>
            <w:proofErr w:type="gramEnd"/>
          </w:p>
        </w:tc>
        <w:tc>
          <w:tcPr>
            <w:tcW w:w="861" w:type="pct"/>
            <w:tcBorders>
              <w:top w:val="nil"/>
              <w:left w:val="nil"/>
              <w:bottom w:val="single" w:sz="4" w:space="0" w:color="auto"/>
              <w:right w:val="single" w:sz="4" w:space="0" w:color="auto"/>
            </w:tcBorders>
            <w:shd w:val="clear" w:color="auto" w:fill="auto"/>
            <w:noWrap/>
            <w:vAlign w:val="center"/>
            <w:hideMark/>
          </w:tcPr>
          <w:p w:rsidR="00072977" w:rsidRPr="00A01C2A" w:rsidRDefault="000D5846" w:rsidP="000D5846">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w:t>
            </w:r>
            <w:r w:rsidRPr="000D5846">
              <w:rPr>
                <w:rFonts w:ascii="宋体" w:eastAsia="宋体" w:hAnsi="宋体" w:cs="宋体"/>
                <w:color w:val="000000"/>
                <w:kern w:val="0"/>
                <w:sz w:val="22"/>
              </w:rPr>
              <w:t>978,079.75</w:t>
            </w:r>
            <w:r>
              <w:rPr>
                <w:rFonts w:ascii="宋体" w:eastAsia="宋体" w:hAnsi="宋体" w:cs="宋体" w:hint="eastAsia"/>
                <w:color w:val="000000"/>
                <w:kern w:val="0"/>
                <w:sz w:val="22"/>
              </w:rPr>
              <w:t>)</w:t>
            </w:r>
          </w:p>
        </w:tc>
      </w:tr>
      <w:tr w:rsidR="00072977" w:rsidRPr="00072977"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hint="eastAsia"/>
                <w:color w:val="000000"/>
                <w:kern w:val="0"/>
                <w:sz w:val="22"/>
              </w:rPr>
              <w:t>3</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客户资产调整项</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right"/>
              <w:rPr>
                <w:rFonts w:ascii="宋体" w:eastAsia="宋体" w:hAnsi="宋体" w:cs="宋体"/>
                <w:color w:val="000000"/>
                <w:kern w:val="0"/>
                <w:sz w:val="22"/>
              </w:rPr>
            </w:pPr>
            <w:r w:rsidRPr="00A01C2A">
              <w:rPr>
                <w:rFonts w:ascii="宋体" w:eastAsia="宋体" w:hAnsi="宋体" w:cs="宋体" w:hint="eastAsia"/>
                <w:color w:val="000000"/>
                <w:kern w:val="0"/>
                <w:sz w:val="22"/>
              </w:rPr>
              <w:t>-</w:t>
            </w:r>
          </w:p>
        </w:tc>
      </w:tr>
      <w:tr w:rsidR="00072977" w:rsidRPr="00072977"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hint="eastAsia"/>
                <w:color w:val="000000"/>
                <w:kern w:val="0"/>
                <w:sz w:val="22"/>
              </w:rPr>
              <w:t>4</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衍生产品调整项</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A01C2A" w:rsidRDefault="000D5846" w:rsidP="00A01C2A">
            <w:pPr>
              <w:widowControl/>
              <w:jc w:val="right"/>
              <w:rPr>
                <w:rFonts w:ascii="宋体" w:eastAsia="宋体" w:hAnsi="宋体" w:cs="宋体"/>
                <w:color w:val="000000"/>
                <w:kern w:val="0"/>
                <w:sz w:val="22"/>
              </w:rPr>
            </w:pPr>
            <w:r w:rsidRPr="000D5846">
              <w:rPr>
                <w:rFonts w:ascii="宋体" w:eastAsia="宋体" w:hAnsi="宋体" w:cs="宋体"/>
                <w:color w:val="000000"/>
                <w:kern w:val="0"/>
                <w:sz w:val="22"/>
              </w:rPr>
              <w:t>85,646.67</w:t>
            </w:r>
          </w:p>
        </w:tc>
      </w:tr>
      <w:tr w:rsidR="00072977" w:rsidRPr="00072977"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hint="eastAsia"/>
                <w:color w:val="000000"/>
                <w:kern w:val="0"/>
                <w:sz w:val="22"/>
              </w:rPr>
              <w:t>5</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证券融资交易调整项</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A01C2A" w:rsidRDefault="000D5846" w:rsidP="00A01C2A">
            <w:pPr>
              <w:widowControl/>
              <w:jc w:val="right"/>
              <w:rPr>
                <w:rFonts w:ascii="宋体" w:eastAsia="宋体" w:hAnsi="宋体" w:cs="宋体"/>
                <w:color w:val="000000"/>
                <w:kern w:val="0"/>
                <w:sz w:val="22"/>
              </w:rPr>
            </w:pPr>
            <w:r w:rsidRPr="000D5846">
              <w:rPr>
                <w:rFonts w:ascii="宋体" w:eastAsia="宋体" w:hAnsi="宋体" w:cs="宋体"/>
                <w:color w:val="000000"/>
                <w:kern w:val="0"/>
                <w:sz w:val="22"/>
              </w:rPr>
              <w:t xml:space="preserve">1,061,062.76 </w:t>
            </w:r>
            <w:r w:rsidR="00D31E59" w:rsidRPr="00D31E59">
              <w:rPr>
                <w:rFonts w:ascii="宋体" w:eastAsia="宋体" w:hAnsi="宋体" w:cs="宋体"/>
                <w:color w:val="000000"/>
                <w:kern w:val="0"/>
                <w:sz w:val="22"/>
              </w:rPr>
              <w:t xml:space="preserve"> </w:t>
            </w:r>
            <w:r w:rsidR="00072977" w:rsidRPr="00A01C2A">
              <w:rPr>
                <w:rFonts w:ascii="宋体" w:eastAsia="宋体" w:hAnsi="宋体" w:cs="宋体" w:hint="eastAsia"/>
                <w:color w:val="000000"/>
                <w:kern w:val="0"/>
                <w:sz w:val="22"/>
              </w:rPr>
              <w:t xml:space="preserve"> </w:t>
            </w:r>
          </w:p>
        </w:tc>
      </w:tr>
      <w:tr w:rsidR="00072977" w:rsidRPr="00072977"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hint="eastAsia"/>
                <w:color w:val="000000"/>
                <w:kern w:val="0"/>
                <w:sz w:val="22"/>
              </w:rPr>
              <w:t>6</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表外项目调整项</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A01C2A" w:rsidRDefault="000D5846" w:rsidP="00A01C2A">
            <w:pPr>
              <w:widowControl/>
              <w:jc w:val="right"/>
              <w:rPr>
                <w:rFonts w:ascii="宋体" w:eastAsia="宋体" w:hAnsi="宋体" w:cs="宋体"/>
                <w:color w:val="000000"/>
                <w:kern w:val="0"/>
                <w:sz w:val="22"/>
              </w:rPr>
            </w:pPr>
            <w:r w:rsidRPr="000D5846">
              <w:rPr>
                <w:rFonts w:ascii="宋体" w:eastAsia="宋体" w:hAnsi="宋体" w:cs="宋体"/>
                <w:color w:val="000000"/>
                <w:kern w:val="0"/>
                <w:sz w:val="22"/>
              </w:rPr>
              <w:t>4,624,872.11</w:t>
            </w:r>
          </w:p>
        </w:tc>
      </w:tr>
      <w:tr w:rsidR="00072977" w:rsidRPr="00072977"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hint="eastAsia"/>
                <w:color w:val="000000"/>
                <w:kern w:val="0"/>
                <w:sz w:val="22"/>
              </w:rPr>
              <w:t>7</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其他调整项</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A01C2A" w:rsidRDefault="000D5846" w:rsidP="00A01C2A">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w:t>
            </w:r>
            <w:r w:rsidRPr="000D5846">
              <w:rPr>
                <w:rFonts w:ascii="宋体" w:eastAsia="宋体" w:hAnsi="宋体" w:cs="宋体"/>
                <w:color w:val="000000"/>
                <w:kern w:val="0"/>
                <w:sz w:val="22"/>
              </w:rPr>
              <w:t>14,886.17</w:t>
            </w:r>
            <w:r>
              <w:rPr>
                <w:rFonts w:ascii="宋体" w:eastAsia="宋体" w:hAnsi="宋体" w:cs="宋体" w:hint="eastAsia"/>
                <w:color w:val="000000"/>
                <w:kern w:val="0"/>
                <w:sz w:val="22"/>
              </w:rPr>
              <w:t>)</w:t>
            </w:r>
          </w:p>
        </w:tc>
      </w:tr>
      <w:tr w:rsidR="00072977" w:rsidRPr="00072977"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hint="eastAsia"/>
                <w:color w:val="000000"/>
                <w:kern w:val="0"/>
                <w:sz w:val="22"/>
              </w:rPr>
              <w:t>8</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调整后的表内外资产余额</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A01C2A" w:rsidRDefault="003C0233" w:rsidP="00A01C2A">
            <w:pPr>
              <w:widowControl/>
              <w:jc w:val="right"/>
              <w:rPr>
                <w:rFonts w:ascii="宋体" w:eastAsia="宋体" w:hAnsi="宋体" w:cs="宋体"/>
                <w:color w:val="000000"/>
                <w:kern w:val="0"/>
                <w:sz w:val="22"/>
              </w:rPr>
            </w:pPr>
            <w:r w:rsidRPr="003C0233">
              <w:rPr>
                <w:rFonts w:ascii="宋体" w:eastAsia="宋体" w:hAnsi="宋体" w:cs="宋体"/>
                <w:color w:val="000000"/>
                <w:kern w:val="0"/>
                <w:sz w:val="22"/>
              </w:rPr>
              <w:t xml:space="preserve">39,109,074.27 </w:t>
            </w:r>
            <w:r w:rsidR="00072977" w:rsidRPr="00A01C2A">
              <w:rPr>
                <w:rFonts w:ascii="宋体" w:eastAsia="宋体" w:hAnsi="宋体" w:cs="宋体" w:hint="eastAsia"/>
                <w:color w:val="000000"/>
                <w:kern w:val="0"/>
                <w:sz w:val="22"/>
              </w:rPr>
              <w:t xml:space="preserve"> </w:t>
            </w:r>
          </w:p>
        </w:tc>
      </w:tr>
    </w:tbl>
    <w:p w:rsidR="00072977" w:rsidRDefault="00072977" w:rsidP="00072977">
      <w:pPr>
        <w:jc w:val="left"/>
        <w:rPr>
          <w:sz w:val="20"/>
        </w:rPr>
      </w:pPr>
    </w:p>
    <w:p w:rsidR="00072977" w:rsidRDefault="00072977" w:rsidP="00072977">
      <w:pPr>
        <w:jc w:val="left"/>
        <w:rPr>
          <w:sz w:val="20"/>
        </w:rPr>
      </w:pPr>
    </w:p>
    <w:p w:rsidR="002F223A" w:rsidRDefault="002F223A" w:rsidP="002F223A">
      <w:pPr>
        <w:widowControl/>
        <w:jc w:val="left"/>
        <w:rPr>
          <w:b/>
          <w:sz w:val="24"/>
        </w:rPr>
      </w:pPr>
    </w:p>
    <w:p w:rsidR="00072977" w:rsidRPr="00A01C2A" w:rsidRDefault="00072977" w:rsidP="002F223A">
      <w:pPr>
        <w:widowControl/>
        <w:jc w:val="left"/>
        <w:rPr>
          <w:b/>
          <w:sz w:val="24"/>
        </w:rPr>
      </w:pPr>
      <w:r w:rsidRPr="00A01C2A">
        <w:rPr>
          <w:rFonts w:hint="eastAsia"/>
          <w:b/>
          <w:sz w:val="24"/>
        </w:rPr>
        <w:t>表</w:t>
      </w:r>
      <w:r w:rsidRPr="00A01C2A">
        <w:rPr>
          <w:rFonts w:hint="eastAsia"/>
          <w:b/>
          <w:sz w:val="24"/>
        </w:rPr>
        <w:t>2</w:t>
      </w:r>
      <w:r w:rsidRPr="00A01C2A">
        <w:rPr>
          <w:rFonts w:hint="eastAsia"/>
          <w:b/>
          <w:sz w:val="24"/>
        </w:rPr>
        <w:t>：杠杆</w:t>
      </w:r>
      <w:proofErr w:type="gramStart"/>
      <w:r w:rsidRPr="00A01C2A">
        <w:rPr>
          <w:rFonts w:hint="eastAsia"/>
          <w:b/>
          <w:sz w:val="24"/>
        </w:rPr>
        <w:t>率相关</w:t>
      </w:r>
      <w:proofErr w:type="gramEnd"/>
      <w:r w:rsidRPr="00A01C2A">
        <w:rPr>
          <w:rFonts w:hint="eastAsia"/>
          <w:b/>
          <w:sz w:val="24"/>
        </w:rPr>
        <w:t>明细数据</w:t>
      </w:r>
      <w:bookmarkStart w:id="0" w:name="_GoBack"/>
      <w:bookmarkEnd w:id="0"/>
    </w:p>
    <w:p w:rsidR="00800B47" w:rsidRDefault="00800B47" w:rsidP="00072977">
      <w:pPr>
        <w:jc w:val="left"/>
        <w:rPr>
          <w:sz w:val="20"/>
        </w:rPr>
      </w:pPr>
    </w:p>
    <w:p w:rsidR="00072977" w:rsidRPr="00800B47" w:rsidRDefault="00800B47" w:rsidP="00800B47">
      <w:pPr>
        <w:jc w:val="right"/>
        <w:rPr>
          <w:sz w:val="20"/>
        </w:rPr>
      </w:pPr>
      <w:r>
        <w:rPr>
          <w:rFonts w:hint="eastAsia"/>
          <w:sz w:val="20"/>
        </w:rPr>
        <w:t>单位：人民币万元、监管并表口径</w:t>
      </w:r>
    </w:p>
    <w:tbl>
      <w:tblPr>
        <w:tblW w:w="5000" w:type="pct"/>
        <w:tblLayout w:type="fixed"/>
        <w:tblLook w:val="04A0" w:firstRow="1" w:lastRow="0" w:firstColumn="1" w:lastColumn="0" w:noHBand="0" w:noVBand="1"/>
      </w:tblPr>
      <w:tblGrid>
        <w:gridCol w:w="960"/>
        <w:gridCol w:w="5812"/>
        <w:gridCol w:w="1750"/>
      </w:tblGrid>
      <w:tr w:rsidR="00072977" w:rsidRPr="00072977" w:rsidTr="00A01C2A">
        <w:trPr>
          <w:trHeight w:val="240"/>
          <w:tblHeader/>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b/>
                <w:color w:val="000000"/>
                <w:kern w:val="0"/>
                <w:sz w:val="22"/>
              </w:rPr>
            </w:pPr>
            <w:r w:rsidRPr="00A01C2A">
              <w:rPr>
                <w:rFonts w:ascii="宋体" w:eastAsia="宋体" w:hAnsi="宋体" w:cs="宋体" w:hint="eastAsia"/>
                <w:b/>
                <w:color w:val="000000"/>
                <w:kern w:val="0"/>
                <w:sz w:val="22"/>
              </w:rPr>
              <w:t>序号</w:t>
            </w:r>
          </w:p>
        </w:tc>
        <w:tc>
          <w:tcPr>
            <w:tcW w:w="3410" w:type="pct"/>
            <w:tcBorders>
              <w:top w:val="single" w:sz="4" w:space="0" w:color="auto"/>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b/>
                <w:color w:val="000000"/>
                <w:kern w:val="0"/>
                <w:sz w:val="22"/>
              </w:rPr>
            </w:pPr>
            <w:r w:rsidRPr="00A01C2A">
              <w:rPr>
                <w:rFonts w:ascii="宋体" w:eastAsia="宋体" w:hAnsi="宋体" w:cs="宋体" w:hint="eastAsia"/>
                <w:b/>
                <w:color w:val="000000"/>
                <w:kern w:val="0"/>
                <w:sz w:val="22"/>
              </w:rPr>
              <w:t>项目</w:t>
            </w:r>
          </w:p>
        </w:tc>
        <w:tc>
          <w:tcPr>
            <w:tcW w:w="1027" w:type="pct"/>
            <w:tcBorders>
              <w:top w:val="single" w:sz="4" w:space="0" w:color="auto"/>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center"/>
              <w:rPr>
                <w:rFonts w:ascii="宋体" w:eastAsia="宋体" w:hAnsi="宋体" w:cs="宋体"/>
                <w:b/>
                <w:color w:val="000000"/>
                <w:kern w:val="0"/>
                <w:sz w:val="22"/>
              </w:rPr>
            </w:pPr>
            <w:r w:rsidRPr="00A01C2A">
              <w:rPr>
                <w:rFonts w:ascii="宋体" w:eastAsia="宋体" w:hAnsi="宋体" w:cs="宋体" w:hint="eastAsia"/>
                <w:b/>
                <w:color w:val="000000"/>
                <w:kern w:val="0"/>
                <w:sz w:val="22"/>
              </w:rPr>
              <w:t>余额</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1</w:t>
            </w:r>
          </w:p>
        </w:tc>
        <w:tc>
          <w:tcPr>
            <w:tcW w:w="3410"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表内资产（除衍生产品和证券融资交易外）</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D31E59" w:rsidP="00A01C2A">
            <w:pPr>
              <w:widowControl/>
              <w:jc w:val="right"/>
              <w:rPr>
                <w:rFonts w:ascii="宋体" w:eastAsia="宋体" w:hAnsi="宋体" w:cs="宋体"/>
                <w:color w:val="000000"/>
                <w:kern w:val="0"/>
                <w:sz w:val="22"/>
              </w:rPr>
            </w:pPr>
            <w:r w:rsidRPr="00D31E59">
              <w:rPr>
                <w:rFonts w:ascii="宋体" w:eastAsia="宋体" w:hAnsi="宋体" w:cs="宋体"/>
                <w:color w:val="000000"/>
                <w:kern w:val="0"/>
                <w:sz w:val="22"/>
              </w:rPr>
              <w:t>33,352,378.90</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2</w:t>
            </w:r>
          </w:p>
        </w:tc>
        <w:tc>
          <w:tcPr>
            <w:tcW w:w="3410"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减：一级资本扣减项</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D31E59" w:rsidP="00A01C2A">
            <w:pPr>
              <w:widowControl/>
              <w:jc w:val="right"/>
              <w:rPr>
                <w:rFonts w:ascii="宋体" w:eastAsia="宋体" w:hAnsi="宋体" w:cs="宋体"/>
                <w:color w:val="000000"/>
                <w:kern w:val="0"/>
                <w:sz w:val="22"/>
              </w:rPr>
            </w:pPr>
            <w:r w:rsidRPr="00D31E59">
              <w:rPr>
                <w:rFonts w:ascii="宋体" w:eastAsia="宋体" w:hAnsi="宋体" w:cs="宋体"/>
                <w:color w:val="000000"/>
                <w:kern w:val="0"/>
                <w:sz w:val="22"/>
              </w:rPr>
              <w:t xml:space="preserve">14,886.17 </w:t>
            </w:r>
            <w:r w:rsidR="00072977" w:rsidRPr="00A01C2A">
              <w:rPr>
                <w:rFonts w:ascii="宋体" w:eastAsia="宋体" w:hAnsi="宋体" w:cs="宋体" w:hint="eastAsia"/>
                <w:color w:val="000000"/>
                <w:kern w:val="0"/>
                <w:sz w:val="22"/>
              </w:rPr>
              <w:t xml:space="preserve"> </w:t>
            </w:r>
          </w:p>
        </w:tc>
      </w:tr>
      <w:tr w:rsidR="00072977" w:rsidRPr="00A01C2A"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b/>
                <w:color w:val="000000"/>
                <w:kern w:val="0"/>
                <w:sz w:val="22"/>
              </w:rPr>
            </w:pPr>
            <w:r w:rsidRPr="00A01C2A">
              <w:rPr>
                <w:rFonts w:ascii="宋体" w:eastAsia="宋体" w:hAnsi="宋体" w:cs="宋体"/>
                <w:b/>
                <w:color w:val="000000"/>
                <w:kern w:val="0"/>
                <w:sz w:val="22"/>
              </w:rPr>
              <w:t>3</w:t>
            </w:r>
          </w:p>
        </w:tc>
        <w:tc>
          <w:tcPr>
            <w:tcW w:w="3410"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left"/>
              <w:rPr>
                <w:rFonts w:ascii="宋体" w:eastAsia="宋体" w:hAnsi="宋体" w:cs="宋体"/>
                <w:b/>
                <w:color w:val="000000"/>
                <w:kern w:val="0"/>
                <w:sz w:val="22"/>
              </w:rPr>
            </w:pPr>
            <w:r w:rsidRPr="00A01C2A">
              <w:rPr>
                <w:rFonts w:ascii="宋体" w:eastAsia="宋体" w:hAnsi="宋体" w:cs="宋体" w:hint="eastAsia"/>
                <w:b/>
                <w:color w:val="000000"/>
                <w:kern w:val="0"/>
                <w:sz w:val="22"/>
              </w:rPr>
              <w:t>调整后的表内资产余额（衍生产品和证券融资交易除外）</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D31E59" w:rsidP="00A01C2A">
            <w:pPr>
              <w:widowControl/>
              <w:jc w:val="right"/>
              <w:rPr>
                <w:rFonts w:ascii="宋体" w:eastAsia="宋体" w:hAnsi="宋体" w:cs="宋体"/>
                <w:b/>
                <w:color w:val="000000"/>
                <w:kern w:val="0"/>
                <w:sz w:val="22"/>
              </w:rPr>
            </w:pPr>
            <w:r w:rsidRPr="00D31E59">
              <w:rPr>
                <w:rFonts w:ascii="宋体" w:eastAsia="宋体" w:hAnsi="宋体" w:cs="宋体"/>
                <w:b/>
                <w:color w:val="000000"/>
                <w:kern w:val="0"/>
                <w:sz w:val="22"/>
              </w:rPr>
              <w:t xml:space="preserve">33,337,492.73 </w:t>
            </w:r>
            <w:r w:rsidR="00072977" w:rsidRPr="00A01C2A">
              <w:rPr>
                <w:rFonts w:ascii="宋体" w:eastAsia="宋体" w:hAnsi="宋体" w:cs="宋体" w:hint="eastAsia"/>
                <w:b/>
                <w:color w:val="000000"/>
                <w:kern w:val="0"/>
                <w:sz w:val="22"/>
              </w:rPr>
              <w:t xml:space="preserve"> </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4</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各类衍生产品的重置成本（扣除合格保证金）</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D31E59" w:rsidP="00A01C2A">
            <w:pPr>
              <w:widowControl/>
              <w:jc w:val="right"/>
              <w:rPr>
                <w:rFonts w:ascii="宋体" w:eastAsia="宋体" w:hAnsi="宋体" w:cs="宋体"/>
                <w:color w:val="000000"/>
                <w:kern w:val="0"/>
                <w:sz w:val="22"/>
              </w:rPr>
            </w:pPr>
            <w:r w:rsidRPr="00D31E59">
              <w:rPr>
                <w:rFonts w:ascii="宋体" w:eastAsia="宋体" w:hAnsi="宋体" w:cs="宋体"/>
                <w:color w:val="000000"/>
                <w:kern w:val="0"/>
                <w:sz w:val="22"/>
              </w:rPr>
              <w:t xml:space="preserve">25,280.60 </w:t>
            </w:r>
            <w:r w:rsidR="00072977" w:rsidRPr="00A01C2A">
              <w:rPr>
                <w:rFonts w:ascii="宋体" w:eastAsia="宋体" w:hAnsi="宋体" w:cs="宋体" w:hint="eastAsia"/>
                <w:color w:val="000000"/>
                <w:kern w:val="0"/>
                <w:sz w:val="22"/>
              </w:rPr>
              <w:t xml:space="preserve"> </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5</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各类衍生产品的潜在风险暴露</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D31E59" w:rsidP="00A01C2A">
            <w:pPr>
              <w:widowControl/>
              <w:jc w:val="right"/>
              <w:rPr>
                <w:rFonts w:ascii="宋体" w:eastAsia="宋体" w:hAnsi="宋体" w:cs="宋体"/>
                <w:color w:val="000000"/>
                <w:kern w:val="0"/>
                <w:sz w:val="22"/>
              </w:rPr>
            </w:pPr>
            <w:r w:rsidRPr="00D31E59">
              <w:rPr>
                <w:rFonts w:ascii="宋体" w:eastAsia="宋体" w:hAnsi="宋体" w:cs="宋体"/>
                <w:color w:val="000000"/>
                <w:kern w:val="0"/>
                <w:sz w:val="22"/>
              </w:rPr>
              <w:t xml:space="preserve">60,366.07 </w:t>
            </w:r>
            <w:r w:rsidR="00072977" w:rsidRPr="00A01C2A">
              <w:rPr>
                <w:rFonts w:ascii="宋体" w:eastAsia="宋体" w:hAnsi="宋体" w:cs="宋体" w:hint="eastAsia"/>
                <w:color w:val="000000"/>
                <w:kern w:val="0"/>
                <w:sz w:val="22"/>
              </w:rPr>
              <w:t xml:space="preserve"> </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6</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已从资产负债表中扣除的抵质押品总和</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right"/>
              <w:rPr>
                <w:rFonts w:ascii="宋体" w:eastAsia="宋体" w:hAnsi="宋体" w:cs="宋体"/>
                <w:color w:val="000000"/>
                <w:kern w:val="0"/>
                <w:sz w:val="22"/>
              </w:rPr>
            </w:pPr>
            <w:r w:rsidRPr="00A01C2A">
              <w:rPr>
                <w:rFonts w:ascii="宋体" w:eastAsia="宋体" w:hAnsi="宋体" w:cs="宋体" w:hint="eastAsia"/>
                <w:color w:val="000000"/>
                <w:kern w:val="0"/>
                <w:sz w:val="22"/>
              </w:rPr>
              <w:t xml:space="preserve">-　</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7</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减：因提供合格保证金形成的应收资产</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right"/>
              <w:rPr>
                <w:rFonts w:ascii="宋体" w:eastAsia="宋体" w:hAnsi="宋体" w:cs="宋体"/>
                <w:color w:val="000000"/>
                <w:kern w:val="0"/>
                <w:sz w:val="22"/>
              </w:rPr>
            </w:pPr>
            <w:r w:rsidRPr="00A01C2A">
              <w:rPr>
                <w:rFonts w:ascii="宋体" w:eastAsia="宋体" w:hAnsi="宋体" w:cs="宋体" w:hint="eastAsia"/>
                <w:color w:val="000000"/>
                <w:kern w:val="0"/>
                <w:sz w:val="22"/>
              </w:rPr>
              <w:t xml:space="preserve">-　</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8</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减：为客户提供清算服务时与中央交易对手交易形成的衍生产品资产余额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right"/>
              <w:rPr>
                <w:rFonts w:ascii="宋体" w:eastAsia="宋体" w:hAnsi="宋体" w:cs="宋体"/>
                <w:color w:val="000000"/>
                <w:kern w:val="0"/>
                <w:sz w:val="22"/>
              </w:rPr>
            </w:pPr>
            <w:r w:rsidRPr="00A01C2A">
              <w:rPr>
                <w:rFonts w:ascii="宋体" w:eastAsia="宋体" w:hAnsi="宋体" w:cs="宋体" w:hint="eastAsia"/>
                <w:color w:val="000000"/>
                <w:kern w:val="0"/>
                <w:sz w:val="22"/>
              </w:rPr>
              <w:t xml:space="preserve">-　</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9</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卖出信用衍生产品的名义本金</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right"/>
              <w:rPr>
                <w:rFonts w:ascii="宋体" w:eastAsia="宋体" w:hAnsi="宋体" w:cs="宋体"/>
                <w:color w:val="000000"/>
                <w:kern w:val="0"/>
                <w:sz w:val="22"/>
              </w:rPr>
            </w:pPr>
            <w:r w:rsidRPr="00A01C2A">
              <w:rPr>
                <w:rFonts w:ascii="宋体" w:eastAsia="宋体" w:hAnsi="宋体" w:cs="宋体" w:hint="eastAsia"/>
                <w:color w:val="000000"/>
                <w:kern w:val="0"/>
                <w:sz w:val="22"/>
              </w:rPr>
              <w:t xml:space="preserve">-　</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10</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减：可扣除的卖出信用衍生产品资产余额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right"/>
              <w:rPr>
                <w:rFonts w:ascii="宋体" w:eastAsia="宋体" w:hAnsi="宋体" w:cs="宋体"/>
                <w:color w:val="000000"/>
                <w:kern w:val="0"/>
                <w:sz w:val="22"/>
              </w:rPr>
            </w:pPr>
            <w:r w:rsidRPr="00A01C2A">
              <w:rPr>
                <w:rFonts w:ascii="宋体" w:eastAsia="宋体" w:hAnsi="宋体" w:cs="宋体" w:hint="eastAsia"/>
                <w:color w:val="000000"/>
                <w:kern w:val="0"/>
                <w:sz w:val="22"/>
              </w:rPr>
              <w:t xml:space="preserve">-　</w:t>
            </w:r>
          </w:p>
        </w:tc>
      </w:tr>
      <w:tr w:rsidR="00072977" w:rsidRPr="00A01C2A"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b/>
                <w:color w:val="000000"/>
                <w:kern w:val="0"/>
                <w:sz w:val="22"/>
              </w:rPr>
            </w:pPr>
            <w:r w:rsidRPr="00A01C2A">
              <w:rPr>
                <w:rFonts w:ascii="宋体" w:eastAsia="宋体" w:hAnsi="宋体" w:cs="宋体"/>
                <w:b/>
                <w:color w:val="000000"/>
                <w:kern w:val="0"/>
                <w:sz w:val="22"/>
              </w:rPr>
              <w:t>11</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b/>
                <w:color w:val="000000"/>
                <w:kern w:val="0"/>
                <w:sz w:val="22"/>
              </w:rPr>
            </w:pPr>
            <w:r w:rsidRPr="00A01C2A">
              <w:rPr>
                <w:rFonts w:ascii="宋体" w:eastAsia="宋体" w:hAnsi="宋体" w:cs="宋体" w:hint="eastAsia"/>
                <w:b/>
                <w:color w:val="000000"/>
                <w:kern w:val="0"/>
                <w:sz w:val="22"/>
              </w:rPr>
              <w:t>衍生产品资产余额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D31E59" w:rsidP="00A01C2A">
            <w:pPr>
              <w:widowControl/>
              <w:jc w:val="right"/>
              <w:rPr>
                <w:rFonts w:ascii="宋体" w:eastAsia="宋体" w:hAnsi="宋体" w:cs="宋体"/>
                <w:b/>
                <w:color w:val="000000"/>
                <w:kern w:val="0"/>
                <w:sz w:val="22"/>
              </w:rPr>
            </w:pPr>
            <w:r w:rsidRPr="00D31E59">
              <w:rPr>
                <w:rFonts w:ascii="宋体" w:eastAsia="宋体" w:hAnsi="宋体" w:cs="宋体"/>
                <w:b/>
                <w:color w:val="000000"/>
                <w:kern w:val="0"/>
                <w:sz w:val="22"/>
              </w:rPr>
              <w:t xml:space="preserve">85,646.67 </w:t>
            </w:r>
            <w:r w:rsidR="00072977" w:rsidRPr="00A01C2A">
              <w:rPr>
                <w:rFonts w:ascii="宋体" w:eastAsia="宋体" w:hAnsi="宋体" w:cs="宋体" w:hint="eastAsia"/>
                <w:b/>
                <w:color w:val="000000"/>
                <w:kern w:val="0"/>
                <w:sz w:val="22"/>
              </w:rPr>
              <w:t xml:space="preserve"> </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12</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证券融资交易的会计资产余额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D31E59" w:rsidP="00A01C2A">
            <w:pPr>
              <w:widowControl/>
              <w:jc w:val="right"/>
              <w:rPr>
                <w:rFonts w:ascii="宋体" w:eastAsia="宋体" w:hAnsi="宋体" w:cs="宋体"/>
                <w:color w:val="000000"/>
                <w:kern w:val="0"/>
                <w:sz w:val="22"/>
              </w:rPr>
            </w:pPr>
            <w:r w:rsidRPr="00D31E59">
              <w:rPr>
                <w:rFonts w:ascii="宋体" w:eastAsia="宋体" w:hAnsi="宋体" w:cs="宋体"/>
                <w:color w:val="000000"/>
                <w:kern w:val="0"/>
                <w:sz w:val="22"/>
              </w:rPr>
              <w:t>975,316.63</w:t>
            </w:r>
            <w:r w:rsidR="00072977" w:rsidRPr="00A01C2A">
              <w:rPr>
                <w:rFonts w:ascii="宋体" w:eastAsia="宋体" w:hAnsi="宋体" w:cs="宋体" w:hint="eastAsia"/>
                <w:color w:val="000000"/>
                <w:kern w:val="0"/>
                <w:sz w:val="22"/>
              </w:rPr>
              <w:t xml:space="preserve">　</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13</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减：可以扣除的证券融资交易资产余额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right"/>
              <w:rPr>
                <w:rFonts w:ascii="宋体" w:eastAsia="宋体" w:hAnsi="宋体" w:cs="宋体"/>
                <w:color w:val="000000"/>
                <w:kern w:val="0"/>
                <w:sz w:val="22"/>
              </w:rPr>
            </w:pPr>
            <w:r w:rsidRPr="00A01C2A">
              <w:rPr>
                <w:rFonts w:ascii="宋体" w:eastAsia="宋体" w:hAnsi="宋体" w:cs="宋体" w:hint="eastAsia"/>
                <w:color w:val="000000"/>
                <w:kern w:val="0"/>
                <w:sz w:val="22"/>
              </w:rPr>
              <w:t xml:space="preserve">-　</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14</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证券融资交易的交易对手信用风险暴露</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D31E59" w:rsidP="00A01C2A">
            <w:pPr>
              <w:widowControl/>
              <w:jc w:val="right"/>
              <w:rPr>
                <w:rFonts w:ascii="宋体" w:eastAsia="宋体" w:hAnsi="宋体" w:cs="宋体"/>
                <w:color w:val="000000"/>
                <w:kern w:val="0"/>
                <w:sz w:val="22"/>
              </w:rPr>
            </w:pPr>
            <w:r w:rsidRPr="00D31E59">
              <w:rPr>
                <w:rFonts w:ascii="宋体" w:eastAsia="宋体" w:hAnsi="宋体" w:cs="宋体"/>
                <w:color w:val="000000"/>
                <w:kern w:val="0"/>
                <w:sz w:val="22"/>
              </w:rPr>
              <w:t>85,746.13</w:t>
            </w:r>
            <w:r w:rsidR="00072977" w:rsidRPr="00A01C2A">
              <w:rPr>
                <w:rFonts w:ascii="宋体" w:eastAsia="宋体" w:hAnsi="宋体" w:cs="宋体" w:hint="eastAsia"/>
                <w:color w:val="000000"/>
                <w:kern w:val="0"/>
                <w:sz w:val="22"/>
              </w:rPr>
              <w:t xml:space="preserve">　</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15</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代理证券融资交易形成的证券融资交易资产余额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072977" w:rsidP="00A01C2A">
            <w:pPr>
              <w:widowControl/>
              <w:jc w:val="right"/>
              <w:rPr>
                <w:rFonts w:ascii="宋体" w:eastAsia="宋体" w:hAnsi="宋体" w:cs="宋体"/>
                <w:color w:val="000000"/>
                <w:kern w:val="0"/>
                <w:sz w:val="22"/>
              </w:rPr>
            </w:pPr>
            <w:r w:rsidRPr="00A01C2A">
              <w:rPr>
                <w:rFonts w:ascii="宋体" w:eastAsia="宋体" w:hAnsi="宋体" w:cs="宋体" w:hint="eastAsia"/>
                <w:color w:val="000000"/>
                <w:kern w:val="0"/>
                <w:sz w:val="22"/>
              </w:rPr>
              <w:t xml:space="preserve">-　</w:t>
            </w:r>
          </w:p>
        </w:tc>
      </w:tr>
      <w:tr w:rsidR="00072977" w:rsidRPr="00A01C2A"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b/>
                <w:color w:val="000000"/>
                <w:kern w:val="0"/>
                <w:sz w:val="22"/>
              </w:rPr>
            </w:pPr>
            <w:r w:rsidRPr="00A01C2A">
              <w:rPr>
                <w:rFonts w:ascii="宋体" w:eastAsia="宋体" w:hAnsi="宋体" w:cs="宋体"/>
                <w:b/>
                <w:color w:val="000000"/>
                <w:kern w:val="0"/>
                <w:sz w:val="22"/>
              </w:rPr>
              <w:t>16</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b/>
                <w:color w:val="000000"/>
                <w:kern w:val="0"/>
                <w:sz w:val="22"/>
              </w:rPr>
            </w:pPr>
            <w:r w:rsidRPr="00A01C2A">
              <w:rPr>
                <w:rFonts w:ascii="宋体" w:eastAsia="宋体" w:hAnsi="宋体" w:cs="宋体" w:hint="eastAsia"/>
                <w:b/>
                <w:color w:val="000000"/>
                <w:kern w:val="0"/>
                <w:sz w:val="22"/>
              </w:rPr>
              <w:t>证券融资交易资产余额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D31E59" w:rsidP="00A01C2A">
            <w:pPr>
              <w:widowControl/>
              <w:jc w:val="right"/>
              <w:rPr>
                <w:rFonts w:ascii="宋体" w:eastAsia="宋体" w:hAnsi="宋体" w:cs="宋体"/>
                <w:b/>
                <w:color w:val="000000"/>
                <w:kern w:val="0"/>
                <w:sz w:val="22"/>
              </w:rPr>
            </w:pPr>
            <w:r w:rsidRPr="00D31E59">
              <w:rPr>
                <w:rFonts w:ascii="宋体" w:eastAsia="宋体" w:hAnsi="宋体" w:cs="宋体"/>
                <w:b/>
                <w:color w:val="000000"/>
                <w:kern w:val="0"/>
                <w:sz w:val="22"/>
              </w:rPr>
              <w:t>1,061,062.76</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17</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表外项目余额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F85BE5" w:rsidP="00A01C2A">
            <w:pPr>
              <w:widowControl/>
              <w:jc w:val="right"/>
              <w:rPr>
                <w:rFonts w:ascii="宋体" w:eastAsia="宋体" w:hAnsi="宋体" w:cs="宋体"/>
                <w:color w:val="000000"/>
                <w:kern w:val="0"/>
                <w:sz w:val="22"/>
              </w:rPr>
            </w:pPr>
            <w:r w:rsidRPr="00F85BE5">
              <w:rPr>
                <w:rFonts w:ascii="宋体" w:eastAsia="宋体" w:hAnsi="宋体" w:cs="宋体"/>
                <w:color w:val="000000"/>
                <w:kern w:val="0"/>
                <w:sz w:val="22"/>
              </w:rPr>
              <w:t xml:space="preserve">6,988,382.19 </w:t>
            </w:r>
            <w:r w:rsidR="00072977" w:rsidRPr="00A01C2A">
              <w:rPr>
                <w:rFonts w:ascii="宋体" w:eastAsia="宋体" w:hAnsi="宋体" w:cs="宋体" w:hint="eastAsia"/>
                <w:color w:val="000000"/>
                <w:kern w:val="0"/>
                <w:sz w:val="22"/>
              </w:rPr>
              <w:t xml:space="preserve"> </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lastRenderedPageBreak/>
              <w:t>18</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减：因信用转换减少的表外项目余额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F85BE5" w:rsidP="00A01C2A">
            <w:pPr>
              <w:widowControl/>
              <w:jc w:val="right"/>
              <w:rPr>
                <w:rFonts w:ascii="宋体" w:eastAsia="宋体" w:hAnsi="宋体" w:cs="宋体"/>
                <w:color w:val="000000"/>
                <w:kern w:val="0"/>
                <w:sz w:val="22"/>
              </w:rPr>
            </w:pPr>
            <w:r w:rsidRPr="00F85BE5">
              <w:rPr>
                <w:rFonts w:ascii="宋体" w:eastAsia="宋体" w:hAnsi="宋体" w:cs="宋体"/>
                <w:color w:val="000000"/>
                <w:kern w:val="0"/>
                <w:sz w:val="22"/>
              </w:rPr>
              <w:t xml:space="preserve">2,363,510.08 </w:t>
            </w:r>
            <w:r w:rsidR="00072977" w:rsidRPr="00A01C2A">
              <w:rPr>
                <w:rFonts w:ascii="宋体" w:eastAsia="宋体" w:hAnsi="宋体" w:cs="宋体" w:hint="eastAsia"/>
                <w:color w:val="000000"/>
                <w:kern w:val="0"/>
                <w:sz w:val="22"/>
              </w:rPr>
              <w:t xml:space="preserve"> </w:t>
            </w:r>
          </w:p>
        </w:tc>
      </w:tr>
      <w:tr w:rsidR="00072977" w:rsidRPr="00A01C2A"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b/>
                <w:color w:val="000000"/>
                <w:kern w:val="0"/>
                <w:sz w:val="22"/>
              </w:rPr>
            </w:pPr>
            <w:r w:rsidRPr="00A01C2A">
              <w:rPr>
                <w:rFonts w:ascii="宋体" w:eastAsia="宋体" w:hAnsi="宋体" w:cs="宋体"/>
                <w:b/>
                <w:color w:val="000000"/>
                <w:kern w:val="0"/>
                <w:sz w:val="22"/>
              </w:rPr>
              <w:t>19</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b/>
                <w:color w:val="000000"/>
                <w:kern w:val="0"/>
                <w:sz w:val="22"/>
              </w:rPr>
            </w:pPr>
            <w:r w:rsidRPr="00A01C2A">
              <w:rPr>
                <w:rFonts w:ascii="宋体" w:eastAsia="宋体" w:hAnsi="宋体" w:cs="宋体" w:hint="eastAsia"/>
                <w:b/>
                <w:color w:val="000000"/>
                <w:kern w:val="0"/>
                <w:sz w:val="22"/>
              </w:rPr>
              <w:t>调整后的表外项目余额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F85BE5" w:rsidP="00A01C2A">
            <w:pPr>
              <w:widowControl/>
              <w:jc w:val="right"/>
              <w:rPr>
                <w:rFonts w:ascii="宋体" w:eastAsia="宋体" w:hAnsi="宋体" w:cs="宋体"/>
                <w:b/>
                <w:color w:val="000000"/>
                <w:kern w:val="0"/>
                <w:sz w:val="22"/>
              </w:rPr>
            </w:pPr>
            <w:r w:rsidRPr="00F85BE5">
              <w:rPr>
                <w:rFonts w:ascii="宋体" w:eastAsia="宋体" w:hAnsi="宋体" w:cs="宋体"/>
                <w:b/>
                <w:color w:val="000000"/>
                <w:kern w:val="0"/>
                <w:sz w:val="22"/>
              </w:rPr>
              <w:t>4,624,872.11</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20</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一级资本净额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F85BE5" w:rsidP="00A01C2A">
            <w:pPr>
              <w:widowControl/>
              <w:jc w:val="right"/>
              <w:rPr>
                <w:rFonts w:ascii="宋体" w:eastAsia="宋体" w:hAnsi="宋体" w:cs="宋体"/>
                <w:color w:val="000000"/>
                <w:kern w:val="0"/>
                <w:sz w:val="22"/>
              </w:rPr>
            </w:pPr>
            <w:r w:rsidRPr="00F85BE5">
              <w:rPr>
                <w:rFonts w:ascii="宋体" w:eastAsia="宋体" w:hAnsi="宋体" w:cs="宋体"/>
                <w:color w:val="000000"/>
                <w:kern w:val="0"/>
                <w:sz w:val="22"/>
              </w:rPr>
              <w:t xml:space="preserve">2,833,319.00 </w:t>
            </w:r>
            <w:r w:rsidR="00072977" w:rsidRPr="00A01C2A">
              <w:rPr>
                <w:rFonts w:ascii="宋体" w:eastAsia="宋体" w:hAnsi="宋体" w:cs="宋体" w:hint="eastAsia"/>
                <w:color w:val="000000"/>
                <w:kern w:val="0"/>
                <w:sz w:val="22"/>
              </w:rPr>
              <w:t xml:space="preserve"> </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21</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调整后的表内外资产余额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0D5846" w:rsidP="00F85BE5">
            <w:pPr>
              <w:widowControl/>
              <w:jc w:val="right"/>
              <w:rPr>
                <w:rFonts w:ascii="宋体" w:eastAsia="宋体" w:hAnsi="宋体" w:cs="宋体"/>
                <w:color w:val="000000"/>
                <w:kern w:val="0"/>
                <w:sz w:val="22"/>
              </w:rPr>
            </w:pPr>
            <w:r w:rsidRPr="000D5846">
              <w:rPr>
                <w:rFonts w:ascii="宋体" w:eastAsia="宋体" w:hAnsi="宋体" w:cs="宋体"/>
                <w:color w:val="000000"/>
                <w:kern w:val="0"/>
                <w:sz w:val="22"/>
              </w:rPr>
              <w:t xml:space="preserve">39,109,074.27 </w:t>
            </w:r>
            <w:r w:rsidR="00072977" w:rsidRPr="00A01C2A">
              <w:rPr>
                <w:rFonts w:ascii="宋体" w:eastAsia="宋体" w:hAnsi="宋体" w:cs="宋体" w:hint="eastAsia"/>
                <w:color w:val="000000"/>
                <w:kern w:val="0"/>
                <w:sz w:val="22"/>
              </w:rPr>
              <w:t xml:space="preserve"> </w:t>
            </w:r>
          </w:p>
        </w:tc>
      </w:tr>
      <w:tr w:rsidR="00072977" w:rsidRPr="00072977"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A01C2A" w:rsidRDefault="00072977" w:rsidP="00A01C2A">
            <w:pPr>
              <w:widowControl/>
              <w:jc w:val="center"/>
              <w:rPr>
                <w:rFonts w:ascii="宋体" w:eastAsia="宋体" w:hAnsi="宋体" w:cs="宋体"/>
                <w:color w:val="000000"/>
                <w:kern w:val="0"/>
                <w:sz w:val="22"/>
              </w:rPr>
            </w:pPr>
            <w:r w:rsidRPr="00A01C2A">
              <w:rPr>
                <w:rFonts w:ascii="宋体" w:eastAsia="宋体" w:hAnsi="宋体" w:cs="宋体"/>
                <w:color w:val="000000"/>
                <w:kern w:val="0"/>
                <w:sz w:val="22"/>
              </w:rPr>
              <w:t>22</w:t>
            </w:r>
          </w:p>
        </w:tc>
        <w:tc>
          <w:tcPr>
            <w:tcW w:w="3410" w:type="pct"/>
            <w:tcBorders>
              <w:top w:val="nil"/>
              <w:left w:val="nil"/>
              <w:bottom w:val="single" w:sz="4" w:space="0" w:color="auto"/>
              <w:right w:val="single" w:sz="4" w:space="0" w:color="auto"/>
            </w:tcBorders>
            <w:shd w:val="clear" w:color="auto" w:fill="auto"/>
            <w:vAlign w:val="center"/>
            <w:hideMark/>
          </w:tcPr>
          <w:p w:rsidR="00072977" w:rsidRPr="00A01C2A" w:rsidRDefault="00072977" w:rsidP="00A01C2A">
            <w:pPr>
              <w:widowControl/>
              <w:jc w:val="left"/>
              <w:rPr>
                <w:rFonts w:ascii="宋体" w:eastAsia="宋体" w:hAnsi="宋体" w:cs="宋体"/>
                <w:color w:val="000000"/>
                <w:kern w:val="0"/>
                <w:sz w:val="22"/>
              </w:rPr>
            </w:pPr>
            <w:r w:rsidRPr="00A01C2A">
              <w:rPr>
                <w:rFonts w:ascii="宋体" w:eastAsia="宋体" w:hAnsi="宋体" w:cs="宋体" w:hint="eastAsia"/>
                <w:color w:val="000000"/>
                <w:kern w:val="0"/>
                <w:sz w:val="22"/>
              </w:rPr>
              <w:t>杠杆率</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A01C2A" w:rsidRDefault="00F85BE5" w:rsidP="00A01C2A">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7.24</w:t>
            </w:r>
            <w:r w:rsidR="00072977" w:rsidRPr="00A01C2A">
              <w:rPr>
                <w:rFonts w:ascii="宋体" w:eastAsia="宋体" w:hAnsi="宋体" w:cs="宋体" w:hint="eastAsia"/>
                <w:color w:val="000000"/>
                <w:kern w:val="0"/>
                <w:sz w:val="22"/>
              </w:rPr>
              <w:t>%</w:t>
            </w:r>
          </w:p>
        </w:tc>
      </w:tr>
    </w:tbl>
    <w:p w:rsidR="00072977" w:rsidRPr="00072977" w:rsidRDefault="00072977" w:rsidP="00072977">
      <w:pPr>
        <w:jc w:val="left"/>
        <w:rPr>
          <w:sz w:val="20"/>
        </w:rPr>
      </w:pPr>
    </w:p>
    <w:sectPr w:rsidR="00072977" w:rsidRPr="000729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C01" w:rsidRDefault="00917C01" w:rsidP="00072977">
      <w:r>
        <w:separator/>
      </w:r>
    </w:p>
  </w:endnote>
  <w:endnote w:type="continuationSeparator" w:id="0">
    <w:p w:rsidR="00917C01" w:rsidRDefault="00917C01" w:rsidP="0007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C01" w:rsidRDefault="00917C01" w:rsidP="00072977">
      <w:r>
        <w:separator/>
      </w:r>
    </w:p>
  </w:footnote>
  <w:footnote w:type="continuationSeparator" w:id="0">
    <w:p w:rsidR="00917C01" w:rsidRDefault="00917C01" w:rsidP="00072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F9"/>
    <w:rsid w:val="00012CBB"/>
    <w:rsid w:val="00072977"/>
    <w:rsid w:val="00076668"/>
    <w:rsid w:val="000C4A91"/>
    <w:rsid w:val="000D5846"/>
    <w:rsid w:val="00100398"/>
    <w:rsid w:val="001071C5"/>
    <w:rsid w:val="001452B6"/>
    <w:rsid w:val="00166B14"/>
    <w:rsid w:val="001A3F5F"/>
    <w:rsid w:val="001B369D"/>
    <w:rsid w:val="001B6D5E"/>
    <w:rsid w:val="00216C2A"/>
    <w:rsid w:val="00236087"/>
    <w:rsid w:val="00240703"/>
    <w:rsid w:val="002639F9"/>
    <w:rsid w:val="00273E3E"/>
    <w:rsid w:val="002900EF"/>
    <w:rsid w:val="002A157B"/>
    <w:rsid w:val="002E7849"/>
    <w:rsid w:val="002F223A"/>
    <w:rsid w:val="0031207A"/>
    <w:rsid w:val="0037049F"/>
    <w:rsid w:val="0039757E"/>
    <w:rsid w:val="003B56F9"/>
    <w:rsid w:val="003C0233"/>
    <w:rsid w:val="005279D3"/>
    <w:rsid w:val="005B29F7"/>
    <w:rsid w:val="005D478A"/>
    <w:rsid w:val="005F3A42"/>
    <w:rsid w:val="0060324C"/>
    <w:rsid w:val="00620C38"/>
    <w:rsid w:val="00687D72"/>
    <w:rsid w:val="00714C11"/>
    <w:rsid w:val="0073665E"/>
    <w:rsid w:val="0075793A"/>
    <w:rsid w:val="0077752C"/>
    <w:rsid w:val="007F3BF1"/>
    <w:rsid w:val="00800B47"/>
    <w:rsid w:val="008130C2"/>
    <w:rsid w:val="008822A6"/>
    <w:rsid w:val="008A7926"/>
    <w:rsid w:val="00917C01"/>
    <w:rsid w:val="00933642"/>
    <w:rsid w:val="00942E5E"/>
    <w:rsid w:val="009E3726"/>
    <w:rsid w:val="009E65F5"/>
    <w:rsid w:val="00A01C2A"/>
    <w:rsid w:val="00A757BF"/>
    <w:rsid w:val="00A9428A"/>
    <w:rsid w:val="00AA4961"/>
    <w:rsid w:val="00AF1129"/>
    <w:rsid w:val="00AF473E"/>
    <w:rsid w:val="00BF7233"/>
    <w:rsid w:val="00C1364A"/>
    <w:rsid w:val="00C15D22"/>
    <w:rsid w:val="00C74299"/>
    <w:rsid w:val="00CE6908"/>
    <w:rsid w:val="00CF4E12"/>
    <w:rsid w:val="00D31E59"/>
    <w:rsid w:val="00D7103B"/>
    <w:rsid w:val="00DD2F9B"/>
    <w:rsid w:val="00DE7D86"/>
    <w:rsid w:val="00DF04A2"/>
    <w:rsid w:val="00ED4CD5"/>
    <w:rsid w:val="00F85BE5"/>
    <w:rsid w:val="00F92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2977"/>
    <w:rPr>
      <w:sz w:val="18"/>
      <w:szCs w:val="18"/>
    </w:rPr>
  </w:style>
  <w:style w:type="paragraph" w:styleId="a4">
    <w:name w:val="footer"/>
    <w:basedOn w:val="a"/>
    <w:link w:val="Char0"/>
    <w:uiPriority w:val="99"/>
    <w:unhideWhenUsed/>
    <w:rsid w:val="00072977"/>
    <w:pPr>
      <w:tabs>
        <w:tab w:val="center" w:pos="4153"/>
        <w:tab w:val="right" w:pos="8306"/>
      </w:tabs>
      <w:snapToGrid w:val="0"/>
      <w:jc w:val="left"/>
    </w:pPr>
    <w:rPr>
      <w:sz w:val="18"/>
      <w:szCs w:val="18"/>
    </w:rPr>
  </w:style>
  <w:style w:type="character" w:customStyle="1" w:styleId="Char0">
    <w:name w:val="页脚 Char"/>
    <w:basedOn w:val="a0"/>
    <w:link w:val="a4"/>
    <w:uiPriority w:val="99"/>
    <w:rsid w:val="00072977"/>
    <w:rPr>
      <w:sz w:val="18"/>
      <w:szCs w:val="18"/>
    </w:rPr>
  </w:style>
  <w:style w:type="paragraph" w:customStyle="1" w:styleId="TableText">
    <w:name w:val="TableText"/>
    <w:basedOn w:val="a"/>
    <w:rsid w:val="005F3A42"/>
    <w:pPr>
      <w:widowControl/>
      <w:tabs>
        <w:tab w:val="decimal" w:pos="474"/>
        <w:tab w:val="left" w:pos="794"/>
      </w:tabs>
      <w:spacing w:before="40" w:after="40"/>
      <w:jc w:val="left"/>
    </w:pPr>
    <w:rPr>
      <w:rFonts w:ascii="Segoe UI" w:eastAsia="宋体" w:hAnsi="Segoe UI" w:cs="Times New Roman"/>
      <w:sz w:val="17"/>
      <w:szCs w:val="17"/>
    </w:rPr>
  </w:style>
  <w:style w:type="paragraph" w:customStyle="1" w:styleId="TableColumnHeading">
    <w:name w:val="TableColumnHeading"/>
    <w:basedOn w:val="a"/>
    <w:rsid w:val="005F3A42"/>
    <w:pPr>
      <w:widowControl/>
      <w:tabs>
        <w:tab w:val="left" w:pos="794"/>
      </w:tabs>
      <w:spacing w:before="40" w:after="40"/>
      <w:jc w:val="center"/>
    </w:pPr>
    <w:rPr>
      <w:rFonts w:ascii="Segoe UI" w:eastAsia="宋体" w:hAnsi="Segoe UI"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2977"/>
    <w:rPr>
      <w:sz w:val="18"/>
      <w:szCs w:val="18"/>
    </w:rPr>
  </w:style>
  <w:style w:type="paragraph" w:styleId="a4">
    <w:name w:val="footer"/>
    <w:basedOn w:val="a"/>
    <w:link w:val="Char0"/>
    <w:uiPriority w:val="99"/>
    <w:unhideWhenUsed/>
    <w:rsid w:val="00072977"/>
    <w:pPr>
      <w:tabs>
        <w:tab w:val="center" w:pos="4153"/>
        <w:tab w:val="right" w:pos="8306"/>
      </w:tabs>
      <w:snapToGrid w:val="0"/>
      <w:jc w:val="left"/>
    </w:pPr>
    <w:rPr>
      <w:sz w:val="18"/>
      <w:szCs w:val="18"/>
    </w:rPr>
  </w:style>
  <w:style w:type="character" w:customStyle="1" w:styleId="Char0">
    <w:name w:val="页脚 Char"/>
    <w:basedOn w:val="a0"/>
    <w:link w:val="a4"/>
    <w:uiPriority w:val="99"/>
    <w:rsid w:val="00072977"/>
    <w:rPr>
      <w:sz w:val="18"/>
      <w:szCs w:val="18"/>
    </w:rPr>
  </w:style>
  <w:style w:type="paragraph" w:customStyle="1" w:styleId="TableText">
    <w:name w:val="TableText"/>
    <w:basedOn w:val="a"/>
    <w:rsid w:val="005F3A42"/>
    <w:pPr>
      <w:widowControl/>
      <w:tabs>
        <w:tab w:val="decimal" w:pos="474"/>
        <w:tab w:val="left" w:pos="794"/>
      </w:tabs>
      <w:spacing w:before="40" w:after="40"/>
      <w:jc w:val="left"/>
    </w:pPr>
    <w:rPr>
      <w:rFonts w:ascii="Segoe UI" w:eastAsia="宋体" w:hAnsi="Segoe UI" w:cs="Times New Roman"/>
      <w:sz w:val="17"/>
      <w:szCs w:val="17"/>
    </w:rPr>
  </w:style>
  <w:style w:type="paragraph" w:customStyle="1" w:styleId="TableColumnHeading">
    <w:name w:val="TableColumnHeading"/>
    <w:basedOn w:val="a"/>
    <w:rsid w:val="005F3A42"/>
    <w:pPr>
      <w:widowControl/>
      <w:tabs>
        <w:tab w:val="left" w:pos="794"/>
      </w:tabs>
      <w:spacing w:before="40" w:after="40"/>
      <w:jc w:val="center"/>
    </w:pPr>
    <w:rPr>
      <w:rFonts w:ascii="Segoe UI" w:eastAsia="宋体" w:hAnsi="Segoe UI"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28645">
      <w:bodyDiv w:val="1"/>
      <w:marLeft w:val="0"/>
      <w:marRight w:val="0"/>
      <w:marTop w:val="0"/>
      <w:marBottom w:val="0"/>
      <w:divBdr>
        <w:top w:val="none" w:sz="0" w:space="0" w:color="auto"/>
        <w:left w:val="none" w:sz="0" w:space="0" w:color="auto"/>
        <w:bottom w:val="none" w:sz="0" w:space="0" w:color="auto"/>
        <w:right w:val="none" w:sz="0" w:space="0" w:color="auto"/>
      </w:divBdr>
    </w:div>
    <w:div w:id="464740894">
      <w:bodyDiv w:val="1"/>
      <w:marLeft w:val="0"/>
      <w:marRight w:val="0"/>
      <w:marTop w:val="0"/>
      <w:marBottom w:val="0"/>
      <w:divBdr>
        <w:top w:val="none" w:sz="0" w:space="0" w:color="auto"/>
        <w:left w:val="none" w:sz="0" w:space="0" w:color="auto"/>
        <w:bottom w:val="none" w:sz="0" w:space="0" w:color="auto"/>
        <w:right w:val="none" w:sz="0" w:space="0" w:color="auto"/>
      </w:divBdr>
    </w:div>
    <w:div w:id="84371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刘诗成</dc:creator>
  <cp:lastModifiedBy>刘诗成</cp:lastModifiedBy>
  <cp:revision>3</cp:revision>
  <dcterms:created xsi:type="dcterms:W3CDTF">2020-02-13T07:46:00Z</dcterms:created>
  <dcterms:modified xsi:type="dcterms:W3CDTF">2020-02-13T07:54:00Z</dcterms:modified>
</cp:coreProperties>
</file>