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4C" w:rsidRPr="00072977" w:rsidRDefault="00072977" w:rsidP="00072977">
      <w:pPr>
        <w:jc w:val="center"/>
        <w:rPr>
          <w:b/>
          <w:sz w:val="28"/>
        </w:rPr>
      </w:pPr>
      <w:r w:rsidRPr="00072977">
        <w:rPr>
          <w:rFonts w:hint="eastAsia"/>
          <w:b/>
          <w:sz w:val="28"/>
        </w:rPr>
        <w:t>苏州银行股份有限公司</w:t>
      </w:r>
    </w:p>
    <w:p w:rsidR="00072977" w:rsidRDefault="00072977" w:rsidP="00072977">
      <w:pPr>
        <w:jc w:val="center"/>
        <w:rPr>
          <w:b/>
          <w:sz w:val="28"/>
        </w:rPr>
      </w:pPr>
      <w:r w:rsidRPr="00072977">
        <w:rPr>
          <w:rFonts w:hint="eastAsia"/>
          <w:b/>
          <w:sz w:val="28"/>
        </w:rPr>
        <w:t>20</w:t>
      </w:r>
      <w:r w:rsidR="002852DA">
        <w:rPr>
          <w:rFonts w:hint="eastAsia"/>
          <w:b/>
          <w:sz w:val="28"/>
        </w:rPr>
        <w:t>20</w:t>
      </w:r>
      <w:r w:rsidRPr="00072977">
        <w:rPr>
          <w:rFonts w:hint="eastAsia"/>
          <w:b/>
          <w:sz w:val="28"/>
        </w:rPr>
        <w:t>年杠杆</w:t>
      </w:r>
      <w:proofErr w:type="gramStart"/>
      <w:r w:rsidRPr="00072977">
        <w:rPr>
          <w:rFonts w:hint="eastAsia"/>
          <w:b/>
          <w:sz w:val="28"/>
        </w:rPr>
        <w:t>率信息</w:t>
      </w:r>
      <w:proofErr w:type="gramEnd"/>
      <w:r w:rsidRPr="00072977">
        <w:rPr>
          <w:rFonts w:hint="eastAsia"/>
          <w:b/>
          <w:sz w:val="28"/>
        </w:rPr>
        <w:t>披露</w:t>
      </w:r>
    </w:p>
    <w:p w:rsidR="00072977" w:rsidRDefault="00072977" w:rsidP="00072977">
      <w:pPr>
        <w:jc w:val="left"/>
        <w:rPr>
          <w:sz w:val="20"/>
        </w:rPr>
      </w:pPr>
    </w:p>
    <w:p w:rsidR="00072977" w:rsidRPr="00A01C2A" w:rsidRDefault="00072977" w:rsidP="00072977">
      <w:pPr>
        <w:jc w:val="left"/>
        <w:rPr>
          <w:b/>
          <w:sz w:val="24"/>
        </w:rPr>
      </w:pPr>
      <w:r w:rsidRPr="00A01C2A">
        <w:rPr>
          <w:rFonts w:hint="eastAsia"/>
          <w:b/>
          <w:sz w:val="24"/>
        </w:rPr>
        <w:t>表</w:t>
      </w:r>
      <w:r w:rsidRPr="00A01C2A">
        <w:rPr>
          <w:rFonts w:hint="eastAsia"/>
          <w:b/>
          <w:sz w:val="24"/>
        </w:rPr>
        <w:t>1</w:t>
      </w:r>
      <w:r w:rsidRPr="00A01C2A">
        <w:rPr>
          <w:rFonts w:hint="eastAsia"/>
          <w:b/>
          <w:sz w:val="24"/>
        </w:rPr>
        <w:t>：杠杆率监管项目以及对应会计项目情况表</w:t>
      </w:r>
    </w:p>
    <w:p w:rsidR="00072977" w:rsidRDefault="00072977" w:rsidP="00072977">
      <w:pPr>
        <w:jc w:val="left"/>
        <w:rPr>
          <w:sz w:val="20"/>
        </w:rPr>
      </w:pPr>
    </w:p>
    <w:p w:rsidR="00072977" w:rsidRDefault="00072977" w:rsidP="00072977">
      <w:pPr>
        <w:jc w:val="right"/>
        <w:rPr>
          <w:sz w:val="20"/>
        </w:rPr>
      </w:pPr>
      <w:r>
        <w:rPr>
          <w:rFonts w:hint="eastAsia"/>
          <w:sz w:val="20"/>
        </w:rPr>
        <w:t>单位：人民币万元</w:t>
      </w:r>
    </w:p>
    <w:tbl>
      <w:tblPr>
        <w:tblW w:w="5000" w:type="pct"/>
        <w:tblLook w:val="04A0" w:firstRow="1" w:lastRow="0" w:firstColumn="1" w:lastColumn="0" w:noHBand="0" w:noVBand="1"/>
      </w:tblPr>
      <w:tblGrid>
        <w:gridCol w:w="981"/>
        <w:gridCol w:w="6148"/>
        <w:gridCol w:w="1591"/>
      </w:tblGrid>
      <w:tr w:rsidR="00072977" w:rsidRPr="00511EAB" w:rsidTr="00520708">
        <w:trPr>
          <w:trHeight w:val="240"/>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072977">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序号</w:t>
            </w:r>
          </w:p>
        </w:tc>
        <w:tc>
          <w:tcPr>
            <w:tcW w:w="3525" w:type="pct"/>
            <w:tcBorders>
              <w:top w:val="single" w:sz="4" w:space="0" w:color="auto"/>
              <w:left w:val="nil"/>
              <w:bottom w:val="single" w:sz="4" w:space="0" w:color="auto"/>
              <w:right w:val="single" w:sz="4" w:space="0" w:color="auto"/>
            </w:tcBorders>
            <w:shd w:val="clear" w:color="auto" w:fill="auto"/>
            <w:noWrap/>
            <w:vAlign w:val="center"/>
            <w:hideMark/>
          </w:tcPr>
          <w:p w:rsidR="00072977" w:rsidRPr="00511EAB" w:rsidRDefault="00072977" w:rsidP="00072977">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项目</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rsidR="00072977" w:rsidRPr="00511EAB" w:rsidRDefault="00072977" w:rsidP="00072977">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余额</w:t>
            </w:r>
          </w:p>
        </w:tc>
      </w:tr>
      <w:tr w:rsidR="009946DC" w:rsidRPr="00511EAB" w:rsidTr="00520708">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w:t>
            </w:r>
          </w:p>
        </w:tc>
        <w:tc>
          <w:tcPr>
            <w:tcW w:w="3525"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proofErr w:type="gramStart"/>
            <w:r w:rsidRPr="00511EAB">
              <w:rPr>
                <w:rFonts w:ascii="Times New Roman" w:eastAsia="宋体" w:hAnsi="Times New Roman" w:cs="Times New Roman"/>
                <w:color w:val="000000"/>
                <w:kern w:val="0"/>
                <w:sz w:val="22"/>
              </w:rPr>
              <w:t>并表总资产</w:t>
            </w:r>
            <w:proofErr w:type="gramEnd"/>
          </w:p>
        </w:tc>
        <w:tc>
          <w:tcPr>
            <w:tcW w:w="912"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38,806,808.03 </w:t>
            </w:r>
          </w:p>
        </w:tc>
      </w:tr>
      <w:tr w:rsidR="009946DC" w:rsidRPr="00511EAB" w:rsidTr="00520708">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2</w:t>
            </w:r>
          </w:p>
        </w:tc>
        <w:tc>
          <w:tcPr>
            <w:tcW w:w="3525"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并</w:t>
            </w:r>
            <w:proofErr w:type="gramStart"/>
            <w:r w:rsidRPr="00511EAB">
              <w:rPr>
                <w:rFonts w:ascii="Times New Roman" w:eastAsia="宋体" w:hAnsi="Times New Roman" w:cs="Times New Roman"/>
                <w:color w:val="000000"/>
                <w:kern w:val="0"/>
                <w:sz w:val="22"/>
              </w:rPr>
              <w:t>表调整项</w:t>
            </w:r>
            <w:proofErr w:type="gramEnd"/>
          </w:p>
        </w:tc>
        <w:tc>
          <w:tcPr>
            <w:tcW w:w="912"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-62,831.82 </w:t>
            </w:r>
          </w:p>
        </w:tc>
      </w:tr>
      <w:tr w:rsidR="009946DC" w:rsidRPr="00511EAB" w:rsidTr="00520708">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3</w:t>
            </w:r>
          </w:p>
        </w:tc>
        <w:tc>
          <w:tcPr>
            <w:tcW w:w="3525"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客户资产调整项</w:t>
            </w:r>
          </w:p>
        </w:tc>
        <w:tc>
          <w:tcPr>
            <w:tcW w:w="912"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520708">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4</w:t>
            </w:r>
          </w:p>
        </w:tc>
        <w:tc>
          <w:tcPr>
            <w:tcW w:w="3525"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衍生产品调整项</w:t>
            </w:r>
          </w:p>
        </w:tc>
        <w:tc>
          <w:tcPr>
            <w:tcW w:w="912"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44,581.13 </w:t>
            </w:r>
          </w:p>
        </w:tc>
      </w:tr>
      <w:tr w:rsidR="009946DC" w:rsidRPr="00511EAB" w:rsidTr="00520708">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5</w:t>
            </w:r>
          </w:p>
        </w:tc>
        <w:tc>
          <w:tcPr>
            <w:tcW w:w="3525"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证券融资交易调整项</w:t>
            </w:r>
          </w:p>
        </w:tc>
        <w:tc>
          <w:tcPr>
            <w:tcW w:w="912"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520708">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6</w:t>
            </w:r>
          </w:p>
        </w:tc>
        <w:tc>
          <w:tcPr>
            <w:tcW w:w="3525"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表外项目调整项</w:t>
            </w:r>
          </w:p>
        </w:tc>
        <w:tc>
          <w:tcPr>
            <w:tcW w:w="912"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4,929,605.62 </w:t>
            </w:r>
          </w:p>
        </w:tc>
      </w:tr>
      <w:tr w:rsidR="009946DC" w:rsidRPr="00511EAB" w:rsidTr="00520708">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7</w:t>
            </w:r>
          </w:p>
        </w:tc>
        <w:tc>
          <w:tcPr>
            <w:tcW w:w="3525"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其他调整项</w:t>
            </w:r>
          </w:p>
        </w:tc>
        <w:tc>
          <w:tcPr>
            <w:tcW w:w="912"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-20,713.13 </w:t>
            </w:r>
          </w:p>
        </w:tc>
      </w:tr>
      <w:tr w:rsidR="009946DC" w:rsidRPr="00511EAB" w:rsidTr="00520708">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8</w:t>
            </w:r>
          </w:p>
        </w:tc>
        <w:tc>
          <w:tcPr>
            <w:tcW w:w="3525"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调整后的表内外资产余额</w:t>
            </w:r>
          </w:p>
        </w:tc>
        <w:tc>
          <w:tcPr>
            <w:tcW w:w="912"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43,697,449.83 </w:t>
            </w:r>
          </w:p>
        </w:tc>
      </w:tr>
    </w:tbl>
    <w:p w:rsidR="002F223A" w:rsidRPr="00520708" w:rsidRDefault="00520708" w:rsidP="002F223A">
      <w:pPr>
        <w:widowControl/>
        <w:jc w:val="left"/>
        <w:rPr>
          <w:rFonts w:hint="eastAsia"/>
          <w:b/>
          <w:sz w:val="18"/>
          <w:szCs w:val="18"/>
        </w:rPr>
      </w:pPr>
      <w:r w:rsidRPr="00520708">
        <w:rPr>
          <w:rFonts w:hint="eastAsia"/>
          <w:sz w:val="18"/>
          <w:szCs w:val="18"/>
        </w:rPr>
        <w:t>注：依照《商业银行杠杆率管理办法（修订）》（中国银监会令</w:t>
      </w:r>
      <w:r w:rsidRPr="00520708">
        <w:rPr>
          <w:sz w:val="18"/>
          <w:szCs w:val="18"/>
        </w:rPr>
        <w:t>2015</w:t>
      </w:r>
      <w:r w:rsidRPr="00520708">
        <w:rPr>
          <w:rFonts w:hint="eastAsia"/>
          <w:sz w:val="18"/>
          <w:szCs w:val="18"/>
        </w:rPr>
        <w:t>年第</w:t>
      </w:r>
      <w:r w:rsidRPr="00520708">
        <w:rPr>
          <w:sz w:val="18"/>
          <w:szCs w:val="18"/>
        </w:rPr>
        <w:t>1</w:t>
      </w:r>
      <w:r w:rsidRPr="00520708">
        <w:rPr>
          <w:rFonts w:hint="eastAsia"/>
          <w:sz w:val="18"/>
          <w:szCs w:val="18"/>
        </w:rPr>
        <w:t>号）要求，根据合并财务报表数据重新计算。</w:t>
      </w:r>
    </w:p>
    <w:p w:rsidR="00520708" w:rsidRDefault="00520708" w:rsidP="002F223A">
      <w:pPr>
        <w:widowControl/>
        <w:jc w:val="left"/>
        <w:rPr>
          <w:b/>
          <w:sz w:val="24"/>
        </w:rPr>
      </w:pPr>
    </w:p>
    <w:p w:rsidR="00072977" w:rsidRPr="00A01C2A" w:rsidRDefault="00072977" w:rsidP="002F223A">
      <w:pPr>
        <w:widowControl/>
        <w:jc w:val="left"/>
        <w:rPr>
          <w:b/>
          <w:sz w:val="24"/>
        </w:rPr>
      </w:pPr>
      <w:r w:rsidRPr="00A01C2A">
        <w:rPr>
          <w:rFonts w:hint="eastAsia"/>
          <w:b/>
          <w:sz w:val="24"/>
        </w:rPr>
        <w:t>表</w:t>
      </w:r>
      <w:r w:rsidRPr="00A01C2A">
        <w:rPr>
          <w:rFonts w:hint="eastAsia"/>
          <w:b/>
          <w:sz w:val="24"/>
        </w:rPr>
        <w:t>2</w:t>
      </w:r>
      <w:r w:rsidRPr="00A01C2A">
        <w:rPr>
          <w:rFonts w:hint="eastAsia"/>
          <w:b/>
          <w:sz w:val="24"/>
        </w:rPr>
        <w:t>：杠杆</w:t>
      </w:r>
      <w:proofErr w:type="gramStart"/>
      <w:r w:rsidRPr="00A01C2A">
        <w:rPr>
          <w:rFonts w:hint="eastAsia"/>
          <w:b/>
          <w:sz w:val="24"/>
        </w:rPr>
        <w:t>率相关</w:t>
      </w:r>
      <w:proofErr w:type="gramEnd"/>
      <w:r w:rsidRPr="00A01C2A">
        <w:rPr>
          <w:rFonts w:hint="eastAsia"/>
          <w:b/>
          <w:sz w:val="24"/>
        </w:rPr>
        <w:t>明细数据</w:t>
      </w:r>
    </w:p>
    <w:p w:rsidR="00800B47" w:rsidRDefault="00800B47" w:rsidP="00072977">
      <w:pPr>
        <w:jc w:val="left"/>
        <w:rPr>
          <w:sz w:val="20"/>
        </w:rPr>
      </w:pPr>
    </w:p>
    <w:p w:rsidR="00072977" w:rsidRPr="00800B47" w:rsidRDefault="00800B47" w:rsidP="00800B47">
      <w:pPr>
        <w:jc w:val="right"/>
        <w:rPr>
          <w:sz w:val="20"/>
        </w:rPr>
      </w:pPr>
      <w:r>
        <w:rPr>
          <w:rFonts w:hint="eastAsia"/>
          <w:sz w:val="20"/>
        </w:rPr>
        <w:t>单位：人民币万元</w:t>
      </w:r>
    </w:p>
    <w:tbl>
      <w:tblPr>
        <w:tblW w:w="5000" w:type="pct"/>
        <w:tblLayout w:type="fixed"/>
        <w:tblLook w:val="04A0" w:firstRow="1" w:lastRow="0" w:firstColumn="1" w:lastColumn="0" w:noHBand="0" w:noVBand="1"/>
      </w:tblPr>
      <w:tblGrid>
        <w:gridCol w:w="982"/>
        <w:gridCol w:w="5947"/>
        <w:gridCol w:w="1791"/>
      </w:tblGrid>
      <w:tr w:rsidR="00072977" w:rsidRPr="00511EAB" w:rsidTr="00A01C2A">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序号</w:t>
            </w:r>
          </w:p>
        </w:tc>
        <w:tc>
          <w:tcPr>
            <w:tcW w:w="3410" w:type="pct"/>
            <w:tcBorders>
              <w:top w:val="single" w:sz="4" w:space="0" w:color="auto"/>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项目</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余额</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w:t>
            </w:r>
          </w:p>
        </w:tc>
        <w:tc>
          <w:tcPr>
            <w:tcW w:w="3410"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表内资产（除衍生产品和证券融资交易外）</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38,743,976.21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2</w:t>
            </w:r>
          </w:p>
        </w:tc>
        <w:tc>
          <w:tcPr>
            <w:tcW w:w="3410"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减：一级资本扣减项</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20,713.13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3</w:t>
            </w:r>
          </w:p>
        </w:tc>
        <w:tc>
          <w:tcPr>
            <w:tcW w:w="3410" w:type="pct"/>
            <w:tcBorders>
              <w:top w:val="nil"/>
              <w:left w:val="nil"/>
              <w:bottom w:val="single" w:sz="4" w:space="0" w:color="auto"/>
              <w:right w:val="single" w:sz="4" w:space="0" w:color="auto"/>
            </w:tcBorders>
            <w:shd w:val="clear" w:color="auto" w:fill="auto"/>
            <w:noWrap/>
            <w:vAlign w:val="center"/>
            <w:hideMark/>
          </w:tcPr>
          <w:p w:rsidR="009946DC" w:rsidRPr="00511EAB" w:rsidRDefault="009946DC" w:rsidP="00A01C2A">
            <w:pPr>
              <w:widowControl/>
              <w:jc w:val="left"/>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调整后的表内资产余额（衍生产品和证券融资交易除外）</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b/>
                <w:sz w:val="22"/>
              </w:rPr>
            </w:pPr>
            <w:r w:rsidRPr="009946DC">
              <w:rPr>
                <w:rFonts w:ascii="Times New Roman" w:hAnsi="Times New Roman" w:cs="Times New Roman"/>
                <w:sz w:val="22"/>
              </w:rPr>
              <w:t xml:space="preserve"> </w:t>
            </w:r>
            <w:r w:rsidRPr="009946DC">
              <w:rPr>
                <w:rFonts w:ascii="Times New Roman" w:hAnsi="Times New Roman" w:cs="Times New Roman"/>
                <w:b/>
                <w:sz w:val="22"/>
              </w:rPr>
              <w:t xml:space="preserve">38,723,263.09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4</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各类衍生产品的重置成本（扣除合格保证金）</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6,258.06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5</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各类衍生产品的潜在风险暴露</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38,323.07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6</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已从资产负债表中扣除的抵质押品总和</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7</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减：因提供合格保证金形成的应收资产</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8</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减：为客户提供清算服务时与中央交易对手交易形成的衍生产品资产余额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9</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卖出信用衍生产品的名义本金</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10</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减：可扣除的卖出信用衍生产品资产余额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11</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b/>
                <w:sz w:val="22"/>
              </w:rPr>
            </w:pPr>
            <w:r w:rsidRPr="009946DC">
              <w:rPr>
                <w:rFonts w:ascii="Times New Roman" w:hAnsi="Times New Roman" w:cs="Times New Roman"/>
                <w:b/>
                <w:sz w:val="22"/>
              </w:rPr>
              <w:t xml:space="preserve"> 44,581.13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12</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证券融资交易的会计资产余额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13</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减：可以扣除的证券融资交易资产余额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14</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证券融资交易的交易对手信用风险暴露</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15</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代理证券融资交易形成的证券融资交易资产余额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16</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   </w:t>
            </w:r>
          </w:p>
        </w:tc>
      </w:tr>
      <w:tr w:rsidR="00037107" w:rsidRPr="00511EAB" w:rsidTr="00037107">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37107" w:rsidRPr="00511EAB" w:rsidRDefault="0003710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17</w:t>
            </w:r>
          </w:p>
        </w:tc>
        <w:tc>
          <w:tcPr>
            <w:tcW w:w="3410" w:type="pct"/>
            <w:tcBorders>
              <w:top w:val="nil"/>
              <w:left w:val="nil"/>
              <w:bottom w:val="single" w:sz="4" w:space="0" w:color="auto"/>
              <w:right w:val="single" w:sz="4" w:space="0" w:color="auto"/>
            </w:tcBorders>
            <w:shd w:val="clear" w:color="auto" w:fill="auto"/>
            <w:vAlign w:val="center"/>
            <w:hideMark/>
          </w:tcPr>
          <w:p w:rsidR="00037107" w:rsidRPr="00511EAB" w:rsidRDefault="0003710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037107" w:rsidRPr="00037107" w:rsidRDefault="00037107" w:rsidP="00037107">
            <w:pPr>
              <w:jc w:val="right"/>
              <w:rPr>
                <w:rFonts w:ascii="Times New Roman" w:hAnsi="Times New Roman" w:cs="Times New Roman"/>
                <w:sz w:val="22"/>
              </w:rPr>
            </w:pPr>
            <w:r w:rsidRPr="00037107">
              <w:rPr>
                <w:rFonts w:ascii="Times New Roman" w:hAnsi="Times New Roman" w:cs="Times New Roman"/>
                <w:sz w:val="22"/>
              </w:rPr>
              <w:t xml:space="preserve"> 12,336,536.26 </w:t>
            </w:r>
          </w:p>
        </w:tc>
      </w:tr>
      <w:tr w:rsidR="00037107" w:rsidRPr="00511EAB" w:rsidTr="00037107">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37107" w:rsidRPr="00511EAB" w:rsidRDefault="0003710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18</w:t>
            </w:r>
          </w:p>
        </w:tc>
        <w:tc>
          <w:tcPr>
            <w:tcW w:w="3410" w:type="pct"/>
            <w:tcBorders>
              <w:top w:val="nil"/>
              <w:left w:val="nil"/>
              <w:bottom w:val="single" w:sz="4" w:space="0" w:color="auto"/>
              <w:right w:val="single" w:sz="4" w:space="0" w:color="auto"/>
            </w:tcBorders>
            <w:shd w:val="clear" w:color="auto" w:fill="auto"/>
            <w:vAlign w:val="center"/>
            <w:hideMark/>
          </w:tcPr>
          <w:p w:rsidR="00037107" w:rsidRPr="00511EAB" w:rsidRDefault="0003710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减：因信用转换减少的表外项目余额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037107" w:rsidRPr="00037107" w:rsidRDefault="00037107" w:rsidP="00037107">
            <w:pPr>
              <w:jc w:val="right"/>
              <w:rPr>
                <w:rFonts w:ascii="Times New Roman" w:hAnsi="Times New Roman" w:cs="Times New Roman"/>
                <w:sz w:val="22"/>
              </w:rPr>
            </w:pPr>
            <w:r w:rsidRPr="00037107">
              <w:rPr>
                <w:rFonts w:ascii="Times New Roman" w:hAnsi="Times New Roman" w:cs="Times New Roman"/>
                <w:sz w:val="22"/>
              </w:rPr>
              <w:t xml:space="preserve"> 7,406,930.64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19</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调整后的表外项目余额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b/>
                <w:sz w:val="22"/>
              </w:rPr>
            </w:pPr>
            <w:r w:rsidRPr="009946DC">
              <w:rPr>
                <w:rFonts w:ascii="Times New Roman" w:hAnsi="Times New Roman" w:cs="Times New Roman"/>
                <w:b/>
                <w:sz w:val="22"/>
              </w:rPr>
              <w:t xml:space="preserve"> 4,929,605.62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20</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一级资本净额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3,034,485.76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lastRenderedPageBreak/>
              <w:t>21</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调整后的表内外资产余额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 xml:space="preserve"> 43,697,449.83 </w:t>
            </w:r>
          </w:p>
        </w:tc>
      </w:tr>
      <w:tr w:rsidR="009946DC" w:rsidRPr="00511EAB" w:rsidTr="009946DC">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9946DC" w:rsidRPr="00511EAB" w:rsidRDefault="009946DC"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22</w:t>
            </w:r>
          </w:p>
        </w:tc>
        <w:tc>
          <w:tcPr>
            <w:tcW w:w="3410" w:type="pct"/>
            <w:tcBorders>
              <w:top w:val="nil"/>
              <w:left w:val="nil"/>
              <w:bottom w:val="single" w:sz="4" w:space="0" w:color="auto"/>
              <w:right w:val="single" w:sz="4" w:space="0" w:color="auto"/>
            </w:tcBorders>
            <w:shd w:val="clear" w:color="auto" w:fill="auto"/>
            <w:vAlign w:val="center"/>
            <w:hideMark/>
          </w:tcPr>
          <w:p w:rsidR="009946DC" w:rsidRPr="00511EAB" w:rsidRDefault="009946DC"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杠杆率</w:t>
            </w:r>
          </w:p>
        </w:tc>
        <w:tc>
          <w:tcPr>
            <w:tcW w:w="1027" w:type="pct"/>
            <w:tcBorders>
              <w:top w:val="nil"/>
              <w:left w:val="nil"/>
              <w:bottom w:val="single" w:sz="4" w:space="0" w:color="auto"/>
              <w:right w:val="single" w:sz="4" w:space="0" w:color="auto"/>
            </w:tcBorders>
            <w:shd w:val="clear" w:color="auto" w:fill="auto"/>
            <w:noWrap/>
            <w:vAlign w:val="center"/>
            <w:hideMark/>
          </w:tcPr>
          <w:p w:rsidR="009946DC" w:rsidRPr="009946DC" w:rsidRDefault="009946DC" w:rsidP="009946DC">
            <w:pPr>
              <w:jc w:val="right"/>
              <w:rPr>
                <w:rFonts w:ascii="Times New Roman" w:hAnsi="Times New Roman" w:cs="Times New Roman"/>
                <w:sz w:val="22"/>
              </w:rPr>
            </w:pPr>
            <w:r w:rsidRPr="009946DC">
              <w:rPr>
                <w:rFonts w:ascii="Times New Roman" w:hAnsi="Times New Roman" w:cs="Times New Roman"/>
                <w:sz w:val="22"/>
              </w:rPr>
              <w:t>6.94%</w:t>
            </w:r>
          </w:p>
        </w:tc>
      </w:tr>
    </w:tbl>
    <w:p w:rsidR="00815843" w:rsidRPr="00520708" w:rsidRDefault="00815843" w:rsidP="00815843">
      <w:pPr>
        <w:widowControl/>
        <w:jc w:val="left"/>
        <w:rPr>
          <w:rFonts w:hint="eastAsia"/>
          <w:b/>
          <w:sz w:val="18"/>
          <w:szCs w:val="18"/>
        </w:rPr>
      </w:pPr>
      <w:r w:rsidRPr="00520708">
        <w:rPr>
          <w:rFonts w:hint="eastAsia"/>
          <w:sz w:val="18"/>
          <w:szCs w:val="18"/>
        </w:rPr>
        <w:t>注：依照《商业银行杠杆率管理办法（修订）》（中国银监会令</w:t>
      </w:r>
      <w:r w:rsidRPr="00520708">
        <w:rPr>
          <w:sz w:val="18"/>
          <w:szCs w:val="18"/>
        </w:rPr>
        <w:t>2015</w:t>
      </w:r>
      <w:r w:rsidRPr="00520708">
        <w:rPr>
          <w:rFonts w:hint="eastAsia"/>
          <w:sz w:val="18"/>
          <w:szCs w:val="18"/>
        </w:rPr>
        <w:t>年第</w:t>
      </w:r>
      <w:r w:rsidRPr="00520708">
        <w:rPr>
          <w:sz w:val="18"/>
          <w:szCs w:val="18"/>
        </w:rPr>
        <w:t>1</w:t>
      </w:r>
      <w:r w:rsidRPr="00520708">
        <w:rPr>
          <w:rFonts w:hint="eastAsia"/>
          <w:sz w:val="18"/>
          <w:szCs w:val="18"/>
        </w:rPr>
        <w:t>号）要求，根据合并财务报表数据重新计算。</w:t>
      </w:r>
    </w:p>
    <w:p w:rsidR="00072977" w:rsidRPr="00815843" w:rsidRDefault="00072977" w:rsidP="0081251B">
      <w:pPr>
        <w:jc w:val="left"/>
        <w:rPr>
          <w:sz w:val="20"/>
        </w:rPr>
      </w:pPr>
      <w:bookmarkStart w:id="0" w:name="_GoBack"/>
      <w:bookmarkEnd w:id="0"/>
    </w:p>
    <w:sectPr w:rsidR="00072977" w:rsidRPr="00815843" w:rsidSect="0081251B">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0AE" w:rsidRDefault="00B330AE" w:rsidP="00072977">
      <w:r>
        <w:separator/>
      </w:r>
    </w:p>
  </w:endnote>
  <w:endnote w:type="continuationSeparator" w:id="0">
    <w:p w:rsidR="00B330AE" w:rsidRDefault="00B330AE" w:rsidP="0007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0AE" w:rsidRDefault="00B330AE" w:rsidP="00072977">
      <w:r>
        <w:separator/>
      </w:r>
    </w:p>
  </w:footnote>
  <w:footnote w:type="continuationSeparator" w:id="0">
    <w:p w:rsidR="00B330AE" w:rsidRDefault="00B330AE" w:rsidP="00072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F9"/>
    <w:rsid w:val="00012CBB"/>
    <w:rsid w:val="00037107"/>
    <w:rsid w:val="00071937"/>
    <w:rsid w:val="00072977"/>
    <w:rsid w:val="00076668"/>
    <w:rsid w:val="000B2342"/>
    <w:rsid w:val="000C4A91"/>
    <w:rsid w:val="000D5846"/>
    <w:rsid w:val="00100398"/>
    <w:rsid w:val="001071C5"/>
    <w:rsid w:val="001452B6"/>
    <w:rsid w:val="00166B14"/>
    <w:rsid w:val="0017205D"/>
    <w:rsid w:val="001A3F5F"/>
    <w:rsid w:val="001A51ED"/>
    <w:rsid w:val="001B369D"/>
    <w:rsid w:val="001B6D5E"/>
    <w:rsid w:val="00216C2A"/>
    <w:rsid w:val="0022478B"/>
    <w:rsid w:val="00236087"/>
    <w:rsid w:val="00240703"/>
    <w:rsid w:val="002639F9"/>
    <w:rsid w:val="00273E3E"/>
    <w:rsid w:val="002852DA"/>
    <w:rsid w:val="002900EF"/>
    <w:rsid w:val="002A157B"/>
    <w:rsid w:val="002E2F7B"/>
    <w:rsid w:val="002E7849"/>
    <w:rsid w:val="002F223A"/>
    <w:rsid w:val="0031207A"/>
    <w:rsid w:val="0037049F"/>
    <w:rsid w:val="0039757E"/>
    <w:rsid w:val="003B56F9"/>
    <w:rsid w:val="003C0233"/>
    <w:rsid w:val="00434B5E"/>
    <w:rsid w:val="00511EAB"/>
    <w:rsid w:val="00520708"/>
    <w:rsid w:val="005279D3"/>
    <w:rsid w:val="005B29F7"/>
    <w:rsid w:val="005D478A"/>
    <w:rsid w:val="005F3A42"/>
    <w:rsid w:val="005F4745"/>
    <w:rsid w:val="0060324C"/>
    <w:rsid w:val="00620C38"/>
    <w:rsid w:val="00687D72"/>
    <w:rsid w:val="00714C11"/>
    <w:rsid w:val="0073665E"/>
    <w:rsid w:val="0075793A"/>
    <w:rsid w:val="0077752C"/>
    <w:rsid w:val="00777E37"/>
    <w:rsid w:val="007F3BF1"/>
    <w:rsid w:val="00800B47"/>
    <w:rsid w:val="0081251B"/>
    <w:rsid w:val="008130C2"/>
    <w:rsid w:val="00815843"/>
    <w:rsid w:val="008822A6"/>
    <w:rsid w:val="008A7926"/>
    <w:rsid w:val="00917C01"/>
    <w:rsid w:val="00933642"/>
    <w:rsid w:val="00942E5E"/>
    <w:rsid w:val="00957EB3"/>
    <w:rsid w:val="0097667E"/>
    <w:rsid w:val="009946DC"/>
    <w:rsid w:val="009E3726"/>
    <w:rsid w:val="009E65F5"/>
    <w:rsid w:val="00A01C2A"/>
    <w:rsid w:val="00A757BF"/>
    <w:rsid w:val="00A9428A"/>
    <w:rsid w:val="00AA4961"/>
    <w:rsid w:val="00AF1129"/>
    <w:rsid w:val="00AF473E"/>
    <w:rsid w:val="00B330AE"/>
    <w:rsid w:val="00BE5227"/>
    <w:rsid w:val="00BF7233"/>
    <w:rsid w:val="00C1364A"/>
    <w:rsid w:val="00C15D22"/>
    <w:rsid w:val="00C74299"/>
    <w:rsid w:val="00CE6908"/>
    <w:rsid w:val="00CF4E12"/>
    <w:rsid w:val="00D31E59"/>
    <w:rsid w:val="00D7103B"/>
    <w:rsid w:val="00DD2F9B"/>
    <w:rsid w:val="00DE7D86"/>
    <w:rsid w:val="00DF04A2"/>
    <w:rsid w:val="00ED4CD5"/>
    <w:rsid w:val="00F3281B"/>
    <w:rsid w:val="00F85BE5"/>
    <w:rsid w:val="00F9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8944">
      <w:bodyDiv w:val="1"/>
      <w:marLeft w:val="0"/>
      <w:marRight w:val="0"/>
      <w:marTop w:val="0"/>
      <w:marBottom w:val="0"/>
      <w:divBdr>
        <w:top w:val="none" w:sz="0" w:space="0" w:color="auto"/>
        <w:left w:val="none" w:sz="0" w:space="0" w:color="auto"/>
        <w:bottom w:val="none" w:sz="0" w:space="0" w:color="auto"/>
        <w:right w:val="none" w:sz="0" w:space="0" w:color="auto"/>
      </w:divBdr>
    </w:div>
    <w:div w:id="271128645">
      <w:bodyDiv w:val="1"/>
      <w:marLeft w:val="0"/>
      <w:marRight w:val="0"/>
      <w:marTop w:val="0"/>
      <w:marBottom w:val="0"/>
      <w:divBdr>
        <w:top w:val="none" w:sz="0" w:space="0" w:color="auto"/>
        <w:left w:val="none" w:sz="0" w:space="0" w:color="auto"/>
        <w:bottom w:val="none" w:sz="0" w:space="0" w:color="auto"/>
        <w:right w:val="none" w:sz="0" w:space="0" w:color="auto"/>
      </w:divBdr>
    </w:div>
    <w:div w:id="293482507">
      <w:bodyDiv w:val="1"/>
      <w:marLeft w:val="0"/>
      <w:marRight w:val="0"/>
      <w:marTop w:val="0"/>
      <w:marBottom w:val="0"/>
      <w:divBdr>
        <w:top w:val="none" w:sz="0" w:space="0" w:color="auto"/>
        <w:left w:val="none" w:sz="0" w:space="0" w:color="auto"/>
        <w:bottom w:val="none" w:sz="0" w:space="0" w:color="auto"/>
        <w:right w:val="none" w:sz="0" w:space="0" w:color="auto"/>
      </w:divBdr>
    </w:div>
    <w:div w:id="333728899">
      <w:bodyDiv w:val="1"/>
      <w:marLeft w:val="0"/>
      <w:marRight w:val="0"/>
      <w:marTop w:val="0"/>
      <w:marBottom w:val="0"/>
      <w:divBdr>
        <w:top w:val="none" w:sz="0" w:space="0" w:color="auto"/>
        <w:left w:val="none" w:sz="0" w:space="0" w:color="auto"/>
        <w:bottom w:val="none" w:sz="0" w:space="0" w:color="auto"/>
        <w:right w:val="none" w:sz="0" w:space="0" w:color="auto"/>
      </w:divBdr>
    </w:div>
    <w:div w:id="464740894">
      <w:bodyDiv w:val="1"/>
      <w:marLeft w:val="0"/>
      <w:marRight w:val="0"/>
      <w:marTop w:val="0"/>
      <w:marBottom w:val="0"/>
      <w:divBdr>
        <w:top w:val="none" w:sz="0" w:space="0" w:color="auto"/>
        <w:left w:val="none" w:sz="0" w:space="0" w:color="auto"/>
        <w:bottom w:val="none" w:sz="0" w:space="0" w:color="auto"/>
        <w:right w:val="none" w:sz="0" w:space="0" w:color="auto"/>
      </w:divBdr>
    </w:div>
    <w:div w:id="843712446">
      <w:bodyDiv w:val="1"/>
      <w:marLeft w:val="0"/>
      <w:marRight w:val="0"/>
      <w:marTop w:val="0"/>
      <w:marBottom w:val="0"/>
      <w:divBdr>
        <w:top w:val="none" w:sz="0" w:space="0" w:color="auto"/>
        <w:left w:val="none" w:sz="0" w:space="0" w:color="auto"/>
        <w:bottom w:val="none" w:sz="0" w:space="0" w:color="auto"/>
        <w:right w:val="none" w:sz="0" w:space="0" w:color="auto"/>
      </w:divBdr>
    </w:div>
    <w:div w:id="1172910578">
      <w:bodyDiv w:val="1"/>
      <w:marLeft w:val="0"/>
      <w:marRight w:val="0"/>
      <w:marTop w:val="0"/>
      <w:marBottom w:val="0"/>
      <w:divBdr>
        <w:top w:val="none" w:sz="0" w:space="0" w:color="auto"/>
        <w:left w:val="none" w:sz="0" w:space="0" w:color="auto"/>
        <w:bottom w:val="none" w:sz="0" w:space="0" w:color="auto"/>
        <w:right w:val="none" w:sz="0" w:space="0" w:color="auto"/>
      </w:divBdr>
    </w:div>
    <w:div w:id="1391003102">
      <w:bodyDiv w:val="1"/>
      <w:marLeft w:val="0"/>
      <w:marRight w:val="0"/>
      <w:marTop w:val="0"/>
      <w:marBottom w:val="0"/>
      <w:divBdr>
        <w:top w:val="none" w:sz="0" w:space="0" w:color="auto"/>
        <w:left w:val="none" w:sz="0" w:space="0" w:color="auto"/>
        <w:bottom w:val="none" w:sz="0" w:space="0" w:color="auto"/>
        <w:right w:val="none" w:sz="0" w:space="0" w:color="auto"/>
      </w:divBdr>
    </w:div>
    <w:div w:id="1744913345">
      <w:bodyDiv w:val="1"/>
      <w:marLeft w:val="0"/>
      <w:marRight w:val="0"/>
      <w:marTop w:val="0"/>
      <w:marBottom w:val="0"/>
      <w:divBdr>
        <w:top w:val="none" w:sz="0" w:space="0" w:color="auto"/>
        <w:left w:val="none" w:sz="0" w:space="0" w:color="auto"/>
        <w:bottom w:val="none" w:sz="0" w:space="0" w:color="auto"/>
        <w:right w:val="none" w:sz="0" w:space="0" w:color="auto"/>
      </w:divBdr>
    </w:div>
    <w:div w:id="2030787467">
      <w:bodyDiv w:val="1"/>
      <w:marLeft w:val="0"/>
      <w:marRight w:val="0"/>
      <w:marTop w:val="0"/>
      <w:marBottom w:val="0"/>
      <w:divBdr>
        <w:top w:val="none" w:sz="0" w:space="0" w:color="auto"/>
        <w:left w:val="none" w:sz="0" w:space="0" w:color="auto"/>
        <w:bottom w:val="none" w:sz="0" w:space="0" w:color="auto"/>
        <w:right w:val="none" w:sz="0" w:space="0" w:color="auto"/>
      </w:divBdr>
    </w:div>
    <w:div w:id="2033602603">
      <w:bodyDiv w:val="1"/>
      <w:marLeft w:val="0"/>
      <w:marRight w:val="0"/>
      <w:marTop w:val="0"/>
      <w:marBottom w:val="0"/>
      <w:divBdr>
        <w:top w:val="none" w:sz="0" w:space="0" w:color="auto"/>
        <w:left w:val="none" w:sz="0" w:space="0" w:color="auto"/>
        <w:bottom w:val="none" w:sz="0" w:space="0" w:color="auto"/>
        <w:right w:val="none" w:sz="0" w:space="0" w:color="auto"/>
      </w:divBdr>
    </w:div>
    <w:div w:id="20734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汪琳</cp:lastModifiedBy>
  <cp:revision>15</cp:revision>
  <dcterms:created xsi:type="dcterms:W3CDTF">2020-02-13T07:46:00Z</dcterms:created>
  <dcterms:modified xsi:type="dcterms:W3CDTF">2021-04-27T04:51:00Z</dcterms:modified>
</cp:coreProperties>
</file>