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D2C" w:rsidRPr="00AB6D2C" w:rsidRDefault="00AB6D2C" w:rsidP="00AB6D2C">
      <w:pPr>
        <w:pStyle w:val="Default"/>
        <w:jc w:val="center"/>
        <w:rPr>
          <w:b/>
          <w:sz w:val="32"/>
        </w:rPr>
      </w:pPr>
      <w:r w:rsidRPr="00AB6D2C">
        <w:rPr>
          <w:rFonts w:hint="eastAsia"/>
          <w:b/>
          <w:sz w:val="32"/>
        </w:rPr>
        <w:t>苏州银行股份有限公司资本构成信息表</w:t>
      </w:r>
    </w:p>
    <w:p w:rsidR="00AB6D2C" w:rsidRPr="00AB6D2C" w:rsidRDefault="00AB6D2C" w:rsidP="00AB6D2C">
      <w:pPr>
        <w:pStyle w:val="Default"/>
      </w:pPr>
    </w:p>
    <w:p w:rsidR="0060324C" w:rsidRPr="006733D0" w:rsidRDefault="00AB6D2C" w:rsidP="00AB6D2C">
      <w:pPr>
        <w:ind w:firstLine="420"/>
        <w:rPr>
          <w:rFonts w:ascii="Times New Roman" w:hAnsi="Times New Roman" w:cs="Times New Roman"/>
          <w:sz w:val="24"/>
          <w:szCs w:val="24"/>
        </w:rPr>
      </w:pPr>
      <w:bookmarkStart w:id="0" w:name="_GoBack"/>
      <w:r w:rsidRPr="006733D0">
        <w:rPr>
          <w:rFonts w:ascii="Times New Roman" w:hAnsi="Times New Roman" w:cs="Times New Roman"/>
          <w:sz w:val="24"/>
          <w:szCs w:val="24"/>
        </w:rPr>
        <w:t>以下监管资本项目与资产负债表对应关系附表依据《中国银监会关于印发商业银行资本监管配套政策文件的通知》</w:t>
      </w:r>
      <w:r w:rsidRPr="006733D0">
        <w:rPr>
          <w:rFonts w:ascii="Times New Roman" w:hAnsi="Times New Roman" w:cs="Times New Roman"/>
          <w:sz w:val="24"/>
          <w:szCs w:val="24"/>
        </w:rPr>
        <w:t>(</w:t>
      </w:r>
      <w:r w:rsidRPr="006733D0">
        <w:rPr>
          <w:rFonts w:ascii="Times New Roman" w:hAnsi="Times New Roman" w:cs="Times New Roman"/>
          <w:sz w:val="24"/>
          <w:szCs w:val="24"/>
        </w:rPr>
        <w:t>银监发</w:t>
      </w:r>
      <w:r w:rsidRPr="006733D0">
        <w:rPr>
          <w:rFonts w:ascii="Times New Roman" w:hAnsi="Times New Roman" w:cs="Times New Roman"/>
          <w:sz w:val="24"/>
          <w:szCs w:val="24"/>
        </w:rPr>
        <w:t>[2013]33</w:t>
      </w:r>
      <w:r w:rsidRPr="006733D0">
        <w:rPr>
          <w:rFonts w:ascii="Times New Roman" w:hAnsi="Times New Roman" w:cs="Times New Roman"/>
          <w:sz w:val="24"/>
          <w:szCs w:val="24"/>
        </w:rPr>
        <w:t>号</w:t>
      </w:r>
      <w:r w:rsidRPr="006733D0">
        <w:rPr>
          <w:rFonts w:ascii="Times New Roman" w:hAnsi="Times New Roman" w:cs="Times New Roman"/>
          <w:sz w:val="24"/>
          <w:szCs w:val="24"/>
        </w:rPr>
        <w:t>)</w:t>
      </w:r>
      <w:r w:rsidRPr="006733D0">
        <w:rPr>
          <w:rFonts w:ascii="Times New Roman" w:hAnsi="Times New Roman" w:cs="Times New Roman"/>
          <w:sz w:val="24"/>
          <w:szCs w:val="24"/>
        </w:rPr>
        <w:t>中《关于商银业行资本构成信息披露的监管要求》进行披露，报表日为</w:t>
      </w:r>
      <w:r w:rsidRPr="006733D0">
        <w:rPr>
          <w:rFonts w:ascii="Times New Roman" w:hAnsi="Times New Roman" w:cs="Times New Roman"/>
          <w:sz w:val="24"/>
          <w:szCs w:val="24"/>
        </w:rPr>
        <w:t>2019</w:t>
      </w:r>
      <w:r w:rsidRPr="006733D0">
        <w:rPr>
          <w:rFonts w:ascii="Times New Roman" w:hAnsi="Times New Roman" w:cs="Times New Roman"/>
          <w:sz w:val="24"/>
          <w:szCs w:val="24"/>
        </w:rPr>
        <w:t>年</w:t>
      </w:r>
      <w:r w:rsidRPr="006733D0">
        <w:rPr>
          <w:rFonts w:ascii="Times New Roman" w:hAnsi="Times New Roman" w:cs="Times New Roman"/>
          <w:sz w:val="24"/>
          <w:szCs w:val="24"/>
        </w:rPr>
        <w:t>6</w:t>
      </w:r>
      <w:r w:rsidRPr="006733D0">
        <w:rPr>
          <w:rFonts w:ascii="Times New Roman" w:hAnsi="Times New Roman" w:cs="Times New Roman"/>
          <w:sz w:val="24"/>
          <w:szCs w:val="24"/>
        </w:rPr>
        <w:t>月</w:t>
      </w:r>
      <w:r w:rsidRPr="006733D0">
        <w:rPr>
          <w:rFonts w:ascii="Times New Roman" w:hAnsi="Times New Roman" w:cs="Times New Roman"/>
          <w:sz w:val="24"/>
          <w:szCs w:val="24"/>
        </w:rPr>
        <w:t>30</w:t>
      </w:r>
      <w:r w:rsidRPr="006733D0">
        <w:rPr>
          <w:rFonts w:ascii="Times New Roman" w:hAnsi="Times New Roman" w:cs="Times New Roman"/>
          <w:sz w:val="24"/>
          <w:szCs w:val="24"/>
        </w:rPr>
        <w:t>日。</w:t>
      </w:r>
    </w:p>
    <w:p w:rsidR="00AB6D2C" w:rsidRPr="006733D0" w:rsidRDefault="00AB6D2C" w:rsidP="00AB6D2C">
      <w:pPr>
        <w:ind w:firstLine="420"/>
        <w:rPr>
          <w:rFonts w:ascii="Times New Roman" w:hAnsi="Times New Roman" w:cs="Times New Roman"/>
          <w:sz w:val="24"/>
          <w:szCs w:val="24"/>
        </w:rPr>
      </w:pPr>
    </w:p>
    <w:p w:rsidR="00AB6D2C" w:rsidRPr="006733D0" w:rsidRDefault="00AB6D2C" w:rsidP="00AB6D2C">
      <w:pPr>
        <w:ind w:firstLine="420"/>
        <w:rPr>
          <w:rFonts w:ascii="Times New Roman" w:hAnsi="Times New Roman" w:cs="Times New Roman"/>
          <w:b/>
          <w:sz w:val="24"/>
          <w:szCs w:val="24"/>
        </w:rPr>
      </w:pPr>
      <w:r w:rsidRPr="006733D0">
        <w:rPr>
          <w:rFonts w:ascii="Times New Roman" w:hAnsi="Times New Roman" w:cs="Times New Roman"/>
          <w:b/>
          <w:sz w:val="24"/>
          <w:szCs w:val="24"/>
        </w:rPr>
        <w:t>一、资本构成</w:t>
      </w:r>
    </w:p>
    <w:p w:rsidR="00AB6D2C" w:rsidRPr="006733D0" w:rsidRDefault="00AB6D2C" w:rsidP="00AB6D2C">
      <w:pPr>
        <w:ind w:firstLine="420"/>
        <w:jc w:val="right"/>
        <w:rPr>
          <w:rFonts w:ascii="Times New Roman" w:hAnsi="Times New Roman" w:cs="Times New Roman"/>
          <w:sz w:val="24"/>
          <w:szCs w:val="24"/>
        </w:rPr>
      </w:pPr>
      <w:r w:rsidRPr="006733D0">
        <w:rPr>
          <w:rFonts w:ascii="Times New Roman" w:hAnsi="Times New Roman" w:cs="Times New Roman"/>
          <w:sz w:val="24"/>
          <w:szCs w:val="24"/>
        </w:rPr>
        <w:t>单位：人民币万元</w:t>
      </w:r>
      <w:r w:rsidR="000B0DF4" w:rsidRPr="006733D0">
        <w:rPr>
          <w:rFonts w:ascii="Times New Roman" w:hAnsi="Times New Roman" w:cs="Times New Roman"/>
          <w:sz w:val="24"/>
          <w:szCs w:val="24"/>
        </w:rPr>
        <w:t>、</w:t>
      </w:r>
      <w:r w:rsidR="000B0DF4" w:rsidRPr="006733D0">
        <w:rPr>
          <w:rFonts w:ascii="Times New Roman" w:eastAsia="宋体" w:hAnsi="Times New Roman" w:cs="Times New Roman"/>
          <w:color w:val="000000"/>
          <w:kern w:val="0"/>
          <w:sz w:val="24"/>
          <w:szCs w:val="24"/>
        </w:rPr>
        <w:t>%</w:t>
      </w:r>
      <w:r w:rsidR="002B0452" w:rsidRPr="006733D0">
        <w:rPr>
          <w:rFonts w:ascii="Times New Roman" w:hAnsi="Times New Roman" w:cs="Times New Roman"/>
          <w:sz w:val="24"/>
          <w:szCs w:val="24"/>
        </w:rPr>
        <w:t>、监管并表口径</w:t>
      </w:r>
    </w:p>
    <w:tbl>
      <w:tblPr>
        <w:tblW w:w="5000" w:type="pct"/>
        <w:tblLook w:val="04A0" w:firstRow="1" w:lastRow="0" w:firstColumn="1" w:lastColumn="0" w:noHBand="0" w:noVBand="1"/>
      </w:tblPr>
      <w:tblGrid>
        <w:gridCol w:w="576"/>
        <w:gridCol w:w="6315"/>
        <w:gridCol w:w="1631"/>
      </w:tblGrid>
      <w:tr w:rsidR="00AB6D2C" w:rsidRPr="006733D0"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733D0" w:rsidRDefault="00AB6D2C" w:rsidP="00AB6D2C">
            <w:pPr>
              <w:widowControl/>
              <w:jc w:val="left"/>
              <w:rPr>
                <w:rFonts w:ascii="Times New Roman" w:eastAsia="宋体" w:hAnsi="Times New Roman" w:cs="Times New Roman"/>
                <w:b/>
                <w:bCs/>
                <w:color w:val="000000"/>
                <w:kern w:val="0"/>
                <w:sz w:val="24"/>
                <w:szCs w:val="24"/>
              </w:rPr>
            </w:pPr>
            <w:r w:rsidRPr="006733D0">
              <w:rPr>
                <w:rFonts w:ascii="Times New Roman" w:eastAsia="宋体" w:hAnsi="Times New Roman" w:cs="Times New Roman"/>
                <w:b/>
                <w:bCs/>
                <w:color w:val="000000"/>
                <w:kern w:val="0"/>
                <w:sz w:val="24"/>
                <w:szCs w:val="24"/>
              </w:rPr>
              <w:t>核心一级资本</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6733D0" w:rsidRDefault="00AB6D2C" w:rsidP="00AB6D2C">
            <w:pPr>
              <w:widowControl/>
              <w:jc w:val="center"/>
              <w:rPr>
                <w:rFonts w:ascii="Times New Roman" w:eastAsia="宋体" w:hAnsi="Times New Roman" w:cs="Times New Roman"/>
                <w:b/>
                <w:bCs/>
                <w:color w:val="000000"/>
                <w:kern w:val="0"/>
                <w:sz w:val="24"/>
                <w:szCs w:val="24"/>
              </w:rPr>
            </w:pPr>
            <w:r w:rsidRPr="006733D0">
              <w:rPr>
                <w:rFonts w:ascii="Times New Roman" w:eastAsia="宋体" w:hAnsi="Times New Roman" w:cs="Times New Roman"/>
                <w:b/>
                <w:bCs/>
                <w:color w:val="000000"/>
                <w:kern w:val="0"/>
                <w:sz w:val="24"/>
                <w:szCs w:val="24"/>
              </w:rPr>
              <w:t>数额</w:t>
            </w:r>
          </w:p>
        </w:tc>
      </w:tr>
      <w:tr w:rsidR="00AB6D2C" w:rsidRPr="006733D0" w:rsidTr="005C08F1">
        <w:trPr>
          <w:trHeight w:val="299"/>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实收资本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300,000.00</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留存收益</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1,242,333.18</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2a</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盈余公积</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233,771.24</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2b</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一般风险准备</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348,946.44</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2c</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未分配利润</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659,615.50</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3</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累计其他综合收益和公开储备</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859,199.68</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3a</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资本公积</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858,532.83</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3b</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其他</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666.85</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4</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过渡期内可计入核心一级资本数额（仅适用于非股份公司，股份制公司的银行填</w:t>
            </w:r>
            <w:r w:rsidRPr="006733D0">
              <w:rPr>
                <w:rFonts w:ascii="Times New Roman" w:eastAsia="宋体" w:hAnsi="Times New Roman" w:cs="Times New Roman"/>
                <w:color w:val="000000"/>
                <w:kern w:val="0"/>
                <w:sz w:val="24"/>
                <w:szCs w:val="24"/>
              </w:rPr>
              <w:t>0</w:t>
            </w:r>
            <w:r w:rsidRPr="006733D0">
              <w:rPr>
                <w:rFonts w:ascii="Times New Roman" w:eastAsia="宋体" w:hAnsi="Times New Roman" w:cs="Times New Roman"/>
                <w:color w:val="000000"/>
                <w:kern w:val="0"/>
                <w:sz w:val="24"/>
                <w:szCs w:val="24"/>
              </w:rPr>
              <w:t>即可）</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5</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少数股东资本可计入部分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63,546.16</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6</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监管调整前的核心一级资本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2,465,079.02</w:t>
            </w:r>
          </w:p>
        </w:tc>
      </w:tr>
      <w:tr w:rsidR="00AB6D2C" w:rsidRPr="006733D0"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733D0" w:rsidRDefault="00AB6D2C" w:rsidP="00AB6D2C">
            <w:pPr>
              <w:widowControl/>
              <w:jc w:val="left"/>
              <w:rPr>
                <w:rFonts w:ascii="Times New Roman" w:eastAsia="宋体" w:hAnsi="Times New Roman" w:cs="Times New Roman"/>
                <w:b/>
                <w:bCs/>
                <w:color w:val="000000"/>
                <w:kern w:val="0"/>
                <w:sz w:val="24"/>
                <w:szCs w:val="24"/>
              </w:rPr>
            </w:pPr>
            <w:r w:rsidRPr="006733D0">
              <w:rPr>
                <w:rFonts w:ascii="Times New Roman" w:eastAsia="宋体" w:hAnsi="Times New Roman" w:cs="Times New Roman"/>
                <w:b/>
                <w:bCs/>
                <w:color w:val="000000"/>
                <w:kern w:val="0"/>
                <w:sz w:val="24"/>
                <w:szCs w:val="24"/>
              </w:rPr>
              <w:t>核心一级资本：监管调整</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 xml:space="preserve">　</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7</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审慎估值调整</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8</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商誉（扣除</w:t>
            </w:r>
            <w:proofErr w:type="gramStart"/>
            <w:r w:rsidRPr="006733D0">
              <w:rPr>
                <w:rFonts w:ascii="Times New Roman" w:eastAsia="宋体" w:hAnsi="Times New Roman" w:cs="Times New Roman"/>
                <w:color w:val="000000"/>
                <w:kern w:val="0"/>
                <w:sz w:val="24"/>
                <w:szCs w:val="24"/>
              </w:rPr>
              <w:t>递延税负债</w:t>
            </w:r>
            <w:proofErr w:type="gramEnd"/>
            <w:r w:rsidRPr="006733D0">
              <w:rPr>
                <w:rFonts w:ascii="Times New Roman" w:eastAsia="宋体" w:hAnsi="Times New Roman" w:cs="Times New Roman"/>
                <w:color w:val="000000"/>
                <w:kern w:val="0"/>
                <w:sz w:val="24"/>
                <w:szCs w:val="24"/>
              </w:rPr>
              <w:t>）</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9</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其他无形资产（土地使用权除外）（扣除</w:t>
            </w:r>
            <w:proofErr w:type="gramStart"/>
            <w:r w:rsidRPr="006733D0">
              <w:rPr>
                <w:rFonts w:ascii="Times New Roman" w:eastAsia="宋体" w:hAnsi="Times New Roman" w:cs="Times New Roman"/>
                <w:color w:val="000000"/>
                <w:kern w:val="0"/>
                <w:sz w:val="24"/>
                <w:szCs w:val="24"/>
              </w:rPr>
              <w:t>递延税负债</w:t>
            </w:r>
            <w:proofErr w:type="gramEnd"/>
            <w:r w:rsidRPr="006733D0">
              <w:rPr>
                <w:rFonts w:ascii="Times New Roman" w:eastAsia="宋体" w:hAnsi="Times New Roman" w:cs="Times New Roman"/>
                <w:color w:val="000000"/>
                <w:kern w:val="0"/>
                <w:sz w:val="24"/>
                <w:szCs w:val="24"/>
              </w:rPr>
              <w:t>）</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13,556.13</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10</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依赖未来盈利的由经营亏损引起的</w:t>
            </w:r>
            <w:proofErr w:type="gramStart"/>
            <w:r w:rsidRPr="006733D0">
              <w:rPr>
                <w:rFonts w:ascii="Times New Roman" w:eastAsia="宋体" w:hAnsi="Times New Roman" w:cs="Times New Roman"/>
                <w:color w:val="000000"/>
                <w:kern w:val="0"/>
                <w:sz w:val="24"/>
                <w:szCs w:val="24"/>
              </w:rPr>
              <w:t>净递延税资产</w:t>
            </w:r>
            <w:proofErr w:type="gramEnd"/>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11</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对未按公允价值计量的项目进行</w:t>
            </w:r>
            <w:proofErr w:type="gramStart"/>
            <w:r w:rsidRPr="006733D0">
              <w:rPr>
                <w:rFonts w:ascii="Times New Roman" w:eastAsia="宋体" w:hAnsi="Times New Roman" w:cs="Times New Roman"/>
                <w:color w:val="000000"/>
                <w:kern w:val="0"/>
                <w:sz w:val="24"/>
                <w:szCs w:val="24"/>
              </w:rPr>
              <w:t>现金流套期</w:t>
            </w:r>
            <w:proofErr w:type="gramEnd"/>
            <w:r w:rsidRPr="006733D0">
              <w:rPr>
                <w:rFonts w:ascii="Times New Roman" w:eastAsia="宋体" w:hAnsi="Times New Roman" w:cs="Times New Roman"/>
                <w:color w:val="000000"/>
                <w:kern w:val="0"/>
                <w:sz w:val="24"/>
                <w:szCs w:val="24"/>
              </w:rPr>
              <w:t>形成的储备</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12</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贷款损失准备缺口</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13</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资产证券化销售利得</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14</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自身信用风险变化导致其负债公允价值变化带来的未实现损益</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15</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确定受益类的养老金资产净额（扣除递延税项负债）</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16</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直接或间接持有本银行的普通股</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17</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银行间或银行与其他金融机构间通过协议相互持有的核心一级资本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18</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对未并</w:t>
            </w:r>
            <w:proofErr w:type="gramStart"/>
            <w:r w:rsidRPr="006733D0">
              <w:rPr>
                <w:rFonts w:ascii="Times New Roman" w:eastAsia="宋体" w:hAnsi="Times New Roman" w:cs="Times New Roman"/>
                <w:color w:val="000000"/>
                <w:kern w:val="0"/>
                <w:sz w:val="24"/>
                <w:szCs w:val="24"/>
              </w:rPr>
              <w:t>表金融</w:t>
            </w:r>
            <w:proofErr w:type="gramEnd"/>
            <w:r w:rsidRPr="006733D0">
              <w:rPr>
                <w:rFonts w:ascii="Times New Roman" w:eastAsia="宋体" w:hAnsi="Times New Roman" w:cs="Times New Roman"/>
                <w:color w:val="000000"/>
                <w:kern w:val="0"/>
                <w:sz w:val="24"/>
                <w:szCs w:val="24"/>
              </w:rPr>
              <w:t>机构小额少数资本投资中的核心一级资本中应扣除金额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19</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对未并</w:t>
            </w:r>
            <w:proofErr w:type="gramStart"/>
            <w:r w:rsidRPr="006733D0">
              <w:rPr>
                <w:rFonts w:ascii="Times New Roman" w:eastAsia="宋体" w:hAnsi="Times New Roman" w:cs="Times New Roman"/>
                <w:color w:val="000000"/>
                <w:kern w:val="0"/>
                <w:sz w:val="24"/>
                <w:szCs w:val="24"/>
              </w:rPr>
              <w:t>表金融</w:t>
            </w:r>
            <w:proofErr w:type="gramEnd"/>
            <w:r w:rsidRPr="006733D0">
              <w:rPr>
                <w:rFonts w:ascii="Times New Roman" w:eastAsia="宋体" w:hAnsi="Times New Roman" w:cs="Times New Roman"/>
                <w:color w:val="000000"/>
                <w:kern w:val="0"/>
                <w:sz w:val="24"/>
                <w:szCs w:val="24"/>
              </w:rPr>
              <w:t>机构大额少数资本投资中的核心一级资本中应扣除金额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20</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抵押贷款服务权</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21</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其他依赖于银行未来盈利的</w:t>
            </w:r>
            <w:proofErr w:type="gramStart"/>
            <w:r w:rsidRPr="006733D0">
              <w:rPr>
                <w:rFonts w:ascii="Times New Roman" w:eastAsia="宋体" w:hAnsi="Times New Roman" w:cs="Times New Roman"/>
                <w:color w:val="000000"/>
                <w:kern w:val="0"/>
                <w:sz w:val="24"/>
                <w:szCs w:val="24"/>
              </w:rPr>
              <w:t>净递延税资产</w:t>
            </w:r>
            <w:proofErr w:type="gramEnd"/>
            <w:r w:rsidRPr="006733D0">
              <w:rPr>
                <w:rFonts w:ascii="Times New Roman" w:eastAsia="宋体" w:hAnsi="Times New Roman" w:cs="Times New Roman"/>
                <w:color w:val="000000"/>
                <w:kern w:val="0"/>
                <w:sz w:val="24"/>
                <w:szCs w:val="24"/>
              </w:rPr>
              <w:t>中应扣除金额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22</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对未并</w:t>
            </w:r>
            <w:proofErr w:type="gramStart"/>
            <w:r w:rsidRPr="006733D0">
              <w:rPr>
                <w:rFonts w:ascii="Times New Roman" w:eastAsia="宋体" w:hAnsi="Times New Roman" w:cs="Times New Roman"/>
                <w:color w:val="000000"/>
                <w:kern w:val="0"/>
                <w:sz w:val="24"/>
                <w:szCs w:val="24"/>
              </w:rPr>
              <w:t>表金融</w:t>
            </w:r>
            <w:proofErr w:type="gramEnd"/>
            <w:r w:rsidRPr="006733D0">
              <w:rPr>
                <w:rFonts w:ascii="Times New Roman" w:eastAsia="宋体" w:hAnsi="Times New Roman" w:cs="Times New Roman"/>
                <w:color w:val="000000"/>
                <w:kern w:val="0"/>
                <w:sz w:val="24"/>
                <w:szCs w:val="24"/>
              </w:rPr>
              <w:t>机构大额少数资本投资中的核心一级资本和</w:t>
            </w:r>
            <w:r w:rsidRPr="006733D0">
              <w:rPr>
                <w:rFonts w:ascii="Times New Roman" w:eastAsia="宋体" w:hAnsi="Times New Roman" w:cs="Times New Roman"/>
                <w:color w:val="000000"/>
                <w:kern w:val="0"/>
                <w:sz w:val="24"/>
                <w:szCs w:val="24"/>
              </w:rPr>
              <w:lastRenderedPageBreak/>
              <w:t>其他依赖于银行未来盈利的</w:t>
            </w:r>
            <w:proofErr w:type="gramStart"/>
            <w:r w:rsidRPr="006733D0">
              <w:rPr>
                <w:rFonts w:ascii="Times New Roman" w:eastAsia="宋体" w:hAnsi="Times New Roman" w:cs="Times New Roman"/>
                <w:color w:val="000000"/>
                <w:kern w:val="0"/>
                <w:sz w:val="24"/>
                <w:szCs w:val="24"/>
              </w:rPr>
              <w:t>净递延税资产</w:t>
            </w:r>
            <w:proofErr w:type="gramEnd"/>
            <w:r w:rsidRPr="006733D0">
              <w:rPr>
                <w:rFonts w:ascii="Times New Roman" w:eastAsia="宋体" w:hAnsi="Times New Roman" w:cs="Times New Roman"/>
                <w:color w:val="000000"/>
                <w:kern w:val="0"/>
                <w:sz w:val="24"/>
                <w:szCs w:val="24"/>
              </w:rPr>
              <w:t>的未扣除部分超过核心一级资本</w:t>
            </w:r>
            <w:r w:rsidRPr="006733D0">
              <w:rPr>
                <w:rFonts w:ascii="Times New Roman" w:eastAsia="宋体" w:hAnsi="Times New Roman" w:cs="Times New Roman"/>
                <w:color w:val="000000"/>
                <w:kern w:val="0"/>
                <w:sz w:val="24"/>
                <w:szCs w:val="24"/>
              </w:rPr>
              <w:t>15%</w:t>
            </w:r>
            <w:r w:rsidRPr="006733D0">
              <w:rPr>
                <w:rFonts w:ascii="Times New Roman" w:eastAsia="宋体" w:hAnsi="Times New Roman" w:cs="Times New Roman"/>
                <w:color w:val="000000"/>
                <w:kern w:val="0"/>
                <w:sz w:val="24"/>
                <w:szCs w:val="24"/>
              </w:rPr>
              <w:t>的应扣除金额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lastRenderedPageBreak/>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lastRenderedPageBreak/>
              <w:t>23</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其中：应在对金融机构大额少数资本投资中扣除的金额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24</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其中：抵押贷款服务权应扣除的金额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25</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其中：应在其他依赖于银行未来盈利的</w:t>
            </w:r>
            <w:proofErr w:type="gramStart"/>
            <w:r w:rsidRPr="006733D0">
              <w:rPr>
                <w:rFonts w:ascii="Times New Roman" w:eastAsia="宋体" w:hAnsi="Times New Roman" w:cs="Times New Roman"/>
                <w:color w:val="000000"/>
                <w:kern w:val="0"/>
                <w:sz w:val="24"/>
                <w:szCs w:val="24"/>
              </w:rPr>
              <w:t>净递延税资产</w:t>
            </w:r>
            <w:proofErr w:type="gramEnd"/>
            <w:r w:rsidRPr="006733D0">
              <w:rPr>
                <w:rFonts w:ascii="Times New Roman" w:eastAsia="宋体" w:hAnsi="Times New Roman" w:cs="Times New Roman"/>
                <w:color w:val="000000"/>
                <w:kern w:val="0"/>
                <w:sz w:val="24"/>
                <w:szCs w:val="24"/>
              </w:rPr>
              <w:t>中扣除的金额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26a</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对有控制权但不并表的金融机构的核心一级资本投资</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26b</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对有控制权但不并表的金融机构的核心一级资本缺口</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26c</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其他应在核心一级资本中扣除的项目合计</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27</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应从其他一级资本和二级资本中扣除的未扣缺口</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28</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核心一级资本监管调整总和</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13,556.13</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29</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核心一级资本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2,451,522.88</w:t>
            </w:r>
          </w:p>
        </w:tc>
      </w:tr>
      <w:tr w:rsidR="00AB6D2C" w:rsidRPr="006733D0"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733D0" w:rsidRDefault="00AB6D2C" w:rsidP="00AB6D2C">
            <w:pPr>
              <w:widowControl/>
              <w:jc w:val="left"/>
              <w:rPr>
                <w:rFonts w:ascii="Times New Roman" w:eastAsia="宋体" w:hAnsi="Times New Roman" w:cs="Times New Roman"/>
                <w:b/>
                <w:bCs/>
                <w:color w:val="000000"/>
                <w:kern w:val="0"/>
                <w:sz w:val="24"/>
                <w:szCs w:val="24"/>
              </w:rPr>
            </w:pPr>
            <w:r w:rsidRPr="006733D0">
              <w:rPr>
                <w:rFonts w:ascii="Times New Roman" w:eastAsia="宋体" w:hAnsi="Times New Roman" w:cs="Times New Roman"/>
                <w:b/>
                <w:bCs/>
                <w:color w:val="000000"/>
                <w:kern w:val="0"/>
                <w:sz w:val="24"/>
                <w:szCs w:val="24"/>
              </w:rPr>
              <w:t>其他一级资本</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 xml:space="preserve">　</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30</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其他一级资本工具及其溢价</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31</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其中：权益部分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32</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其中：负债部分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33</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过渡期后不可计入其他一级资本的工具</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34</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少数股东资本可计入部分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8,472.82</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35</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其中：过渡期后不可计入其他一级资本的部分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077C0D"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r w:rsidR="00AB6D2C" w:rsidRPr="006733D0">
              <w:rPr>
                <w:rFonts w:ascii="Times New Roman" w:eastAsia="宋体" w:hAnsi="Times New Roman" w:cs="Times New Roman"/>
                <w:color w:val="000000"/>
                <w:kern w:val="0"/>
                <w:sz w:val="24"/>
                <w:szCs w:val="24"/>
              </w:rPr>
              <w:t xml:space="preserve">　</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36</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监管调整前的其他一级资本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8,472.82</w:t>
            </w:r>
          </w:p>
        </w:tc>
      </w:tr>
      <w:tr w:rsidR="00AB6D2C" w:rsidRPr="006733D0"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733D0" w:rsidRDefault="00AB6D2C" w:rsidP="00AB6D2C">
            <w:pPr>
              <w:widowControl/>
              <w:jc w:val="left"/>
              <w:rPr>
                <w:rFonts w:ascii="Times New Roman" w:eastAsia="宋体" w:hAnsi="Times New Roman" w:cs="Times New Roman"/>
                <w:b/>
                <w:bCs/>
                <w:color w:val="000000"/>
                <w:kern w:val="0"/>
                <w:sz w:val="24"/>
                <w:szCs w:val="24"/>
              </w:rPr>
            </w:pPr>
            <w:r w:rsidRPr="006733D0">
              <w:rPr>
                <w:rFonts w:ascii="Times New Roman" w:eastAsia="宋体" w:hAnsi="Times New Roman" w:cs="Times New Roman"/>
                <w:b/>
                <w:bCs/>
                <w:color w:val="000000"/>
                <w:kern w:val="0"/>
                <w:sz w:val="24"/>
                <w:szCs w:val="24"/>
              </w:rPr>
              <w:t>其他一级资本：监管调整</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 xml:space="preserve">　</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37</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直接或间接持有的本银行其他一级资本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38</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银行间或银行与其他金融机构间通过协议相互持有的其他一级资本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39</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对未并</w:t>
            </w:r>
            <w:proofErr w:type="gramStart"/>
            <w:r w:rsidRPr="006733D0">
              <w:rPr>
                <w:rFonts w:ascii="Times New Roman" w:eastAsia="宋体" w:hAnsi="Times New Roman" w:cs="Times New Roman"/>
                <w:color w:val="000000"/>
                <w:kern w:val="0"/>
                <w:sz w:val="24"/>
                <w:szCs w:val="24"/>
              </w:rPr>
              <w:t>表金融</w:t>
            </w:r>
            <w:proofErr w:type="gramEnd"/>
            <w:r w:rsidRPr="006733D0">
              <w:rPr>
                <w:rFonts w:ascii="Times New Roman" w:eastAsia="宋体" w:hAnsi="Times New Roman" w:cs="Times New Roman"/>
                <w:color w:val="000000"/>
                <w:kern w:val="0"/>
                <w:sz w:val="24"/>
                <w:szCs w:val="24"/>
              </w:rPr>
              <w:t>机构小额少数资本投资中的其他一级资本应扣除部分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40</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对未并</w:t>
            </w:r>
            <w:proofErr w:type="gramStart"/>
            <w:r w:rsidRPr="006733D0">
              <w:rPr>
                <w:rFonts w:ascii="Times New Roman" w:eastAsia="宋体" w:hAnsi="Times New Roman" w:cs="Times New Roman"/>
                <w:color w:val="000000"/>
                <w:kern w:val="0"/>
                <w:sz w:val="24"/>
                <w:szCs w:val="24"/>
              </w:rPr>
              <w:t>表金融</w:t>
            </w:r>
            <w:proofErr w:type="gramEnd"/>
            <w:r w:rsidRPr="006733D0">
              <w:rPr>
                <w:rFonts w:ascii="Times New Roman" w:eastAsia="宋体" w:hAnsi="Times New Roman" w:cs="Times New Roman"/>
                <w:color w:val="000000"/>
                <w:kern w:val="0"/>
                <w:sz w:val="24"/>
                <w:szCs w:val="24"/>
              </w:rPr>
              <w:t>机构大额少数资本投资中的其他一级资本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41a</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对有控制权但不并表的金融机构的其他一级资本投资</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41b</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对有控制权但不并表的金融机构的其他一级资本缺口</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41c</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其他应在其他一级资本中扣除的项目</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42</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应从二级资本中扣除的未扣缺口</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43</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其他一级资本监管调整总和</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44</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其他一级资本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8,472.82</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45</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一级资本（核心一级资本</w:t>
            </w:r>
            <w:r w:rsidRPr="006733D0">
              <w:rPr>
                <w:rFonts w:ascii="Times New Roman" w:eastAsia="宋体" w:hAnsi="Times New Roman" w:cs="Times New Roman"/>
                <w:color w:val="000000"/>
                <w:kern w:val="0"/>
                <w:sz w:val="24"/>
                <w:szCs w:val="24"/>
              </w:rPr>
              <w:t>+</w:t>
            </w:r>
            <w:r w:rsidRPr="006733D0">
              <w:rPr>
                <w:rFonts w:ascii="Times New Roman" w:eastAsia="宋体" w:hAnsi="Times New Roman" w:cs="Times New Roman"/>
                <w:color w:val="000000"/>
                <w:kern w:val="0"/>
                <w:sz w:val="24"/>
                <w:szCs w:val="24"/>
              </w:rPr>
              <w:t>其他一级资本）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2,459,995.70</w:t>
            </w:r>
          </w:p>
        </w:tc>
      </w:tr>
      <w:tr w:rsidR="00AB6D2C" w:rsidRPr="006733D0"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733D0" w:rsidRDefault="00AB6D2C" w:rsidP="00AB6D2C">
            <w:pPr>
              <w:widowControl/>
              <w:jc w:val="left"/>
              <w:rPr>
                <w:rFonts w:ascii="Times New Roman" w:eastAsia="宋体" w:hAnsi="Times New Roman" w:cs="Times New Roman"/>
                <w:b/>
                <w:bCs/>
                <w:color w:val="000000"/>
                <w:kern w:val="0"/>
                <w:sz w:val="24"/>
                <w:szCs w:val="24"/>
              </w:rPr>
            </w:pPr>
            <w:r w:rsidRPr="006733D0">
              <w:rPr>
                <w:rFonts w:ascii="Times New Roman" w:eastAsia="宋体" w:hAnsi="Times New Roman" w:cs="Times New Roman"/>
                <w:b/>
                <w:bCs/>
                <w:color w:val="000000"/>
                <w:kern w:val="0"/>
                <w:sz w:val="24"/>
                <w:szCs w:val="24"/>
              </w:rPr>
              <w:t>二级资本</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 xml:space="preserve">　</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46</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二级资本工具及其溢价</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449,304.50</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47</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过渡期后不可计入二级资本的部分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71362F"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r w:rsidR="00AB6D2C" w:rsidRPr="006733D0">
              <w:rPr>
                <w:rFonts w:ascii="Times New Roman" w:eastAsia="宋体" w:hAnsi="Times New Roman" w:cs="Times New Roman"/>
                <w:color w:val="000000"/>
                <w:kern w:val="0"/>
                <w:sz w:val="24"/>
                <w:szCs w:val="24"/>
              </w:rPr>
              <w:t xml:space="preserve">　</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48</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少数股东资本可计入部分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16,945.64</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49</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其中：过渡期结束后不可计入的部分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71362F"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r w:rsidR="00AB6D2C" w:rsidRPr="006733D0">
              <w:rPr>
                <w:rFonts w:ascii="Times New Roman" w:eastAsia="宋体" w:hAnsi="Times New Roman" w:cs="Times New Roman"/>
                <w:color w:val="000000"/>
                <w:kern w:val="0"/>
                <w:sz w:val="24"/>
                <w:szCs w:val="24"/>
              </w:rPr>
              <w:t xml:space="preserve">　</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50</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超额贷款损失准备可计入部分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273,422.69</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51</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监管调整前的二级资本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739,672.83</w:t>
            </w:r>
          </w:p>
        </w:tc>
      </w:tr>
      <w:tr w:rsidR="00AB6D2C" w:rsidRPr="006733D0"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733D0" w:rsidRDefault="00AB6D2C" w:rsidP="00AB6D2C">
            <w:pPr>
              <w:widowControl/>
              <w:jc w:val="left"/>
              <w:rPr>
                <w:rFonts w:ascii="Times New Roman" w:eastAsia="宋体" w:hAnsi="Times New Roman" w:cs="Times New Roman"/>
                <w:b/>
                <w:bCs/>
                <w:color w:val="000000"/>
                <w:kern w:val="0"/>
                <w:sz w:val="24"/>
                <w:szCs w:val="24"/>
              </w:rPr>
            </w:pPr>
            <w:r w:rsidRPr="006733D0">
              <w:rPr>
                <w:rFonts w:ascii="Times New Roman" w:eastAsia="宋体" w:hAnsi="Times New Roman" w:cs="Times New Roman"/>
                <w:b/>
                <w:bCs/>
                <w:color w:val="000000"/>
                <w:kern w:val="0"/>
                <w:sz w:val="24"/>
                <w:szCs w:val="24"/>
              </w:rPr>
              <w:t>二级资本：监管调整</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 xml:space="preserve">　</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52</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直接或间接持有的本银行的二级资本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lastRenderedPageBreak/>
              <w:t>53</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银行间或银行与其他金融机构间通过协议相互持有的二级资本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54</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对未并</w:t>
            </w:r>
            <w:proofErr w:type="gramStart"/>
            <w:r w:rsidRPr="006733D0">
              <w:rPr>
                <w:rFonts w:ascii="Times New Roman" w:eastAsia="宋体" w:hAnsi="Times New Roman" w:cs="Times New Roman"/>
                <w:color w:val="000000"/>
                <w:kern w:val="0"/>
                <w:sz w:val="24"/>
                <w:szCs w:val="24"/>
              </w:rPr>
              <w:t>表金融</w:t>
            </w:r>
            <w:proofErr w:type="gramEnd"/>
            <w:r w:rsidRPr="006733D0">
              <w:rPr>
                <w:rFonts w:ascii="Times New Roman" w:eastAsia="宋体" w:hAnsi="Times New Roman" w:cs="Times New Roman"/>
                <w:color w:val="000000"/>
                <w:kern w:val="0"/>
                <w:sz w:val="24"/>
                <w:szCs w:val="24"/>
              </w:rPr>
              <w:t>机构小额少数资本投资中的二级资本应扣除部分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55</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对未并</w:t>
            </w:r>
            <w:proofErr w:type="gramStart"/>
            <w:r w:rsidRPr="006733D0">
              <w:rPr>
                <w:rFonts w:ascii="Times New Roman" w:eastAsia="宋体" w:hAnsi="Times New Roman" w:cs="Times New Roman"/>
                <w:color w:val="000000"/>
                <w:kern w:val="0"/>
                <w:sz w:val="24"/>
                <w:szCs w:val="24"/>
              </w:rPr>
              <w:t>表金融</w:t>
            </w:r>
            <w:proofErr w:type="gramEnd"/>
            <w:r w:rsidRPr="006733D0">
              <w:rPr>
                <w:rFonts w:ascii="Times New Roman" w:eastAsia="宋体" w:hAnsi="Times New Roman" w:cs="Times New Roman"/>
                <w:color w:val="000000"/>
                <w:kern w:val="0"/>
                <w:sz w:val="24"/>
                <w:szCs w:val="24"/>
              </w:rPr>
              <w:t>机构大额少数资本投资中的二级资本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56a</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对有控制权但不并表的金融机构的二级资本投资</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56b</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有控制权但不并表的金融机构的二级资本缺口</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56c</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其他应在二级资本中扣除的项目</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57</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二级资本监管调整总和</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58</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二级资本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739,672.83</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59</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总资本（一级资本</w:t>
            </w:r>
            <w:r w:rsidRPr="006733D0">
              <w:rPr>
                <w:rFonts w:ascii="Times New Roman" w:eastAsia="宋体" w:hAnsi="Times New Roman" w:cs="Times New Roman"/>
                <w:color w:val="000000"/>
                <w:kern w:val="0"/>
                <w:sz w:val="24"/>
                <w:szCs w:val="24"/>
              </w:rPr>
              <w:t>+</w:t>
            </w:r>
            <w:r w:rsidRPr="006733D0">
              <w:rPr>
                <w:rFonts w:ascii="Times New Roman" w:eastAsia="宋体" w:hAnsi="Times New Roman" w:cs="Times New Roman"/>
                <w:color w:val="000000"/>
                <w:kern w:val="0"/>
                <w:sz w:val="24"/>
                <w:szCs w:val="24"/>
              </w:rPr>
              <w:t>二级资本）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3,199,668.53</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60</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总风险加权资产</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24,973,260.19</w:t>
            </w:r>
          </w:p>
        </w:tc>
      </w:tr>
      <w:tr w:rsidR="00AB6D2C" w:rsidRPr="006733D0"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733D0" w:rsidRDefault="00AB6D2C" w:rsidP="00AB6D2C">
            <w:pPr>
              <w:widowControl/>
              <w:jc w:val="left"/>
              <w:rPr>
                <w:rFonts w:ascii="Times New Roman" w:eastAsia="宋体" w:hAnsi="Times New Roman" w:cs="Times New Roman"/>
                <w:b/>
                <w:bCs/>
                <w:color w:val="000000"/>
                <w:kern w:val="0"/>
                <w:sz w:val="24"/>
                <w:szCs w:val="24"/>
              </w:rPr>
            </w:pPr>
            <w:r w:rsidRPr="006733D0">
              <w:rPr>
                <w:rFonts w:ascii="Times New Roman" w:eastAsia="宋体" w:hAnsi="Times New Roman" w:cs="Times New Roman"/>
                <w:b/>
                <w:bCs/>
                <w:color w:val="000000"/>
                <w:kern w:val="0"/>
                <w:sz w:val="24"/>
                <w:szCs w:val="24"/>
              </w:rPr>
              <w:t>资本充足率和储备资本要求</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 xml:space="preserve">　</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61</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核心一级资本充足率</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9.82%</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62</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一级资本充足率</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9.85%</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63</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资本充足率</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12.81%</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64</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机构特定的资本要求</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2.50%</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65</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其中：储备资本要求</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2.50%</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66</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其中：逆周期资本要求</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67</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其中：全球系统重要性银行附加资本要求</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68</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满足缓冲区的核心一级资本</w:t>
            </w:r>
            <w:proofErr w:type="gramStart"/>
            <w:r w:rsidRPr="006733D0">
              <w:rPr>
                <w:rFonts w:ascii="Times New Roman" w:eastAsia="宋体" w:hAnsi="Times New Roman" w:cs="Times New Roman"/>
                <w:color w:val="000000"/>
                <w:kern w:val="0"/>
                <w:sz w:val="24"/>
                <w:szCs w:val="24"/>
              </w:rPr>
              <w:t>占风险</w:t>
            </w:r>
            <w:proofErr w:type="gramEnd"/>
            <w:r w:rsidRPr="006733D0">
              <w:rPr>
                <w:rFonts w:ascii="Times New Roman" w:eastAsia="宋体" w:hAnsi="Times New Roman" w:cs="Times New Roman"/>
                <w:color w:val="000000"/>
                <w:kern w:val="0"/>
                <w:sz w:val="24"/>
                <w:szCs w:val="24"/>
              </w:rPr>
              <w:t>加权资产的比例</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733D0" w:rsidRDefault="00AB6D2C" w:rsidP="00AB6D2C">
            <w:pPr>
              <w:widowControl/>
              <w:jc w:val="left"/>
              <w:rPr>
                <w:rFonts w:ascii="Times New Roman" w:eastAsia="宋体" w:hAnsi="Times New Roman" w:cs="Times New Roman"/>
                <w:b/>
                <w:bCs/>
                <w:color w:val="000000"/>
                <w:kern w:val="0"/>
                <w:sz w:val="24"/>
                <w:szCs w:val="24"/>
              </w:rPr>
            </w:pPr>
            <w:r w:rsidRPr="006733D0">
              <w:rPr>
                <w:rFonts w:ascii="Times New Roman" w:eastAsia="宋体" w:hAnsi="Times New Roman" w:cs="Times New Roman"/>
                <w:b/>
                <w:bCs/>
                <w:color w:val="000000"/>
                <w:kern w:val="0"/>
                <w:sz w:val="24"/>
                <w:szCs w:val="24"/>
              </w:rPr>
              <w:t>国内最低监管资本要求</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 xml:space="preserve">　</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69</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核心一级资本充足率</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5.00%</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70</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一级资本充足率</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6.00%</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71</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资本充足率</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8.00%</w:t>
            </w:r>
          </w:p>
        </w:tc>
      </w:tr>
      <w:tr w:rsidR="00AB6D2C" w:rsidRPr="006733D0"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733D0" w:rsidRDefault="00AB6D2C" w:rsidP="00AB6D2C">
            <w:pPr>
              <w:widowControl/>
              <w:jc w:val="left"/>
              <w:rPr>
                <w:rFonts w:ascii="Times New Roman" w:eastAsia="宋体" w:hAnsi="Times New Roman" w:cs="Times New Roman"/>
                <w:b/>
                <w:bCs/>
                <w:color w:val="000000"/>
                <w:kern w:val="0"/>
                <w:sz w:val="24"/>
                <w:szCs w:val="24"/>
              </w:rPr>
            </w:pPr>
            <w:r w:rsidRPr="006733D0">
              <w:rPr>
                <w:rFonts w:ascii="Times New Roman" w:eastAsia="宋体" w:hAnsi="Times New Roman" w:cs="Times New Roman"/>
                <w:b/>
                <w:bCs/>
                <w:color w:val="000000"/>
                <w:kern w:val="0"/>
                <w:sz w:val="24"/>
                <w:szCs w:val="24"/>
              </w:rPr>
              <w:t>门槛扣除项中未扣除部分</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 xml:space="preserve">　</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72</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对未并</w:t>
            </w:r>
            <w:proofErr w:type="gramStart"/>
            <w:r w:rsidRPr="006733D0">
              <w:rPr>
                <w:rFonts w:ascii="Times New Roman" w:eastAsia="宋体" w:hAnsi="Times New Roman" w:cs="Times New Roman"/>
                <w:color w:val="000000"/>
                <w:kern w:val="0"/>
                <w:sz w:val="24"/>
                <w:szCs w:val="24"/>
              </w:rPr>
              <w:t>表金融</w:t>
            </w:r>
            <w:proofErr w:type="gramEnd"/>
            <w:r w:rsidRPr="006733D0">
              <w:rPr>
                <w:rFonts w:ascii="Times New Roman" w:eastAsia="宋体" w:hAnsi="Times New Roman" w:cs="Times New Roman"/>
                <w:color w:val="000000"/>
                <w:kern w:val="0"/>
                <w:sz w:val="24"/>
                <w:szCs w:val="24"/>
              </w:rPr>
              <w:t>机构的小额少数资本投资未扣除部分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12,439.91</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73</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对未并</w:t>
            </w:r>
            <w:proofErr w:type="gramStart"/>
            <w:r w:rsidRPr="006733D0">
              <w:rPr>
                <w:rFonts w:ascii="Times New Roman" w:eastAsia="宋体" w:hAnsi="Times New Roman" w:cs="Times New Roman"/>
                <w:color w:val="000000"/>
                <w:kern w:val="0"/>
                <w:sz w:val="24"/>
                <w:szCs w:val="24"/>
              </w:rPr>
              <w:t>表金融</w:t>
            </w:r>
            <w:proofErr w:type="gramEnd"/>
            <w:r w:rsidRPr="006733D0">
              <w:rPr>
                <w:rFonts w:ascii="Times New Roman" w:eastAsia="宋体" w:hAnsi="Times New Roman" w:cs="Times New Roman"/>
                <w:color w:val="000000"/>
                <w:kern w:val="0"/>
                <w:sz w:val="24"/>
                <w:szCs w:val="24"/>
              </w:rPr>
              <w:t>机构的大额少数资本投资未扣除部分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48,670.05</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74</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抵押贷款服务权（扣除</w:t>
            </w:r>
            <w:proofErr w:type="gramStart"/>
            <w:r w:rsidRPr="006733D0">
              <w:rPr>
                <w:rFonts w:ascii="Times New Roman" w:eastAsia="宋体" w:hAnsi="Times New Roman" w:cs="Times New Roman"/>
                <w:color w:val="000000"/>
                <w:kern w:val="0"/>
                <w:sz w:val="24"/>
                <w:szCs w:val="24"/>
              </w:rPr>
              <w:t>递延税负债</w:t>
            </w:r>
            <w:proofErr w:type="gramEnd"/>
            <w:r w:rsidRPr="006733D0">
              <w:rPr>
                <w:rFonts w:ascii="Times New Roman" w:eastAsia="宋体" w:hAnsi="Times New Roman" w:cs="Times New Roman"/>
                <w:color w:val="000000"/>
                <w:kern w:val="0"/>
                <w:sz w:val="24"/>
                <w:szCs w:val="24"/>
              </w:rPr>
              <w:t>）</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75</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其他依赖于银行未来盈利的</w:t>
            </w:r>
            <w:proofErr w:type="gramStart"/>
            <w:r w:rsidRPr="006733D0">
              <w:rPr>
                <w:rFonts w:ascii="Times New Roman" w:eastAsia="宋体" w:hAnsi="Times New Roman" w:cs="Times New Roman"/>
                <w:color w:val="000000"/>
                <w:kern w:val="0"/>
                <w:sz w:val="24"/>
                <w:szCs w:val="24"/>
              </w:rPr>
              <w:t>净递延税</w:t>
            </w:r>
            <w:proofErr w:type="gramEnd"/>
            <w:r w:rsidRPr="006733D0">
              <w:rPr>
                <w:rFonts w:ascii="Times New Roman" w:eastAsia="宋体" w:hAnsi="Times New Roman" w:cs="Times New Roman"/>
                <w:color w:val="000000"/>
                <w:kern w:val="0"/>
                <w:sz w:val="24"/>
                <w:szCs w:val="24"/>
              </w:rPr>
              <w:t>资产（扣除</w:t>
            </w:r>
            <w:proofErr w:type="gramStart"/>
            <w:r w:rsidRPr="006733D0">
              <w:rPr>
                <w:rFonts w:ascii="Times New Roman" w:eastAsia="宋体" w:hAnsi="Times New Roman" w:cs="Times New Roman"/>
                <w:color w:val="000000"/>
                <w:kern w:val="0"/>
                <w:sz w:val="24"/>
                <w:szCs w:val="24"/>
              </w:rPr>
              <w:t>递延税负债</w:t>
            </w:r>
            <w:proofErr w:type="gramEnd"/>
            <w:r w:rsidRPr="006733D0">
              <w:rPr>
                <w:rFonts w:ascii="Times New Roman" w:eastAsia="宋体" w:hAnsi="Times New Roman" w:cs="Times New Roman"/>
                <w:color w:val="000000"/>
                <w:kern w:val="0"/>
                <w:sz w:val="24"/>
                <w:szCs w:val="24"/>
              </w:rPr>
              <w:t>）</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111,438.00</w:t>
            </w:r>
          </w:p>
        </w:tc>
      </w:tr>
      <w:tr w:rsidR="00AB6D2C" w:rsidRPr="006733D0"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733D0" w:rsidRDefault="00AB6D2C" w:rsidP="00AB6D2C">
            <w:pPr>
              <w:widowControl/>
              <w:jc w:val="left"/>
              <w:rPr>
                <w:rFonts w:ascii="Times New Roman" w:eastAsia="宋体" w:hAnsi="Times New Roman" w:cs="Times New Roman"/>
                <w:b/>
                <w:bCs/>
                <w:color w:val="000000"/>
                <w:kern w:val="0"/>
                <w:sz w:val="24"/>
                <w:szCs w:val="24"/>
              </w:rPr>
            </w:pPr>
            <w:r w:rsidRPr="006733D0">
              <w:rPr>
                <w:rFonts w:ascii="Times New Roman" w:eastAsia="宋体" w:hAnsi="Times New Roman" w:cs="Times New Roman"/>
                <w:b/>
                <w:bCs/>
                <w:color w:val="000000"/>
                <w:kern w:val="0"/>
                <w:sz w:val="24"/>
                <w:szCs w:val="24"/>
              </w:rPr>
              <w:t>可计入二级资本的超额贷款损失准备的限额</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 xml:space="preserve">　</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76</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权重法下，实际计提的贷款损失准备金额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521,276.22</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77</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权重法下，可计入二级资本超额贷款损失准备的数额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273,422.69</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78</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内部评级法下，实际计提的超额贷款损失准备金额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79</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内部评级法下，可计入二级资本超额贷款损失准备的数额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733D0" w:rsidRDefault="00AB6D2C" w:rsidP="00AB6D2C">
            <w:pPr>
              <w:widowControl/>
              <w:jc w:val="left"/>
              <w:rPr>
                <w:rFonts w:ascii="Times New Roman" w:eastAsia="宋体" w:hAnsi="Times New Roman" w:cs="Times New Roman"/>
                <w:b/>
                <w:bCs/>
                <w:color w:val="000000"/>
                <w:kern w:val="0"/>
                <w:sz w:val="24"/>
                <w:szCs w:val="24"/>
              </w:rPr>
            </w:pPr>
            <w:r w:rsidRPr="006733D0">
              <w:rPr>
                <w:rFonts w:ascii="Times New Roman" w:eastAsia="宋体" w:hAnsi="Times New Roman" w:cs="Times New Roman"/>
                <w:b/>
                <w:bCs/>
                <w:color w:val="000000"/>
                <w:kern w:val="0"/>
                <w:sz w:val="24"/>
                <w:szCs w:val="24"/>
              </w:rPr>
              <w:t>符合退出安排的资本工具</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 xml:space="preserve">　</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80</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因过渡期安排造成的当期可计入核心一级资本的数额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81</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因过渡期安排造成的不可计入核心一级资本的数额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82</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因过渡期安排造成的当期可计入其他一级资本的数额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83</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因过渡期安排造成的不可计入其他一级资本的数额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84</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因过渡期安排造成的当期可计入二级资本的数额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85</w:t>
            </w:r>
          </w:p>
        </w:tc>
        <w:tc>
          <w:tcPr>
            <w:tcW w:w="3714"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因过渡期安排造成的当期不可计入二级资本的数额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bl>
    <w:p w:rsidR="002B0452" w:rsidRPr="006733D0" w:rsidRDefault="002B0452" w:rsidP="003E26F0">
      <w:pPr>
        <w:ind w:firstLine="420"/>
        <w:rPr>
          <w:rFonts w:ascii="Times New Roman" w:hAnsi="Times New Roman" w:cs="Times New Roman"/>
          <w:b/>
          <w:sz w:val="24"/>
          <w:szCs w:val="24"/>
        </w:rPr>
      </w:pPr>
    </w:p>
    <w:p w:rsidR="002B0452" w:rsidRPr="006733D0" w:rsidRDefault="002B0452">
      <w:pPr>
        <w:widowControl/>
        <w:jc w:val="left"/>
        <w:rPr>
          <w:rFonts w:ascii="Times New Roman" w:hAnsi="Times New Roman" w:cs="Times New Roman"/>
          <w:b/>
          <w:sz w:val="24"/>
          <w:szCs w:val="24"/>
        </w:rPr>
      </w:pPr>
      <w:r w:rsidRPr="006733D0">
        <w:rPr>
          <w:rFonts w:ascii="Times New Roman" w:hAnsi="Times New Roman" w:cs="Times New Roman"/>
          <w:b/>
          <w:sz w:val="24"/>
          <w:szCs w:val="24"/>
        </w:rPr>
        <w:br w:type="page"/>
      </w:r>
    </w:p>
    <w:p w:rsidR="00AB6D2C" w:rsidRPr="006733D0" w:rsidRDefault="00AB6D2C" w:rsidP="003E26F0">
      <w:pPr>
        <w:ind w:firstLine="420"/>
        <w:rPr>
          <w:rFonts w:ascii="Times New Roman" w:hAnsi="Times New Roman" w:cs="Times New Roman"/>
          <w:b/>
          <w:sz w:val="24"/>
          <w:szCs w:val="24"/>
        </w:rPr>
      </w:pPr>
      <w:r w:rsidRPr="006733D0">
        <w:rPr>
          <w:rFonts w:ascii="Times New Roman" w:hAnsi="Times New Roman" w:cs="Times New Roman"/>
          <w:b/>
          <w:sz w:val="24"/>
          <w:szCs w:val="24"/>
        </w:rPr>
        <w:lastRenderedPageBreak/>
        <w:t>二、有关科目展开说明</w:t>
      </w:r>
    </w:p>
    <w:p w:rsidR="00834A3C" w:rsidRPr="006733D0" w:rsidRDefault="00834A3C" w:rsidP="003E26F0">
      <w:pPr>
        <w:ind w:firstLine="420"/>
        <w:rPr>
          <w:rFonts w:ascii="Times New Roman" w:hAnsi="Times New Roman" w:cs="Times New Roman"/>
          <w:b/>
          <w:sz w:val="24"/>
          <w:szCs w:val="24"/>
        </w:rPr>
      </w:pPr>
    </w:p>
    <w:p w:rsidR="00AB6D2C" w:rsidRPr="006733D0" w:rsidRDefault="00AB6D2C" w:rsidP="00AB6D2C">
      <w:pPr>
        <w:ind w:firstLine="420"/>
        <w:jc w:val="right"/>
        <w:rPr>
          <w:rFonts w:ascii="Times New Roman" w:hAnsi="Times New Roman" w:cs="Times New Roman"/>
          <w:sz w:val="24"/>
          <w:szCs w:val="24"/>
        </w:rPr>
      </w:pPr>
      <w:r w:rsidRPr="006733D0">
        <w:rPr>
          <w:rFonts w:ascii="Times New Roman" w:hAnsi="Times New Roman" w:cs="Times New Roman"/>
          <w:sz w:val="24"/>
          <w:szCs w:val="24"/>
        </w:rPr>
        <w:t>单位：人民币万元</w:t>
      </w:r>
      <w:r w:rsidR="002B0452" w:rsidRPr="006733D0">
        <w:rPr>
          <w:rFonts w:ascii="Times New Roman" w:hAnsi="Times New Roman" w:cs="Times New Roman"/>
          <w:sz w:val="24"/>
          <w:szCs w:val="24"/>
        </w:rPr>
        <w:t>、监管并表口径</w:t>
      </w:r>
    </w:p>
    <w:tbl>
      <w:tblPr>
        <w:tblW w:w="5000" w:type="pct"/>
        <w:tblLayout w:type="fixed"/>
        <w:tblLook w:val="04A0" w:firstRow="1" w:lastRow="0" w:firstColumn="1" w:lastColumn="0" w:noHBand="0" w:noVBand="1"/>
      </w:tblPr>
      <w:tblGrid>
        <w:gridCol w:w="4644"/>
        <w:gridCol w:w="3121"/>
        <w:gridCol w:w="757"/>
      </w:tblGrid>
      <w:tr w:rsidR="00AB6D2C" w:rsidRPr="006733D0" w:rsidTr="00AB6D2C">
        <w:trPr>
          <w:trHeight w:val="270"/>
        </w:trPr>
        <w:tc>
          <w:tcPr>
            <w:tcW w:w="272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AB6D2C" w:rsidRPr="006733D0" w:rsidRDefault="00AB6D2C" w:rsidP="00AB6D2C">
            <w:pPr>
              <w:widowControl/>
              <w:jc w:val="left"/>
              <w:rPr>
                <w:rFonts w:ascii="Times New Roman" w:eastAsia="宋体" w:hAnsi="Times New Roman" w:cs="Times New Roman"/>
                <w:b/>
                <w:color w:val="000000"/>
                <w:kern w:val="0"/>
                <w:sz w:val="24"/>
                <w:szCs w:val="24"/>
              </w:rPr>
            </w:pPr>
            <w:r w:rsidRPr="006733D0">
              <w:rPr>
                <w:rFonts w:ascii="Times New Roman" w:eastAsia="宋体" w:hAnsi="Times New Roman" w:cs="Times New Roman"/>
                <w:b/>
                <w:color w:val="000000"/>
                <w:kern w:val="0"/>
                <w:sz w:val="24"/>
                <w:szCs w:val="24"/>
              </w:rPr>
              <w:t>科目</w:t>
            </w:r>
          </w:p>
        </w:tc>
        <w:tc>
          <w:tcPr>
            <w:tcW w:w="1831"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AB6D2C" w:rsidRPr="006733D0" w:rsidRDefault="00AB6D2C" w:rsidP="00AB6D2C">
            <w:pPr>
              <w:widowControl/>
              <w:jc w:val="right"/>
              <w:rPr>
                <w:rFonts w:ascii="Times New Roman" w:eastAsia="宋体" w:hAnsi="Times New Roman" w:cs="Times New Roman"/>
                <w:b/>
                <w:color w:val="000000"/>
                <w:kern w:val="0"/>
                <w:sz w:val="24"/>
                <w:szCs w:val="24"/>
              </w:rPr>
            </w:pPr>
            <w:r w:rsidRPr="006733D0">
              <w:rPr>
                <w:rFonts w:ascii="Times New Roman" w:eastAsia="宋体" w:hAnsi="Times New Roman" w:cs="Times New Roman"/>
                <w:b/>
                <w:color w:val="000000"/>
                <w:kern w:val="0"/>
                <w:sz w:val="24"/>
                <w:szCs w:val="24"/>
              </w:rPr>
              <w:t>监管并表口径下的资产负债表</w:t>
            </w:r>
          </w:p>
        </w:tc>
        <w:tc>
          <w:tcPr>
            <w:tcW w:w="445"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AB6D2C" w:rsidRPr="006733D0" w:rsidRDefault="00AB6D2C" w:rsidP="00AB6D2C">
            <w:pPr>
              <w:widowControl/>
              <w:jc w:val="left"/>
              <w:rPr>
                <w:rFonts w:ascii="Times New Roman" w:eastAsia="宋体" w:hAnsi="Times New Roman" w:cs="Times New Roman"/>
                <w:b/>
                <w:color w:val="000000"/>
                <w:kern w:val="0"/>
                <w:sz w:val="24"/>
                <w:szCs w:val="24"/>
              </w:rPr>
            </w:pPr>
            <w:r w:rsidRPr="006733D0">
              <w:rPr>
                <w:rFonts w:ascii="Times New Roman" w:eastAsia="宋体" w:hAnsi="Times New Roman" w:cs="Times New Roman"/>
                <w:b/>
                <w:color w:val="000000"/>
                <w:kern w:val="0"/>
                <w:sz w:val="24"/>
                <w:szCs w:val="24"/>
              </w:rPr>
              <w:t>代码</w:t>
            </w:r>
          </w:p>
        </w:tc>
      </w:tr>
      <w:tr w:rsidR="00AB6D2C" w:rsidRPr="006733D0" w:rsidTr="00AB6D2C">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商誉</w:t>
            </w:r>
          </w:p>
        </w:tc>
        <w:tc>
          <w:tcPr>
            <w:tcW w:w="183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c>
          <w:tcPr>
            <w:tcW w:w="445" w:type="pct"/>
            <w:tcBorders>
              <w:top w:val="nil"/>
              <w:left w:val="nil"/>
              <w:bottom w:val="single" w:sz="4" w:space="0" w:color="auto"/>
              <w:right w:val="single" w:sz="4" w:space="0" w:color="auto"/>
            </w:tcBorders>
            <w:shd w:val="clear" w:color="auto" w:fill="auto"/>
            <w:noWrap/>
            <w:vAlign w:val="bottom"/>
            <w:hideMark/>
          </w:tcPr>
          <w:p w:rsidR="00AB6D2C" w:rsidRPr="006733D0" w:rsidRDefault="00AB6D2C" w:rsidP="00AB6D2C">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a</w:t>
            </w:r>
          </w:p>
        </w:tc>
      </w:tr>
      <w:tr w:rsidR="00AB6D2C" w:rsidRPr="006733D0" w:rsidTr="00AB6D2C">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无形资产</w:t>
            </w:r>
          </w:p>
        </w:tc>
        <w:tc>
          <w:tcPr>
            <w:tcW w:w="183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42,073.75</w:t>
            </w:r>
          </w:p>
        </w:tc>
        <w:tc>
          <w:tcPr>
            <w:tcW w:w="445" w:type="pct"/>
            <w:tcBorders>
              <w:top w:val="nil"/>
              <w:left w:val="nil"/>
              <w:bottom w:val="single" w:sz="4" w:space="0" w:color="auto"/>
              <w:right w:val="single" w:sz="4" w:space="0" w:color="auto"/>
            </w:tcBorders>
            <w:shd w:val="clear" w:color="auto" w:fill="auto"/>
            <w:noWrap/>
            <w:vAlign w:val="bottom"/>
            <w:hideMark/>
          </w:tcPr>
          <w:p w:rsidR="00AB6D2C" w:rsidRPr="006733D0" w:rsidRDefault="00AB6D2C" w:rsidP="00AB6D2C">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b</w:t>
            </w:r>
          </w:p>
        </w:tc>
      </w:tr>
      <w:tr w:rsidR="00AB6D2C" w:rsidRPr="006733D0" w:rsidTr="00AB6D2C">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6733D0" w:rsidRDefault="00AB6D2C" w:rsidP="006733D0">
            <w:pPr>
              <w:widowControl/>
              <w:ind w:firstLineChars="100" w:firstLine="240"/>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其中：土地使用权</w:t>
            </w:r>
          </w:p>
        </w:tc>
        <w:tc>
          <w:tcPr>
            <w:tcW w:w="183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28,517.62</w:t>
            </w:r>
          </w:p>
        </w:tc>
        <w:tc>
          <w:tcPr>
            <w:tcW w:w="445" w:type="pct"/>
            <w:tcBorders>
              <w:top w:val="nil"/>
              <w:left w:val="nil"/>
              <w:bottom w:val="single" w:sz="4" w:space="0" w:color="auto"/>
              <w:right w:val="single" w:sz="4" w:space="0" w:color="auto"/>
            </w:tcBorders>
            <w:shd w:val="clear" w:color="auto" w:fill="auto"/>
            <w:noWrap/>
            <w:vAlign w:val="bottom"/>
            <w:hideMark/>
          </w:tcPr>
          <w:p w:rsidR="00AB6D2C" w:rsidRPr="006733D0" w:rsidRDefault="00AB6D2C" w:rsidP="00AB6D2C">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c</w:t>
            </w:r>
          </w:p>
        </w:tc>
      </w:tr>
      <w:tr w:rsidR="00AB6D2C" w:rsidRPr="006733D0" w:rsidTr="00AB6D2C">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投资</w:t>
            </w:r>
          </w:p>
        </w:tc>
        <w:tc>
          <w:tcPr>
            <w:tcW w:w="183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11,525,419.91</w:t>
            </w:r>
          </w:p>
        </w:tc>
        <w:tc>
          <w:tcPr>
            <w:tcW w:w="445" w:type="pct"/>
            <w:tcBorders>
              <w:top w:val="nil"/>
              <w:left w:val="nil"/>
              <w:bottom w:val="single" w:sz="4" w:space="0" w:color="auto"/>
              <w:right w:val="single" w:sz="4" w:space="0" w:color="auto"/>
            </w:tcBorders>
            <w:shd w:val="clear" w:color="auto" w:fill="auto"/>
            <w:noWrap/>
            <w:vAlign w:val="bottom"/>
            <w:hideMark/>
          </w:tcPr>
          <w:p w:rsidR="00AB6D2C" w:rsidRPr="006733D0" w:rsidRDefault="00AB6D2C" w:rsidP="00AB6D2C">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AB6D2C">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6733D0" w:rsidRDefault="00AB6D2C" w:rsidP="006733D0">
            <w:pPr>
              <w:widowControl/>
              <w:ind w:firstLineChars="100" w:firstLine="240"/>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其中：长期股权投资</w:t>
            </w:r>
          </w:p>
        </w:tc>
        <w:tc>
          <w:tcPr>
            <w:tcW w:w="183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48,670.05</w:t>
            </w:r>
          </w:p>
        </w:tc>
        <w:tc>
          <w:tcPr>
            <w:tcW w:w="445" w:type="pct"/>
            <w:tcBorders>
              <w:top w:val="nil"/>
              <w:left w:val="nil"/>
              <w:bottom w:val="single" w:sz="4" w:space="0" w:color="auto"/>
              <w:right w:val="single" w:sz="4" w:space="0" w:color="auto"/>
            </w:tcBorders>
            <w:shd w:val="clear" w:color="auto" w:fill="auto"/>
            <w:noWrap/>
            <w:vAlign w:val="bottom"/>
            <w:hideMark/>
          </w:tcPr>
          <w:p w:rsidR="00AB6D2C" w:rsidRPr="006733D0" w:rsidRDefault="00AB6D2C" w:rsidP="00AB6D2C">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d</w:t>
            </w:r>
          </w:p>
        </w:tc>
      </w:tr>
      <w:tr w:rsidR="00AB6D2C" w:rsidRPr="006733D0" w:rsidTr="00AB6D2C">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6733D0" w:rsidRDefault="00AB6D2C" w:rsidP="006733D0">
            <w:pPr>
              <w:widowControl/>
              <w:ind w:firstLineChars="100" w:firstLine="240"/>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其中：其他股权投资</w:t>
            </w:r>
          </w:p>
        </w:tc>
        <w:tc>
          <w:tcPr>
            <w:tcW w:w="183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12,439.91</w:t>
            </w:r>
          </w:p>
        </w:tc>
        <w:tc>
          <w:tcPr>
            <w:tcW w:w="445" w:type="pct"/>
            <w:tcBorders>
              <w:top w:val="nil"/>
              <w:left w:val="nil"/>
              <w:bottom w:val="single" w:sz="4" w:space="0" w:color="auto"/>
              <w:right w:val="single" w:sz="4" w:space="0" w:color="auto"/>
            </w:tcBorders>
            <w:shd w:val="clear" w:color="auto" w:fill="auto"/>
            <w:noWrap/>
            <w:vAlign w:val="bottom"/>
            <w:hideMark/>
          </w:tcPr>
          <w:p w:rsidR="00AB6D2C" w:rsidRPr="006733D0" w:rsidRDefault="00AB6D2C" w:rsidP="00AB6D2C">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e</w:t>
            </w:r>
          </w:p>
        </w:tc>
      </w:tr>
      <w:tr w:rsidR="00AB6D2C" w:rsidRPr="006733D0" w:rsidTr="00AB6D2C">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递延所得税资产</w:t>
            </w:r>
          </w:p>
        </w:tc>
        <w:tc>
          <w:tcPr>
            <w:tcW w:w="183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111,438.00</w:t>
            </w:r>
          </w:p>
        </w:tc>
        <w:tc>
          <w:tcPr>
            <w:tcW w:w="445" w:type="pct"/>
            <w:tcBorders>
              <w:top w:val="nil"/>
              <w:left w:val="nil"/>
              <w:bottom w:val="single" w:sz="4" w:space="0" w:color="auto"/>
              <w:right w:val="single" w:sz="4" w:space="0" w:color="auto"/>
            </w:tcBorders>
            <w:shd w:val="clear" w:color="auto" w:fill="auto"/>
            <w:noWrap/>
            <w:vAlign w:val="bottom"/>
            <w:hideMark/>
          </w:tcPr>
          <w:p w:rsidR="00AB6D2C" w:rsidRPr="006733D0" w:rsidRDefault="00AB6D2C" w:rsidP="00AB6D2C">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f</w:t>
            </w:r>
          </w:p>
        </w:tc>
      </w:tr>
      <w:tr w:rsidR="00AB6D2C" w:rsidRPr="006733D0" w:rsidTr="00AB6D2C">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6733D0" w:rsidRDefault="00AB6D2C" w:rsidP="006733D0">
            <w:pPr>
              <w:widowControl/>
              <w:ind w:firstLineChars="100" w:firstLine="240"/>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其中：依赖未来盈利的由经营亏损引起的</w:t>
            </w:r>
            <w:proofErr w:type="gramStart"/>
            <w:r w:rsidRPr="006733D0">
              <w:rPr>
                <w:rFonts w:ascii="Times New Roman" w:eastAsia="宋体" w:hAnsi="Times New Roman" w:cs="Times New Roman"/>
                <w:color w:val="000000"/>
                <w:kern w:val="0"/>
                <w:sz w:val="24"/>
                <w:szCs w:val="24"/>
              </w:rPr>
              <w:t>净递延税资产</w:t>
            </w:r>
            <w:proofErr w:type="gramEnd"/>
          </w:p>
        </w:tc>
        <w:tc>
          <w:tcPr>
            <w:tcW w:w="183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c>
          <w:tcPr>
            <w:tcW w:w="445" w:type="pct"/>
            <w:tcBorders>
              <w:top w:val="nil"/>
              <w:left w:val="nil"/>
              <w:bottom w:val="single" w:sz="4" w:space="0" w:color="auto"/>
              <w:right w:val="single" w:sz="4" w:space="0" w:color="auto"/>
            </w:tcBorders>
            <w:shd w:val="clear" w:color="auto" w:fill="auto"/>
            <w:noWrap/>
            <w:vAlign w:val="bottom"/>
            <w:hideMark/>
          </w:tcPr>
          <w:p w:rsidR="00AB6D2C" w:rsidRPr="006733D0" w:rsidRDefault="00AB6D2C" w:rsidP="00AB6D2C">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g</w:t>
            </w:r>
          </w:p>
        </w:tc>
      </w:tr>
      <w:tr w:rsidR="00AB6D2C" w:rsidRPr="006733D0" w:rsidTr="00AB6D2C">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递延所得税负债</w:t>
            </w:r>
          </w:p>
        </w:tc>
        <w:tc>
          <w:tcPr>
            <w:tcW w:w="183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c>
          <w:tcPr>
            <w:tcW w:w="445" w:type="pct"/>
            <w:tcBorders>
              <w:top w:val="nil"/>
              <w:left w:val="nil"/>
              <w:bottom w:val="single" w:sz="4" w:space="0" w:color="auto"/>
              <w:right w:val="single" w:sz="4" w:space="0" w:color="auto"/>
            </w:tcBorders>
            <w:shd w:val="clear" w:color="auto" w:fill="auto"/>
            <w:noWrap/>
            <w:vAlign w:val="bottom"/>
            <w:hideMark/>
          </w:tcPr>
          <w:p w:rsidR="00AB6D2C" w:rsidRPr="006733D0" w:rsidRDefault="00AB6D2C" w:rsidP="00AB6D2C">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AB6D2C">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6733D0" w:rsidRDefault="00AB6D2C" w:rsidP="006733D0">
            <w:pPr>
              <w:widowControl/>
              <w:ind w:firstLineChars="100" w:firstLine="240"/>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其中：与商誉相关的递延税项负债</w:t>
            </w:r>
          </w:p>
        </w:tc>
        <w:tc>
          <w:tcPr>
            <w:tcW w:w="183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c>
          <w:tcPr>
            <w:tcW w:w="445" w:type="pct"/>
            <w:tcBorders>
              <w:top w:val="nil"/>
              <w:left w:val="nil"/>
              <w:bottom w:val="single" w:sz="4" w:space="0" w:color="auto"/>
              <w:right w:val="single" w:sz="4" w:space="0" w:color="auto"/>
            </w:tcBorders>
            <w:shd w:val="clear" w:color="auto" w:fill="auto"/>
            <w:noWrap/>
            <w:vAlign w:val="bottom"/>
            <w:hideMark/>
          </w:tcPr>
          <w:p w:rsidR="00AB6D2C" w:rsidRPr="006733D0" w:rsidRDefault="00AB6D2C" w:rsidP="00AB6D2C">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h</w:t>
            </w:r>
          </w:p>
        </w:tc>
      </w:tr>
      <w:tr w:rsidR="00AB6D2C" w:rsidRPr="006733D0" w:rsidTr="00AB6D2C">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6733D0" w:rsidRDefault="00AB6D2C" w:rsidP="006733D0">
            <w:pPr>
              <w:widowControl/>
              <w:ind w:firstLineChars="100" w:firstLine="240"/>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其中：与其他无形资产</w:t>
            </w:r>
            <w:r w:rsidRPr="006733D0">
              <w:rPr>
                <w:rFonts w:ascii="Times New Roman" w:eastAsia="宋体" w:hAnsi="Times New Roman" w:cs="Times New Roman"/>
                <w:color w:val="000000"/>
                <w:kern w:val="0"/>
                <w:sz w:val="24"/>
                <w:szCs w:val="24"/>
              </w:rPr>
              <w:t>(</w:t>
            </w:r>
            <w:r w:rsidRPr="006733D0">
              <w:rPr>
                <w:rFonts w:ascii="Times New Roman" w:eastAsia="宋体" w:hAnsi="Times New Roman" w:cs="Times New Roman"/>
                <w:color w:val="000000"/>
                <w:kern w:val="0"/>
                <w:sz w:val="24"/>
                <w:szCs w:val="24"/>
              </w:rPr>
              <w:t>不含土地使用权</w:t>
            </w:r>
            <w:r w:rsidRPr="006733D0">
              <w:rPr>
                <w:rFonts w:ascii="Times New Roman" w:eastAsia="宋体" w:hAnsi="Times New Roman" w:cs="Times New Roman"/>
                <w:color w:val="000000"/>
                <w:kern w:val="0"/>
                <w:sz w:val="24"/>
                <w:szCs w:val="24"/>
              </w:rPr>
              <w:t>)</w:t>
            </w:r>
            <w:r w:rsidRPr="006733D0">
              <w:rPr>
                <w:rFonts w:ascii="Times New Roman" w:eastAsia="宋体" w:hAnsi="Times New Roman" w:cs="Times New Roman"/>
                <w:color w:val="000000"/>
                <w:kern w:val="0"/>
                <w:sz w:val="24"/>
                <w:szCs w:val="24"/>
              </w:rPr>
              <w:t>的递延税项负债</w:t>
            </w:r>
          </w:p>
        </w:tc>
        <w:tc>
          <w:tcPr>
            <w:tcW w:w="183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c>
          <w:tcPr>
            <w:tcW w:w="445" w:type="pct"/>
            <w:tcBorders>
              <w:top w:val="nil"/>
              <w:left w:val="nil"/>
              <w:bottom w:val="single" w:sz="4" w:space="0" w:color="auto"/>
              <w:right w:val="single" w:sz="4" w:space="0" w:color="auto"/>
            </w:tcBorders>
            <w:shd w:val="clear" w:color="auto" w:fill="auto"/>
            <w:noWrap/>
            <w:vAlign w:val="bottom"/>
            <w:hideMark/>
          </w:tcPr>
          <w:p w:rsidR="00AB6D2C" w:rsidRPr="006733D0" w:rsidRDefault="00AB6D2C" w:rsidP="00AB6D2C">
            <w:pPr>
              <w:widowControl/>
              <w:jc w:val="center"/>
              <w:rPr>
                <w:rFonts w:ascii="Times New Roman" w:eastAsia="宋体" w:hAnsi="Times New Roman" w:cs="Times New Roman"/>
                <w:color w:val="000000"/>
                <w:kern w:val="0"/>
                <w:sz w:val="24"/>
                <w:szCs w:val="24"/>
              </w:rPr>
            </w:pPr>
            <w:proofErr w:type="spellStart"/>
            <w:r w:rsidRPr="006733D0">
              <w:rPr>
                <w:rFonts w:ascii="Times New Roman" w:eastAsia="宋体" w:hAnsi="Times New Roman" w:cs="Times New Roman"/>
                <w:color w:val="000000"/>
                <w:kern w:val="0"/>
                <w:sz w:val="24"/>
                <w:szCs w:val="24"/>
              </w:rPr>
              <w:t>i</w:t>
            </w:r>
            <w:proofErr w:type="spellEnd"/>
          </w:p>
        </w:tc>
      </w:tr>
      <w:tr w:rsidR="00AB6D2C" w:rsidRPr="006733D0" w:rsidTr="00AB6D2C">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实收资本</w:t>
            </w:r>
          </w:p>
        </w:tc>
        <w:tc>
          <w:tcPr>
            <w:tcW w:w="183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300,000.00</w:t>
            </w:r>
          </w:p>
        </w:tc>
        <w:tc>
          <w:tcPr>
            <w:tcW w:w="445" w:type="pct"/>
            <w:tcBorders>
              <w:top w:val="nil"/>
              <w:left w:val="nil"/>
              <w:bottom w:val="single" w:sz="4" w:space="0" w:color="auto"/>
              <w:right w:val="single" w:sz="4" w:space="0" w:color="auto"/>
            </w:tcBorders>
            <w:shd w:val="clear" w:color="auto" w:fill="auto"/>
            <w:noWrap/>
            <w:vAlign w:val="bottom"/>
            <w:hideMark/>
          </w:tcPr>
          <w:p w:rsidR="00AB6D2C" w:rsidRPr="006733D0" w:rsidRDefault="00AB6D2C" w:rsidP="00AB6D2C">
            <w:pPr>
              <w:widowControl/>
              <w:jc w:val="center"/>
              <w:rPr>
                <w:rFonts w:ascii="Times New Roman" w:eastAsia="宋体" w:hAnsi="Times New Roman" w:cs="Times New Roman"/>
                <w:color w:val="000000"/>
                <w:kern w:val="0"/>
                <w:sz w:val="24"/>
                <w:szCs w:val="24"/>
              </w:rPr>
            </w:pPr>
          </w:p>
        </w:tc>
      </w:tr>
      <w:tr w:rsidR="00AB6D2C" w:rsidRPr="006733D0" w:rsidTr="00AB6D2C">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6733D0" w:rsidRDefault="00AB6D2C" w:rsidP="006733D0">
            <w:pPr>
              <w:widowControl/>
              <w:ind w:firstLineChars="100" w:firstLine="240"/>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其中：可计入核心一级资本的数额</w:t>
            </w:r>
          </w:p>
        </w:tc>
        <w:tc>
          <w:tcPr>
            <w:tcW w:w="183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300,000.00</w:t>
            </w:r>
          </w:p>
        </w:tc>
        <w:tc>
          <w:tcPr>
            <w:tcW w:w="445" w:type="pct"/>
            <w:tcBorders>
              <w:top w:val="nil"/>
              <w:left w:val="nil"/>
              <w:bottom w:val="single" w:sz="4" w:space="0" w:color="auto"/>
              <w:right w:val="single" w:sz="4" w:space="0" w:color="auto"/>
            </w:tcBorders>
            <w:shd w:val="clear" w:color="auto" w:fill="auto"/>
            <w:noWrap/>
            <w:vAlign w:val="bottom"/>
            <w:hideMark/>
          </w:tcPr>
          <w:p w:rsidR="00AB6D2C" w:rsidRPr="006733D0" w:rsidRDefault="00AB6D2C" w:rsidP="00AB6D2C">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j</w:t>
            </w:r>
          </w:p>
        </w:tc>
      </w:tr>
      <w:tr w:rsidR="00AB6D2C" w:rsidRPr="006733D0" w:rsidTr="00AB6D2C">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6733D0" w:rsidRDefault="00AB6D2C" w:rsidP="006733D0">
            <w:pPr>
              <w:widowControl/>
              <w:ind w:firstLineChars="100" w:firstLine="240"/>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其中：可计入其他一级资本的数额</w:t>
            </w:r>
          </w:p>
        </w:tc>
        <w:tc>
          <w:tcPr>
            <w:tcW w:w="183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c>
          <w:tcPr>
            <w:tcW w:w="445" w:type="pct"/>
            <w:tcBorders>
              <w:top w:val="nil"/>
              <w:left w:val="nil"/>
              <w:bottom w:val="single" w:sz="4" w:space="0" w:color="auto"/>
              <w:right w:val="single" w:sz="4" w:space="0" w:color="auto"/>
            </w:tcBorders>
            <w:shd w:val="clear" w:color="auto" w:fill="auto"/>
            <w:noWrap/>
            <w:vAlign w:val="bottom"/>
            <w:hideMark/>
          </w:tcPr>
          <w:p w:rsidR="00AB6D2C" w:rsidRPr="006733D0" w:rsidRDefault="00AB6D2C" w:rsidP="00AB6D2C">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k</w:t>
            </w:r>
          </w:p>
        </w:tc>
      </w:tr>
      <w:tr w:rsidR="00AB6D2C" w:rsidRPr="006733D0" w:rsidTr="00AB6D2C">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资本公积</w:t>
            </w:r>
          </w:p>
        </w:tc>
        <w:tc>
          <w:tcPr>
            <w:tcW w:w="183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858,532.83</w:t>
            </w:r>
          </w:p>
        </w:tc>
        <w:tc>
          <w:tcPr>
            <w:tcW w:w="445" w:type="pct"/>
            <w:tcBorders>
              <w:top w:val="nil"/>
              <w:left w:val="nil"/>
              <w:bottom w:val="single" w:sz="4" w:space="0" w:color="auto"/>
              <w:right w:val="single" w:sz="4" w:space="0" w:color="auto"/>
            </w:tcBorders>
            <w:shd w:val="clear" w:color="auto" w:fill="auto"/>
            <w:noWrap/>
            <w:vAlign w:val="bottom"/>
            <w:hideMark/>
          </w:tcPr>
          <w:p w:rsidR="00AB6D2C" w:rsidRPr="006733D0" w:rsidRDefault="00AB6D2C" w:rsidP="00AB6D2C">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l</w:t>
            </w:r>
          </w:p>
        </w:tc>
      </w:tr>
      <w:tr w:rsidR="00AB6D2C" w:rsidRPr="006733D0" w:rsidTr="00AB6D2C">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盈余公积</w:t>
            </w:r>
          </w:p>
        </w:tc>
        <w:tc>
          <w:tcPr>
            <w:tcW w:w="183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233,771.24</w:t>
            </w:r>
          </w:p>
        </w:tc>
        <w:tc>
          <w:tcPr>
            <w:tcW w:w="445" w:type="pct"/>
            <w:tcBorders>
              <w:top w:val="nil"/>
              <w:left w:val="nil"/>
              <w:bottom w:val="single" w:sz="4" w:space="0" w:color="auto"/>
              <w:right w:val="single" w:sz="4" w:space="0" w:color="auto"/>
            </w:tcBorders>
            <w:shd w:val="clear" w:color="auto" w:fill="auto"/>
            <w:noWrap/>
            <w:vAlign w:val="bottom"/>
            <w:hideMark/>
          </w:tcPr>
          <w:p w:rsidR="00AB6D2C" w:rsidRPr="006733D0" w:rsidRDefault="00AB6D2C" w:rsidP="00AB6D2C">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m</w:t>
            </w:r>
          </w:p>
        </w:tc>
      </w:tr>
      <w:tr w:rsidR="00AB6D2C" w:rsidRPr="006733D0" w:rsidTr="00AB6D2C">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一般风险准备</w:t>
            </w:r>
          </w:p>
        </w:tc>
        <w:tc>
          <w:tcPr>
            <w:tcW w:w="183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348,946.44</w:t>
            </w:r>
          </w:p>
        </w:tc>
        <w:tc>
          <w:tcPr>
            <w:tcW w:w="445" w:type="pct"/>
            <w:tcBorders>
              <w:top w:val="nil"/>
              <w:left w:val="nil"/>
              <w:bottom w:val="single" w:sz="4" w:space="0" w:color="auto"/>
              <w:right w:val="single" w:sz="4" w:space="0" w:color="auto"/>
            </w:tcBorders>
            <w:shd w:val="clear" w:color="auto" w:fill="auto"/>
            <w:noWrap/>
            <w:vAlign w:val="bottom"/>
            <w:hideMark/>
          </w:tcPr>
          <w:p w:rsidR="00AB6D2C" w:rsidRPr="006733D0" w:rsidRDefault="00AB6D2C" w:rsidP="00AB6D2C">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n</w:t>
            </w:r>
          </w:p>
        </w:tc>
      </w:tr>
      <w:tr w:rsidR="00AB6D2C" w:rsidRPr="006733D0" w:rsidTr="00AB6D2C">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未分配利润</w:t>
            </w:r>
          </w:p>
        </w:tc>
        <w:tc>
          <w:tcPr>
            <w:tcW w:w="183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659,615.50</w:t>
            </w:r>
          </w:p>
        </w:tc>
        <w:tc>
          <w:tcPr>
            <w:tcW w:w="445" w:type="pct"/>
            <w:tcBorders>
              <w:top w:val="nil"/>
              <w:left w:val="nil"/>
              <w:bottom w:val="single" w:sz="4" w:space="0" w:color="auto"/>
              <w:right w:val="single" w:sz="4" w:space="0" w:color="auto"/>
            </w:tcBorders>
            <w:shd w:val="clear" w:color="auto" w:fill="auto"/>
            <w:noWrap/>
            <w:vAlign w:val="bottom"/>
            <w:hideMark/>
          </w:tcPr>
          <w:p w:rsidR="00AB6D2C" w:rsidRPr="006733D0" w:rsidRDefault="00AB6D2C" w:rsidP="00AB6D2C">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o</w:t>
            </w:r>
          </w:p>
        </w:tc>
      </w:tr>
      <w:tr w:rsidR="00AB6D2C" w:rsidRPr="006733D0" w:rsidTr="00AB6D2C">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应付债券</w:t>
            </w:r>
          </w:p>
        </w:tc>
        <w:tc>
          <w:tcPr>
            <w:tcW w:w="183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557,175.67</w:t>
            </w:r>
          </w:p>
        </w:tc>
        <w:tc>
          <w:tcPr>
            <w:tcW w:w="445" w:type="pct"/>
            <w:tcBorders>
              <w:top w:val="nil"/>
              <w:left w:val="nil"/>
              <w:bottom w:val="single" w:sz="4" w:space="0" w:color="auto"/>
              <w:right w:val="single" w:sz="4" w:space="0" w:color="auto"/>
            </w:tcBorders>
            <w:shd w:val="clear" w:color="auto" w:fill="auto"/>
            <w:noWrap/>
            <w:vAlign w:val="bottom"/>
            <w:hideMark/>
          </w:tcPr>
          <w:p w:rsidR="00AB6D2C" w:rsidRPr="006733D0" w:rsidRDefault="00AB6D2C" w:rsidP="00AB6D2C">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AB6D2C">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6733D0" w:rsidRDefault="00AB6D2C" w:rsidP="006733D0">
            <w:pPr>
              <w:widowControl/>
              <w:ind w:firstLineChars="100" w:firstLine="240"/>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其中：可计入二级资本工具及其溢价的发行债务</w:t>
            </w:r>
          </w:p>
        </w:tc>
        <w:tc>
          <w:tcPr>
            <w:tcW w:w="183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449,304.50</w:t>
            </w:r>
          </w:p>
        </w:tc>
        <w:tc>
          <w:tcPr>
            <w:tcW w:w="445" w:type="pct"/>
            <w:tcBorders>
              <w:top w:val="nil"/>
              <w:left w:val="nil"/>
              <w:bottom w:val="single" w:sz="4" w:space="0" w:color="auto"/>
              <w:right w:val="single" w:sz="4" w:space="0" w:color="auto"/>
            </w:tcBorders>
            <w:shd w:val="clear" w:color="auto" w:fill="auto"/>
            <w:noWrap/>
            <w:vAlign w:val="bottom"/>
            <w:hideMark/>
          </w:tcPr>
          <w:p w:rsidR="00AB6D2C" w:rsidRPr="006733D0" w:rsidRDefault="00AB6D2C" w:rsidP="00AB6D2C">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p</w:t>
            </w:r>
          </w:p>
        </w:tc>
      </w:tr>
      <w:tr w:rsidR="00AB6D2C" w:rsidRPr="006733D0" w:rsidTr="00AB6D2C">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其他综合收益</w:t>
            </w:r>
          </w:p>
        </w:tc>
        <w:tc>
          <w:tcPr>
            <w:tcW w:w="183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666.85</w:t>
            </w:r>
          </w:p>
        </w:tc>
        <w:tc>
          <w:tcPr>
            <w:tcW w:w="445" w:type="pct"/>
            <w:tcBorders>
              <w:top w:val="nil"/>
              <w:left w:val="nil"/>
              <w:bottom w:val="single" w:sz="4" w:space="0" w:color="auto"/>
              <w:right w:val="single" w:sz="4" w:space="0" w:color="auto"/>
            </w:tcBorders>
            <w:shd w:val="clear" w:color="auto" w:fill="auto"/>
            <w:noWrap/>
            <w:vAlign w:val="bottom"/>
            <w:hideMark/>
          </w:tcPr>
          <w:p w:rsidR="00AB6D2C" w:rsidRPr="006733D0" w:rsidRDefault="00AB6D2C" w:rsidP="00AB6D2C">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q</w:t>
            </w:r>
          </w:p>
        </w:tc>
      </w:tr>
      <w:tr w:rsidR="00AB6D2C" w:rsidRPr="006733D0" w:rsidTr="00AB6D2C">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少数股东权益</w:t>
            </w:r>
          </w:p>
        </w:tc>
        <w:tc>
          <w:tcPr>
            <w:tcW w:w="183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108,498.80</w:t>
            </w:r>
          </w:p>
        </w:tc>
        <w:tc>
          <w:tcPr>
            <w:tcW w:w="445" w:type="pct"/>
            <w:tcBorders>
              <w:top w:val="nil"/>
              <w:left w:val="nil"/>
              <w:bottom w:val="single" w:sz="4" w:space="0" w:color="auto"/>
              <w:right w:val="single" w:sz="4" w:space="0" w:color="auto"/>
            </w:tcBorders>
            <w:shd w:val="clear" w:color="auto" w:fill="auto"/>
            <w:noWrap/>
            <w:vAlign w:val="bottom"/>
            <w:hideMark/>
          </w:tcPr>
          <w:p w:rsidR="00AB6D2C" w:rsidRPr="006733D0" w:rsidRDefault="00AB6D2C" w:rsidP="00AB6D2C">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AB6D2C">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6733D0" w:rsidRDefault="00AB6D2C" w:rsidP="006733D0">
            <w:pPr>
              <w:widowControl/>
              <w:ind w:firstLineChars="100" w:firstLine="240"/>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其中：可计入核心一级资本的数额</w:t>
            </w:r>
          </w:p>
        </w:tc>
        <w:tc>
          <w:tcPr>
            <w:tcW w:w="183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63,546.16</w:t>
            </w:r>
          </w:p>
        </w:tc>
        <w:tc>
          <w:tcPr>
            <w:tcW w:w="445" w:type="pct"/>
            <w:tcBorders>
              <w:top w:val="nil"/>
              <w:left w:val="nil"/>
              <w:bottom w:val="single" w:sz="4" w:space="0" w:color="auto"/>
              <w:right w:val="single" w:sz="4" w:space="0" w:color="auto"/>
            </w:tcBorders>
            <w:shd w:val="clear" w:color="auto" w:fill="auto"/>
            <w:noWrap/>
            <w:vAlign w:val="bottom"/>
            <w:hideMark/>
          </w:tcPr>
          <w:p w:rsidR="00AB6D2C" w:rsidRPr="006733D0" w:rsidRDefault="00AB6D2C" w:rsidP="00AB6D2C">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r</w:t>
            </w:r>
          </w:p>
        </w:tc>
      </w:tr>
      <w:tr w:rsidR="00AB6D2C" w:rsidRPr="006733D0" w:rsidTr="00AB6D2C">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6733D0" w:rsidRDefault="00AB6D2C" w:rsidP="006733D0">
            <w:pPr>
              <w:widowControl/>
              <w:ind w:firstLineChars="100" w:firstLine="240"/>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其中：可计入其他一级资本的数额</w:t>
            </w:r>
          </w:p>
        </w:tc>
        <w:tc>
          <w:tcPr>
            <w:tcW w:w="183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8,472.82</w:t>
            </w:r>
          </w:p>
        </w:tc>
        <w:tc>
          <w:tcPr>
            <w:tcW w:w="445" w:type="pct"/>
            <w:tcBorders>
              <w:top w:val="nil"/>
              <w:left w:val="nil"/>
              <w:bottom w:val="single" w:sz="4" w:space="0" w:color="auto"/>
              <w:right w:val="single" w:sz="4" w:space="0" w:color="auto"/>
            </w:tcBorders>
            <w:shd w:val="clear" w:color="auto" w:fill="auto"/>
            <w:noWrap/>
            <w:vAlign w:val="bottom"/>
            <w:hideMark/>
          </w:tcPr>
          <w:p w:rsidR="00AB6D2C" w:rsidRPr="006733D0" w:rsidRDefault="00AB6D2C" w:rsidP="00AB6D2C">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s</w:t>
            </w:r>
          </w:p>
        </w:tc>
      </w:tr>
      <w:tr w:rsidR="00AB6D2C" w:rsidRPr="006733D0" w:rsidTr="00AB6D2C">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6733D0" w:rsidRDefault="00AB6D2C" w:rsidP="006733D0">
            <w:pPr>
              <w:widowControl/>
              <w:ind w:firstLineChars="100" w:firstLine="240"/>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其中：可计入二级资本</w:t>
            </w:r>
            <w:r w:rsidR="009E5E52" w:rsidRPr="006733D0">
              <w:rPr>
                <w:rFonts w:ascii="Times New Roman" w:eastAsia="宋体" w:hAnsi="Times New Roman" w:cs="Times New Roman"/>
                <w:color w:val="000000"/>
                <w:kern w:val="0"/>
                <w:sz w:val="24"/>
                <w:szCs w:val="24"/>
              </w:rPr>
              <w:t>的数额</w:t>
            </w:r>
          </w:p>
        </w:tc>
        <w:tc>
          <w:tcPr>
            <w:tcW w:w="183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16,945.64</w:t>
            </w:r>
          </w:p>
        </w:tc>
        <w:tc>
          <w:tcPr>
            <w:tcW w:w="445" w:type="pct"/>
            <w:tcBorders>
              <w:top w:val="nil"/>
              <w:left w:val="nil"/>
              <w:bottom w:val="single" w:sz="4" w:space="0" w:color="auto"/>
              <w:right w:val="single" w:sz="4" w:space="0" w:color="auto"/>
            </w:tcBorders>
            <w:shd w:val="clear" w:color="auto" w:fill="auto"/>
            <w:noWrap/>
            <w:vAlign w:val="bottom"/>
            <w:hideMark/>
          </w:tcPr>
          <w:p w:rsidR="00AB6D2C" w:rsidRPr="006733D0" w:rsidRDefault="00AB6D2C" w:rsidP="00AB6D2C">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t</w:t>
            </w:r>
          </w:p>
        </w:tc>
      </w:tr>
      <w:tr w:rsidR="00AB6D2C" w:rsidRPr="006733D0" w:rsidTr="00AB6D2C">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发放贷款及垫款总额</w:t>
            </w:r>
          </w:p>
        </w:tc>
        <w:tc>
          <w:tcPr>
            <w:tcW w:w="183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16,911,822.24</w:t>
            </w:r>
          </w:p>
        </w:tc>
        <w:tc>
          <w:tcPr>
            <w:tcW w:w="445" w:type="pct"/>
            <w:tcBorders>
              <w:top w:val="nil"/>
              <w:left w:val="nil"/>
              <w:bottom w:val="single" w:sz="4" w:space="0" w:color="auto"/>
              <w:right w:val="single" w:sz="4" w:space="0" w:color="auto"/>
            </w:tcBorders>
            <w:shd w:val="clear" w:color="auto" w:fill="auto"/>
            <w:noWrap/>
            <w:vAlign w:val="bottom"/>
            <w:hideMark/>
          </w:tcPr>
          <w:p w:rsidR="00AB6D2C" w:rsidRPr="006733D0" w:rsidRDefault="00AB6D2C" w:rsidP="00AB6D2C">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p>
        </w:tc>
      </w:tr>
      <w:tr w:rsidR="00AB6D2C" w:rsidRPr="006733D0" w:rsidTr="00AB6D2C">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6733D0" w:rsidRDefault="00AB6D2C" w:rsidP="009E5E52">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权重法下，实际计提的贷款损失准备金额</w:t>
            </w:r>
          </w:p>
        </w:tc>
        <w:tc>
          <w:tcPr>
            <w:tcW w:w="183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521,276.22</w:t>
            </w:r>
          </w:p>
        </w:tc>
        <w:tc>
          <w:tcPr>
            <w:tcW w:w="445" w:type="pct"/>
            <w:tcBorders>
              <w:top w:val="nil"/>
              <w:left w:val="nil"/>
              <w:bottom w:val="single" w:sz="4" w:space="0" w:color="auto"/>
              <w:right w:val="single" w:sz="4" w:space="0" w:color="auto"/>
            </w:tcBorders>
            <w:shd w:val="clear" w:color="auto" w:fill="auto"/>
            <w:noWrap/>
            <w:vAlign w:val="bottom"/>
            <w:hideMark/>
          </w:tcPr>
          <w:p w:rsidR="00AB6D2C" w:rsidRPr="006733D0" w:rsidRDefault="00AB6D2C" w:rsidP="00AB6D2C">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u</w:t>
            </w:r>
          </w:p>
        </w:tc>
      </w:tr>
      <w:tr w:rsidR="00AB6D2C" w:rsidRPr="006733D0" w:rsidTr="00AB6D2C">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6733D0" w:rsidRDefault="00AB6D2C" w:rsidP="006733D0">
            <w:pPr>
              <w:widowControl/>
              <w:ind w:firstLineChars="100" w:firstLine="240"/>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其中：权重法下，可计入二级资本超额贷款损失准备的数额</w:t>
            </w:r>
          </w:p>
        </w:tc>
        <w:tc>
          <w:tcPr>
            <w:tcW w:w="183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273,422.69</w:t>
            </w:r>
          </w:p>
        </w:tc>
        <w:tc>
          <w:tcPr>
            <w:tcW w:w="445" w:type="pct"/>
            <w:tcBorders>
              <w:top w:val="nil"/>
              <w:left w:val="nil"/>
              <w:bottom w:val="single" w:sz="4" w:space="0" w:color="auto"/>
              <w:right w:val="single" w:sz="4" w:space="0" w:color="auto"/>
            </w:tcBorders>
            <w:shd w:val="clear" w:color="auto" w:fill="auto"/>
            <w:noWrap/>
            <w:vAlign w:val="bottom"/>
            <w:hideMark/>
          </w:tcPr>
          <w:p w:rsidR="00AB6D2C" w:rsidRPr="006733D0" w:rsidRDefault="00AB6D2C" w:rsidP="00AB6D2C">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v</w:t>
            </w:r>
          </w:p>
        </w:tc>
      </w:tr>
    </w:tbl>
    <w:p w:rsidR="00AB6D2C" w:rsidRPr="006733D0" w:rsidRDefault="00AB6D2C" w:rsidP="00AB6D2C">
      <w:pPr>
        <w:ind w:firstLine="420"/>
        <w:rPr>
          <w:rFonts w:ascii="Times New Roman" w:hAnsi="Times New Roman" w:cs="Times New Roman"/>
          <w:sz w:val="24"/>
          <w:szCs w:val="24"/>
        </w:rPr>
      </w:pPr>
    </w:p>
    <w:p w:rsidR="00AB6D2C" w:rsidRPr="006733D0" w:rsidRDefault="00AB6D2C">
      <w:pPr>
        <w:widowControl/>
        <w:jc w:val="left"/>
        <w:rPr>
          <w:rFonts w:ascii="Times New Roman" w:hAnsi="Times New Roman" w:cs="Times New Roman"/>
          <w:sz w:val="24"/>
          <w:szCs w:val="24"/>
        </w:rPr>
      </w:pPr>
      <w:r w:rsidRPr="006733D0">
        <w:rPr>
          <w:rFonts w:ascii="Times New Roman" w:hAnsi="Times New Roman" w:cs="Times New Roman"/>
          <w:sz w:val="24"/>
          <w:szCs w:val="24"/>
        </w:rPr>
        <w:br w:type="page"/>
      </w:r>
    </w:p>
    <w:p w:rsidR="00AB6D2C" w:rsidRPr="006733D0" w:rsidRDefault="00AB6D2C" w:rsidP="00AB6D2C">
      <w:pPr>
        <w:ind w:firstLine="420"/>
        <w:rPr>
          <w:rFonts w:ascii="Times New Roman" w:hAnsi="Times New Roman" w:cs="Times New Roman"/>
          <w:b/>
          <w:sz w:val="24"/>
          <w:szCs w:val="24"/>
        </w:rPr>
      </w:pPr>
      <w:r w:rsidRPr="006733D0">
        <w:rPr>
          <w:rFonts w:ascii="Times New Roman" w:hAnsi="Times New Roman" w:cs="Times New Roman"/>
          <w:b/>
          <w:sz w:val="24"/>
          <w:szCs w:val="24"/>
        </w:rPr>
        <w:lastRenderedPageBreak/>
        <w:t>三、展开项目与资本构成披露模板中的项目对应关系表</w:t>
      </w:r>
    </w:p>
    <w:p w:rsidR="00834A3C" w:rsidRPr="006733D0" w:rsidRDefault="00834A3C" w:rsidP="00AB6D2C">
      <w:pPr>
        <w:ind w:firstLine="420"/>
        <w:rPr>
          <w:rFonts w:ascii="Times New Roman" w:hAnsi="Times New Roman" w:cs="Times New Roman"/>
          <w:b/>
          <w:sz w:val="24"/>
          <w:szCs w:val="24"/>
        </w:rPr>
      </w:pPr>
    </w:p>
    <w:p w:rsidR="00AB6D2C" w:rsidRPr="006733D0" w:rsidRDefault="00AB6D2C" w:rsidP="00AB6D2C">
      <w:pPr>
        <w:ind w:firstLine="420"/>
        <w:jc w:val="right"/>
        <w:rPr>
          <w:rFonts w:ascii="Times New Roman" w:hAnsi="Times New Roman" w:cs="Times New Roman"/>
          <w:sz w:val="24"/>
          <w:szCs w:val="24"/>
        </w:rPr>
      </w:pPr>
      <w:r w:rsidRPr="006733D0">
        <w:rPr>
          <w:rFonts w:ascii="Times New Roman" w:hAnsi="Times New Roman" w:cs="Times New Roman"/>
          <w:sz w:val="24"/>
          <w:szCs w:val="24"/>
        </w:rPr>
        <w:t>单位：人民币万元</w:t>
      </w:r>
      <w:r w:rsidR="002B0452" w:rsidRPr="006733D0">
        <w:rPr>
          <w:rFonts w:ascii="Times New Roman" w:hAnsi="Times New Roman" w:cs="Times New Roman"/>
          <w:sz w:val="24"/>
          <w:szCs w:val="24"/>
        </w:rPr>
        <w:t>、监管并表口径</w:t>
      </w:r>
    </w:p>
    <w:tbl>
      <w:tblPr>
        <w:tblW w:w="5000" w:type="pct"/>
        <w:tblLook w:val="04A0" w:firstRow="1" w:lastRow="0" w:firstColumn="1" w:lastColumn="0" w:noHBand="0" w:noVBand="1"/>
      </w:tblPr>
      <w:tblGrid>
        <w:gridCol w:w="517"/>
        <w:gridCol w:w="5261"/>
        <w:gridCol w:w="1842"/>
        <w:gridCol w:w="902"/>
      </w:tblGrid>
      <w:tr w:rsidR="00AB6D2C" w:rsidRPr="006733D0" w:rsidTr="003E26F0">
        <w:trPr>
          <w:trHeight w:val="270"/>
        </w:trPr>
        <w:tc>
          <w:tcPr>
            <w:tcW w:w="339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AB6D2C" w:rsidRPr="006733D0" w:rsidRDefault="00AB6D2C" w:rsidP="00AB6D2C">
            <w:pPr>
              <w:widowControl/>
              <w:jc w:val="left"/>
              <w:rPr>
                <w:rFonts w:ascii="Times New Roman" w:eastAsia="宋体" w:hAnsi="Times New Roman" w:cs="Times New Roman"/>
                <w:b/>
                <w:bCs/>
                <w:color w:val="000000"/>
                <w:kern w:val="0"/>
                <w:sz w:val="24"/>
                <w:szCs w:val="24"/>
              </w:rPr>
            </w:pPr>
            <w:r w:rsidRPr="006733D0">
              <w:rPr>
                <w:rFonts w:ascii="Times New Roman" w:eastAsia="宋体" w:hAnsi="Times New Roman" w:cs="Times New Roman"/>
                <w:b/>
                <w:bCs/>
                <w:color w:val="000000"/>
                <w:kern w:val="0"/>
                <w:sz w:val="24"/>
                <w:szCs w:val="24"/>
              </w:rPr>
              <w:t>核心一级资本</w:t>
            </w:r>
          </w:p>
        </w:tc>
        <w:tc>
          <w:tcPr>
            <w:tcW w:w="1081"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AB6D2C" w:rsidRPr="006733D0" w:rsidRDefault="00AB6D2C" w:rsidP="00AB6D2C">
            <w:pPr>
              <w:widowControl/>
              <w:jc w:val="center"/>
              <w:rPr>
                <w:rFonts w:ascii="Times New Roman" w:eastAsia="宋体" w:hAnsi="Times New Roman" w:cs="Times New Roman"/>
                <w:b/>
                <w:bCs/>
                <w:color w:val="000000"/>
                <w:kern w:val="0"/>
                <w:sz w:val="24"/>
                <w:szCs w:val="24"/>
              </w:rPr>
            </w:pPr>
            <w:r w:rsidRPr="006733D0">
              <w:rPr>
                <w:rFonts w:ascii="Times New Roman" w:eastAsia="宋体" w:hAnsi="Times New Roman" w:cs="Times New Roman"/>
                <w:b/>
                <w:bCs/>
                <w:color w:val="000000"/>
                <w:kern w:val="0"/>
                <w:sz w:val="24"/>
                <w:szCs w:val="24"/>
              </w:rPr>
              <w:t>数额</w:t>
            </w:r>
          </w:p>
        </w:tc>
        <w:tc>
          <w:tcPr>
            <w:tcW w:w="529"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B6D2C" w:rsidRPr="006733D0" w:rsidRDefault="00AB6D2C" w:rsidP="003E26F0">
            <w:pPr>
              <w:widowControl/>
              <w:jc w:val="center"/>
              <w:rPr>
                <w:rFonts w:ascii="Times New Roman" w:eastAsia="宋体" w:hAnsi="Times New Roman" w:cs="Times New Roman"/>
                <w:b/>
                <w:bCs/>
                <w:color w:val="000000"/>
                <w:kern w:val="0"/>
                <w:sz w:val="24"/>
                <w:szCs w:val="24"/>
              </w:rPr>
            </w:pPr>
            <w:r w:rsidRPr="006733D0">
              <w:rPr>
                <w:rFonts w:ascii="Times New Roman" w:eastAsia="宋体" w:hAnsi="Times New Roman" w:cs="Times New Roman"/>
                <w:b/>
                <w:bCs/>
                <w:color w:val="000000"/>
                <w:kern w:val="0"/>
                <w:sz w:val="24"/>
                <w:szCs w:val="24"/>
              </w:rPr>
              <w:t>代码</w:t>
            </w:r>
          </w:p>
        </w:tc>
      </w:tr>
      <w:tr w:rsidR="00AB6D2C" w:rsidRPr="006733D0"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w:t>
            </w:r>
          </w:p>
        </w:tc>
        <w:tc>
          <w:tcPr>
            <w:tcW w:w="3087"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实收资本</w:t>
            </w:r>
          </w:p>
        </w:tc>
        <w:tc>
          <w:tcPr>
            <w:tcW w:w="108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 xml:space="preserve">    300,000.00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6733D0" w:rsidRDefault="00AB6D2C" w:rsidP="003E26F0">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j</w:t>
            </w:r>
          </w:p>
        </w:tc>
      </w:tr>
      <w:tr w:rsidR="00AB6D2C" w:rsidRPr="006733D0"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2a</w:t>
            </w:r>
          </w:p>
        </w:tc>
        <w:tc>
          <w:tcPr>
            <w:tcW w:w="3087"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盈余公积</w:t>
            </w:r>
          </w:p>
        </w:tc>
        <w:tc>
          <w:tcPr>
            <w:tcW w:w="108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 xml:space="preserve">    233,771.24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6733D0" w:rsidRDefault="00AB6D2C" w:rsidP="003E26F0">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m</w:t>
            </w:r>
          </w:p>
        </w:tc>
      </w:tr>
      <w:tr w:rsidR="00AB6D2C" w:rsidRPr="006733D0"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2b</w:t>
            </w:r>
          </w:p>
        </w:tc>
        <w:tc>
          <w:tcPr>
            <w:tcW w:w="3087"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一般风险准备</w:t>
            </w:r>
          </w:p>
        </w:tc>
        <w:tc>
          <w:tcPr>
            <w:tcW w:w="108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 xml:space="preserve">    348,946.44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6733D0" w:rsidRDefault="00AB6D2C" w:rsidP="003E26F0">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n</w:t>
            </w:r>
          </w:p>
        </w:tc>
      </w:tr>
      <w:tr w:rsidR="00AB6D2C" w:rsidRPr="006733D0"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2c</w:t>
            </w:r>
          </w:p>
        </w:tc>
        <w:tc>
          <w:tcPr>
            <w:tcW w:w="3087"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未分配利润</w:t>
            </w:r>
          </w:p>
        </w:tc>
        <w:tc>
          <w:tcPr>
            <w:tcW w:w="108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 xml:space="preserve">    659,615.50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6733D0" w:rsidRDefault="00AB6D2C" w:rsidP="003E26F0">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o</w:t>
            </w:r>
          </w:p>
        </w:tc>
      </w:tr>
      <w:tr w:rsidR="00AB6D2C" w:rsidRPr="006733D0"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3a</w:t>
            </w:r>
          </w:p>
        </w:tc>
        <w:tc>
          <w:tcPr>
            <w:tcW w:w="3087"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资本公积</w:t>
            </w:r>
          </w:p>
        </w:tc>
        <w:tc>
          <w:tcPr>
            <w:tcW w:w="108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 xml:space="preserve">    858,532.83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6733D0" w:rsidRDefault="00AB6D2C" w:rsidP="003E26F0">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l</w:t>
            </w:r>
          </w:p>
        </w:tc>
      </w:tr>
      <w:tr w:rsidR="00AB6D2C" w:rsidRPr="006733D0"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3b</w:t>
            </w:r>
          </w:p>
        </w:tc>
        <w:tc>
          <w:tcPr>
            <w:tcW w:w="3087"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其他</w:t>
            </w:r>
          </w:p>
        </w:tc>
        <w:tc>
          <w:tcPr>
            <w:tcW w:w="108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 xml:space="preserve">        666.85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6733D0" w:rsidRDefault="00AB6D2C" w:rsidP="003E26F0">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q</w:t>
            </w:r>
          </w:p>
        </w:tc>
      </w:tr>
      <w:tr w:rsidR="00AB6D2C" w:rsidRPr="006733D0"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5</w:t>
            </w:r>
          </w:p>
        </w:tc>
        <w:tc>
          <w:tcPr>
            <w:tcW w:w="3087"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少数股东资本可计入部分</w:t>
            </w:r>
          </w:p>
        </w:tc>
        <w:tc>
          <w:tcPr>
            <w:tcW w:w="108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 xml:space="preserve">     63,546.16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6733D0" w:rsidRDefault="00AB6D2C" w:rsidP="003E26F0">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r</w:t>
            </w:r>
          </w:p>
        </w:tc>
      </w:tr>
      <w:tr w:rsidR="00AB6D2C" w:rsidRPr="006733D0" w:rsidTr="003E26F0">
        <w:trPr>
          <w:trHeight w:val="270"/>
        </w:trPr>
        <w:tc>
          <w:tcPr>
            <w:tcW w:w="3390"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733D0" w:rsidRDefault="00AB6D2C" w:rsidP="00AB6D2C">
            <w:pPr>
              <w:widowControl/>
              <w:jc w:val="left"/>
              <w:rPr>
                <w:rFonts w:ascii="Times New Roman" w:eastAsia="宋体" w:hAnsi="Times New Roman" w:cs="Times New Roman"/>
                <w:b/>
                <w:bCs/>
                <w:color w:val="000000"/>
                <w:kern w:val="0"/>
                <w:sz w:val="24"/>
                <w:szCs w:val="24"/>
              </w:rPr>
            </w:pPr>
            <w:r w:rsidRPr="006733D0">
              <w:rPr>
                <w:rFonts w:ascii="Times New Roman" w:eastAsia="宋体" w:hAnsi="Times New Roman" w:cs="Times New Roman"/>
                <w:b/>
                <w:bCs/>
                <w:color w:val="000000"/>
                <w:kern w:val="0"/>
                <w:sz w:val="24"/>
                <w:szCs w:val="24"/>
              </w:rPr>
              <w:t>核心一级资本：监管调整</w:t>
            </w:r>
          </w:p>
        </w:tc>
        <w:tc>
          <w:tcPr>
            <w:tcW w:w="1081" w:type="pct"/>
            <w:tcBorders>
              <w:top w:val="nil"/>
              <w:left w:val="nil"/>
              <w:bottom w:val="single" w:sz="4" w:space="0" w:color="auto"/>
              <w:right w:val="single" w:sz="4" w:space="0" w:color="auto"/>
            </w:tcBorders>
            <w:shd w:val="clear" w:color="auto" w:fill="BFBFBF" w:themeFill="background1" w:themeFillShade="BF"/>
            <w:vAlign w:val="bottom"/>
            <w:hideMark/>
          </w:tcPr>
          <w:p w:rsidR="00AB6D2C" w:rsidRPr="006733D0" w:rsidRDefault="00AB6D2C" w:rsidP="00AB6D2C">
            <w:pPr>
              <w:widowControl/>
              <w:jc w:val="center"/>
              <w:rPr>
                <w:rFonts w:ascii="Times New Roman" w:eastAsia="宋体" w:hAnsi="Times New Roman" w:cs="Times New Roman"/>
                <w:b/>
                <w:bCs/>
                <w:color w:val="000000"/>
                <w:kern w:val="0"/>
                <w:sz w:val="24"/>
                <w:szCs w:val="24"/>
              </w:rPr>
            </w:pPr>
            <w:r w:rsidRPr="006733D0">
              <w:rPr>
                <w:rFonts w:ascii="Times New Roman" w:eastAsia="宋体" w:hAnsi="Times New Roman" w:cs="Times New Roman"/>
                <w:b/>
                <w:bCs/>
                <w:color w:val="000000"/>
                <w:kern w:val="0"/>
                <w:sz w:val="24"/>
                <w:szCs w:val="24"/>
              </w:rPr>
              <w:t>数额</w:t>
            </w:r>
          </w:p>
        </w:tc>
        <w:tc>
          <w:tcPr>
            <w:tcW w:w="529" w:type="pct"/>
            <w:tcBorders>
              <w:top w:val="nil"/>
              <w:left w:val="nil"/>
              <w:bottom w:val="single" w:sz="4" w:space="0" w:color="auto"/>
              <w:right w:val="single" w:sz="4" w:space="0" w:color="auto"/>
            </w:tcBorders>
            <w:shd w:val="clear" w:color="auto" w:fill="BFBFBF" w:themeFill="background1" w:themeFillShade="BF"/>
            <w:noWrap/>
            <w:vAlign w:val="center"/>
            <w:hideMark/>
          </w:tcPr>
          <w:p w:rsidR="00AB6D2C" w:rsidRPr="006733D0" w:rsidRDefault="00AB6D2C" w:rsidP="003E26F0">
            <w:pPr>
              <w:widowControl/>
              <w:jc w:val="center"/>
              <w:rPr>
                <w:rFonts w:ascii="Times New Roman" w:eastAsia="宋体" w:hAnsi="Times New Roman" w:cs="Times New Roman"/>
                <w:b/>
                <w:bCs/>
                <w:color w:val="000000"/>
                <w:kern w:val="0"/>
                <w:sz w:val="24"/>
                <w:szCs w:val="24"/>
              </w:rPr>
            </w:pPr>
            <w:r w:rsidRPr="006733D0">
              <w:rPr>
                <w:rFonts w:ascii="Times New Roman" w:eastAsia="宋体" w:hAnsi="Times New Roman" w:cs="Times New Roman"/>
                <w:b/>
                <w:bCs/>
                <w:color w:val="000000"/>
                <w:kern w:val="0"/>
                <w:sz w:val="24"/>
                <w:szCs w:val="24"/>
              </w:rPr>
              <w:t>代码</w:t>
            </w:r>
          </w:p>
        </w:tc>
      </w:tr>
      <w:tr w:rsidR="00AB6D2C" w:rsidRPr="006733D0"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8</w:t>
            </w:r>
          </w:p>
        </w:tc>
        <w:tc>
          <w:tcPr>
            <w:tcW w:w="3087"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商誉（扣除</w:t>
            </w:r>
            <w:proofErr w:type="gramStart"/>
            <w:r w:rsidRPr="006733D0">
              <w:rPr>
                <w:rFonts w:ascii="Times New Roman" w:eastAsia="宋体" w:hAnsi="Times New Roman" w:cs="Times New Roman"/>
                <w:color w:val="000000"/>
                <w:kern w:val="0"/>
                <w:sz w:val="24"/>
                <w:szCs w:val="24"/>
              </w:rPr>
              <w:t>递延税负债</w:t>
            </w:r>
            <w:proofErr w:type="gramEnd"/>
            <w:r w:rsidRPr="006733D0">
              <w:rPr>
                <w:rFonts w:ascii="Times New Roman" w:eastAsia="宋体" w:hAnsi="Times New Roman" w:cs="Times New Roman"/>
                <w:color w:val="000000"/>
                <w:kern w:val="0"/>
                <w:sz w:val="24"/>
                <w:szCs w:val="24"/>
              </w:rPr>
              <w:t>）</w:t>
            </w:r>
          </w:p>
        </w:tc>
        <w:tc>
          <w:tcPr>
            <w:tcW w:w="108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 xml:space="preserve">           -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6733D0" w:rsidRDefault="00AB6D2C" w:rsidP="003E26F0">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a-h</w:t>
            </w:r>
          </w:p>
        </w:tc>
      </w:tr>
      <w:tr w:rsidR="00AB6D2C" w:rsidRPr="006733D0"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9</w:t>
            </w:r>
          </w:p>
        </w:tc>
        <w:tc>
          <w:tcPr>
            <w:tcW w:w="3087"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其他无形资产（土地使用权除外）（扣除</w:t>
            </w:r>
            <w:proofErr w:type="gramStart"/>
            <w:r w:rsidRPr="006733D0">
              <w:rPr>
                <w:rFonts w:ascii="Times New Roman" w:eastAsia="宋体" w:hAnsi="Times New Roman" w:cs="Times New Roman"/>
                <w:color w:val="000000"/>
                <w:kern w:val="0"/>
                <w:sz w:val="24"/>
                <w:szCs w:val="24"/>
              </w:rPr>
              <w:t>递延税负债</w:t>
            </w:r>
            <w:proofErr w:type="gramEnd"/>
            <w:r w:rsidRPr="006733D0">
              <w:rPr>
                <w:rFonts w:ascii="Times New Roman" w:eastAsia="宋体" w:hAnsi="Times New Roman" w:cs="Times New Roman"/>
                <w:color w:val="000000"/>
                <w:kern w:val="0"/>
                <w:sz w:val="24"/>
                <w:szCs w:val="24"/>
              </w:rPr>
              <w:t>）</w:t>
            </w:r>
          </w:p>
        </w:tc>
        <w:tc>
          <w:tcPr>
            <w:tcW w:w="108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 xml:space="preserve">     13,556.13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6733D0" w:rsidRDefault="00AB6D2C" w:rsidP="003E26F0">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b-c-</w:t>
            </w:r>
            <w:proofErr w:type="spellStart"/>
            <w:r w:rsidRPr="006733D0">
              <w:rPr>
                <w:rFonts w:ascii="Times New Roman" w:eastAsia="宋体" w:hAnsi="Times New Roman" w:cs="Times New Roman"/>
                <w:color w:val="000000"/>
                <w:kern w:val="0"/>
                <w:sz w:val="24"/>
                <w:szCs w:val="24"/>
              </w:rPr>
              <w:t>i</w:t>
            </w:r>
            <w:proofErr w:type="spellEnd"/>
          </w:p>
        </w:tc>
      </w:tr>
      <w:tr w:rsidR="00AB6D2C" w:rsidRPr="006733D0"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10</w:t>
            </w:r>
          </w:p>
        </w:tc>
        <w:tc>
          <w:tcPr>
            <w:tcW w:w="3087"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依赖未来盈利的由经营亏损引起的</w:t>
            </w:r>
            <w:proofErr w:type="gramStart"/>
            <w:r w:rsidRPr="006733D0">
              <w:rPr>
                <w:rFonts w:ascii="Times New Roman" w:eastAsia="宋体" w:hAnsi="Times New Roman" w:cs="Times New Roman"/>
                <w:color w:val="000000"/>
                <w:kern w:val="0"/>
                <w:sz w:val="24"/>
                <w:szCs w:val="24"/>
              </w:rPr>
              <w:t>净递延税资产</w:t>
            </w:r>
            <w:proofErr w:type="gramEnd"/>
          </w:p>
        </w:tc>
        <w:tc>
          <w:tcPr>
            <w:tcW w:w="108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 xml:space="preserve">           -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6733D0" w:rsidRDefault="00AB6D2C" w:rsidP="003E26F0">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g</w:t>
            </w:r>
          </w:p>
        </w:tc>
      </w:tr>
      <w:tr w:rsidR="00AB6D2C" w:rsidRPr="006733D0" w:rsidTr="003E26F0">
        <w:trPr>
          <w:trHeight w:val="270"/>
        </w:trPr>
        <w:tc>
          <w:tcPr>
            <w:tcW w:w="3390"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733D0" w:rsidRDefault="00AB6D2C" w:rsidP="00AB6D2C">
            <w:pPr>
              <w:widowControl/>
              <w:jc w:val="left"/>
              <w:rPr>
                <w:rFonts w:ascii="Times New Roman" w:eastAsia="宋体" w:hAnsi="Times New Roman" w:cs="Times New Roman"/>
                <w:b/>
                <w:bCs/>
                <w:color w:val="000000"/>
                <w:kern w:val="0"/>
                <w:sz w:val="24"/>
                <w:szCs w:val="24"/>
              </w:rPr>
            </w:pPr>
            <w:r w:rsidRPr="006733D0">
              <w:rPr>
                <w:rFonts w:ascii="Times New Roman" w:eastAsia="宋体" w:hAnsi="Times New Roman" w:cs="Times New Roman"/>
                <w:b/>
                <w:bCs/>
                <w:color w:val="000000"/>
                <w:kern w:val="0"/>
                <w:sz w:val="24"/>
                <w:szCs w:val="24"/>
              </w:rPr>
              <w:t>其他一级资本</w:t>
            </w:r>
          </w:p>
        </w:tc>
        <w:tc>
          <w:tcPr>
            <w:tcW w:w="1081" w:type="pct"/>
            <w:tcBorders>
              <w:top w:val="nil"/>
              <w:left w:val="nil"/>
              <w:bottom w:val="single" w:sz="4" w:space="0" w:color="auto"/>
              <w:right w:val="single" w:sz="4" w:space="0" w:color="auto"/>
            </w:tcBorders>
            <w:shd w:val="clear" w:color="auto" w:fill="BFBFBF" w:themeFill="background1" w:themeFillShade="BF"/>
            <w:vAlign w:val="bottom"/>
            <w:hideMark/>
          </w:tcPr>
          <w:p w:rsidR="00AB6D2C" w:rsidRPr="006733D0" w:rsidRDefault="00AB6D2C" w:rsidP="00AB6D2C">
            <w:pPr>
              <w:widowControl/>
              <w:jc w:val="center"/>
              <w:rPr>
                <w:rFonts w:ascii="Times New Roman" w:eastAsia="宋体" w:hAnsi="Times New Roman" w:cs="Times New Roman"/>
                <w:b/>
                <w:bCs/>
                <w:color w:val="000000"/>
                <w:kern w:val="0"/>
                <w:sz w:val="24"/>
                <w:szCs w:val="24"/>
              </w:rPr>
            </w:pPr>
            <w:r w:rsidRPr="006733D0">
              <w:rPr>
                <w:rFonts w:ascii="Times New Roman" w:eastAsia="宋体" w:hAnsi="Times New Roman" w:cs="Times New Roman"/>
                <w:b/>
                <w:bCs/>
                <w:color w:val="000000"/>
                <w:kern w:val="0"/>
                <w:sz w:val="24"/>
                <w:szCs w:val="24"/>
              </w:rPr>
              <w:t>数额</w:t>
            </w:r>
          </w:p>
        </w:tc>
        <w:tc>
          <w:tcPr>
            <w:tcW w:w="529" w:type="pct"/>
            <w:tcBorders>
              <w:top w:val="nil"/>
              <w:left w:val="nil"/>
              <w:bottom w:val="single" w:sz="4" w:space="0" w:color="auto"/>
              <w:right w:val="single" w:sz="4" w:space="0" w:color="auto"/>
            </w:tcBorders>
            <w:shd w:val="clear" w:color="auto" w:fill="BFBFBF" w:themeFill="background1" w:themeFillShade="BF"/>
            <w:noWrap/>
            <w:vAlign w:val="center"/>
            <w:hideMark/>
          </w:tcPr>
          <w:p w:rsidR="00AB6D2C" w:rsidRPr="006733D0" w:rsidRDefault="00AB6D2C" w:rsidP="003E26F0">
            <w:pPr>
              <w:widowControl/>
              <w:jc w:val="center"/>
              <w:rPr>
                <w:rFonts w:ascii="Times New Roman" w:eastAsia="宋体" w:hAnsi="Times New Roman" w:cs="Times New Roman"/>
                <w:b/>
                <w:bCs/>
                <w:color w:val="000000"/>
                <w:kern w:val="0"/>
                <w:sz w:val="24"/>
                <w:szCs w:val="24"/>
              </w:rPr>
            </w:pPr>
            <w:r w:rsidRPr="006733D0">
              <w:rPr>
                <w:rFonts w:ascii="Times New Roman" w:eastAsia="宋体" w:hAnsi="Times New Roman" w:cs="Times New Roman"/>
                <w:b/>
                <w:bCs/>
                <w:color w:val="000000"/>
                <w:kern w:val="0"/>
                <w:sz w:val="24"/>
                <w:szCs w:val="24"/>
              </w:rPr>
              <w:t>代码</w:t>
            </w:r>
          </w:p>
        </w:tc>
      </w:tr>
      <w:tr w:rsidR="00AB6D2C" w:rsidRPr="006733D0"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34</w:t>
            </w:r>
          </w:p>
        </w:tc>
        <w:tc>
          <w:tcPr>
            <w:tcW w:w="3087"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少数股东资本可计入部分</w:t>
            </w:r>
          </w:p>
        </w:tc>
        <w:tc>
          <w:tcPr>
            <w:tcW w:w="108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 xml:space="preserve">      8,472.82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6733D0" w:rsidRDefault="00AB6D2C" w:rsidP="003E26F0">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s</w:t>
            </w:r>
          </w:p>
        </w:tc>
      </w:tr>
      <w:tr w:rsidR="00AB6D2C" w:rsidRPr="006733D0" w:rsidTr="003E26F0">
        <w:trPr>
          <w:trHeight w:val="270"/>
        </w:trPr>
        <w:tc>
          <w:tcPr>
            <w:tcW w:w="3390"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733D0" w:rsidRDefault="00AB6D2C" w:rsidP="00AB6D2C">
            <w:pPr>
              <w:widowControl/>
              <w:jc w:val="left"/>
              <w:rPr>
                <w:rFonts w:ascii="Times New Roman" w:eastAsia="宋体" w:hAnsi="Times New Roman" w:cs="Times New Roman"/>
                <w:b/>
                <w:bCs/>
                <w:color w:val="000000"/>
                <w:kern w:val="0"/>
                <w:sz w:val="24"/>
                <w:szCs w:val="24"/>
              </w:rPr>
            </w:pPr>
            <w:r w:rsidRPr="006733D0">
              <w:rPr>
                <w:rFonts w:ascii="Times New Roman" w:eastAsia="宋体" w:hAnsi="Times New Roman" w:cs="Times New Roman"/>
                <w:b/>
                <w:bCs/>
                <w:color w:val="000000"/>
                <w:kern w:val="0"/>
                <w:sz w:val="24"/>
                <w:szCs w:val="24"/>
              </w:rPr>
              <w:t>二级资本</w:t>
            </w:r>
          </w:p>
        </w:tc>
        <w:tc>
          <w:tcPr>
            <w:tcW w:w="1081" w:type="pct"/>
            <w:tcBorders>
              <w:top w:val="nil"/>
              <w:left w:val="nil"/>
              <w:bottom w:val="single" w:sz="4" w:space="0" w:color="auto"/>
              <w:right w:val="single" w:sz="4" w:space="0" w:color="auto"/>
            </w:tcBorders>
            <w:shd w:val="clear" w:color="auto" w:fill="BFBFBF" w:themeFill="background1" w:themeFillShade="BF"/>
            <w:vAlign w:val="bottom"/>
            <w:hideMark/>
          </w:tcPr>
          <w:p w:rsidR="00AB6D2C" w:rsidRPr="006733D0" w:rsidRDefault="00AB6D2C" w:rsidP="00AB6D2C">
            <w:pPr>
              <w:widowControl/>
              <w:jc w:val="center"/>
              <w:rPr>
                <w:rFonts w:ascii="Times New Roman" w:eastAsia="宋体" w:hAnsi="Times New Roman" w:cs="Times New Roman"/>
                <w:b/>
                <w:bCs/>
                <w:color w:val="000000"/>
                <w:kern w:val="0"/>
                <w:sz w:val="24"/>
                <w:szCs w:val="24"/>
              </w:rPr>
            </w:pPr>
            <w:r w:rsidRPr="006733D0">
              <w:rPr>
                <w:rFonts w:ascii="Times New Roman" w:eastAsia="宋体" w:hAnsi="Times New Roman" w:cs="Times New Roman"/>
                <w:b/>
                <w:bCs/>
                <w:color w:val="000000"/>
                <w:kern w:val="0"/>
                <w:sz w:val="24"/>
                <w:szCs w:val="24"/>
              </w:rPr>
              <w:t>数额</w:t>
            </w:r>
          </w:p>
        </w:tc>
        <w:tc>
          <w:tcPr>
            <w:tcW w:w="529" w:type="pct"/>
            <w:tcBorders>
              <w:top w:val="nil"/>
              <w:left w:val="nil"/>
              <w:bottom w:val="single" w:sz="4" w:space="0" w:color="auto"/>
              <w:right w:val="single" w:sz="4" w:space="0" w:color="auto"/>
            </w:tcBorders>
            <w:shd w:val="clear" w:color="auto" w:fill="BFBFBF" w:themeFill="background1" w:themeFillShade="BF"/>
            <w:noWrap/>
            <w:vAlign w:val="center"/>
            <w:hideMark/>
          </w:tcPr>
          <w:p w:rsidR="00AB6D2C" w:rsidRPr="006733D0" w:rsidRDefault="00AB6D2C" w:rsidP="003E26F0">
            <w:pPr>
              <w:widowControl/>
              <w:jc w:val="center"/>
              <w:rPr>
                <w:rFonts w:ascii="Times New Roman" w:eastAsia="宋体" w:hAnsi="Times New Roman" w:cs="Times New Roman"/>
                <w:b/>
                <w:bCs/>
                <w:color w:val="000000"/>
                <w:kern w:val="0"/>
                <w:sz w:val="24"/>
                <w:szCs w:val="24"/>
              </w:rPr>
            </w:pPr>
            <w:r w:rsidRPr="006733D0">
              <w:rPr>
                <w:rFonts w:ascii="Times New Roman" w:eastAsia="宋体" w:hAnsi="Times New Roman" w:cs="Times New Roman"/>
                <w:b/>
                <w:bCs/>
                <w:color w:val="000000"/>
                <w:kern w:val="0"/>
                <w:sz w:val="24"/>
                <w:szCs w:val="24"/>
              </w:rPr>
              <w:t>代码</w:t>
            </w:r>
          </w:p>
        </w:tc>
      </w:tr>
      <w:tr w:rsidR="00AB6D2C" w:rsidRPr="006733D0"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46</w:t>
            </w:r>
          </w:p>
        </w:tc>
        <w:tc>
          <w:tcPr>
            <w:tcW w:w="3087"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二级资本工具及其溢价</w:t>
            </w:r>
          </w:p>
        </w:tc>
        <w:tc>
          <w:tcPr>
            <w:tcW w:w="108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 xml:space="preserve">    449,304.50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6733D0" w:rsidRDefault="00AB6D2C" w:rsidP="003E26F0">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p</w:t>
            </w:r>
          </w:p>
        </w:tc>
      </w:tr>
      <w:tr w:rsidR="00AB6D2C" w:rsidRPr="006733D0"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48</w:t>
            </w:r>
          </w:p>
        </w:tc>
        <w:tc>
          <w:tcPr>
            <w:tcW w:w="3087"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少数股东资本可计入部分</w:t>
            </w:r>
          </w:p>
        </w:tc>
        <w:tc>
          <w:tcPr>
            <w:tcW w:w="108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 xml:space="preserve">     16,945.64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6733D0" w:rsidRDefault="00AB6D2C" w:rsidP="003E26F0">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t</w:t>
            </w:r>
          </w:p>
        </w:tc>
      </w:tr>
      <w:tr w:rsidR="00AB6D2C" w:rsidRPr="006733D0"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50</w:t>
            </w:r>
          </w:p>
        </w:tc>
        <w:tc>
          <w:tcPr>
            <w:tcW w:w="3087"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超额贷款损失准备可计入部分</w:t>
            </w:r>
          </w:p>
        </w:tc>
        <w:tc>
          <w:tcPr>
            <w:tcW w:w="1081"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 xml:space="preserve">    273,422.69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6733D0" w:rsidRDefault="00AB6D2C" w:rsidP="003E26F0">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v</w:t>
            </w:r>
          </w:p>
        </w:tc>
      </w:tr>
      <w:tr w:rsidR="00AB6D2C" w:rsidRPr="006733D0" w:rsidTr="003E26F0">
        <w:trPr>
          <w:trHeight w:val="270"/>
        </w:trPr>
        <w:tc>
          <w:tcPr>
            <w:tcW w:w="3390"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733D0" w:rsidRDefault="00AB6D2C" w:rsidP="00AB6D2C">
            <w:pPr>
              <w:widowControl/>
              <w:jc w:val="left"/>
              <w:rPr>
                <w:rFonts w:ascii="Times New Roman" w:eastAsia="宋体" w:hAnsi="Times New Roman" w:cs="Times New Roman"/>
                <w:b/>
                <w:bCs/>
                <w:color w:val="000000"/>
                <w:kern w:val="0"/>
                <w:sz w:val="24"/>
                <w:szCs w:val="24"/>
              </w:rPr>
            </w:pPr>
            <w:r w:rsidRPr="006733D0">
              <w:rPr>
                <w:rFonts w:ascii="Times New Roman" w:eastAsia="宋体" w:hAnsi="Times New Roman" w:cs="Times New Roman"/>
                <w:b/>
                <w:bCs/>
                <w:color w:val="000000"/>
                <w:kern w:val="0"/>
                <w:sz w:val="24"/>
                <w:szCs w:val="24"/>
              </w:rPr>
              <w:t>门槛扣除项中未扣除部分</w:t>
            </w:r>
          </w:p>
        </w:tc>
        <w:tc>
          <w:tcPr>
            <w:tcW w:w="1081" w:type="pct"/>
            <w:tcBorders>
              <w:top w:val="nil"/>
              <w:left w:val="nil"/>
              <w:bottom w:val="single" w:sz="4" w:space="0" w:color="auto"/>
              <w:right w:val="single" w:sz="4" w:space="0" w:color="auto"/>
            </w:tcBorders>
            <w:shd w:val="clear" w:color="auto" w:fill="BFBFBF" w:themeFill="background1" w:themeFillShade="BF"/>
            <w:vAlign w:val="bottom"/>
            <w:hideMark/>
          </w:tcPr>
          <w:p w:rsidR="00AB6D2C" w:rsidRPr="006733D0" w:rsidRDefault="00AB6D2C" w:rsidP="00AB6D2C">
            <w:pPr>
              <w:widowControl/>
              <w:jc w:val="center"/>
              <w:rPr>
                <w:rFonts w:ascii="Times New Roman" w:eastAsia="宋体" w:hAnsi="Times New Roman" w:cs="Times New Roman"/>
                <w:b/>
                <w:bCs/>
                <w:color w:val="000000"/>
                <w:kern w:val="0"/>
                <w:sz w:val="24"/>
                <w:szCs w:val="24"/>
              </w:rPr>
            </w:pPr>
            <w:r w:rsidRPr="006733D0">
              <w:rPr>
                <w:rFonts w:ascii="Times New Roman" w:eastAsia="宋体" w:hAnsi="Times New Roman" w:cs="Times New Roman"/>
                <w:b/>
                <w:bCs/>
                <w:color w:val="000000"/>
                <w:kern w:val="0"/>
                <w:sz w:val="24"/>
                <w:szCs w:val="24"/>
              </w:rPr>
              <w:t>数额</w:t>
            </w:r>
          </w:p>
        </w:tc>
        <w:tc>
          <w:tcPr>
            <w:tcW w:w="529" w:type="pct"/>
            <w:tcBorders>
              <w:top w:val="nil"/>
              <w:left w:val="nil"/>
              <w:bottom w:val="single" w:sz="4" w:space="0" w:color="auto"/>
              <w:right w:val="single" w:sz="4" w:space="0" w:color="auto"/>
            </w:tcBorders>
            <w:shd w:val="clear" w:color="auto" w:fill="BFBFBF" w:themeFill="background1" w:themeFillShade="BF"/>
            <w:noWrap/>
            <w:vAlign w:val="center"/>
            <w:hideMark/>
          </w:tcPr>
          <w:p w:rsidR="00AB6D2C" w:rsidRPr="006733D0" w:rsidRDefault="00AB6D2C" w:rsidP="003E26F0">
            <w:pPr>
              <w:widowControl/>
              <w:jc w:val="center"/>
              <w:rPr>
                <w:rFonts w:ascii="Times New Roman" w:eastAsia="宋体" w:hAnsi="Times New Roman" w:cs="Times New Roman"/>
                <w:b/>
                <w:bCs/>
                <w:color w:val="000000"/>
                <w:kern w:val="0"/>
                <w:sz w:val="24"/>
                <w:szCs w:val="24"/>
              </w:rPr>
            </w:pPr>
            <w:r w:rsidRPr="006733D0">
              <w:rPr>
                <w:rFonts w:ascii="Times New Roman" w:eastAsia="宋体" w:hAnsi="Times New Roman" w:cs="Times New Roman"/>
                <w:b/>
                <w:bCs/>
                <w:color w:val="000000"/>
                <w:kern w:val="0"/>
                <w:sz w:val="24"/>
                <w:szCs w:val="24"/>
              </w:rPr>
              <w:t>代码</w:t>
            </w:r>
          </w:p>
        </w:tc>
      </w:tr>
      <w:tr w:rsidR="00AB6D2C" w:rsidRPr="006733D0"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72</w:t>
            </w:r>
          </w:p>
        </w:tc>
        <w:tc>
          <w:tcPr>
            <w:tcW w:w="3087"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对未并</w:t>
            </w:r>
            <w:proofErr w:type="gramStart"/>
            <w:r w:rsidRPr="006733D0">
              <w:rPr>
                <w:rFonts w:ascii="Times New Roman" w:eastAsia="宋体" w:hAnsi="Times New Roman" w:cs="Times New Roman"/>
                <w:color w:val="000000"/>
                <w:kern w:val="0"/>
                <w:sz w:val="24"/>
                <w:szCs w:val="24"/>
              </w:rPr>
              <w:t>表金融</w:t>
            </w:r>
            <w:proofErr w:type="gramEnd"/>
            <w:r w:rsidRPr="006733D0">
              <w:rPr>
                <w:rFonts w:ascii="Times New Roman" w:eastAsia="宋体" w:hAnsi="Times New Roman" w:cs="Times New Roman"/>
                <w:color w:val="000000"/>
                <w:kern w:val="0"/>
                <w:sz w:val="24"/>
                <w:szCs w:val="24"/>
              </w:rPr>
              <w:t>机构的小额少数资本投资未扣除部分</w:t>
            </w:r>
          </w:p>
        </w:tc>
        <w:tc>
          <w:tcPr>
            <w:tcW w:w="1081" w:type="pct"/>
            <w:tcBorders>
              <w:top w:val="nil"/>
              <w:left w:val="nil"/>
              <w:bottom w:val="single" w:sz="4" w:space="0" w:color="auto"/>
              <w:right w:val="single" w:sz="4" w:space="0" w:color="auto"/>
            </w:tcBorders>
            <w:shd w:val="clear" w:color="auto" w:fill="auto"/>
            <w:noWrap/>
            <w:vAlign w:val="center"/>
            <w:hideMark/>
          </w:tcPr>
          <w:p w:rsidR="00AB6D2C" w:rsidRPr="006733D0" w:rsidRDefault="00AB6D2C" w:rsidP="00077C0D">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12</w:t>
            </w:r>
            <w:r w:rsidR="00077C0D" w:rsidRPr="006733D0">
              <w:rPr>
                <w:rFonts w:ascii="Times New Roman" w:eastAsia="宋体" w:hAnsi="Times New Roman" w:cs="Times New Roman"/>
                <w:color w:val="000000"/>
                <w:kern w:val="0"/>
                <w:sz w:val="24"/>
                <w:szCs w:val="24"/>
              </w:rPr>
              <w:t>,</w:t>
            </w:r>
            <w:r w:rsidRPr="006733D0">
              <w:rPr>
                <w:rFonts w:ascii="Times New Roman" w:eastAsia="宋体" w:hAnsi="Times New Roman" w:cs="Times New Roman"/>
                <w:color w:val="000000"/>
                <w:kern w:val="0"/>
                <w:sz w:val="24"/>
                <w:szCs w:val="24"/>
              </w:rPr>
              <w:t xml:space="preserve">439.91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6733D0" w:rsidRDefault="00AB6D2C" w:rsidP="003E26F0">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e</w:t>
            </w:r>
          </w:p>
        </w:tc>
      </w:tr>
      <w:tr w:rsidR="00AB6D2C" w:rsidRPr="006733D0"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73</w:t>
            </w:r>
          </w:p>
        </w:tc>
        <w:tc>
          <w:tcPr>
            <w:tcW w:w="3087"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对未并</w:t>
            </w:r>
            <w:proofErr w:type="gramStart"/>
            <w:r w:rsidRPr="006733D0">
              <w:rPr>
                <w:rFonts w:ascii="Times New Roman" w:eastAsia="宋体" w:hAnsi="Times New Roman" w:cs="Times New Roman"/>
                <w:color w:val="000000"/>
                <w:kern w:val="0"/>
                <w:sz w:val="24"/>
                <w:szCs w:val="24"/>
              </w:rPr>
              <w:t>表金融</w:t>
            </w:r>
            <w:proofErr w:type="gramEnd"/>
            <w:r w:rsidRPr="006733D0">
              <w:rPr>
                <w:rFonts w:ascii="Times New Roman" w:eastAsia="宋体" w:hAnsi="Times New Roman" w:cs="Times New Roman"/>
                <w:color w:val="000000"/>
                <w:kern w:val="0"/>
                <w:sz w:val="24"/>
                <w:szCs w:val="24"/>
              </w:rPr>
              <w:t>机构的大额少数资本投资未扣除部分</w:t>
            </w:r>
          </w:p>
        </w:tc>
        <w:tc>
          <w:tcPr>
            <w:tcW w:w="1081" w:type="pct"/>
            <w:tcBorders>
              <w:top w:val="nil"/>
              <w:left w:val="nil"/>
              <w:bottom w:val="single" w:sz="4" w:space="0" w:color="auto"/>
              <w:right w:val="single" w:sz="4" w:space="0" w:color="auto"/>
            </w:tcBorders>
            <w:shd w:val="clear" w:color="auto" w:fill="auto"/>
            <w:noWrap/>
            <w:vAlign w:val="center"/>
            <w:hideMark/>
          </w:tcPr>
          <w:p w:rsidR="00AB6D2C" w:rsidRPr="006733D0" w:rsidRDefault="00AB6D2C" w:rsidP="00077C0D">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48</w:t>
            </w:r>
            <w:r w:rsidR="00077C0D" w:rsidRPr="006733D0">
              <w:rPr>
                <w:rFonts w:ascii="Times New Roman" w:eastAsia="宋体" w:hAnsi="Times New Roman" w:cs="Times New Roman"/>
                <w:color w:val="000000"/>
                <w:kern w:val="0"/>
                <w:sz w:val="24"/>
                <w:szCs w:val="24"/>
              </w:rPr>
              <w:t>,</w:t>
            </w:r>
            <w:r w:rsidRPr="006733D0">
              <w:rPr>
                <w:rFonts w:ascii="Times New Roman" w:eastAsia="宋体" w:hAnsi="Times New Roman" w:cs="Times New Roman"/>
                <w:color w:val="000000"/>
                <w:kern w:val="0"/>
                <w:sz w:val="24"/>
                <w:szCs w:val="24"/>
              </w:rPr>
              <w:t xml:space="preserve">670.05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6733D0" w:rsidRDefault="00AB6D2C" w:rsidP="003E26F0">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d</w:t>
            </w:r>
          </w:p>
        </w:tc>
      </w:tr>
      <w:tr w:rsidR="00AB6D2C" w:rsidRPr="006733D0"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75</w:t>
            </w:r>
          </w:p>
        </w:tc>
        <w:tc>
          <w:tcPr>
            <w:tcW w:w="3087"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其他依赖于银行未来盈利的</w:t>
            </w:r>
            <w:proofErr w:type="gramStart"/>
            <w:r w:rsidRPr="006733D0">
              <w:rPr>
                <w:rFonts w:ascii="Times New Roman" w:eastAsia="宋体" w:hAnsi="Times New Roman" w:cs="Times New Roman"/>
                <w:color w:val="000000"/>
                <w:kern w:val="0"/>
                <w:sz w:val="24"/>
                <w:szCs w:val="24"/>
              </w:rPr>
              <w:t>净递延税</w:t>
            </w:r>
            <w:proofErr w:type="gramEnd"/>
            <w:r w:rsidRPr="006733D0">
              <w:rPr>
                <w:rFonts w:ascii="Times New Roman" w:eastAsia="宋体" w:hAnsi="Times New Roman" w:cs="Times New Roman"/>
                <w:color w:val="000000"/>
                <w:kern w:val="0"/>
                <w:sz w:val="24"/>
                <w:szCs w:val="24"/>
              </w:rPr>
              <w:t>资产（扣除</w:t>
            </w:r>
            <w:proofErr w:type="gramStart"/>
            <w:r w:rsidRPr="006733D0">
              <w:rPr>
                <w:rFonts w:ascii="Times New Roman" w:eastAsia="宋体" w:hAnsi="Times New Roman" w:cs="Times New Roman"/>
                <w:color w:val="000000"/>
                <w:kern w:val="0"/>
                <w:sz w:val="24"/>
                <w:szCs w:val="24"/>
              </w:rPr>
              <w:t>递延税负债</w:t>
            </w:r>
            <w:proofErr w:type="gramEnd"/>
            <w:r w:rsidRPr="006733D0">
              <w:rPr>
                <w:rFonts w:ascii="Times New Roman" w:eastAsia="宋体" w:hAnsi="Times New Roman" w:cs="Times New Roman"/>
                <w:color w:val="000000"/>
                <w:kern w:val="0"/>
                <w:sz w:val="24"/>
                <w:szCs w:val="24"/>
              </w:rPr>
              <w:t>）</w:t>
            </w:r>
          </w:p>
        </w:tc>
        <w:tc>
          <w:tcPr>
            <w:tcW w:w="1081" w:type="pct"/>
            <w:tcBorders>
              <w:top w:val="nil"/>
              <w:left w:val="nil"/>
              <w:bottom w:val="single" w:sz="4" w:space="0" w:color="auto"/>
              <w:right w:val="single" w:sz="4" w:space="0" w:color="auto"/>
            </w:tcBorders>
            <w:shd w:val="clear" w:color="auto" w:fill="auto"/>
            <w:noWrap/>
            <w:vAlign w:val="center"/>
            <w:hideMark/>
          </w:tcPr>
          <w:p w:rsidR="00AB6D2C" w:rsidRPr="006733D0" w:rsidRDefault="00AB6D2C" w:rsidP="00077C0D">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111</w:t>
            </w:r>
            <w:r w:rsidR="00077C0D" w:rsidRPr="006733D0">
              <w:rPr>
                <w:rFonts w:ascii="Times New Roman" w:eastAsia="宋体" w:hAnsi="Times New Roman" w:cs="Times New Roman"/>
                <w:color w:val="000000"/>
                <w:kern w:val="0"/>
                <w:sz w:val="24"/>
                <w:szCs w:val="24"/>
              </w:rPr>
              <w:t>,</w:t>
            </w:r>
            <w:r w:rsidRPr="006733D0">
              <w:rPr>
                <w:rFonts w:ascii="Times New Roman" w:eastAsia="宋体" w:hAnsi="Times New Roman" w:cs="Times New Roman"/>
                <w:color w:val="000000"/>
                <w:kern w:val="0"/>
                <w:sz w:val="24"/>
                <w:szCs w:val="24"/>
              </w:rPr>
              <w:t xml:space="preserve">438.00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6733D0" w:rsidRDefault="00AB6D2C" w:rsidP="003E26F0">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f</w:t>
            </w:r>
          </w:p>
        </w:tc>
      </w:tr>
      <w:tr w:rsidR="00AB6D2C" w:rsidRPr="006733D0" w:rsidTr="003E26F0">
        <w:trPr>
          <w:trHeight w:val="270"/>
        </w:trPr>
        <w:tc>
          <w:tcPr>
            <w:tcW w:w="3390"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733D0" w:rsidRDefault="00AB6D2C" w:rsidP="00AB6D2C">
            <w:pPr>
              <w:widowControl/>
              <w:jc w:val="left"/>
              <w:rPr>
                <w:rFonts w:ascii="Times New Roman" w:eastAsia="宋体" w:hAnsi="Times New Roman" w:cs="Times New Roman"/>
                <w:b/>
                <w:bCs/>
                <w:color w:val="000000"/>
                <w:kern w:val="0"/>
                <w:sz w:val="24"/>
                <w:szCs w:val="24"/>
              </w:rPr>
            </w:pPr>
            <w:r w:rsidRPr="006733D0">
              <w:rPr>
                <w:rFonts w:ascii="Times New Roman" w:eastAsia="宋体" w:hAnsi="Times New Roman" w:cs="Times New Roman"/>
                <w:b/>
                <w:bCs/>
                <w:color w:val="000000"/>
                <w:kern w:val="0"/>
                <w:sz w:val="24"/>
                <w:szCs w:val="24"/>
              </w:rPr>
              <w:t>可计入二级资本的超额贷款损失准备的限额</w:t>
            </w:r>
          </w:p>
        </w:tc>
        <w:tc>
          <w:tcPr>
            <w:tcW w:w="1081" w:type="pct"/>
            <w:tcBorders>
              <w:top w:val="nil"/>
              <w:left w:val="nil"/>
              <w:bottom w:val="single" w:sz="4" w:space="0" w:color="auto"/>
              <w:right w:val="single" w:sz="4" w:space="0" w:color="auto"/>
            </w:tcBorders>
            <w:shd w:val="clear" w:color="auto" w:fill="BFBFBF" w:themeFill="background1" w:themeFillShade="BF"/>
            <w:vAlign w:val="bottom"/>
            <w:hideMark/>
          </w:tcPr>
          <w:p w:rsidR="00AB6D2C" w:rsidRPr="006733D0" w:rsidRDefault="00AB6D2C" w:rsidP="00AB6D2C">
            <w:pPr>
              <w:widowControl/>
              <w:jc w:val="center"/>
              <w:rPr>
                <w:rFonts w:ascii="Times New Roman" w:eastAsia="宋体" w:hAnsi="Times New Roman" w:cs="Times New Roman"/>
                <w:b/>
                <w:bCs/>
                <w:color w:val="000000"/>
                <w:kern w:val="0"/>
                <w:sz w:val="24"/>
                <w:szCs w:val="24"/>
              </w:rPr>
            </w:pPr>
            <w:r w:rsidRPr="006733D0">
              <w:rPr>
                <w:rFonts w:ascii="Times New Roman" w:eastAsia="宋体" w:hAnsi="Times New Roman" w:cs="Times New Roman"/>
                <w:b/>
                <w:bCs/>
                <w:color w:val="000000"/>
                <w:kern w:val="0"/>
                <w:sz w:val="24"/>
                <w:szCs w:val="24"/>
              </w:rPr>
              <w:t>数额</w:t>
            </w:r>
          </w:p>
        </w:tc>
        <w:tc>
          <w:tcPr>
            <w:tcW w:w="529" w:type="pct"/>
            <w:tcBorders>
              <w:top w:val="nil"/>
              <w:left w:val="nil"/>
              <w:bottom w:val="single" w:sz="4" w:space="0" w:color="auto"/>
              <w:right w:val="single" w:sz="4" w:space="0" w:color="auto"/>
            </w:tcBorders>
            <w:shd w:val="clear" w:color="auto" w:fill="BFBFBF" w:themeFill="background1" w:themeFillShade="BF"/>
            <w:noWrap/>
            <w:vAlign w:val="center"/>
            <w:hideMark/>
          </w:tcPr>
          <w:p w:rsidR="00AB6D2C" w:rsidRPr="006733D0" w:rsidRDefault="00AB6D2C" w:rsidP="003E26F0">
            <w:pPr>
              <w:widowControl/>
              <w:jc w:val="center"/>
              <w:rPr>
                <w:rFonts w:ascii="Times New Roman" w:eastAsia="宋体" w:hAnsi="Times New Roman" w:cs="Times New Roman"/>
                <w:b/>
                <w:bCs/>
                <w:color w:val="000000"/>
                <w:kern w:val="0"/>
                <w:sz w:val="24"/>
                <w:szCs w:val="24"/>
              </w:rPr>
            </w:pPr>
            <w:r w:rsidRPr="006733D0">
              <w:rPr>
                <w:rFonts w:ascii="Times New Roman" w:eastAsia="宋体" w:hAnsi="Times New Roman" w:cs="Times New Roman"/>
                <w:b/>
                <w:bCs/>
                <w:color w:val="000000"/>
                <w:kern w:val="0"/>
                <w:sz w:val="24"/>
                <w:szCs w:val="24"/>
              </w:rPr>
              <w:t>代码</w:t>
            </w:r>
          </w:p>
        </w:tc>
      </w:tr>
      <w:tr w:rsidR="00AB6D2C" w:rsidRPr="006733D0"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76</w:t>
            </w:r>
          </w:p>
        </w:tc>
        <w:tc>
          <w:tcPr>
            <w:tcW w:w="3087" w:type="pct"/>
            <w:tcBorders>
              <w:top w:val="nil"/>
              <w:left w:val="nil"/>
              <w:bottom w:val="single" w:sz="4" w:space="0" w:color="auto"/>
              <w:right w:val="single" w:sz="4" w:space="0" w:color="auto"/>
            </w:tcBorders>
            <w:shd w:val="clear" w:color="auto" w:fill="auto"/>
            <w:vAlign w:val="bottom"/>
            <w:hideMark/>
          </w:tcPr>
          <w:p w:rsidR="00AB6D2C" w:rsidRPr="006733D0" w:rsidRDefault="00AB6D2C" w:rsidP="00AB6D2C">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权重法下，实际计提的贷款损失准备金额</w:t>
            </w:r>
          </w:p>
        </w:tc>
        <w:tc>
          <w:tcPr>
            <w:tcW w:w="1081" w:type="pct"/>
            <w:tcBorders>
              <w:top w:val="nil"/>
              <w:left w:val="nil"/>
              <w:bottom w:val="single" w:sz="4" w:space="0" w:color="auto"/>
              <w:right w:val="single" w:sz="4" w:space="0" w:color="auto"/>
            </w:tcBorders>
            <w:shd w:val="clear" w:color="auto" w:fill="auto"/>
            <w:noWrap/>
            <w:vAlign w:val="center"/>
            <w:hideMark/>
          </w:tcPr>
          <w:p w:rsidR="00AB6D2C" w:rsidRPr="006733D0" w:rsidRDefault="00AB6D2C" w:rsidP="00AB6D2C">
            <w:pPr>
              <w:widowControl/>
              <w:jc w:val="righ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521</w:t>
            </w:r>
            <w:r w:rsidR="00077C0D" w:rsidRPr="006733D0">
              <w:rPr>
                <w:rFonts w:ascii="Times New Roman" w:eastAsia="宋体" w:hAnsi="Times New Roman" w:cs="Times New Roman"/>
                <w:color w:val="000000"/>
                <w:kern w:val="0"/>
                <w:sz w:val="24"/>
                <w:szCs w:val="24"/>
              </w:rPr>
              <w:t>,</w:t>
            </w:r>
            <w:r w:rsidRPr="006733D0">
              <w:rPr>
                <w:rFonts w:ascii="Times New Roman" w:eastAsia="宋体" w:hAnsi="Times New Roman" w:cs="Times New Roman"/>
                <w:color w:val="000000"/>
                <w:kern w:val="0"/>
                <w:sz w:val="24"/>
                <w:szCs w:val="24"/>
              </w:rPr>
              <w:t xml:space="preserve">276.22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6733D0" w:rsidRDefault="00AB6D2C" w:rsidP="003E26F0">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u</w:t>
            </w:r>
          </w:p>
        </w:tc>
      </w:tr>
    </w:tbl>
    <w:p w:rsidR="00077C0D" w:rsidRPr="006733D0" w:rsidRDefault="00077C0D" w:rsidP="00AB6D2C">
      <w:pPr>
        <w:ind w:firstLine="420"/>
        <w:rPr>
          <w:rFonts w:ascii="Times New Roman" w:hAnsi="Times New Roman" w:cs="Times New Roman"/>
          <w:sz w:val="24"/>
          <w:szCs w:val="24"/>
        </w:rPr>
      </w:pPr>
    </w:p>
    <w:p w:rsidR="00077C0D" w:rsidRPr="006733D0" w:rsidRDefault="00077C0D">
      <w:pPr>
        <w:widowControl/>
        <w:jc w:val="left"/>
        <w:rPr>
          <w:rFonts w:ascii="Times New Roman" w:hAnsi="Times New Roman" w:cs="Times New Roman"/>
          <w:sz w:val="24"/>
          <w:szCs w:val="24"/>
        </w:rPr>
      </w:pPr>
      <w:r w:rsidRPr="006733D0">
        <w:rPr>
          <w:rFonts w:ascii="Times New Roman" w:hAnsi="Times New Roman" w:cs="Times New Roman"/>
          <w:sz w:val="24"/>
          <w:szCs w:val="24"/>
        </w:rPr>
        <w:br w:type="page"/>
      </w:r>
    </w:p>
    <w:p w:rsidR="00AB6D2C" w:rsidRPr="006733D0" w:rsidRDefault="00F75E4A" w:rsidP="00AB6D2C">
      <w:pPr>
        <w:ind w:firstLine="420"/>
        <w:rPr>
          <w:rFonts w:ascii="Times New Roman" w:hAnsi="Times New Roman" w:cs="Times New Roman"/>
          <w:b/>
          <w:sz w:val="24"/>
          <w:szCs w:val="24"/>
        </w:rPr>
      </w:pPr>
      <w:r w:rsidRPr="006733D0">
        <w:rPr>
          <w:rFonts w:ascii="Times New Roman" w:hAnsi="Times New Roman" w:cs="Times New Roman"/>
          <w:b/>
          <w:sz w:val="24"/>
          <w:szCs w:val="24"/>
        </w:rPr>
        <w:lastRenderedPageBreak/>
        <w:t>四、资本工具主要特征</w:t>
      </w:r>
    </w:p>
    <w:p w:rsidR="00834A3C" w:rsidRPr="006733D0" w:rsidRDefault="00834A3C" w:rsidP="00AB6D2C">
      <w:pPr>
        <w:ind w:firstLine="420"/>
        <w:rPr>
          <w:rFonts w:ascii="Times New Roman" w:hAnsi="Times New Roman" w:cs="Times New Roman"/>
          <w:b/>
          <w:sz w:val="24"/>
          <w:szCs w:val="24"/>
        </w:rPr>
      </w:pPr>
    </w:p>
    <w:p w:rsidR="003E26F0" w:rsidRPr="006733D0" w:rsidRDefault="003E26F0" w:rsidP="00AB6D2C">
      <w:pPr>
        <w:ind w:firstLine="420"/>
        <w:rPr>
          <w:rFonts w:ascii="Times New Roman" w:hAnsi="Times New Roman" w:cs="Times New Roman"/>
          <w:b/>
          <w:sz w:val="24"/>
          <w:szCs w:val="24"/>
        </w:rPr>
      </w:pPr>
    </w:p>
    <w:tbl>
      <w:tblPr>
        <w:tblW w:w="5000" w:type="pct"/>
        <w:tblLook w:val="04A0" w:firstRow="1" w:lastRow="0" w:firstColumn="1" w:lastColumn="0" w:noHBand="0" w:noVBand="1"/>
      </w:tblPr>
      <w:tblGrid>
        <w:gridCol w:w="456"/>
        <w:gridCol w:w="4975"/>
        <w:gridCol w:w="3091"/>
      </w:tblGrid>
      <w:tr w:rsidR="00077C0D" w:rsidRPr="006733D0" w:rsidTr="00077C0D">
        <w:trPr>
          <w:trHeight w:val="270"/>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077C0D" w:rsidRPr="006733D0" w:rsidRDefault="00077C0D" w:rsidP="00077C0D">
            <w:pPr>
              <w:widowControl/>
              <w:jc w:val="left"/>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信息披露模板：监管资本工具的主要特征</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发行机构</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苏州银行股份有限公司</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标识码</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1520017</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3</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适用法律</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《商业银行资本管理办法（试行）》等</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监管处理</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4</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其中：适用《商业银行资本管理办法（试行）》过渡期规则</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二级资本</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5</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其中：适用《商业银行资本管理办法（试行）》过渡期结束后规则</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二级资本</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6</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其中：适用法人</w:t>
            </w:r>
            <w:r w:rsidRPr="006733D0">
              <w:rPr>
                <w:rFonts w:ascii="Times New Roman" w:eastAsia="宋体" w:hAnsi="Times New Roman" w:cs="Times New Roman"/>
                <w:color w:val="000000"/>
                <w:kern w:val="0"/>
                <w:sz w:val="24"/>
                <w:szCs w:val="24"/>
              </w:rPr>
              <w:t>/</w:t>
            </w:r>
            <w:r w:rsidRPr="006733D0">
              <w:rPr>
                <w:rFonts w:ascii="Times New Roman" w:eastAsia="宋体" w:hAnsi="Times New Roman" w:cs="Times New Roman"/>
                <w:color w:val="000000"/>
                <w:kern w:val="0"/>
                <w:sz w:val="24"/>
                <w:szCs w:val="24"/>
              </w:rPr>
              <w:t>集团层面</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法人</w:t>
            </w:r>
            <w:r w:rsidRPr="006733D0">
              <w:rPr>
                <w:rFonts w:ascii="Times New Roman" w:eastAsia="宋体" w:hAnsi="Times New Roman" w:cs="Times New Roman"/>
                <w:color w:val="000000"/>
                <w:kern w:val="0"/>
                <w:sz w:val="24"/>
                <w:szCs w:val="24"/>
              </w:rPr>
              <w:t>/</w:t>
            </w:r>
            <w:r w:rsidRPr="006733D0">
              <w:rPr>
                <w:rFonts w:ascii="Times New Roman" w:eastAsia="宋体" w:hAnsi="Times New Roman" w:cs="Times New Roman"/>
                <w:color w:val="000000"/>
                <w:kern w:val="0"/>
                <w:sz w:val="24"/>
                <w:szCs w:val="24"/>
              </w:rPr>
              <w:t>集团</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7</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工具类型</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二级资本债券</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8</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可计入监管资本的数额（单位为百万，最近一期报告日）</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4,493</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9</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工具面值</w:t>
            </w:r>
            <w:r w:rsidR="003E26F0" w:rsidRPr="006733D0">
              <w:rPr>
                <w:rFonts w:ascii="Times New Roman" w:eastAsia="宋体" w:hAnsi="Times New Roman" w:cs="Times New Roman"/>
                <w:color w:val="000000"/>
                <w:kern w:val="0"/>
                <w:sz w:val="24"/>
                <w:szCs w:val="24"/>
              </w:rPr>
              <w:t>（单位为百万，最近一期报告日）</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4,500</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10</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会计处理</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应付债券</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11</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初始发行日</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2015/5/13</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12</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是否存在期限（存在期限或永续）</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存在期限</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13</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其中：原到期日</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2025/5/15</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14</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发行人赎回（须经监管审批）</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是</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15</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其中：赎回日期（或有时间赎回日期）及额度</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2020/5/15,</w:t>
            </w:r>
            <w:r w:rsidRPr="006733D0">
              <w:rPr>
                <w:rFonts w:ascii="Times New Roman" w:eastAsia="宋体" w:hAnsi="Times New Roman" w:cs="Times New Roman"/>
                <w:color w:val="000000"/>
                <w:kern w:val="0"/>
                <w:sz w:val="24"/>
                <w:szCs w:val="24"/>
              </w:rPr>
              <w:t>全额</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16</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其中：后续赎回日期（如果有）</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不适用</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分红或派息</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17</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其中：固定或浮动派息</w:t>
            </w:r>
            <w:r w:rsidRPr="006733D0">
              <w:rPr>
                <w:rFonts w:ascii="Times New Roman" w:eastAsia="宋体" w:hAnsi="Times New Roman" w:cs="Times New Roman"/>
                <w:color w:val="000000"/>
                <w:kern w:val="0"/>
                <w:sz w:val="24"/>
                <w:szCs w:val="24"/>
              </w:rPr>
              <w:t>/</w:t>
            </w:r>
            <w:r w:rsidRPr="006733D0">
              <w:rPr>
                <w:rFonts w:ascii="Times New Roman" w:eastAsia="宋体" w:hAnsi="Times New Roman" w:cs="Times New Roman"/>
                <w:color w:val="000000"/>
                <w:kern w:val="0"/>
                <w:sz w:val="24"/>
                <w:szCs w:val="24"/>
              </w:rPr>
              <w:t>分红</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固定</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18</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其中：票面利率及相关指标</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5.58%</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19</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其中：是否存在股息制动机制</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否</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20</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其中：是否可自主取消分红或派息</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无自由裁量权</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21</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其中：是否有赎回激励机制</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否</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22</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其中：累计或非累计</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非累计</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23</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是否可转股</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否</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24</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其中：若可转股，则说明转换触发条件</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不适用</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25</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其中：若可转股，则说明全部转股还是部分转股</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不适用</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26</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其中：若可转股，则说明转换价格确定方式</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不适用</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27</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其中：若可转股，则说明是否为强制性转换</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不适用</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28</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其中：若可转股，则说明转换</w:t>
            </w:r>
            <w:proofErr w:type="gramStart"/>
            <w:r w:rsidRPr="006733D0">
              <w:rPr>
                <w:rFonts w:ascii="Times New Roman" w:eastAsia="宋体" w:hAnsi="Times New Roman" w:cs="Times New Roman"/>
                <w:color w:val="000000"/>
                <w:kern w:val="0"/>
                <w:sz w:val="24"/>
                <w:szCs w:val="24"/>
              </w:rPr>
              <w:t>后工具</w:t>
            </w:r>
            <w:proofErr w:type="gramEnd"/>
            <w:r w:rsidRPr="006733D0">
              <w:rPr>
                <w:rFonts w:ascii="Times New Roman" w:eastAsia="宋体" w:hAnsi="Times New Roman" w:cs="Times New Roman"/>
                <w:color w:val="000000"/>
                <w:kern w:val="0"/>
                <w:sz w:val="24"/>
                <w:szCs w:val="24"/>
              </w:rPr>
              <w:t>类型</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不适用</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29</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其中：若可转股，则说明转换</w:t>
            </w:r>
            <w:proofErr w:type="gramStart"/>
            <w:r w:rsidRPr="006733D0">
              <w:rPr>
                <w:rFonts w:ascii="Times New Roman" w:eastAsia="宋体" w:hAnsi="Times New Roman" w:cs="Times New Roman"/>
                <w:color w:val="000000"/>
                <w:kern w:val="0"/>
                <w:sz w:val="24"/>
                <w:szCs w:val="24"/>
              </w:rPr>
              <w:t>后工具</w:t>
            </w:r>
            <w:proofErr w:type="gramEnd"/>
            <w:r w:rsidRPr="006733D0">
              <w:rPr>
                <w:rFonts w:ascii="Times New Roman" w:eastAsia="宋体" w:hAnsi="Times New Roman" w:cs="Times New Roman"/>
                <w:color w:val="000000"/>
                <w:kern w:val="0"/>
                <w:sz w:val="24"/>
                <w:szCs w:val="24"/>
              </w:rPr>
              <w:t>的发行人</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不适用</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30</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proofErr w:type="gramStart"/>
            <w:r w:rsidRPr="006733D0">
              <w:rPr>
                <w:rFonts w:ascii="Times New Roman" w:eastAsia="宋体" w:hAnsi="Times New Roman" w:cs="Times New Roman"/>
                <w:color w:val="000000"/>
                <w:kern w:val="0"/>
                <w:sz w:val="24"/>
                <w:szCs w:val="24"/>
              </w:rPr>
              <w:t>是否减记</w:t>
            </w:r>
            <w:proofErr w:type="gramEnd"/>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是</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31</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其中：若减记，则</w:t>
            </w:r>
            <w:proofErr w:type="gramStart"/>
            <w:r w:rsidRPr="006733D0">
              <w:rPr>
                <w:rFonts w:ascii="Times New Roman" w:eastAsia="宋体" w:hAnsi="Times New Roman" w:cs="Times New Roman"/>
                <w:color w:val="000000"/>
                <w:kern w:val="0"/>
                <w:sz w:val="24"/>
                <w:szCs w:val="24"/>
              </w:rPr>
              <w:t>说明减记触发</w:t>
            </w:r>
            <w:proofErr w:type="gramEnd"/>
            <w:r w:rsidRPr="006733D0">
              <w:rPr>
                <w:rFonts w:ascii="Times New Roman" w:eastAsia="宋体" w:hAnsi="Times New Roman" w:cs="Times New Roman"/>
                <w:color w:val="000000"/>
                <w:kern w:val="0"/>
                <w:sz w:val="24"/>
                <w:szCs w:val="24"/>
              </w:rPr>
              <w:t>点</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w:t>
            </w:r>
            <w:r w:rsidRPr="006733D0">
              <w:rPr>
                <w:rFonts w:ascii="Times New Roman" w:eastAsia="宋体" w:hAnsi="Times New Roman" w:cs="Times New Roman"/>
                <w:color w:val="000000"/>
                <w:kern w:val="0"/>
                <w:sz w:val="24"/>
                <w:szCs w:val="24"/>
              </w:rPr>
              <w:t>1</w:t>
            </w:r>
            <w:r w:rsidRPr="006733D0">
              <w:rPr>
                <w:rFonts w:ascii="Times New Roman" w:eastAsia="宋体" w:hAnsi="Times New Roman" w:cs="Times New Roman"/>
                <w:color w:val="000000"/>
                <w:kern w:val="0"/>
                <w:sz w:val="24"/>
                <w:szCs w:val="24"/>
              </w:rPr>
              <w:t>）银监会认定若不</w:t>
            </w:r>
            <w:proofErr w:type="gramStart"/>
            <w:r w:rsidRPr="006733D0">
              <w:rPr>
                <w:rFonts w:ascii="Times New Roman" w:eastAsia="宋体" w:hAnsi="Times New Roman" w:cs="Times New Roman"/>
                <w:color w:val="000000"/>
                <w:kern w:val="0"/>
                <w:sz w:val="24"/>
                <w:szCs w:val="24"/>
              </w:rPr>
              <w:t>进行减记发行人</w:t>
            </w:r>
            <w:proofErr w:type="gramEnd"/>
            <w:r w:rsidRPr="006733D0">
              <w:rPr>
                <w:rFonts w:ascii="Times New Roman" w:eastAsia="宋体" w:hAnsi="Times New Roman" w:cs="Times New Roman"/>
                <w:color w:val="000000"/>
                <w:kern w:val="0"/>
                <w:sz w:val="24"/>
                <w:szCs w:val="24"/>
              </w:rPr>
              <w:t>将无法生存；</w:t>
            </w:r>
            <w:r w:rsidRPr="006733D0">
              <w:rPr>
                <w:rFonts w:ascii="Times New Roman" w:eastAsia="宋体" w:hAnsi="Times New Roman" w:cs="Times New Roman"/>
                <w:color w:val="000000"/>
                <w:kern w:val="0"/>
                <w:sz w:val="24"/>
                <w:szCs w:val="24"/>
              </w:rPr>
              <w:lastRenderedPageBreak/>
              <w:t>（</w:t>
            </w:r>
            <w:r w:rsidRPr="006733D0">
              <w:rPr>
                <w:rFonts w:ascii="Times New Roman" w:eastAsia="宋体" w:hAnsi="Times New Roman" w:cs="Times New Roman"/>
                <w:color w:val="000000"/>
                <w:kern w:val="0"/>
                <w:sz w:val="24"/>
                <w:szCs w:val="24"/>
              </w:rPr>
              <w:t>2</w:t>
            </w:r>
            <w:r w:rsidRPr="006733D0">
              <w:rPr>
                <w:rFonts w:ascii="Times New Roman" w:eastAsia="宋体" w:hAnsi="Times New Roman" w:cs="Times New Roman"/>
                <w:color w:val="000000"/>
                <w:kern w:val="0"/>
                <w:sz w:val="24"/>
                <w:szCs w:val="24"/>
              </w:rPr>
              <w:t>）银监会认定若不进行公共部门注资或提供同等效力的支持发行人将无法生存。</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lastRenderedPageBreak/>
              <w:t>32</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其中：若减记，则说明部分</w:t>
            </w:r>
            <w:proofErr w:type="gramStart"/>
            <w:r w:rsidRPr="006733D0">
              <w:rPr>
                <w:rFonts w:ascii="Times New Roman" w:eastAsia="宋体" w:hAnsi="Times New Roman" w:cs="Times New Roman"/>
                <w:color w:val="000000"/>
                <w:kern w:val="0"/>
                <w:sz w:val="24"/>
                <w:szCs w:val="24"/>
              </w:rPr>
              <w:t>减记该</w:t>
            </w:r>
            <w:proofErr w:type="gramEnd"/>
            <w:r w:rsidRPr="006733D0">
              <w:rPr>
                <w:rFonts w:ascii="Times New Roman" w:eastAsia="宋体" w:hAnsi="Times New Roman" w:cs="Times New Roman"/>
                <w:color w:val="000000"/>
                <w:kern w:val="0"/>
                <w:sz w:val="24"/>
                <w:szCs w:val="24"/>
              </w:rPr>
              <w:t>是</w:t>
            </w:r>
            <w:proofErr w:type="gramStart"/>
            <w:r w:rsidRPr="006733D0">
              <w:rPr>
                <w:rFonts w:ascii="Times New Roman" w:eastAsia="宋体" w:hAnsi="Times New Roman" w:cs="Times New Roman"/>
                <w:color w:val="000000"/>
                <w:kern w:val="0"/>
                <w:sz w:val="24"/>
                <w:szCs w:val="24"/>
              </w:rPr>
              <w:t>全部减记</w:t>
            </w:r>
            <w:proofErr w:type="gramEnd"/>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proofErr w:type="gramStart"/>
            <w:r w:rsidRPr="006733D0">
              <w:rPr>
                <w:rFonts w:ascii="Times New Roman" w:eastAsia="宋体" w:hAnsi="Times New Roman" w:cs="Times New Roman"/>
                <w:color w:val="000000"/>
                <w:kern w:val="0"/>
                <w:sz w:val="24"/>
                <w:szCs w:val="24"/>
              </w:rPr>
              <w:t>全部减记</w:t>
            </w:r>
            <w:proofErr w:type="gramEnd"/>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33</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其中：若减记，则说明</w:t>
            </w:r>
            <w:proofErr w:type="gramStart"/>
            <w:r w:rsidRPr="006733D0">
              <w:rPr>
                <w:rFonts w:ascii="Times New Roman" w:eastAsia="宋体" w:hAnsi="Times New Roman" w:cs="Times New Roman"/>
                <w:color w:val="000000"/>
                <w:kern w:val="0"/>
                <w:sz w:val="24"/>
                <w:szCs w:val="24"/>
              </w:rPr>
              <w:t>永久减记还是暂时减记</w:t>
            </w:r>
            <w:proofErr w:type="gramEnd"/>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proofErr w:type="gramStart"/>
            <w:r w:rsidRPr="006733D0">
              <w:rPr>
                <w:rFonts w:ascii="Times New Roman" w:eastAsia="宋体" w:hAnsi="Times New Roman" w:cs="Times New Roman"/>
                <w:color w:val="000000"/>
                <w:kern w:val="0"/>
                <w:sz w:val="24"/>
                <w:szCs w:val="24"/>
              </w:rPr>
              <w:t>永久减记</w:t>
            </w:r>
            <w:proofErr w:type="gramEnd"/>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34</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其中：若暂时减记，则说明账面价值恢复机制</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不适用</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35</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清算时清偿顺序（说明清偿顺序更高级的工具类型）</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BE508A" w:rsidP="00BE508A">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本期债券本金和利息的清偿顺序在存款人和一般债权人之后，股权资本、其他一级资本工具和混合债券之前，与已经发行的与本期债券偿还顺序相同的其他次级债务处于同一清偿顺序，与未来可能发行的与本期债券偿还顺序相同的其他二级资本工具同顺位受偿。</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36</w:t>
            </w: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是否含有暂时的不合格特征</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否</w:t>
            </w:r>
          </w:p>
        </w:tc>
      </w:tr>
      <w:tr w:rsidR="00077C0D" w:rsidRPr="006733D0" w:rsidTr="002B0452">
        <w:trPr>
          <w:trHeight w:val="2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77C0D" w:rsidRPr="006733D0" w:rsidRDefault="00077C0D" w:rsidP="002B0452">
            <w:pPr>
              <w:widowControl/>
              <w:jc w:val="center"/>
              <w:rPr>
                <w:rFonts w:ascii="Times New Roman" w:eastAsia="宋体" w:hAnsi="Times New Roman" w:cs="Times New Roman"/>
                <w:color w:val="000000"/>
                <w:kern w:val="0"/>
                <w:sz w:val="24"/>
                <w:szCs w:val="24"/>
              </w:rPr>
            </w:pPr>
          </w:p>
        </w:tc>
        <w:tc>
          <w:tcPr>
            <w:tcW w:w="2925"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3E26F0">
            <w:pPr>
              <w:widowControl/>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其中：若有，则说明该特征</w:t>
            </w:r>
          </w:p>
        </w:tc>
        <w:tc>
          <w:tcPr>
            <w:tcW w:w="1819" w:type="pct"/>
            <w:tcBorders>
              <w:top w:val="nil"/>
              <w:left w:val="nil"/>
              <w:bottom w:val="single" w:sz="4" w:space="0" w:color="auto"/>
              <w:right w:val="single" w:sz="4" w:space="0" w:color="auto"/>
            </w:tcBorders>
            <w:shd w:val="clear" w:color="auto" w:fill="auto"/>
            <w:vAlign w:val="center"/>
            <w:hideMark/>
          </w:tcPr>
          <w:p w:rsidR="00077C0D" w:rsidRPr="006733D0" w:rsidRDefault="00077C0D" w:rsidP="00077C0D">
            <w:pPr>
              <w:widowControl/>
              <w:jc w:val="center"/>
              <w:rPr>
                <w:rFonts w:ascii="Times New Roman" w:eastAsia="宋体" w:hAnsi="Times New Roman" w:cs="Times New Roman"/>
                <w:color w:val="000000"/>
                <w:kern w:val="0"/>
                <w:sz w:val="24"/>
                <w:szCs w:val="24"/>
              </w:rPr>
            </w:pPr>
            <w:r w:rsidRPr="006733D0">
              <w:rPr>
                <w:rFonts w:ascii="Times New Roman" w:eastAsia="宋体" w:hAnsi="Times New Roman" w:cs="Times New Roman"/>
                <w:color w:val="000000"/>
                <w:kern w:val="0"/>
                <w:sz w:val="24"/>
                <w:szCs w:val="24"/>
              </w:rPr>
              <w:t>不适用</w:t>
            </w:r>
          </w:p>
        </w:tc>
      </w:tr>
    </w:tbl>
    <w:p w:rsidR="00535493" w:rsidRPr="006733D0" w:rsidRDefault="00535493" w:rsidP="00535493">
      <w:pPr>
        <w:rPr>
          <w:rFonts w:ascii="Times New Roman" w:hAnsi="Times New Roman" w:cs="Times New Roman"/>
          <w:sz w:val="24"/>
          <w:szCs w:val="24"/>
        </w:rPr>
      </w:pPr>
    </w:p>
    <w:p w:rsidR="00535493" w:rsidRPr="006733D0" w:rsidRDefault="00535493" w:rsidP="00535493">
      <w:pPr>
        <w:rPr>
          <w:rFonts w:ascii="Times New Roman" w:hAnsi="Times New Roman" w:cs="Times New Roman"/>
          <w:sz w:val="24"/>
          <w:szCs w:val="24"/>
        </w:rPr>
      </w:pPr>
    </w:p>
    <w:p w:rsidR="00535493" w:rsidRPr="006733D0" w:rsidRDefault="00535493" w:rsidP="00535493">
      <w:pPr>
        <w:rPr>
          <w:rFonts w:ascii="Times New Roman" w:hAnsi="Times New Roman" w:cs="Times New Roman"/>
          <w:sz w:val="24"/>
          <w:szCs w:val="24"/>
        </w:rPr>
      </w:pPr>
    </w:p>
    <w:p w:rsidR="00535493" w:rsidRPr="006733D0" w:rsidRDefault="00535493" w:rsidP="00535493">
      <w:pPr>
        <w:rPr>
          <w:rFonts w:ascii="Times New Roman" w:hAnsi="Times New Roman" w:cs="Times New Roman"/>
          <w:sz w:val="24"/>
          <w:szCs w:val="24"/>
        </w:rPr>
      </w:pPr>
      <w:r w:rsidRPr="006733D0">
        <w:rPr>
          <w:rFonts w:ascii="Times New Roman" w:hAnsi="Times New Roman" w:cs="Times New Roman"/>
          <w:sz w:val="24"/>
          <w:szCs w:val="24"/>
        </w:rPr>
        <w:t>注：以上表格内容按照</w:t>
      </w:r>
      <w:r w:rsidRPr="006733D0">
        <w:rPr>
          <w:rFonts w:ascii="Times New Roman" w:hAnsi="Times New Roman" w:cs="Times New Roman"/>
          <w:sz w:val="24"/>
          <w:szCs w:val="24"/>
        </w:rPr>
        <w:t xml:space="preserve"> </w:t>
      </w:r>
      <w:r w:rsidRPr="006733D0">
        <w:rPr>
          <w:rFonts w:ascii="Times New Roman" w:hAnsi="Times New Roman" w:cs="Times New Roman"/>
          <w:sz w:val="24"/>
          <w:szCs w:val="24"/>
        </w:rPr>
        <w:t>《关于商业银行资本构成信息披露的监管要求》口径计算及披露，为未经审计数据，与财务报表披露的口径存在差异。</w:t>
      </w:r>
      <w:bookmarkEnd w:id="0"/>
    </w:p>
    <w:sectPr w:rsidR="00535493" w:rsidRPr="006733D0" w:rsidSect="00AB6D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EE7" w:rsidRDefault="00F80EE7" w:rsidP="005C08F1">
      <w:r>
        <w:separator/>
      </w:r>
    </w:p>
  </w:endnote>
  <w:endnote w:type="continuationSeparator" w:id="0">
    <w:p w:rsidR="00F80EE7" w:rsidRDefault="00F80EE7" w:rsidP="005C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EE7" w:rsidRDefault="00F80EE7" w:rsidP="005C08F1">
      <w:r>
        <w:separator/>
      </w:r>
    </w:p>
  </w:footnote>
  <w:footnote w:type="continuationSeparator" w:id="0">
    <w:p w:rsidR="00F80EE7" w:rsidRDefault="00F80EE7" w:rsidP="005C0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B38"/>
    <w:rsid w:val="00012CBB"/>
    <w:rsid w:val="00076668"/>
    <w:rsid w:val="00077C0D"/>
    <w:rsid w:val="000B0DF4"/>
    <w:rsid w:val="000C4A91"/>
    <w:rsid w:val="00100398"/>
    <w:rsid w:val="00166B14"/>
    <w:rsid w:val="001A3F5F"/>
    <w:rsid w:val="001B369D"/>
    <w:rsid w:val="001B6D5E"/>
    <w:rsid w:val="001E6538"/>
    <w:rsid w:val="00216C2A"/>
    <w:rsid w:val="00236087"/>
    <w:rsid w:val="00240703"/>
    <w:rsid w:val="002639F9"/>
    <w:rsid w:val="00273E3E"/>
    <w:rsid w:val="002900EF"/>
    <w:rsid w:val="002A157B"/>
    <w:rsid w:val="002B0452"/>
    <w:rsid w:val="002E7849"/>
    <w:rsid w:val="0031207A"/>
    <w:rsid w:val="0037049F"/>
    <w:rsid w:val="0039757E"/>
    <w:rsid w:val="003E26F0"/>
    <w:rsid w:val="004B3510"/>
    <w:rsid w:val="005279D3"/>
    <w:rsid w:val="00535493"/>
    <w:rsid w:val="005C08F1"/>
    <w:rsid w:val="005D478A"/>
    <w:rsid w:val="0060324C"/>
    <w:rsid w:val="00620C38"/>
    <w:rsid w:val="006733D0"/>
    <w:rsid w:val="00687D72"/>
    <w:rsid w:val="006D12DF"/>
    <w:rsid w:val="0071362F"/>
    <w:rsid w:val="00714C11"/>
    <w:rsid w:val="0077752C"/>
    <w:rsid w:val="007F3BF1"/>
    <w:rsid w:val="00834A3C"/>
    <w:rsid w:val="008822A6"/>
    <w:rsid w:val="008A7926"/>
    <w:rsid w:val="00933642"/>
    <w:rsid w:val="00942E5E"/>
    <w:rsid w:val="009E3726"/>
    <w:rsid w:val="009E5E52"/>
    <w:rsid w:val="009E65F5"/>
    <w:rsid w:val="00A757BF"/>
    <w:rsid w:val="00A9428A"/>
    <w:rsid w:val="00AA4961"/>
    <w:rsid w:val="00AB0538"/>
    <w:rsid w:val="00AB6D2C"/>
    <w:rsid w:val="00AF1129"/>
    <w:rsid w:val="00B53B38"/>
    <w:rsid w:val="00BE508A"/>
    <w:rsid w:val="00BF7233"/>
    <w:rsid w:val="00C1364A"/>
    <w:rsid w:val="00C15D22"/>
    <w:rsid w:val="00C74299"/>
    <w:rsid w:val="00CE6908"/>
    <w:rsid w:val="00D7103B"/>
    <w:rsid w:val="00DD2F9B"/>
    <w:rsid w:val="00DE7D86"/>
    <w:rsid w:val="00DF04A2"/>
    <w:rsid w:val="00E713E2"/>
    <w:rsid w:val="00ED4CD5"/>
    <w:rsid w:val="00F75E4A"/>
    <w:rsid w:val="00F80EE7"/>
    <w:rsid w:val="00F92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6D2C"/>
    <w:pPr>
      <w:widowControl w:val="0"/>
      <w:autoSpaceDE w:val="0"/>
      <w:autoSpaceDN w:val="0"/>
      <w:adjustRightInd w:val="0"/>
    </w:pPr>
    <w:rPr>
      <w:rFonts w:ascii="宋体" w:hAnsi="宋体" w:cs="宋体"/>
      <w:color w:val="000000"/>
      <w:kern w:val="0"/>
      <w:sz w:val="24"/>
      <w:szCs w:val="24"/>
    </w:rPr>
  </w:style>
  <w:style w:type="paragraph" w:styleId="a3">
    <w:name w:val="header"/>
    <w:basedOn w:val="a"/>
    <w:link w:val="Char"/>
    <w:uiPriority w:val="99"/>
    <w:unhideWhenUsed/>
    <w:rsid w:val="005C08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08F1"/>
    <w:rPr>
      <w:sz w:val="18"/>
      <w:szCs w:val="18"/>
    </w:rPr>
  </w:style>
  <w:style w:type="paragraph" w:styleId="a4">
    <w:name w:val="footer"/>
    <w:basedOn w:val="a"/>
    <w:link w:val="Char0"/>
    <w:uiPriority w:val="99"/>
    <w:unhideWhenUsed/>
    <w:rsid w:val="005C08F1"/>
    <w:pPr>
      <w:tabs>
        <w:tab w:val="center" w:pos="4153"/>
        <w:tab w:val="right" w:pos="8306"/>
      </w:tabs>
      <w:snapToGrid w:val="0"/>
      <w:jc w:val="left"/>
    </w:pPr>
    <w:rPr>
      <w:sz w:val="18"/>
      <w:szCs w:val="18"/>
    </w:rPr>
  </w:style>
  <w:style w:type="character" w:customStyle="1" w:styleId="Char0">
    <w:name w:val="页脚 Char"/>
    <w:basedOn w:val="a0"/>
    <w:link w:val="a4"/>
    <w:uiPriority w:val="99"/>
    <w:rsid w:val="005C08F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6D2C"/>
    <w:pPr>
      <w:widowControl w:val="0"/>
      <w:autoSpaceDE w:val="0"/>
      <w:autoSpaceDN w:val="0"/>
      <w:adjustRightInd w:val="0"/>
    </w:pPr>
    <w:rPr>
      <w:rFonts w:ascii="宋体" w:hAnsi="宋体" w:cs="宋体"/>
      <w:color w:val="000000"/>
      <w:kern w:val="0"/>
      <w:sz w:val="24"/>
      <w:szCs w:val="24"/>
    </w:rPr>
  </w:style>
  <w:style w:type="paragraph" w:styleId="a3">
    <w:name w:val="header"/>
    <w:basedOn w:val="a"/>
    <w:link w:val="Char"/>
    <w:uiPriority w:val="99"/>
    <w:unhideWhenUsed/>
    <w:rsid w:val="005C08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08F1"/>
    <w:rPr>
      <w:sz w:val="18"/>
      <w:szCs w:val="18"/>
    </w:rPr>
  </w:style>
  <w:style w:type="paragraph" w:styleId="a4">
    <w:name w:val="footer"/>
    <w:basedOn w:val="a"/>
    <w:link w:val="Char0"/>
    <w:uiPriority w:val="99"/>
    <w:unhideWhenUsed/>
    <w:rsid w:val="005C08F1"/>
    <w:pPr>
      <w:tabs>
        <w:tab w:val="center" w:pos="4153"/>
        <w:tab w:val="right" w:pos="8306"/>
      </w:tabs>
      <w:snapToGrid w:val="0"/>
      <w:jc w:val="left"/>
    </w:pPr>
    <w:rPr>
      <w:sz w:val="18"/>
      <w:szCs w:val="18"/>
    </w:rPr>
  </w:style>
  <w:style w:type="character" w:customStyle="1" w:styleId="Char0">
    <w:name w:val="页脚 Char"/>
    <w:basedOn w:val="a0"/>
    <w:link w:val="a4"/>
    <w:uiPriority w:val="99"/>
    <w:rsid w:val="005C08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005">
      <w:bodyDiv w:val="1"/>
      <w:marLeft w:val="0"/>
      <w:marRight w:val="0"/>
      <w:marTop w:val="0"/>
      <w:marBottom w:val="0"/>
      <w:divBdr>
        <w:top w:val="none" w:sz="0" w:space="0" w:color="auto"/>
        <w:left w:val="none" w:sz="0" w:space="0" w:color="auto"/>
        <w:bottom w:val="none" w:sz="0" w:space="0" w:color="auto"/>
        <w:right w:val="none" w:sz="0" w:space="0" w:color="auto"/>
      </w:divBdr>
    </w:div>
    <w:div w:id="749473076">
      <w:bodyDiv w:val="1"/>
      <w:marLeft w:val="0"/>
      <w:marRight w:val="0"/>
      <w:marTop w:val="0"/>
      <w:marBottom w:val="0"/>
      <w:divBdr>
        <w:top w:val="none" w:sz="0" w:space="0" w:color="auto"/>
        <w:left w:val="none" w:sz="0" w:space="0" w:color="auto"/>
        <w:bottom w:val="none" w:sz="0" w:space="0" w:color="auto"/>
        <w:right w:val="none" w:sz="0" w:space="0" w:color="auto"/>
      </w:divBdr>
    </w:div>
    <w:div w:id="1307394310">
      <w:bodyDiv w:val="1"/>
      <w:marLeft w:val="0"/>
      <w:marRight w:val="0"/>
      <w:marTop w:val="0"/>
      <w:marBottom w:val="0"/>
      <w:divBdr>
        <w:top w:val="none" w:sz="0" w:space="0" w:color="auto"/>
        <w:left w:val="none" w:sz="0" w:space="0" w:color="auto"/>
        <w:bottom w:val="none" w:sz="0" w:space="0" w:color="auto"/>
        <w:right w:val="none" w:sz="0" w:space="0" w:color="auto"/>
      </w:divBdr>
    </w:div>
    <w:div w:id="209848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8</Pages>
  <Words>827</Words>
  <Characters>4719</Characters>
  <Application>Microsoft Office Word</Application>
  <DocSecurity>0</DocSecurity>
  <Lines>39</Lines>
  <Paragraphs>11</Paragraphs>
  <ScaleCrop>false</ScaleCrop>
  <Company/>
  <LinksUpToDate>false</LinksUpToDate>
  <CharactersWithSpaces>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刘诗成</dc:creator>
  <cp:keywords/>
  <dc:description/>
  <cp:lastModifiedBy>余晓桐</cp:lastModifiedBy>
  <cp:revision>13</cp:revision>
  <dcterms:created xsi:type="dcterms:W3CDTF">2019-09-03T02:34:00Z</dcterms:created>
  <dcterms:modified xsi:type="dcterms:W3CDTF">2019-09-19T02:52:00Z</dcterms:modified>
</cp:coreProperties>
</file>