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D2C" w:rsidRPr="00662CA8" w:rsidRDefault="00AB6D2C" w:rsidP="00AB6D2C">
      <w:pPr>
        <w:pStyle w:val="Default"/>
        <w:jc w:val="center"/>
        <w:rPr>
          <w:rFonts w:ascii="Times New Roman" w:hAnsi="Times New Roman" w:cs="Times New Roman"/>
          <w:b/>
          <w:sz w:val="32"/>
        </w:rPr>
      </w:pPr>
      <w:r w:rsidRPr="00662CA8">
        <w:rPr>
          <w:rFonts w:ascii="Times New Roman" w:hAnsi="Times New Roman" w:cs="Times New Roman"/>
          <w:b/>
          <w:sz w:val="32"/>
        </w:rPr>
        <w:t>苏州银行股份有限公司资本构成信息表</w:t>
      </w:r>
    </w:p>
    <w:p w:rsidR="00AB6D2C" w:rsidRPr="00662CA8" w:rsidRDefault="00AB6D2C" w:rsidP="00AB6D2C">
      <w:pPr>
        <w:pStyle w:val="Default"/>
        <w:rPr>
          <w:rFonts w:ascii="Times New Roman" w:hAnsi="Times New Roman" w:cs="Times New Roman"/>
        </w:rPr>
      </w:pPr>
    </w:p>
    <w:p w:rsidR="0060324C" w:rsidRPr="00662CA8" w:rsidRDefault="00AB6D2C" w:rsidP="00AB6D2C">
      <w:pPr>
        <w:ind w:firstLine="420"/>
        <w:rPr>
          <w:rFonts w:ascii="Times New Roman" w:hAnsi="Times New Roman" w:cs="Times New Roman"/>
          <w:szCs w:val="21"/>
        </w:rPr>
      </w:pPr>
      <w:r w:rsidRPr="00662CA8">
        <w:rPr>
          <w:rFonts w:ascii="Times New Roman" w:hAnsi="Times New Roman" w:cs="Times New Roman"/>
          <w:szCs w:val="21"/>
        </w:rPr>
        <w:t>以下监管资本项目与资产负债表对应关系附表依据《中国银监会关于印发商业银行资本监管配套政策文件的通知》</w:t>
      </w:r>
      <w:r w:rsidRPr="00662CA8">
        <w:rPr>
          <w:rFonts w:ascii="Times New Roman" w:hAnsi="Times New Roman" w:cs="Times New Roman"/>
          <w:szCs w:val="21"/>
        </w:rPr>
        <w:t>(</w:t>
      </w:r>
      <w:r w:rsidRPr="00662CA8">
        <w:rPr>
          <w:rFonts w:ascii="Times New Roman" w:hAnsi="Times New Roman" w:cs="Times New Roman"/>
          <w:szCs w:val="21"/>
        </w:rPr>
        <w:t>银监发</w:t>
      </w:r>
      <w:r w:rsidRPr="00662CA8">
        <w:rPr>
          <w:rFonts w:ascii="Times New Roman" w:hAnsi="Times New Roman" w:cs="Times New Roman"/>
          <w:szCs w:val="21"/>
        </w:rPr>
        <w:t>[2013]33</w:t>
      </w:r>
      <w:r w:rsidRPr="00662CA8">
        <w:rPr>
          <w:rFonts w:ascii="Times New Roman" w:hAnsi="Times New Roman" w:cs="Times New Roman"/>
          <w:szCs w:val="21"/>
        </w:rPr>
        <w:t>号</w:t>
      </w:r>
      <w:r w:rsidRPr="00662CA8">
        <w:rPr>
          <w:rFonts w:ascii="Times New Roman" w:hAnsi="Times New Roman" w:cs="Times New Roman"/>
          <w:szCs w:val="21"/>
        </w:rPr>
        <w:t>)</w:t>
      </w:r>
      <w:r w:rsidRPr="00662CA8">
        <w:rPr>
          <w:rFonts w:ascii="Times New Roman" w:hAnsi="Times New Roman" w:cs="Times New Roman"/>
          <w:szCs w:val="21"/>
        </w:rPr>
        <w:t>中《关于商银业行资本构成信息披露的监管要求》进行披露，报表日为</w:t>
      </w:r>
      <w:r w:rsidRPr="00662CA8">
        <w:rPr>
          <w:rFonts w:ascii="Times New Roman" w:hAnsi="Times New Roman" w:cs="Times New Roman"/>
          <w:szCs w:val="21"/>
        </w:rPr>
        <w:t>2</w:t>
      </w:r>
      <w:r w:rsidR="00257302" w:rsidRPr="00662CA8">
        <w:rPr>
          <w:rFonts w:ascii="Times New Roman" w:hAnsi="Times New Roman" w:cs="Times New Roman"/>
          <w:szCs w:val="21"/>
        </w:rPr>
        <w:t>020</w:t>
      </w:r>
      <w:r w:rsidRPr="00662CA8">
        <w:rPr>
          <w:rFonts w:ascii="Times New Roman" w:hAnsi="Times New Roman" w:cs="Times New Roman"/>
          <w:szCs w:val="21"/>
        </w:rPr>
        <w:t>年</w:t>
      </w:r>
      <w:r w:rsidR="00257302" w:rsidRPr="00662CA8">
        <w:rPr>
          <w:rFonts w:ascii="Times New Roman" w:hAnsi="Times New Roman" w:cs="Times New Roman"/>
          <w:szCs w:val="21"/>
        </w:rPr>
        <w:t>6</w:t>
      </w:r>
      <w:r w:rsidRPr="00662CA8">
        <w:rPr>
          <w:rFonts w:ascii="Times New Roman" w:hAnsi="Times New Roman" w:cs="Times New Roman"/>
          <w:szCs w:val="21"/>
        </w:rPr>
        <w:t>月</w:t>
      </w:r>
      <w:r w:rsidR="00257302" w:rsidRPr="00662CA8">
        <w:rPr>
          <w:rFonts w:ascii="Times New Roman" w:hAnsi="Times New Roman" w:cs="Times New Roman"/>
          <w:szCs w:val="21"/>
        </w:rPr>
        <w:t>30</w:t>
      </w:r>
      <w:r w:rsidRPr="00662CA8">
        <w:rPr>
          <w:rFonts w:ascii="Times New Roman" w:hAnsi="Times New Roman" w:cs="Times New Roman"/>
          <w:szCs w:val="21"/>
        </w:rPr>
        <w:t>日。</w:t>
      </w:r>
    </w:p>
    <w:p w:rsidR="00AB6D2C" w:rsidRPr="00662CA8" w:rsidRDefault="00AB6D2C" w:rsidP="00AB6D2C">
      <w:pPr>
        <w:ind w:firstLine="420"/>
        <w:rPr>
          <w:rFonts w:ascii="Times New Roman" w:hAnsi="Times New Roman" w:cs="Times New Roman"/>
          <w:szCs w:val="21"/>
        </w:rPr>
      </w:pPr>
    </w:p>
    <w:p w:rsidR="00AB6D2C" w:rsidRPr="00662CA8" w:rsidRDefault="00AB6D2C" w:rsidP="00AB6D2C">
      <w:pPr>
        <w:ind w:firstLine="420"/>
        <w:rPr>
          <w:rFonts w:ascii="Times New Roman" w:hAnsi="Times New Roman" w:cs="Times New Roman"/>
          <w:b/>
          <w:sz w:val="24"/>
          <w:szCs w:val="21"/>
        </w:rPr>
      </w:pPr>
      <w:r w:rsidRPr="00662CA8">
        <w:rPr>
          <w:rFonts w:ascii="Times New Roman" w:hAnsi="Times New Roman" w:cs="Times New Roman"/>
          <w:b/>
          <w:sz w:val="24"/>
          <w:szCs w:val="21"/>
        </w:rPr>
        <w:t>一、资本构成</w:t>
      </w:r>
    </w:p>
    <w:p w:rsidR="00AB6D2C" w:rsidRPr="00662CA8" w:rsidRDefault="00AB6D2C" w:rsidP="00AB6D2C">
      <w:pPr>
        <w:ind w:firstLine="420"/>
        <w:jc w:val="right"/>
        <w:rPr>
          <w:rFonts w:ascii="Times New Roman" w:hAnsi="Times New Roman" w:cs="Times New Roman"/>
        </w:rPr>
      </w:pPr>
      <w:r w:rsidRPr="00662CA8">
        <w:rPr>
          <w:rFonts w:ascii="Times New Roman" w:hAnsi="Times New Roman" w:cs="Times New Roman"/>
        </w:rPr>
        <w:t>单位：人民币万元</w:t>
      </w:r>
      <w:r w:rsidR="000B0DF4" w:rsidRPr="00662CA8">
        <w:rPr>
          <w:rFonts w:ascii="Times New Roman" w:hAnsi="Times New Roman" w:cs="Times New Roman"/>
        </w:rPr>
        <w:t>、</w:t>
      </w:r>
      <w:r w:rsidR="000B0DF4" w:rsidRPr="00662CA8">
        <w:rPr>
          <w:rFonts w:ascii="Times New Roman" w:eastAsia="宋体" w:hAnsi="Times New Roman" w:cs="Times New Roman"/>
          <w:color w:val="000000"/>
          <w:kern w:val="0"/>
          <w:sz w:val="22"/>
        </w:rPr>
        <w:t>%</w:t>
      </w:r>
      <w:r w:rsidR="002B0452" w:rsidRPr="00662CA8">
        <w:rPr>
          <w:rFonts w:ascii="Times New Roman" w:hAnsi="Times New Roman" w:cs="Times New Roman"/>
          <w:sz w:val="20"/>
        </w:rPr>
        <w:t>、监管并表口径</w:t>
      </w:r>
    </w:p>
    <w:tbl>
      <w:tblPr>
        <w:tblW w:w="5000" w:type="pct"/>
        <w:tblLook w:val="04A0" w:firstRow="1" w:lastRow="0" w:firstColumn="1" w:lastColumn="0" w:noHBand="0" w:noVBand="1"/>
      </w:tblPr>
      <w:tblGrid>
        <w:gridCol w:w="546"/>
        <w:gridCol w:w="6330"/>
        <w:gridCol w:w="1646"/>
      </w:tblGrid>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r>
      <w:tr w:rsidR="00ED372B" w:rsidRPr="00662CA8" w:rsidTr="00ED372B">
        <w:trPr>
          <w:trHeight w:val="299"/>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333,333.33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留存收益</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1,432,699.73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2a</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250,443.23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2b</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402,914.23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2c</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779,342.27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累计其他综合收益和公开储备</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1,099,208.52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3a</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1,081,453.93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3b</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17,754.59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过渡期内可计入核心一级资本数额（仅适用于非股份公司，股份制公司的银行填</w:t>
            </w:r>
            <w:r w:rsidRPr="00662CA8">
              <w:rPr>
                <w:rFonts w:ascii="Times New Roman" w:eastAsia="宋体" w:hAnsi="Times New Roman" w:cs="Times New Roman"/>
                <w:color w:val="000000"/>
                <w:kern w:val="0"/>
                <w:sz w:val="22"/>
              </w:rPr>
              <w:t>0</w:t>
            </w:r>
            <w:r w:rsidRPr="00662CA8">
              <w:rPr>
                <w:rFonts w:ascii="Times New Roman" w:eastAsia="宋体" w:hAnsi="Times New Roman" w:cs="Times New Roman"/>
                <w:color w:val="000000"/>
                <w:kern w:val="0"/>
                <w:sz w:val="22"/>
              </w:rPr>
              <w:t>即可）</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73,214.28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监管调整前的核心一级资本</w:t>
            </w:r>
          </w:p>
        </w:tc>
        <w:tc>
          <w:tcPr>
            <w:tcW w:w="966"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2,938,455.87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审慎估值调整</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其他无形资产（土地使用权除外）（扣除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ED372B" w:rsidP="00AB6D2C">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14,462.75</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依赖未来盈利的由经营亏损引起的</w:t>
            </w:r>
            <w:proofErr w:type="gramStart"/>
            <w:r w:rsidRPr="00662CA8">
              <w:rPr>
                <w:rFonts w:ascii="Times New Roman" w:eastAsia="宋体" w:hAnsi="Times New Roman" w:cs="Times New Roman"/>
                <w:color w:val="000000"/>
                <w:kern w:val="0"/>
                <w:sz w:val="22"/>
              </w:rPr>
              <w:t>净递延税资产</w:t>
            </w:r>
            <w:proofErr w:type="gramEnd"/>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对未按公允价值计量的项目进行</w:t>
            </w:r>
            <w:proofErr w:type="gramStart"/>
            <w:r w:rsidRPr="00662CA8">
              <w:rPr>
                <w:rFonts w:ascii="Times New Roman" w:eastAsia="宋体" w:hAnsi="Times New Roman" w:cs="Times New Roman"/>
                <w:color w:val="000000"/>
                <w:kern w:val="0"/>
                <w:sz w:val="22"/>
              </w:rPr>
              <w:t>现金流套期</w:t>
            </w:r>
            <w:proofErr w:type="gramEnd"/>
            <w:r w:rsidRPr="00662CA8">
              <w:rPr>
                <w:rFonts w:ascii="Times New Roman" w:eastAsia="宋体" w:hAnsi="Times New Roman" w:cs="Times New Roman"/>
                <w:color w:val="000000"/>
                <w:kern w:val="0"/>
                <w:sz w:val="22"/>
              </w:rPr>
              <w:t>形成的储备</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贷款损失准备缺口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资产证券化销售利得</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自身信用风险变化导致其负债公允价值变化带来的未实现损益</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确定受益类的养老金资产净额（扣除递延税项负债）</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16</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直接或间接持有本银行的普通股</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银行间或银行与其他金融机构间通过协议相互持有的核心一级资本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机构小额少数资本投资中的核心一级资本中应扣除金额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机构大额少数资本投资中的核心一级资本中应扣除金额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抵押贷款服务权</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w:t>
            </w:r>
            <w:proofErr w:type="gramStart"/>
            <w:r w:rsidRPr="00662CA8">
              <w:rPr>
                <w:rFonts w:ascii="Times New Roman" w:eastAsia="宋体" w:hAnsi="Times New Roman" w:cs="Times New Roman"/>
                <w:color w:val="000000"/>
                <w:kern w:val="0"/>
                <w:sz w:val="22"/>
              </w:rPr>
              <w:t>净递延税资产</w:t>
            </w:r>
            <w:proofErr w:type="gramEnd"/>
            <w:r w:rsidRPr="00662CA8">
              <w:rPr>
                <w:rFonts w:ascii="Times New Roman" w:eastAsia="宋体" w:hAnsi="Times New Roman" w:cs="Times New Roman"/>
                <w:color w:val="000000"/>
                <w:kern w:val="0"/>
                <w:sz w:val="22"/>
              </w:rPr>
              <w:t>中应扣除金额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机构大额少数资本投资中的核心一级资本和其他依赖于银行未来盈利的</w:t>
            </w:r>
            <w:proofErr w:type="gramStart"/>
            <w:r w:rsidRPr="00662CA8">
              <w:rPr>
                <w:rFonts w:ascii="Times New Roman" w:eastAsia="宋体" w:hAnsi="Times New Roman" w:cs="Times New Roman"/>
                <w:color w:val="000000"/>
                <w:kern w:val="0"/>
                <w:sz w:val="22"/>
              </w:rPr>
              <w:t>净递延税资产</w:t>
            </w:r>
            <w:proofErr w:type="gramEnd"/>
            <w:r w:rsidRPr="00662CA8">
              <w:rPr>
                <w:rFonts w:ascii="Times New Roman" w:eastAsia="宋体" w:hAnsi="Times New Roman" w:cs="Times New Roman"/>
                <w:color w:val="000000"/>
                <w:kern w:val="0"/>
                <w:sz w:val="22"/>
              </w:rPr>
              <w:t>的未扣除部分超过核心一</w:t>
            </w:r>
            <w:r w:rsidRPr="00662CA8">
              <w:rPr>
                <w:rFonts w:ascii="Times New Roman" w:eastAsia="宋体" w:hAnsi="Times New Roman" w:cs="Times New Roman"/>
                <w:color w:val="000000"/>
                <w:kern w:val="0"/>
                <w:sz w:val="22"/>
              </w:rPr>
              <w:lastRenderedPageBreak/>
              <w:t>级资本</w:t>
            </w:r>
            <w:r w:rsidRPr="00662CA8">
              <w:rPr>
                <w:rFonts w:ascii="Times New Roman" w:eastAsia="宋体" w:hAnsi="Times New Roman" w:cs="Times New Roman"/>
                <w:color w:val="000000"/>
                <w:kern w:val="0"/>
                <w:sz w:val="22"/>
              </w:rPr>
              <w:t>15%</w:t>
            </w:r>
            <w:r w:rsidRPr="00662CA8">
              <w:rPr>
                <w:rFonts w:ascii="Times New Roman" w:eastAsia="宋体" w:hAnsi="Times New Roman" w:cs="Times New Roman"/>
                <w:color w:val="000000"/>
                <w:kern w:val="0"/>
                <w:sz w:val="22"/>
              </w:rPr>
              <w:t>的应扣除金额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23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其中：应在对金融机构大额少数资本投资中扣除的金额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其中：抵押贷款服务权应扣除的金额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其中：应在其他依赖于银行未来盈利的</w:t>
            </w:r>
            <w:proofErr w:type="gramStart"/>
            <w:r w:rsidRPr="00662CA8">
              <w:rPr>
                <w:rFonts w:ascii="Times New Roman" w:eastAsia="宋体" w:hAnsi="Times New Roman" w:cs="Times New Roman"/>
                <w:color w:val="000000"/>
                <w:kern w:val="0"/>
                <w:sz w:val="22"/>
              </w:rPr>
              <w:t>净递延税资产</w:t>
            </w:r>
            <w:proofErr w:type="gramEnd"/>
            <w:r w:rsidRPr="00662CA8">
              <w:rPr>
                <w:rFonts w:ascii="Times New Roman" w:eastAsia="宋体" w:hAnsi="Times New Roman" w:cs="Times New Roman"/>
                <w:color w:val="000000"/>
                <w:kern w:val="0"/>
                <w:sz w:val="22"/>
              </w:rPr>
              <w:t>中扣除的金额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26a</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对有控制权但不并表的金融机构的核心一级资本投资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26b</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对有控制权但不并表的金融机构的核心一级资本缺口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26c</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其他应在核心一级资本中扣除的项目合计</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应从其他一级资本和二级资本中扣除的未扣缺口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28</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核心一级资本监管调整总和</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14,462.75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29</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2,923,993.12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其他一级资本工具及其溢价</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其中：权益部分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其中：负债部分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过渡期后不可计入其他一级资本的工具</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257302"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9,761.90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其中：过渡期后不可计入其他一级资本的部分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077C0D"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r w:rsidR="00AB6D2C"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36</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257302"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9,761.90</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直接或间接持有的本银行其他一级资本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机构小额少数资本投资中的其他一级资本应扣除部分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41a</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对有控制权但不并表的金融机构的其他一级资本投资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41b</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对有控制权但不并表的金融机构的其他一级资本缺口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41c</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其他应在其他一级资本中扣除的项目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应从二级资本中扣除的未扣缺口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257302"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9,761.90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一级资本（核心一级资本</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ED372B" w:rsidP="00AB6D2C">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2,933,755.03</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46</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二级资本工具及其溢价</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257302"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过渡期后不可计入二级资本的部分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71362F"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r w:rsidR="00AB6D2C"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257302"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19,523.81</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其中：过渡期结束后不可计入的部分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71362F"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r w:rsidR="00AB6D2C" w:rsidRPr="00390D01">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超额贷款损失准备可计入部分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257302"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309,762.29</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ED372B" w:rsidP="00426443">
            <w:pPr>
              <w:widowControl/>
              <w:jc w:val="right"/>
              <w:rPr>
                <w:rFonts w:ascii="Times New Roman" w:eastAsia="宋体" w:hAnsi="Times New Roman" w:cs="Times New Roman"/>
                <w:kern w:val="0"/>
                <w:sz w:val="22"/>
              </w:rPr>
            </w:pPr>
            <w:r w:rsidRPr="00ED372B">
              <w:rPr>
                <w:rFonts w:ascii="Times New Roman" w:eastAsia="宋体" w:hAnsi="Times New Roman" w:cs="Times New Roman"/>
                <w:kern w:val="0"/>
                <w:sz w:val="22"/>
              </w:rPr>
              <w:t>329,286.09</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直接或间接持有的本银行的二级资本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54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机构小额少数资本投资中的二级资本应扣除部分</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机构大额少数资本投资中的二级资本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56a</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对有控制权但不并表的金融机构的二级资本投资</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56b</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有控制权但不并表的金融机构的二级资本缺口</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56c</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其他应在二级资本中扣除的项目</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二级资本监管调整总和</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vAlign w:val="bottom"/>
            <w:hideMark/>
          </w:tcPr>
          <w:p w:rsidR="00AB6D2C" w:rsidRPr="00390D01" w:rsidRDefault="00257302"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329,286.09</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59</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总资本（一级资本</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3,263,041.12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60</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总风险加权资产</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26,760,499.56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资本充足率和储备资本要求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61</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10.93%</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62</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10.96%</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63</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12.19%</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机构特定的资本要求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2.50%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其中：储备资本要求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2.50%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66</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其中：逆周期资本要求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67</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其中：全球系统重要性银行附加资本要求</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满足缓冲区的核心一级资本</w:t>
            </w:r>
            <w:proofErr w:type="gramStart"/>
            <w:r w:rsidRPr="00662CA8">
              <w:rPr>
                <w:rFonts w:ascii="Times New Roman" w:eastAsia="宋体" w:hAnsi="Times New Roman" w:cs="Times New Roman"/>
                <w:color w:val="000000"/>
                <w:kern w:val="0"/>
                <w:sz w:val="22"/>
              </w:rPr>
              <w:t>占风险</w:t>
            </w:r>
            <w:proofErr w:type="gramEnd"/>
            <w:r w:rsidRPr="00662CA8">
              <w:rPr>
                <w:rFonts w:ascii="Times New Roman" w:eastAsia="宋体" w:hAnsi="Times New Roman" w:cs="Times New Roman"/>
                <w:color w:val="000000"/>
                <w:kern w:val="0"/>
                <w:sz w:val="22"/>
              </w:rPr>
              <w:t>加权资产的比例</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国内最低监管资本要求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5.00%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6.00%</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8.00%</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门槛扣除项中未扣除部分</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72</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机构的小额少数资本投资未扣除部分</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16,357.55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73</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机构的大额少数资本投资未扣除部分</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60,651.53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74</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抵押贷款服务权（扣除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75</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w:t>
            </w:r>
            <w:proofErr w:type="gramStart"/>
            <w:r w:rsidRPr="00662CA8">
              <w:rPr>
                <w:rFonts w:ascii="Times New Roman" w:eastAsia="宋体" w:hAnsi="Times New Roman" w:cs="Times New Roman"/>
                <w:color w:val="000000"/>
                <w:kern w:val="0"/>
                <w:sz w:val="22"/>
              </w:rPr>
              <w:t>净递延税</w:t>
            </w:r>
            <w:proofErr w:type="gramEnd"/>
            <w:r w:rsidRPr="00662CA8">
              <w:rPr>
                <w:rFonts w:ascii="Times New Roman" w:eastAsia="宋体" w:hAnsi="Times New Roman" w:cs="Times New Roman"/>
                <w:color w:val="000000"/>
                <w:kern w:val="0"/>
                <w:sz w:val="22"/>
              </w:rPr>
              <w:t>资产（扣除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194,777.41 </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可计入二级资本的超额贷款损失准备的限额</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76</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688,036.05 </w:t>
            </w:r>
          </w:p>
        </w:tc>
      </w:tr>
      <w:tr w:rsidR="00ED372B" w:rsidRPr="00662CA8" w:rsidTr="00ED372B">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77</w:t>
            </w:r>
          </w:p>
        </w:tc>
        <w:tc>
          <w:tcPr>
            <w:tcW w:w="3714"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权重法下，可计入二级资本超额贷款损失准备的数额</w:t>
            </w:r>
          </w:p>
        </w:tc>
        <w:tc>
          <w:tcPr>
            <w:tcW w:w="966"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309,762.29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78</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内部评级法下，实际计提的超额贷款损失准备金额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79</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内部评级法下，可计入二级资本超额贷款损失准备的数额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符合退出安排的资本工具</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80</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81</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因过渡期安排造成的不可计入核心一级资本的数额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82</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83</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因过渡期安排造成的不可计入其他一级资本的数额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84</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C08F1">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85</w:t>
            </w:r>
          </w:p>
        </w:tc>
        <w:tc>
          <w:tcPr>
            <w:tcW w:w="3714"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因过渡期安排造成的当期不可计入二级资本的数额</w:t>
            </w:r>
          </w:p>
        </w:tc>
        <w:tc>
          <w:tcPr>
            <w:tcW w:w="966"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bl>
    <w:p w:rsidR="002B0452" w:rsidRPr="00662CA8" w:rsidRDefault="002B0452" w:rsidP="003E26F0">
      <w:pPr>
        <w:ind w:firstLine="420"/>
        <w:rPr>
          <w:rFonts w:ascii="Times New Roman" w:hAnsi="Times New Roman" w:cs="Times New Roman"/>
          <w:b/>
          <w:sz w:val="24"/>
          <w:szCs w:val="21"/>
        </w:rPr>
      </w:pPr>
    </w:p>
    <w:p w:rsidR="002B0452" w:rsidRPr="00662CA8" w:rsidRDefault="002B0452">
      <w:pPr>
        <w:widowControl/>
        <w:jc w:val="left"/>
        <w:rPr>
          <w:rFonts w:ascii="Times New Roman" w:hAnsi="Times New Roman" w:cs="Times New Roman"/>
          <w:b/>
          <w:sz w:val="24"/>
          <w:szCs w:val="21"/>
        </w:rPr>
      </w:pPr>
      <w:r w:rsidRPr="00662CA8">
        <w:rPr>
          <w:rFonts w:ascii="Times New Roman" w:hAnsi="Times New Roman" w:cs="Times New Roman"/>
          <w:b/>
          <w:sz w:val="24"/>
          <w:szCs w:val="21"/>
        </w:rPr>
        <w:br w:type="page"/>
      </w:r>
    </w:p>
    <w:p w:rsidR="00AB6D2C" w:rsidRPr="00662CA8" w:rsidRDefault="00AB6D2C" w:rsidP="003E26F0">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二、有关科目展开说明</w:t>
      </w:r>
    </w:p>
    <w:p w:rsidR="00834A3C" w:rsidRPr="00662CA8" w:rsidRDefault="00834A3C" w:rsidP="003E26F0">
      <w:pPr>
        <w:ind w:firstLine="420"/>
        <w:rPr>
          <w:rFonts w:ascii="Times New Roman" w:hAnsi="Times New Roman" w:cs="Times New Roman"/>
          <w:b/>
          <w:sz w:val="24"/>
          <w:szCs w:val="21"/>
        </w:rPr>
      </w:pPr>
    </w:p>
    <w:p w:rsidR="00AB6D2C" w:rsidRPr="00CF1F37" w:rsidRDefault="00AB6D2C" w:rsidP="00AB6D2C">
      <w:pPr>
        <w:ind w:firstLine="420"/>
        <w:jc w:val="right"/>
        <w:rPr>
          <w:rFonts w:ascii="Times New Roman" w:hAnsi="Times New Roman" w:cs="Times New Roman"/>
          <w:sz w:val="18"/>
          <w:szCs w:val="18"/>
        </w:rPr>
      </w:pPr>
      <w:r w:rsidRPr="00CF1F37">
        <w:rPr>
          <w:rFonts w:ascii="Times New Roman" w:hAnsi="Times New Roman" w:cs="Times New Roman"/>
          <w:sz w:val="18"/>
          <w:szCs w:val="18"/>
        </w:rPr>
        <w:t>单位：人民币万元</w:t>
      </w:r>
      <w:r w:rsidR="002B0452" w:rsidRPr="00CF1F37">
        <w:rPr>
          <w:rFonts w:ascii="Times New Roman" w:hAnsi="Times New Roman" w:cs="Times New Roman"/>
          <w:sz w:val="18"/>
          <w:szCs w:val="18"/>
        </w:rPr>
        <w:t>、监管并表口径</w:t>
      </w:r>
    </w:p>
    <w:tbl>
      <w:tblPr>
        <w:tblW w:w="5000" w:type="pct"/>
        <w:tblLayout w:type="fixed"/>
        <w:tblLook w:val="04A0" w:firstRow="1" w:lastRow="0" w:firstColumn="1" w:lastColumn="0" w:noHBand="0" w:noVBand="1"/>
      </w:tblPr>
      <w:tblGrid>
        <w:gridCol w:w="4644"/>
        <w:gridCol w:w="3121"/>
        <w:gridCol w:w="757"/>
      </w:tblGrid>
      <w:tr w:rsidR="00AB6D2C" w:rsidRPr="00662CA8" w:rsidTr="005D7AB6">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lef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科目</w:t>
            </w:r>
          </w:p>
        </w:tc>
        <w:tc>
          <w:tcPr>
            <w:tcW w:w="18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righ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监管并表口径下的资产负债表</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lef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代码</w:t>
            </w:r>
          </w:p>
        </w:tc>
      </w:tr>
      <w:tr w:rsidR="00AB6D2C" w:rsidRPr="00662CA8"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w:t>
            </w:r>
          </w:p>
        </w:tc>
        <w:tc>
          <w:tcPr>
            <w:tcW w:w="1831"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662CA8" w:rsidRDefault="00AB6D2C"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a</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无形资产</w:t>
            </w:r>
          </w:p>
        </w:tc>
        <w:tc>
          <w:tcPr>
            <w:tcW w:w="183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41,535.50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b</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其中：土地使用权</w:t>
            </w:r>
          </w:p>
        </w:tc>
        <w:tc>
          <w:tcPr>
            <w:tcW w:w="183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27,242.92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c</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投资</w:t>
            </w:r>
          </w:p>
        </w:tc>
        <w:tc>
          <w:tcPr>
            <w:tcW w:w="183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13,857,511.17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其中：长期股权投资</w:t>
            </w:r>
          </w:p>
        </w:tc>
        <w:tc>
          <w:tcPr>
            <w:tcW w:w="183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60,651.53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d</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其中：其他股权投资</w:t>
            </w:r>
          </w:p>
        </w:tc>
        <w:tc>
          <w:tcPr>
            <w:tcW w:w="183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16,357.55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e</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递延所得税资产</w:t>
            </w:r>
          </w:p>
        </w:tc>
        <w:tc>
          <w:tcPr>
            <w:tcW w:w="1831" w:type="pct"/>
            <w:tcBorders>
              <w:top w:val="nil"/>
              <w:left w:val="nil"/>
              <w:bottom w:val="single" w:sz="4" w:space="0" w:color="auto"/>
              <w:right w:val="single" w:sz="4" w:space="0" w:color="auto"/>
            </w:tcBorders>
            <w:shd w:val="clear" w:color="auto" w:fill="auto"/>
            <w:hideMark/>
          </w:tcPr>
          <w:p w:rsidR="00ED372B" w:rsidRPr="00ED372B" w:rsidRDefault="008B69FD" w:rsidP="00ED372B">
            <w:pPr>
              <w:widowControl/>
              <w:jc w:val="right"/>
              <w:rPr>
                <w:rFonts w:ascii="Times New Roman" w:eastAsia="宋体" w:hAnsi="Times New Roman" w:cs="Times New Roman"/>
                <w:color w:val="000000"/>
                <w:kern w:val="0"/>
                <w:sz w:val="22"/>
              </w:rPr>
            </w:pPr>
            <w:r w:rsidRPr="008B69FD">
              <w:rPr>
                <w:rFonts w:ascii="Times New Roman" w:eastAsia="宋体" w:hAnsi="Times New Roman" w:cs="Times New Roman"/>
                <w:color w:val="000000"/>
                <w:kern w:val="0"/>
                <w:sz w:val="22"/>
              </w:rPr>
              <w:t>209</w:t>
            </w:r>
            <w:r>
              <w:rPr>
                <w:rFonts w:ascii="Times New Roman" w:eastAsia="宋体" w:hAnsi="Times New Roman" w:cs="Times New Roman" w:hint="eastAsia"/>
                <w:color w:val="000000"/>
                <w:kern w:val="0"/>
                <w:sz w:val="22"/>
              </w:rPr>
              <w:t>,</w:t>
            </w:r>
            <w:r w:rsidRPr="008B69FD">
              <w:rPr>
                <w:rFonts w:ascii="Times New Roman" w:eastAsia="宋体" w:hAnsi="Times New Roman" w:cs="Times New Roman"/>
                <w:color w:val="000000"/>
                <w:kern w:val="0"/>
                <w:sz w:val="22"/>
              </w:rPr>
              <w:t xml:space="preserve">603.77 </w:t>
            </w:r>
            <w:r w:rsidR="00181569" w:rsidRPr="00181569">
              <w:rPr>
                <w:rFonts w:ascii="Times New Roman" w:eastAsia="宋体" w:hAnsi="Times New Roman" w:cs="Times New Roman"/>
                <w:color w:val="000000"/>
                <w:kern w:val="0"/>
                <w:sz w:val="22"/>
              </w:rPr>
              <w:t xml:space="preserve"> </w:t>
            </w:r>
            <w:r w:rsidR="00ED372B" w:rsidRPr="00ED372B">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f</w:t>
            </w:r>
          </w:p>
        </w:tc>
      </w:tr>
      <w:tr w:rsidR="00AB6D2C" w:rsidRPr="00662CA8"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62CA8" w:rsidRDefault="00AB6D2C"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其中：依赖未来盈利的由经营亏损引起的</w:t>
            </w:r>
            <w:proofErr w:type="gramStart"/>
            <w:r w:rsidRPr="00662CA8">
              <w:rPr>
                <w:rFonts w:ascii="Times New Roman" w:eastAsia="宋体" w:hAnsi="Times New Roman" w:cs="Times New Roman"/>
                <w:color w:val="000000"/>
                <w:kern w:val="0"/>
                <w:sz w:val="22"/>
              </w:rPr>
              <w:t>净递延税资产</w:t>
            </w:r>
            <w:proofErr w:type="gramEnd"/>
          </w:p>
        </w:tc>
        <w:tc>
          <w:tcPr>
            <w:tcW w:w="1831"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662CA8" w:rsidRDefault="00AB6D2C"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g</w:t>
            </w:r>
          </w:p>
        </w:tc>
      </w:tr>
      <w:tr w:rsidR="00AB6D2C" w:rsidRPr="00662CA8"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递延所得税负债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390D01" w:rsidRDefault="008B69FD" w:rsidP="00AB6D2C">
            <w:pPr>
              <w:widowControl/>
              <w:jc w:val="right"/>
              <w:rPr>
                <w:rFonts w:ascii="Times New Roman" w:eastAsia="宋体" w:hAnsi="Times New Roman" w:cs="Times New Roman"/>
                <w:color w:val="000000"/>
                <w:kern w:val="0"/>
                <w:sz w:val="22"/>
              </w:rPr>
            </w:pPr>
            <w:r w:rsidRPr="008B69FD">
              <w:rPr>
                <w:rFonts w:ascii="Times New Roman" w:eastAsia="宋体" w:hAnsi="Times New Roman" w:cs="Times New Roman"/>
                <w:color w:val="000000"/>
                <w:kern w:val="0"/>
                <w:sz w:val="22"/>
              </w:rPr>
              <w:t>14</w:t>
            </w:r>
            <w:r>
              <w:rPr>
                <w:rFonts w:ascii="Times New Roman" w:eastAsia="宋体" w:hAnsi="Times New Roman" w:cs="Times New Roman" w:hint="eastAsia"/>
                <w:color w:val="000000"/>
                <w:kern w:val="0"/>
                <w:sz w:val="22"/>
              </w:rPr>
              <w:t>,</w:t>
            </w:r>
            <w:bookmarkStart w:id="0" w:name="_GoBack"/>
            <w:bookmarkEnd w:id="0"/>
            <w:r w:rsidRPr="008B69FD">
              <w:rPr>
                <w:rFonts w:ascii="Times New Roman" w:eastAsia="宋体" w:hAnsi="Times New Roman" w:cs="Times New Roman"/>
                <w:color w:val="000000"/>
                <w:kern w:val="0"/>
                <w:sz w:val="22"/>
              </w:rPr>
              <w:t>826.36</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662CA8" w:rsidRDefault="00AB6D2C"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AB6D2C" w:rsidRPr="00662CA8" w:rsidTr="005D7AB6">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62CA8" w:rsidRDefault="00AB6D2C"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其中：与商誉相关的递延税项负债</w:t>
            </w:r>
          </w:p>
        </w:tc>
        <w:tc>
          <w:tcPr>
            <w:tcW w:w="1831" w:type="pct"/>
            <w:tcBorders>
              <w:top w:val="nil"/>
              <w:left w:val="nil"/>
              <w:bottom w:val="single" w:sz="4" w:space="0" w:color="auto"/>
              <w:right w:val="single" w:sz="4" w:space="0" w:color="auto"/>
            </w:tcBorders>
            <w:shd w:val="clear" w:color="auto" w:fill="auto"/>
            <w:vAlign w:val="bottom"/>
            <w:hideMark/>
          </w:tcPr>
          <w:p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662CA8" w:rsidRDefault="00AB6D2C"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h</w:t>
            </w:r>
          </w:p>
        </w:tc>
      </w:tr>
      <w:tr w:rsidR="00AB6D2C" w:rsidRPr="00662CA8" w:rsidTr="00721CEE">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AB6D2C" w:rsidRPr="00662CA8" w:rsidRDefault="00AB6D2C"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其中：与其他无形资产</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不含土地使用权</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的递延税项负债</w:t>
            </w:r>
          </w:p>
        </w:tc>
        <w:tc>
          <w:tcPr>
            <w:tcW w:w="1831" w:type="pct"/>
            <w:tcBorders>
              <w:top w:val="nil"/>
              <w:left w:val="nil"/>
              <w:bottom w:val="single" w:sz="4" w:space="0" w:color="auto"/>
              <w:right w:val="single" w:sz="4" w:space="0" w:color="auto"/>
            </w:tcBorders>
            <w:shd w:val="clear" w:color="auto" w:fill="auto"/>
            <w:vAlign w:val="center"/>
            <w:hideMark/>
          </w:tcPr>
          <w:p w:rsidR="00AB6D2C" w:rsidRPr="00390D01" w:rsidRDefault="00721CEE" w:rsidP="00721CEE">
            <w:pPr>
              <w:widowControl/>
              <w:jc w:val="right"/>
              <w:rPr>
                <w:rFonts w:ascii="Times New Roman" w:eastAsia="宋体" w:hAnsi="Times New Roman" w:cs="Times New Roman"/>
                <w:color w:val="000000"/>
                <w:kern w:val="0"/>
                <w:sz w:val="22"/>
              </w:rPr>
            </w:pPr>
            <w:r w:rsidRPr="00721CEE">
              <w:rPr>
                <w:rFonts w:ascii="Times New Roman" w:eastAsia="宋体" w:hAnsi="Times New Roman" w:cs="Times New Roman"/>
                <w:color w:val="000000"/>
                <w:kern w:val="0"/>
                <w:sz w:val="22"/>
              </w:rPr>
              <w:t>-170.17</w:t>
            </w:r>
          </w:p>
        </w:tc>
        <w:tc>
          <w:tcPr>
            <w:tcW w:w="444" w:type="pct"/>
            <w:tcBorders>
              <w:top w:val="nil"/>
              <w:left w:val="nil"/>
              <w:bottom w:val="single" w:sz="4" w:space="0" w:color="auto"/>
              <w:right w:val="single" w:sz="4" w:space="0" w:color="auto"/>
            </w:tcBorders>
            <w:shd w:val="clear" w:color="auto" w:fill="auto"/>
            <w:noWrap/>
            <w:vAlign w:val="bottom"/>
            <w:hideMark/>
          </w:tcPr>
          <w:p w:rsidR="00AB6D2C" w:rsidRPr="00662CA8" w:rsidRDefault="00AB6D2C" w:rsidP="00AB6D2C">
            <w:pPr>
              <w:widowControl/>
              <w:jc w:val="center"/>
              <w:rPr>
                <w:rFonts w:ascii="Times New Roman" w:eastAsia="宋体" w:hAnsi="Times New Roman" w:cs="Times New Roman"/>
                <w:color w:val="000000"/>
                <w:kern w:val="0"/>
                <w:sz w:val="22"/>
              </w:rPr>
            </w:pPr>
            <w:proofErr w:type="spellStart"/>
            <w:r w:rsidRPr="00662CA8">
              <w:rPr>
                <w:rFonts w:ascii="Times New Roman" w:eastAsia="宋体" w:hAnsi="Times New Roman" w:cs="Times New Roman"/>
                <w:color w:val="000000"/>
                <w:kern w:val="0"/>
                <w:sz w:val="22"/>
              </w:rPr>
              <w:t>i</w:t>
            </w:r>
            <w:proofErr w:type="spellEnd"/>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333,333.33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333,333.33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j</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k</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1,081,453.93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l</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250,443.23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m</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402,914.23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n</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779,342.27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o</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应付债券</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299,904.00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其中：可计入二级资本工具及其溢价的发行债务</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p</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其他综合收益</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17,754.59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q</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少数股东权益</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143,164.39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73,214.28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r</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9,761.90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s</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其中：可计入二级资本的数额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19,523.81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t</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发放贷款及垫款总额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19,763,006.49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9E5E52">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688,036.05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u</w:t>
            </w:r>
          </w:p>
        </w:tc>
      </w:tr>
      <w:tr w:rsidR="00ED372B" w:rsidRPr="00662CA8" w:rsidTr="00ED372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bottom"/>
            <w:hideMark/>
          </w:tcPr>
          <w:p w:rsidR="00ED372B" w:rsidRPr="00662CA8" w:rsidRDefault="00ED372B" w:rsidP="00AB6D2C">
            <w:pPr>
              <w:widowControl/>
              <w:ind w:firstLineChars="100" w:firstLine="220"/>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其中：权重法下，可计入二级资本超额贷款损失准备的数额</w:t>
            </w:r>
          </w:p>
        </w:tc>
        <w:tc>
          <w:tcPr>
            <w:tcW w:w="1831" w:type="pct"/>
            <w:tcBorders>
              <w:top w:val="nil"/>
              <w:left w:val="nil"/>
              <w:bottom w:val="single" w:sz="4" w:space="0" w:color="auto"/>
              <w:right w:val="single" w:sz="4" w:space="0" w:color="auto"/>
            </w:tcBorders>
            <w:shd w:val="clear" w:color="auto" w:fill="auto"/>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309,762.29 </w:t>
            </w:r>
          </w:p>
        </w:tc>
        <w:tc>
          <w:tcPr>
            <w:tcW w:w="444" w:type="pct"/>
            <w:tcBorders>
              <w:top w:val="nil"/>
              <w:left w:val="nil"/>
              <w:bottom w:val="single" w:sz="4" w:space="0" w:color="auto"/>
              <w:right w:val="single" w:sz="4" w:space="0" w:color="auto"/>
            </w:tcBorders>
            <w:shd w:val="clear" w:color="auto" w:fill="auto"/>
            <w:noWrap/>
            <w:vAlign w:val="bottom"/>
            <w:hideMark/>
          </w:tcPr>
          <w:p w:rsidR="00ED372B" w:rsidRPr="00662CA8" w:rsidRDefault="00ED372B" w:rsidP="00AB6D2C">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v</w:t>
            </w:r>
          </w:p>
        </w:tc>
      </w:tr>
    </w:tbl>
    <w:p w:rsidR="00AB6D2C" w:rsidRPr="00662CA8" w:rsidRDefault="00AB6D2C" w:rsidP="00AB6D2C">
      <w:pPr>
        <w:ind w:firstLine="420"/>
        <w:rPr>
          <w:rFonts w:ascii="Times New Roman" w:hAnsi="Times New Roman" w:cs="Times New Roman"/>
        </w:rPr>
      </w:pPr>
    </w:p>
    <w:p w:rsidR="00AB6D2C" w:rsidRPr="00662CA8" w:rsidRDefault="00AB6D2C">
      <w:pPr>
        <w:widowControl/>
        <w:jc w:val="left"/>
        <w:rPr>
          <w:rFonts w:ascii="Times New Roman" w:hAnsi="Times New Roman" w:cs="Times New Roman"/>
        </w:rPr>
      </w:pPr>
      <w:r w:rsidRPr="00662CA8">
        <w:rPr>
          <w:rFonts w:ascii="Times New Roman" w:hAnsi="Times New Roman" w:cs="Times New Roman"/>
        </w:rPr>
        <w:br w:type="page"/>
      </w:r>
    </w:p>
    <w:p w:rsidR="00AB6D2C" w:rsidRPr="00662CA8" w:rsidRDefault="00AB6D2C" w:rsidP="00AB6D2C">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三、展开项目与资本构成披露模板中的项目对应关系表</w:t>
      </w:r>
    </w:p>
    <w:p w:rsidR="00834A3C" w:rsidRPr="00662CA8" w:rsidRDefault="00834A3C" w:rsidP="00AB6D2C">
      <w:pPr>
        <w:ind w:firstLine="420"/>
        <w:rPr>
          <w:rFonts w:ascii="Times New Roman" w:hAnsi="Times New Roman" w:cs="Times New Roman"/>
          <w:b/>
          <w:sz w:val="24"/>
          <w:szCs w:val="21"/>
        </w:rPr>
      </w:pPr>
    </w:p>
    <w:p w:rsidR="00AB6D2C" w:rsidRPr="00662CA8" w:rsidRDefault="00AB6D2C" w:rsidP="00AB6D2C">
      <w:pPr>
        <w:ind w:firstLine="420"/>
        <w:jc w:val="right"/>
        <w:rPr>
          <w:rFonts w:ascii="Times New Roman" w:hAnsi="Times New Roman" w:cs="Times New Roman"/>
        </w:rPr>
      </w:pPr>
      <w:r w:rsidRPr="00662CA8">
        <w:rPr>
          <w:rFonts w:ascii="Times New Roman" w:hAnsi="Times New Roman" w:cs="Times New Roman"/>
        </w:rPr>
        <w:t>单位：人民币万元</w:t>
      </w:r>
      <w:r w:rsidR="002B0452" w:rsidRPr="00662CA8">
        <w:rPr>
          <w:rFonts w:ascii="Times New Roman" w:hAnsi="Times New Roman" w:cs="Times New Roman"/>
        </w:rPr>
        <w:t>、</w:t>
      </w:r>
      <w:r w:rsidR="002B0452" w:rsidRPr="00662CA8">
        <w:rPr>
          <w:rFonts w:ascii="Times New Roman" w:hAnsi="Times New Roman" w:cs="Times New Roman"/>
          <w:sz w:val="20"/>
        </w:rPr>
        <w:t>监管并表口径</w:t>
      </w:r>
    </w:p>
    <w:tbl>
      <w:tblPr>
        <w:tblW w:w="5000" w:type="pct"/>
        <w:tblLook w:val="04A0" w:firstRow="1" w:lastRow="0" w:firstColumn="1" w:lastColumn="0" w:noHBand="0" w:noVBand="1"/>
      </w:tblPr>
      <w:tblGrid>
        <w:gridCol w:w="517"/>
        <w:gridCol w:w="5261"/>
        <w:gridCol w:w="1842"/>
        <w:gridCol w:w="902"/>
      </w:tblGrid>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w:t>
            </w:r>
          </w:p>
        </w:tc>
        <w:tc>
          <w:tcPr>
            <w:tcW w:w="10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333,333.33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CF1F37">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j</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2a</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250,443.23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m</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2b</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402,914.23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n</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2c</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779,342.27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o</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3a</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1,081,453.93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l</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3b</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17,754.59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q</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73,214.28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r</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核心一级资本：监管调整</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ED372B">
            <w:pPr>
              <w:widowControl/>
              <w:jc w:val="righ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a-h</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9</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其他无形资产（土地使用权除外）（扣除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hideMark/>
          </w:tcPr>
          <w:p w:rsidR="00AB6D2C" w:rsidRPr="00426443" w:rsidRDefault="00721CEE" w:rsidP="00014A16">
            <w:pPr>
              <w:widowControl/>
              <w:jc w:val="right"/>
              <w:rPr>
                <w:rFonts w:ascii="Times New Roman" w:eastAsia="宋体" w:hAnsi="Times New Roman" w:cs="Times New Roman"/>
                <w:color w:val="000000"/>
                <w:kern w:val="0"/>
                <w:sz w:val="22"/>
              </w:rPr>
            </w:pPr>
            <w:r w:rsidRPr="00721CEE">
              <w:rPr>
                <w:rFonts w:ascii="Times New Roman" w:eastAsia="宋体" w:hAnsi="Times New Roman" w:cs="Times New Roman"/>
                <w:color w:val="000000"/>
                <w:kern w:val="0"/>
                <w:sz w:val="22"/>
              </w:rPr>
              <w:t>14,462.75</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b-c-</w:t>
            </w:r>
            <w:proofErr w:type="spellStart"/>
            <w:r w:rsidRPr="00662CA8">
              <w:rPr>
                <w:rFonts w:ascii="Times New Roman" w:eastAsia="宋体" w:hAnsi="Times New Roman" w:cs="Times New Roman"/>
                <w:color w:val="000000"/>
                <w:kern w:val="0"/>
                <w:sz w:val="22"/>
              </w:rPr>
              <w:t>i</w:t>
            </w:r>
            <w:proofErr w:type="spellEnd"/>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10</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依赖未来盈利的由经营亏损引起的</w:t>
            </w:r>
            <w:proofErr w:type="gramStart"/>
            <w:r w:rsidRPr="00662CA8">
              <w:rPr>
                <w:rFonts w:ascii="Times New Roman" w:eastAsia="宋体" w:hAnsi="Times New Roman" w:cs="Times New Roman"/>
                <w:color w:val="000000"/>
                <w:kern w:val="0"/>
                <w:sz w:val="22"/>
              </w:rPr>
              <w:t>净递延税资产</w:t>
            </w:r>
            <w:proofErr w:type="gramEnd"/>
          </w:p>
        </w:tc>
        <w:tc>
          <w:tcPr>
            <w:tcW w:w="1081"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ED372B">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g</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34</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014A16">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w:t>
            </w:r>
            <w:r w:rsidR="00014A16" w:rsidRPr="00426443">
              <w:rPr>
                <w:rFonts w:ascii="Times New Roman" w:eastAsia="宋体" w:hAnsi="Times New Roman" w:cs="Times New Roman"/>
                <w:color w:val="000000"/>
                <w:kern w:val="0"/>
                <w:sz w:val="22"/>
              </w:rPr>
              <w:t>9,761.90</w:t>
            </w:r>
            <w:r w:rsidRPr="00426443">
              <w:rPr>
                <w:rFonts w:ascii="Times New Roman" w:eastAsia="宋体" w:hAnsi="Times New Roman" w:cs="Times New Roman"/>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s</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46</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二级资本工具及其溢价</w:t>
            </w:r>
          </w:p>
        </w:tc>
        <w:tc>
          <w:tcPr>
            <w:tcW w:w="1081" w:type="pct"/>
            <w:tcBorders>
              <w:top w:val="nil"/>
              <w:left w:val="nil"/>
              <w:bottom w:val="single" w:sz="4" w:space="0" w:color="auto"/>
              <w:right w:val="single" w:sz="4" w:space="0" w:color="auto"/>
            </w:tcBorders>
            <w:shd w:val="clear" w:color="auto" w:fill="auto"/>
            <w:vAlign w:val="bottom"/>
            <w:hideMark/>
          </w:tcPr>
          <w:p w:rsidR="00AB6D2C" w:rsidRPr="00426443" w:rsidRDefault="00AB6D2C" w:rsidP="00014A16">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w:t>
            </w:r>
            <w:r w:rsidR="00014A16" w:rsidRPr="00426443">
              <w:rPr>
                <w:rFonts w:ascii="Times New Roman" w:eastAsia="宋体" w:hAnsi="Times New Roman" w:cs="Times New Roman"/>
                <w:color w:val="000000"/>
                <w:kern w:val="0"/>
                <w:sz w:val="22"/>
              </w:rPr>
              <w:t>-</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p</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48</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19,523.81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t</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50</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超额贷款损失准备可计入部分</w:t>
            </w:r>
          </w:p>
        </w:tc>
        <w:tc>
          <w:tcPr>
            <w:tcW w:w="1081" w:type="pct"/>
            <w:tcBorders>
              <w:top w:val="nil"/>
              <w:left w:val="nil"/>
              <w:bottom w:val="single" w:sz="4" w:space="0" w:color="auto"/>
              <w:right w:val="single" w:sz="4" w:space="0" w:color="auto"/>
            </w:tcBorders>
            <w:shd w:val="clear" w:color="auto" w:fill="auto"/>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309,762.29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v</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门槛扣除项中未扣除部分</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72</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机构的小额少数资本投资未扣除部分</w:t>
            </w:r>
          </w:p>
        </w:tc>
        <w:tc>
          <w:tcPr>
            <w:tcW w:w="1081" w:type="pct"/>
            <w:tcBorders>
              <w:top w:val="nil"/>
              <w:left w:val="nil"/>
              <w:bottom w:val="single" w:sz="4" w:space="0" w:color="auto"/>
              <w:right w:val="single" w:sz="4" w:space="0" w:color="auto"/>
            </w:tcBorders>
            <w:shd w:val="clear" w:color="auto" w:fill="auto"/>
            <w:noWrap/>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16,357.55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e</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73</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w:t>
            </w:r>
            <w:proofErr w:type="gramStart"/>
            <w:r w:rsidRPr="00662CA8">
              <w:rPr>
                <w:rFonts w:ascii="Times New Roman" w:eastAsia="宋体" w:hAnsi="Times New Roman" w:cs="Times New Roman"/>
                <w:color w:val="000000"/>
                <w:kern w:val="0"/>
                <w:sz w:val="22"/>
              </w:rPr>
              <w:t>表金融</w:t>
            </w:r>
            <w:proofErr w:type="gramEnd"/>
            <w:r w:rsidRPr="00662CA8">
              <w:rPr>
                <w:rFonts w:ascii="Times New Roman" w:eastAsia="宋体" w:hAnsi="Times New Roman" w:cs="Times New Roman"/>
                <w:color w:val="000000"/>
                <w:kern w:val="0"/>
                <w:sz w:val="22"/>
              </w:rPr>
              <w:t>机构的大额少数资本投资未扣除部分</w:t>
            </w:r>
          </w:p>
        </w:tc>
        <w:tc>
          <w:tcPr>
            <w:tcW w:w="1081" w:type="pct"/>
            <w:tcBorders>
              <w:top w:val="nil"/>
              <w:left w:val="nil"/>
              <w:bottom w:val="single" w:sz="4" w:space="0" w:color="auto"/>
              <w:right w:val="single" w:sz="4" w:space="0" w:color="auto"/>
            </w:tcBorders>
            <w:shd w:val="clear" w:color="auto" w:fill="auto"/>
            <w:noWrap/>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60,651.53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d</w:t>
            </w:r>
          </w:p>
        </w:tc>
      </w:tr>
      <w:tr w:rsidR="00ED372B" w:rsidRPr="00662CA8" w:rsidTr="00ED372B">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75</w:t>
            </w:r>
          </w:p>
        </w:tc>
        <w:tc>
          <w:tcPr>
            <w:tcW w:w="3087" w:type="pct"/>
            <w:tcBorders>
              <w:top w:val="nil"/>
              <w:left w:val="nil"/>
              <w:bottom w:val="single" w:sz="4" w:space="0" w:color="auto"/>
              <w:right w:val="single" w:sz="4" w:space="0" w:color="auto"/>
            </w:tcBorders>
            <w:shd w:val="clear" w:color="auto" w:fill="auto"/>
            <w:vAlign w:val="bottom"/>
            <w:hideMark/>
          </w:tcPr>
          <w:p w:rsidR="00ED372B" w:rsidRPr="00662CA8" w:rsidRDefault="00ED372B"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w:t>
            </w:r>
            <w:proofErr w:type="gramStart"/>
            <w:r w:rsidRPr="00662CA8">
              <w:rPr>
                <w:rFonts w:ascii="Times New Roman" w:eastAsia="宋体" w:hAnsi="Times New Roman" w:cs="Times New Roman"/>
                <w:color w:val="000000"/>
                <w:kern w:val="0"/>
                <w:sz w:val="22"/>
              </w:rPr>
              <w:t>净递延税</w:t>
            </w:r>
            <w:proofErr w:type="gramEnd"/>
            <w:r w:rsidRPr="00662CA8">
              <w:rPr>
                <w:rFonts w:ascii="Times New Roman" w:eastAsia="宋体" w:hAnsi="Times New Roman" w:cs="Times New Roman"/>
                <w:color w:val="000000"/>
                <w:kern w:val="0"/>
                <w:sz w:val="22"/>
              </w:rPr>
              <w:t>资产（扣除</w:t>
            </w:r>
            <w:proofErr w:type="gramStart"/>
            <w:r w:rsidRPr="00662CA8">
              <w:rPr>
                <w:rFonts w:ascii="Times New Roman" w:eastAsia="宋体" w:hAnsi="Times New Roman" w:cs="Times New Roman"/>
                <w:color w:val="000000"/>
                <w:kern w:val="0"/>
                <w:sz w:val="22"/>
              </w:rPr>
              <w:t>递延税负债</w:t>
            </w:r>
            <w:proofErr w:type="gramEnd"/>
            <w:r w:rsidRPr="00662CA8">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noWrap/>
            <w:vAlign w:val="center"/>
            <w:hideMark/>
          </w:tcPr>
          <w:p w:rsidR="00ED372B" w:rsidRPr="00ED372B" w:rsidRDefault="00ED372B" w:rsidP="00ED372B">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 xml:space="preserve"> 194,777.41 </w:t>
            </w:r>
          </w:p>
        </w:tc>
        <w:tc>
          <w:tcPr>
            <w:tcW w:w="529" w:type="pct"/>
            <w:tcBorders>
              <w:top w:val="nil"/>
              <w:left w:val="nil"/>
              <w:bottom w:val="single" w:sz="4" w:space="0" w:color="auto"/>
              <w:right w:val="single" w:sz="4" w:space="0" w:color="auto"/>
            </w:tcBorders>
            <w:shd w:val="clear" w:color="auto" w:fill="auto"/>
            <w:noWrap/>
            <w:vAlign w:val="center"/>
            <w:hideMark/>
          </w:tcPr>
          <w:p w:rsidR="00ED372B" w:rsidRPr="00662CA8" w:rsidRDefault="00ED372B"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f</w:t>
            </w:r>
          </w:p>
        </w:tc>
      </w:tr>
      <w:tr w:rsidR="00AB6D2C" w:rsidRPr="00662CA8"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可计入二级资本的超额贷款损失准备的限额</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rsidTr="003E26F0">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76</w:t>
            </w:r>
          </w:p>
        </w:tc>
        <w:tc>
          <w:tcPr>
            <w:tcW w:w="3087" w:type="pct"/>
            <w:tcBorders>
              <w:top w:val="nil"/>
              <w:left w:val="nil"/>
              <w:bottom w:val="single" w:sz="4" w:space="0" w:color="auto"/>
              <w:right w:val="single" w:sz="4" w:space="0" w:color="auto"/>
            </w:tcBorders>
            <w:shd w:val="clear" w:color="auto" w:fill="auto"/>
            <w:vAlign w:val="bottom"/>
            <w:hideMark/>
          </w:tcPr>
          <w:p w:rsidR="00AB6D2C" w:rsidRPr="00662CA8" w:rsidRDefault="00AB6D2C" w:rsidP="00AB6D2C">
            <w:pPr>
              <w:widowControl/>
              <w:jc w:val="left"/>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1081" w:type="pct"/>
            <w:tcBorders>
              <w:top w:val="nil"/>
              <w:left w:val="nil"/>
              <w:bottom w:val="single" w:sz="4" w:space="0" w:color="auto"/>
              <w:right w:val="single" w:sz="4" w:space="0" w:color="auto"/>
            </w:tcBorders>
            <w:shd w:val="clear" w:color="auto" w:fill="auto"/>
            <w:noWrap/>
            <w:vAlign w:val="center"/>
            <w:hideMark/>
          </w:tcPr>
          <w:p w:rsidR="00AB6D2C" w:rsidRPr="00662CA8" w:rsidRDefault="00ED372B" w:rsidP="00AB6D2C">
            <w:pPr>
              <w:widowControl/>
              <w:jc w:val="right"/>
              <w:rPr>
                <w:rFonts w:ascii="Times New Roman" w:eastAsia="宋体" w:hAnsi="Times New Roman" w:cs="Times New Roman"/>
                <w:color w:val="000000"/>
                <w:kern w:val="0"/>
                <w:sz w:val="22"/>
              </w:rPr>
            </w:pPr>
            <w:r w:rsidRPr="00ED372B">
              <w:rPr>
                <w:rFonts w:ascii="Times New Roman" w:eastAsia="宋体" w:hAnsi="Times New Roman" w:cs="Times New Roman"/>
                <w:color w:val="000000"/>
                <w:kern w:val="0"/>
                <w:sz w:val="22"/>
              </w:rPr>
              <w:t>688,036.05</w:t>
            </w:r>
            <w:r w:rsidR="00AB6D2C" w:rsidRPr="00662CA8">
              <w:rPr>
                <w:rFonts w:ascii="Times New Roman" w:eastAsia="宋体" w:hAnsi="Times New Roman" w:cs="Times New Roman"/>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rsidR="00AB6D2C" w:rsidRPr="00662CA8" w:rsidRDefault="00AB6D2C" w:rsidP="003E26F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u</w:t>
            </w:r>
          </w:p>
        </w:tc>
      </w:tr>
    </w:tbl>
    <w:p w:rsidR="00077C0D" w:rsidRPr="00662CA8" w:rsidRDefault="00077C0D" w:rsidP="00AB6D2C">
      <w:pPr>
        <w:ind w:firstLine="420"/>
        <w:rPr>
          <w:rFonts w:ascii="Times New Roman" w:hAnsi="Times New Roman" w:cs="Times New Roman"/>
        </w:rPr>
      </w:pPr>
    </w:p>
    <w:p w:rsidR="00077C0D" w:rsidRPr="00662CA8" w:rsidRDefault="00077C0D">
      <w:pPr>
        <w:widowControl/>
        <w:jc w:val="left"/>
        <w:rPr>
          <w:rFonts w:ascii="Times New Roman" w:hAnsi="Times New Roman" w:cs="Times New Roman"/>
        </w:rPr>
      </w:pPr>
      <w:r w:rsidRPr="00662CA8">
        <w:rPr>
          <w:rFonts w:ascii="Times New Roman" w:hAnsi="Times New Roman" w:cs="Times New Roman"/>
        </w:rPr>
        <w:br w:type="page"/>
      </w:r>
    </w:p>
    <w:p w:rsidR="00014A16" w:rsidRPr="00662CA8" w:rsidRDefault="00F75E4A" w:rsidP="00014A16">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四、资本工具主要特征</w:t>
      </w:r>
    </w:p>
    <w:p w:rsidR="00014A16" w:rsidRPr="00662CA8" w:rsidRDefault="00014A16" w:rsidP="00014A16">
      <w:pPr>
        <w:ind w:firstLine="420"/>
        <w:rPr>
          <w:rFonts w:ascii="Times New Roman" w:hAnsi="Times New Roman" w:cs="Times New Roman"/>
          <w:b/>
          <w:sz w:val="24"/>
          <w:szCs w:val="21"/>
        </w:rPr>
      </w:pPr>
    </w:p>
    <w:p w:rsidR="00014A16" w:rsidRPr="00662CA8" w:rsidRDefault="00014A16" w:rsidP="00014A16">
      <w:pPr>
        <w:ind w:firstLine="420"/>
        <w:rPr>
          <w:rFonts w:ascii="Times New Roman" w:hAnsi="Times New Roman" w:cs="Times New Roman"/>
        </w:rPr>
      </w:pPr>
      <w:r w:rsidRPr="00662CA8">
        <w:rPr>
          <w:rFonts w:ascii="Times New Roman" w:hAnsi="Times New Roman" w:cs="Times New Roman"/>
        </w:rPr>
        <w:t>本期无资本工具</w:t>
      </w:r>
    </w:p>
    <w:p w:rsidR="00834A3C" w:rsidRPr="00662CA8" w:rsidRDefault="00834A3C" w:rsidP="00AB6D2C">
      <w:pPr>
        <w:ind w:firstLine="420"/>
        <w:rPr>
          <w:rFonts w:ascii="Times New Roman" w:hAnsi="Times New Roman" w:cs="Times New Roman"/>
          <w:b/>
          <w:sz w:val="24"/>
          <w:szCs w:val="21"/>
        </w:rPr>
      </w:pPr>
    </w:p>
    <w:p w:rsidR="00535493" w:rsidRPr="00662CA8" w:rsidRDefault="00535493" w:rsidP="00535493">
      <w:pPr>
        <w:rPr>
          <w:rFonts w:ascii="Times New Roman" w:hAnsi="Times New Roman" w:cs="Times New Roman"/>
        </w:rPr>
      </w:pPr>
    </w:p>
    <w:sectPr w:rsidR="00535493" w:rsidRPr="00662CA8" w:rsidSect="00AB6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55" w:rsidRDefault="005F2355" w:rsidP="005C08F1">
      <w:r>
        <w:separator/>
      </w:r>
    </w:p>
  </w:endnote>
  <w:endnote w:type="continuationSeparator" w:id="0">
    <w:p w:rsidR="005F2355" w:rsidRDefault="005F2355" w:rsidP="005C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55" w:rsidRDefault="005F2355" w:rsidP="005C08F1">
      <w:r>
        <w:separator/>
      </w:r>
    </w:p>
  </w:footnote>
  <w:footnote w:type="continuationSeparator" w:id="0">
    <w:p w:rsidR="005F2355" w:rsidRDefault="005F2355" w:rsidP="005C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8"/>
    <w:rsid w:val="00012CBB"/>
    <w:rsid w:val="00014A16"/>
    <w:rsid w:val="00035C85"/>
    <w:rsid w:val="00054156"/>
    <w:rsid w:val="00076668"/>
    <w:rsid w:val="00077C0D"/>
    <w:rsid w:val="000B0DF4"/>
    <w:rsid w:val="000C4A91"/>
    <w:rsid w:val="00100398"/>
    <w:rsid w:val="00166B14"/>
    <w:rsid w:val="00181569"/>
    <w:rsid w:val="001A3F5F"/>
    <w:rsid w:val="001B369D"/>
    <w:rsid w:val="001B6D5E"/>
    <w:rsid w:val="001E6538"/>
    <w:rsid w:val="00216C2A"/>
    <w:rsid w:val="00236087"/>
    <w:rsid w:val="00240703"/>
    <w:rsid w:val="00257302"/>
    <w:rsid w:val="002639F9"/>
    <w:rsid w:val="00272586"/>
    <w:rsid w:val="00273E3E"/>
    <w:rsid w:val="002900EF"/>
    <w:rsid w:val="002A157B"/>
    <w:rsid w:val="002B0452"/>
    <w:rsid w:val="002E7849"/>
    <w:rsid w:val="0031207A"/>
    <w:rsid w:val="0037049F"/>
    <w:rsid w:val="00390D01"/>
    <w:rsid w:val="0039757E"/>
    <w:rsid w:val="003E0745"/>
    <w:rsid w:val="003E26F0"/>
    <w:rsid w:val="00426443"/>
    <w:rsid w:val="004B3510"/>
    <w:rsid w:val="005279D3"/>
    <w:rsid w:val="00535493"/>
    <w:rsid w:val="005C08F1"/>
    <w:rsid w:val="005D478A"/>
    <w:rsid w:val="005D7AB6"/>
    <w:rsid w:val="005F2355"/>
    <w:rsid w:val="0060324C"/>
    <w:rsid w:val="00620C38"/>
    <w:rsid w:val="0064702C"/>
    <w:rsid w:val="00662CA8"/>
    <w:rsid w:val="00687D72"/>
    <w:rsid w:val="006925C5"/>
    <w:rsid w:val="006D12DF"/>
    <w:rsid w:val="006F6E7B"/>
    <w:rsid w:val="006F77F3"/>
    <w:rsid w:val="0071362F"/>
    <w:rsid w:val="00714C11"/>
    <w:rsid w:val="00721CEE"/>
    <w:rsid w:val="0077752C"/>
    <w:rsid w:val="007F3BF1"/>
    <w:rsid w:val="00834A3C"/>
    <w:rsid w:val="008822A6"/>
    <w:rsid w:val="008A43DC"/>
    <w:rsid w:val="008A7926"/>
    <w:rsid w:val="008B69FD"/>
    <w:rsid w:val="008D4440"/>
    <w:rsid w:val="00933642"/>
    <w:rsid w:val="00942503"/>
    <w:rsid w:val="00942E5E"/>
    <w:rsid w:val="0096050B"/>
    <w:rsid w:val="009A693E"/>
    <w:rsid w:val="009E3726"/>
    <w:rsid w:val="009E5E52"/>
    <w:rsid w:val="009E65F5"/>
    <w:rsid w:val="00A10120"/>
    <w:rsid w:val="00A757BF"/>
    <w:rsid w:val="00A9428A"/>
    <w:rsid w:val="00AA4961"/>
    <w:rsid w:val="00AB0538"/>
    <w:rsid w:val="00AB6D2C"/>
    <w:rsid w:val="00AF1129"/>
    <w:rsid w:val="00B53B38"/>
    <w:rsid w:val="00BD7219"/>
    <w:rsid w:val="00BE508A"/>
    <w:rsid w:val="00BF7233"/>
    <w:rsid w:val="00C1364A"/>
    <w:rsid w:val="00C15D22"/>
    <w:rsid w:val="00C46FC0"/>
    <w:rsid w:val="00C74299"/>
    <w:rsid w:val="00C86C66"/>
    <w:rsid w:val="00CE6908"/>
    <w:rsid w:val="00CF1F37"/>
    <w:rsid w:val="00D7103B"/>
    <w:rsid w:val="00D720C1"/>
    <w:rsid w:val="00DD2F9B"/>
    <w:rsid w:val="00DE7D86"/>
    <w:rsid w:val="00DF04A2"/>
    <w:rsid w:val="00E45B7C"/>
    <w:rsid w:val="00E713E2"/>
    <w:rsid w:val="00ED372B"/>
    <w:rsid w:val="00ED4CD5"/>
    <w:rsid w:val="00F75E4A"/>
    <w:rsid w:val="00F92C1D"/>
    <w:rsid w:val="00FF5285"/>
    <w:rsid w:val="00FF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347">
      <w:bodyDiv w:val="1"/>
      <w:marLeft w:val="0"/>
      <w:marRight w:val="0"/>
      <w:marTop w:val="0"/>
      <w:marBottom w:val="0"/>
      <w:divBdr>
        <w:top w:val="none" w:sz="0" w:space="0" w:color="auto"/>
        <w:left w:val="none" w:sz="0" w:space="0" w:color="auto"/>
        <w:bottom w:val="none" w:sz="0" w:space="0" w:color="auto"/>
        <w:right w:val="none" w:sz="0" w:space="0" w:color="auto"/>
      </w:divBdr>
    </w:div>
    <w:div w:id="96412005">
      <w:bodyDiv w:val="1"/>
      <w:marLeft w:val="0"/>
      <w:marRight w:val="0"/>
      <w:marTop w:val="0"/>
      <w:marBottom w:val="0"/>
      <w:divBdr>
        <w:top w:val="none" w:sz="0" w:space="0" w:color="auto"/>
        <w:left w:val="none" w:sz="0" w:space="0" w:color="auto"/>
        <w:bottom w:val="none" w:sz="0" w:space="0" w:color="auto"/>
        <w:right w:val="none" w:sz="0" w:space="0" w:color="auto"/>
      </w:divBdr>
    </w:div>
    <w:div w:id="206378247">
      <w:bodyDiv w:val="1"/>
      <w:marLeft w:val="0"/>
      <w:marRight w:val="0"/>
      <w:marTop w:val="0"/>
      <w:marBottom w:val="0"/>
      <w:divBdr>
        <w:top w:val="none" w:sz="0" w:space="0" w:color="auto"/>
        <w:left w:val="none" w:sz="0" w:space="0" w:color="auto"/>
        <w:bottom w:val="none" w:sz="0" w:space="0" w:color="auto"/>
        <w:right w:val="none" w:sz="0" w:space="0" w:color="auto"/>
      </w:divBdr>
    </w:div>
    <w:div w:id="274679478">
      <w:bodyDiv w:val="1"/>
      <w:marLeft w:val="0"/>
      <w:marRight w:val="0"/>
      <w:marTop w:val="0"/>
      <w:marBottom w:val="0"/>
      <w:divBdr>
        <w:top w:val="none" w:sz="0" w:space="0" w:color="auto"/>
        <w:left w:val="none" w:sz="0" w:space="0" w:color="auto"/>
        <w:bottom w:val="none" w:sz="0" w:space="0" w:color="auto"/>
        <w:right w:val="none" w:sz="0" w:space="0" w:color="auto"/>
      </w:divBdr>
    </w:div>
    <w:div w:id="331492921">
      <w:bodyDiv w:val="1"/>
      <w:marLeft w:val="0"/>
      <w:marRight w:val="0"/>
      <w:marTop w:val="0"/>
      <w:marBottom w:val="0"/>
      <w:divBdr>
        <w:top w:val="none" w:sz="0" w:space="0" w:color="auto"/>
        <w:left w:val="none" w:sz="0" w:space="0" w:color="auto"/>
        <w:bottom w:val="none" w:sz="0" w:space="0" w:color="auto"/>
        <w:right w:val="none" w:sz="0" w:space="0" w:color="auto"/>
      </w:divBdr>
    </w:div>
    <w:div w:id="342711969">
      <w:bodyDiv w:val="1"/>
      <w:marLeft w:val="0"/>
      <w:marRight w:val="0"/>
      <w:marTop w:val="0"/>
      <w:marBottom w:val="0"/>
      <w:divBdr>
        <w:top w:val="none" w:sz="0" w:space="0" w:color="auto"/>
        <w:left w:val="none" w:sz="0" w:space="0" w:color="auto"/>
        <w:bottom w:val="none" w:sz="0" w:space="0" w:color="auto"/>
        <w:right w:val="none" w:sz="0" w:space="0" w:color="auto"/>
      </w:divBdr>
    </w:div>
    <w:div w:id="411510050">
      <w:bodyDiv w:val="1"/>
      <w:marLeft w:val="0"/>
      <w:marRight w:val="0"/>
      <w:marTop w:val="0"/>
      <w:marBottom w:val="0"/>
      <w:divBdr>
        <w:top w:val="none" w:sz="0" w:space="0" w:color="auto"/>
        <w:left w:val="none" w:sz="0" w:space="0" w:color="auto"/>
        <w:bottom w:val="none" w:sz="0" w:space="0" w:color="auto"/>
        <w:right w:val="none" w:sz="0" w:space="0" w:color="auto"/>
      </w:divBdr>
    </w:div>
    <w:div w:id="612057105">
      <w:bodyDiv w:val="1"/>
      <w:marLeft w:val="0"/>
      <w:marRight w:val="0"/>
      <w:marTop w:val="0"/>
      <w:marBottom w:val="0"/>
      <w:divBdr>
        <w:top w:val="none" w:sz="0" w:space="0" w:color="auto"/>
        <w:left w:val="none" w:sz="0" w:space="0" w:color="auto"/>
        <w:bottom w:val="none" w:sz="0" w:space="0" w:color="auto"/>
        <w:right w:val="none" w:sz="0" w:space="0" w:color="auto"/>
      </w:divBdr>
    </w:div>
    <w:div w:id="667713347">
      <w:bodyDiv w:val="1"/>
      <w:marLeft w:val="0"/>
      <w:marRight w:val="0"/>
      <w:marTop w:val="0"/>
      <w:marBottom w:val="0"/>
      <w:divBdr>
        <w:top w:val="none" w:sz="0" w:space="0" w:color="auto"/>
        <w:left w:val="none" w:sz="0" w:space="0" w:color="auto"/>
        <w:bottom w:val="none" w:sz="0" w:space="0" w:color="auto"/>
        <w:right w:val="none" w:sz="0" w:space="0" w:color="auto"/>
      </w:divBdr>
    </w:div>
    <w:div w:id="719667215">
      <w:bodyDiv w:val="1"/>
      <w:marLeft w:val="0"/>
      <w:marRight w:val="0"/>
      <w:marTop w:val="0"/>
      <w:marBottom w:val="0"/>
      <w:divBdr>
        <w:top w:val="none" w:sz="0" w:space="0" w:color="auto"/>
        <w:left w:val="none" w:sz="0" w:space="0" w:color="auto"/>
        <w:bottom w:val="none" w:sz="0" w:space="0" w:color="auto"/>
        <w:right w:val="none" w:sz="0" w:space="0" w:color="auto"/>
      </w:divBdr>
    </w:div>
    <w:div w:id="749473076">
      <w:bodyDiv w:val="1"/>
      <w:marLeft w:val="0"/>
      <w:marRight w:val="0"/>
      <w:marTop w:val="0"/>
      <w:marBottom w:val="0"/>
      <w:divBdr>
        <w:top w:val="none" w:sz="0" w:space="0" w:color="auto"/>
        <w:left w:val="none" w:sz="0" w:space="0" w:color="auto"/>
        <w:bottom w:val="none" w:sz="0" w:space="0" w:color="auto"/>
        <w:right w:val="none" w:sz="0" w:space="0" w:color="auto"/>
      </w:divBdr>
    </w:div>
    <w:div w:id="750736422">
      <w:bodyDiv w:val="1"/>
      <w:marLeft w:val="0"/>
      <w:marRight w:val="0"/>
      <w:marTop w:val="0"/>
      <w:marBottom w:val="0"/>
      <w:divBdr>
        <w:top w:val="none" w:sz="0" w:space="0" w:color="auto"/>
        <w:left w:val="none" w:sz="0" w:space="0" w:color="auto"/>
        <w:bottom w:val="none" w:sz="0" w:space="0" w:color="auto"/>
        <w:right w:val="none" w:sz="0" w:space="0" w:color="auto"/>
      </w:divBdr>
    </w:div>
    <w:div w:id="789124785">
      <w:bodyDiv w:val="1"/>
      <w:marLeft w:val="0"/>
      <w:marRight w:val="0"/>
      <w:marTop w:val="0"/>
      <w:marBottom w:val="0"/>
      <w:divBdr>
        <w:top w:val="none" w:sz="0" w:space="0" w:color="auto"/>
        <w:left w:val="none" w:sz="0" w:space="0" w:color="auto"/>
        <w:bottom w:val="none" w:sz="0" w:space="0" w:color="auto"/>
        <w:right w:val="none" w:sz="0" w:space="0" w:color="auto"/>
      </w:divBdr>
    </w:div>
    <w:div w:id="795297715">
      <w:bodyDiv w:val="1"/>
      <w:marLeft w:val="0"/>
      <w:marRight w:val="0"/>
      <w:marTop w:val="0"/>
      <w:marBottom w:val="0"/>
      <w:divBdr>
        <w:top w:val="none" w:sz="0" w:space="0" w:color="auto"/>
        <w:left w:val="none" w:sz="0" w:space="0" w:color="auto"/>
        <w:bottom w:val="none" w:sz="0" w:space="0" w:color="auto"/>
        <w:right w:val="none" w:sz="0" w:space="0" w:color="auto"/>
      </w:divBdr>
    </w:div>
    <w:div w:id="840391950">
      <w:bodyDiv w:val="1"/>
      <w:marLeft w:val="0"/>
      <w:marRight w:val="0"/>
      <w:marTop w:val="0"/>
      <w:marBottom w:val="0"/>
      <w:divBdr>
        <w:top w:val="none" w:sz="0" w:space="0" w:color="auto"/>
        <w:left w:val="none" w:sz="0" w:space="0" w:color="auto"/>
        <w:bottom w:val="none" w:sz="0" w:space="0" w:color="auto"/>
        <w:right w:val="none" w:sz="0" w:space="0" w:color="auto"/>
      </w:divBdr>
    </w:div>
    <w:div w:id="846016675">
      <w:bodyDiv w:val="1"/>
      <w:marLeft w:val="0"/>
      <w:marRight w:val="0"/>
      <w:marTop w:val="0"/>
      <w:marBottom w:val="0"/>
      <w:divBdr>
        <w:top w:val="none" w:sz="0" w:space="0" w:color="auto"/>
        <w:left w:val="none" w:sz="0" w:space="0" w:color="auto"/>
        <w:bottom w:val="none" w:sz="0" w:space="0" w:color="auto"/>
        <w:right w:val="none" w:sz="0" w:space="0" w:color="auto"/>
      </w:divBdr>
    </w:div>
    <w:div w:id="913587966">
      <w:bodyDiv w:val="1"/>
      <w:marLeft w:val="0"/>
      <w:marRight w:val="0"/>
      <w:marTop w:val="0"/>
      <w:marBottom w:val="0"/>
      <w:divBdr>
        <w:top w:val="none" w:sz="0" w:space="0" w:color="auto"/>
        <w:left w:val="none" w:sz="0" w:space="0" w:color="auto"/>
        <w:bottom w:val="none" w:sz="0" w:space="0" w:color="auto"/>
        <w:right w:val="none" w:sz="0" w:space="0" w:color="auto"/>
      </w:divBdr>
    </w:div>
    <w:div w:id="973414729">
      <w:bodyDiv w:val="1"/>
      <w:marLeft w:val="0"/>
      <w:marRight w:val="0"/>
      <w:marTop w:val="0"/>
      <w:marBottom w:val="0"/>
      <w:divBdr>
        <w:top w:val="none" w:sz="0" w:space="0" w:color="auto"/>
        <w:left w:val="none" w:sz="0" w:space="0" w:color="auto"/>
        <w:bottom w:val="none" w:sz="0" w:space="0" w:color="auto"/>
        <w:right w:val="none" w:sz="0" w:space="0" w:color="auto"/>
      </w:divBdr>
    </w:div>
    <w:div w:id="1036731968">
      <w:bodyDiv w:val="1"/>
      <w:marLeft w:val="0"/>
      <w:marRight w:val="0"/>
      <w:marTop w:val="0"/>
      <w:marBottom w:val="0"/>
      <w:divBdr>
        <w:top w:val="none" w:sz="0" w:space="0" w:color="auto"/>
        <w:left w:val="none" w:sz="0" w:space="0" w:color="auto"/>
        <w:bottom w:val="none" w:sz="0" w:space="0" w:color="auto"/>
        <w:right w:val="none" w:sz="0" w:space="0" w:color="auto"/>
      </w:divBdr>
    </w:div>
    <w:div w:id="1060404743">
      <w:bodyDiv w:val="1"/>
      <w:marLeft w:val="0"/>
      <w:marRight w:val="0"/>
      <w:marTop w:val="0"/>
      <w:marBottom w:val="0"/>
      <w:divBdr>
        <w:top w:val="none" w:sz="0" w:space="0" w:color="auto"/>
        <w:left w:val="none" w:sz="0" w:space="0" w:color="auto"/>
        <w:bottom w:val="none" w:sz="0" w:space="0" w:color="auto"/>
        <w:right w:val="none" w:sz="0" w:space="0" w:color="auto"/>
      </w:divBdr>
    </w:div>
    <w:div w:id="1217278951">
      <w:bodyDiv w:val="1"/>
      <w:marLeft w:val="0"/>
      <w:marRight w:val="0"/>
      <w:marTop w:val="0"/>
      <w:marBottom w:val="0"/>
      <w:divBdr>
        <w:top w:val="none" w:sz="0" w:space="0" w:color="auto"/>
        <w:left w:val="none" w:sz="0" w:space="0" w:color="auto"/>
        <w:bottom w:val="none" w:sz="0" w:space="0" w:color="auto"/>
        <w:right w:val="none" w:sz="0" w:space="0" w:color="auto"/>
      </w:divBdr>
    </w:div>
    <w:div w:id="1285119857">
      <w:bodyDiv w:val="1"/>
      <w:marLeft w:val="0"/>
      <w:marRight w:val="0"/>
      <w:marTop w:val="0"/>
      <w:marBottom w:val="0"/>
      <w:divBdr>
        <w:top w:val="none" w:sz="0" w:space="0" w:color="auto"/>
        <w:left w:val="none" w:sz="0" w:space="0" w:color="auto"/>
        <w:bottom w:val="none" w:sz="0" w:space="0" w:color="auto"/>
        <w:right w:val="none" w:sz="0" w:space="0" w:color="auto"/>
      </w:divBdr>
    </w:div>
    <w:div w:id="1307394310">
      <w:bodyDiv w:val="1"/>
      <w:marLeft w:val="0"/>
      <w:marRight w:val="0"/>
      <w:marTop w:val="0"/>
      <w:marBottom w:val="0"/>
      <w:divBdr>
        <w:top w:val="none" w:sz="0" w:space="0" w:color="auto"/>
        <w:left w:val="none" w:sz="0" w:space="0" w:color="auto"/>
        <w:bottom w:val="none" w:sz="0" w:space="0" w:color="auto"/>
        <w:right w:val="none" w:sz="0" w:space="0" w:color="auto"/>
      </w:divBdr>
    </w:div>
    <w:div w:id="1326204351">
      <w:bodyDiv w:val="1"/>
      <w:marLeft w:val="0"/>
      <w:marRight w:val="0"/>
      <w:marTop w:val="0"/>
      <w:marBottom w:val="0"/>
      <w:divBdr>
        <w:top w:val="none" w:sz="0" w:space="0" w:color="auto"/>
        <w:left w:val="none" w:sz="0" w:space="0" w:color="auto"/>
        <w:bottom w:val="none" w:sz="0" w:space="0" w:color="auto"/>
        <w:right w:val="none" w:sz="0" w:space="0" w:color="auto"/>
      </w:divBdr>
    </w:div>
    <w:div w:id="1330598773">
      <w:bodyDiv w:val="1"/>
      <w:marLeft w:val="0"/>
      <w:marRight w:val="0"/>
      <w:marTop w:val="0"/>
      <w:marBottom w:val="0"/>
      <w:divBdr>
        <w:top w:val="none" w:sz="0" w:space="0" w:color="auto"/>
        <w:left w:val="none" w:sz="0" w:space="0" w:color="auto"/>
        <w:bottom w:val="none" w:sz="0" w:space="0" w:color="auto"/>
        <w:right w:val="none" w:sz="0" w:space="0" w:color="auto"/>
      </w:divBdr>
    </w:div>
    <w:div w:id="1331757835">
      <w:bodyDiv w:val="1"/>
      <w:marLeft w:val="0"/>
      <w:marRight w:val="0"/>
      <w:marTop w:val="0"/>
      <w:marBottom w:val="0"/>
      <w:divBdr>
        <w:top w:val="none" w:sz="0" w:space="0" w:color="auto"/>
        <w:left w:val="none" w:sz="0" w:space="0" w:color="auto"/>
        <w:bottom w:val="none" w:sz="0" w:space="0" w:color="auto"/>
        <w:right w:val="none" w:sz="0" w:space="0" w:color="auto"/>
      </w:divBdr>
    </w:div>
    <w:div w:id="1387413995">
      <w:bodyDiv w:val="1"/>
      <w:marLeft w:val="0"/>
      <w:marRight w:val="0"/>
      <w:marTop w:val="0"/>
      <w:marBottom w:val="0"/>
      <w:divBdr>
        <w:top w:val="none" w:sz="0" w:space="0" w:color="auto"/>
        <w:left w:val="none" w:sz="0" w:space="0" w:color="auto"/>
        <w:bottom w:val="none" w:sz="0" w:space="0" w:color="auto"/>
        <w:right w:val="none" w:sz="0" w:space="0" w:color="auto"/>
      </w:divBdr>
    </w:div>
    <w:div w:id="1410806670">
      <w:bodyDiv w:val="1"/>
      <w:marLeft w:val="0"/>
      <w:marRight w:val="0"/>
      <w:marTop w:val="0"/>
      <w:marBottom w:val="0"/>
      <w:divBdr>
        <w:top w:val="none" w:sz="0" w:space="0" w:color="auto"/>
        <w:left w:val="none" w:sz="0" w:space="0" w:color="auto"/>
        <w:bottom w:val="none" w:sz="0" w:space="0" w:color="auto"/>
        <w:right w:val="none" w:sz="0" w:space="0" w:color="auto"/>
      </w:divBdr>
    </w:div>
    <w:div w:id="1621764836">
      <w:bodyDiv w:val="1"/>
      <w:marLeft w:val="0"/>
      <w:marRight w:val="0"/>
      <w:marTop w:val="0"/>
      <w:marBottom w:val="0"/>
      <w:divBdr>
        <w:top w:val="none" w:sz="0" w:space="0" w:color="auto"/>
        <w:left w:val="none" w:sz="0" w:space="0" w:color="auto"/>
        <w:bottom w:val="none" w:sz="0" w:space="0" w:color="auto"/>
        <w:right w:val="none" w:sz="0" w:space="0" w:color="auto"/>
      </w:divBdr>
    </w:div>
    <w:div w:id="1662352082">
      <w:bodyDiv w:val="1"/>
      <w:marLeft w:val="0"/>
      <w:marRight w:val="0"/>
      <w:marTop w:val="0"/>
      <w:marBottom w:val="0"/>
      <w:divBdr>
        <w:top w:val="none" w:sz="0" w:space="0" w:color="auto"/>
        <w:left w:val="none" w:sz="0" w:space="0" w:color="auto"/>
        <w:bottom w:val="none" w:sz="0" w:space="0" w:color="auto"/>
        <w:right w:val="none" w:sz="0" w:space="0" w:color="auto"/>
      </w:divBdr>
    </w:div>
    <w:div w:id="1722092694">
      <w:bodyDiv w:val="1"/>
      <w:marLeft w:val="0"/>
      <w:marRight w:val="0"/>
      <w:marTop w:val="0"/>
      <w:marBottom w:val="0"/>
      <w:divBdr>
        <w:top w:val="none" w:sz="0" w:space="0" w:color="auto"/>
        <w:left w:val="none" w:sz="0" w:space="0" w:color="auto"/>
        <w:bottom w:val="none" w:sz="0" w:space="0" w:color="auto"/>
        <w:right w:val="none" w:sz="0" w:space="0" w:color="auto"/>
      </w:divBdr>
    </w:div>
    <w:div w:id="1795556789">
      <w:bodyDiv w:val="1"/>
      <w:marLeft w:val="0"/>
      <w:marRight w:val="0"/>
      <w:marTop w:val="0"/>
      <w:marBottom w:val="0"/>
      <w:divBdr>
        <w:top w:val="none" w:sz="0" w:space="0" w:color="auto"/>
        <w:left w:val="none" w:sz="0" w:space="0" w:color="auto"/>
        <w:bottom w:val="none" w:sz="0" w:space="0" w:color="auto"/>
        <w:right w:val="none" w:sz="0" w:space="0" w:color="auto"/>
      </w:divBdr>
    </w:div>
    <w:div w:id="1809735652">
      <w:bodyDiv w:val="1"/>
      <w:marLeft w:val="0"/>
      <w:marRight w:val="0"/>
      <w:marTop w:val="0"/>
      <w:marBottom w:val="0"/>
      <w:divBdr>
        <w:top w:val="none" w:sz="0" w:space="0" w:color="auto"/>
        <w:left w:val="none" w:sz="0" w:space="0" w:color="auto"/>
        <w:bottom w:val="none" w:sz="0" w:space="0" w:color="auto"/>
        <w:right w:val="none" w:sz="0" w:space="0" w:color="auto"/>
      </w:divBdr>
    </w:div>
    <w:div w:id="1946771586">
      <w:bodyDiv w:val="1"/>
      <w:marLeft w:val="0"/>
      <w:marRight w:val="0"/>
      <w:marTop w:val="0"/>
      <w:marBottom w:val="0"/>
      <w:divBdr>
        <w:top w:val="none" w:sz="0" w:space="0" w:color="auto"/>
        <w:left w:val="none" w:sz="0" w:space="0" w:color="auto"/>
        <w:bottom w:val="none" w:sz="0" w:space="0" w:color="auto"/>
        <w:right w:val="none" w:sz="0" w:space="0" w:color="auto"/>
      </w:divBdr>
    </w:div>
    <w:div w:id="1958291410">
      <w:bodyDiv w:val="1"/>
      <w:marLeft w:val="0"/>
      <w:marRight w:val="0"/>
      <w:marTop w:val="0"/>
      <w:marBottom w:val="0"/>
      <w:divBdr>
        <w:top w:val="none" w:sz="0" w:space="0" w:color="auto"/>
        <w:left w:val="none" w:sz="0" w:space="0" w:color="auto"/>
        <w:bottom w:val="none" w:sz="0" w:space="0" w:color="auto"/>
        <w:right w:val="none" w:sz="0" w:space="0" w:color="auto"/>
      </w:divBdr>
    </w:div>
    <w:div w:id="2053381321">
      <w:bodyDiv w:val="1"/>
      <w:marLeft w:val="0"/>
      <w:marRight w:val="0"/>
      <w:marTop w:val="0"/>
      <w:marBottom w:val="0"/>
      <w:divBdr>
        <w:top w:val="none" w:sz="0" w:space="0" w:color="auto"/>
        <w:left w:val="none" w:sz="0" w:space="0" w:color="auto"/>
        <w:bottom w:val="none" w:sz="0" w:space="0" w:color="auto"/>
        <w:right w:val="none" w:sz="0" w:space="0" w:color="auto"/>
      </w:divBdr>
    </w:div>
    <w:div w:id="2054965160">
      <w:bodyDiv w:val="1"/>
      <w:marLeft w:val="0"/>
      <w:marRight w:val="0"/>
      <w:marTop w:val="0"/>
      <w:marBottom w:val="0"/>
      <w:divBdr>
        <w:top w:val="none" w:sz="0" w:space="0" w:color="auto"/>
        <w:left w:val="none" w:sz="0" w:space="0" w:color="auto"/>
        <w:bottom w:val="none" w:sz="0" w:space="0" w:color="auto"/>
        <w:right w:val="none" w:sz="0" w:space="0" w:color="auto"/>
      </w:divBdr>
    </w:div>
    <w:div w:id="2098481340">
      <w:bodyDiv w:val="1"/>
      <w:marLeft w:val="0"/>
      <w:marRight w:val="0"/>
      <w:marTop w:val="0"/>
      <w:marBottom w:val="0"/>
      <w:divBdr>
        <w:top w:val="none" w:sz="0" w:space="0" w:color="auto"/>
        <w:left w:val="none" w:sz="0" w:space="0" w:color="auto"/>
        <w:bottom w:val="none" w:sz="0" w:space="0" w:color="auto"/>
        <w:right w:val="none" w:sz="0" w:space="0" w:color="auto"/>
      </w:divBdr>
    </w:div>
    <w:div w:id="21276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马思渊</cp:lastModifiedBy>
  <cp:revision>16</cp:revision>
  <dcterms:created xsi:type="dcterms:W3CDTF">2020-02-13T08:00:00Z</dcterms:created>
  <dcterms:modified xsi:type="dcterms:W3CDTF">2020-08-28T02:23:00Z</dcterms:modified>
</cp:coreProperties>
</file>