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16C90" w14:textId="77777777" w:rsidR="00AB6D2C" w:rsidRPr="00662CA8" w:rsidRDefault="00AB6D2C" w:rsidP="00AB6D2C">
      <w:pPr>
        <w:pStyle w:val="Default"/>
        <w:jc w:val="center"/>
        <w:rPr>
          <w:rFonts w:ascii="Times New Roman" w:hAnsi="Times New Roman" w:cs="Times New Roman"/>
          <w:b/>
          <w:sz w:val="32"/>
        </w:rPr>
      </w:pPr>
      <w:r w:rsidRPr="00662CA8">
        <w:rPr>
          <w:rFonts w:ascii="Times New Roman" w:hAnsi="Times New Roman" w:cs="Times New Roman"/>
          <w:b/>
          <w:sz w:val="32"/>
        </w:rPr>
        <w:t>苏州银行股份有限公司资本构成信息表</w:t>
      </w:r>
    </w:p>
    <w:p w14:paraId="66DE9864" w14:textId="77777777" w:rsidR="00AB6D2C" w:rsidRPr="00662CA8" w:rsidRDefault="00AB6D2C" w:rsidP="00AB6D2C">
      <w:pPr>
        <w:pStyle w:val="Default"/>
        <w:rPr>
          <w:rFonts w:ascii="Times New Roman" w:hAnsi="Times New Roman" w:cs="Times New Roman"/>
        </w:rPr>
      </w:pPr>
    </w:p>
    <w:p w14:paraId="04892A7E" w14:textId="0A1DDA80" w:rsidR="0060324C" w:rsidRPr="00662CA8" w:rsidRDefault="00AB6D2C" w:rsidP="00AB6D2C">
      <w:pPr>
        <w:ind w:firstLine="420"/>
        <w:rPr>
          <w:rFonts w:ascii="Times New Roman" w:hAnsi="Times New Roman" w:cs="Times New Roman"/>
          <w:szCs w:val="21"/>
        </w:rPr>
      </w:pPr>
      <w:r w:rsidRPr="00662CA8">
        <w:rPr>
          <w:rFonts w:ascii="Times New Roman" w:hAnsi="Times New Roman" w:cs="Times New Roman"/>
          <w:szCs w:val="21"/>
        </w:rPr>
        <w:t>以下监管资本项目与资产负债表对应关系附表依据《中国银监会关于印发商业银行资本监管配套政策文件的通知》</w:t>
      </w:r>
      <w:r w:rsidRPr="00662CA8">
        <w:rPr>
          <w:rFonts w:ascii="Times New Roman" w:hAnsi="Times New Roman" w:cs="Times New Roman"/>
          <w:szCs w:val="21"/>
        </w:rPr>
        <w:t>(</w:t>
      </w:r>
      <w:r w:rsidRPr="00662CA8">
        <w:rPr>
          <w:rFonts w:ascii="Times New Roman" w:hAnsi="Times New Roman" w:cs="Times New Roman"/>
          <w:szCs w:val="21"/>
        </w:rPr>
        <w:t>银监发</w:t>
      </w:r>
      <w:r w:rsidRPr="00662CA8">
        <w:rPr>
          <w:rFonts w:ascii="Times New Roman" w:hAnsi="Times New Roman" w:cs="Times New Roman"/>
          <w:szCs w:val="21"/>
        </w:rPr>
        <w:t>[2013]33</w:t>
      </w:r>
      <w:r w:rsidRPr="00662CA8">
        <w:rPr>
          <w:rFonts w:ascii="Times New Roman" w:hAnsi="Times New Roman" w:cs="Times New Roman"/>
          <w:szCs w:val="21"/>
        </w:rPr>
        <w:t>号</w:t>
      </w:r>
      <w:r w:rsidRPr="00662CA8">
        <w:rPr>
          <w:rFonts w:ascii="Times New Roman" w:hAnsi="Times New Roman" w:cs="Times New Roman"/>
          <w:szCs w:val="21"/>
        </w:rPr>
        <w:t>)</w:t>
      </w:r>
      <w:r w:rsidRPr="00662CA8">
        <w:rPr>
          <w:rFonts w:ascii="Times New Roman" w:hAnsi="Times New Roman" w:cs="Times New Roman"/>
          <w:szCs w:val="21"/>
        </w:rPr>
        <w:t>中《关于商</w:t>
      </w:r>
      <w:r w:rsidR="00F47C6F">
        <w:rPr>
          <w:rFonts w:ascii="Times New Roman" w:hAnsi="Times New Roman" w:cs="Times New Roman" w:hint="eastAsia"/>
          <w:szCs w:val="21"/>
        </w:rPr>
        <w:t>业</w:t>
      </w:r>
      <w:r w:rsidR="00F47C6F">
        <w:rPr>
          <w:rFonts w:ascii="Times New Roman" w:hAnsi="Times New Roman" w:cs="Times New Roman"/>
          <w:szCs w:val="21"/>
        </w:rPr>
        <w:t>银</w:t>
      </w:r>
      <w:r w:rsidR="00F47C6F">
        <w:rPr>
          <w:rFonts w:ascii="Times New Roman" w:hAnsi="Times New Roman" w:cs="Times New Roman" w:hint="eastAsia"/>
          <w:szCs w:val="21"/>
        </w:rPr>
        <w:t>行</w:t>
      </w:r>
      <w:r w:rsidRPr="00662CA8">
        <w:rPr>
          <w:rFonts w:ascii="Times New Roman" w:hAnsi="Times New Roman" w:cs="Times New Roman"/>
          <w:szCs w:val="21"/>
        </w:rPr>
        <w:t>资本构成信息披露的监管要求》进行披露，报表日为</w:t>
      </w:r>
      <w:r w:rsidRPr="00662CA8">
        <w:rPr>
          <w:rFonts w:ascii="Times New Roman" w:hAnsi="Times New Roman" w:cs="Times New Roman"/>
          <w:szCs w:val="21"/>
        </w:rPr>
        <w:t>2</w:t>
      </w:r>
      <w:r w:rsidR="00257302" w:rsidRPr="00662CA8">
        <w:rPr>
          <w:rFonts w:ascii="Times New Roman" w:hAnsi="Times New Roman" w:cs="Times New Roman"/>
          <w:szCs w:val="21"/>
        </w:rPr>
        <w:t>02</w:t>
      </w:r>
      <w:r w:rsidR="00652727">
        <w:rPr>
          <w:rFonts w:ascii="Times New Roman" w:hAnsi="Times New Roman" w:cs="Times New Roman"/>
          <w:szCs w:val="21"/>
        </w:rPr>
        <w:t>2</w:t>
      </w:r>
      <w:r w:rsidRPr="00662CA8">
        <w:rPr>
          <w:rFonts w:ascii="Times New Roman" w:hAnsi="Times New Roman" w:cs="Times New Roman"/>
          <w:szCs w:val="21"/>
        </w:rPr>
        <w:t>年</w:t>
      </w:r>
      <w:r w:rsidR="00652727">
        <w:rPr>
          <w:rFonts w:ascii="Times New Roman" w:hAnsi="Times New Roman" w:cs="Times New Roman" w:hint="eastAsia"/>
          <w:szCs w:val="21"/>
        </w:rPr>
        <w:t>6</w:t>
      </w:r>
      <w:r w:rsidRPr="00662CA8">
        <w:rPr>
          <w:rFonts w:ascii="Times New Roman" w:hAnsi="Times New Roman" w:cs="Times New Roman"/>
          <w:szCs w:val="21"/>
        </w:rPr>
        <w:t>月</w:t>
      </w:r>
      <w:r w:rsidR="003C2EC0">
        <w:rPr>
          <w:rFonts w:ascii="Times New Roman" w:hAnsi="Times New Roman" w:cs="Times New Roman"/>
          <w:szCs w:val="21"/>
        </w:rPr>
        <w:t>3</w:t>
      </w:r>
      <w:r w:rsidR="00652727">
        <w:rPr>
          <w:rFonts w:ascii="Times New Roman" w:hAnsi="Times New Roman" w:cs="Times New Roman"/>
          <w:szCs w:val="21"/>
        </w:rPr>
        <w:t>0</w:t>
      </w:r>
      <w:r w:rsidRPr="00662CA8">
        <w:rPr>
          <w:rFonts w:ascii="Times New Roman" w:hAnsi="Times New Roman" w:cs="Times New Roman"/>
          <w:szCs w:val="21"/>
        </w:rPr>
        <w:t>日。</w:t>
      </w:r>
    </w:p>
    <w:p w14:paraId="1D2FE869" w14:textId="77777777" w:rsidR="00AB6D2C" w:rsidRPr="00662CA8" w:rsidRDefault="00AB6D2C" w:rsidP="00AB6D2C">
      <w:pPr>
        <w:ind w:firstLine="420"/>
        <w:rPr>
          <w:rFonts w:ascii="Times New Roman" w:hAnsi="Times New Roman" w:cs="Times New Roman"/>
          <w:szCs w:val="21"/>
        </w:rPr>
      </w:pPr>
    </w:p>
    <w:p w14:paraId="51F3C64E" w14:textId="77777777" w:rsidR="00AB6D2C" w:rsidRPr="00662CA8" w:rsidRDefault="00AB6D2C" w:rsidP="00AB6D2C">
      <w:pPr>
        <w:ind w:firstLine="420"/>
        <w:rPr>
          <w:rFonts w:ascii="Times New Roman" w:hAnsi="Times New Roman" w:cs="Times New Roman"/>
          <w:b/>
          <w:sz w:val="24"/>
          <w:szCs w:val="21"/>
        </w:rPr>
      </w:pPr>
      <w:r w:rsidRPr="00662CA8">
        <w:rPr>
          <w:rFonts w:ascii="Times New Roman" w:hAnsi="Times New Roman" w:cs="Times New Roman"/>
          <w:b/>
          <w:sz w:val="24"/>
          <w:szCs w:val="21"/>
        </w:rPr>
        <w:t>一、资本构成</w:t>
      </w:r>
    </w:p>
    <w:p w14:paraId="100B8717" w14:textId="77777777" w:rsidR="00AB6D2C" w:rsidRPr="00662CA8" w:rsidRDefault="00AB6D2C" w:rsidP="00AB6D2C">
      <w:pPr>
        <w:ind w:firstLine="420"/>
        <w:jc w:val="right"/>
        <w:rPr>
          <w:rFonts w:ascii="Times New Roman" w:hAnsi="Times New Roman" w:cs="Times New Roman"/>
        </w:rPr>
      </w:pPr>
      <w:r w:rsidRPr="00662CA8">
        <w:rPr>
          <w:rFonts w:ascii="Times New Roman" w:hAnsi="Times New Roman" w:cs="Times New Roman"/>
        </w:rPr>
        <w:t>单位：人民币万元</w:t>
      </w:r>
      <w:r w:rsidR="000B0DF4" w:rsidRPr="00662CA8">
        <w:rPr>
          <w:rFonts w:ascii="Times New Roman" w:hAnsi="Times New Roman" w:cs="Times New Roman"/>
        </w:rPr>
        <w:t>、</w:t>
      </w:r>
      <w:r w:rsidR="000B0DF4" w:rsidRPr="00662CA8">
        <w:rPr>
          <w:rFonts w:ascii="Times New Roman" w:eastAsia="宋体" w:hAnsi="Times New Roman" w:cs="Times New Roman"/>
          <w:color w:val="000000"/>
          <w:kern w:val="0"/>
          <w:sz w:val="22"/>
        </w:rPr>
        <w:t>%</w:t>
      </w:r>
      <w:r w:rsidR="001E0D63" w:rsidRPr="00662CA8">
        <w:rPr>
          <w:rFonts w:ascii="Times New Roman" w:hAnsi="Times New Roman" w:cs="Times New Roman"/>
        </w:rPr>
        <w:t xml:space="preserve"> </w:t>
      </w:r>
    </w:p>
    <w:tbl>
      <w:tblPr>
        <w:tblW w:w="5000" w:type="pct"/>
        <w:tblLook w:val="04A0" w:firstRow="1" w:lastRow="0" w:firstColumn="1" w:lastColumn="0" w:noHBand="0" w:noVBand="1"/>
      </w:tblPr>
      <w:tblGrid>
        <w:gridCol w:w="546"/>
        <w:gridCol w:w="6330"/>
        <w:gridCol w:w="1646"/>
      </w:tblGrid>
      <w:tr w:rsidR="00AB6D2C" w:rsidRPr="00662CA8" w14:paraId="55B314D4" w14:textId="77777777"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14:paraId="254A2E49" w14:textId="77777777"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核心一级资本</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29DE7173" w14:textId="77777777" w:rsidR="00AB6D2C" w:rsidRPr="00662CA8" w:rsidRDefault="00AB6D2C" w:rsidP="00AB6D2C">
            <w:pPr>
              <w:widowControl/>
              <w:jc w:val="center"/>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数额</w:t>
            </w:r>
          </w:p>
        </w:tc>
      </w:tr>
      <w:tr w:rsidR="00A7393F" w:rsidRPr="00662CA8" w14:paraId="59A657CB" w14:textId="77777777" w:rsidTr="00A7393F">
        <w:trPr>
          <w:trHeight w:val="299"/>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5232F0DE" w14:textId="77777777" w:rsidR="00A7393F" w:rsidRPr="00662CA8" w:rsidRDefault="00A7393F" w:rsidP="00A7393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w:t>
            </w:r>
          </w:p>
        </w:tc>
        <w:tc>
          <w:tcPr>
            <w:tcW w:w="3714" w:type="pct"/>
            <w:tcBorders>
              <w:top w:val="nil"/>
              <w:left w:val="nil"/>
              <w:bottom w:val="single" w:sz="4" w:space="0" w:color="auto"/>
              <w:right w:val="single" w:sz="4" w:space="0" w:color="auto"/>
            </w:tcBorders>
            <w:shd w:val="clear" w:color="auto" w:fill="auto"/>
            <w:vAlign w:val="center"/>
            <w:hideMark/>
          </w:tcPr>
          <w:p w14:paraId="074F450D" w14:textId="77777777" w:rsidR="00A7393F" w:rsidRPr="00662CA8" w:rsidRDefault="00A7393F" w:rsidP="00A7393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实收资本</w:t>
            </w:r>
          </w:p>
        </w:tc>
        <w:tc>
          <w:tcPr>
            <w:tcW w:w="966" w:type="pct"/>
            <w:tcBorders>
              <w:top w:val="nil"/>
              <w:left w:val="nil"/>
              <w:bottom w:val="single" w:sz="4" w:space="0" w:color="auto"/>
              <w:right w:val="single" w:sz="4" w:space="0" w:color="auto"/>
            </w:tcBorders>
            <w:shd w:val="clear" w:color="auto" w:fill="auto"/>
          </w:tcPr>
          <w:p w14:paraId="0718B361" w14:textId="6D81E49B" w:rsidR="00A7393F" w:rsidRPr="003C4A0F" w:rsidRDefault="00A7393F" w:rsidP="00A7393F">
            <w:pPr>
              <w:widowControl/>
              <w:jc w:val="right"/>
              <w:rPr>
                <w:rFonts w:ascii="Times New Roman" w:eastAsia="宋体" w:hAnsi="Times New Roman" w:cs="Times New Roman"/>
                <w:color w:val="000000"/>
                <w:kern w:val="0"/>
                <w:sz w:val="22"/>
              </w:rPr>
            </w:pPr>
            <w:r w:rsidRPr="00A7393F">
              <w:rPr>
                <w:rFonts w:ascii="Times New Roman" w:eastAsia="宋体" w:hAnsi="Times New Roman" w:cs="Times New Roman"/>
                <w:color w:val="000000"/>
                <w:kern w:val="0"/>
                <w:sz w:val="22"/>
              </w:rPr>
              <w:t xml:space="preserve">366,672.61 </w:t>
            </w:r>
          </w:p>
        </w:tc>
      </w:tr>
      <w:tr w:rsidR="00A7393F" w:rsidRPr="00662CA8" w14:paraId="2111AEFE" w14:textId="77777777" w:rsidTr="00A7393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5D82F27E" w14:textId="77777777" w:rsidR="00A7393F" w:rsidRPr="00662CA8" w:rsidRDefault="00A7393F" w:rsidP="00A7393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w:t>
            </w:r>
          </w:p>
        </w:tc>
        <w:tc>
          <w:tcPr>
            <w:tcW w:w="3714" w:type="pct"/>
            <w:tcBorders>
              <w:top w:val="nil"/>
              <w:left w:val="nil"/>
              <w:bottom w:val="single" w:sz="4" w:space="0" w:color="auto"/>
              <w:right w:val="single" w:sz="4" w:space="0" w:color="auto"/>
            </w:tcBorders>
            <w:shd w:val="clear" w:color="auto" w:fill="auto"/>
            <w:vAlign w:val="center"/>
            <w:hideMark/>
          </w:tcPr>
          <w:p w14:paraId="039DAD42" w14:textId="77777777" w:rsidR="00A7393F" w:rsidRPr="00662CA8" w:rsidRDefault="00A7393F" w:rsidP="00A7393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留存收益</w:t>
            </w:r>
          </w:p>
        </w:tc>
        <w:tc>
          <w:tcPr>
            <w:tcW w:w="966" w:type="pct"/>
            <w:tcBorders>
              <w:top w:val="nil"/>
              <w:left w:val="nil"/>
              <w:bottom w:val="single" w:sz="4" w:space="0" w:color="auto"/>
              <w:right w:val="single" w:sz="4" w:space="0" w:color="auto"/>
            </w:tcBorders>
            <w:shd w:val="clear" w:color="auto" w:fill="auto"/>
          </w:tcPr>
          <w:p w14:paraId="530C7C84" w14:textId="5263F537" w:rsidR="00A7393F" w:rsidRPr="003C4A0F" w:rsidRDefault="00A7393F" w:rsidP="00A7393F">
            <w:pPr>
              <w:widowControl/>
              <w:jc w:val="right"/>
              <w:rPr>
                <w:rFonts w:ascii="Times New Roman" w:eastAsia="宋体" w:hAnsi="Times New Roman" w:cs="Times New Roman"/>
                <w:color w:val="000000"/>
                <w:kern w:val="0"/>
                <w:sz w:val="22"/>
              </w:rPr>
            </w:pPr>
            <w:r w:rsidRPr="00A7393F">
              <w:rPr>
                <w:rFonts w:ascii="Times New Roman" w:eastAsia="宋体" w:hAnsi="Times New Roman" w:cs="Times New Roman"/>
                <w:color w:val="000000"/>
                <w:kern w:val="0"/>
                <w:sz w:val="22"/>
              </w:rPr>
              <w:t xml:space="preserve">1,895,582.05 </w:t>
            </w:r>
          </w:p>
        </w:tc>
      </w:tr>
      <w:tr w:rsidR="00A7393F" w:rsidRPr="00662CA8" w14:paraId="4D9D5455"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3E731459" w14:textId="77777777" w:rsidR="00A7393F" w:rsidRPr="00662CA8" w:rsidRDefault="00A7393F" w:rsidP="00A7393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2a</w:t>
            </w:r>
          </w:p>
        </w:tc>
        <w:tc>
          <w:tcPr>
            <w:tcW w:w="3714" w:type="pct"/>
            <w:tcBorders>
              <w:top w:val="nil"/>
              <w:left w:val="nil"/>
              <w:bottom w:val="single" w:sz="4" w:space="0" w:color="auto"/>
              <w:right w:val="single" w:sz="4" w:space="0" w:color="auto"/>
            </w:tcBorders>
            <w:shd w:val="clear" w:color="auto" w:fill="auto"/>
            <w:vAlign w:val="center"/>
            <w:hideMark/>
          </w:tcPr>
          <w:p w14:paraId="5FE07E82" w14:textId="77777777" w:rsidR="00A7393F" w:rsidRPr="00662CA8" w:rsidRDefault="00A7393F" w:rsidP="00A7393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盈余公积</w:t>
            </w:r>
          </w:p>
        </w:tc>
        <w:tc>
          <w:tcPr>
            <w:tcW w:w="966" w:type="pct"/>
            <w:tcBorders>
              <w:top w:val="nil"/>
              <w:left w:val="nil"/>
              <w:bottom w:val="single" w:sz="4" w:space="0" w:color="auto"/>
              <w:right w:val="single" w:sz="4" w:space="0" w:color="auto"/>
            </w:tcBorders>
            <w:shd w:val="clear" w:color="auto" w:fill="auto"/>
          </w:tcPr>
          <w:p w14:paraId="42623BCF" w14:textId="5B7F17BE" w:rsidR="00A7393F" w:rsidRPr="003C4A0F" w:rsidRDefault="00A7393F" w:rsidP="00A7393F">
            <w:pPr>
              <w:widowControl/>
              <w:jc w:val="right"/>
              <w:rPr>
                <w:rFonts w:ascii="Times New Roman" w:eastAsia="宋体" w:hAnsi="Times New Roman" w:cs="Times New Roman"/>
                <w:color w:val="000000"/>
                <w:kern w:val="0"/>
                <w:sz w:val="22"/>
              </w:rPr>
            </w:pPr>
            <w:r w:rsidRPr="00A7393F">
              <w:rPr>
                <w:rFonts w:ascii="Times New Roman" w:eastAsia="宋体" w:hAnsi="Times New Roman" w:cs="Times New Roman"/>
                <w:color w:val="000000"/>
                <w:kern w:val="0"/>
                <w:sz w:val="22"/>
              </w:rPr>
              <w:t xml:space="preserve">250,445.33 </w:t>
            </w:r>
          </w:p>
        </w:tc>
      </w:tr>
      <w:tr w:rsidR="00A7393F" w:rsidRPr="00662CA8" w14:paraId="2B2DB5DC"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27B91C71" w14:textId="77777777" w:rsidR="00A7393F" w:rsidRPr="00662CA8" w:rsidRDefault="00A7393F" w:rsidP="00A7393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2b</w:t>
            </w:r>
          </w:p>
        </w:tc>
        <w:tc>
          <w:tcPr>
            <w:tcW w:w="3714" w:type="pct"/>
            <w:tcBorders>
              <w:top w:val="nil"/>
              <w:left w:val="nil"/>
              <w:bottom w:val="single" w:sz="4" w:space="0" w:color="auto"/>
              <w:right w:val="single" w:sz="4" w:space="0" w:color="auto"/>
            </w:tcBorders>
            <w:shd w:val="clear" w:color="auto" w:fill="auto"/>
            <w:vAlign w:val="center"/>
            <w:hideMark/>
          </w:tcPr>
          <w:p w14:paraId="0384F38C" w14:textId="77777777" w:rsidR="00A7393F" w:rsidRPr="00662CA8" w:rsidRDefault="00A7393F" w:rsidP="00A7393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一般风险准备</w:t>
            </w:r>
          </w:p>
        </w:tc>
        <w:tc>
          <w:tcPr>
            <w:tcW w:w="966" w:type="pct"/>
            <w:tcBorders>
              <w:top w:val="nil"/>
              <w:left w:val="nil"/>
              <w:bottom w:val="single" w:sz="4" w:space="0" w:color="auto"/>
              <w:right w:val="single" w:sz="4" w:space="0" w:color="auto"/>
            </w:tcBorders>
            <w:shd w:val="clear" w:color="auto" w:fill="auto"/>
          </w:tcPr>
          <w:p w14:paraId="1E7FE2D5" w14:textId="720387B8" w:rsidR="00A7393F" w:rsidRPr="003C4A0F" w:rsidRDefault="00A7393F" w:rsidP="00A7393F">
            <w:pPr>
              <w:widowControl/>
              <w:jc w:val="right"/>
              <w:rPr>
                <w:rFonts w:ascii="Times New Roman" w:eastAsia="宋体" w:hAnsi="Times New Roman" w:cs="Times New Roman"/>
                <w:color w:val="000000"/>
                <w:kern w:val="0"/>
                <w:sz w:val="22"/>
              </w:rPr>
            </w:pPr>
            <w:r w:rsidRPr="00A7393F">
              <w:rPr>
                <w:rFonts w:ascii="Times New Roman" w:eastAsia="宋体" w:hAnsi="Times New Roman" w:cs="Times New Roman"/>
                <w:color w:val="000000"/>
                <w:kern w:val="0"/>
                <w:sz w:val="22"/>
              </w:rPr>
              <w:t xml:space="preserve">549,754.04 </w:t>
            </w:r>
          </w:p>
        </w:tc>
      </w:tr>
      <w:tr w:rsidR="00A7393F" w:rsidRPr="00662CA8" w14:paraId="4DC6AFBB"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3A68068" w14:textId="77777777" w:rsidR="00A7393F" w:rsidRPr="00662CA8" w:rsidRDefault="00A7393F" w:rsidP="00A7393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2c</w:t>
            </w:r>
          </w:p>
        </w:tc>
        <w:tc>
          <w:tcPr>
            <w:tcW w:w="3714" w:type="pct"/>
            <w:tcBorders>
              <w:top w:val="nil"/>
              <w:left w:val="nil"/>
              <w:bottom w:val="single" w:sz="4" w:space="0" w:color="auto"/>
              <w:right w:val="single" w:sz="4" w:space="0" w:color="auto"/>
            </w:tcBorders>
            <w:shd w:val="clear" w:color="auto" w:fill="auto"/>
            <w:vAlign w:val="center"/>
            <w:hideMark/>
          </w:tcPr>
          <w:p w14:paraId="7598D432" w14:textId="77777777" w:rsidR="00A7393F" w:rsidRPr="00662CA8" w:rsidRDefault="00A7393F" w:rsidP="00A7393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未分配利润</w:t>
            </w:r>
          </w:p>
        </w:tc>
        <w:tc>
          <w:tcPr>
            <w:tcW w:w="966" w:type="pct"/>
            <w:tcBorders>
              <w:top w:val="nil"/>
              <w:left w:val="nil"/>
              <w:bottom w:val="single" w:sz="4" w:space="0" w:color="auto"/>
              <w:right w:val="single" w:sz="4" w:space="0" w:color="auto"/>
            </w:tcBorders>
            <w:shd w:val="clear" w:color="auto" w:fill="auto"/>
          </w:tcPr>
          <w:p w14:paraId="031167C5" w14:textId="537ECD2D" w:rsidR="00A7393F" w:rsidRPr="003C4A0F" w:rsidRDefault="00A7393F" w:rsidP="00A7393F">
            <w:pPr>
              <w:widowControl/>
              <w:jc w:val="right"/>
              <w:rPr>
                <w:rFonts w:ascii="Times New Roman" w:eastAsia="宋体" w:hAnsi="Times New Roman" w:cs="Times New Roman"/>
                <w:color w:val="000000"/>
                <w:kern w:val="0"/>
                <w:sz w:val="22"/>
              </w:rPr>
            </w:pPr>
            <w:r w:rsidRPr="00A7393F">
              <w:rPr>
                <w:rFonts w:ascii="Times New Roman" w:eastAsia="宋体" w:hAnsi="Times New Roman" w:cs="Times New Roman"/>
                <w:color w:val="000000"/>
                <w:kern w:val="0"/>
                <w:sz w:val="22"/>
              </w:rPr>
              <w:t xml:space="preserve">1,095,382.68 </w:t>
            </w:r>
          </w:p>
        </w:tc>
      </w:tr>
      <w:tr w:rsidR="00A7393F" w:rsidRPr="00662CA8" w14:paraId="62D4E2AC"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5A50777F" w14:textId="77777777" w:rsidR="00A7393F" w:rsidRPr="00662CA8" w:rsidRDefault="00A7393F" w:rsidP="00A7393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w:t>
            </w:r>
          </w:p>
        </w:tc>
        <w:tc>
          <w:tcPr>
            <w:tcW w:w="3714" w:type="pct"/>
            <w:tcBorders>
              <w:top w:val="nil"/>
              <w:left w:val="nil"/>
              <w:bottom w:val="single" w:sz="4" w:space="0" w:color="auto"/>
              <w:right w:val="single" w:sz="4" w:space="0" w:color="auto"/>
            </w:tcBorders>
            <w:shd w:val="clear" w:color="auto" w:fill="auto"/>
            <w:vAlign w:val="center"/>
            <w:hideMark/>
          </w:tcPr>
          <w:p w14:paraId="5C051675" w14:textId="77777777" w:rsidR="00A7393F" w:rsidRPr="00662CA8" w:rsidRDefault="00A7393F" w:rsidP="00A7393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累计其他综合收益和公开储备</w:t>
            </w:r>
          </w:p>
        </w:tc>
        <w:tc>
          <w:tcPr>
            <w:tcW w:w="966" w:type="pct"/>
            <w:tcBorders>
              <w:top w:val="nil"/>
              <w:left w:val="nil"/>
              <w:bottom w:val="single" w:sz="4" w:space="0" w:color="auto"/>
              <w:right w:val="single" w:sz="4" w:space="0" w:color="auto"/>
            </w:tcBorders>
            <w:shd w:val="clear" w:color="auto" w:fill="auto"/>
          </w:tcPr>
          <w:p w14:paraId="4A3B5FBE" w14:textId="7AFD3556" w:rsidR="00A7393F" w:rsidRPr="003C4A0F" w:rsidRDefault="00A7393F" w:rsidP="00A7393F">
            <w:pPr>
              <w:widowControl/>
              <w:jc w:val="right"/>
              <w:rPr>
                <w:rFonts w:ascii="Times New Roman" w:eastAsia="宋体" w:hAnsi="Times New Roman" w:cs="Times New Roman"/>
                <w:color w:val="000000"/>
                <w:kern w:val="0"/>
                <w:sz w:val="22"/>
              </w:rPr>
            </w:pPr>
            <w:r w:rsidRPr="00A7393F">
              <w:rPr>
                <w:rFonts w:ascii="Times New Roman" w:eastAsia="宋体" w:hAnsi="Times New Roman" w:cs="Times New Roman"/>
                <w:color w:val="000000"/>
                <w:kern w:val="0"/>
                <w:sz w:val="22"/>
              </w:rPr>
              <w:t xml:space="preserve">1,109,076.71 </w:t>
            </w:r>
          </w:p>
        </w:tc>
      </w:tr>
      <w:tr w:rsidR="00A7393F" w:rsidRPr="00662CA8" w14:paraId="41B2AF39"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C08DAD8" w14:textId="77777777" w:rsidR="00A7393F" w:rsidRPr="00662CA8" w:rsidRDefault="00A7393F" w:rsidP="00A7393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3a</w:t>
            </w:r>
          </w:p>
        </w:tc>
        <w:tc>
          <w:tcPr>
            <w:tcW w:w="3714" w:type="pct"/>
            <w:tcBorders>
              <w:top w:val="nil"/>
              <w:left w:val="nil"/>
              <w:bottom w:val="single" w:sz="4" w:space="0" w:color="auto"/>
              <w:right w:val="single" w:sz="4" w:space="0" w:color="auto"/>
            </w:tcBorders>
            <w:shd w:val="clear" w:color="auto" w:fill="auto"/>
            <w:vAlign w:val="center"/>
            <w:hideMark/>
          </w:tcPr>
          <w:p w14:paraId="1AC05BB3" w14:textId="77777777" w:rsidR="00A7393F" w:rsidRPr="00662CA8" w:rsidRDefault="00A7393F" w:rsidP="00A7393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资本公积</w:t>
            </w:r>
          </w:p>
        </w:tc>
        <w:tc>
          <w:tcPr>
            <w:tcW w:w="966" w:type="pct"/>
            <w:tcBorders>
              <w:top w:val="nil"/>
              <w:left w:val="nil"/>
              <w:bottom w:val="single" w:sz="4" w:space="0" w:color="auto"/>
              <w:right w:val="single" w:sz="4" w:space="0" w:color="auto"/>
            </w:tcBorders>
            <w:shd w:val="clear" w:color="auto" w:fill="auto"/>
          </w:tcPr>
          <w:p w14:paraId="608AA397" w14:textId="55B9EB82" w:rsidR="00A7393F" w:rsidRPr="003C4A0F" w:rsidRDefault="00A7393F" w:rsidP="00A7393F">
            <w:pPr>
              <w:widowControl/>
              <w:jc w:val="right"/>
              <w:rPr>
                <w:rFonts w:ascii="Times New Roman" w:eastAsia="宋体" w:hAnsi="Times New Roman" w:cs="Times New Roman"/>
                <w:color w:val="000000"/>
                <w:kern w:val="0"/>
                <w:sz w:val="22"/>
              </w:rPr>
            </w:pPr>
            <w:r w:rsidRPr="00A7393F">
              <w:rPr>
                <w:rFonts w:ascii="Times New Roman" w:eastAsia="宋体" w:hAnsi="Times New Roman" w:cs="Times New Roman"/>
                <w:color w:val="000000"/>
                <w:kern w:val="0"/>
                <w:sz w:val="22"/>
              </w:rPr>
              <w:t xml:space="preserve">1,049,519.21 </w:t>
            </w:r>
          </w:p>
        </w:tc>
      </w:tr>
      <w:tr w:rsidR="00A7393F" w:rsidRPr="00662CA8" w14:paraId="0D3A3BD8"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7EF8EF9A" w14:textId="77777777" w:rsidR="00A7393F" w:rsidRPr="00662CA8" w:rsidRDefault="00A7393F" w:rsidP="00A7393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3b</w:t>
            </w:r>
          </w:p>
        </w:tc>
        <w:tc>
          <w:tcPr>
            <w:tcW w:w="3714" w:type="pct"/>
            <w:tcBorders>
              <w:top w:val="nil"/>
              <w:left w:val="nil"/>
              <w:bottom w:val="single" w:sz="4" w:space="0" w:color="auto"/>
              <w:right w:val="single" w:sz="4" w:space="0" w:color="auto"/>
            </w:tcBorders>
            <w:shd w:val="clear" w:color="auto" w:fill="auto"/>
            <w:vAlign w:val="center"/>
            <w:hideMark/>
          </w:tcPr>
          <w:p w14:paraId="2F0CD53E" w14:textId="77777777" w:rsidR="00A7393F" w:rsidRPr="00662CA8" w:rsidRDefault="00A7393F" w:rsidP="00A7393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w:t>
            </w:r>
          </w:p>
        </w:tc>
        <w:tc>
          <w:tcPr>
            <w:tcW w:w="966" w:type="pct"/>
            <w:tcBorders>
              <w:top w:val="nil"/>
              <w:left w:val="nil"/>
              <w:bottom w:val="single" w:sz="4" w:space="0" w:color="auto"/>
              <w:right w:val="single" w:sz="4" w:space="0" w:color="auto"/>
            </w:tcBorders>
            <w:shd w:val="clear" w:color="auto" w:fill="auto"/>
          </w:tcPr>
          <w:p w14:paraId="1A5D6D63" w14:textId="2C853814" w:rsidR="00A7393F" w:rsidRPr="003C4A0F" w:rsidRDefault="00A7393F" w:rsidP="00A7393F">
            <w:pPr>
              <w:widowControl/>
              <w:jc w:val="right"/>
              <w:rPr>
                <w:rFonts w:ascii="Times New Roman" w:eastAsia="宋体" w:hAnsi="Times New Roman" w:cs="Times New Roman"/>
                <w:color w:val="000000"/>
                <w:kern w:val="0"/>
                <w:sz w:val="22"/>
              </w:rPr>
            </w:pPr>
            <w:r w:rsidRPr="00A7393F">
              <w:rPr>
                <w:rFonts w:ascii="Times New Roman" w:eastAsia="宋体" w:hAnsi="Times New Roman" w:cs="Times New Roman"/>
                <w:color w:val="000000"/>
                <w:kern w:val="0"/>
                <w:sz w:val="22"/>
              </w:rPr>
              <w:t xml:space="preserve">59,557.50 </w:t>
            </w:r>
          </w:p>
        </w:tc>
      </w:tr>
      <w:tr w:rsidR="003C2EC0" w:rsidRPr="00662CA8" w14:paraId="3643160B"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center"/>
            <w:hideMark/>
          </w:tcPr>
          <w:p w14:paraId="0E168EE2" w14:textId="77777777" w:rsidR="003C2EC0" w:rsidRPr="00662CA8" w:rsidRDefault="003C2EC0" w:rsidP="003C2EC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w:t>
            </w:r>
          </w:p>
        </w:tc>
        <w:tc>
          <w:tcPr>
            <w:tcW w:w="3714" w:type="pct"/>
            <w:tcBorders>
              <w:top w:val="nil"/>
              <w:left w:val="nil"/>
              <w:bottom w:val="single" w:sz="4" w:space="0" w:color="auto"/>
              <w:right w:val="single" w:sz="4" w:space="0" w:color="auto"/>
            </w:tcBorders>
            <w:shd w:val="clear" w:color="auto" w:fill="auto"/>
            <w:vAlign w:val="center"/>
            <w:hideMark/>
          </w:tcPr>
          <w:p w14:paraId="12743D89" w14:textId="77777777" w:rsidR="003C2EC0" w:rsidRPr="00662CA8" w:rsidRDefault="003C2EC0" w:rsidP="003C2EC0">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过渡期内可计入核心一级资本数额（仅适用于非股份公司，股份制公司的银行填</w:t>
            </w:r>
            <w:r w:rsidRPr="00662CA8">
              <w:rPr>
                <w:rFonts w:ascii="Times New Roman" w:eastAsia="宋体" w:hAnsi="Times New Roman" w:cs="Times New Roman"/>
                <w:color w:val="000000"/>
                <w:kern w:val="0"/>
                <w:sz w:val="22"/>
              </w:rPr>
              <w:t>0</w:t>
            </w:r>
            <w:r w:rsidRPr="00662CA8">
              <w:rPr>
                <w:rFonts w:ascii="Times New Roman" w:eastAsia="宋体" w:hAnsi="Times New Roman" w:cs="Times New Roman"/>
                <w:color w:val="000000"/>
                <w:kern w:val="0"/>
                <w:sz w:val="22"/>
              </w:rPr>
              <w:t>即可）</w:t>
            </w:r>
          </w:p>
        </w:tc>
        <w:tc>
          <w:tcPr>
            <w:tcW w:w="966" w:type="pct"/>
            <w:tcBorders>
              <w:top w:val="nil"/>
              <w:left w:val="nil"/>
              <w:bottom w:val="single" w:sz="4" w:space="0" w:color="auto"/>
              <w:right w:val="single" w:sz="4" w:space="0" w:color="auto"/>
            </w:tcBorders>
            <w:shd w:val="clear" w:color="auto" w:fill="auto"/>
          </w:tcPr>
          <w:p w14:paraId="1069648C" w14:textId="004F7635" w:rsidR="003C2EC0" w:rsidRPr="003C4A0F" w:rsidRDefault="003C2EC0" w:rsidP="003C2EC0">
            <w:pPr>
              <w:widowControl/>
              <w:jc w:val="right"/>
              <w:rPr>
                <w:rFonts w:ascii="Times New Roman" w:eastAsia="宋体" w:hAnsi="Times New Roman" w:cs="Times New Roman"/>
                <w:color w:val="000000"/>
                <w:kern w:val="0"/>
                <w:sz w:val="22"/>
              </w:rPr>
            </w:pPr>
            <w:r w:rsidRPr="003C2EC0">
              <w:rPr>
                <w:rFonts w:ascii="Times New Roman" w:eastAsia="宋体" w:hAnsi="Times New Roman" w:cs="Times New Roman"/>
                <w:color w:val="000000"/>
                <w:kern w:val="0"/>
                <w:sz w:val="22"/>
              </w:rPr>
              <w:t xml:space="preserve">- </w:t>
            </w:r>
          </w:p>
        </w:tc>
      </w:tr>
      <w:tr w:rsidR="00A7393F" w:rsidRPr="00662CA8" w14:paraId="37F712F5"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46B16CE7" w14:textId="77777777" w:rsidR="00A7393F" w:rsidRPr="00662CA8" w:rsidRDefault="00A7393F" w:rsidP="00A7393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w:t>
            </w:r>
          </w:p>
        </w:tc>
        <w:tc>
          <w:tcPr>
            <w:tcW w:w="3714" w:type="pct"/>
            <w:tcBorders>
              <w:top w:val="nil"/>
              <w:left w:val="nil"/>
              <w:bottom w:val="single" w:sz="4" w:space="0" w:color="auto"/>
              <w:right w:val="single" w:sz="4" w:space="0" w:color="auto"/>
            </w:tcBorders>
            <w:shd w:val="clear" w:color="auto" w:fill="auto"/>
            <w:vAlign w:val="center"/>
            <w:hideMark/>
          </w:tcPr>
          <w:p w14:paraId="1FABA9A5" w14:textId="77777777" w:rsidR="00A7393F" w:rsidRPr="00662CA8" w:rsidRDefault="00A7393F" w:rsidP="00A7393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少数股东资本可计入部分</w:t>
            </w:r>
          </w:p>
        </w:tc>
        <w:tc>
          <w:tcPr>
            <w:tcW w:w="966" w:type="pct"/>
            <w:tcBorders>
              <w:top w:val="nil"/>
              <w:left w:val="nil"/>
              <w:bottom w:val="single" w:sz="4" w:space="0" w:color="auto"/>
              <w:right w:val="single" w:sz="4" w:space="0" w:color="auto"/>
            </w:tcBorders>
            <w:shd w:val="clear" w:color="auto" w:fill="auto"/>
          </w:tcPr>
          <w:p w14:paraId="1797DC9C" w14:textId="39E38173" w:rsidR="00A7393F" w:rsidRPr="003C4A0F" w:rsidRDefault="00A7393F" w:rsidP="00A7393F">
            <w:pPr>
              <w:widowControl/>
              <w:jc w:val="right"/>
              <w:rPr>
                <w:rFonts w:ascii="Times New Roman" w:eastAsia="宋体" w:hAnsi="Times New Roman" w:cs="Times New Roman"/>
                <w:color w:val="000000"/>
                <w:kern w:val="0"/>
                <w:sz w:val="22"/>
              </w:rPr>
            </w:pPr>
            <w:r w:rsidRPr="00A7393F">
              <w:rPr>
                <w:rFonts w:ascii="Times New Roman" w:eastAsia="宋体" w:hAnsi="Times New Roman" w:cs="Times New Roman"/>
                <w:color w:val="000000"/>
                <w:kern w:val="0"/>
                <w:sz w:val="22"/>
              </w:rPr>
              <w:t xml:space="preserve">105,168.98 </w:t>
            </w:r>
          </w:p>
        </w:tc>
      </w:tr>
      <w:tr w:rsidR="00A7393F" w:rsidRPr="00662CA8" w14:paraId="597DE157"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C9F0305" w14:textId="77777777" w:rsidR="00A7393F" w:rsidRPr="00662CA8" w:rsidRDefault="00A7393F" w:rsidP="00A7393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6</w:t>
            </w:r>
          </w:p>
        </w:tc>
        <w:tc>
          <w:tcPr>
            <w:tcW w:w="3714" w:type="pct"/>
            <w:tcBorders>
              <w:top w:val="nil"/>
              <w:left w:val="nil"/>
              <w:bottom w:val="single" w:sz="4" w:space="0" w:color="auto"/>
              <w:right w:val="single" w:sz="4" w:space="0" w:color="auto"/>
            </w:tcBorders>
            <w:shd w:val="clear" w:color="auto" w:fill="auto"/>
            <w:vAlign w:val="center"/>
            <w:hideMark/>
          </w:tcPr>
          <w:p w14:paraId="1B438B45" w14:textId="77777777" w:rsidR="00A7393F" w:rsidRPr="00662CA8" w:rsidRDefault="00A7393F" w:rsidP="00A7393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监管调整前的核心一级资本</w:t>
            </w:r>
          </w:p>
        </w:tc>
        <w:tc>
          <w:tcPr>
            <w:tcW w:w="966" w:type="pct"/>
            <w:tcBorders>
              <w:top w:val="nil"/>
              <w:left w:val="nil"/>
              <w:bottom w:val="single" w:sz="4" w:space="0" w:color="auto"/>
              <w:right w:val="single" w:sz="4" w:space="0" w:color="auto"/>
            </w:tcBorders>
            <w:shd w:val="clear" w:color="auto" w:fill="auto"/>
          </w:tcPr>
          <w:p w14:paraId="09428F3E" w14:textId="124D28C2" w:rsidR="00A7393F" w:rsidRPr="003C4A0F" w:rsidRDefault="00A7393F" w:rsidP="00A7393F">
            <w:pPr>
              <w:widowControl/>
              <w:jc w:val="right"/>
              <w:rPr>
                <w:rFonts w:ascii="Times New Roman" w:eastAsia="宋体" w:hAnsi="Times New Roman" w:cs="Times New Roman"/>
                <w:color w:val="000000"/>
                <w:kern w:val="0"/>
                <w:sz w:val="22"/>
              </w:rPr>
            </w:pPr>
            <w:r w:rsidRPr="00A7393F">
              <w:rPr>
                <w:rFonts w:ascii="Times New Roman" w:eastAsia="宋体" w:hAnsi="Times New Roman" w:cs="Times New Roman"/>
                <w:color w:val="000000"/>
                <w:kern w:val="0"/>
                <w:sz w:val="22"/>
              </w:rPr>
              <w:t xml:space="preserve">3,476,500.35 </w:t>
            </w:r>
          </w:p>
        </w:tc>
      </w:tr>
      <w:tr w:rsidR="00AB6D2C" w:rsidRPr="00662CA8" w14:paraId="6B9D7638" w14:textId="77777777"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14:paraId="4D3A99B3" w14:textId="77777777"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核心一级资本：监管调整</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5C2752B9" w14:textId="77777777" w:rsidR="00AB6D2C" w:rsidRPr="00390D01" w:rsidRDefault="00AB6D2C"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 xml:space="preserve">　</w:t>
            </w:r>
          </w:p>
        </w:tc>
      </w:tr>
      <w:tr w:rsidR="003C2EC0" w:rsidRPr="00662CA8" w14:paraId="23649943"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2CD3B95" w14:textId="77777777" w:rsidR="003C2EC0" w:rsidRPr="00662CA8" w:rsidRDefault="003C2EC0" w:rsidP="003C2EC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w:t>
            </w:r>
          </w:p>
        </w:tc>
        <w:tc>
          <w:tcPr>
            <w:tcW w:w="3714" w:type="pct"/>
            <w:tcBorders>
              <w:top w:val="nil"/>
              <w:left w:val="nil"/>
              <w:bottom w:val="single" w:sz="4" w:space="0" w:color="auto"/>
              <w:right w:val="single" w:sz="4" w:space="0" w:color="auto"/>
            </w:tcBorders>
            <w:shd w:val="clear" w:color="auto" w:fill="auto"/>
            <w:vAlign w:val="center"/>
            <w:hideMark/>
          </w:tcPr>
          <w:p w14:paraId="667372B5" w14:textId="77777777" w:rsidR="003C2EC0" w:rsidRPr="00662CA8" w:rsidRDefault="003C2EC0" w:rsidP="003C2EC0">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审慎估值调整</w:t>
            </w:r>
          </w:p>
        </w:tc>
        <w:tc>
          <w:tcPr>
            <w:tcW w:w="966" w:type="pct"/>
            <w:tcBorders>
              <w:top w:val="nil"/>
              <w:left w:val="nil"/>
              <w:bottom w:val="single" w:sz="4" w:space="0" w:color="auto"/>
              <w:right w:val="single" w:sz="4" w:space="0" w:color="auto"/>
            </w:tcBorders>
            <w:shd w:val="clear" w:color="auto" w:fill="auto"/>
          </w:tcPr>
          <w:p w14:paraId="760470B4" w14:textId="3DCF269F" w:rsidR="003C2EC0" w:rsidRPr="003C4A0F" w:rsidRDefault="003C2EC0" w:rsidP="003C2EC0">
            <w:pPr>
              <w:widowControl/>
              <w:jc w:val="right"/>
              <w:rPr>
                <w:rFonts w:ascii="Times New Roman" w:eastAsia="宋体" w:hAnsi="Times New Roman" w:cs="Times New Roman"/>
                <w:color w:val="000000"/>
                <w:kern w:val="0"/>
                <w:sz w:val="22"/>
              </w:rPr>
            </w:pPr>
            <w:r w:rsidRPr="003C2EC0">
              <w:rPr>
                <w:rFonts w:ascii="Times New Roman" w:eastAsia="宋体" w:hAnsi="Times New Roman" w:cs="Times New Roman"/>
                <w:color w:val="000000"/>
                <w:kern w:val="0"/>
                <w:sz w:val="22"/>
              </w:rPr>
              <w:t xml:space="preserve">- </w:t>
            </w:r>
          </w:p>
        </w:tc>
      </w:tr>
      <w:tr w:rsidR="003C2EC0" w:rsidRPr="00662CA8" w14:paraId="2313D58E"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65585A28" w14:textId="77777777" w:rsidR="003C2EC0" w:rsidRPr="00662CA8" w:rsidRDefault="003C2EC0" w:rsidP="003C2EC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8</w:t>
            </w:r>
          </w:p>
        </w:tc>
        <w:tc>
          <w:tcPr>
            <w:tcW w:w="3714" w:type="pct"/>
            <w:tcBorders>
              <w:top w:val="nil"/>
              <w:left w:val="nil"/>
              <w:bottom w:val="single" w:sz="4" w:space="0" w:color="auto"/>
              <w:right w:val="single" w:sz="4" w:space="0" w:color="auto"/>
            </w:tcBorders>
            <w:shd w:val="clear" w:color="auto" w:fill="auto"/>
            <w:vAlign w:val="center"/>
            <w:hideMark/>
          </w:tcPr>
          <w:p w14:paraId="0987A0ED" w14:textId="77777777" w:rsidR="003C2EC0" w:rsidRPr="00662CA8" w:rsidRDefault="003C2EC0" w:rsidP="003C2EC0">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商誉（扣除递延税负债）</w:t>
            </w:r>
          </w:p>
        </w:tc>
        <w:tc>
          <w:tcPr>
            <w:tcW w:w="966" w:type="pct"/>
            <w:tcBorders>
              <w:top w:val="nil"/>
              <w:left w:val="nil"/>
              <w:bottom w:val="single" w:sz="4" w:space="0" w:color="auto"/>
              <w:right w:val="single" w:sz="4" w:space="0" w:color="auto"/>
            </w:tcBorders>
            <w:shd w:val="clear" w:color="auto" w:fill="auto"/>
          </w:tcPr>
          <w:p w14:paraId="33356942" w14:textId="3A254821" w:rsidR="003C2EC0" w:rsidRPr="003C4A0F" w:rsidRDefault="003C2EC0" w:rsidP="003C2EC0">
            <w:pPr>
              <w:widowControl/>
              <w:jc w:val="right"/>
              <w:rPr>
                <w:rFonts w:ascii="Times New Roman" w:eastAsia="宋体" w:hAnsi="Times New Roman" w:cs="Times New Roman"/>
                <w:color w:val="000000"/>
                <w:kern w:val="0"/>
                <w:sz w:val="22"/>
              </w:rPr>
            </w:pPr>
            <w:r w:rsidRPr="003C2EC0">
              <w:rPr>
                <w:rFonts w:ascii="Times New Roman" w:eastAsia="宋体" w:hAnsi="Times New Roman" w:cs="Times New Roman"/>
                <w:color w:val="000000"/>
                <w:kern w:val="0"/>
                <w:sz w:val="22"/>
              </w:rPr>
              <w:t xml:space="preserve">- </w:t>
            </w:r>
          </w:p>
        </w:tc>
      </w:tr>
      <w:tr w:rsidR="003C2EC0" w:rsidRPr="00662CA8" w14:paraId="093DAA05"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4AF4747D" w14:textId="77777777" w:rsidR="003C2EC0" w:rsidRPr="00662CA8" w:rsidRDefault="003C2EC0" w:rsidP="003C2EC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9</w:t>
            </w:r>
          </w:p>
        </w:tc>
        <w:tc>
          <w:tcPr>
            <w:tcW w:w="3714" w:type="pct"/>
            <w:tcBorders>
              <w:top w:val="nil"/>
              <w:left w:val="nil"/>
              <w:bottom w:val="single" w:sz="4" w:space="0" w:color="auto"/>
              <w:right w:val="single" w:sz="4" w:space="0" w:color="auto"/>
            </w:tcBorders>
            <w:shd w:val="clear" w:color="auto" w:fill="auto"/>
            <w:vAlign w:val="center"/>
            <w:hideMark/>
          </w:tcPr>
          <w:p w14:paraId="1F25B954" w14:textId="77777777" w:rsidR="003C2EC0" w:rsidRPr="00662CA8" w:rsidRDefault="003C2EC0" w:rsidP="003C2EC0">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其他无形资产（土地使用权除外）（扣除递延税负债）</w:t>
            </w:r>
          </w:p>
        </w:tc>
        <w:tc>
          <w:tcPr>
            <w:tcW w:w="966" w:type="pct"/>
            <w:tcBorders>
              <w:top w:val="nil"/>
              <w:left w:val="nil"/>
              <w:bottom w:val="single" w:sz="4" w:space="0" w:color="auto"/>
              <w:right w:val="single" w:sz="4" w:space="0" w:color="auto"/>
            </w:tcBorders>
            <w:shd w:val="clear" w:color="auto" w:fill="auto"/>
          </w:tcPr>
          <w:p w14:paraId="05437DCC" w14:textId="70BF126D" w:rsidR="003C2EC0" w:rsidRPr="003C4A0F" w:rsidRDefault="00A7393F" w:rsidP="003C2EC0">
            <w:pPr>
              <w:widowControl/>
              <w:jc w:val="right"/>
              <w:rPr>
                <w:rFonts w:ascii="Times New Roman" w:eastAsia="宋体" w:hAnsi="Times New Roman" w:cs="Times New Roman"/>
                <w:color w:val="000000"/>
                <w:kern w:val="0"/>
                <w:sz w:val="22"/>
              </w:rPr>
            </w:pPr>
            <w:r w:rsidRPr="00A7393F">
              <w:rPr>
                <w:rFonts w:ascii="Times New Roman" w:eastAsia="宋体" w:hAnsi="Times New Roman" w:cs="Times New Roman"/>
                <w:color w:val="000000"/>
                <w:kern w:val="0"/>
                <w:sz w:val="22"/>
              </w:rPr>
              <w:t xml:space="preserve">24,733.17 </w:t>
            </w:r>
            <w:r w:rsidR="003C2EC0" w:rsidRPr="003C2EC0">
              <w:rPr>
                <w:rFonts w:ascii="Times New Roman" w:eastAsia="宋体" w:hAnsi="Times New Roman" w:cs="Times New Roman"/>
                <w:color w:val="000000"/>
                <w:kern w:val="0"/>
                <w:sz w:val="22"/>
              </w:rPr>
              <w:t xml:space="preserve"> </w:t>
            </w:r>
          </w:p>
        </w:tc>
      </w:tr>
      <w:tr w:rsidR="003C2EC0" w:rsidRPr="00662CA8" w14:paraId="165ADFA7"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DB02A0E" w14:textId="77777777" w:rsidR="003C2EC0" w:rsidRPr="00662CA8" w:rsidRDefault="003C2EC0" w:rsidP="003C2EC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10</w:t>
            </w:r>
          </w:p>
        </w:tc>
        <w:tc>
          <w:tcPr>
            <w:tcW w:w="3714" w:type="pct"/>
            <w:tcBorders>
              <w:top w:val="nil"/>
              <w:left w:val="nil"/>
              <w:bottom w:val="single" w:sz="4" w:space="0" w:color="auto"/>
              <w:right w:val="single" w:sz="4" w:space="0" w:color="auto"/>
            </w:tcBorders>
            <w:shd w:val="clear" w:color="auto" w:fill="auto"/>
            <w:vAlign w:val="center"/>
            <w:hideMark/>
          </w:tcPr>
          <w:p w14:paraId="0A4A2352" w14:textId="77777777" w:rsidR="003C2EC0" w:rsidRPr="00662CA8" w:rsidRDefault="003C2EC0" w:rsidP="003C2EC0">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依赖未来盈利的由经营亏损引起的净递延税资产</w:t>
            </w:r>
          </w:p>
        </w:tc>
        <w:tc>
          <w:tcPr>
            <w:tcW w:w="966" w:type="pct"/>
            <w:tcBorders>
              <w:top w:val="nil"/>
              <w:left w:val="nil"/>
              <w:bottom w:val="single" w:sz="4" w:space="0" w:color="auto"/>
              <w:right w:val="single" w:sz="4" w:space="0" w:color="auto"/>
            </w:tcBorders>
            <w:shd w:val="clear" w:color="auto" w:fill="auto"/>
          </w:tcPr>
          <w:p w14:paraId="5939B829" w14:textId="323FCF68" w:rsidR="003C2EC0" w:rsidRPr="003C4A0F" w:rsidRDefault="003C2EC0" w:rsidP="003C2EC0">
            <w:pPr>
              <w:widowControl/>
              <w:jc w:val="right"/>
              <w:rPr>
                <w:rFonts w:ascii="Times New Roman" w:eastAsia="宋体" w:hAnsi="Times New Roman" w:cs="Times New Roman"/>
                <w:color w:val="000000"/>
                <w:kern w:val="0"/>
                <w:sz w:val="22"/>
              </w:rPr>
            </w:pPr>
            <w:r w:rsidRPr="003C2EC0">
              <w:rPr>
                <w:rFonts w:ascii="Times New Roman" w:eastAsia="宋体" w:hAnsi="Times New Roman" w:cs="Times New Roman"/>
                <w:color w:val="000000"/>
                <w:kern w:val="0"/>
                <w:sz w:val="22"/>
              </w:rPr>
              <w:t xml:space="preserve">- </w:t>
            </w:r>
          </w:p>
        </w:tc>
      </w:tr>
      <w:tr w:rsidR="003C2EC0" w:rsidRPr="00662CA8" w14:paraId="57275F17"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3742CC94" w14:textId="77777777" w:rsidR="003C2EC0" w:rsidRPr="00662CA8" w:rsidRDefault="003C2EC0" w:rsidP="003C2EC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11</w:t>
            </w:r>
          </w:p>
        </w:tc>
        <w:tc>
          <w:tcPr>
            <w:tcW w:w="3714" w:type="pct"/>
            <w:tcBorders>
              <w:top w:val="nil"/>
              <w:left w:val="nil"/>
              <w:bottom w:val="single" w:sz="4" w:space="0" w:color="auto"/>
              <w:right w:val="single" w:sz="4" w:space="0" w:color="auto"/>
            </w:tcBorders>
            <w:shd w:val="clear" w:color="auto" w:fill="auto"/>
            <w:vAlign w:val="center"/>
            <w:hideMark/>
          </w:tcPr>
          <w:p w14:paraId="18AF2B7A" w14:textId="77777777" w:rsidR="003C2EC0" w:rsidRPr="00662CA8" w:rsidRDefault="003C2EC0" w:rsidP="003C2EC0">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对未按公允价值计量的项目进行现金流套期形成的储备</w:t>
            </w:r>
          </w:p>
        </w:tc>
        <w:tc>
          <w:tcPr>
            <w:tcW w:w="966" w:type="pct"/>
            <w:tcBorders>
              <w:top w:val="nil"/>
              <w:left w:val="nil"/>
              <w:bottom w:val="single" w:sz="4" w:space="0" w:color="auto"/>
              <w:right w:val="single" w:sz="4" w:space="0" w:color="auto"/>
            </w:tcBorders>
            <w:shd w:val="clear" w:color="auto" w:fill="auto"/>
          </w:tcPr>
          <w:p w14:paraId="13239567" w14:textId="2CABED46" w:rsidR="003C2EC0" w:rsidRPr="003C4A0F" w:rsidRDefault="003C2EC0" w:rsidP="003C2EC0">
            <w:pPr>
              <w:widowControl/>
              <w:jc w:val="right"/>
              <w:rPr>
                <w:rFonts w:ascii="Times New Roman" w:eastAsia="宋体" w:hAnsi="Times New Roman" w:cs="Times New Roman"/>
                <w:color w:val="000000"/>
                <w:kern w:val="0"/>
                <w:sz w:val="22"/>
              </w:rPr>
            </w:pPr>
            <w:r w:rsidRPr="003C2EC0">
              <w:rPr>
                <w:rFonts w:ascii="Times New Roman" w:eastAsia="宋体" w:hAnsi="Times New Roman" w:cs="Times New Roman"/>
                <w:color w:val="000000"/>
                <w:kern w:val="0"/>
                <w:sz w:val="22"/>
              </w:rPr>
              <w:t xml:space="preserve">- </w:t>
            </w:r>
          </w:p>
        </w:tc>
      </w:tr>
      <w:tr w:rsidR="003C2EC0" w:rsidRPr="00662CA8" w14:paraId="60E54299"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C77EAEC" w14:textId="77777777" w:rsidR="003C2EC0" w:rsidRPr="00662CA8" w:rsidRDefault="003C2EC0" w:rsidP="003C2EC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12</w:t>
            </w:r>
          </w:p>
        </w:tc>
        <w:tc>
          <w:tcPr>
            <w:tcW w:w="3714" w:type="pct"/>
            <w:tcBorders>
              <w:top w:val="nil"/>
              <w:left w:val="nil"/>
              <w:bottom w:val="single" w:sz="4" w:space="0" w:color="auto"/>
              <w:right w:val="single" w:sz="4" w:space="0" w:color="auto"/>
            </w:tcBorders>
            <w:shd w:val="clear" w:color="auto" w:fill="auto"/>
            <w:vAlign w:val="center"/>
            <w:hideMark/>
          </w:tcPr>
          <w:p w14:paraId="3F7C12FC" w14:textId="77777777" w:rsidR="003C2EC0" w:rsidRPr="00662CA8" w:rsidRDefault="003C2EC0" w:rsidP="003C2EC0">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贷款损失准备缺口</w:t>
            </w:r>
          </w:p>
        </w:tc>
        <w:tc>
          <w:tcPr>
            <w:tcW w:w="966" w:type="pct"/>
            <w:tcBorders>
              <w:top w:val="nil"/>
              <w:left w:val="nil"/>
              <w:bottom w:val="single" w:sz="4" w:space="0" w:color="auto"/>
              <w:right w:val="single" w:sz="4" w:space="0" w:color="auto"/>
            </w:tcBorders>
            <w:shd w:val="clear" w:color="auto" w:fill="auto"/>
          </w:tcPr>
          <w:p w14:paraId="15F130AE" w14:textId="3A781B03" w:rsidR="003C2EC0" w:rsidRPr="003C4A0F" w:rsidRDefault="003C2EC0" w:rsidP="003C2EC0">
            <w:pPr>
              <w:widowControl/>
              <w:jc w:val="right"/>
              <w:rPr>
                <w:rFonts w:ascii="Times New Roman" w:eastAsia="宋体" w:hAnsi="Times New Roman" w:cs="Times New Roman"/>
                <w:color w:val="000000"/>
                <w:kern w:val="0"/>
                <w:sz w:val="22"/>
              </w:rPr>
            </w:pPr>
            <w:r w:rsidRPr="003C2EC0">
              <w:rPr>
                <w:rFonts w:ascii="Times New Roman" w:eastAsia="宋体" w:hAnsi="Times New Roman" w:cs="Times New Roman"/>
                <w:color w:val="000000"/>
                <w:kern w:val="0"/>
                <w:sz w:val="22"/>
              </w:rPr>
              <w:t xml:space="preserve">- </w:t>
            </w:r>
          </w:p>
        </w:tc>
      </w:tr>
      <w:tr w:rsidR="003C2EC0" w:rsidRPr="00662CA8" w14:paraId="405C880E"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5638DB0C" w14:textId="77777777" w:rsidR="003C2EC0" w:rsidRPr="00662CA8" w:rsidRDefault="003C2EC0" w:rsidP="003C2EC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13</w:t>
            </w:r>
          </w:p>
        </w:tc>
        <w:tc>
          <w:tcPr>
            <w:tcW w:w="3714" w:type="pct"/>
            <w:tcBorders>
              <w:top w:val="nil"/>
              <w:left w:val="nil"/>
              <w:bottom w:val="single" w:sz="4" w:space="0" w:color="auto"/>
              <w:right w:val="single" w:sz="4" w:space="0" w:color="auto"/>
            </w:tcBorders>
            <w:shd w:val="clear" w:color="auto" w:fill="auto"/>
            <w:vAlign w:val="center"/>
            <w:hideMark/>
          </w:tcPr>
          <w:p w14:paraId="5E3831AD" w14:textId="77777777" w:rsidR="003C2EC0" w:rsidRPr="00662CA8" w:rsidRDefault="003C2EC0" w:rsidP="003C2EC0">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资产证券化销售利得</w:t>
            </w:r>
          </w:p>
        </w:tc>
        <w:tc>
          <w:tcPr>
            <w:tcW w:w="966" w:type="pct"/>
            <w:tcBorders>
              <w:top w:val="nil"/>
              <w:left w:val="nil"/>
              <w:bottom w:val="single" w:sz="4" w:space="0" w:color="auto"/>
              <w:right w:val="single" w:sz="4" w:space="0" w:color="auto"/>
            </w:tcBorders>
            <w:shd w:val="clear" w:color="auto" w:fill="auto"/>
          </w:tcPr>
          <w:p w14:paraId="2CD69D47" w14:textId="1E674F38" w:rsidR="003C2EC0" w:rsidRPr="003C4A0F" w:rsidRDefault="003C2EC0" w:rsidP="003C2EC0">
            <w:pPr>
              <w:widowControl/>
              <w:jc w:val="right"/>
              <w:rPr>
                <w:rFonts w:ascii="Times New Roman" w:eastAsia="宋体" w:hAnsi="Times New Roman" w:cs="Times New Roman"/>
                <w:color w:val="000000"/>
                <w:kern w:val="0"/>
                <w:sz w:val="22"/>
              </w:rPr>
            </w:pPr>
            <w:r w:rsidRPr="003C2EC0">
              <w:rPr>
                <w:rFonts w:ascii="Times New Roman" w:eastAsia="宋体" w:hAnsi="Times New Roman" w:cs="Times New Roman"/>
                <w:color w:val="000000"/>
                <w:kern w:val="0"/>
                <w:sz w:val="22"/>
              </w:rPr>
              <w:t xml:space="preserve">- </w:t>
            </w:r>
          </w:p>
        </w:tc>
      </w:tr>
      <w:tr w:rsidR="003C2EC0" w:rsidRPr="00662CA8" w14:paraId="3939630B"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38DC6411" w14:textId="77777777" w:rsidR="003C2EC0" w:rsidRPr="00662CA8" w:rsidRDefault="003C2EC0" w:rsidP="003C2EC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14</w:t>
            </w:r>
          </w:p>
        </w:tc>
        <w:tc>
          <w:tcPr>
            <w:tcW w:w="3714" w:type="pct"/>
            <w:tcBorders>
              <w:top w:val="nil"/>
              <w:left w:val="nil"/>
              <w:bottom w:val="single" w:sz="4" w:space="0" w:color="auto"/>
              <w:right w:val="single" w:sz="4" w:space="0" w:color="auto"/>
            </w:tcBorders>
            <w:shd w:val="clear" w:color="auto" w:fill="auto"/>
            <w:vAlign w:val="center"/>
            <w:hideMark/>
          </w:tcPr>
          <w:p w14:paraId="79F7B7FD" w14:textId="77777777" w:rsidR="003C2EC0" w:rsidRPr="00662CA8" w:rsidRDefault="003C2EC0" w:rsidP="003C2EC0">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自身信用风险变化导致其负债公允价值变化带来的未实现损益</w:t>
            </w:r>
          </w:p>
        </w:tc>
        <w:tc>
          <w:tcPr>
            <w:tcW w:w="966" w:type="pct"/>
            <w:tcBorders>
              <w:top w:val="nil"/>
              <w:left w:val="nil"/>
              <w:bottom w:val="single" w:sz="4" w:space="0" w:color="auto"/>
              <w:right w:val="single" w:sz="4" w:space="0" w:color="auto"/>
            </w:tcBorders>
            <w:shd w:val="clear" w:color="auto" w:fill="auto"/>
          </w:tcPr>
          <w:p w14:paraId="2F5A609E" w14:textId="28734EAE" w:rsidR="003C2EC0" w:rsidRPr="003C4A0F" w:rsidRDefault="003C2EC0" w:rsidP="003C2EC0">
            <w:pPr>
              <w:widowControl/>
              <w:jc w:val="right"/>
              <w:rPr>
                <w:rFonts w:ascii="Times New Roman" w:eastAsia="宋体" w:hAnsi="Times New Roman" w:cs="Times New Roman"/>
                <w:color w:val="000000"/>
                <w:kern w:val="0"/>
                <w:sz w:val="22"/>
              </w:rPr>
            </w:pPr>
            <w:r w:rsidRPr="003C2EC0">
              <w:rPr>
                <w:rFonts w:ascii="Times New Roman" w:eastAsia="宋体" w:hAnsi="Times New Roman" w:cs="Times New Roman"/>
                <w:color w:val="000000"/>
                <w:kern w:val="0"/>
                <w:sz w:val="22"/>
              </w:rPr>
              <w:t xml:space="preserve">- </w:t>
            </w:r>
          </w:p>
        </w:tc>
      </w:tr>
      <w:tr w:rsidR="003C2EC0" w:rsidRPr="00662CA8" w14:paraId="3BAC05D6"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69996812" w14:textId="77777777" w:rsidR="003C2EC0" w:rsidRPr="00662CA8" w:rsidRDefault="003C2EC0" w:rsidP="003C2EC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15</w:t>
            </w:r>
          </w:p>
        </w:tc>
        <w:tc>
          <w:tcPr>
            <w:tcW w:w="3714" w:type="pct"/>
            <w:tcBorders>
              <w:top w:val="nil"/>
              <w:left w:val="nil"/>
              <w:bottom w:val="single" w:sz="4" w:space="0" w:color="auto"/>
              <w:right w:val="single" w:sz="4" w:space="0" w:color="auto"/>
            </w:tcBorders>
            <w:shd w:val="clear" w:color="auto" w:fill="auto"/>
            <w:vAlign w:val="center"/>
            <w:hideMark/>
          </w:tcPr>
          <w:p w14:paraId="3D3A7AE4" w14:textId="77777777" w:rsidR="003C2EC0" w:rsidRPr="00662CA8" w:rsidRDefault="003C2EC0" w:rsidP="003C2EC0">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确定受益类的养老金资产净额（扣除递延税项负债）</w:t>
            </w:r>
          </w:p>
        </w:tc>
        <w:tc>
          <w:tcPr>
            <w:tcW w:w="966" w:type="pct"/>
            <w:tcBorders>
              <w:top w:val="nil"/>
              <w:left w:val="nil"/>
              <w:bottom w:val="single" w:sz="4" w:space="0" w:color="auto"/>
              <w:right w:val="single" w:sz="4" w:space="0" w:color="auto"/>
            </w:tcBorders>
            <w:shd w:val="clear" w:color="auto" w:fill="auto"/>
          </w:tcPr>
          <w:p w14:paraId="07895C71" w14:textId="50298D50" w:rsidR="003C2EC0" w:rsidRPr="003C4A0F" w:rsidRDefault="003C2EC0" w:rsidP="003C2EC0">
            <w:pPr>
              <w:widowControl/>
              <w:jc w:val="right"/>
              <w:rPr>
                <w:rFonts w:ascii="Times New Roman" w:eastAsia="宋体" w:hAnsi="Times New Roman" w:cs="Times New Roman"/>
                <w:color w:val="000000"/>
                <w:kern w:val="0"/>
                <w:sz w:val="22"/>
              </w:rPr>
            </w:pPr>
            <w:r w:rsidRPr="003C2EC0">
              <w:rPr>
                <w:rFonts w:ascii="Times New Roman" w:eastAsia="宋体" w:hAnsi="Times New Roman" w:cs="Times New Roman"/>
                <w:color w:val="000000"/>
                <w:kern w:val="0"/>
                <w:sz w:val="22"/>
              </w:rPr>
              <w:t xml:space="preserve">- </w:t>
            </w:r>
          </w:p>
        </w:tc>
      </w:tr>
      <w:tr w:rsidR="003C2EC0" w:rsidRPr="00662CA8" w14:paraId="4D22E51C"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5168B1B7" w14:textId="77777777" w:rsidR="003C2EC0" w:rsidRPr="00662CA8" w:rsidRDefault="003C2EC0" w:rsidP="003C2EC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16</w:t>
            </w:r>
          </w:p>
        </w:tc>
        <w:tc>
          <w:tcPr>
            <w:tcW w:w="3714" w:type="pct"/>
            <w:tcBorders>
              <w:top w:val="nil"/>
              <w:left w:val="nil"/>
              <w:bottom w:val="single" w:sz="4" w:space="0" w:color="auto"/>
              <w:right w:val="single" w:sz="4" w:space="0" w:color="auto"/>
            </w:tcBorders>
            <w:shd w:val="clear" w:color="auto" w:fill="auto"/>
            <w:vAlign w:val="center"/>
            <w:hideMark/>
          </w:tcPr>
          <w:p w14:paraId="3876A48E" w14:textId="77777777" w:rsidR="003C2EC0" w:rsidRPr="00662CA8" w:rsidRDefault="003C2EC0" w:rsidP="003C2EC0">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直接或间接持有本银行的普通股</w:t>
            </w:r>
          </w:p>
        </w:tc>
        <w:tc>
          <w:tcPr>
            <w:tcW w:w="966" w:type="pct"/>
            <w:tcBorders>
              <w:top w:val="nil"/>
              <w:left w:val="nil"/>
              <w:bottom w:val="single" w:sz="4" w:space="0" w:color="auto"/>
              <w:right w:val="single" w:sz="4" w:space="0" w:color="auto"/>
            </w:tcBorders>
            <w:shd w:val="clear" w:color="auto" w:fill="auto"/>
          </w:tcPr>
          <w:p w14:paraId="3A93A4B7" w14:textId="764CC495" w:rsidR="003C2EC0" w:rsidRPr="003C4A0F" w:rsidRDefault="003C2EC0" w:rsidP="003C2EC0">
            <w:pPr>
              <w:widowControl/>
              <w:jc w:val="right"/>
              <w:rPr>
                <w:rFonts w:ascii="Times New Roman" w:eastAsia="宋体" w:hAnsi="Times New Roman" w:cs="Times New Roman"/>
                <w:color w:val="000000"/>
                <w:kern w:val="0"/>
                <w:sz w:val="22"/>
              </w:rPr>
            </w:pPr>
            <w:r w:rsidRPr="003C2EC0">
              <w:rPr>
                <w:rFonts w:ascii="Times New Roman" w:eastAsia="宋体" w:hAnsi="Times New Roman" w:cs="Times New Roman"/>
                <w:color w:val="000000"/>
                <w:kern w:val="0"/>
                <w:sz w:val="22"/>
              </w:rPr>
              <w:t xml:space="preserve">- </w:t>
            </w:r>
          </w:p>
        </w:tc>
      </w:tr>
      <w:tr w:rsidR="003C2EC0" w:rsidRPr="00662CA8" w14:paraId="7D58AEC6"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center"/>
            <w:hideMark/>
          </w:tcPr>
          <w:p w14:paraId="4EBC3AD6" w14:textId="77777777" w:rsidR="003C2EC0" w:rsidRPr="00662CA8" w:rsidRDefault="003C2EC0" w:rsidP="003C2EC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17</w:t>
            </w:r>
          </w:p>
        </w:tc>
        <w:tc>
          <w:tcPr>
            <w:tcW w:w="3714" w:type="pct"/>
            <w:tcBorders>
              <w:top w:val="nil"/>
              <w:left w:val="nil"/>
              <w:bottom w:val="single" w:sz="4" w:space="0" w:color="auto"/>
              <w:right w:val="single" w:sz="4" w:space="0" w:color="auto"/>
            </w:tcBorders>
            <w:shd w:val="clear" w:color="auto" w:fill="auto"/>
            <w:vAlign w:val="center"/>
            <w:hideMark/>
          </w:tcPr>
          <w:p w14:paraId="262A1184" w14:textId="77777777" w:rsidR="003C2EC0" w:rsidRPr="00662CA8" w:rsidRDefault="003C2EC0" w:rsidP="003C2EC0">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银行间或银行与其他金融机构间通过协议相互持有的核心一级资本</w:t>
            </w:r>
          </w:p>
        </w:tc>
        <w:tc>
          <w:tcPr>
            <w:tcW w:w="966" w:type="pct"/>
            <w:tcBorders>
              <w:top w:val="nil"/>
              <w:left w:val="nil"/>
              <w:bottom w:val="single" w:sz="4" w:space="0" w:color="auto"/>
              <w:right w:val="single" w:sz="4" w:space="0" w:color="auto"/>
            </w:tcBorders>
            <w:shd w:val="clear" w:color="auto" w:fill="auto"/>
          </w:tcPr>
          <w:p w14:paraId="36EEAC67" w14:textId="00C2B23C" w:rsidR="003C2EC0" w:rsidRPr="003C4A0F" w:rsidRDefault="003C2EC0" w:rsidP="003C2EC0">
            <w:pPr>
              <w:widowControl/>
              <w:jc w:val="right"/>
              <w:rPr>
                <w:rFonts w:ascii="Times New Roman" w:eastAsia="宋体" w:hAnsi="Times New Roman" w:cs="Times New Roman"/>
                <w:color w:val="000000"/>
                <w:kern w:val="0"/>
                <w:sz w:val="22"/>
              </w:rPr>
            </w:pPr>
            <w:r w:rsidRPr="003C2EC0">
              <w:rPr>
                <w:rFonts w:ascii="Times New Roman" w:eastAsia="宋体" w:hAnsi="Times New Roman" w:cs="Times New Roman"/>
                <w:color w:val="000000"/>
                <w:kern w:val="0"/>
                <w:sz w:val="22"/>
              </w:rPr>
              <w:t xml:space="preserve">- </w:t>
            </w:r>
          </w:p>
        </w:tc>
      </w:tr>
      <w:tr w:rsidR="003C2EC0" w:rsidRPr="00662CA8" w14:paraId="3E7B58AA"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center"/>
            <w:hideMark/>
          </w:tcPr>
          <w:p w14:paraId="4E35ED72" w14:textId="77777777" w:rsidR="003C2EC0" w:rsidRPr="00662CA8" w:rsidRDefault="003C2EC0" w:rsidP="003C2EC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18</w:t>
            </w:r>
          </w:p>
        </w:tc>
        <w:tc>
          <w:tcPr>
            <w:tcW w:w="3714" w:type="pct"/>
            <w:tcBorders>
              <w:top w:val="nil"/>
              <w:left w:val="nil"/>
              <w:bottom w:val="single" w:sz="4" w:space="0" w:color="auto"/>
              <w:right w:val="single" w:sz="4" w:space="0" w:color="auto"/>
            </w:tcBorders>
            <w:shd w:val="clear" w:color="auto" w:fill="auto"/>
            <w:vAlign w:val="center"/>
            <w:hideMark/>
          </w:tcPr>
          <w:p w14:paraId="05E310A6" w14:textId="77777777" w:rsidR="003C2EC0" w:rsidRPr="00662CA8" w:rsidRDefault="003C2EC0" w:rsidP="003C2EC0">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对未并表金融机构小额少数资本投资中的核心一级资本中应扣除金额</w:t>
            </w:r>
          </w:p>
        </w:tc>
        <w:tc>
          <w:tcPr>
            <w:tcW w:w="966" w:type="pct"/>
            <w:tcBorders>
              <w:top w:val="nil"/>
              <w:left w:val="nil"/>
              <w:bottom w:val="single" w:sz="4" w:space="0" w:color="auto"/>
              <w:right w:val="single" w:sz="4" w:space="0" w:color="auto"/>
            </w:tcBorders>
            <w:shd w:val="clear" w:color="auto" w:fill="auto"/>
          </w:tcPr>
          <w:p w14:paraId="730268CC" w14:textId="4BC33DEB" w:rsidR="003C2EC0" w:rsidRPr="003C4A0F" w:rsidRDefault="003C2EC0" w:rsidP="003C2EC0">
            <w:pPr>
              <w:widowControl/>
              <w:jc w:val="right"/>
              <w:rPr>
                <w:rFonts w:ascii="Times New Roman" w:eastAsia="宋体" w:hAnsi="Times New Roman" w:cs="Times New Roman"/>
                <w:color w:val="000000"/>
                <w:kern w:val="0"/>
                <w:sz w:val="22"/>
              </w:rPr>
            </w:pPr>
            <w:r w:rsidRPr="003C2EC0">
              <w:rPr>
                <w:rFonts w:ascii="Times New Roman" w:eastAsia="宋体" w:hAnsi="Times New Roman" w:cs="Times New Roman"/>
                <w:color w:val="000000"/>
                <w:kern w:val="0"/>
                <w:sz w:val="22"/>
              </w:rPr>
              <w:t xml:space="preserve">- </w:t>
            </w:r>
          </w:p>
        </w:tc>
      </w:tr>
      <w:tr w:rsidR="003C2EC0" w:rsidRPr="00662CA8" w14:paraId="27D9082C"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center"/>
            <w:hideMark/>
          </w:tcPr>
          <w:p w14:paraId="1D0543A8" w14:textId="77777777" w:rsidR="003C2EC0" w:rsidRPr="00662CA8" w:rsidRDefault="003C2EC0" w:rsidP="003C2EC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19</w:t>
            </w:r>
          </w:p>
        </w:tc>
        <w:tc>
          <w:tcPr>
            <w:tcW w:w="3714" w:type="pct"/>
            <w:tcBorders>
              <w:top w:val="nil"/>
              <w:left w:val="nil"/>
              <w:bottom w:val="single" w:sz="4" w:space="0" w:color="auto"/>
              <w:right w:val="single" w:sz="4" w:space="0" w:color="auto"/>
            </w:tcBorders>
            <w:shd w:val="clear" w:color="auto" w:fill="auto"/>
            <w:vAlign w:val="center"/>
            <w:hideMark/>
          </w:tcPr>
          <w:p w14:paraId="6E014BF6" w14:textId="77777777" w:rsidR="003C2EC0" w:rsidRPr="00662CA8" w:rsidRDefault="003C2EC0" w:rsidP="003C2EC0">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对未并表金融机构大额少数资本投资中的核心一级资本中应扣除金额</w:t>
            </w:r>
          </w:p>
        </w:tc>
        <w:tc>
          <w:tcPr>
            <w:tcW w:w="966" w:type="pct"/>
            <w:tcBorders>
              <w:top w:val="nil"/>
              <w:left w:val="nil"/>
              <w:bottom w:val="single" w:sz="4" w:space="0" w:color="auto"/>
              <w:right w:val="single" w:sz="4" w:space="0" w:color="auto"/>
            </w:tcBorders>
            <w:shd w:val="clear" w:color="auto" w:fill="auto"/>
          </w:tcPr>
          <w:p w14:paraId="42CC0498" w14:textId="3FBE6E4D" w:rsidR="003C2EC0" w:rsidRPr="003C4A0F" w:rsidRDefault="003C2EC0" w:rsidP="003C2EC0">
            <w:pPr>
              <w:widowControl/>
              <w:jc w:val="right"/>
              <w:rPr>
                <w:rFonts w:ascii="Times New Roman" w:eastAsia="宋体" w:hAnsi="Times New Roman" w:cs="Times New Roman"/>
                <w:color w:val="000000"/>
                <w:kern w:val="0"/>
                <w:sz w:val="22"/>
              </w:rPr>
            </w:pPr>
            <w:r w:rsidRPr="003C2EC0">
              <w:rPr>
                <w:rFonts w:ascii="Times New Roman" w:eastAsia="宋体" w:hAnsi="Times New Roman" w:cs="Times New Roman"/>
                <w:color w:val="000000"/>
                <w:kern w:val="0"/>
                <w:sz w:val="22"/>
              </w:rPr>
              <w:t xml:space="preserve">- </w:t>
            </w:r>
          </w:p>
        </w:tc>
      </w:tr>
      <w:tr w:rsidR="003C2EC0" w:rsidRPr="00662CA8" w14:paraId="1D56D57B"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4C1B485D" w14:textId="77777777" w:rsidR="003C2EC0" w:rsidRPr="00662CA8" w:rsidRDefault="003C2EC0" w:rsidP="003C2EC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20</w:t>
            </w:r>
          </w:p>
        </w:tc>
        <w:tc>
          <w:tcPr>
            <w:tcW w:w="3714" w:type="pct"/>
            <w:tcBorders>
              <w:top w:val="nil"/>
              <w:left w:val="nil"/>
              <w:bottom w:val="single" w:sz="4" w:space="0" w:color="auto"/>
              <w:right w:val="single" w:sz="4" w:space="0" w:color="auto"/>
            </w:tcBorders>
            <w:shd w:val="clear" w:color="auto" w:fill="auto"/>
            <w:vAlign w:val="center"/>
            <w:hideMark/>
          </w:tcPr>
          <w:p w14:paraId="4DB40375" w14:textId="77777777" w:rsidR="003C2EC0" w:rsidRPr="00662CA8" w:rsidRDefault="003C2EC0" w:rsidP="003C2EC0">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抵押贷款服务权</w:t>
            </w:r>
          </w:p>
        </w:tc>
        <w:tc>
          <w:tcPr>
            <w:tcW w:w="966" w:type="pct"/>
            <w:tcBorders>
              <w:top w:val="nil"/>
              <w:left w:val="nil"/>
              <w:bottom w:val="single" w:sz="4" w:space="0" w:color="auto"/>
              <w:right w:val="single" w:sz="4" w:space="0" w:color="auto"/>
            </w:tcBorders>
            <w:shd w:val="clear" w:color="auto" w:fill="auto"/>
          </w:tcPr>
          <w:p w14:paraId="0DF57A05" w14:textId="462F80D9" w:rsidR="003C2EC0" w:rsidRPr="003C4A0F" w:rsidRDefault="003C2EC0" w:rsidP="003C2EC0">
            <w:pPr>
              <w:widowControl/>
              <w:jc w:val="right"/>
              <w:rPr>
                <w:rFonts w:ascii="Times New Roman" w:eastAsia="宋体" w:hAnsi="Times New Roman" w:cs="Times New Roman"/>
                <w:color w:val="000000"/>
                <w:kern w:val="0"/>
                <w:sz w:val="22"/>
              </w:rPr>
            </w:pPr>
            <w:r w:rsidRPr="003C2EC0">
              <w:rPr>
                <w:rFonts w:ascii="Times New Roman" w:eastAsia="宋体" w:hAnsi="Times New Roman" w:cs="Times New Roman"/>
                <w:color w:val="000000"/>
                <w:kern w:val="0"/>
                <w:sz w:val="22"/>
              </w:rPr>
              <w:t xml:space="preserve">- </w:t>
            </w:r>
          </w:p>
        </w:tc>
      </w:tr>
      <w:tr w:rsidR="003C2EC0" w:rsidRPr="00662CA8" w14:paraId="6C2245A1"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274883FC" w14:textId="77777777" w:rsidR="003C2EC0" w:rsidRPr="00662CA8" w:rsidRDefault="003C2EC0" w:rsidP="003C2EC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21</w:t>
            </w:r>
          </w:p>
        </w:tc>
        <w:tc>
          <w:tcPr>
            <w:tcW w:w="3714" w:type="pct"/>
            <w:tcBorders>
              <w:top w:val="nil"/>
              <w:left w:val="nil"/>
              <w:bottom w:val="single" w:sz="4" w:space="0" w:color="auto"/>
              <w:right w:val="single" w:sz="4" w:space="0" w:color="auto"/>
            </w:tcBorders>
            <w:shd w:val="clear" w:color="auto" w:fill="auto"/>
            <w:vAlign w:val="center"/>
            <w:hideMark/>
          </w:tcPr>
          <w:p w14:paraId="23FC2C25" w14:textId="77777777" w:rsidR="003C2EC0" w:rsidRPr="00662CA8" w:rsidRDefault="003C2EC0" w:rsidP="003C2EC0">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其他依赖于银行未来盈利的净递延税资产中应扣除金额</w:t>
            </w:r>
          </w:p>
        </w:tc>
        <w:tc>
          <w:tcPr>
            <w:tcW w:w="966" w:type="pct"/>
            <w:tcBorders>
              <w:top w:val="nil"/>
              <w:left w:val="nil"/>
              <w:bottom w:val="single" w:sz="4" w:space="0" w:color="auto"/>
              <w:right w:val="single" w:sz="4" w:space="0" w:color="auto"/>
            </w:tcBorders>
            <w:shd w:val="clear" w:color="auto" w:fill="auto"/>
          </w:tcPr>
          <w:p w14:paraId="1C3659DD" w14:textId="641C15C0" w:rsidR="003C2EC0" w:rsidRPr="003C4A0F" w:rsidRDefault="003C2EC0" w:rsidP="003C2EC0">
            <w:pPr>
              <w:widowControl/>
              <w:jc w:val="right"/>
              <w:rPr>
                <w:rFonts w:ascii="Times New Roman" w:eastAsia="宋体" w:hAnsi="Times New Roman" w:cs="Times New Roman"/>
                <w:color w:val="000000"/>
                <w:kern w:val="0"/>
                <w:sz w:val="22"/>
              </w:rPr>
            </w:pPr>
            <w:r w:rsidRPr="003C2EC0">
              <w:rPr>
                <w:rFonts w:ascii="Times New Roman" w:eastAsia="宋体" w:hAnsi="Times New Roman" w:cs="Times New Roman"/>
                <w:color w:val="000000"/>
                <w:kern w:val="0"/>
                <w:sz w:val="22"/>
              </w:rPr>
              <w:t xml:space="preserve">- </w:t>
            </w:r>
          </w:p>
        </w:tc>
      </w:tr>
      <w:tr w:rsidR="003C2EC0" w:rsidRPr="00662CA8" w14:paraId="2F18B894"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center"/>
            <w:hideMark/>
          </w:tcPr>
          <w:p w14:paraId="79D6233A" w14:textId="77777777" w:rsidR="003C2EC0" w:rsidRPr="00662CA8" w:rsidRDefault="003C2EC0" w:rsidP="003C2EC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22</w:t>
            </w:r>
          </w:p>
        </w:tc>
        <w:tc>
          <w:tcPr>
            <w:tcW w:w="3714" w:type="pct"/>
            <w:tcBorders>
              <w:top w:val="nil"/>
              <w:left w:val="nil"/>
              <w:bottom w:val="single" w:sz="4" w:space="0" w:color="auto"/>
              <w:right w:val="single" w:sz="4" w:space="0" w:color="auto"/>
            </w:tcBorders>
            <w:shd w:val="clear" w:color="auto" w:fill="auto"/>
            <w:vAlign w:val="center"/>
            <w:hideMark/>
          </w:tcPr>
          <w:p w14:paraId="27125E16" w14:textId="77777777" w:rsidR="003C2EC0" w:rsidRPr="00662CA8" w:rsidRDefault="003C2EC0" w:rsidP="003C2EC0">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对未并表金融机构大额少数资本投资中的核心一级资本和其他依赖于银行未来盈利的净递延税资产的未扣除部分超过核心一</w:t>
            </w:r>
            <w:r w:rsidRPr="00662CA8">
              <w:rPr>
                <w:rFonts w:ascii="Times New Roman" w:eastAsia="宋体" w:hAnsi="Times New Roman" w:cs="Times New Roman"/>
                <w:color w:val="000000"/>
                <w:kern w:val="0"/>
                <w:sz w:val="22"/>
              </w:rPr>
              <w:lastRenderedPageBreak/>
              <w:t>级资本</w:t>
            </w:r>
            <w:r w:rsidRPr="00662CA8">
              <w:rPr>
                <w:rFonts w:ascii="Times New Roman" w:eastAsia="宋体" w:hAnsi="Times New Roman" w:cs="Times New Roman"/>
                <w:color w:val="000000"/>
                <w:kern w:val="0"/>
                <w:sz w:val="22"/>
              </w:rPr>
              <w:t>15%</w:t>
            </w:r>
            <w:r w:rsidRPr="00662CA8">
              <w:rPr>
                <w:rFonts w:ascii="Times New Roman" w:eastAsia="宋体" w:hAnsi="Times New Roman" w:cs="Times New Roman"/>
                <w:color w:val="000000"/>
                <w:kern w:val="0"/>
                <w:sz w:val="22"/>
              </w:rPr>
              <w:t>的应扣除金额</w:t>
            </w:r>
          </w:p>
        </w:tc>
        <w:tc>
          <w:tcPr>
            <w:tcW w:w="966" w:type="pct"/>
            <w:tcBorders>
              <w:top w:val="nil"/>
              <w:left w:val="nil"/>
              <w:bottom w:val="single" w:sz="4" w:space="0" w:color="auto"/>
              <w:right w:val="single" w:sz="4" w:space="0" w:color="auto"/>
            </w:tcBorders>
            <w:shd w:val="clear" w:color="auto" w:fill="auto"/>
          </w:tcPr>
          <w:p w14:paraId="06B028C5" w14:textId="27725224" w:rsidR="003C2EC0" w:rsidRPr="003C4A0F" w:rsidRDefault="003C2EC0" w:rsidP="003C2EC0">
            <w:pPr>
              <w:widowControl/>
              <w:jc w:val="right"/>
              <w:rPr>
                <w:rFonts w:ascii="Times New Roman" w:eastAsia="宋体" w:hAnsi="Times New Roman" w:cs="Times New Roman"/>
                <w:color w:val="000000"/>
                <w:kern w:val="0"/>
                <w:sz w:val="22"/>
              </w:rPr>
            </w:pPr>
            <w:r w:rsidRPr="003C2EC0">
              <w:rPr>
                <w:rFonts w:ascii="Times New Roman" w:eastAsia="宋体" w:hAnsi="Times New Roman" w:cs="Times New Roman"/>
                <w:color w:val="000000"/>
                <w:kern w:val="0"/>
                <w:sz w:val="22"/>
              </w:rPr>
              <w:lastRenderedPageBreak/>
              <w:t xml:space="preserve">- </w:t>
            </w:r>
          </w:p>
        </w:tc>
      </w:tr>
      <w:tr w:rsidR="00CE7787" w:rsidRPr="00662CA8" w14:paraId="4B1644FB"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626DC348"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lastRenderedPageBreak/>
              <w:t>23</w:t>
            </w:r>
          </w:p>
        </w:tc>
        <w:tc>
          <w:tcPr>
            <w:tcW w:w="3714" w:type="pct"/>
            <w:tcBorders>
              <w:top w:val="nil"/>
              <w:left w:val="nil"/>
              <w:bottom w:val="single" w:sz="4" w:space="0" w:color="auto"/>
              <w:right w:val="single" w:sz="4" w:space="0" w:color="auto"/>
            </w:tcBorders>
            <w:shd w:val="clear" w:color="auto" w:fill="auto"/>
            <w:vAlign w:val="center"/>
            <w:hideMark/>
          </w:tcPr>
          <w:p w14:paraId="27E97FDE"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其中：应在对金融机构大额少数资本投资中扣除的金额</w:t>
            </w:r>
          </w:p>
        </w:tc>
        <w:tc>
          <w:tcPr>
            <w:tcW w:w="966" w:type="pct"/>
            <w:tcBorders>
              <w:top w:val="nil"/>
              <w:left w:val="nil"/>
              <w:bottom w:val="single" w:sz="4" w:space="0" w:color="auto"/>
              <w:right w:val="single" w:sz="4" w:space="0" w:color="auto"/>
            </w:tcBorders>
            <w:shd w:val="clear" w:color="auto" w:fill="auto"/>
            <w:vAlign w:val="bottom"/>
          </w:tcPr>
          <w:p w14:paraId="43DB31E7" w14:textId="77777777" w:rsidR="00CE7787" w:rsidRPr="003C4A0F" w:rsidRDefault="00CE7787" w:rsidP="003C4A0F">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 xml:space="preserve">- </w:t>
            </w:r>
          </w:p>
        </w:tc>
      </w:tr>
      <w:tr w:rsidR="00CE7787" w:rsidRPr="00662CA8" w14:paraId="204F0531"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306137C3"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24</w:t>
            </w:r>
          </w:p>
        </w:tc>
        <w:tc>
          <w:tcPr>
            <w:tcW w:w="3714" w:type="pct"/>
            <w:tcBorders>
              <w:top w:val="nil"/>
              <w:left w:val="nil"/>
              <w:bottom w:val="single" w:sz="4" w:space="0" w:color="auto"/>
              <w:right w:val="single" w:sz="4" w:space="0" w:color="auto"/>
            </w:tcBorders>
            <w:shd w:val="clear" w:color="auto" w:fill="auto"/>
            <w:vAlign w:val="center"/>
            <w:hideMark/>
          </w:tcPr>
          <w:p w14:paraId="1CA500DE"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其中：抵押贷款服务权应扣除的金额</w:t>
            </w:r>
          </w:p>
        </w:tc>
        <w:tc>
          <w:tcPr>
            <w:tcW w:w="966" w:type="pct"/>
            <w:tcBorders>
              <w:top w:val="nil"/>
              <w:left w:val="nil"/>
              <w:bottom w:val="single" w:sz="4" w:space="0" w:color="auto"/>
              <w:right w:val="single" w:sz="4" w:space="0" w:color="auto"/>
            </w:tcBorders>
            <w:shd w:val="clear" w:color="auto" w:fill="auto"/>
            <w:vAlign w:val="bottom"/>
          </w:tcPr>
          <w:p w14:paraId="011F1400" w14:textId="77777777" w:rsidR="00CE7787" w:rsidRPr="003C4A0F" w:rsidRDefault="00CE7787" w:rsidP="003C4A0F">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 xml:space="preserve">- </w:t>
            </w:r>
          </w:p>
        </w:tc>
      </w:tr>
      <w:tr w:rsidR="00CE7787" w:rsidRPr="00662CA8" w14:paraId="3ED0E215"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center"/>
            <w:hideMark/>
          </w:tcPr>
          <w:p w14:paraId="1286DD54"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25</w:t>
            </w:r>
          </w:p>
        </w:tc>
        <w:tc>
          <w:tcPr>
            <w:tcW w:w="3714" w:type="pct"/>
            <w:tcBorders>
              <w:top w:val="nil"/>
              <w:left w:val="nil"/>
              <w:bottom w:val="single" w:sz="4" w:space="0" w:color="auto"/>
              <w:right w:val="single" w:sz="4" w:space="0" w:color="auto"/>
            </w:tcBorders>
            <w:shd w:val="clear" w:color="auto" w:fill="auto"/>
            <w:vAlign w:val="center"/>
            <w:hideMark/>
          </w:tcPr>
          <w:p w14:paraId="5AE5AB28"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其中：应在其他依赖于银行未来盈利的净递延税资产中扣除的金额</w:t>
            </w:r>
          </w:p>
        </w:tc>
        <w:tc>
          <w:tcPr>
            <w:tcW w:w="966" w:type="pct"/>
            <w:tcBorders>
              <w:top w:val="nil"/>
              <w:left w:val="nil"/>
              <w:bottom w:val="single" w:sz="4" w:space="0" w:color="auto"/>
              <w:right w:val="single" w:sz="4" w:space="0" w:color="auto"/>
            </w:tcBorders>
            <w:shd w:val="clear" w:color="auto" w:fill="auto"/>
            <w:vAlign w:val="center"/>
          </w:tcPr>
          <w:p w14:paraId="37E3F23D" w14:textId="77777777" w:rsidR="00CE7787" w:rsidRPr="003C4A0F" w:rsidRDefault="00CE7787" w:rsidP="003C4A0F">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 xml:space="preserve">- </w:t>
            </w:r>
          </w:p>
        </w:tc>
      </w:tr>
      <w:tr w:rsidR="00CE7787" w:rsidRPr="00662CA8" w14:paraId="6A9D005C"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6E7E03E3"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26a</w:t>
            </w:r>
          </w:p>
        </w:tc>
        <w:tc>
          <w:tcPr>
            <w:tcW w:w="3714" w:type="pct"/>
            <w:tcBorders>
              <w:top w:val="nil"/>
              <w:left w:val="nil"/>
              <w:bottom w:val="single" w:sz="4" w:space="0" w:color="auto"/>
              <w:right w:val="single" w:sz="4" w:space="0" w:color="auto"/>
            </w:tcBorders>
            <w:shd w:val="clear" w:color="auto" w:fill="auto"/>
            <w:vAlign w:val="center"/>
            <w:hideMark/>
          </w:tcPr>
          <w:p w14:paraId="73680782"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对有控制权但不并表的金融机构的核心一级资本投资</w:t>
            </w:r>
          </w:p>
        </w:tc>
        <w:tc>
          <w:tcPr>
            <w:tcW w:w="966" w:type="pct"/>
            <w:tcBorders>
              <w:top w:val="nil"/>
              <w:left w:val="nil"/>
              <w:bottom w:val="single" w:sz="4" w:space="0" w:color="auto"/>
              <w:right w:val="single" w:sz="4" w:space="0" w:color="auto"/>
            </w:tcBorders>
            <w:shd w:val="clear" w:color="auto" w:fill="auto"/>
            <w:vAlign w:val="bottom"/>
          </w:tcPr>
          <w:p w14:paraId="78F503BA" w14:textId="77777777" w:rsidR="00CE7787" w:rsidRPr="003C4A0F" w:rsidRDefault="00CE7787" w:rsidP="003C4A0F">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 xml:space="preserve">- </w:t>
            </w:r>
          </w:p>
        </w:tc>
      </w:tr>
      <w:tr w:rsidR="00CE7787" w:rsidRPr="00662CA8" w14:paraId="713B6FC7"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2423CB20"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26b</w:t>
            </w:r>
          </w:p>
        </w:tc>
        <w:tc>
          <w:tcPr>
            <w:tcW w:w="3714" w:type="pct"/>
            <w:tcBorders>
              <w:top w:val="nil"/>
              <w:left w:val="nil"/>
              <w:bottom w:val="single" w:sz="4" w:space="0" w:color="auto"/>
              <w:right w:val="single" w:sz="4" w:space="0" w:color="auto"/>
            </w:tcBorders>
            <w:shd w:val="clear" w:color="auto" w:fill="auto"/>
            <w:vAlign w:val="center"/>
            <w:hideMark/>
          </w:tcPr>
          <w:p w14:paraId="0C344E37"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对有控制权但不并表的金融机构的核心一级资本缺口</w:t>
            </w:r>
          </w:p>
        </w:tc>
        <w:tc>
          <w:tcPr>
            <w:tcW w:w="966" w:type="pct"/>
            <w:tcBorders>
              <w:top w:val="nil"/>
              <w:left w:val="nil"/>
              <w:bottom w:val="single" w:sz="4" w:space="0" w:color="auto"/>
              <w:right w:val="single" w:sz="4" w:space="0" w:color="auto"/>
            </w:tcBorders>
            <w:shd w:val="clear" w:color="auto" w:fill="auto"/>
            <w:vAlign w:val="bottom"/>
          </w:tcPr>
          <w:p w14:paraId="4DA94150" w14:textId="77777777" w:rsidR="00CE7787" w:rsidRPr="003C4A0F" w:rsidRDefault="00CE7787" w:rsidP="003C4A0F">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 xml:space="preserve">- </w:t>
            </w:r>
          </w:p>
        </w:tc>
      </w:tr>
      <w:tr w:rsidR="00CE7787" w:rsidRPr="00662CA8" w14:paraId="17980409"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03C1DB5"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26c</w:t>
            </w:r>
          </w:p>
        </w:tc>
        <w:tc>
          <w:tcPr>
            <w:tcW w:w="3714" w:type="pct"/>
            <w:tcBorders>
              <w:top w:val="nil"/>
              <w:left w:val="nil"/>
              <w:bottom w:val="single" w:sz="4" w:space="0" w:color="auto"/>
              <w:right w:val="single" w:sz="4" w:space="0" w:color="auto"/>
            </w:tcBorders>
            <w:shd w:val="clear" w:color="auto" w:fill="auto"/>
            <w:vAlign w:val="center"/>
            <w:hideMark/>
          </w:tcPr>
          <w:p w14:paraId="6D4C5855"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其他应在核心一级资本中扣除的项目合计</w:t>
            </w:r>
          </w:p>
        </w:tc>
        <w:tc>
          <w:tcPr>
            <w:tcW w:w="966" w:type="pct"/>
            <w:tcBorders>
              <w:top w:val="nil"/>
              <w:left w:val="nil"/>
              <w:bottom w:val="single" w:sz="4" w:space="0" w:color="auto"/>
              <w:right w:val="single" w:sz="4" w:space="0" w:color="auto"/>
            </w:tcBorders>
            <w:shd w:val="clear" w:color="auto" w:fill="auto"/>
            <w:vAlign w:val="bottom"/>
          </w:tcPr>
          <w:p w14:paraId="24E59BD5" w14:textId="77777777" w:rsidR="00CE7787" w:rsidRPr="003C4A0F" w:rsidRDefault="00CE7787" w:rsidP="003C4A0F">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 xml:space="preserve">- </w:t>
            </w:r>
          </w:p>
        </w:tc>
      </w:tr>
      <w:tr w:rsidR="00CE7787" w:rsidRPr="00662CA8" w14:paraId="5EE9A0B6"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3DDF95F3"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27</w:t>
            </w:r>
          </w:p>
        </w:tc>
        <w:tc>
          <w:tcPr>
            <w:tcW w:w="3714" w:type="pct"/>
            <w:tcBorders>
              <w:top w:val="nil"/>
              <w:left w:val="nil"/>
              <w:bottom w:val="single" w:sz="4" w:space="0" w:color="auto"/>
              <w:right w:val="single" w:sz="4" w:space="0" w:color="auto"/>
            </w:tcBorders>
            <w:shd w:val="clear" w:color="auto" w:fill="auto"/>
            <w:vAlign w:val="center"/>
            <w:hideMark/>
          </w:tcPr>
          <w:p w14:paraId="45886C76"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应从其他一级资本和二级资本中扣除的未扣缺口</w:t>
            </w:r>
          </w:p>
        </w:tc>
        <w:tc>
          <w:tcPr>
            <w:tcW w:w="966" w:type="pct"/>
            <w:tcBorders>
              <w:top w:val="nil"/>
              <w:left w:val="nil"/>
              <w:bottom w:val="single" w:sz="4" w:space="0" w:color="auto"/>
              <w:right w:val="single" w:sz="4" w:space="0" w:color="auto"/>
            </w:tcBorders>
            <w:shd w:val="clear" w:color="auto" w:fill="auto"/>
            <w:vAlign w:val="bottom"/>
          </w:tcPr>
          <w:p w14:paraId="1DB5B4E6" w14:textId="77777777" w:rsidR="00CE7787" w:rsidRPr="003C4A0F" w:rsidRDefault="00CE7787" w:rsidP="003C4A0F">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 xml:space="preserve">- </w:t>
            </w:r>
          </w:p>
        </w:tc>
      </w:tr>
      <w:tr w:rsidR="003C2EC0" w:rsidRPr="00662CA8" w14:paraId="56D4D750"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43C7590F" w14:textId="77777777" w:rsidR="003C2EC0" w:rsidRPr="00662CA8" w:rsidRDefault="003C2EC0" w:rsidP="003C2EC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28</w:t>
            </w:r>
          </w:p>
        </w:tc>
        <w:tc>
          <w:tcPr>
            <w:tcW w:w="3714" w:type="pct"/>
            <w:tcBorders>
              <w:top w:val="nil"/>
              <w:left w:val="nil"/>
              <w:bottom w:val="single" w:sz="4" w:space="0" w:color="auto"/>
              <w:right w:val="single" w:sz="4" w:space="0" w:color="auto"/>
            </w:tcBorders>
            <w:shd w:val="clear" w:color="auto" w:fill="auto"/>
            <w:vAlign w:val="center"/>
            <w:hideMark/>
          </w:tcPr>
          <w:p w14:paraId="51B0605A" w14:textId="77777777" w:rsidR="003C2EC0" w:rsidRPr="00662CA8" w:rsidRDefault="003C2EC0" w:rsidP="003C2EC0">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核心一级资本监管调整总和</w:t>
            </w:r>
          </w:p>
        </w:tc>
        <w:tc>
          <w:tcPr>
            <w:tcW w:w="966" w:type="pct"/>
            <w:tcBorders>
              <w:top w:val="nil"/>
              <w:left w:val="nil"/>
              <w:bottom w:val="single" w:sz="4" w:space="0" w:color="auto"/>
              <w:right w:val="single" w:sz="4" w:space="0" w:color="auto"/>
            </w:tcBorders>
            <w:shd w:val="clear" w:color="auto" w:fill="auto"/>
          </w:tcPr>
          <w:p w14:paraId="766D369B" w14:textId="50D117C4" w:rsidR="003C2EC0" w:rsidRPr="003C4A0F" w:rsidRDefault="00A7393F" w:rsidP="003C2EC0">
            <w:pPr>
              <w:widowControl/>
              <w:jc w:val="right"/>
              <w:rPr>
                <w:rFonts w:ascii="Times New Roman" w:eastAsia="宋体" w:hAnsi="Times New Roman" w:cs="Times New Roman"/>
                <w:color w:val="000000"/>
                <w:kern w:val="0"/>
                <w:sz w:val="22"/>
              </w:rPr>
            </w:pPr>
            <w:r w:rsidRPr="00A7393F">
              <w:rPr>
                <w:rFonts w:ascii="Times New Roman" w:eastAsia="宋体" w:hAnsi="Times New Roman" w:cs="Times New Roman"/>
                <w:color w:val="000000"/>
                <w:kern w:val="0"/>
                <w:sz w:val="22"/>
              </w:rPr>
              <w:t xml:space="preserve">24,733.17 </w:t>
            </w:r>
            <w:r w:rsidR="003C2EC0" w:rsidRPr="003C2EC0">
              <w:rPr>
                <w:rFonts w:ascii="Times New Roman" w:eastAsia="宋体" w:hAnsi="Times New Roman" w:cs="Times New Roman"/>
                <w:color w:val="000000"/>
                <w:kern w:val="0"/>
                <w:sz w:val="22"/>
              </w:rPr>
              <w:t xml:space="preserve"> </w:t>
            </w:r>
          </w:p>
        </w:tc>
      </w:tr>
      <w:tr w:rsidR="003C2EC0" w:rsidRPr="00662CA8" w14:paraId="5A54A0F2"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3E54ED68" w14:textId="77777777" w:rsidR="003C2EC0" w:rsidRPr="00662CA8" w:rsidRDefault="003C2EC0" w:rsidP="003C2EC0">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29</w:t>
            </w:r>
          </w:p>
        </w:tc>
        <w:tc>
          <w:tcPr>
            <w:tcW w:w="3714" w:type="pct"/>
            <w:tcBorders>
              <w:top w:val="nil"/>
              <w:left w:val="nil"/>
              <w:bottom w:val="single" w:sz="4" w:space="0" w:color="auto"/>
              <w:right w:val="single" w:sz="4" w:space="0" w:color="auto"/>
            </w:tcBorders>
            <w:shd w:val="clear" w:color="auto" w:fill="auto"/>
            <w:vAlign w:val="center"/>
            <w:hideMark/>
          </w:tcPr>
          <w:p w14:paraId="5B248459" w14:textId="77777777" w:rsidR="003C2EC0" w:rsidRPr="00662CA8" w:rsidRDefault="003C2EC0" w:rsidP="003C2EC0">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核心一级资本</w:t>
            </w:r>
          </w:p>
        </w:tc>
        <w:tc>
          <w:tcPr>
            <w:tcW w:w="966" w:type="pct"/>
            <w:tcBorders>
              <w:top w:val="nil"/>
              <w:left w:val="nil"/>
              <w:bottom w:val="single" w:sz="4" w:space="0" w:color="auto"/>
              <w:right w:val="single" w:sz="4" w:space="0" w:color="auto"/>
            </w:tcBorders>
            <w:shd w:val="clear" w:color="auto" w:fill="auto"/>
          </w:tcPr>
          <w:p w14:paraId="22F634CF" w14:textId="7430BF7D" w:rsidR="003C2EC0" w:rsidRPr="003C4A0F" w:rsidRDefault="00A7393F" w:rsidP="003C2EC0">
            <w:pPr>
              <w:widowControl/>
              <w:jc w:val="right"/>
              <w:rPr>
                <w:rFonts w:ascii="Times New Roman" w:eastAsia="宋体" w:hAnsi="Times New Roman" w:cs="Times New Roman"/>
                <w:color w:val="000000"/>
                <w:kern w:val="0"/>
                <w:sz w:val="22"/>
              </w:rPr>
            </w:pPr>
            <w:r w:rsidRPr="00A7393F">
              <w:rPr>
                <w:rFonts w:ascii="Times New Roman" w:eastAsia="宋体" w:hAnsi="Times New Roman" w:cs="Times New Roman"/>
                <w:color w:val="000000"/>
                <w:kern w:val="0"/>
                <w:sz w:val="22"/>
              </w:rPr>
              <w:t xml:space="preserve">3,451,767.18 </w:t>
            </w:r>
            <w:r w:rsidR="003C2EC0" w:rsidRPr="003C2EC0">
              <w:rPr>
                <w:rFonts w:ascii="Times New Roman" w:eastAsia="宋体" w:hAnsi="Times New Roman" w:cs="Times New Roman"/>
                <w:color w:val="000000"/>
                <w:kern w:val="0"/>
                <w:sz w:val="22"/>
              </w:rPr>
              <w:t xml:space="preserve"> </w:t>
            </w:r>
          </w:p>
        </w:tc>
      </w:tr>
      <w:tr w:rsidR="00AB6D2C" w:rsidRPr="00662CA8" w14:paraId="2ED04EB0" w14:textId="77777777"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14:paraId="7BAF4325" w14:textId="77777777"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其他一级资本</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0DAFDD7A" w14:textId="77777777" w:rsidR="00AB6D2C" w:rsidRPr="00390D01" w:rsidRDefault="00AB6D2C"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 xml:space="preserve">　</w:t>
            </w:r>
          </w:p>
        </w:tc>
      </w:tr>
      <w:tr w:rsidR="008369C8" w:rsidRPr="00662CA8" w14:paraId="2E7999F4" w14:textId="77777777" w:rsidTr="00822AE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086786B7"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30</w:t>
            </w:r>
          </w:p>
        </w:tc>
        <w:tc>
          <w:tcPr>
            <w:tcW w:w="3714" w:type="pct"/>
            <w:tcBorders>
              <w:top w:val="nil"/>
              <w:left w:val="nil"/>
              <w:bottom w:val="single" w:sz="4" w:space="0" w:color="auto"/>
              <w:right w:val="single" w:sz="4" w:space="0" w:color="auto"/>
            </w:tcBorders>
            <w:shd w:val="clear" w:color="auto" w:fill="auto"/>
            <w:vAlign w:val="center"/>
            <w:hideMark/>
          </w:tcPr>
          <w:p w14:paraId="06A7C69E"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其他一级资本工具及其溢价</w:t>
            </w:r>
          </w:p>
        </w:tc>
        <w:tc>
          <w:tcPr>
            <w:tcW w:w="966" w:type="pct"/>
            <w:tcBorders>
              <w:top w:val="nil"/>
              <w:left w:val="nil"/>
              <w:bottom w:val="single" w:sz="4" w:space="0" w:color="auto"/>
              <w:right w:val="single" w:sz="4" w:space="0" w:color="auto"/>
            </w:tcBorders>
            <w:shd w:val="clear" w:color="auto" w:fill="auto"/>
          </w:tcPr>
          <w:p w14:paraId="6D7B4E59" w14:textId="2CB75768"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299,890.09 </w:t>
            </w:r>
          </w:p>
        </w:tc>
      </w:tr>
      <w:tr w:rsidR="008369C8" w:rsidRPr="00662CA8" w14:paraId="4B30F63D" w14:textId="77777777" w:rsidTr="00822AE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0A13F598"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31</w:t>
            </w:r>
          </w:p>
        </w:tc>
        <w:tc>
          <w:tcPr>
            <w:tcW w:w="3714" w:type="pct"/>
            <w:tcBorders>
              <w:top w:val="nil"/>
              <w:left w:val="nil"/>
              <w:bottom w:val="single" w:sz="4" w:space="0" w:color="auto"/>
              <w:right w:val="single" w:sz="4" w:space="0" w:color="auto"/>
            </w:tcBorders>
            <w:shd w:val="clear" w:color="auto" w:fill="auto"/>
            <w:vAlign w:val="center"/>
            <w:hideMark/>
          </w:tcPr>
          <w:p w14:paraId="3AC1746D"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其中：权益部分</w:t>
            </w:r>
          </w:p>
        </w:tc>
        <w:tc>
          <w:tcPr>
            <w:tcW w:w="966" w:type="pct"/>
            <w:tcBorders>
              <w:top w:val="nil"/>
              <w:left w:val="nil"/>
              <w:bottom w:val="single" w:sz="4" w:space="0" w:color="auto"/>
              <w:right w:val="single" w:sz="4" w:space="0" w:color="auto"/>
            </w:tcBorders>
            <w:shd w:val="clear" w:color="auto" w:fill="auto"/>
          </w:tcPr>
          <w:p w14:paraId="2A9C59E2" w14:textId="0BC57716"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299,890.09 </w:t>
            </w:r>
          </w:p>
        </w:tc>
      </w:tr>
      <w:tr w:rsidR="00CE7787" w:rsidRPr="00662CA8" w14:paraId="15D5EDB9"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30635269"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32</w:t>
            </w:r>
          </w:p>
        </w:tc>
        <w:tc>
          <w:tcPr>
            <w:tcW w:w="3714" w:type="pct"/>
            <w:tcBorders>
              <w:top w:val="nil"/>
              <w:left w:val="nil"/>
              <w:bottom w:val="single" w:sz="4" w:space="0" w:color="auto"/>
              <w:right w:val="single" w:sz="4" w:space="0" w:color="auto"/>
            </w:tcBorders>
            <w:shd w:val="clear" w:color="auto" w:fill="auto"/>
            <w:vAlign w:val="center"/>
            <w:hideMark/>
          </w:tcPr>
          <w:p w14:paraId="6D5D4E39"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其中：负债部分</w:t>
            </w:r>
          </w:p>
        </w:tc>
        <w:tc>
          <w:tcPr>
            <w:tcW w:w="966" w:type="pct"/>
            <w:tcBorders>
              <w:top w:val="nil"/>
              <w:left w:val="nil"/>
              <w:bottom w:val="single" w:sz="4" w:space="0" w:color="auto"/>
              <w:right w:val="single" w:sz="4" w:space="0" w:color="auto"/>
            </w:tcBorders>
            <w:shd w:val="clear" w:color="auto" w:fill="auto"/>
            <w:vAlign w:val="bottom"/>
          </w:tcPr>
          <w:p w14:paraId="2F8ED6DF" w14:textId="77777777" w:rsidR="00CE7787" w:rsidRPr="003C4A0F" w:rsidRDefault="00CE7787" w:rsidP="003C4A0F">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 xml:space="preserve">- </w:t>
            </w:r>
          </w:p>
        </w:tc>
      </w:tr>
      <w:tr w:rsidR="00CE7787" w:rsidRPr="00662CA8" w14:paraId="7A451A9D"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4B0D9B56"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33</w:t>
            </w:r>
          </w:p>
        </w:tc>
        <w:tc>
          <w:tcPr>
            <w:tcW w:w="3714" w:type="pct"/>
            <w:tcBorders>
              <w:top w:val="nil"/>
              <w:left w:val="nil"/>
              <w:bottom w:val="single" w:sz="4" w:space="0" w:color="auto"/>
              <w:right w:val="single" w:sz="4" w:space="0" w:color="auto"/>
            </w:tcBorders>
            <w:shd w:val="clear" w:color="auto" w:fill="auto"/>
            <w:vAlign w:val="center"/>
            <w:hideMark/>
          </w:tcPr>
          <w:p w14:paraId="640D16DE"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过渡期后不可计入其他一级资本的工具</w:t>
            </w:r>
          </w:p>
        </w:tc>
        <w:tc>
          <w:tcPr>
            <w:tcW w:w="966" w:type="pct"/>
            <w:tcBorders>
              <w:top w:val="nil"/>
              <w:left w:val="nil"/>
              <w:bottom w:val="single" w:sz="4" w:space="0" w:color="auto"/>
              <w:right w:val="single" w:sz="4" w:space="0" w:color="auto"/>
            </w:tcBorders>
            <w:shd w:val="clear" w:color="auto" w:fill="auto"/>
            <w:vAlign w:val="bottom"/>
          </w:tcPr>
          <w:p w14:paraId="653340AD" w14:textId="77777777" w:rsidR="00CE7787" w:rsidRPr="003C4A0F" w:rsidRDefault="00CE7787" w:rsidP="003C4A0F">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 xml:space="preserve">- </w:t>
            </w:r>
          </w:p>
        </w:tc>
      </w:tr>
      <w:tr w:rsidR="00CE7787" w:rsidRPr="00662CA8" w14:paraId="497F5C8A"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481AFD35"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34</w:t>
            </w:r>
          </w:p>
        </w:tc>
        <w:tc>
          <w:tcPr>
            <w:tcW w:w="3714" w:type="pct"/>
            <w:tcBorders>
              <w:top w:val="nil"/>
              <w:left w:val="nil"/>
              <w:bottom w:val="single" w:sz="4" w:space="0" w:color="auto"/>
              <w:right w:val="single" w:sz="4" w:space="0" w:color="auto"/>
            </w:tcBorders>
            <w:shd w:val="clear" w:color="auto" w:fill="auto"/>
            <w:vAlign w:val="center"/>
            <w:hideMark/>
          </w:tcPr>
          <w:p w14:paraId="4E70C3FA"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少数股东资本可计入部分</w:t>
            </w:r>
          </w:p>
        </w:tc>
        <w:tc>
          <w:tcPr>
            <w:tcW w:w="966" w:type="pct"/>
            <w:tcBorders>
              <w:top w:val="nil"/>
              <w:left w:val="nil"/>
              <w:bottom w:val="single" w:sz="4" w:space="0" w:color="auto"/>
              <w:right w:val="single" w:sz="4" w:space="0" w:color="auto"/>
            </w:tcBorders>
            <w:shd w:val="clear" w:color="auto" w:fill="auto"/>
            <w:vAlign w:val="bottom"/>
          </w:tcPr>
          <w:p w14:paraId="571B32F9" w14:textId="4AE80F00" w:rsidR="00CE7787" w:rsidRPr="003C4A0F" w:rsidRDefault="00A7393F" w:rsidP="003C4A0F">
            <w:pPr>
              <w:widowControl/>
              <w:jc w:val="right"/>
              <w:rPr>
                <w:rFonts w:ascii="Times New Roman" w:eastAsia="宋体" w:hAnsi="Times New Roman" w:cs="Times New Roman"/>
                <w:color w:val="000000"/>
                <w:kern w:val="0"/>
                <w:sz w:val="22"/>
              </w:rPr>
            </w:pPr>
            <w:r w:rsidRPr="00A7393F">
              <w:rPr>
                <w:rFonts w:ascii="Times New Roman" w:eastAsia="宋体" w:hAnsi="Times New Roman" w:cs="Times New Roman"/>
                <w:color w:val="000000"/>
                <w:kern w:val="0"/>
                <w:sz w:val="22"/>
              </w:rPr>
              <w:t>14,022.53</w:t>
            </w:r>
          </w:p>
        </w:tc>
      </w:tr>
      <w:tr w:rsidR="00CE7787" w:rsidRPr="00662CA8" w14:paraId="04CF3F57"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360DEB0E"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35</w:t>
            </w:r>
          </w:p>
        </w:tc>
        <w:tc>
          <w:tcPr>
            <w:tcW w:w="3714" w:type="pct"/>
            <w:tcBorders>
              <w:top w:val="nil"/>
              <w:left w:val="nil"/>
              <w:bottom w:val="single" w:sz="4" w:space="0" w:color="auto"/>
              <w:right w:val="single" w:sz="4" w:space="0" w:color="auto"/>
            </w:tcBorders>
            <w:shd w:val="clear" w:color="auto" w:fill="auto"/>
            <w:vAlign w:val="center"/>
            <w:hideMark/>
          </w:tcPr>
          <w:p w14:paraId="4EFF5885"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其中：过渡期后不可计入其他一级资本的部分</w:t>
            </w:r>
          </w:p>
        </w:tc>
        <w:tc>
          <w:tcPr>
            <w:tcW w:w="966" w:type="pct"/>
            <w:tcBorders>
              <w:top w:val="nil"/>
              <w:left w:val="nil"/>
              <w:bottom w:val="single" w:sz="4" w:space="0" w:color="auto"/>
              <w:right w:val="single" w:sz="4" w:space="0" w:color="auto"/>
            </w:tcBorders>
            <w:shd w:val="clear" w:color="auto" w:fill="auto"/>
            <w:vAlign w:val="bottom"/>
          </w:tcPr>
          <w:p w14:paraId="34F3B764" w14:textId="77777777" w:rsidR="00CE7787" w:rsidRPr="003C4A0F" w:rsidRDefault="00CE7787" w:rsidP="003C4A0F">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 xml:space="preserve">- </w:t>
            </w:r>
          </w:p>
        </w:tc>
      </w:tr>
      <w:tr w:rsidR="00CE7787" w:rsidRPr="00662CA8" w14:paraId="1095A5FC"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DBD8F13"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36</w:t>
            </w:r>
          </w:p>
        </w:tc>
        <w:tc>
          <w:tcPr>
            <w:tcW w:w="3714" w:type="pct"/>
            <w:tcBorders>
              <w:top w:val="nil"/>
              <w:left w:val="nil"/>
              <w:bottom w:val="single" w:sz="4" w:space="0" w:color="auto"/>
              <w:right w:val="single" w:sz="4" w:space="0" w:color="auto"/>
            </w:tcBorders>
            <w:shd w:val="clear" w:color="auto" w:fill="auto"/>
            <w:vAlign w:val="center"/>
            <w:hideMark/>
          </w:tcPr>
          <w:p w14:paraId="0C2694A9"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监管调整前的其他一级资本</w:t>
            </w:r>
          </w:p>
        </w:tc>
        <w:tc>
          <w:tcPr>
            <w:tcW w:w="966" w:type="pct"/>
            <w:tcBorders>
              <w:top w:val="nil"/>
              <w:left w:val="nil"/>
              <w:bottom w:val="single" w:sz="4" w:space="0" w:color="auto"/>
              <w:right w:val="single" w:sz="4" w:space="0" w:color="auto"/>
            </w:tcBorders>
            <w:shd w:val="clear" w:color="auto" w:fill="auto"/>
            <w:vAlign w:val="bottom"/>
          </w:tcPr>
          <w:p w14:paraId="3F21D92F" w14:textId="75A49557" w:rsidR="00CE7787" w:rsidRPr="003C4A0F" w:rsidRDefault="008369C8" w:rsidP="003C4A0F">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313,912.62</w:t>
            </w:r>
          </w:p>
        </w:tc>
      </w:tr>
      <w:tr w:rsidR="00AB6D2C" w:rsidRPr="00662CA8" w14:paraId="68EB573B" w14:textId="77777777" w:rsidTr="008F5E9D">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14:paraId="580D7A14" w14:textId="77777777"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其他一级资本：监管调整</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181140B0" w14:textId="77777777" w:rsidR="00AB6D2C" w:rsidRPr="00662CA8" w:rsidRDefault="00AB6D2C" w:rsidP="00AB6D2C">
            <w:pPr>
              <w:widowControl/>
              <w:jc w:val="right"/>
              <w:rPr>
                <w:rFonts w:ascii="Times New Roman" w:eastAsia="宋体" w:hAnsi="Times New Roman" w:cs="Times New Roman"/>
                <w:color w:val="000000"/>
                <w:kern w:val="0"/>
                <w:sz w:val="22"/>
              </w:rPr>
            </w:pPr>
          </w:p>
        </w:tc>
      </w:tr>
      <w:tr w:rsidR="00CE7787" w:rsidRPr="00662CA8" w14:paraId="5B4DF60E"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277E7496"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37</w:t>
            </w:r>
          </w:p>
        </w:tc>
        <w:tc>
          <w:tcPr>
            <w:tcW w:w="3714" w:type="pct"/>
            <w:tcBorders>
              <w:top w:val="nil"/>
              <w:left w:val="nil"/>
              <w:bottom w:val="single" w:sz="4" w:space="0" w:color="auto"/>
              <w:right w:val="single" w:sz="4" w:space="0" w:color="auto"/>
            </w:tcBorders>
            <w:shd w:val="clear" w:color="auto" w:fill="auto"/>
            <w:vAlign w:val="center"/>
            <w:hideMark/>
          </w:tcPr>
          <w:p w14:paraId="394B6586"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直接或间接持有的本银行其他一级资本</w:t>
            </w:r>
          </w:p>
        </w:tc>
        <w:tc>
          <w:tcPr>
            <w:tcW w:w="966" w:type="pct"/>
            <w:tcBorders>
              <w:top w:val="nil"/>
              <w:left w:val="nil"/>
              <w:bottom w:val="single" w:sz="4" w:space="0" w:color="auto"/>
              <w:right w:val="single" w:sz="4" w:space="0" w:color="auto"/>
            </w:tcBorders>
            <w:shd w:val="clear" w:color="auto" w:fill="auto"/>
            <w:vAlign w:val="bottom"/>
          </w:tcPr>
          <w:p w14:paraId="1C82A704" w14:textId="77777777" w:rsidR="00CE7787" w:rsidRPr="003C4A0F" w:rsidRDefault="00CE7787" w:rsidP="00CE7787">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 xml:space="preserve">- </w:t>
            </w:r>
          </w:p>
        </w:tc>
      </w:tr>
      <w:tr w:rsidR="00CE7787" w:rsidRPr="00662CA8" w14:paraId="28C771DB"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center"/>
            <w:hideMark/>
          </w:tcPr>
          <w:p w14:paraId="58E55A5D"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38</w:t>
            </w:r>
          </w:p>
        </w:tc>
        <w:tc>
          <w:tcPr>
            <w:tcW w:w="3714" w:type="pct"/>
            <w:tcBorders>
              <w:top w:val="nil"/>
              <w:left w:val="nil"/>
              <w:bottom w:val="single" w:sz="4" w:space="0" w:color="auto"/>
              <w:right w:val="single" w:sz="4" w:space="0" w:color="auto"/>
            </w:tcBorders>
            <w:shd w:val="clear" w:color="auto" w:fill="auto"/>
            <w:vAlign w:val="center"/>
            <w:hideMark/>
          </w:tcPr>
          <w:p w14:paraId="71C89579"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银行间或银行与其他金融机构间通过协议相互持有的其他一级资本</w:t>
            </w:r>
          </w:p>
        </w:tc>
        <w:tc>
          <w:tcPr>
            <w:tcW w:w="966" w:type="pct"/>
            <w:tcBorders>
              <w:top w:val="nil"/>
              <w:left w:val="nil"/>
              <w:bottom w:val="single" w:sz="4" w:space="0" w:color="auto"/>
              <w:right w:val="single" w:sz="4" w:space="0" w:color="auto"/>
            </w:tcBorders>
            <w:shd w:val="clear" w:color="auto" w:fill="auto"/>
            <w:vAlign w:val="center"/>
          </w:tcPr>
          <w:p w14:paraId="371B2E2E" w14:textId="77777777" w:rsidR="00CE7787" w:rsidRPr="003C4A0F" w:rsidRDefault="00CE7787" w:rsidP="003C4A0F">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 xml:space="preserve">- </w:t>
            </w:r>
          </w:p>
        </w:tc>
      </w:tr>
      <w:tr w:rsidR="00CE7787" w:rsidRPr="00662CA8" w14:paraId="4C90E787"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center"/>
            <w:hideMark/>
          </w:tcPr>
          <w:p w14:paraId="06679B8E"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39</w:t>
            </w:r>
          </w:p>
        </w:tc>
        <w:tc>
          <w:tcPr>
            <w:tcW w:w="3714" w:type="pct"/>
            <w:tcBorders>
              <w:top w:val="nil"/>
              <w:left w:val="nil"/>
              <w:bottom w:val="single" w:sz="4" w:space="0" w:color="auto"/>
              <w:right w:val="single" w:sz="4" w:space="0" w:color="auto"/>
            </w:tcBorders>
            <w:shd w:val="clear" w:color="auto" w:fill="auto"/>
            <w:vAlign w:val="center"/>
            <w:hideMark/>
          </w:tcPr>
          <w:p w14:paraId="4FC74484"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对未并表金融机构小额少数资本投资中的其他一级资本应扣除部分</w:t>
            </w:r>
          </w:p>
        </w:tc>
        <w:tc>
          <w:tcPr>
            <w:tcW w:w="966" w:type="pct"/>
            <w:tcBorders>
              <w:top w:val="nil"/>
              <w:left w:val="nil"/>
              <w:bottom w:val="single" w:sz="4" w:space="0" w:color="auto"/>
              <w:right w:val="single" w:sz="4" w:space="0" w:color="auto"/>
            </w:tcBorders>
            <w:shd w:val="clear" w:color="auto" w:fill="auto"/>
            <w:vAlign w:val="center"/>
          </w:tcPr>
          <w:p w14:paraId="2A9C630E" w14:textId="77777777" w:rsidR="00CE7787" w:rsidRPr="003C4A0F" w:rsidRDefault="00CE7787" w:rsidP="003C4A0F">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 xml:space="preserve">- </w:t>
            </w:r>
          </w:p>
        </w:tc>
      </w:tr>
      <w:tr w:rsidR="00CE7787" w:rsidRPr="00662CA8" w14:paraId="08C99841"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6E0EFEE8"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40</w:t>
            </w:r>
          </w:p>
        </w:tc>
        <w:tc>
          <w:tcPr>
            <w:tcW w:w="3714" w:type="pct"/>
            <w:tcBorders>
              <w:top w:val="nil"/>
              <w:left w:val="nil"/>
              <w:bottom w:val="single" w:sz="4" w:space="0" w:color="auto"/>
              <w:right w:val="single" w:sz="4" w:space="0" w:color="auto"/>
            </w:tcBorders>
            <w:shd w:val="clear" w:color="auto" w:fill="auto"/>
            <w:vAlign w:val="center"/>
            <w:hideMark/>
          </w:tcPr>
          <w:p w14:paraId="5055F474"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对未并表金融机构大额少数资本投资中的其他一级资本</w:t>
            </w:r>
          </w:p>
        </w:tc>
        <w:tc>
          <w:tcPr>
            <w:tcW w:w="966" w:type="pct"/>
            <w:tcBorders>
              <w:top w:val="nil"/>
              <w:left w:val="nil"/>
              <w:bottom w:val="single" w:sz="4" w:space="0" w:color="auto"/>
              <w:right w:val="single" w:sz="4" w:space="0" w:color="auto"/>
            </w:tcBorders>
            <w:shd w:val="clear" w:color="auto" w:fill="auto"/>
            <w:vAlign w:val="bottom"/>
          </w:tcPr>
          <w:p w14:paraId="0C8FEED2" w14:textId="77777777" w:rsidR="00CE7787" w:rsidRPr="003C4A0F" w:rsidRDefault="00CE7787" w:rsidP="003C4A0F">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 xml:space="preserve">- </w:t>
            </w:r>
          </w:p>
        </w:tc>
      </w:tr>
      <w:tr w:rsidR="00CE7787" w:rsidRPr="00662CA8" w14:paraId="1DBC63DA"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38E29E4D"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41a</w:t>
            </w:r>
          </w:p>
        </w:tc>
        <w:tc>
          <w:tcPr>
            <w:tcW w:w="3714" w:type="pct"/>
            <w:tcBorders>
              <w:top w:val="nil"/>
              <w:left w:val="nil"/>
              <w:bottom w:val="single" w:sz="4" w:space="0" w:color="auto"/>
              <w:right w:val="single" w:sz="4" w:space="0" w:color="auto"/>
            </w:tcBorders>
            <w:shd w:val="clear" w:color="auto" w:fill="auto"/>
            <w:vAlign w:val="center"/>
            <w:hideMark/>
          </w:tcPr>
          <w:p w14:paraId="68DFBBA6"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对有控制权但不并表的金融机构的其他一级资本投资</w:t>
            </w:r>
          </w:p>
        </w:tc>
        <w:tc>
          <w:tcPr>
            <w:tcW w:w="966" w:type="pct"/>
            <w:tcBorders>
              <w:top w:val="nil"/>
              <w:left w:val="nil"/>
              <w:bottom w:val="single" w:sz="4" w:space="0" w:color="auto"/>
              <w:right w:val="single" w:sz="4" w:space="0" w:color="auto"/>
            </w:tcBorders>
            <w:shd w:val="clear" w:color="auto" w:fill="auto"/>
            <w:vAlign w:val="bottom"/>
          </w:tcPr>
          <w:p w14:paraId="6A2EBAAD" w14:textId="77777777" w:rsidR="00CE7787" w:rsidRPr="003C4A0F" w:rsidRDefault="00CE7787" w:rsidP="003C4A0F">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 xml:space="preserve">- </w:t>
            </w:r>
          </w:p>
        </w:tc>
      </w:tr>
      <w:tr w:rsidR="00CE7787" w:rsidRPr="00662CA8" w14:paraId="7864E05D"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5F4F7657"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41b</w:t>
            </w:r>
          </w:p>
        </w:tc>
        <w:tc>
          <w:tcPr>
            <w:tcW w:w="3714" w:type="pct"/>
            <w:tcBorders>
              <w:top w:val="nil"/>
              <w:left w:val="nil"/>
              <w:bottom w:val="single" w:sz="4" w:space="0" w:color="auto"/>
              <w:right w:val="single" w:sz="4" w:space="0" w:color="auto"/>
            </w:tcBorders>
            <w:shd w:val="clear" w:color="auto" w:fill="auto"/>
            <w:vAlign w:val="center"/>
            <w:hideMark/>
          </w:tcPr>
          <w:p w14:paraId="067BC0C6"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对有控制权但不并表的金融机构的其他一级资本缺口</w:t>
            </w:r>
          </w:p>
        </w:tc>
        <w:tc>
          <w:tcPr>
            <w:tcW w:w="966" w:type="pct"/>
            <w:tcBorders>
              <w:top w:val="nil"/>
              <w:left w:val="nil"/>
              <w:bottom w:val="single" w:sz="4" w:space="0" w:color="auto"/>
              <w:right w:val="single" w:sz="4" w:space="0" w:color="auto"/>
            </w:tcBorders>
            <w:shd w:val="clear" w:color="auto" w:fill="auto"/>
            <w:vAlign w:val="bottom"/>
          </w:tcPr>
          <w:p w14:paraId="549F2540" w14:textId="77777777" w:rsidR="00CE7787" w:rsidRPr="003C4A0F" w:rsidRDefault="00CE7787" w:rsidP="003C4A0F">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 xml:space="preserve">- </w:t>
            </w:r>
          </w:p>
        </w:tc>
      </w:tr>
      <w:tr w:rsidR="00CE7787" w:rsidRPr="00662CA8" w14:paraId="4DDB34E1"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51004100"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41c</w:t>
            </w:r>
          </w:p>
        </w:tc>
        <w:tc>
          <w:tcPr>
            <w:tcW w:w="3714" w:type="pct"/>
            <w:tcBorders>
              <w:top w:val="nil"/>
              <w:left w:val="nil"/>
              <w:bottom w:val="single" w:sz="4" w:space="0" w:color="auto"/>
              <w:right w:val="single" w:sz="4" w:space="0" w:color="auto"/>
            </w:tcBorders>
            <w:shd w:val="clear" w:color="auto" w:fill="auto"/>
            <w:vAlign w:val="center"/>
            <w:hideMark/>
          </w:tcPr>
          <w:p w14:paraId="11CA8886"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其他应在其他一级资本中扣除的项目</w:t>
            </w:r>
          </w:p>
        </w:tc>
        <w:tc>
          <w:tcPr>
            <w:tcW w:w="966" w:type="pct"/>
            <w:tcBorders>
              <w:top w:val="nil"/>
              <w:left w:val="nil"/>
              <w:bottom w:val="single" w:sz="4" w:space="0" w:color="auto"/>
              <w:right w:val="single" w:sz="4" w:space="0" w:color="auto"/>
            </w:tcBorders>
            <w:shd w:val="clear" w:color="auto" w:fill="auto"/>
            <w:vAlign w:val="bottom"/>
          </w:tcPr>
          <w:p w14:paraId="21E44942" w14:textId="77777777" w:rsidR="00CE7787" w:rsidRPr="003C4A0F" w:rsidRDefault="00CE7787" w:rsidP="003C4A0F">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 xml:space="preserve">- </w:t>
            </w:r>
          </w:p>
        </w:tc>
      </w:tr>
      <w:tr w:rsidR="00CE7787" w:rsidRPr="00662CA8" w14:paraId="71FE5790"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6D8875A6"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42</w:t>
            </w:r>
          </w:p>
        </w:tc>
        <w:tc>
          <w:tcPr>
            <w:tcW w:w="3714" w:type="pct"/>
            <w:tcBorders>
              <w:top w:val="nil"/>
              <w:left w:val="nil"/>
              <w:bottom w:val="single" w:sz="4" w:space="0" w:color="auto"/>
              <w:right w:val="single" w:sz="4" w:space="0" w:color="auto"/>
            </w:tcBorders>
            <w:shd w:val="clear" w:color="auto" w:fill="auto"/>
            <w:vAlign w:val="center"/>
            <w:hideMark/>
          </w:tcPr>
          <w:p w14:paraId="2716604F"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应从二级资本中扣除的未扣缺口</w:t>
            </w:r>
          </w:p>
        </w:tc>
        <w:tc>
          <w:tcPr>
            <w:tcW w:w="966" w:type="pct"/>
            <w:tcBorders>
              <w:top w:val="nil"/>
              <w:left w:val="nil"/>
              <w:bottom w:val="single" w:sz="4" w:space="0" w:color="auto"/>
              <w:right w:val="single" w:sz="4" w:space="0" w:color="auto"/>
            </w:tcBorders>
            <w:shd w:val="clear" w:color="auto" w:fill="auto"/>
            <w:vAlign w:val="bottom"/>
          </w:tcPr>
          <w:p w14:paraId="20798C0B" w14:textId="77777777" w:rsidR="00CE7787" w:rsidRPr="003C4A0F" w:rsidRDefault="00CE7787" w:rsidP="003C4A0F">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 xml:space="preserve">- </w:t>
            </w:r>
          </w:p>
        </w:tc>
      </w:tr>
      <w:tr w:rsidR="00CE7787" w:rsidRPr="00662CA8" w14:paraId="7226D844"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457219C9"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43</w:t>
            </w:r>
          </w:p>
        </w:tc>
        <w:tc>
          <w:tcPr>
            <w:tcW w:w="3714" w:type="pct"/>
            <w:tcBorders>
              <w:top w:val="nil"/>
              <w:left w:val="nil"/>
              <w:bottom w:val="single" w:sz="4" w:space="0" w:color="auto"/>
              <w:right w:val="single" w:sz="4" w:space="0" w:color="auto"/>
            </w:tcBorders>
            <w:shd w:val="clear" w:color="auto" w:fill="auto"/>
            <w:vAlign w:val="center"/>
            <w:hideMark/>
          </w:tcPr>
          <w:p w14:paraId="45541234"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其他一级资本监管调整总和</w:t>
            </w:r>
          </w:p>
        </w:tc>
        <w:tc>
          <w:tcPr>
            <w:tcW w:w="966" w:type="pct"/>
            <w:tcBorders>
              <w:top w:val="nil"/>
              <w:left w:val="nil"/>
              <w:bottom w:val="single" w:sz="4" w:space="0" w:color="auto"/>
              <w:right w:val="single" w:sz="4" w:space="0" w:color="auto"/>
            </w:tcBorders>
            <w:shd w:val="clear" w:color="auto" w:fill="auto"/>
            <w:vAlign w:val="bottom"/>
          </w:tcPr>
          <w:p w14:paraId="454B3B18" w14:textId="77777777" w:rsidR="00CE7787" w:rsidRPr="003C4A0F" w:rsidRDefault="00CE7787" w:rsidP="003C4A0F">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 xml:space="preserve">- </w:t>
            </w:r>
          </w:p>
        </w:tc>
      </w:tr>
      <w:tr w:rsidR="008369C8" w:rsidRPr="00662CA8" w14:paraId="7ED77F77" w14:textId="77777777" w:rsidTr="00A7393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57438CA8"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44</w:t>
            </w:r>
          </w:p>
        </w:tc>
        <w:tc>
          <w:tcPr>
            <w:tcW w:w="3714" w:type="pct"/>
            <w:tcBorders>
              <w:top w:val="nil"/>
              <w:left w:val="nil"/>
              <w:bottom w:val="single" w:sz="4" w:space="0" w:color="auto"/>
              <w:right w:val="single" w:sz="4" w:space="0" w:color="auto"/>
            </w:tcBorders>
            <w:shd w:val="clear" w:color="auto" w:fill="auto"/>
            <w:vAlign w:val="center"/>
            <w:hideMark/>
          </w:tcPr>
          <w:p w14:paraId="5577EEDC"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其他一级资本</w:t>
            </w:r>
          </w:p>
        </w:tc>
        <w:tc>
          <w:tcPr>
            <w:tcW w:w="966" w:type="pct"/>
            <w:tcBorders>
              <w:top w:val="nil"/>
              <w:left w:val="nil"/>
              <w:bottom w:val="single" w:sz="4" w:space="0" w:color="auto"/>
              <w:right w:val="single" w:sz="4" w:space="0" w:color="auto"/>
            </w:tcBorders>
            <w:shd w:val="clear" w:color="auto" w:fill="auto"/>
          </w:tcPr>
          <w:p w14:paraId="751341FD" w14:textId="56B0776B"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313,912.62 </w:t>
            </w:r>
          </w:p>
        </w:tc>
      </w:tr>
      <w:tr w:rsidR="008369C8" w:rsidRPr="00662CA8" w14:paraId="5D4332D4" w14:textId="77777777" w:rsidTr="00A7393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2C42027A"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45</w:t>
            </w:r>
          </w:p>
        </w:tc>
        <w:tc>
          <w:tcPr>
            <w:tcW w:w="3714" w:type="pct"/>
            <w:tcBorders>
              <w:top w:val="nil"/>
              <w:left w:val="nil"/>
              <w:bottom w:val="single" w:sz="4" w:space="0" w:color="auto"/>
              <w:right w:val="single" w:sz="4" w:space="0" w:color="auto"/>
            </w:tcBorders>
            <w:shd w:val="clear" w:color="auto" w:fill="auto"/>
            <w:vAlign w:val="center"/>
            <w:hideMark/>
          </w:tcPr>
          <w:p w14:paraId="7B65BABD"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一级资本（核心一级资本</w:t>
            </w:r>
            <w:r w:rsidRPr="00662CA8">
              <w:rPr>
                <w:rFonts w:ascii="Times New Roman" w:eastAsia="宋体" w:hAnsi="Times New Roman" w:cs="Times New Roman"/>
                <w:color w:val="000000"/>
                <w:kern w:val="0"/>
                <w:sz w:val="22"/>
              </w:rPr>
              <w:t>+</w:t>
            </w:r>
            <w:r w:rsidRPr="00662CA8">
              <w:rPr>
                <w:rFonts w:ascii="Times New Roman" w:eastAsia="宋体" w:hAnsi="Times New Roman" w:cs="Times New Roman"/>
                <w:color w:val="000000"/>
                <w:kern w:val="0"/>
                <w:sz w:val="22"/>
              </w:rPr>
              <w:t>其他一级资本）</w:t>
            </w:r>
          </w:p>
        </w:tc>
        <w:tc>
          <w:tcPr>
            <w:tcW w:w="966" w:type="pct"/>
            <w:tcBorders>
              <w:top w:val="nil"/>
              <w:left w:val="nil"/>
              <w:bottom w:val="single" w:sz="4" w:space="0" w:color="auto"/>
              <w:right w:val="single" w:sz="4" w:space="0" w:color="auto"/>
            </w:tcBorders>
            <w:shd w:val="clear" w:color="auto" w:fill="auto"/>
          </w:tcPr>
          <w:p w14:paraId="08B9DC40" w14:textId="60C59356"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3,765,679.80 </w:t>
            </w:r>
          </w:p>
        </w:tc>
      </w:tr>
      <w:tr w:rsidR="00AB6D2C" w:rsidRPr="00662CA8" w14:paraId="530C52C3" w14:textId="77777777"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14:paraId="7601D5F7" w14:textId="77777777"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二级资本</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3F7A5499" w14:textId="77777777" w:rsidR="00AB6D2C" w:rsidRPr="00390D01" w:rsidRDefault="00AB6D2C" w:rsidP="00AB6D2C">
            <w:pPr>
              <w:widowControl/>
              <w:jc w:val="right"/>
              <w:rPr>
                <w:rFonts w:ascii="Times New Roman" w:eastAsia="宋体" w:hAnsi="Times New Roman" w:cs="Times New Roman"/>
                <w:color w:val="000000"/>
                <w:kern w:val="0"/>
                <w:sz w:val="22"/>
              </w:rPr>
            </w:pPr>
            <w:r w:rsidRPr="00390D01">
              <w:rPr>
                <w:rFonts w:ascii="Times New Roman" w:eastAsia="宋体" w:hAnsi="Times New Roman" w:cs="Times New Roman"/>
                <w:color w:val="000000"/>
                <w:kern w:val="0"/>
                <w:sz w:val="22"/>
              </w:rPr>
              <w:t xml:space="preserve">　</w:t>
            </w:r>
          </w:p>
        </w:tc>
      </w:tr>
      <w:tr w:rsidR="008369C8" w:rsidRPr="00662CA8" w14:paraId="2CC8C808" w14:textId="77777777" w:rsidTr="00A7393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ACFF33C"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46</w:t>
            </w:r>
          </w:p>
        </w:tc>
        <w:tc>
          <w:tcPr>
            <w:tcW w:w="3714" w:type="pct"/>
            <w:tcBorders>
              <w:top w:val="nil"/>
              <w:left w:val="nil"/>
              <w:bottom w:val="single" w:sz="4" w:space="0" w:color="auto"/>
              <w:right w:val="single" w:sz="4" w:space="0" w:color="auto"/>
            </w:tcBorders>
            <w:shd w:val="clear" w:color="auto" w:fill="auto"/>
            <w:vAlign w:val="center"/>
            <w:hideMark/>
          </w:tcPr>
          <w:p w14:paraId="36B309F5"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二级资本工具及其溢价</w:t>
            </w:r>
          </w:p>
        </w:tc>
        <w:tc>
          <w:tcPr>
            <w:tcW w:w="966" w:type="pct"/>
            <w:tcBorders>
              <w:top w:val="nil"/>
              <w:left w:val="nil"/>
              <w:bottom w:val="single" w:sz="4" w:space="0" w:color="auto"/>
              <w:right w:val="single" w:sz="4" w:space="0" w:color="auto"/>
            </w:tcBorders>
            <w:shd w:val="clear" w:color="auto" w:fill="auto"/>
          </w:tcPr>
          <w:p w14:paraId="0D91C896" w14:textId="253D6043"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449,957.80 </w:t>
            </w:r>
          </w:p>
        </w:tc>
      </w:tr>
      <w:tr w:rsidR="008369C8" w:rsidRPr="00662CA8" w14:paraId="28854B89" w14:textId="77777777" w:rsidTr="00A7393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2DAEB4D2"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47</w:t>
            </w:r>
          </w:p>
        </w:tc>
        <w:tc>
          <w:tcPr>
            <w:tcW w:w="3714" w:type="pct"/>
            <w:tcBorders>
              <w:top w:val="nil"/>
              <w:left w:val="nil"/>
              <w:bottom w:val="single" w:sz="4" w:space="0" w:color="auto"/>
              <w:right w:val="single" w:sz="4" w:space="0" w:color="auto"/>
            </w:tcBorders>
            <w:shd w:val="clear" w:color="auto" w:fill="auto"/>
            <w:vAlign w:val="center"/>
            <w:hideMark/>
          </w:tcPr>
          <w:p w14:paraId="225BB4EE"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过渡期后不可计入二级资本的部分</w:t>
            </w:r>
          </w:p>
        </w:tc>
        <w:tc>
          <w:tcPr>
            <w:tcW w:w="966" w:type="pct"/>
            <w:tcBorders>
              <w:top w:val="nil"/>
              <w:left w:val="nil"/>
              <w:bottom w:val="single" w:sz="4" w:space="0" w:color="auto"/>
              <w:right w:val="single" w:sz="4" w:space="0" w:color="auto"/>
            </w:tcBorders>
            <w:shd w:val="clear" w:color="auto" w:fill="auto"/>
          </w:tcPr>
          <w:p w14:paraId="3338E3BB" w14:textId="00732241"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 </w:t>
            </w:r>
          </w:p>
        </w:tc>
      </w:tr>
      <w:tr w:rsidR="008369C8" w:rsidRPr="00662CA8" w14:paraId="449B9EFF" w14:textId="77777777" w:rsidTr="00A7393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CAF8F01"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48</w:t>
            </w:r>
          </w:p>
        </w:tc>
        <w:tc>
          <w:tcPr>
            <w:tcW w:w="3714" w:type="pct"/>
            <w:tcBorders>
              <w:top w:val="nil"/>
              <w:left w:val="nil"/>
              <w:bottom w:val="single" w:sz="4" w:space="0" w:color="auto"/>
              <w:right w:val="single" w:sz="4" w:space="0" w:color="auto"/>
            </w:tcBorders>
            <w:shd w:val="clear" w:color="auto" w:fill="auto"/>
            <w:vAlign w:val="center"/>
            <w:hideMark/>
          </w:tcPr>
          <w:p w14:paraId="160DD0BD"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少数股东资本可计入部分</w:t>
            </w:r>
          </w:p>
        </w:tc>
        <w:tc>
          <w:tcPr>
            <w:tcW w:w="966" w:type="pct"/>
            <w:tcBorders>
              <w:top w:val="nil"/>
              <w:left w:val="nil"/>
              <w:bottom w:val="single" w:sz="4" w:space="0" w:color="auto"/>
              <w:right w:val="single" w:sz="4" w:space="0" w:color="auto"/>
            </w:tcBorders>
            <w:shd w:val="clear" w:color="auto" w:fill="auto"/>
          </w:tcPr>
          <w:p w14:paraId="2B0D9F0E" w14:textId="01C1A8E9"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28,044.72 </w:t>
            </w:r>
          </w:p>
        </w:tc>
      </w:tr>
      <w:tr w:rsidR="008369C8" w:rsidRPr="00662CA8" w14:paraId="4984C146" w14:textId="77777777" w:rsidTr="00A7393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212F7E58"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49</w:t>
            </w:r>
          </w:p>
        </w:tc>
        <w:tc>
          <w:tcPr>
            <w:tcW w:w="3714" w:type="pct"/>
            <w:tcBorders>
              <w:top w:val="nil"/>
              <w:left w:val="nil"/>
              <w:bottom w:val="single" w:sz="4" w:space="0" w:color="auto"/>
              <w:right w:val="single" w:sz="4" w:space="0" w:color="auto"/>
            </w:tcBorders>
            <w:shd w:val="clear" w:color="auto" w:fill="auto"/>
            <w:vAlign w:val="center"/>
            <w:hideMark/>
          </w:tcPr>
          <w:p w14:paraId="360ECA6A"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其中：过渡期结束后不可计入的部分</w:t>
            </w:r>
          </w:p>
        </w:tc>
        <w:tc>
          <w:tcPr>
            <w:tcW w:w="966" w:type="pct"/>
            <w:tcBorders>
              <w:top w:val="nil"/>
              <w:left w:val="nil"/>
              <w:bottom w:val="single" w:sz="4" w:space="0" w:color="auto"/>
              <w:right w:val="single" w:sz="4" w:space="0" w:color="auto"/>
            </w:tcBorders>
            <w:shd w:val="clear" w:color="auto" w:fill="auto"/>
          </w:tcPr>
          <w:p w14:paraId="7078132E" w14:textId="3C884039"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 </w:t>
            </w:r>
          </w:p>
        </w:tc>
      </w:tr>
      <w:tr w:rsidR="008369C8" w:rsidRPr="00662CA8" w14:paraId="4C1EC88B" w14:textId="77777777" w:rsidTr="00A7393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04F7741F" w14:textId="77777777" w:rsidR="008369C8" w:rsidRPr="00CC3C4C" w:rsidRDefault="008369C8" w:rsidP="008369C8">
            <w:pPr>
              <w:widowControl/>
              <w:jc w:val="center"/>
              <w:rPr>
                <w:rFonts w:ascii="Times New Roman" w:eastAsia="宋体" w:hAnsi="Times New Roman" w:cs="Times New Roman"/>
                <w:color w:val="000000"/>
                <w:kern w:val="0"/>
                <w:sz w:val="22"/>
              </w:rPr>
            </w:pPr>
            <w:r w:rsidRPr="00CC3C4C">
              <w:rPr>
                <w:rFonts w:ascii="Times New Roman" w:eastAsia="宋体" w:hAnsi="Times New Roman" w:cs="Times New Roman"/>
                <w:color w:val="000000"/>
                <w:kern w:val="0"/>
                <w:sz w:val="22"/>
              </w:rPr>
              <w:t>50</w:t>
            </w:r>
          </w:p>
        </w:tc>
        <w:tc>
          <w:tcPr>
            <w:tcW w:w="3714" w:type="pct"/>
            <w:tcBorders>
              <w:top w:val="nil"/>
              <w:left w:val="nil"/>
              <w:bottom w:val="single" w:sz="4" w:space="0" w:color="auto"/>
              <w:right w:val="single" w:sz="4" w:space="0" w:color="auto"/>
            </w:tcBorders>
            <w:shd w:val="clear" w:color="auto" w:fill="auto"/>
            <w:vAlign w:val="center"/>
            <w:hideMark/>
          </w:tcPr>
          <w:p w14:paraId="242E8D00" w14:textId="77777777" w:rsidR="008369C8" w:rsidRPr="00CC3C4C" w:rsidRDefault="008369C8" w:rsidP="008369C8">
            <w:pPr>
              <w:widowControl/>
              <w:rPr>
                <w:rFonts w:ascii="Times New Roman" w:eastAsia="宋体" w:hAnsi="Times New Roman" w:cs="Times New Roman"/>
                <w:color w:val="000000"/>
                <w:kern w:val="0"/>
                <w:sz w:val="22"/>
              </w:rPr>
            </w:pPr>
            <w:r w:rsidRPr="00CC3C4C">
              <w:rPr>
                <w:rFonts w:ascii="Times New Roman" w:eastAsia="宋体" w:hAnsi="Times New Roman" w:cs="Times New Roman"/>
                <w:color w:val="000000"/>
                <w:kern w:val="0"/>
                <w:sz w:val="22"/>
              </w:rPr>
              <w:t>超额贷款损失准备可计入部分</w:t>
            </w:r>
          </w:p>
        </w:tc>
        <w:tc>
          <w:tcPr>
            <w:tcW w:w="966" w:type="pct"/>
            <w:tcBorders>
              <w:top w:val="nil"/>
              <w:left w:val="nil"/>
              <w:bottom w:val="single" w:sz="4" w:space="0" w:color="auto"/>
              <w:right w:val="single" w:sz="4" w:space="0" w:color="auto"/>
            </w:tcBorders>
            <w:shd w:val="clear" w:color="auto" w:fill="auto"/>
          </w:tcPr>
          <w:p w14:paraId="28E3F445" w14:textId="531ADCC7" w:rsidR="008369C8" w:rsidRPr="00CC3C4C" w:rsidRDefault="000C515C" w:rsidP="008369C8">
            <w:pPr>
              <w:widowControl/>
              <w:jc w:val="right"/>
              <w:rPr>
                <w:rFonts w:ascii="Times New Roman" w:eastAsia="宋体" w:hAnsi="Times New Roman" w:cs="Times New Roman"/>
                <w:color w:val="000000"/>
                <w:kern w:val="0"/>
                <w:sz w:val="22"/>
              </w:rPr>
            </w:pPr>
            <w:r w:rsidRPr="00CC3C4C">
              <w:rPr>
                <w:rFonts w:ascii="Times New Roman" w:eastAsia="宋体" w:hAnsi="Times New Roman" w:cs="Times New Roman"/>
                <w:color w:val="000000"/>
                <w:kern w:val="0"/>
                <w:sz w:val="22"/>
              </w:rPr>
              <w:t xml:space="preserve">420,147.44 </w:t>
            </w:r>
            <w:r w:rsidR="008369C8" w:rsidRPr="00CC3C4C">
              <w:rPr>
                <w:rFonts w:ascii="Times New Roman" w:eastAsia="宋体" w:hAnsi="Times New Roman" w:cs="Times New Roman"/>
                <w:color w:val="000000"/>
                <w:kern w:val="0"/>
                <w:sz w:val="22"/>
              </w:rPr>
              <w:t xml:space="preserve"> </w:t>
            </w:r>
          </w:p>
        </w:tc>
      </w:tr>
      <w:tr w:rsidR="008369C8" w:rsidRPr="00662CA8" w14:paraId="387EA838" w14:textId="77777777" w:rsidTr="00A7393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54004F4A" w14:textId="77777777" w:rsidR="008369C8" w:rsidRPr="00CC3C4C" w:rsidRDefault="008369C8" w:rsidP="008369C8">
            <w:pPr>
              <w:widowControl/>
              <w:jc w:val="center"/>
              <w:rPr>
                <w:rFonts w:ascii="Times New Roman" w:eastAsia="宋体" w:hAnsi="Times New Roman" w:cs="Times New Roman"/>
                <w:color w:val="000000"/>
                <w:kern w:val="0"/>
                <w:sz w:val="22"/>
              </w:rPr>
            </w:pPr>
            <w:r w:rsidRPr="00CC3C4C">
              <w:rPr>
                <w:rFonts w:ascii="Times New Roman" w:eastAsia="宋体" w:hAnsi="Times New Roman" w:cs="Times New Roman"/>
                <w:color w:val="000000"/>
                <w:kern w:val="0"/>
                <w:sz w:val="22"/>
              </w:rPr>
              <w:t>51</w:t>
            </w:r>
          </w:p>
        </w:tc>
        <w:tc>
          <w:tcPr>
            <w:tcW w:w="3714" w:type="pct"/>
            <w:tcBorders>
              <w:top w:val="nil"/>
              <w:left w:val="nil"/>
              <w:bottom w:val="single" w:sz="4" w:space="0" w:color="auto"/>
              <w:right w:val="single" w:sz="4" w:space="0" w:color="auto"/>
            </w:tcBorders>
            <w:shd w:val="clear" w:color="auto" w:fill="auto"/>
            <w:vAlign w:val="center"/>
            <w:hideMark/>
          </w:tcPr>
          <w:p w14:paraId="2AEEBF13" w14:textId="77777777" w:rsidR="008369C8" w:rsidRPr="00CC3C4C" w:rsidRDefault="008369C8" w:rsidP="008369C8">
            <w:pPr>
              <w:widowControl/>
              <w:rPr>
                <w:rFonts w:ascii="Times New Roman" w:eastAsia="宋体" w:hAnsi="Times New Roman" w:cs="Times New Roman"/>
                <w:color w:val="000000"/>
                <w:kern w:val="0"/>
                <w:sz w:val="22"/>
              </w:rPr>
            </w:pPr>
            <w:r w:rsidRPr="00CC3C4C">
              <w:rPr>
                <w:rFonts w:ascii="Times New Roman" w:eastAsia="宋体" w:hAnsi="Times New Roman" w:cs="Times New Roman"/>
                <w:color w:val="000000"/>
                <w:kern w:val="0"/>
                <w:sz w:val="22"/>
              </w:rPr>
              <w:t>监管调整前的二级资本</w:t>
            </w:r>
          </w:p>
        </w:tc>
        <w:tc>
          <w:tcPr>
            <w:tcW w:w="966" w:type="pct"/>
            <w:tcBorders>
              <w:top w:val="nil"/>
              <w:left w:val="nil"/>
              <w:bottom w:val="single" w:sz="4" w:space="0" w:color="auto"/>
              <w:right w:val="single" w:sz="4" w:space="0" w:color="auto"/>
            </w:tcBorders>
            <w:shd w:val="clear" w:color="auto" w:fill="auto"/>
          </w:tcPr>
          <w:p w14:paraId="2424F2AD" w14:textId="55ECED45" w:rsidR="008369C8" w:rsidRPr="00CC3C4C" w:rsidRDefault="000C515C" w:rsidP="008369C8">
            <w:pPr>
              <w:widowControl/>
              <w:jc w:val="right"/>
              <w:rPr>
                <w:rFonts w:ascii="Times New Roman" w:eastAsia="宋体" w:hAnsi="Times New Roman" w:cs="Times New Roman"/>
                <w:color w:val="000000"/>
                <w:kern w:val="0"/>
                <w:sz w:val="22"/>
              </w:rPr>
            </w:pPr>
            <w:r w:rsidRPr="00CC3C4C">
              <w:rPr>
                <w:rFonts w:ascii="Times New Roman" w:eastAsia="宋体" w:hAnsi="Times New Roman" w:cs="Times New Roman"/>
                <w:color w:val="000000"/>
                <w:kern w:val="0"/>
                <w:sz w:val="22"/>
              </w:rPr>
              <w:t xml:space="preserve">898,149.96 </w:t>
            </w:r>
            <w:r w:rsidR="008369C8" w:rsidRPr="00CC3C4C">
              <w:rPr>
                <w:rFonts w:ascii="Times New Roman" w:eastAsia="宋体" w:hAnsi="Times New Roman" w:cs="Times New Roman"/>
                <w:color w:val="000000"/>
                <w:kern w:val="0"/>
                <w:sz w:val="22"/>
              </w:rPr>
              <w:t xml:space="preserve"> </w:t>
            </w:r>
          </w:p>
        </w:tc>
      </w:tr>
      <w:tr w:rsidR="00AB6D2C" w:rsidRPr="00662CA8" w14:paraId="5710C820" w14:textId="77777777" w:rsidTr="008F5E9D">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14:paraId="6E085038" w14:textId="77777777"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二级资本：监管调整</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4FFA796A" w14:textId="77777777" w:rsidR="00AB6D2C" w:rsidRPr="00662CA8" w:rsidRDefault="00AB6D2C" w:rsidP="00AB6D2C">
            <w:pPr>
              <w:widowControl/>
              <w:jc w:val="right"/>
              <w:rPr>
                <w:rFonts w:ascii="Times New Roman" w:eastAsia="宋体" w:hAnsi="Times New Roman" w:cs="Times New Roman"/>
                <w:color w:val="000000"/>
                <w:kern w:val="0"/>
                <w:sz w:val="22"/>
              </w:rPr>
            </w:pPr>
          </w:p>
        </w:tc>
      </w:tr>
      <w:tr w:rsidR="00CE7787" w:rsidRPr="00662CA8" w14:paraId="7AEFA788"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39DA4DB1"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52</w:t>
            </w:r>
          </w:p>
        </w:tc>
        <w:tc>
          <w:tcPr>
            <w:tcW w:w="3714" w:type="pct"/>
            <w:tcBorders>
              <w:top w:val="nil"/>
              <w:left w:val="nil"/>
              <w:bottom w:val="single" w:sz="4" w:space="0" w:color="auto"/>
              <w:right w:val="single" w:sz="4" w:space="0" w:color="auto"/>
            </w:tcBorders>
            <w:shd w:val="clear" w:color="auto" w:fill="auto"/>
            <w:vAlign w:val="center"/>
            <w:hideMark/>
          </w:tcPr>
          <w:p w14:paraId="06E33F85"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直接或间接持有的本银行的二级资本</w:t>
            </w:r>
          </w:p>
        </w:tc>
        <w:tc>
          <w:tcPr>
            <w:tcW w:w="966" w:type="pct"/>
            <w:tcBorders>
              <w:top w:val="nil"/>
              <w:left w:val="nil"/>
              <w:bottom w:val="single" w:sz="4" w:space="0" w:color="auto"/>
              <w:right w:val="single" w:sz="4" w:space="0" w:color="auto"/>
            </w:tcBorders>
            <w:shd w:val="clear" w:color="auto" w:fill="auto"/>
            <w:vAlign w:val="bottom"/>
          </w:tcPr>
          <w:p w14:paraId="570877FA" w14:textId="77777777" w:rsidR="00CE7787" w:rsidRPr="003C4A0F" w:rsidRDefault="00CE7787" w:rsidP="00CE7787">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 xml:space="preserve">- </w:t>
            </w:r>
          </w:p>
        </w:tc>
      </w:tr>
      <w:tr w:rsidR="00CE7787" w:rsidRPr="00662CA8" w14:paraId="7EFC1BDD"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56FAF3F5"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53</w:t>
            </w:r>
          </w:p>
        </w:tc>
        <w:tc>
          <w:tcPr>
            <w:tcW w:w="3714" w:type="pct"/>
            <w:tcBorders>
              <w:top w:val="nil"/>
              <w:left w:val="nil"/>
              <w:bottom w:val="single" w:sz="4" w:space="0" w:color="auto"/>
              <w:right w:val="single" w:sz="4" w:space="0" w:color="auto"/>
            </w:tcBorders>
            <w:shd w:val="clear" w:color="auto" w:fill="auto"/>
            <w:vAlign w:val="center"/>
            <w:hideMark/>
          </w:tcPr>
          <w:p w14:paraId="746DD90A"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银行间或银行与其他金融机构间通过协议相互持有的二级资本</w:t>
            </w:r>
          </w:p>
        </w:tc>
        <w:tc>
          <w:tcPr>
            <w:tcW w:w="966" w:type="pct"/>
            <w:tcBorders>
              <w:top w:val="nil"/>
              <w:left w:val="nil"/>
              <w:bottom w:val="single" w:sz="4" w:space="0" w:color="auto"/>
              <w:right w:val="single" w:sz="4" w:space="0" w:color="auto"/>
            </w:tcBorders>
            <w:shd w:val="clear" w:color="auto" w:fill="auto"/>
            <w:vAlign w:val="bottom"/>
          </w:tcPr>
          <w:p w14:paraId="352C4913" w14:textId="77777777" w:rsidR="00CE7787" w:rsidRPr="003C4A0F" w:rsidRDefault="00CE7787" w:rsidP="003C4A0F">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 xml:space="preserve">- </w:t>
            </w:r>
          </w:p>
        </w:tc>
      </w:tr>
      <w:tr w:rsidR="00CE7787" w:rsidRPr="00662CA8" w14:paraId="283F2155"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28C5F5CE"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lastRenderedPageBreak/>
              <w:t>54</w:t>
            </w:r>
          </w:p>
        </w:tc>
        <w:tc>
          <w:tcPr>
            <w:tcW w:w="3714" w:type="pct"/>
            <w:tcBorders>
              <w:top w:val="nil"/>
              <w:left w:val="nil"/>
              <w:bottom w:val="single" w:sz="4" w:space="0" w:color="auto"/>
              <w:right w:val="single" w:sz="4" w:space="0" w:color="auto"/>
            </w:tcBorders>
            <w:shd w:val="clear" w:color="auto" w:fill="auto"/>
            <w:vAlign w:val="center"/>
            <w:hideMark/>
          </w:tcPr>
          <w:p w14:paraId="4D73B7E0"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对未并表金融机构小额少数资本投资中的二级资本应扣除部分</w:t>
            </w:r>
          </w:p>
        </w:tc>
        <w:tc>
          <w:tcPr>
            <w:tcW w:w="966" w:type="pct"/>
            <w:tcBorders>
              <w:top w:val="nil"/>
              <w:left w:val="nil"/>
              <w:bottom w:val="single" w:sz="4" w:space="0" w:color="auto"/>
              <w:right w:val="single" w:sz="4" w:space="0" w:color="auto"/>
            </w:tcBorders>
            <w:shd w:val="clear" w:color="auto" w:fill="auto"/>
            <w:vAlign w:val="bottom"/>
          </w:tcPr>
          <w:p w14:paraId="6B61F69F" w14:textId="77777777" w:rsidR="00CE7787" w:rsidRPr="003C4A0F" w:rsidRDefault="00CE7787" w:rsidP="003C4A0F">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 xml:space="preserve">- </w:t>
            </w:r>
          </w:p>
        </w:tc>
      </w:tr>
      <w:tr w:rsidR="00CE7787" w:rsidRPr="00662CA8" w14:paraId="0F3806A4"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8EE7F31"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55</w:t>
            </w:r>
          </w:p>
        </w:tc>
        <w:tc>
          <w:tcPr>
            <w:tcW w:w="3714" w:type="pct"/>
            <w:tcBorders>
              <w:top w:val="nil"/>
              <w:left w:val="nil"/>
              <w:bottom w:val="single" w:sz="4" w:space="0" w:color="auto"/>
              <w:right w:val="single" w:sz="4" w:space="0" w:color="auto"/>
            </w:tcBorders>
            <w:shd w:val="clear" w:color="auto" w:fill="auto"/>
            <w:vAlign w:val="center"/>
            <w:hideMark/>
          </w:tcPr>
          <w:p w14:paraId="10922EF4"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对未并表金融机构大额少数资本投资中的二级资本</w:t>
            </w:r>
          </w:p>
        </w:tc>
        <w:tc>
          <w:tcPr>
            <w:tcW w:w="966" w:type="pct"/>
            <w:tcBorders>
              <w:top w:val="nil"/>
              <w:left w:val="nil"/>
              <w:bottom w:val="single" w:sz="4" w:space="0" w:color="auto"/>
              <w:right w:val="single" w:sz="4" w:space="0" w:color="auto"/>
            </w:tcBorders>
            <w:shd w:val="clear" w:color="auto" w:fill="auto"/>
            <w:vAlign w:val="bottom"/>
          </w:tcPr>
          <w:p w14:paraId="53200A4D" w14:textId="77777777" w:rsidR="00CE7787" w:rsidRPr="003C4A0F" w:rsidRDefault="00CE7787" w:rsidP="003C4A0F">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 xml:space="preserve">- </w:t>
            </w:r>
          </w:p>
        </w:tc>
      </w:tr>
      <w:tr w:rsidR="00CE7787" w:rsidRPr="00662CA8" w14:paraId="0250FE93"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73636CCF"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56a</w:t>
            </w:r>
          </w:p>
        </w:tc>
        <w:tc>
          <w:tcPr>
            <w:tcW w:w="3714" w:type="pct"/>
            <w:tcBorders>
              <w:top w:val="nil"/>
              <w:left w:val="nil"/>
              <w:bottom w:val="single" w:sz="4" w:space="0" w:color="auto"/>
              <w:right w:val="single" w:sz="4" w:space="0" w:color="auto"/>
            </w:tcBorders>
            <w:shd w:val="clear" w:color="auto" w:fill="auto"/>
            <w:vAlign w:val="center"/>
            <w:hideMark/>
          </w:tcPr>
          <w:p w14:paraId="485239FC"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对有控制权但不并表的金融机构的二级资本投资</w:t>
            </w:r>
          </w:p>
        </w:tc>
        <w:tc>
          <w:tcPr>
            <w:tcW w:w="966" w:type="pct"/>
            <w:tcBorders>
              <w:top w:val="nil"/>
              <w:left w:val="nil"/>
              <w:bottom w:val="single" w:sz="4" w:space="0" w:color="auto"/>
              <w:right w:val="single" w:sz="4" w:space="0" w:color="auto"/>
            </w:tcBorders>
            <w:shd w:val="clear" w:color="auto" w:fill="auto"/>
            <w:vAlign w:val="bottom"/>
          </w:tcPr>
          <w:p w14:paraId="15874AE5" w14:textId="77777777" w:rsidR="00CE7787" w:rsidRPr="003C4A0F" w:rsidRDefault="00CE7787" w:rsidP="003C4A0F">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 xml:space="preserve">- </w:t>
            </w:r>
          </w:p>
        </w:tc>
      </w:tr>
      <w:tr w:rsidR="00CE7787" w:rsidRPr="00662CA8" w14:paraId="09F1242F"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7842F689"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56b</w:t>
            </w:r>
          </w:p>
        </w:tc>
        <w:tc>
          <w:tcPr>
            <w:tcW w:w="3714" w:type="pct"/>
            <w:tcBorders>
              <w:top w:val="nil"/>
              <w:left w:val="nil"/>
              <w:bottom w:val="single" w:sz="4" w:space="0" w:color="auto"/>
              <w:right w:val="single" w:sz="4" w:space="0" w:color="auto"/>
            </w:tcBorders>
            <w:shd w:val="clear" w:color="auto" w:fill="auto"/>
            <w:vAlign w:val="center"/>
            <w:hideMark/>
          </w:tcPr>
          <w:p w14:paraId="3BF8DB43"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有控制权但不并表的金融机构的二级资本缺口</w:t>
            </w:r>
          </w:p>
        </w:tc>
        <w:tc>
          <w:tcPr>
            <w:tcW w:w="966" w:type="pct"/>
            <w:tcBorders>
              <w:top w:val="nil"/>
              <w:left w:val="nil"/>
              <w:bottom w:val="single" w:sz="4" w:space="0" w:color="auto"/>
              <w:right w:val="single" w:sz="4" w:space="0" w:color="auto"/>
            </w:tcBorders>
            <w:shd w:val="clear" w:color="auto" w:fill="auto"/>
            <w:vAlign w:val="bottom"/>
          </w:tcPr>
          <w:p w14:paraId="55005CB3" w14:textId="77777777" w:rsidR="00CE7787" w:rsidRPr="003C4A0F" w:rsidRDefault="00CE7787" w:rsidP="003C4A0F">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 xml:space="preserve">- </w:t>
            </w:r>
          </w:p>
        </w:tc>
      </w:tr>
      <w:tr w:rsidR="00CE7787" w:rsidRPr="00662CA8" w14:paraId="02CA0DAA"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0305DACC"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56c</w:t>
            </w:r>
          </w:p>
        </w:tc>
        <w:tc>
          <w:tcPr>
            <w:tcW w:w="3714" w:type="pct"/>
            <w:tcBorders>
              <w:top w:val="nil"/>
              <w:left w:val="nil"/>
              <w:bottom w:val="single" w:sz="4" w:space="0" w:color="auto"/>
              <w:right w:val="single" w:sz="4" w:space="0" w:color="auto"/>
            </w:tcBorders>
            <w:shd w:val="clear" w:color="auto" w:fill="auto"/>
            <w:vAlign w:val="center"/>
            <w:hideMark/>
          </w:tcPr>
          <w:p w14:paraId="12A76EAC"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其他应在二级资本中扣除的项目</w:t>
            </w:r>
          </w:p>
        </w:tc>
        <w:tc>
          <w:tcPr>
            <w:tcW w:w="966" w:type="pct"/>
            <w:tcBorders>
              <w:top w:val="nil"/>
              <w:left w:val="nil"/>
              <w:bottom w:val="single" w:sz="4" w:space="0" w:color="auto"/>
              <w:right w:val="single" w:sz="4" w:space="0" w:color="auto"/>
            </w:tcBorders>
            <w:shd w:val="clear" w:color="auto" w:fill="auto"/>
            <w:vAlign w:val="bottom"/>
          </w:tcPr>
          <w:p w14:paraId="3C4D768F" w14:textId="77777777" w:rsidR="00CE7787" w:rsidRPr="003C4A0F" w:rsidRDefault="00CE7787" w:rsidP="003C4A0F">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 xml:space="preserve">- </w:t>
            </w:r>
          </w:p>
        </w:tc>
      </w:tr>
      <w:tr w:rsidR="00CE7787" w:rsidRPr="00662CA8" w14:paraId="77F50217"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C7AF1B3"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57</w:t>
            </w:r>
          </w:p>
        </w:tc>
        <w:tc>
          <w:tcPr>
            <w:tcW w:w="3714" w:type="pct"/>
            <w:tcBorders>
              <w:top w:val="nil"/>
              <w:left w:val="nil"/>
              <w:bottom w:val="single" w:sz="4" w:space="0" w:color="auto"/>
              <w:right w:val="single" w:sz="4" w:space="0" w:color="auto"/>
            </w:tcBorders>
            <w:shd w:val="clear" w:color="auto" w:fill="auto"/>
            <w:vAlign w:val="center"/>
            <w:hideMark/>
          </w:tcPr>
          <w:p w14:paraId="339729AF"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二级资本监管调整总和</w:t>
            </w:r>
          </w:p>
        </w:tc>
        <w:tc>
          <w:tcPr>
            <w:tcW w:w="966" w:type="pct"/>
            <w:tcBorders>
              <w:top w:val="nil"/>
              <w:left w:val="nil"/>
              <w:bottom w:val="single" w:sz="4" w:space="0" w:color="auto"/>
              <w:right w:val="single" w:sz="4" w:space="0" w:color="auto"/>
            </w:tcBorders>
            <w:shd w:val="clear" w:color="auto" w:fill="auto"/>
            <w:vAlign w:val="bottom"/>
          </w:tcPr>
          <w:p w14:paraId="4926FE42" w14:textId="77777777" w:rsidR="00CE7787" w:rsidRPr="003C4A0F" w:rsidRDefault="00CE7787" w:rsidP="003C4A0F">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 xml:space="preserve">- </w:t>
            </w:r>
          </w:p>
        </w:tc>
      </w:tr>
      <w:tr w:rsidR="000C515C" w:rsidRPr="00662CA8" w14:paraId="745893E1" w14:textId="77777777" w:rsidTr="00A7393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0D5E1D93" w14:textId="77777777" w:rsidR="000C515C" w:rsidRPr="00CC3C4C" w:rsidRDefault="000C515C" w:rsidP="000C515C">
            <w:pPr>
              <w:widowControl/>
              <w:jc w:val="center"/>
              <w:rPr>
                <w:rFonts w:ascii="Times New Roman" w:eastAsia="宋体" w:hAnsi="Times New Roman" w:cs="Times New Roman"/>
                <w:color w:val="000000"/>
                <w:kern w:val="0"/>
                <w:sz w:val="22"/>
              </w:rPr>
            </w:pPr>
            <w:r w:rsidRPr="00CC3C4C">
              <w:rPr>
                <w:rFonts w:ascii="Times New Roman" w:eastAsia="宋体" w:hAnsi="Times New Roman" w:cs="Times New Roman"/>
                <w:color w:val="000000"/>
                <w:kern w:val="0"/>
                <w:sz w:val="22"/>
              </w:rPr>
              <w:t>58</w:t>
            </w:r>
          </w:p>
        </w:tc>
        <w:tc>
          <w:tcPr>
            <w:tcW w:w="3714" w:type="pct"/>
            <w:tcBorders>
              <w:top w:val="nil"/>
              <w:left w:val="nil"/>
              <w:bottom w:val="single" w:sz="4" w:space="0" w:color="auto"/>
              <w:right w:val="single" w:sz="4" w:space="0" w:color="auto"/>
            </w:tcBorders>
            <w:shd w:val="clear" w:color="auto" w:fill="auto"/>
            <w:vAlign w:val="center"/>
            <w:hideMark/>
          </w:tcPr>
          <w:p w14:paraId="6EA1558F" w14:textId="77777777" w:rsidR="000C515C" w:rsidRPr="00CC3C4C" w:rsidRDefault="000C515C" w:rsidP="000C515C">
            <w:pPr>
              <w:widowControl/>
              <w:rPr>
                <w:rFonts w:ascii="Times New Roman" w:eastAsia="宋体" w:hAnsi="Times New Roman" w:cs="Times New Roman"/>
                <w:color w:val="000000"/>
                <w:kern w:val="0"/>
                <w:sz w:val="22"/>
              </w:rPr>
            </w:pPr>
            <w:r w:rsidRPr="00CC3C4C">
              <w:rPr>
                <w:rFonts w:ascii="Times New Roman" w:eastAsia="宋体" w:hAnsi="Times New Roman" w:cs="Times New Roman"/>
                <w:color w:val="000000"/>
                <w:kern w:val="0"/>
                <w:sz w:val="22"/>
              </w:rPr>
              <w:t>二级资本</w:t>
            </w:r>
          </w:p>
        </w:tc>
        <w:tc>
          <w:tcPr>
            <w:tcW w:w="966" w:type="pct"/>
            <w:tcBorders>
              <w:top w:val="nil"/>
              <w:left w:val="nil"/>
              <w:bottom w:val="single" w:sz="4" w:space="0" w:color="auto"/>
              <w:right w:val="single" w:sz="4" w:space="0" w:color="auto"/>
            </w:tcBorders>
            <w:shd w:val="clear" w:color="auto" w:fill="auto"/>
          </w:tcPr>
          <w:p w14:paraId="3E5C41E4" w14:textId="2EF8D242" w:rsidR="000C515C" w:rsidRPr="00CC3C4C" w:rsidRDefault="000C515C" w:rsidP="000C515C">
            <w:pPr>
              <w:widowControl/>
              <w:jc w:val="right"/>
              <w:rPr>
                <w:rFonts w:ascii="Times New Roman" w:eastAsia="宋体" w:hAnsi="Times New Roman" w:cs="Times New Roman"/>
                <w:color w:val="000000"/>
                <w:kern w:val="0"/>
                <w:sz w:val="22"/>
              </w:rPr>
            </w:pPr>
            <w:r w:rsidRPr="00CC3C4C">
              <w:rPr>
                <w:rFonts w:ascii="Times New Roman" w:eastAsia="宋体" w:hAnsi="Times New Roman" w:cs="Times New Roman"/>
                <w:color w:val="000000"/>
                <w:kern w:val="0"/>
                <w:sz w:val="22"/>
              </w:rPr>
              <w:t xml:space="preserve">898,149.96 </w:t>
            </w:r>
          </w:p>
        </w:tc>
      </w:tr>
      <w:tr w:rsidR="000C515C" w:rsidRPr="00662CA8" w14:paraId="718E2030" w14:textId="77777777" w:rsidTr="00A7393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052E0698" w14:textId="77777777" w:rsidR="000C515C" w:rsidRPr="00CC3C4C" w:rsidRDefault="000C515C" w:rsidP="000C515C">
            <w:pPr>
              <w:widowControl/>
              <w:jc w:val="center"/>
              <w:rPr>
                <w:rFonts w:ascii="Times New Roman" w:eastAsia="宋体" w:hAnsi="Times New Roman" w:cs="Times New Roman"/>
                <w:color w:val="000000"/>
                <w:kern w:val="0"/>
                <w:sz w:val="22"/>
              </w:rPr>
            </w:pPr>
            <w:r w:rsidRPr="00CC3C4C">
              <w:rPr>
                <w:rFonts w:ascii="Times New Roman" w:eastAsia="宋体" w:hAnsi="Times New Roman" w:cs="Times New Roman"/>
                <w:color w:val="000000"/>
                <w:kern w:val="0"/>
                <w:sz w:val="22"/>
              </w:rPr>
              <w:t>59</w:t>
            </w:r>
          </w:p>
        </w:tc>
        <w:tc>
          <w:tcPr>
            <w:tcW w:w="3714" w:type="pct"/>
            <w:tcBorders>
              <w:top w:val="nil"/>
              <w:left w:val="nil"/>
              <w:bottom w:val="single" w:sz="4" w:space="0" w:color="auto"/>
              <w:right w:val="single" w:sz="4" w:space="0" w:color="auto"/>
            </w:tcBorders>
            <w:shd w:val="clear" w:color="auto" w:fill="auto"/>
            <w:vAlign w:val="center"/>
            <w:hideMark/>
          </w:tcPr>
          <w:p w14:paraId="51BF9F67" w14:textId="77777777" w:rsidR="000C515C" w:rsidRPr="00CC3C4C" w:rsidRDefault="000C515C" w:rsidP="000C515C">
            <w:pPr>
              <w:widowControl/>
              <w:rPr>
                <w:rFonts w:ascii="Times New Roman" w:eastAsia="宋体" w:hAnsi="Times New Roman" w:cs="Times New Roman"/>
                <w:color w:val="000000"/>
                <w:kern w:val="0"/>
                <w:sz w:val="22"/>
              </w:rPr>
            </w:pPr>
            <w:r w:rsidRPr="00CC3C4C">
              <w:rPr>
                <w:rFonts w:ascii="Times New Roman" w:eastAsia="宋体" w:hAnsi="Times New Roman" w:cs="Times New Roman"/>
                <w:color w:val="000000"/>
                <w:kern w:val="0"/>
                <w:sz w:val="22"/>
              </w:rPr>
              <w:t>总资本（一级资本</w:t>
            </w:r>
            <w:r w:rsidRPr="00CC3C4C">
              <w:rPr>
                <w:rFonts w:ascii="Times New Roman" w:eastAsia="宋体" w:hAnsi="Times New Roman" w:cs="Times New Roman"/>
                <w:color w:val="000000"/>
                <w:kern w:val="0"/>
                <w:sz w:val="22"/>
              </w:rPr>
              <w:t>+</w:t>
            </w:r>
            <w:r w:rsidRPr="00CC3C4C">
              <w:rPr>
                <w:rFonts w:ascii="Times New Roman" w:eastAsia="宋体" w:hAnsi="Times New Roman" w:cs="Times New Roman"/>
                <w:color w:val="000000"/>
                <w:kern w:val="0"/>
                <w:sz w:val="22"/>
              </w:rPr>
              <w:t>二级资本）</w:t>
            </w:r>
          </w:p>
        </w:tc>
        <w:tc>
          <w:tcPr>
            <w:tcW w:w="966" w:type="pct"/>
            <w:tcBorders>
              <w:top w:val="nil"/>
              <w:left w:val="nil"/>
              <w:bottom w:val="single" w:sz="4" w:space="0" w:color="auto"/>
              <w:right w:val="single" w:sz="4" w:space="0" w:color="auto"/>
            </w:tcBorders>
            <w:shd w:val="clear" w:color="auto" w:fill="auto"/>
          </w:tcPr>
          <w:p w14:paraId="3F53165F" w14:textId="141A77A7" w:rsidR="000C515C" w:rsidRPr="00CC3C4C" w:rsidRDefault="000C515C" w:rsidP="000C515C">
            <w:pPr>
              <w:widowControl/>
              <w:jc w:val="right"/>
              <w:rPr>
                <w:rFonts w:ascii="Times New Roman" w:eastAsia="宋体" w:hAnsi="Times New Roman" w:cs="Times New Roman"/>
                <w:color w:val="000000"/>
                <w:kern w:val="0"/>
                <w:sz w:val="22"/>
              </w:rPr>
            </w:pPr>
            <w:r w:rsidRPr="00CC3C4C">
              <w:rPr>
                <w:rFonts w:ascii="Times New Roman" w:eastAsia="宋体" w:hAnsi="Times New Roman" w:cs="Times New Roman"/>
                <w:color w:val="000000"/>
                <w:kern w:val="0"/>
                <w:sz w:val="22"/>
              </w:rPr>
              <w:t xml:space="preserve">4,663,829.76 </w:t>
            </w:r>
          </w:p>
        </w:tc>
      </w:tr>
      <w:tr w:rsidR="000C515C" w:rsidRPr="00662CA8" w14:paraId="3F0AEE59" w14:textId="77777777" w:rsidTr="00A7393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7475BDEE" w14:textId="77777777" w:rsidR="000C515C" w:rsidRPr="00CC3C4C" w:rsidRDefault="000C515C" w:rsidP="000C515C">
            <w:pPr>
              <w:widowControl/>
              <w:jc w:val="center"/>
              <w:rPr>
                <w:rFonts w:ascii="Times New Roman" w:eastAsia="宋体" w:hAnsi="Times New Roman" w:cs="Times New Roman"/>
                <w:color w:val="000000"/>
                <w:kern w:val="0"/>
                <w:sz w:val="22"/>
              </w:rPr>
            </w:pPr>
            <w:r w:rsidRPr="00CC3C4C">
              <w:rPr>
                <w:rFonts w:ascii="Times New Roman" w:eastAsia="宋体" w:hAnsi="Times New Roman" w:cs="Times New Roman"/>
                <w:color w:val="000000"/>
                <w:kern w:val="0"/>
                <w:sz w:val="22"/>
              </w:rPr>
              <w:t>60</w:t>
            </w:r>
          </w:p>
        </w:tc>
        <w:tc>
          <w:tcPr>
            <w:tcW w:w="3714" w:type="pct"/>
            <w:tcBorders>
              <w:top w:val="nil"/>
              <w:left w:val="nil"/>
              <w:bottom w:val="single" w:sz="4" w:space="0" w:color="auto"/>
              <w:right w:val="single" w:sz="4" w:space="0" w:color="auto"/>
            </w:tcBorders>
            <w:shd w:val="clear" w:color="auto" w:fill="auto"/>
            <w:vAlign w:val="center"/>
            <w:hideMark/>
          </w:tcPr>
          <w:p w14:paraId="64045443" w14:textId="77777777" w:rsidR="000C515C" w:rsidRPr="00CC3C4C" w:rsidRDefault="000C515C" w:rsidP="000C515C">
            <w:pPr>
              <w:widowControl/>
              <w:rPr>
                <w:rFonts w:ascii="Times New Roman" w:eastAsia="宋体" w:hAnsi="Times New Roman" w:cs="Times New Roman"/>
                <w:color w:val="000000"/>
                <w:kern w:val="0"/>
                <w:sz w:val="22"/>
              </w:rPr>
            </w:pPr>
            <w:r w:rsidRPr="00CC3C4C">
              <w:rPr>
                <w:rFonts w:ascii="Times New Roman" w:eastAsia="宋体" w:hAnsi="Times New Roman" w:cs="Times New Roman"/>
                <w:color w:val="000000"/>
                <w:kern w:val="0"/>
                <w:sz w:val="22"/>
              </w:rPr>
              <w:t>总风险加权资产</w:t>
            </w:r>
          </w:p>
        </w:tc>
        <w:tc>
          <w:tcPr>
            <w:tcW w:w="966" w:type="pct"/>
            <w:tcBorders>
              <w:top w:val="nil"/>
              <w:left w:val="nil"/>
              <w:bottom w:val="single" w:sz="4" w:space="0" w:color="auto"/>
              <w:right w:val="single" w:sz="4" w:space="0" w:color="auto"/>
            </w:tcBorders>
            <w:shd w:val="clear" w:color="auto" w:fill="auto"/>
          </w:tcPr>
          <w:p w14:paraId="15217179" w14:textId="2FF0BC7D" w:rsidR="000C515C" w:rsidRPr="00CC3C4C" w:rsidRDefault="000C515C" w:rsidP="000C515C">
            <w:pPr>
              <w:widowControl/>
              <w:jc w:val="right"/>
              <w:rPr>
                <w:rFonts w:ascii="Times New Roman" w:eastAsia="宋体" w:hAnsi="Times New Roman" w:cs="Times New Roman"/>
                <w:color w:val="000000"/>
                <w:kern w:val="0"/>
                <w:sz w:val="22"/>
              </w:rPr>
            </w:pPr>
            <w:r w:rsidRPr="00CC3C4C">
              <w:rPr>
                <w:rFonts w:ascii="Times New Roman" w:eastAsia="宋体" w:hAnsi="Times New Roman" w:cs="Times New Roman"/>
                <w:color w:val="000000"/>
                <w:kern w:val="0"/>
                <w:sz w:val="22"/>
              </w:rPr>
              <w:t xml:space="preserve">35,970,161.48 </w:t>
            </w:r>
          </w:p>
        </w:tc>
      </w:tr>
      <w:tr w:rsidR="00AB6D2C" w:rsidRPr="00662CA8" w14:paraId="742D3001" w14:textId="77777777" w:rsidTr="008F5E9D">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14:paraId="2166996F" w14:textId="77777777"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资本充足率和储备资本要求</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78190DA3" w14:textId="77777777" w:rsidR="00AB6D2C" w:rsidRPr="00390D01" w:rsidRDefault="00AB6D2C" w:rsidP="00AB6D2C">
            <w:pPr>
              <w:widowControl/>
              <w:jc w:val="right"/>
              <w:rPr>
                <w:rFonts w:ascii="Times New Roman" w:eastAsia="宋体" w:hAnsi="Times New Roman" w:cs="Times New Roman"/>
                <w:color w:val="000000"/>
                <w:kern w:val="0"/>
                <w:sz w:val="22"/>
              </w:rPr>
            </w:pPr>
          </w:p>
        </w:tc>
      </w:tr>
      <w:tr w:rsidR="008369C8" w:rsidRPr="00662CA8" w14:paraId="70842260" w14:textId="77777777" w:rsidTr="00A7393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04979811"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61</w:t>
            </w:r>
          </w:p>
        </w:tc>
        <w:tc>
          <w:tcPr>
            <w:tcW w:w="3714" w:type="pct"/>
            <w:tcBorders>
              <w:top w:val="nil"/>
              <w:left w:val="nil"/>
              <w:bottom w:val="single" w:sz="4" w:space="0" w:color="auto"/>
              <w:right w:val="single" w:sz="4" w:space="0" w:color="auto"/>
            </w:tcBorders>
            <w:shd w:val="clear" w:color="auto" w:fill="auto"/>
            <w:vAlign w:val="center"/>
            <w:hideMark/>
          </w:tcPr>
          <w:p w14:paraId="46B187D6"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核心一级资本充足率</w:t>
            </w:r>
          </w:p>
        </w:tc>
        <w:tc>
          <w:tcPr>
            <w:tcW w:w="966" w:type="pct"/>
            <w:tcBorders>
              <w:top w:val="nil"/>
              <w:left w:val="nil"/>
              <w:bottom w:val="single" w:sz="4" w:space="0" w:color="auto"/>
              <w:right w:val="single" w:sz="4" w:space="0" w:color="auto"/>
            </w:tcBorders>
            <w:shd w:val="clear" w:color="auto" w:fill="auto"/>
          </w:tcPr>
          <w:p w14:paraId="23B4F768" w14:textId="54D04CF2"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9.60%</w:t>
            </w:r>
          </w:p>
        </w:tc>
      </w:tr>
      <w:tr w:rsidR="008369C8" w:rsidRPr="00662CA8" w14:paraId="5BA488EA" w14:textId="77777777" w:rsidTr="00A7393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827B5AA"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62</w:t>
            </w:r>
          </w:p>
        </w:tc>
        <w:tc>
          <w:tcPr>
            <w:tcW w:w="3714" w:type="pct"/>
            <w:tcBorders>
              <w:top w:val="nil"/>
              <w:left w:val="nil"/>
              <w:bottom w:val="single" w:sz="4" w:space="0" w:color="auto"/>
              <w:right w:val="single" w:sz="4" w:space="0" w:color="auto"/>
            </w:tcBorders>
            <w:shd w:val="clear" w:color="auto" w:fill="auto"/>
            <w:vAlign w:val="center"/>
            <w:hideMark/>
          </w:tcPr>
          <w:p w14:paraId="4670E6BE"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一级资本充足率</w:t>
            </w:r>
          </w:p>
        </w:tc>
        <w:tc>
          <w:tcPr>
            <w:tcW w:w="966" w:type="pct"/>
            <w:tcBorders>
              <w:top w:val="nil"/>
              <w:left w:val="nil"/>
              <w:bottom w:val="single" w:sz="4" w:space="0" w:color="auto"/>
              <w:right w:val="single" w:sz="4" w:space="0" w:color="auto"/>
            </w:tcBorders>
            <w:shd w:val="clear" w:color="auto" w:fill="auto"/>
          </w:tcPr>
          <w:p w14:paraId="7450D266" w14:textId="5BD13D72"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10.47%</w:t>
            </w:r>
          </w:p>
        </w:tc>
      </w:tr>
      <w:tr w:rsidR="008369C8" w:rsidRPr="00662CA8" w14:paraId="52C84CDD" w14:textId="77777777" w:rsidTr="00A7393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52256E92"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63</w:t>
            </w:r>
          </w:p>
        </w:tc>
        <w:tc>
          <w:tcPr>
            <w:tcW w:w="3714" w:type="pct"/>
            <w:tcBorders>
              <w:top w:val="nil"/>
              <w:left w:val="nil"/>
              <w:bottom w:val="single" w:sz="4" w:space="0" w:color="auto"/>
              <w:right w:val="single" w:sz="4" w:space="0" w:color="auto"/>
            </w:tcBorders>
            <w:shd w:val="clear" w:color="auto" w:fill="auto"/>
            <w:vAlign w:val="center"/>
            <w:hideMark/>
          </w:tcPr>
          <w:p w14:paraId="010FB0A8"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资本充足率</w:t>
            </w:r>
          </w:p>
        </w:tc>
        <w:tc>
          <w:tcPr>
            <w:tcW w:w="966" w:type="pct"/>
            <w:tcBorders>
              <w:top w:val="nil"/>
              <w:left w:val="nil"/>
              <w:bottom w:val="single" w:sz="4" w:space="0" w:color="auto"/>
              <w:right w:val="single" w:sz="4" w:space="0" w:color="auto"/>
            </w:tcBorders>
            <w:shd w:val="clear" w:color="auto" w:fill="auto"/>
          </w:tcPr>
          <w:p w14:paraId="51F8D9CC" w14:textId="7C4655D3"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12.97%</w:t>
            </w:r>
          </w:p>
        </w:tc>
      </w:tr>
      <w:tr w:rsidR="00CE7787" w:rsidRPr="00662CA8" w14:paraId="3E54CCC7"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693992D9"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64</w:t>
            </w:r>
          </w:p>
        </w:tc>
        <w:tc>
          <w:tcPr>
            <w:tcW w:w="3714" w:type="pct"/>
            <w:tcBorders>
              <w:top w:val="nil"/>
              <w:left w:val="nil"/>
              <w:bottom w:val="single" w:sz="4" w:space="0" w:color="auto"/>
              <w:right w:val="single" w:sz="4" w:space="0" w:color="auto"/>
            </w:tcBorders>
            <w:shd w:val="clear" w:color="auto" w:fill="auto"/>
            <w:vAlign w:val="center"/>
            <w:hideMark/>
          </w:tcPr>
          <w:p w14:paraId="60C3837E"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机构特定的资本要求</w:t>
            </w:r>
          </w:p>
        </w:tc>
        <w:tc>
          <w:tcPr>
            <w:tcW w:w="966" w:type="pct"/>
            <w:tcBorders>
              <w:top w:val="nil"/>
              <w:left w:val="nil"/>
              <w:bottom w:val="single" w:sz="4" w:space="0" w:color="auto"/>
              <w:right w:val="single" w:sz="4" w:space="0" w:color="auto"/>
            </w:tcBorders>
            <w:shd w:val="clear" w:color="auto" w:fill="auto"/>
            <w:vAlign w:val="bottom"/>
          </w:tcPr>
          <w:p w14:paraId="479871DB" w14:textId="77777777" w:rsidR="00CE7787" w:rsidRPr="003C4A0F" w:rsidRDefault="00CE7787" w:rsidP="003C4A0F">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2.50%</w:t>
            </w:r>
          </w:p>
        </w:tc>
      </w:tr>
      <w:tr w:rsidR="00CE7787" w:rsidRPr="00662CA8" w14:paraId="7454B856"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5640CF8D"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65</w:t>
            </w:r>
          </w:p>
        </w:tc>
        <w:tc>
          <w:tcPr>
            <w:tcW w:w="3714" w:type="pct"/>
            <w:tcBorders>
              <w:top w:val="nil"/>
              <w:left w:val="nil"/>
              <w:bottom w:val="single" w:sz="4" w:space="0" w:color="auto"/>
              <w:right w:val="single" w:sz="4" w:space="0" w:color="auto"/>
            </w:tcBorders>
            <w:shd w:val="clear" w:color="auto" w:fill="auto"/>
            <w:vAlign w:val="center"/>
            <w:hideMark/>
          </w:tcPr>
          <w:p w14:paraId="0F672539"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其中：储备资本要求</w:t>
            </w:r>
          </w:p>
        </w:tc>
        <w:tc>
          <w:tcPr>
            <w:tcW w:w="966" w:type="pct"/>
            <w:tcBorders>
              <w:top w:val="nil"/>
              <w:left w:val="nil"/>
              <w:bottom w:val="single" w:sz="4" w:space="0" w:color="auto"/>
              <w:right w:val="single" w:sz="4" w:space="0" w:color="auto"/>
            </w:tcBorders>
            <w:shd w:val="clear" w:color="auto" w:fill="auto"/>
            <w:vAlign w:val="bottom"/>
          </w:tcPr>
          <w:p w14:paraId="030BBCC0" w14:textId="77777777" w:rsidR="00CE7787" w:rsidRPr="003C4A0F" w:rsidRDefault="00CE7787" w:rsidP="003C4A0F">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2.50%</w:t>
            </w:r>
          </w:p>
        </w:tc>
      </w:tr>
      <w:tr w:rsidR="00CE7787" w:rsidRPr="00662CA8" w14:paraId="21CD3BDB"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7130A9FC"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66</w:t>
            </w:r>
          </w:p>
        </w:tc>
        <w:tc>
          <w:tcPr>
            <w:tcW w:w="3714" w:type="pct"/>
            <w:tcBorders>
              <w:top w:val="nil"/>
              <w:left w:val="nil"/>
              <w:bottom w:val="single" w:sz="4" w:space="0" w:color="auto"/>
              <w:right w:val="single" w:sz="4" w:space="0" w:color="auto"/>
            </w:tcBorders>
            <w:shd w:val="clear" w:color="auto" w:fill="auto"/>
            <w:vAlign w:val="center"/>
            <w:hideMark/>
          </w:tcPr>
          <w:p w14:paraId="72F62B4B"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其中：逆周期资本要求</w:t>
            </w:r>
          </w:p>
        </w:tc>
        <w:tc>
          <w:tcPr>
            <w:tcW w:w="966" w:type="pct"/>
            <w:tcBorders>
              <w:top w:val="nil"/>
              <w:left w:val="nil"/>
              <w:bottom w:val="single" w:sz="4" w:space="0" w:color="auto"/>
              <w:right w:val="single" w:sz="4" w:space="0" w:color="auto"/>
            </w:tcBorders>
            <w:shd w:val="clear" w:color="auto" w:fill="auto"/>
            <w:vAlign w:val="bottom"/>
          </w:tcPr>
          <w:p w14:paraId="68E7DB19" w14:textId="77777777" w:rsidR="00CE7787" w:rsidRPr="003C4A0F" w:rsidRDefault="00CE7787" w:rsidP="003C4A0F">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w:t>
            </w:r>
          </w:p>
        </w:tc>
      </w:tr>
      <w:tr w:rsidR="00CE7787" w:rsidRPr="00662CA8" w14:paraId="3A81A286"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597DF801"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67</w:t>
            </w:r>
          </w:p>
        </w:tc>
        <w:tc>
          <w:tcPr>
            <w:tcW w:w="3714" w:type="pct"/>
            <w:tcBorders>
              <w:top w:val="nil"/>
              <w:left w:val="nil"/>
              <w:bottom w:val="single" w:sz="4" w:space="0" w:color="auto"/>
              <w:right w:val="single" w:sz="4" w:space="0" w:color="auto"/>
            </w:tcBorders>
            <w:shd w:val="clear" w:color="auto" w:fill="auto"/>
            <w:vAlign w:val="center"/>
            <w:hideMark/>
          </w:tcPr>
          <w:p w14:paraId="50A02816"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其中：全球系统重要性银行附加资本要求</w:t>
            </w:r>
          </w:p>
        </w:tc>
        <w:tc>
          <w:tcPr>
            <w:tcW w:w="966" w:type="pct"/>
            <w:tcBorders>
              <w:top w:val="nil"/>
              <w:left w:val="nil"/>
              <w:bottom w:val="single" w:sz="4" w:space="0" w:color="auto"/>
              <w:right w:val="single" w:sz="4" w:space="0" w:color="auto"/>
            </w:tcBorders>
            <w:shd w:val="clear" w:color="auto" w:fill="auto"/>
            <w:vAlign w:val="bottom"/>
          </w:tcPr>
          <w:p w14:paraId="2B2EB926" w14:textId="77777777" w:rsidR="00CE7787" w:rsidRPr="003C4A0F" w:rsidRDefault="00CE7787" w:rsidP="003C4A0F">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w:t>
            </w:r>
          </w:p>
        </w:tc>
      </w:tr>
      <w:tr w:rsidR="00CE7787" w:rsidRPr="00662CA8" w14:paraId="0F52C612"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A44BF9B"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68</w:t>
            </w:r>
          </w:p>
        </w:tc>
        <w:tc>
          <w:tcPr>
            <w:tcW w:w="3714" w:type="pct"/>
            <w:tcBorders>
              <w:top w:val="nil"/>
              <w:left w:val="nil"/>
              <w:bottom w:val="single" w:sz="4" w:space="0" w:color="auto"/>
              <w:right w:val="single" w:sz="4" w:space="0" w:color="auto"/>
            </w:tcBorders>
            <w:shd w:val="clear" w:color="auto" w:fill="auto"/>
            <w:vAlign w:val="center"/>
            <w:hideMark/>
          </w:tcPr>
          <w:p w14:paraId="5A775760"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满足缓冲区的核心一级资本占风险加权资产的比例</w:t>
            </w:r>
          </w:p>
        </w:tc>
        <w:tc>
          <w:tcPr>
            <w:tcW w:w="966" w:type="pct"/>
            <w:tcBorders>
              <w:top w:val="nil"/>
              <w:left w:val="nil"/>
              <w:bottom w:val="single" w:sz="4" w:space="0" w:color="auto"/>
              <w:right w:val="single" w:sz="4" w:space="0" w:color="auto"/>
            </w:tcBorders>
            <w:shd w:val="clear" w:color="auto" w:fill="auto"/>
            <w:vAlign w:val="bottom"/>
          </w:tcPr>
          <w:p w14:paraId="2F5FF550" w14:textId="77777777" w:rsidR="00CE7787" w:rsidRPr="003C4A0F" w:rsidRDefault="00CE7787" w:rsidP="003C4A0F">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w:t>
            </w:r>
          </w:p>
        </w:tc>
      </w:tr>
      <w:tr w:rsidR="00AB6D2C" w:rsidRPr="00662CA8" w14:paraId="11EA5AEE" w14:textId="77777777"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14:paraId="7585695E" w14:textId="77777777"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国内最低监管资本要求</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1A282A45" w14:textId="77777777" w:rsidR="00AB6D2C" w:rsidRPr="00426443" w:rsidRDefault="00AB6D2C" w:rsidP="00AB6D2C">
            <w:pPr>
              <w:widowControl/>
              <w:jc w:val="right"/>
              <w:rPr>
                <w:rFonts w:ascii="Times New Roman" w:eastAsia="宋体" w:hAnsi="Times New Roman" w:cs="Times New Roman"/>
                <w:color w:val="000000"/>
                <w:kern w:val="0"/>
                <w:sz w:val="22"/>
              </w:rPr>
            </w:pPr>
            <w:r w:rsidRPr="00426443">
              <w:rPr>
                <w:rFonts w:ascii="Times New Roman" w:eastAsia="宋体" w:hAnsi="Times New Roman" w:cs="Times New Roman"/>
                <w:color w:val="000000"/>
                <w:kern w:val="0"/>
                <w:sz w:val="22"/>
              </w:rPr>
              <w:t xml:space="preserve">　</w:t>
            </w:r>
          </w:p>
        </w:tc>
      </w:tr>
      <w:tr w:rsidR="00CE7787" w:rsidRPr="00662CA8" w14:paraId="5CEA4006"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66AF2956"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69</w:t>
            </w:r>
          </w:p>
        </w:tc>
        <w:tc>
          <w:tcPr>
            <w:tcW w:w="3714" w:type="pct"/>
            <w:tcBorders>
              <w:top w:val="nil"/>
              <w:left w:val="nil"/>
              <w:bottom w:val="single" w:sz="4" w:space="0" w:color="auto"/>
              <w:right w:val="single" w:sz="4" w:space="0" w:color="auto"/>
            </w:tcBorders>
            <w:shd w:val="clear" w:color="auto" w:fill="auto"/>
            <w:vAlign w:val="center"/>
            <w:hideMark/>
          </w:tcPr>
          <w:p w14:paraId="68D1B004"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核心一级资本充足率</w:t>
            </w:r>
          </w:p>
        </w:tc>
        <w:tc>
          <w:tcPr>
            <w:tcW w:w="966" w:type="pct"/>
            <w:tcBorders>
              <w:top w:val="nil"/>
              <w:left w:val="nil"/>
              <w:bottom w:val="single" w:sz="4" w:space="0" w:color="auto"/>
              <w:right w:val="single" w:sz="4" w:space="0" w:color="auto"/>
            </w:tcBorders>
            <w:shd w:val="clear" w:color="auto" w:fill="auto"/>
            <w:vAlign w:val="bottom"/>
          </w:tcPr>
          <w:p w14:paraId="4F5A793F" w14:textId="77777777" w:rsidR="00CE7787" w:rsidRPr="003C4A0F" w:rsidRDefault="00CE7787" w:rsidP="00CE7787">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5.00%</w:t>
            </w:r>
          </w:p>
        </w:tc>
      </w:tr>
      <w:tr w:rsidR="00CE7787" w:rsidRPr="00662CA8" w14:paraId="19F98907"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21A713BA"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70</w:t>
            </w:r>
          </w:p>
        </w:tc>
        <w:tc>
          <w:tcPr>
            <w:tcW w:w="3714" w:type="pct"/>
            <w:tcBorders>
              <w:top w:val="nil"/>
              <w:left w:val="nil"/>
              <w:bottom w:val="single" w:sz="4" w:space="0" w:color="auto"/>
              <w:right w:val="single" w:sz="4" w:space="0" w:color="auto"/>
            </w:tcBorders>
            <w:shd w:val="clear" w:color="auto" w:fill="auto"/>
            <w:vAlign w:val="center"/>
            <w:hideMark/>
          </w:tcPr>
          <w:p w14:paraId="21AC8F7A"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一级资本充足率</w:t>
            </w:r>
          </w:p>
        </w:tc>
        <w:tc>
          <w:tcPr>
            <w:tcW w:w="966" w:type="pct"/>
            <w:tcBorders>
              <w:top w:val="nil"/>
              <w:left w:val="nil"/>
              <w:bottom w:val="single" w:sz="4" w:space="0" w:color="auto"/>
              <w:right w:val="single" w:sz="4" w:space="0" w:color="auto"/>
            </w:tcBorders>
            <w:shd w:val="clear" w:color="auto" w:fill="auto"/>
            <w:vAlign w:val="bottom"/>
          </w:tcPr>
          <w:p w14:paraId="74090B0B" w14:textId="77777777" w:rsidR="00CE7787" w:rsidRPr="003C4A0F" w:rsidRDefault="00CE7787" w:rsidP="003C4A0F">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6.00%</w:t>
            </w:r>
          </w:p>
        </w:tc>
      </w:tr>
      <w:tr w:rsidR="00CE7787" w:rsidRPr="00662CA8" w14:paraId="158BAFCC"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50A97E7" w14:textId="77777777" w:rsidR="00CE7787" w:rsidRPr="00662CA8" w:rsidRDefault="00CE7787"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71</w:t>
            </w:r>
          </w:p>
        </w:tc>
        <w:tc>
          <w:tcPr>
            <w:tcW w:w="3714" w:type="pct"/>
            <w:tcBorders>
              <w:top w:val="nil"/>
              <w:left w:val="nil"/>
              <w:bottom w:val="single" w:sz="4" w:space="0" w:color="auto"/>
              <w:right w:val="single" w:sz="4" w:space="0" w:color="auto"/>
            </w:tcBorders>
            <w:shd w:val="clear" w:color="auto" w:fill="auto"/>
            <w:vAlign w:val="center"/>
            <w:hideMark/>
          </w:tcPr>
          <w:p w14:paraId="527241E6" w14:textId="77777777" w:rsidR="00CE7787" w:rsidRPr="00662CA8" w:rsidRDefault="00CE7787"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资本充足率</w:t>
            </w:r>
          </w:p>
        </w:tc>
        <w:tc>
          <w:tcPr>
            <w:tcW w:w="966" w:type="pct"/>
            <w:tcBorders>
              <w:top w:val="nil"/>
              <w:left w:val="nil"/>
              <w:bottom w:val="single" w:sz="4" w:space="0" w:color="auto"/>
              <w:right w:val="single" w:sz="4" w:space="0" w:color="auto"/>
            </w:tcBorders>
            <w:shd w:val="clear" w:color="auto" w:fill="auto"/>
            <w:vAlign w:val="bottom"/>
          </w:tcPr>
          <w:p w14:paraId="0456EB40" w14:textId="77777777" w:rsidR="00CE7787" w:rsidRPr="003C4A0F" w:rsidRDefault="00CE7787" w:rsidP="003C4A0F">
            <w:pPr>
              <w:widowControl/>
              <w:jc w:val="right"/>
              <w:rPr>
                <w:rFonts w:ascii="Times New Roman" w:eastAsia="宋体" w:hAnsi="Times New Roman" w:cs="Times New Roman"/>
                <w:color w:val="000000"/>
                <w:kern w:val="0"/>
                <w:sz w:val="22"/>
              </w:rPr>
            </w:pPr>
            <w:r w:rsidRPr="003C4A0F">
              <w:rPr>
                <w:rFonts w:ascii="Times New Roman" w:eastAsia="宋体" w:hAnsi="Times New Roman" w:cs="Times New Roman" w:hint="eastAsia"/>
                <w:color w:val="000000"/>
                <w:kern w:val="0"/>
                <w:sz w:val="22"/>
              </w:rPr>
              <w:t>8.00%</w:t>
            </w:r>
          </w:p>
        </w:tc>
      </w:tr>
      <w:tr w:rsidR="00AB6D2C" w:rsidRPr="00662CA8" w14:paraId="05F43CA9" w14:textId="77777777" w:rsidTr="008F5E9D">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14:paraId="2AE3EBC5" w14:textId="77777777"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门槛扣除项中未扣除部分</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04D8A30F" w14:textId="77777777" w:rsidR="00AB6D2C" w:rsidRPr="00662CA8" w:rsidRDefault="00AB6D2C" w:rsidP="00AB6D2C">
            <w:pPr>
              <w:widowControl/>
              <w:jc w:val="right"/>
              <w:rPr>
                <w:rFonts w:ascii="Times New Roman" w:eastAsia="宋体" w:hAnsi="Times New Roman" w:cs="Times New Roman"/>
                <w:color w:val="000000"/>
                <w:kern w:val="0"/>
                <w:sz w:val="22"/>
              </w:rPr>
            </w:pPr>
          </w:p>
        </w:tc>
      </w:tr>
      <w:tr w:rsidR="008369C8" w:rsidRPr="00662CA8" w14:paraId="1EBB3670" w14:textId="77777777" w:rsidTr="00A7393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05C7DA71"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72</w:t>
            </w:r>
          </w:p>
        </w:tc>
        <w:tc>
          <w:tcPr>
            <w:tcW w:w="3714" w:type="pct"/>
            <w:tcBorders>
              <w:top w:val="nil"/>
              <w:left w:val="nil"/>
              <w:bottom w:val="single" w:sz="4" w:space="0" w:color="auto"/>
              <w:right w:val="single" w:sz="4" w:space="0" w:color="auto"/>
            </w:tcBorders>
            <w:shd w:val="clear" w:color="auto" w:fill="auto"/>
            <w:vAlign w:val="center"/>
            <w:hideMark/>
          </w:tcPr>
          <w:p w14:paraId="5F13D99F"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对未并表金融机构的小额少数资本投资未扣除部分</w:t>
            </w:r>
          </w:p>
        </w:tc>
        <w:tc>
          <w:tcPr>
            <w:tcW w:w="966" w:type="pct"/>
            <w:tcBorders>
              <w:top w:val="nil"/>
              <w:left w:val="nil"/>
              <w:bottom w:val="single" w:sz="4" w:space="0" w:color="auto"/>
              <w:right w:val="single" w:sz="4" w:space="0" w:color="auto"/>
            </w:tcBorders>
            <w:shd w:val="clear" w:color="auto" w:fill="auto"/>
          </w:tcPr>
          <w:p w14:paraId="179087EC" w14:textId="5F2C4A69"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16,980.24 </w:t>
            </w:r>
          </w:p>
        </w:tc>
      </w:tr>
      <w:tr w:rsidR="008369C8" w:rsidRPr="00662CA8" w14:paraId="41168415" w14:textId="77777777" w:rsidTr="00A7393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0F242807"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73</w:t>
            </w:r>
          </w:p>
        </w:tc>
        <w:tc>
          <w:tcPr>
            <w:tcW w:w="3714" w:type="pct"/>
            <w:tcBorders>
              <w:top w:val="nil"/>
              <w:left w:val="nil"/>
              <w:bottom w:val="single" w:sz="4" w:space="0" w:color="auto"/>
              <w:right w:val="single" w:sz="4" w:space="0" w:color="auto"/>
            </w:tcBorders>
            <w:shd w:val="clear" w:color="auto" w:fill="auto"/>
            <w:vAlign w:val="center"/>
            <w:hideMark/>
          </w:tcPr>
          <w:p w14:paraId="79205700"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对未并表金融机构的大额少数资本投资未扣除部分</w:t>
            </w:r>
          </w:p>
        </w:tc>
        <w:tc>
          <w:tcPr>
            <w:tcW w:w="966" w:type="pct"/>
            <w:tcBorders>
              <w:top w:val="nil"/>
              <w:left w:val="nil"/>
              <w:bottom w:val="single" w:sz="4" w:space="0" w:color="auto"/>
              <w:right w:val="single" w:sz="4" w:space="0" w:color="auto"/>
            </w:tcBorders>
            <w:shd w:val="clear" w:color="auto" w:fill="auto"/>
          </w:tcPr>
          <w:p w14:paraId="68B69F9F" w14:textId="59EED89B"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72,104.32 </w:t>
            </w:r>
          </w:p>
        </w:tc>
      </w:tr>
      <w:tr w:rsidR="008369C8" w:rsidRPr="00662CA8" w14:paraId="568EEE5D" w14:textId="77777777" w:rsidTr="00A7393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7D5F3FF"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74</w:t>
            </w:r>
          </w:p>
        </w:tc>
        <w:tc>
          <w:tcPr>
            <w:tcW w:w="3714" w:type="pct"/>
            <w:tcBorders>
              <w:top w:val="nil"/>
              <w:left w:val="nil"/>
              <w:bottom w:val="single" w:sz="4" w:space="0" w:color="auto"/>
              <w:right w:val="single" w:sz="4" w:space="0" w:color="auto"/>
            </w:tcBorders>
            <w:shd w:val="clear" w:color="auto" w:fill="auto"/>
            <w:vAlign w:val="center"/>
            <w:hideMark/>
          </w:tcPr>
          <w:p w14:paraId="05FE335D"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抵押贷款服务权（扣除递延税负债）</w:t>
            </w:r>
          </w:p>
        </w:tc>
        <w:tc>
          <w:tcPr>
            <w:tcW w:w="966" w:type="pct"/>
            <w:tcBorders>
              <w:top w:val="nil"/>
              <w:left w:val="nil"/>
              <w:bottom w:val="single" w:sz="4" w:space="0" w:color="auto"/>
              <w:right w:val="single" w:sz="4" w:space="0" w:color="auto"/>
            </w:tcBorders>
            <w:shd w:val="clear" w:color="auto" w:fill="auto"/>
          </w:tcPr>
          <w:p w14:paraId="04053355" w14:textId="70BA2AB5"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 </w:t>
            </w:r>
          </w:p>
        </w:tc>
      </w:tr>
      <w:tr w:rsidR="008369C8" w:rsidRPr="00662CA8" w14:paraId="560CE8B6" w14:textId="77777777" w:rsidTr="00A7393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445B3F40"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75</w:t>
            </w:r>
          </w:p>
        </w:tc>
        <w:tc>
          <w:tcPr>
            <w:tcW w:w="3714" w:type="pct"/>
            <w:tcBorders>
              <w:top w:val="nil"/>
              <w:left w:val="nil"/>
              <w:bottom w:val="single" w:sz="4" w:space="0" w:color="auto"/>
              <w:right w:val="single" w:sz="4" w:space="0" w:color="auto"/>
            </w:tcBorders>
            <w:shd w:val="clear" w:color="auto" w:fill="auto"/>
            <w:vAlign w:val="center"/>
            <w:hideMark/>
          </w:tcPr>
          <w:p w14:paraId="7B964F71"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其他依赖于银行未来盈利的净递延税资产（扣除递延税负债）</w:t>
            </w:r>
          </w:p>
        </w:tc>
        <w:tc>
          <w:tcPr>
            <w:tcW w:w="966" w:type="pct"/>
            <w:tcBorders>
              <w:top w:val="nil"/>
              <w:left w:val="nil"/>
              <w:bottom w:val="single" w:sz="4" w:space="0" w:color="auto"/>
              <w:right w:val="single" w:sz="4" w:space="0" w:color="auto"/>
            </w:tcBorders>
            <w:shd w:val="clear" w:color="auto" w:fill="auto"/>
          </w:tcPr>
          <w:p w14:paraId="5072900B" w14:textId="37777B26"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290,359.26 </w:t>
            </w:r>
          </w:p>
        </w:tc>
      </w:tr>
      <w:tr w:rsidR="00AB6D2C" w:rsidRPr="00662CA8" w14:paraId="23267E1A" w14:textId="77777777" w:rsidTr="008F5E9D">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14:paraId="48486B7A" w14:textId="77777777"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可计入二级资本的超额贷款损失准备的限额</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1D500D9A" w14:textId="77777777" w:rsidR="00AB6D2C" w:rsidRPr="00390D01" w:rsidRDefault="00AB6D2C" w:rsidP="00AB6D2C">
            <w:pPr>
              <w:widowControl/>
              <w:jc w:val="right"/>
              <w:rPr>
                <w:rFonts w:ascii="Times New Roman" w:eastAsia="宋体" w:hAnsi="Times New Roman" w:cs="Times New Roman"/>
                <w:color w:val="000000"/>
                <w:kern w:val="0"/>
                <w:sz w:val="22"/>
              </w:rPr>
            </w:pPr>
          </w:p>
        </w:tc>
      </w:tr>
      <w:tr w:rsidR="008369C8" w:rsidRPr="00662CA8" w14:paraId="66748681" w14:textId="77777777" w:rsidTr="00A7393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6C064EB"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76</w:t>
            </w:r>
          </w:p>
        </w:tc>
        <w:tc>
          <w:tcPr>
            <w:tcW w:w="3714" w:type="pct"/>
            <w:tcBorders>
              <w:top w:val="nil"/>
              <w:left w:val="nil"/>
              <w:bottom w:val="single" w:sz="4" w:space="0" w:color="auto"/>
              <w:right w:val="single" w:sz="4" w:space="0" w:color="auto"/>
            </w:tcBorders>
            <w:shd w:val="clear" w:color="auto" w:fill="auto"/>
            <w:vAlign w:val="center"/>
            <w:hideMark/>
          </w:tcPr>
          <w:p w14:paraId="6DEC4B0F"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权重法下，实际计提的贷款损失准备金额</w:t>
            </w:r>
          </w:p>
        </w:tc>
        <w:tc>
          <w:tcPr>
            <w:tcW w:w="966" w:type="pct"/>
            <w:tcBorders>
              <w:top w:val="nil"/>
              <w:left w:val="nil"/>
              <w:bottom w:val="single" w:sz="4" w:space="0" w:color="auto"/>
              <w:right w:val="single" w:sz="4" w:space="0" w:color="auto"/>
            </w:tcBorders>
            <w:shd w:val="clear" w:color="auto" w:fill="auto"/>
          </w:tcPr>
          <w:p w14:paraId="1D08676D" w14:textId="7E7DE0F5"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1,158,346.69 </w:t>
            </w:r>
          </w:p>
        </w:tc>
      </w:tr>
      <w:tr w:rsidR="008369C8" w:rsidRPr="00662CA8" w14:paraId="5289ABFB" w14:textId="77777777" w:rsidTr="00A7393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F58EEC3" w14:textId="77777777" w:rsidR="008369C8" w:rsidRPr="00CC3C4C" w:rsidRDefault="008369C8" w:rsidP="008369C8">
            <w:pPr>
              <w:widowControl/>
              <w:jc w:val="center"/>
              <w:rPr>
                <w:rFonts w:ascii="Times New Roman" w:eastAsia="宋体" w:hAnsi="Times New Roman" w:cs="Times New Roman"/>
                <w:color w:val="000000"/>
                <w:kern w:val="0"/>
                <w:sz w:val="22"/>
              </w:rPr>
            </w:pPr>
            <w:r w:rsidRPr="00CC3C4C">
              <w:rPr>
                <w:rFonts w:ascii="Times New Roman" w:eastAsia="宋体" w:hAnsi="Times New Roman" w:cs="Times New Roman"/>
                <w:color w:val="000000"/>
                <w:kern w:val="0"/>
                <w:sz w:val="22"/>
              </w:rPr>
              <w:t>77</w:t>
            </w:r>
          </w:p>
        </w:tc>
        <w:tc>
          <w:tcPr>
            <w:tcW w:w="3714" w:type="pct"/>
            <w:tcBorders>
              <w:top w:val="nil"/>
              <w:left w:val="nil"/>
              <w:bottom w:val="single" w:sz="4" w:space="0" w:color="auto"/>
              <w:right w:val="single" w:sz="4" w:space="0" w:color="auto"/>
            </w:tcBorders>
            <w:shd w:val="clear" w:color="auto" w:fill="auto"/>
            <w:vAlign w:val="center"/>
            <w:hideMark/>
          </w:tcPr>
          <w:p w14:paraId="31CC77E5" w14:textId="77777777" w:rsidR="008369C8" w:rsidRPr="00CC3C4C" w:rsidRDefault="008369C8" w:rsidP="008369C8">
            <w:pPr>
              <w:widowControl/>
              <w:rPr>
                <w:rFonts w:ascii="Times New Roman" w:eastAsia="宋体" w:hAnsi="Times New Roman" w:cs="Times New Roman"/>
                <w:color w:val="000000"/>
                <w:kern w:val="0"/>
                <w:sz w:val="22"/>
              </w:rPr>
            </w:pPr>
            <w:r w:rsidRPr="00CC3C4C">
              <w:rPr>
                <w:rFonts w:ascii="Times New Roman" w:eastAsia="宋体" w:hAnsi="Times New Roman" w:cs="Times New Roman"/>
                <w:color w:val="000000"/>
                <w:kern w:val="0"/>
                <w:sz w:val="22"/>
              </w:rPr>
              <w:t>权重法下，可计入二级资本超额贷款损失准备的数额</w:t>
            </w:r>
          </w:p>
        </w:tc>
        <w:tc>
          <w:tcPr>
            <w:tcW w:w="966" w:type="pct"/>
            <w:tcBorders>
              <w:top w:val="nil"/>
              <w:left w:val="nil"/>
              <w:bottom w:val="single" w:sz="4" w:space="0" w:color="auto"/>
              <w:right w:val="single" w:sz="4" w:space="0" w:color="auto"/>
            </w:tcBorders>
            <w:shd w:val="clear" w:color="auto" w:fill="auto"/>
          </w:tcPr>
          <w:p w14:paraId="0C2069DB" w14:textId="44178607" w:rsidR="008369C8" w:rsidRPr="00CC3C4C" w:rsidRDefault="000C515C" w:rsidP="008369C8">
            <w:pPr>
              <w:widowControl/>
              <w:jc w:val="right"/>
              <w:rPr>
                <w:rFonts w:ascii="Times New Roman" w:eastAsia="宋体" w:hAnsi="Times New Roman" w:cs="Times New Roman"/>
                <w:color w:val="000000"/>
                <w:kern w:val="0"/>
                <w:sz w:val="22"/>
              </w:rPr>
            </w:pPr>
            <w:r w:rsidRPr="00CC3C4C">
              <w:rPr>
                <w:rFonts w:ascii="Times New Roman" w:eastAsia="宋体" w:hAnsi="Times New Roman" w:cs="Times New Roman"/>
                <w:color w:val="000000"/>
                <w:kern w:val="0"/>
                <w:sz w:val="22"/>
              </w:rPr>
              <w:t xml:space="preserve">420,147.44 </w:t>
            </w:r>
            <w:r w:rsidR="008369C8" w:rsidRPr="00CC3C4C">
              <w:rPr>
                <w:rFonts w:ascii="Times New Roman" w:eastAsia="宋体" w:hAnsi="Times New Roman" w:cs="Times New Roman"/>
                <w:color w:val="000000"/>
                <w:kern w:val="0"/>
                <w:sz w:val="22"/>
              </w:rPr>
              <w:t xml:space="preserve"> </w:t>
            </w:r>
          </w:p>
        </w:tc>
      </w:tr>
      <w:tr w:rsidR="00AB6D2C" w:rsidRPr="00662CA8" w14:paraId="30179EA5"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0697A995" w14:textId="77777777" w:rsidR="00AB6D2C" w:rsidRPr="00662CA8" w:rsidRDefault="00AB6D2C"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78</w:t>
            </w:r>
          </w:p>
        </w:tc>
        <w:tc>
          <w:tcPr>
            <w:tcW w:w="3714" w:type="pct"/>
            <w:tcBorders>
              <w:top w:val="nil"/>
              <w:left w:val="nil"/>
              <w:bottom w:val="single" w:sz="4" w:space="0" w:color="auto"/>
              <w:right w:val="single" w:sz="4" w:space="0" w:color="auto"/>
            </w:tcBorders>
            <w:shd w:val="clear" w:color="auto" w:fill="auto"/>
            <w:vAlign w:val="center"/>
            <w:hideMark/>
          </w:tcPr>
          <w:p w14:paraId="0351741A" w14:textId="77777777" w:rsidR="00AB6D2C" w:rsidRPr="00662CA8" w:rsidRDefault="00AB6D2C"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内部评级法下，实际计提的超额贷款损失准备金额</w:t>
            </w:r>
          </w:p>
        </w:tc>
        <w:tc>
          <w:tcPr>
            <w:tcW w:w="966" w:type="pct"/>
            <w:tcBorders>
              <w:top w:val="nil"/>
              <w:left w:val="nil"/>
              <w:bottom w:val="single" w:sz="4" w:space="0" w:color="auto"/>
              <w:right w:val="single" w:sz="4" w:space="0" w:color="auto"/>
            </w:tcBorders>
            <w:shd w:val="clear" w:color="auto" w:fill="auto"/>
            <w:vAlign w:val="bottom"/>
          </w:tcPr>
          <w:p w14:paraId="66DFBB0C" w14:textId="77777777" w:rsidR="00AB6D2C" w:rsidRPr="00662CA8" w:rsidRDefault="00CE7787" w:rsidP="00AB6D2C">
            <w:pPr>
              <w:widowControl/>
              <w:jc w:val="right"/>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w:t>
            </w:r>
          </w:p>
        </w:tc>
      </w:tr>
      <w:tr w:rsidR="00AB6D2C" w:rsidRPr="00662CA8" w14:paraId="202AD114"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52DDDE9" w14:textId="77777777" w:rsidR="00AB6D2C" w:rsidRPr="00662CA8" w:rsidRDefault="00AB6D2C"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79</w:t>
            </w:r>
          </w:p>
        </w:tc>
        <w:tc>
          <w:tcPr>
            <w:tcW w:w="3714" w:type="pct"/>
            <w:tcBorders>
              <w:top w:val="nil"/>
              <w:left w:val="nil"/>
              <w:bottom w:val="single" w:sz="4" w:space="0" w:color="auto"/>
              <w:right w:val="single" w:sz="4" w:space="0" w:color="auto"/>
            </w:tcBorders>
            <w:shd w:val="clear" w:color="auto" w:fill="auto"/>
            <w:vAlign w:val="center"/>
            <w:hideMark/>
          </w:tcPr>
          <w:p w14:paraId="1BA6EF71" w14:textId="77777777" w:rsidR="00AB6D2C" w:rsidRPr="00662CA8" w:rsidRDefault="00AB6D2C"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内部评级法下，可计入二级资本超额贷款损失准备的数额</w:t>
            </w:r>
          </w:p>
        </w:tc>
        <w:tc>
          <w:tcPr>
            <w:tcW w:w="966" w:type="pct"/>
            <w:tcBorders>
              <w:top w:val="nil"/>
              <w:left w:val="nil"/>
              <w:bottom w:val="single" w:sz="4" w:space="0" w:color="auto"/>
              <w:right w:val="single" w:sz="4" w:space="0" w:color="auto"/>
            </w:tcBorders>
            <w:shd w:val="clear" w:color="auto" w:fill="auto"/>
            <w:vAlign w:val="bottom"/>
          </w:tcPr>
          <w:p w14:paraId="6E3C7393" w14:textId="77777777" w:rsidR="00AB6D2C" w:rsidRPr="00662CA8" w:rsidRDefault="00CE7787" w:rsidP="00AB6D2C">
            <w:pPr>
              <w:widowControl/>
              <w:jc w:val="right"/>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w:t>
            </w:r>
          </w:p>
        </w:tc>
      </w:tr>
      <w:tr w:rsidR="00AB6D2C" w:rsidRPr="00662CA8" w14:paraId="6303B351" w14:textId="77777777" w:rsidTr="008F5E9D">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14:paraId="25A3BDB7" w14:textId="77777777"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符合退出安排的资本工具</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15B1D9F8" w14:textId="77777777" w:rsidR="00AB6D2C" w:rsidRPr="00662CA8" w:rsidRDefault="00AB6D2C" w:rsidP="00AB6D2C">
            <w:pPr>
              <w:widowControl/>
              <w:jc w:val="right"/>
              <w:rPr>
                <w:rFonts w:ascii="Times New Roman" w:eastAsia="宋体" w:hAnsi="Times New Roman" w:cs="Times New Roman"/>
                <w:color w:val="000000"/>
                <w:kern w:val="0"/>
                <w:sz w:val="22"/>
              </w:rPr>
            </w:pPr>
          </w:p>
        </w:tc>
      </w:tr>
      <w:tr w:rsidR="00AB6D2C" w:rsidRPr="00662CA8" w14:paraId="00BA3F96"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20031B6B" w14:textId="77777777" w:rsidR="00AB6D2C" w:rsidRPr="00662CA8" w:rsidRDefault="00AB6D2C"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80</w:t>
            </w:r>
          </w:p>
        </w:tc>
        <w:tc>
          <w:tcPr>
            <w:tcW w:w="3714" w:type="pct"/>
            <w:tcBorders>
              <w:top w:val="nil"/>
              <w:left w:val="nil"/>
              <w:bottom w:val="single" w:sz="4" w:space="0" w:color="auto"/>
              <w:right w:val="single" w:sz="4" w:space="0" w:color="auto"/>
            </w:tcBorders>
            <w:shd w:val="clear" w:color="auto" w:fill="auto"/>
            <w:vAlign w:val="center"/>
            <w:hideMark/>
          </w:tcPr>
          <w:p w14:paraId="323FAE6A" w14:textId="77777777" w:rsidR="00AB6D2C" w:rsidRPr="00662CA8" w:rsidRDefault="00AB6D2C"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因过渡期安排造成的当期可计入核心一级资本的数额</w:t>
            </w:r>
          </w:p>
        </w:tc>
        <w:tc>
          <w:tcPr>
            <w:tcW w:w="966" w:type="pct"/>
            <w:tcBorders>
              <w:top w:val="nil"/>
              <w:left w:val="nil"/>
              <w:bottom w:val="single" w:sz="4" w:space="0" w:color="auto"/>
              <w:right w:val="single" w:sz="4" w:space="0" w:color="auto"/>
            </w:tcBorders>
            <w:shd w:val="clear" w:color="auto" w:fill="auto"/>
            <w:vAlign w:val="bottom"/>
          </w:tcPr>
          <w:p w14:paraId="5012EA7B" w14:textId="77777777" w:rsidR="00AB6D2C" w:rsidRPr="00662CA8" w:rsidRDefault="00CE7787" w:rsidP="00AB6D2C">
            <w:pPr>
              <w:widowControl/>
              <w:jc w:val="right"/>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w:t>
            </w:r>
          </w:p>
        </w:tc>
      </w:tr>
      <w:tr w:rsidR="00AB6D2C" w:rsidRPr="00662CA8" w14:paraId="0A254A68"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04261B3D" w14:textId="77777777" w:rsidR="00AB6D2C" w:rsidRPr="00662CA8" w:rsidRDefault="00AB6D2C"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81</w:t>
            </w:r>
          </w:p>
        </w:tc>
        <w:tc>
          <w:tcPr>
            <w:tcW w:w="3714" w:type="pct"/>
            <w:tcBorders>
              <w:top w:val="nil"/>
              <w:left w:val="nil"/>
              <w:bottom w:val="single" w:sz="4" w:space="0" w:color="auto"/>
              <w:right w:val="single" w:sz="4" w:space="0" w:color="auto"/>
            </w:tcBorders>
            <w:shd w:val="clear" w:color="auto" w:fill="auto"/>
            <w:vAlign w:val="center"/>
            <w:hideMark/>
          </w:tcPr>
          <w:p w14:paraId="44EF9A0D" w14:textId="77777777" w:rsidR="00AB6D2C" w:rsidRPr="00662CA8" w:rsidRDefault="00AB6D2C"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因过渡期安排造成的不可计入核心一级资本的数额</w:t>
            </w:r>
          </w:p>
        </w:tc>
        <w:tc>
          <w:tcPr>
            <w:tcW w:w="966" w:type="pct"/>
            <w:tcBorders>
              <w:top w:val="nil"/>
              <w:left w:val="nil"/>
              <w:bottom w:val="single" w:sz="4" w:space="0" w:color="auto"/>
              <w:right w:val="single" w:sz="4" w:space="0" w:color="auto"/>
            </w:tcBorders>
            <w:shd w:val="clear" w:color="auto" w:fill="auto"/>
            <w:vAlign w:val="bottom"/>
          </w:tcPr>
          <w:p w14:paraId="36F5AE1C" w14:textId="77777777" w:rsidR="00AB6D2C" w:rsidRPr="00662CA8" w:rsidRDefault="00CE7787" w:rsidP="00AB6D2C">
            <w:pPr>
              <w:widowControl/>
              <w:jc w:val="right"/>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w:t>
            </w:r>
          </w:p>
        </w:tc>
      </w:tr>
      <w:tr w:rsidR="00AB6D2C" w:rsidRPr="00662CA8" w14:paraId="568CA179"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53A43047" w14:textId="77777777" w:rsidR="00AB6D2C" w:rsidRPr="00662CA8" w:rsidRDefault="00AB6D2C"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82</w:t>
            </w:r>
          </w:p>
        </w:tc>
        <w:tc>
          <w:tcPr>
            <w:tcW w:w="3714" w:type="pct"/>
            <w:tcBorders>
              <w:top w:val="nil"/>
              <w:left w:val="nil"/>
              <w:bottom w:val="single" w:sz="4" w:space="0" w:color="auto"/>
              <w:right w:val="single" w:sz="4" w:space="0" w:color="auto"/>
            </w:tcBorders>
            <w:shd w:val="clear" w:color="auto" w:fill="auto"/>
            <w:vAlign w:val="center"/>
            <w:hideMark/>
          </w:tcPr>
          <w:p w14:paraId="5CDCEBFB" w14:textId="77777777" w:rsidR="00AB6D2C" w:rsidRPr="00662CA8" w:rsidRDefault="00AB6D2C"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因过渡期安排造成的当期可计入其他一级资本的数额</w:t>
            </w:r>
          </w:p>
        </w:tc>
        <w:tc>
          <w:tcPr>
            <w:tcW w:w="966" w:type="pct"/>
            <w:tcBorders>
              <w:top w:val="nil"/>
              <w:left w:val="nil"/>
              <w:bottom w:val="single" w:sz="4" w:space="0" w:color="auto"/>
              <w:right w:val="single" w:sz="4" w:space="0" w:color="auto"/>
            </w:tcBorders>
            <w:shd w:val="clear" w:color="auto" w:fill="auto"/>
            <w:vAlign w:val="bottom"/>
          </w:tcPr>
          <w:p w14:paraId="2255F45F" w14:textId="77777777" w:rsidR="00AB6D2C" w:rsidRPr="00662CA8" w:rsidRDefault="00CE7787" w:rsidP="00AB6D2C">
            <w:pPr>
              <w:widowControl/>
              <w:jc w:val="right"/>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w:t>
            </w:r>
          </w:p>
        </w:tc>
      </w:tr>
      <w:tr w:rsidR="00AB6D2C" w:rsidRPr="00662CA8" w14:paraId="37DE399D"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6C1B8B4D" w14:textId="77777777" w:rsidR="00AB6D2C" w:rsidRPr="00662CA8" w:rsidRDefault="00AB6D2C"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83</w:t>
            </w:r>
          </w:p>
        </w:tc>
        <w:tc>
          <w:tcPr>
            <w:tcW w:w="3714" w:type="pct"/>
            <w:tcBorders>
              <w:top w:val="nil"/>
              <w:left w:val="nil"/>
              <w:bottom w:val="single" w:sz="4" w:space="0" w:color="auto"/>
              <w:right w:val="single" w:sz="4" w:space="0" w:color="auto"/>
            </w:tcBorders>
            <w:shd w:val="clear" w:color="auto" w:fill="auto"/>
            <w:vAlign w:val="center"/>
            <w:hideMark/>
          </w:tcPr>
          <w:p w14:paraId="77BBFBD6" w14:textId="77777777" w:rsidR="00AB6D2C" w:rsidRPr="00662CA8" w:rsidRDefault="00AB6D2C"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因过渡期安排造成的不可计入其他一级资本的数额</w:t>
            </w:r>
          </w:p>
        </w:tc>
        <w:tc>
          <w:tcPr>
            <w:tcW w:w="966" w:type="pct"/>
            <w:tcBorders>
              <w:top w:val="nil"/>
              <w:left w:val="nil"/>
              <w:bottom w:val="single" w:sz="4" w:space="0" w:color="auto"/>
              <w:right w:val="single" w:sz="4" w:space="0" w:color="auto"/>
            </w:tcBorders>
            <w:shd w:val="clear" w:color="auto" w:fill="auto"/>
            <w:vAlign w:val="bottom"/>
          </w:tcPr>
          <w:p w14:paraId="01B92C1E" w14:textId="77777777" w:rsidR="00AB6D2C" w:rsidRPr="00662CA8" w:rsidRDefault="00CE7787" w:rsidP="00AB6D2C">
            <w:pPr>
              <w:widowControl/>
              <w:jc w:val="right"/>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w:t>
            </w:r>
          </w:p>
        </w:tc>
      </w:tr>
      <w:tr w:rsidR="00AB6D2C" w:rsidRPr="00662CA8" w14:paraId="3E0FF8DB"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63551726" w14:textId="77777777" w:rsidR="00AB6D2C" w:rsidRPr="00662CA8" w:rsidRDefault="00AB6D2C"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84</w:t>
            </w:r>
          </w:p>
        </w:tc>
        <w:tc>
          <w:tcPr>
            <w:tcW w:w="3714" w:type="pct"/>
            <w:tcBorders>
              <w:top w:val="nil"/>
              <w:left w:val="nil"/>
              <w:bottom w:val="single" w:sz="4" w:space="0" w:color="auto"/>
              <w:right w:val="single" w:sz="4" w:space="0" w:color="auto"/>
            </w:tcBorders>
            <w:shd w:val="clear" w:color="auto" w:fill="auto"/>
            <w:vAlign w:val="center"/>
            <w:hideMark/>
          </w:tcPr>
          <w:p w14:paraId="5265F8DA" w14:textId="77777777" w:rsidR="00AB6D2C" w:rsidRPr="00662CA8" w:rsidRDefault="00AB6D2C"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因过渡期安排造成的当期可计入二级资本的数额</w:t>
            </w:r>
          </w:p>
        </w:tc>
        <w:tc>
          <w:tcPr>
            <w:tcW w:w="966" w:type="pct"/>
            <w:tcBorders>
              <w:top w:val="nil"/>
              <w:left w:val="nil"/>
              <w:bottom w:val="single" w:sz="4" w:space="0" w:color="auto"/>
              <w:right w:val="single" w:sz="4" w:space="0" w:color="auto"/>
            </w:tcBorders>
            <w:shd w:val="clear" w:color="auto" w:fill="auto"/>
            <w:vAlign w:val="bottom"/>
          </w:tcPr>
          <w:p w14:paraId="2D089A30" w14:textId="77777777" w:rsidR="00AB6D2C" w:rsidRPr="00662CA8" w:rsidRDefault="00CE7787" w:rsidP="00AB6D2C">
            <w:pPr>
              <w:widowControl/>
              <w:jc w:val="right"/>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w:t>
            </w:r>
          </w:p>
        </w:tc>
      </w:tr>
      <w:tr w:rsidR="00AB6D2C" w:rsidRPr="00662CA8" w14:paraId="279803E5"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05CAC619" w14:textId="77777777" w:rsidR="00AB6D2C" w:rsidRPr="00662CA8" w:rsidRDefault="00AB6D2C"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85</w:t>
            </w:r>
          </w:p>
        </w:tc>
        <w:tc>
          <w:tcPr>
            <w:tcW w:w="3714" w:type="pct"/>
            <w:tcBorders>
              <w:top w:val="nil"/>
              <w:left w:val="nil"/>
              <w:bottom w:val="single" w:sz="4" w:space="0" w:color="auto"/>
              <w:right w:val="single" w:sz="4" w:space="0" w:color="auto"/>
            </w:tcBorders>
            <w:shd w:val="clear" w:color="auto" w:fill="auto"/>
            <w:vAlign w:val="center"/>
            <w:hideMark/>
          </w:tcPr>
          <w:p w14:paraId="4F1E6D12" w14:textId="77777777" w:rsidR="00AB6D2C" w:rsidRPr="00662CA8" w:rsidRDefault="00AB6D2C"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因过渡期安排造成的当期不可计入二级资本的数额</w:t>
            </w:r>
          </w:p>
        </w:tc>
        <w:tc>
          <w:tcPr>
            <w:tcW w:w="966" w:type="pct"/>
            <w:tcBorders>
              <w:top w:val="nil"/>
              <w:left w:val="nil"/>
              <w:bottom w:val="single" w:sz="4" w:space="0" w:color="auto"/>
              <w:right w:val="single" w:sz="4" w:space="0" w:color="auto"/>
            </w:tcBorders>
            <w:shd w:val="clear" w:color="auto" w:fill="auto"/>
            <w:vAlign w:val="bottom"/>
          </w:tcPr>
          <w:p w14:paraId="5D4B2A06" w14:textId="77777777" w:rsidR="00AB6D2C" w:rsidRPr="00662CA8" w:rsidRDefault="00CE7787" w:rsidP="00AB6D2C">
            <w:pPr>
              <w:widowControl/>
              <w:jc w:val="right"/>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w:t>
            </w:r>
          </w:p>
        </w:tc>
      </w:tr>
    </w:tbl>
    <w:p w14:paraId="0DDA2842" w14:textId="77777777" w:rsidR="002B0452" w:rsidRPr="001E0D63" w:rsidRDefault="001E0D63" w:rsidP="001E0D63">
      <w:pPr>
        <w:rPr>
          <w:rFonts w:ascii="Times New Roman" w:hAnsi="Times New Roman" w:cs="Times New Roman"/>
          <w:sz w:val="18"/>
          <w:szCs w:val="18"/>
        </w:rPr>
      </w:pPr>
      <w:r w:rsidRPr="001E0D63">
        <w:rPr>
          <w:rFonts w:ascii="Times New Roman" w:hAnsi="Times New Roman" w:cs="Times New Roman" w:hint="eastAsia"/>
          <w:sz w:val="18"/>
          <w:szCs w:val="18"/>
        </w:rPr>
        <w:t>注：依照《商业银行资本管理办法（试行）》（中国银行业监督管理委员会</w:t>
      </w:r>
      <w:r w:rsidRPr="001E0D63">
        <w:rPr>
          <w:rFonts w:ascii="Times New Roman" w:hAnsi="Times New Roman" w:cs="Times New Roman" w:hint="eastAsia"/>
          <w:sz w:val="18"/>
          <w:szCs w:val="18"/>
        </w:rPr>
        <w:t>2012</w:t>
      </w:r>
      <w:r w:rsidRPr="001E0D63">
        <w:rPr>
          <w:rFonts w:ascii="Times New Roman" w:hAnsi="Times New Roman" w:cs="Times New Roman" w:hint="eastAsia"/>
          <w:sz w:val="18"/>
          <w:szCs w:val="18"/>
        </w:rPr>
        <w:t>年第</w:t>
      </w:r>
      <w:r w:rsidRPr="001E0D63">
        <w:rPr>
          <w:rFonts w:ascii="Times New Roman" w:hAnsi="Times New Roman" w:cs="Times New Roman" w:hint="eastAsia"/>
          <w:sz w:val="18"/>
          <w:szCs w:val="18"/>
        </w:rPr>
        <w:t>1</w:t>
      </w:r>
      <w:r w:rsidRPr="001E0D63">
        <w:rPr>
          <w:rFonts w:ascii="Times New Roman" w:hAnsi="Times New Roman" w:cs="Times New Roman" w:hint="eastAsia"/>
          <w:sz w:val="18"/>
          <w:szCs w:val="18"/>
        </w:rPr>
        <w:t>号令）要求，根据经审计的合并财务报表数据重新计算。</w:t>
      </w:r>
    </w:p>
    <w:p w14:paraId="05472B12" w14:textId="77777777" w:rsidR="002B0452" w:rsidRPr="00662CA8" w:rsidRDefault="002B0452">
      <w:pPr>
        <w:widowControl/>
        <w:jc w:val="left"/>
        <w:rPr>
          <w:rFonts w:ascii="Times New Roman" w:hAnsi="Times New Roman" w:cs="Times New Roman"/>
          <w:b/>
          <w:sz w:val="24"/>
          <w:szCs w:val="21"/>
        </w:rPr>
      </w:pPr>
      <w:r w:rsidRPr="00662CA8">
        <w:rPr>
          <w:rFonts w:ascii="Times New Roman" w:hAnsi="Times New Roman" w:cs="Times New Roman"/>
          <w:b/>
          <w:sz w:val="24"/>
          <w:szCs w:val="21"/>
        </w:rPr>
        <w:br w:type="page"/>
      </w:r>
    </w:p>
    <w:p w14:paraId="164C02C5" w14:textId="77777777" w:rsidR="00AB6D2C" w:rsidRPr="00662CA8" w:rsidRDefault="00AB6D2C" w:rsidP="003E26F0">
      <w:pPr>
        <w:ind w:firstLine="420"/>
        <w:rPr>
          <w:rFonts w:ascii="Times New Roman" w:hAnsi="Times New Roman" w:cs="Times New Roman"/>
          <w:b/>
          <w:sz w:val="24"/>
          <w:szCs w:val="21"/>
        </w:rPr>
      </w:pPr>
      <w:r w:rsidRPr="00662CA8">
        <w:rPr>
          <w:rFonts w:ascii="Times New Roman" w:hAnsi="Times New Roman" w:cs="Times New Roman"/>
          <w:b/>
          <w:sz w:val="24"/>
          <w:szCs w:val="21"/>
        </w:rPr>
        <w:lastRenderedPageBreak/>
        <w:t>二、有关科目展开说明</w:t>
      </w:r>
    </w:p>
    <w:p w14:paraId="7D130000" w14:textId="77777777" w:rsidR="00834A3C" w:rsidRPr="00662CA8" w:rsidRDefault="00834A3C" w:rsidP="003E26F0">
      <w:pPr>
        <w:ind w:firstLine="420"/>
        <w:rPr>
          <w:rFonts w:ascii="Times New Roman" w:hAnsi="Times New Roman" w:cs="Times New Roman"/>
          <w:b/>
          <w:sz w:val="24"/>
          <w:szCs w:val="21"/>
        </w:rPr>
      </w:pPr>
    </w:p>
    <w:p w14:paraId="5CF4084B" w14:textId="77777777" w:rsidR="00AB6D2C" w:rsidRPr="00CF1F37" w:rsidRDefault="00AB6D2C" w:rsidP="00AB6D2C">
      <w:pPr>
        <w:ind w:firstLine="420"/>
        <w:jc w:val="right"/>
        <w:rPr>
          <w:rFonts w:ascii="Times New Roman" w:hAnsi="Times New Roman" w:cs="Times New Roman"/>
          <w:sz w:val="18"/>
          <w:szCs w:val="18"/>
        </w:rPr>
      </w:pPr>
      <w:r w:rsidRPr="00CF1F37">
        <w:rPr>
          <w:rFonts w:ascii="Times New Roman" w:hAnsi="Times New Roman" w:cs="Times New Roman"/>
          <w:sz w:val="18"/>
          <w:szCs w:val="18"/>
        </w:rPr>
        <w:t>单位：人民币万元</w:t>
      </w:r>
    </w:p>
    <w:tbl>
      <w:tblPr>
        <w:tblW w:w="5000" w:type="pct"/>
        <w:tblLayout w:type="fixed"/>
        <w:tblLook w:val="04A0" w:firstRow="1" w:lastRow="0" w:firstColumn="1" w:lastColumn="0" w:noHBand="0" w:noVBand="1"/>
      </w:tblPr>
      <w:tblGrid>
        <w:gridCol w:w="4644"/>
        <w:gridCol w:w="3121"/>
        <w:gridCol w:w="757"/>
      </w:tblGrid>
      <w:tr w:rsidR="00AB6D2C" w:rsidRPr="00662CA8" w14:paraId="7F449134" w14:textId="77777777" w:rsidTr="005D7AB6">
        <w:trPr>
          <w:trHeight w:val="270"/>
        </w:trPr>
        <w:tc>
          <w:tcPr>
            <w:tcW w:w="272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8EF0EAC" w14:textId="77777777" w:rsidR="00AB6D2C" w:rsidRPr="00662CA8" w:rsidRDefault="00AB6D2C" w:rsidP="00AB6D2C">
            <w:pPr>
              <w:widowControl/>
              <w:jc w:val="left"/>
              <w:rPr>
                <w:rFonts w:ascii="Times New Roman" w:eastAsia="宋体" w:hAnsi="Times New Roman" w:cs="Times New Roman"/>
                <w:b/>
                <w:color w:val="000000"/>
                <w:kern w:val="0"/>
                <w:sz w:val="22"/>
              </w:rPr>
            </w:pPr>
            <w:r w:rsidRPr="00662CA8">
              <w:rPr>
                <w:rFonts w:ascii="Times New Roman" w:eastAsia="宋体" w:hAnsi="Times New Roman" w:cs="Times New Roman"/>
                <w:b/>
                <w:color w:val="000000"/>
                <w:kern w:val="0"/>
                <w:sz w:val="22"/>
              </w:rPr>
              <w:t>科目</w:t>
            </w:r>
          </w:p>
        </w:tc>
        <w:tc>
          <w:tcPr>
            <w:tcW w:w="1831"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612A5C4" w14:textId="77777777" w:rsidR="00AB6D2C" w:rsidRPr="00662CA8" w:rsidRDefault="00AB6D2C" w:rsidP="00AB6D2C">
            <w:pPr>
              <w:widowControl/>
              <w:jc w:val="right"/>
              <w:rPr>
                <w:rFonts w:ascii="Times New Roman" w:eastAsia="宋体" w:hAnsi="Times New Roman" w:cs="Times New Roman"/>
                <w:b/>
                <w:color w:val="000000"/>
                <w:kern w:val="0"/>
                <w:sz w:val="22"/>
              </w:rPr>
            </w:pPr>
            <w:r w:rsidRPr="00662CA8">
              <w:rPr>
                <w:rFonts w:ascii="Times New Roman" w:eastAsia="宋体" w:hAnsi="Times New Roman" w:cs="Times New Roman"/>
                <w:b/>
                <w:color w:val="000000"/>
                <w:kern w:val="0"/>
                <w:sz w:val="22"/>
              </w:rPr>
              <w:t>监管并表口径下的资产负债表</w:t>
            </w:r>
          </w:p>
        </w:tc>
        <w:tc>
          <w:tcPr>
            <w:tcW w:w="444"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46E1C68" w14:textId="77777777" w:rsidR="00AB6D2C" w:rsidRPr="00662CA8" w:rsidRDefault="00AB6D2C" w:rsidP="00AB6D2C">
            <w:pPr>
              <w:widowControl/>
              <w:jc w:val="left"/>
              <w:rPr>
                <w:rFonts w:ascii="Times New Roman" w:eastAsia="宋体" w:hAnsi="Times New Roman" w:cs="Times New Roman"/>
                <w:b/>
                <w:color w:val="000000"/>
                <w:kern w:val="0"/>
                <w:sz w:val="22"/>
              </w:rPr>
            </w:pPr>
            <w:r w:rsidRPr="00662CA8">
              <w:rPr>
                <w:rFonts w:ascii="Times New Roman" w:eastAsia="宋体" w:hAnsi="Times New Roman" w:cs="Times New Roman"/>
                <w:b/>
                <w:color w:val="000000"/>
                <w:kern w:val="0"/>
                <w:sz w:val="22"/>
              </w:rPr>
              <w:t>代码</w:t>
            </w:r>
          </w:p>
        </w:tc>
      </w:tr>
      <w:tr w:rsidR="001A2FCF" w:rsidRPr="00662CA8" w14:paraId="2245CE1C" w14:textId="77777777" w:rsidTr="00A7393F">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0483666A" w14:textId="77777777" w:rsidR="001A2FCF" w:rsidRPr="00662CA8" w:rsidRDefault="001A2FCF" w:rsidP="001A2FC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商誉</w:t>
            </w:r>
          </w:p>
        </w:tc>
        <w:tc>
          <w:tcPr>
            <w:tcW w:w="1831" w:type="pct"/>
            <w:tcBorders>
              <w:top w:val="nil"/>
              <w:left w:val="nil"/>
              <w:bottom w:val="single" w:sz="4" w:space="0" w:color="auto"/>
              <w:right w:val="single" w:sz="4" w:space="0" w:color="auto"/>
            </w:tcBorders>
            <w:shd w:val="clear" w:color="auto" w:fill="auto"/>
          </w:tcPr>
          <w:p w14:paraId="3FFCA0FD" w14:textId="5D8953C5" w:rsidR="001A2FCF" w:rsidRPr="003C4A0F" w:rsidRDefault="001A2FCF" w:rsidP="001A2FCF">
            <w:pPr>
              <w:widowControl/>
              <w:jc w:val="right"/>
              <w:rPr>
                <w:rFonts w:ascii="Times New Roman" w:eastAsia="宋体" w:hAnsi="Times New Roman" w:cs="Times New Roman"/>
                <w:color w:val="000000"/>
                <w:kern w:val="0"/>
                <w:sz w:val="22"/>
              </w:rPr>
            </w:pPr>
            <w:r w:rsidRPr="001A2FCF">
              <w:rPr>
                <w:rFonts w:ascii="Times New Roman" w:eastAsia="宋体" w:hAnsi="Times New Roman" w:cs="Times New Roman"/>
                <w:color w:val="000000"/>
                <w:kern w:val="0"/>
                <w:sz w:val="22"/>
              </w:rPr>
              <w:t xml:space="preserve">- </w:t>
            </w:r>
          </w:p>
        </w:tc>
        <w:tc>
          <w:tcPr>
            <w:tcW w:w="444" w:type="pct"/>
            <w:tcBorders>
              <w:top w:val="nil"/>
              <w:left w:val="nil"/>
              <w:bottom w:val="single" w:sz="4" w:space="0" w:color="auto"/>
              <w:right w:val="single" w:sz="4" w:space="0" w:color="auto"/>
            </w:tcBorders>
            <w:shd w:val="clear" w:color="auto" w:fill="auto"/>
            <w:noWrap/>
            <w:vAlign w:val="bottom"/>
            <w:hideMark/>
          </w:tcPr>
          <w:p w14:paraId="59B8D164" w14:textId="77777777" w:rsidR="001A2FCF" w:rsidRPr="00662CA8" w:rsidRDefault="001A2FCF" w:rsidP="001A2FC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a</w:t>
            </w:r>
          </w:p>
        </w:tc>
      </w:tr>
      <w:tr w:rsidR="008369C8" w:rsidRPr="00662CA8" w14:paraId="776CA58B" w14:textId="77777777" w:rsidTr="00A7393F">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6B00C769"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无形资产</w:t>
            </w:r>
          </w:p>
        </w:tc>
        <w:tc>
          <w:tcPr>
            <w:tcW w:w="1831" w:type="pct"/>
            <w:tcBorders>
              <w:top w:val="nil"/>
              <w:left w:val="nil"/>
              <w:bottom w:val="single" w:sz="4" w:space="0" w:color="auto"/>
              <w:right w:val="single" w:sz="4" w:space="0" w:color="auto"/>
            </w:tcBorders>
            <w:shd w:val="clear" w:color="auto" w:fill="auto"/>
          </w:tcPr>
          <w:p w14:paraId="17EEECAD" w14:textId="786FF452"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50,511.04 </w:t>
            </w:r>
          </w:p>
        </w:tc>
        <w:tc>
          <w:tcPr>
            <w:tcW w:w="444" w:type="pct"/>
            <w:tcBorders>
              <w:top w:val="nil"/>
              <w:left w:val="nil"/>
              <w:bottom w:val="single" w:sz="4" w:space="0" w:color="auto"/>
              <w:right w:val="single" w:sz="4" w:space="0" w:color="auto"/>
            </w:tcBorders>
            <w:shd w:val="clear" w:color="auto" w:fill="auto"/>
            <w:noWrap/>
            <w:vAlign w:val="bottom"/>
            <w:hideMark/>
          </w:tcPr>
          <w:p w14:paraId="43FA611E"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b</w:t>
            </w:r>
          </w:p>
        </w:tc>
      </w:tr>
      <w:tr w:rsidR="008369C8" w:rsidRPr="00662CA8" w14:paraId="033185C0" w14:textId="77777777" w:rsidTr="00A7393F">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1E17CA0C" w14:textId="77777777" w:rsidR="008369C8" w:rsidRPr="00662CA8" w:rsidRDefault="008369C8" w:rsidP="008369C8">
            <w:pPr>
              <w:widowControl/>
              <w:ind w:firstLineChars="100" w:firstLine="220"/>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其中：土地使用权</w:t>
            </w:r>
          </w:p>
        </w:tc>
        <w:tc>
          <w:tcPr>
            <w:tcW w:w="1831" w:type="pct"/>
            <w:tcBorders>
              <w:top w:val="nil"/>
              <w:left w:val="nil"/>
              <w:bottom w:val="single" w:sz="4" w:space="0" w:color="auto"/>
              <w:right w:val="single" w:sz="4" w:space="0" w:color="auto"/>
            </w:tcBorders>
            <w:shd w:val="clear" w:color="auto" w:fill="auto"/>
          </w:tcPr>
          <w:p w14:paraId="11AEEE47" w14:textId="77097D9B"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25,777.87 </w:t>
            </w:r>
          </w:p>
        </w:tc>
        <w:tc>
          <w:tcPr>
            <w:tcW w:w="444" w:type="pct"/>
            <w:tcBorders>
              <w:top w:val="nil"/>
              <w:left w:val="nil"/>
              <w:bottom w:val="single" w:sz="4" w:space="0" w:color="auto"/>
              <w:right w:val="single" w:sz="4" w:space="0" w:color="auto"/>
            </w:tcBorders>
            <w:shd w:val="clear" w:color="auto" w:fill="auto"/>
            <w:noWrap/>
            <w:vAlign w:val="bottom"/>
            <w:hideMark/>
          </w:tcPr>
          <w:p w14:paraId="7EF7CAF1"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c</w:t>
            </w:r>
          </w:p>
        </w:tc>
      </w:tr>
      <w:tr w:rsidR="008369C8" w:rsidRPr="00662CA8" w14:paraId="2FC65849" w14:textId="77777777" w:rsidTr="00A7393F">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1DE4D684"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投资</w:t>
            </w:r>
          </w:p>
        </w:tc>
        <w:tc>
          <w:tcPr>
            <w:tcW w:w="1831" w:type="pct"/>
            <w:tcBorders>
              <w:top w:val="nil"/>
              <w:left w:val="nil"/>
              <w:bottom w:val="single" w:sz="4" w:space="0" w:color="auto"/>
              <w:right w:val="single" w:sz="4" w:space="0" w:color="auto"/>
            </w:tcBorders>
            <w:shd w:val="clear" w:color="auto" w:fill="auto"/>
          </w:tcPr>
          <w:p w14:paraId="6F064F88" w14:textId="0EB95758"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18,757,369.87 </w:t>
            </w:r>
          </w:p>
        </w:tc>
        <w:tc>
          <w:tcPr>
            <w:tcW w:w="444" w:type="pct"/>
            <w:tcBorders>
              <w:top w:val="nil"/>
              <w:left w:val="nil"/>
              <w:bottom w:val="single" w:sz="4" w:space="0" w:color="auto"/>
              <w:right w:val="single" w:sz="4" w:space="0" w:color="auto"/>
            </w:tcBorders>
            <w:shd w:val="clear" w:color="auto" w:fill="auto"/>
            <w:noWrap/>
            <w:vAlign w:val="bottom"/>
            <w:hideMark/>
          </w:tcPr>
          <w:p w14:paraId="6026137C"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8369C8" w:rsidRPr="00662CA8" w14:paraId="37C9ADD5" w14:textId="77777777" w:rsidTr="00A7393F">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6735B2FF" w14:textId="77777777" w:rsidR="008369C8" w:rsidRPr="00662CA8" w:rsidRDefault="008369C8" w:rsidP="008369C8">
            <w:pPr>
              <w:widowControl/>
              <w:ind w:firstLineChars="100" w:firstLine="220"/>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其中：长期股权投资</w:t>
            </w:r>
          </w:p>
        </w:tc>
        <w:tc>
          <w:tcPr>
            <w:tcW w:w="1831" w:type="pct"/>
            <w:tcBorders>
              <w:top w:val="nil"/>
              <w:left w:val="nil"/>
              <w:bottom w:val="single" w:sz="4" w:space="0" w:color="auto"/>
              <w:right w:val="single" w:sz="4" w:space="0" w:color="auto"/>
            </w:tcBorders>
            <w:shd w:val="clear" w:color="auto" w:fill="auto"/>
          </w:tcPr>
          <w:p w14:paraId="1220CF9C" w14:textId="1C25287D"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72,104.32 </w:t>
            </w:r>
          </w:p>
        </w:tc>
        <w:tc>
          <w:tcPr>
            <w:tcW w:w="444" w:type="pct"/>
            <w:tcBorders>
              <w:top w:val="nil"/>
              <w:left w:val="nil"/>
              <w:bottom w:val="single" w:sz="4" w:space="0" w:color="auto"/>
              <w:right w:val="single" w:sz="4" w:space="0" w:color="auto"/>
            </w:tcBorders>
            <w:shd w:val="clear" w:color="auto" w:fill="auto"/>
            <w:noWrap/>
            <w:vAlign w:val="bottom"/>
            <w:hideMark/>
          </w:tcPr>
          <w:p w14:paraId="0FC94787"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d</w:t>
            </w:r>
          </w:p>
        </w:tc>
      </w:tr>
      <w:tr w:rsidR="008369C8" w:rsidRPr="00662CA8" w14:paraId="36C609B8" w14:textId="77777777" w:rsidTr="00A7393F">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4F1E892A" w14:textId="77777777" w:rsidR="008369C8" w:rsidRPr="00662CA8" w:rsidRDefault="008369C8" w:rsidP="008369C8">
            <w:pPr>
              <w:widowControl/>
              <w:ind w:firstLineChars="100" w:firstLine="220"/>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其中：其他股权投资</w:t>
            </w:r>
          </w:p>
        </w:tc>
        <w:tc>
          <w:tcPr>
            <w:tcW w:w="1831" w:type="pct"/>
            <w:tcBorders>
              <w:top w:val="nil"/>
              <w:left w:val="nil"/>
              <w:bottom w:val="single" w:sz="4" w:space="0" w:color="auto"/>
              <w:right w:val="single" w:sz="4" w:space="0" w:color="auto"/>
            </w:tcBorders>
            <w:shd w:val="clear" w:color="auto" w:fill="auto"/>
          </w:tcPr>
          <w:p w14:paraId="6180E05B" w14:textId="03064D16"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16,980.24 </w:t>
            </w:r>
          </w:p>
        </w:tc>
        <w:tc>
          <w:tcPr>
            <w:tcW w:w="444" w:type="pct"/>
            <w:tcBorders>
              <w:top w:val="nil"/>
              <w:left w:val="nil"/>
              <w:bottom w:val="single" w:sz="4" w:space="0" w:color="auto"/>
              <w:right w:val="single" w:sz="4" w:space="0" w:color="auto"/>
            </w:tcBorders>
            <w:shd w:val="clear" w:color="auto" w:fill="auto"/>
            <w:noWrap/>
            <w:vAlign w:val="bottom"/>
            <w:hideMark/>
          </w:tcPr>
          <w:p w14:paraId="282BE391"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e</w:t>
            </w:r>
          </w:p>
        </w:tc>
      </w:tr>
      <w:tr w:rsidR="008369C8" w:rsidRPr="00662CA8" w14:paraId="7A11A09B" w14:textId="77777777" w:rsidTr="00A7393F">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666F9BBA"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递延所得税资产</w:t>
            </w:r>
          </w:p>
        </w:tc>
        <w:tc>
          <w:tcPr>
            <w:tcW w:w="1831" w:type="pct"/>
            <w:tcBorders>
              <w:top w:val="nil"/>
              <w:left w:val="nil"/>
              <w:bottom w:val="single" w:sz="4" w:space="0" w:color="auto"/>
              <w:right w:val="single" w:sz="4" w:space="0" w:color="auto"/>
            </w:tcBorders>
            <w:shd w:val="clear" w:color="auto" w:fill="auto"/>
          </w:tcPr>
          <w:p w14:paraId="62B61E23" w14:textId="46F90345"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321,018.99 </w:t>
            </w:r>
          </w:p>
        </w:tc>
        <w:tc>
          <w:tcPr>
            <w:tcW w:w="444" w:type="pct"/>
            <w:tcBorders>
              <w:top w:val="nil"/>
              <w:left w:val="nil"/>
              <w:bottom w:val="single" w:sz="4" w:space="0" w:color="auto"/>
              <w:right w:val="single" w:sz="4" w:space="0" w:color="auto"/>
            </w:tcBorders>
            <w:shd w:val="clear" w:color="auto" w:fill="auto"/>
            <w:noWrap/>
            <w:vAlign w:val="bottom"/>
            <w:hideMark/>
          </w:tcPr>
          <w:p w14:paraId="7FAF104F"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f</w:t>
            </w:r>
          </w:p>
        </w:tc>
      </w:tr>
      <w:tr w:rsidR="008369C8" w:rsidRPr="00662CA8" w14:paraId="20109163" w14:textId="77777777" w:rsidTr="00A7393F">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114B4888" w14:textId="77777777" w:rsidR="008369C8" w:rsidRPr="00662CA8" w:rsidRDefault="008369C8" w:rsidP="008369C8">
            <w:pPr>
              <w:widowControl/>
              <w:ind w:firstLineChars="100" w:firstLine="220"/>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其中：依赖未来盈利的由经营亏损引起的净递延税资产</w:t>
            </w:r>
          </w:p>
        </w:tc>
        <w:tc>
          <w:tcPr>
            <w:tcW w:w="1831" w:type="pct"/>
            <w:tcBorders>
              <w:top w:val="nil"/>
              <w:left w:val="nil"/>
              <w:bottom w:val="single" w:sz="4" w:space="0" w:color="auto"/>
              <w:right w:val="single" w:sz="4" w:space="0" w:color="auto"/>
            </w:tcBorders>
            <w:shd w:val="clear" w:color="auto" w:fill="auto"/>
          </w:tcPr>
          <w:p w14:paraId="102A4461" w14:textId="34649F33"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 </w:t>
            </w:r>
          </w:p>
        </w:tc>
        <w:tc>
          <w:tcPr>
            <w:tcW w:w="444" w:type="pct"/>
            <w:tcBorders>
              <w:top w:val="nil"/>
              <w:left w:val="nil"/>
              <w:bottom w:val="single" w:sz="4" w:space="0" w:color="auto"/>
              <w:right w:val="single" w:sz="4" w:space="0" w:color="auto"/>
            </w:tcBorders>
            <w:shd w:val="clear" w:color="auto" w:fill="auto"/>
            <w:noWrap/>
            <w:vAlign w:val="center"/>
            <w:hideMark/>
          </w:tcPr>
          <w:p w14:paraId="408DEED7"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g</w:t>
            </w:r>
          </w:p>
        </w:tc>
      </w:tr>
      <w:tr w:rsidR="008369C8" w:rsidRPr="00662CA8" w14:paraId="5EEFA9C3" w14:textId="77777777" w:rsidTr="00A7393F">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36A6504B"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递延所得税负债</w:t>
            </w:r>
          </w:p>
        </w:tc>
        <w:tc>
          <w:tcPr>
            <w:tcW w:w="1831" w:type="pct"/>
            <w:tcBorders>
              <w:top w:val="nil"/>
              <w:left w:val="nil"/>
              <w:bottom w:val="single" w:sz="4" w:space="0" w:color="auto"/>
              <w:right w:val="single" w:sz="4" w:space="0" w:color="auto"/>
            </w:tcBorders>
            <w:shd w:val="clear" w:color="auto" w:fill="auto"/>
          </w:tcPr>
          <w:p w14:paraId="2563121B" w14:textId="095CA80F"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30,659.74 </w:t>
            </w:r>
          </w:p>
        </w:tc>
        <w:tc>
          <w:tcPr>
            <w:tcW w:w="444" w:type="pct"/>
            <w:tcBorders>
              <w:top w:val="nil"/>
              <w:left w:val="nil"/>
              <w:bottom w:val="single" w:sz="4" w:space="0" w:color="auto"/>
              <w:right w:val="single" w:sz="4" w:space="0" w:color="auto"/>
            </w:tcBorders>
            <w:shd w:val="clear" w:color="auto" w:fill="auto"/>
            <w:noWrap/>
            <w:vAlign w:val="bottom"/>
            <w:hideMark/>
          </w:tcPr>
          <w:p w14:paraId="64BA6CE0" w14:textId="46B8A788" w:rsidR="008369C8" w:rsidRPr="00662CA8" w:rsidRDefault="008369C8" w:rsidP="008369C8">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h</w:t>
            </w:r>
          </w:p>
        </w:tc>
      </w:tr>
      <w:tr w:rsidR="008369C8" w:rsidRPr="00662CA8" w14:paraId="19FF8E26" w14:textId="77777777" w:rsidTr="00A7393F">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2B507642" w14:textId="77777777" w:rsidR="008369C8" w:rsidRPr="00662CA8" w:rsidRDefault="008369C8" w:rsidP="008369C8">
            <w:pPr>
              <w:widowControl/>
              <w:ind w:firstLineChars="100" w:firstLine="220"/>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其中：与商誉相关的递延税项负债</w:t>
            </w:r>
          </w:p>
        </w:tc>
        <w:tc>
          <w:tcPr>
            <w:tcW w:w="1831" w:type="pct"/>
            <w:tcBorders>
              <w:top w:val="nil"/>
              <w:left w:val="nil"/>
              <w:bottom w:val="single" w:sz="4" w:space="0" w:color="auto"/>
              <w:right w:val="single" w:sz="4" w:space="0" w:color="auto"/>
            </w:tcBorders>
            <w:shd w:val="clear" w:color="auto" w:fill="auto"/>
          </w:tcPr>
          <w:p w14:paraId="48D58257" w14:textId="3F721D5E"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 </w:t>
            </w:r>
          </w:p>
        </w:tc>
        <w:tc>
          <w:tcPr>
            <w:tcW w:w="444" w:type="pct"/>
            <w:tcBorders>
              <w:top w:val="nil"/>
              <w:left w:val="nil"/>
              <w:bottom w:val="single" w:sz="4" w:space="0" w:color="auto"/>
              <w:right w:val="single" w:sz="4" w:space="0" w:color="auto"/>
            </w:tcBorders>
            <w:shd w:val="clear" w:color="auto" w:fill="auto"/>
            <w:noWrap/>
            <w:vAlign w:val="bottom"/>
            <w:hideMark/>
          </w:tcPr>
          <w:p w14:paraId="41F61E92" w14:textId="58A98B20" w:rsidR="008369C8" w:rsidRPr="00662CA8" w:rsidRDefault="008369C8" w:rsidP="008369C8">
            <w:pPr>
              <w:widowControl/>
              <w:jc w:val="center"/>
              <w:rPr>
                <w:rFonts w:ascii="Times New Roman" w:eastAsia="宋体" w:hAnsi="Times New Roman" w:cs="Times New Roman"/>
                <w:color w:val="000000"/>
                <w:kern w:val="0"/>
                <w:sz w:val="22"/>
              </w:rPr>
            </w:pPr>
            <w:proofErr w:type="spellStart"/>
            <w:r>
              <w:rPr>
                <w:rFonts w:ascii="Times New Roman" w:eastAsia="宋体" w:hAnsi="Times New Roman" w:cs="Times New Roman"/>
                <w:color w:val="000000"/>
                <w:kern w:val="0"/>
                <w:sz w:val="22"/>
              </w:rPr>
              <w:t>i</w:t>
            </w:r>
            <w:proofErr w:type="spellEnd"/>
          </w:p>
        </w:tc>
      </w:tr>
      <w:tr w:rsidR="008369C8" w:rsidRPr="00662CA8" w14:paraId="5F51BB02" w14:textId="77777777" w:rsidTr="00A7393F">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7BFD09BD" w14:textId="77777777" w:rsidR="008369C8" w:rsidRPr="00662CA8" w:rsidRDefault="008369C8" w:rsidP="008369C8">
            <w:pPr>
              <w:widowControl/>
              <w:ind w:firstLineChars="100" w:firstLine="220"/>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其中：与其他无形资产</w:t>
            </w:r>
            <w:r w:rsidRPr="00662CA8">
              <w:rPr>
                <w:rFonts w:ascii="Times New Roman" w:eastAsia="宋体" w:hAnsi="Times New Roman" w:cs="Times New Roman"/>
                <w:color w:val="000000"/>
                <w:kern w:val="0"/>
                <w:sz w:val="22"/>
              </w:rPr>
              <w:t>(</w:t>
            </w:r>
            <w:r w:rsidRPr="00662CA8">
              <w:rPr>
                <w:rFonts w:ascii="Times New Roman" w:eastAsia="宋体" w:hAnsi="Times New Roman" w:cs="Times New Roman"/>
                <w:color w:val="000000"/>
                <w:kern w:val="0"/>
                <w:sz w:val="22"/>
              </w:rPr>
              <w:t>不含土地使用权</w:t>
            </w:r>
            <w:r w:rsidRPr="00662CA8">
              <w:rPr>
                <w:rFonts w:ascii="Times New Roman" w:eastAsia="宋体" w:hAnsi="Times New Roman" w:cs="Times New Roman"/>
                <w:color w:val="000000"/>
                <w:kern w:val="0"/>
                <w:sz w:val="22"/>
              </w:rPr>
              <w:t>)</w:t>
            </w:r>
            <w:r w:rsidRPr="00662CA8">
              <w:rPr>
                <w:rFonts w:ascii="Times New Roman" w:eastAsia="宋体" w:hAnsi="Times New Roman" w:cs="Times New Roman"/>
                <w:color w:val="000000"/>
                <w:kern w:val="0"/>
                <w:sz w:val="22"/>
              </w:rPr>
              <w:t>的递延税项负债</w:t>
            </w:r>
          </w:p>
        </w:tc>
        <w:tc>
          <w:tcPr>
            <w:tcW w:w="1831" w:type="pct"/>
            <w:tcBorders>
              <w:top w:val="nil"/>
              <w:left w:val="nil"/>
              <w:bottom w:val="single" w:sz="4" w:space="0" w:color="auto"/>
              <w:right w:val="single" w:sz="4" w:space="0" w:color="auto"/>
            </w:tcBorders>
            <w:shd w:val="clear" w:color="auto" w:fill="auto"/>
          </w:tcPr>
          <w:p w14:paraId="356B91DF" w14:textId="260CF85E"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 </w:t>
            </w:r>
          </w:p>
        </w:tc>
        <w:tc>
          <w:tcPr>
            <w:tcW w:w="444" w:type="pct"/>
            <w:tcBorders>
              <w:top w:val="nil"/>
              <w:left w:val="nil"/>
              <w:bottom w:val="single" w:sz="4" w:space="0" w:color="auto"/>
              <w:right w:val="single" w:sz="4" w:space="0" w:color="auto"/>
            </w:tcBorders>
            <w:shd w:val="clear" w:color="auto" w:fill="auto"/>
            <w:noWrap/>
            <w:vAlign w:val="center"/>
            <w:hideMark/>
          </w:tcPr>
          <w:p w14:paraId="7AC7D560" w14:textId="0F801B5A" w:rsidR="008369C8" w:rsidRPr="00662CA8" w:rsidRDefault="008369C8" w:rsidP="008369C8">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j</w:t>
            </w:r>
          </w:p>
        </w:tc>
      </w:tr>
      <w:tr w:rsidR="008369C8" w:rsidRPr="00662CA8" w14:paraId="290C43C9" w14:textId="77777777" w:rsidTr="00A7393F">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5D8034BC"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实收资本</w:t>
            </w:r>
          </w:p>
        </w:tc>
        <w:tc>
          <w:tcPr>
            <w:tcW w:w="1831" w:type="pct"/>
            <w:tcBorders>
              <w:top w:val="nil"/>
              <w:left w:val="nil"/>
              <w:bottom w:val="single" w:sz="4" w:space="0" w:color="auto"/>
              <w:right w:val="single" w:sz="4" w:space="0" w:color="auto"/>
            </w:tcBorders>
            <w:shd w:val="clear" w:color="auto" w:fill="auto"/>
          </w:tcPr>
          <w:p w14:paraId="1A73F78D" w14:textId="6E85A909"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366,672.61 </w:t>
            </w:r>
          </w:p>
        </w:tc>
        <w:tc>
          <w:tcPr>
            <w:tcW w:w="444" w:type="pct"/>
            <w:tcBorders>
              <w:top w:val="nil"/>
              <w:left w:val="nil"/>
              <w:bottom w:val="single" w:sz="4" w:space="0" w:color="auto"/>
              <w:right w:val="single" w:sz="4" w:space="0" w:color="auto"/>
            </w:tcBorders>
            <w:shd w:val="clear" w:color="auto" w:fill="auto"/>
            <w:noWrap/>
            <w:vAlign w:val="bottom"/>
            <w:hideMark/>
          </w:tcPr>
          <w:p w14:paraId="6DEC9B3C" w14:textId="77777777" w:rsidR="008369C8" w:rsidRPr="00662CA8" w:rsidRDefault="008369C8" w:rsidP="008369C8">
            <w:pPr>
              <w:widowControl/>
              <w:jc w:val="center"/>
              <w:rPr>
                <w:rFonts w:ascii="Times New Roman" w:eastAsia="宋体" w:hAnsi="Times New Roman" w:cs="Times New Roman"/>
                <w:color w:val="000000"/>
                <w:kern w:val="0"/>
                <w:sz w:val="22"/>
              </w:rPr>
            </w:pPr>
          </w:p>
        </w:tc>
      </w:tr>
      <w:tr w:rsidR="008369C8" w:rsidRPr="00662CA8" w14:paraId="0712B151" w14:textId="77777777" w:rsidTr="00A7393F">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56913A94" w14:textId="77777777" w:rsidR="008369C8" w:rsidRPr="00662CA8" w:rsidRDefault="008369C8" w:rsidP="008369C8">
            <w:pPr>
              <w:widowControl/>
              <w:ind w:firstLineChars="100" w:firstLine="220"/>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其中：可计入核心一级资本的数额</w:t>
            </w:r>
          </w:p>
        </w:tc>
        <w:tc>
          <w:tcPr>
            <w:tcW w:w="1831" w:type="pct"/>
            <w:tcBorders>
              <w:top w:val="nil"/>
              <w:left w:val="nil"/>
              <w:bottom w:val="single" w:sz="4" w:space="0" w:color="auto"/>
              <w:right w:val="single" w:sz="4" w:space="0" w:color="auto"/>
            </w:tcBorders>
            <w:shd w:val="clear" w:color="auto" w:fill="auto"/>
          </w:tcPr>
          <w:p w14:paraId="1C812153" w14:textId="1C6D17D7"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366,672.61 </w:t>
            </w:r>
          </w:p>
        </w:tc>
        <w:tc>
          <w:tcPr>
            <w:tcW w:w="444" w:type="pct"/>
            <w:tcBorders>
              <w:top w:val="nil"/>
              <w:left w:val="nil"/>
              <w:bottom w:val="single" w:sz="4" w:space="0" w:color="auto"/>
              <w:right w:val="single" w:sz="4" w:space="0" w:color="auto"/>
            </w:tcBorders>
            <w:shd w:val="clear" w:color="auto" w:fill="auto"/>
            <w:noWrap/>
            <w:vAlign w:val="bottom"/>
            <w:hideMark/>
          </w:tcPr>
          <w:p w14:paraId="20E833A9" w14:textId="39F91B24" w:rsidR="008369C8" w:rsidRPr="00662CA8" w:rsidRDefault="008369C8" w:rsidP="008369C8">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k</w:t>
            </w:r>
          </w:p>
        </w:tc>
      </w:tr>
      <w:tr w:rsidR="008369C8" w:rsidRPr="00662CA8" w14:paraId="30228809" w14:textId="77777777" w:rsidTr="00A7393F">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73291882" w14:textId="77777777" w:rsidR="008369C8" w:rsidRPr="00662CA8" w:rsidRDefault="008369C8" w:rsidP="008369C8">
            <w:pPr>
              <w:widowControl/>
              <w:ind w:firstLineChars="100" w:firstLine="220"/>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其中：可计入其他一级资本的数额</w:t>
            </w:r>
          </w:p>
        </w:tc>
        <w:tc>
          <w:tcPr>
            <w:tcW w:w="1831" w:type="pct"/>
            <w:tcBorders>
              <w:top w:val="nil"/>
              <w:left w:val="nil"/>
              <w:bottom w:val="single" w:sz="4" w:space="0" w:color="auto"/>
              <w:right w:val="single" w:sz="4" w:space="0" w:color="auto"/>
            </w:tcBorders>
            <w:shd w:val="clear" w:color="auto" w:fill="auto"/>
          </w:tcPr>
          <w:p w14:paraId="0A9E3A40" w14:textId="2E3A02CA"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 </w:t>
            </w:r>
          </w:p>
        </w:tc>
        <w:tc>
          <w:tcPr>
            <w:tcW w:w="444" w:type="pct"/>
            <w:tcBorders>
              <w:top w:val="nil"/>
              <w:left w:val="nil"/>
              <w:bottom w:val="single" w:sz="4" w:space="0" w:color="auto"/>
              <w:right w:val="single" w:sz="4" w:space="0" w:color="auto"/>
            </w:tcBorders>
            <w:shd w:val="clear" w:color="auto" w:fill="auto"/>
            <w:noWrap/>
            <w:vAlign w:val="bottom"/>
            <w:hideMark/>
          </w:tcPr>
          <w:p w14:paraId="732D6903" w14:textId="1D1EA52E" w:rsidR="008369C8" w:rsidRPr="00662CA8" w:rsidRDefault="008369C8" w:rsidP="008369C8">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l</w:t>
            </w:r>
          </w:p>
        </w:tc>
      </w:tr>
      <w:tr w:rsidR="008369C8" w:rsidRPr="00662CA8" w14:paraId="76FAE242" w14:textId="77777777" w:rsidTr="00A7393F">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37C98322"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资本公积</w:t>
            </w:r>
          </w:p>
        </w:tc>
        <w:tc>
          <w:tcPr>
            <w:tcW w:w="1831" w:type="pct"/>
            <w:tcBorders>
              <w:top w:val="nil"/>
              <w:left w:val="nil"/>
              <w:bottom w:val="single" w:sz="4" w:space="0" w:color="auto"/>
              <w:right w:val="single" w:sz="4" w:space="0" w:color="auto"/>
            </w:tcBorders>
            <w:shd w:val="clear" w:color="auto" w:fill="auto"/>
          </w:tcPr>
          <w:p w14:paraId="48B87C3A" w14:textId="7934C15B"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1,049,519.21 </w:t>
            </w:r>
          </w:p>
        </w:tc>
        <w:tc>
          <w:tcPr>
            <w:tcW w:w="444" w:type="pct"/>
            <w:tcBorders>
              <w:top w:val="nil"/>
              <w:left w:val="nil"/>
              <w:bottom w:val="single" w:sz="4" w:space="0" w:color="auto"/>
              <w:right w:val="single" w:sz="4" w:space="0" w:color="auto"/>
            </w:tcBorders>
            <w:shd w:val="clear" w:color="auto" w:fill="auto"/>
            <w:noWrap/>
            <w:vAlign w:val="bottom"/>
            <w:hideMark/>
          </w:tcPr>
          <w:p w14:paraId="6882A4D8" w14:textId="71F3447C" w:rsidR="008369C8" w:rsidRPr="00662CA8" w:rsidRDefault="008369C8" w:rsidP="008369C8">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m</w:t>
            </w:r>
          </w:p>
        </w:tc>
      </w:tr>
      <w:tr w:rsidR="008369C8" w:rsidRPr="00662CA8" w14:paraId="4905CD33" w14:textId="77777777" w:rsidTr="00A7393F">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11C6FE7B"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盈余公积</w:t>
            </w:r>
          </w:p>
        </w:tc>
        <w:tc>
          <w:tcPr>
            <w:tcW w:w="1831" w:type="pct"/>
            <w:tcBorders>
              <w:top w:val="nil"/>
              <w:left w:val="nil"/>
              <w:bottom w:val="single" w:sz="4" w:space="0" w:color="auto"/>
              <w:right w:val="single" w:sz="4" w:space="0" w:color="auto"/>
            </w:tcBorders>
            <w:shd w:val="clear" w:color="auto" w:fill="auto"/>
          </w:tcPr>
          <w:p w14:paraId="1A1D7BF1" w14:textId="02F5DD92"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250,445.33 </w:t>
            </w:r>
          </w:p>
        </w:tc>
        <w:tc>
          <w:tcPr>
            <w:tcW w:w="444" w:type="pct"/>
            <w:tcBorders>
              <w:top w:val="nil"/>
              <w:left w:val="nil"/>
              <w:bottom w:val="single" w:sz="4" w:space="0" w:color="auto"/>
              <w:right w:val="single" w:sz="4" w:space="0" w:color="auto"/>
            </w:tcBorders>
            <w:shd w:val="clear" w:color="auto" w:fill="auto"/>
            <w:noWrap/>
            <w:vAlign w:val="bottom"/>
            <w:hideMark/>
          </w:tcPr>
          <w:p w14:paraId="78289C6C" w14:textId="417F0795" w:rsidR="008369C8" w:rsidRPr="00C034DE" w:rsidRDefault="008369C8" w:rsidP="008369C8">
            <w:pPr>
              <w:widowControl/>
              <w:jc w:val="center"/>
              <w:rPr>
                <w:rFonts w:ascii="Times New Roman" w:eastAsia="宋体" w:hAnsi="Times New Roman" w:cs="Times New Roman"/>
                <w:color w:val="000000"/>
                <w:kern w:val="0"/>
                <w:sz w:val="22"/>
                <w:lang w:val="en-GB"/>
              </w:rPr>
            </w:pPr>
            <w:r>
              <w:rPr>
                <w:rFonts w:ascii="Times New Roman" w:eastAsia="宋体" w:hAnsi="Times New Roman" w:cs="Times New Roman"/>
                <w:color w:val="000000"/>
                <w:kern w:val="0"/>
                <w:sz w:val="22"/>
                <w:lang w:val="en-GB"/>
              </w:rPr>
              <w:t>n</w:t>
            </w:r>
          </w:p>
        </w:tc>
      </w:tr>
      <w:tr w:rsidR="008369C8" w:rsidRPr="00662CA8" w14:paraId="5752FD3A" w14:textId="77777777" w:rsidTr="00A7393F">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7E9E0201"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一般风险准备</w:t>
            </w:r>
          </w:p>
        </w:tc>
        <w:tc>
          <w:tcPr>
            <w:tcW w:w="1831" w:type="pct"/>
            <w:tcBorders>
              <w:top w:val="nil"/>
              <w:left w:val="nil"/>
              <w:bottom w:val="single" w:sz="4" w:space="0" w:color="auto"/>
              <w:right w:val="single" w:sz="4" w:space="0" w:color="auto"/>
            </w:tcBorders>
            <w:shd w:val="clear" w:color="auto" w:fill="auto"/>
          </w:tcPr>
          <w:p w14:paraId="0EBFD076" w14:textId="50C53AAE"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549,754.04 </w:t>
            </w:r>
          </w:p>
        </w:tc>
        <w:tc>
          <w:tcPr>
            <w:tcW w:w="444" w:type="pct"/>
            <w:tcBorders>
              <w:top w:val="nil"/>
              <w:left w:val="nil"/>
              <w:bottom w:val="single" w:sz="4" w:space="0" w:color="auto"/>
              <w:right w:val="single" w:sz="4" w:space="0" w:color="auto"/>
            </w:tcBorders>
            <w:shd w:val="clear" w:color="auto" w:fill="auto"/>
            <w:noWrap/>
            <w:vAlign w:val="bottom"/>
            <w:hideMark/>
          </w:tcPr>
          <w:p w14:paraId="6FACE826" w14:textId="7CD095F2" w:rsidR="008369C8" w:rsidRPr="00662CA8" w:rsidRDefault="008369C8" w:rsidP="008369C8">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o</w:t>
            </w:r>
          </w:p>
        </w:tc>
      </w:tr>
      <w:tr w:rsidR="008369C8" w:rsidRPr="00662CA8" w14:paraId="6286059A" w14:textId="77777777" w:rsidTr="00A7393F">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25C98AFD"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未分配利润</w:t>
            </w:r>
          </w:p>
        </w:tc>
        <w:tc>
          <w:tcPr>
            <w:tcW w:w="1831" w:type="pct"/>
            <w:tcBorders>
              <w:top w:val="nil"/>
              <w:left w:val="nil"/>
              <w:bottom w:val="single" w:sz="4" w:space="0" w:color="auto"/>
              <w:right w:val="single" w:sz="4" w:space="0" w:color="auto"/>
            </w:tcBorders>
            <w:shd w:val="clear" w:color="auto" w:fill="auto"/>
          </w:tcPr>
          <w:p w14:paraId="3FE5DB7C" w14:textId="0F51E1C4"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1,095,382.68 </w:t>
            </w:r>
          </w:p>
        </w:tc>
        <w:tc>
          <w:tcPr>
            <w:tcW w:w="444" w:type="pct"/>
            <w:tcBorders>
              <w:top w:val="nil"/>
              <w:left w:val="nil"/>
              <w:bottom w:val="single" w:sz="4" w:space="0" w:color="auto"/>
              <w:right w:val="single" w:sz="4" w:space="0" w:color="auto"/>
            </w:tcBorders>
            <w:shd w:val="clear" w:color="auto" w:fill="auto"/>
            <w:noWrap/>
            <w:vAlign w:val="bottom"/>
            <w:hideMark/>
          </w:tcPr>
          <w:p w14:paraId="7021FA23" w14:textId="71A1C693" w:rsidR="008369C8" w:rsidRPr="00662CA8" w:rsidRDefault="008369C8" w:rsidP="008369C8">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p</w:t>
            </w:r>
          </w:p>
        </w:tc>
      </w:tr>
      <w:tr w:rsidR="008369C8" w:rsidRPr="00662CA8" w14:paraId="3297A2D6" w14:textId="77777777" w:rsidTr="00A7393F">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4A91CC92"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应付债券</w:t>
            </w:r>
          </w:p>
        </w:tc>
        <w:tc>
          <w:tcPr>
            <w:tcW w:w="1831" w:type="pct"/>
            <w:tcBorders>
              <w:top w:val="nil"/>
              <w:left w:val="nil"/>
              <w:bottom w:val="single" w:sz="4" w:space="0" w:color="auto"/>
              <w:right w:val="single" w:sz="4" w:space="0" w:color="auto"/>
            </w:tcBorders>
            <w:shd w:val="clear" w:color="auto" w:fill="auto"/>
          </w:tcPr>
          <w:p w14:paraId="5661DEE5" w14:textId="0FF289DD"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6,945,745.14 </w:t>
            </w:r>
          </w:p>
        </w:tc>
        <w:tc>
          <w:tcPr>
            <w:tcW w:w="444" w:type="pct"/>
            <w:tcBorders>
              <w:top w:val="nil"/>
              <w:left w:val="nil"/>
              <w:bottom w:val="single" w:sz="4" w:space="0" w:color="auto"/>
              <w:right w:val="single" w:sz="4" w:space="0" w:color="auto"/>
            </w:tcBorders>
            <w:shd w:val="clear" w:color="auto" w:fill="auto"/>
            <w:noWrap/>
            <w:vAlign w:val="bottom"/>
            <w:hideMark/>
          </w:tcPr>
          <w:p w14:paraId="03B0D994"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8369C8" w:rsidRPr="00662CA8" w14:paraId="7A8EE47C" w14:textId="77777777" w:rsidTr="00A7393F">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7E4EBBB0" w14:textId="77777777" w:rsidR="008369C8" w:rsidRPr="00662CA8" w:rsidRDefault="008369C8" w:rsidP="008369C8">
            <w:pPr>
              <w:widowControl/>
              <w:ind w:firstLineChars="100" w:firstLine="220"/>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其中：可计入二级资本工具及其溢价的发行债务</w:t>
            </w:r>
          </w:p>
        </w:tc>
        <w:tc>
          <w:tcPr>
            <w:tcW w:w="1831" w:type="pct"/>
            <w:tcBorders>
              <w:top w:val="nil"/>
              <w:left w:val="nil"/>
              <w:bottom w:val="single" w:sz="4" w:space="0" w:color="auto"/>
              <w:right w:val="single" w:sz="4" w:space="0" w:color="auto"/>
            </w:tcBorders>
            <w:shd w:val="clear" w:color="auto" w:fill="auto"/>
          </w:tcPr>
          <w:p w14:paraId="2D8347E0" w14:textId="12F1ADD1"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449,957.80 </w:t>
            </w:r>
          </w:p>
        </w:tc>
        <w:tc>
          <w:tcPr>
            <w:tcW w:w="444" w:type="pct"/>
            <w:tcBorders>
              <w:top w:val="nil"/>
              <w:left w:val="nil"/>
              <w:bottom w:val="single" w:sz="4" w:space="0" w:color="auto"/>
              <w:right w:val="single" w:sz="4" w:space="0" w:color="auto"/>
            </w:tcBorders>
            <w:shd w:val="clear" w:color="auto" w:fill="auto"/>
            <w:noWrap/>
            <w:vAlign w:val="center"/>
            <w:hideMark/>
          </w:tcPr>
          <w:p w14:paraId="20691672" w14:textId="62DD66D4"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q</w:t>
            </w:r>
          </w:p>
        </w:tc>
      </w:tr>
      <w:tr w:rsidR="008369C8" w:rsidRPr="00662CA8" w14:paraId="77DD237B" w14:textId="77777777" w:rsidTr="00A7393F">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56E0576A" w14:textId="10778DFA" w:rsidR="008369C8" w:rsidRPr="00662CA8" w:rsidRDefault="008369C8" w:rsidP="008369C8">
            <w:pPr>
              <w:widowControl/>
              <w:rPr>
                <w:rFonts w:ascii="Times New Roman" w:eastAsia="宋体" w:hAnsi="Times New Roman" w:cs="Times New Roman"/>
                <w:color w:val="000000"/>
                <w:kern w:val="0"/>
                <w:sz w:val="22"/>
              </w:rPr>
            </w:pPr>
            <w:r w:rsidRPr="006724D1">
              <w:rPr>
                <w:rFonts w:ascii="Times New Roman" w:eastAsia="宋体" w:hAnsi="Times New Roman" w:cs="Times New Roman" w:hint="eastAsia"/>
                <w:color w:val="000000"/>
                <w:kern w:val="0"/>
                <w:sz w:val="22"/>
              </w:rPr>
              <w:t>其他</w:t>
            </w:r>
          </w:p>
        </w:tc>
        <w:tc>
          <w:tcPr>
            <w:tcW w:w="1831" w:type="pct"/>
            <w:tcBorders>
              <w:top w:val="nil"/>
              <w:left w:val="nil"/>
              <w:bottom w:val="single" w:sz="4" w:space="0" w:color="auto"/>
              <w:right w:val="single" w:sz="4" w:space="0" w:color="auto"/>
            </w:tcBorders>
            <w:shd w:val="clear" w:color="auto" w:fill="auto"/>
          </w:tcPr>
          <w:p w14:paraId="77866CC6" w14:textId="63F52FEB"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59,557.50 </w:t>
            </w:r>
          </w:p>
        </w:tc>
        <w:tc>
          <w:tcPr>
            <w:tcW w:w="444" w:type="pct"/>
            <w:tcBorders>
              <w:top w:val="nil"/>
              <w:left w:val="nil"/>
              <w:bottom w:val="single" w:sz="4" w:space="0" w:color="auto"/>
              <w:right w:val="single" w:sz="4" w:space="0" w:color="auto"/>
            </w:tcBorders>
            <w:shd w:val="clear" w:color="auto" w:fill="auto"/>
            <w:noWrap/>
            <w:vAlign w:val="bottom"/>
            <w:hideMark/>
          </w:tcPr>
          <w:p w14:paraId="7B07DE03" w14:textId="4F1380DF"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r</w:t>
            </w:r>
          </w:p>
        </w:tc>
      </w:tr>
      <w:tr w:rsidR="008369C8" w:rsidRPr="00662CA8" w14:paraId="3EEB2614" w14:textId="77777777" w:rsidTr="00A7393F">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79A71267"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少数股东权益</w:t>
            </w:r>
          </w:p>
        </w:tc>
        <w:tc>
          <w:tcPr>
            <w:tcW w:w="1831" w:type="pct"/>
            <w:tcBorders>
              <w:top w:val="nil"/>
              <w:left w:val="nil"/>
              <w:bottom w:val="single" w:sz="4" w:space="0" w:color="auto"/>
              <w:right w:val="single" w:sz="4" w:space="0" w:color="auto"/>
            </w:tcBorders>
            <w:shd w:val="clear" w:color="auto" w:fill="auto"/>
          </w:tcPr>
          <w:p w14:paraId="1979E8D7" w14:textId="309EC243"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181,127.59 </w:t>
            </w:r>
          </w:p>
        </w:tc>
        <w:tc>
          <w:tcPr>
            <w:tcW w:w="444" w:type="pct"/>
            <w:tcBorders>
              <w:top w:val="nil"/>
              <w:left w:val="nil"/>
              <w:bottom w:val="single" w:sz="4" w:space="0" w:color="auto"/>
              <w:right w:val="single" w:sz="4" w:space="0" w:color="auto"/>
            </w:tcBorders>
            <w:shd w:val="clear" w:color="auto" w:fill="auto"/>
            <w:noWrap/>
            <w:vAlign w:val="bottom"/>
            <w:hideMark/>
          </w:tcPr>
          <w:p w14:paraId="74E63779"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8369C8" w:rsidRPr="00662CA8" w14:paraId="43FF597D" w14:textId="77777777" w:rsidTr="00A7393F">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5E209053" w14:textId="77777777" w:rsidR="008369C8" w:rsidRPr="00662CA8" w:rsidRDefault="008369C8" w:rsidP="008369C8">
            <w:pPr>
              <w:widowControl/>
              <w:ind w:firstLineChars="100" w:firstLine="220"/>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其中：可计入核心一级资本的数额</w:t>
            </w:r>
          </w:p>
        </w:tc>
        <w:tc>
          <w:tcPr>
            <w:tcW w:w="1831" w:type="pct"/>
            <w:tcBorders>
              <w:top w:val="nil"/>
              <w:left w:val="nil"/>
              <w:bottom w:val="single" w:sz="4" w:space="0" w:color="auto"/>
              <w:right w:val="single" w:sz="4" w:space="0" w:color="auto"/>
            </w:tcBorders>
            <w:shd w:val="clear" w:color="auto" w:fill="auto"/>
          </w:tcPr>
          <w:p w14:paraId="224DAFCC" w14:textId="75739B08"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105,168.98 </w:t>
            </w:r>
          </w:p>
        </w:tc>
        <w:tc>
          <w:tcPr>
            <w:tcW w:w="444" w:type="pct"/>
            <w:tcBorders>
              <w:top w:val="nil"/>
              <w:left w:val="nil"/>
              <w:bottom w:val="single" w:sz="4" w:space="0" w:color="auto"/>
              <w:right w:val="single" w:sz="4" w:space="0" w:color="auto"/>
            </w:tcBorders>
            <w:shd w:val="clear" w:color="auto" w:fill="auto"/>
            <w:noWrap/>
            <w:vAlign w:val="bottom"/>
            <w:hideMark/>
          </w:tcPr>
          <w:p w14:paraId="195DF150" w14:textId="3C79D894"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s</w:t>
            </w:r>
          </w:p>
        </w:tc>
      </w:tr>
      <w:tr w:rsidR="008369C8" w:rsidRPr="00662CA8" w14:paraId="6411DF12" w14:textId="77777777" w:rsidTr="00A7393F">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3618D891" w14:textId="77777777" w:rsidR="008369C8" w:rsidRPr="00662CA8" w:rsidRDefault="008369C8" w:rsidP="008369C8">
            <w:pPr>
              <w:widowControl/>
              <w:ind w:firstLineChars="100" w:firstLine="220"/>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其中：可计入其他一级资本的数额</w:t>
            </w:r>
          </w:p>
        </w:tc>
        <w:tc>
          <w:tcPr>
            <w:tcW w:w="1831" w:type="pct"/>
            <w:tcBorders>
              <w:top w:val="nil"/>
              <w:left w:val="nil"/>
              <w:bottom w:val="single" w:sz="4" w:space="0" w:color="auto"/>
              <w:right w:val="single" w:sz="4" w:space="0" w:color="auto"/>
            </w:tcBorders>
            <w:shd w:val="clear" w:color="auto" w:fill="auto"/>
          </w:tcPr>
          <w:p w14:paraId="72390971" w14:textId="3DD1C272"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14,022.53 </w:t>
            </w:r>
          </w:p>
        </w:tc>
        <w:tc>
          <w:tcPr>
            <w:tcW w:w="444" w:type="pct"/>
            <w:tcBorders>
              <w:top w:val="nil"/>
              <w:left w:val="nil"/>
              <w:bottom w:val="single" w:sz="4" w:space="0" w:color="auto"/>
              <w:right w:val="single" w:sz="4" w:space="0" w:color="auto"/>
            </w:tcBorders>
            <w:shd w:val="clear" w:color="auto" w:fill="auto"/>
            <w:noWrap/>
            <w:vAlign w:val="bottom"/>
            <w:hideMark/>
          </w:tcPr>
          <w:p w14:paraId="112C1AEE" w14:textId="1E2A394C"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t</w:t>
            </w:r>
          </w:p>
        </w:tc>
      </w:tr>
      <w:tr w:rsidR="008369C8" w:rsidRPr="00662CA8" w14:paraId="2E72922D" w14:textId="77777777" w:rsidTr="00A7393F">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1CA7A1BD" w14:textId="77777777" w:rsidR="008369C8" w:rsidRPr="00662CA8" w:rsidRDefault="008369C8" w:rsidP="008369C8">
            <w:pPr>
              <w:widowControl/>
              <w:ind w:firstLineChars="100" w:firstLine="220"/>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其中：可计入二级资本的数额</w:t>
            </w:r>
          </w:p>
        </w:tc>
        <w:tc>
          <w:tcPr>
            <w:tcW w:w="1831" w:type="pct"/>
            <w:tcBorders>
              <w:top w:val="nil"/>
              <w:left w:val="nil"/>
              <w:bottom w:val="single" w:sz="4" w:space="0" w:color="auto"/>
              <w:right w:val="single" w:sz="4" w:space="0" w:color="auto"/>
            </w:tcBorders>
            <w:shd w:val="clear" w:color="auto" w:fill="auto"/>
          </w:tcPr>
          <w:p w14:paraId="65F48E39" w14:textId="06DADCA3"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28,044.72 </w:t>
            </w:r>
          </w:p>
        </w:tc>
        <w:tc>
          <w:tcPr>
            <w:tcW w:w="444" w:type="pct"/>
            <w:tcBorders>
              <w:top w:val="nil"/>
              <w:left w:val="nil"/>
              <w:bottom w:val="single" w:sz="4" w:space="0" w:color="auto"/>
              <w:right w:val="single" w:sz="4" w:space="0" w:color="auto"/>
            </w:tcBorders>
            <w:shd w:val="clear" w:color="auto" w:fill="auto"/>
            <w:noWrap/>
            <w:vAlign w:val="bottom"/>
            <w:hideMark/>
          </w:tcPr>
          <w:p w14:paraId="7201143E" w14:textId="43306B6C"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u</w:t>
            </w:r>
          </w:p>
        </w:tc>
      </w:tr>
      <w:tr w:rsidR="008369C8" w:rsidRPr="00662CA8" w14:paraId="7BBAADB9" w14:textId="77777777" w:rsidTr="00A7393F">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7C5E815D" w14:textId="77777777" w:rsidR="008369C8" w:rsidRPr="00CC3C4C" w:rsidRDefault="008369C8" w:rsidP="008369C8">
            <w:pPr>
              <w:widowControl/>
              <w:rPr>
                <w:rFonts w:ascii="Times New Roman" w:eastAsia="宋体" w:hAnsi="Times New Roman" w:cs="Times New Roman"/>
                <w:color w:val="000000"/>
                <w:kern w:val="0"/>
                <w:sz w:val="22"/>
              </w:rPr>
            </w:pPr>
            <w:r w:rsidRPr="00CC3C4C">
              <w:rPr>
                <w:rFonts w:ascii="Times New Roman" w:eastAsia="宋体" w:hAnsi="Times New Roman" w:cs="Times New Roman"/>
                <w:color w:val="000000"/>
                <w:kern w:val="0"/>
                <w:sz w:val="22"/>
              </w:rPr>
              <w:t>发放贷款及垫款总额</w:t>
            </w:r>
          </w:p>
        </w:tc>
        <w:tc>
          <w:tcPr>
            <w:tcW w:w="1831" w:type="pct"/>
            <w:tcBorders>
              <w:top w:val="nil"/>
              <w:left w:val="nil"/>
              <w:bottom w:val="single" w:sz="4" w:space="0" w:color="auto"/>
              <w:right w:val="single" w:sz="4" w:space="0" w:color="auto"/>
            </w:tcBorders>
            <w:shd w:val="clear" w:color="auto" w:fill="auto"/>
          </w:tcPr>
          <w:p w14:paraId="5095D5C1" w14:textId="4586CF96" w:rsidR="008369C8" w:rsidRPr="00CC3C4C" w:rsidRDefault="00D03F14" w:rsidP="008369C8">
            <w:pPr>
              <w:widowControl/>
              <w:jc w:val="right"/>
              <w:rPr>
                <w:rFonts w:ascii="Times New Roman" w:eastAsia="宋体" w:hAnsi="Times New Roman" w:cs="Times New Roman"/>
                <w:color w:val="000000"/>
                <w:kern w:val="0"/>
                <w:sz w:val="22"/>
              </w:rPr>
            </w:pPr>
            <w:r w:rsidRPr="00CC3C4C">
              <w:rPr>
                <w:rFonts w:ascii="Times New Roman" w:eastAsia="宋体" w:hAnsi="Times New Roman" w:cs="Times New Roman"/>
                <w:color w:val="000000"/>
                <w:kern w:val="0"/>
                <w:sz w:val="22"/>
              </w:rPr>
              <w:t>26,536,294.24</w:t>
            </w:r>
          </w:p>
        </w:tc>
        <w:tc>
          <w:tcPr>
            <w:tcW w:w="444" w:type="pct"/>
            <w:tcBorders>
              <w:top w:val="nil"/>
              <w:left w:val="nil"/>
              <w:bottom w:val="single" w:sz="4" w:space="0" w:color="auto"/>
              <w:right w:val="single" w:sz="4" w:space="0" w:color="auto"/>
            </w:tcBorders>
            <w:shd w:val="clear" w:color="auto" w:fill="auto"/>
            <w:noWrap/>
            <w:vAlign w:val="bottom"/>
            <w:hideMark/>
          </w:tcPr>
          <w:p w14:paraId="1F362874"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8369C8" w:rsidRPr="00662CA8" w14:paraId="0B34D8EB" w14:textId="77777777" w:rsidTr="00A7393F">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43A78C44"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权重法下，实际计提的贷款损失准备金额</w:t>
            </w:r>
          </w:p>
        </w:tc>
        <w:tc>
          <w:tcPr>
            <w:tcW w:w="1831" w:type="pct"/>
            <w:tcBorders>
              <w:top w:val="nil"/>
              <w:left w:val="nil"/>
              <w:bottom w:val="single" w:sz="4" w:space="0" w:color="auto"/>
              <w:right w:val="single" w:sz="4" w:space="0" w:color="auto"/>
            </w:tcBorders>
            <w:shd w:val="clear" w:color="auto" w:fill="auto"/>
          </w:tcPr>
          <w:p w14:paraId="0DBCE280" w14:textId="176E9760"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1,158,346.69 </w:t>
            </w:r>
          </w:p>
        </w:tc>
        <w:tc>
          <w:tcPr>
            <w:tcW w:w="444" w:type="pct"/>
            <w:tcBorders>
              <w:top w:val="nil"/>
              <w:left w:val="nil"/>
              <w:bottom w:val="single" w:sz="4" w:space="0" w:color="auto"/>
              <w:right w:val="single" w:sz="4" w:space="0" w:color="auto"/>
            </w:tcBorders>
            <w:shd w:val="clear" w:color="auto" w:fill="auto"/>
            <w:noWrap/>
            <w:vAlign w:val="bottom"/>
            <w:hideMark/>
          </w:tcPr>
          <w:p w14:paraId="2249FB27" w14:textId="5BA4CF0C"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v</w:t>
            </w:r>
          </w:p>
        </w:tc>
      </w:tr>
      <w:tr w:rsidR="008369C8" w:rsidRPr="00662CA8" w14:paraId="126CF37B" w14:textId="77777777" w:rsidTr="008369C8">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0572695F" w14:textId="77777777" w:rsidR="008369C8" w:rsidRPr="00CC3C4C" w:rsidRDefault="008369C8" w:rsidP="008369C8">
            <w:pPr>
              <w:widowControl/>
              <w:ind w:firstLineChars="100" w:firstLine="220"/>
              <w:rPr>
                <w:rFonts w:ascii="Times New Roman" w:eastAsia="宋体" w:hAnsi="Times New Roman" w:cs="Times New Roman"/>
                <w:color w:val="000000"/>
                <w:kern w:val="0"/>
                <w:sz w:val="22"/>
              </w:rPr>
            </w:pPr>
            <w:r w:rsidRPr="00CC3C4C">
              <w:rPr>
                <w:rFonts w:ascii="Times New Roman" w:eastAsia="宋体" w:hAnsi="Times New Roman" w:cs="Times New Roman"/>
                <w:color w:val="000000"/>
                <w:kern w:val="0"/>
                <w:sz w:val="22"/>
              </w:rPr>
              <w:t>其中：权重法下，可计入二级资本超额贷款损失准备的数额</w:t>
            </w:r>
          </w:p>
        </w:tc>
        <w:tc>
          <w:tcPr>
            <w:tcW w:w="1831" w:type="pct"/>
            <w:tcBorders>
              <w:top w:val="nil"/>
              <w:left w:val="nil"/>
              <w:bottom w:val="single" w:sz="4" w:space="0" w:color="auto"/>
              <w:right w:val="single" w:sz="4" w:space="0" w:color="auto"/>
            </w:tcBorders>
            <w:shd w:val="clear" w:color="auto" w:fill="auto"/>
          </w:tcPr>
          <w:p w14:paraId="11410541" w14:textId="1C2F0C60" w:rsidR="008369C8" w:rsidRPr="00CC3C4C" w:rsidRDefault="000C515C" w:rsidP="008369C8">
            <w:pPr>
              <w:widowControl/>
              <w:jc w:val="right"/>
              <w:rPr>
                <w:rFonts w:ascii="Times New Roman" w:eastAsia="宋体" w:hAnsi="Times New Roman" w:cs="Times New Roman"/>
                <w:color w:val="000000"/>
                <w:kern w:val="0"/>
                <w:sz w:val="22"/>
              </w:rPr>
            </w:pPr>
            <w:r w:rsidRPr="00CC3C4C">
              <w:rPr>
                <w:rFonts w:ascii="Times New Roman" w:eastAsia="宋体" w:hAnsi="Times New Roman" w:cs="Times New Roman"/>
                <w:color w:val="000000"/>
                <w:kern w:val="0"/>
                <w:sz w:val="22"/>
              </w:rPr>
              <w:t xml:space="preserve">420,147.44 </w:t>
            </w:r>
            <w:r w:rsidR="008369C8" w:rsidRPr="00CC3C4C">
              <w:rPr>
                <w:rFonts w:ascii="Times New Roman" w:eastAsia="宋体" w:hAnsi="Times New Roman" w:cs="Times New Roman"/>
                <w:color w:val="000000"/>
                <w:kern w:val="0"/>
                <w:sz w:val="22"/>
              </w:rPr>
              <w:t xml:space="preserve"> </w:t>
            </w:r>
          </w:p>
        </w:tc>
        <w:tc>
          <w:tcPr>
            <w:tcW w:w="444" w:type="pct"/>
            <w:tcBorders>
              <w:top w:val="nil"/>
              <w:left w:val="nil"/>
              <w:bottom w:val="single" w:sz="4" w:space="0" w:color="auto"/>
              <w:right w:val="single" w:sz="4" w:space="0" w:color="auto"/>
            </w:tcBorders>
            <w:shd w:val="clear" w:color="auto" w:fill="auto"/>
            <w:noWrap/>
            <w:vAlign w:val="center"/>
            <w:hideMark/>
          </w:tcPr>
          <w:p w14:paraId="06735ABF" w14:textId="5CA7F60B" w:rsidR="008369C8" w:rsidRPr="00662CA8" w:rsidRDefault="008369C8" w:rsidP="008369C8">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w</w:t>
            </w:r>
          </w:p>
        </w:tc>
      </w:tr>
      <w:tr w:rsidR="008369C8" w:rsidRPr="00662CA8" w14:paraId="59990D57" w14:textId="77777777" w:rsidTr="00DD0502">
        <w:trPr>
          <w:trHeight w:val="270"/>
        </w:trPr>
        <w:tc>
          <w:tcPr>
            <w:tcW w:w="2725" w:type="pct"/>
            <w:tcBorders>
              <w:top w:val="single" w:sz="4" w:space="0" w:color="auto"/>
              <w:left w:val="single" w:sz="4" w:space="0" w:color="auto"/>
              <w:bottom w:val="single" w:sz="4" w:space="0" w:color="auto"/>
              <w:right w:val="single" w:sz="4" w:space="0" w:color="auto"/>
            </w:tcBorders>
            <w:shd w:val="clear" w:color="auto" w:fill="auto"/>
            <w:noWrap/>
          </w:tcPr>
          <w:p w14:paraId="07914961" w14:textId="556CBFEB" w:rsidR="008369C8" w:rsidRPr="00662CA8" w:rsidRDefault="008369C8" w:rsidP="008369C8">
            <w:pPr>
              <w:widowControl/>
              <w:ind w:firstLineChars="6" w:firstLine="13"/>
              <w:rPr>
                <w:rFonts w:ascii="Times New Roman" w:eastAsia="宋体" w:hAnsi="Times New Roman" w:cs="Times New Roman"/>
                <w:color w:val="000000"/>
                <w:kern w:val="0"/>
                <w:sz w:val="22"/>
              </w:rPr>
            </w:pPr>
            <w:r w:rsidRPr="004E58F5">
              <w:rPr>
                <w:rFonts w:hint="eastAsia"/>
              </w:rPr>
              <w:t>其他权益工具</w:t>
            </w:r>
          </w:p>
        </w:tc>
        <w:tc>
          <w:tcPr>
            <w:tcW w:w="1831" w:type="pct"/>
            <w:tcBorders>
              <w:top w:val="single" w:sz="4" w:space="0" w:color="auto"/>
              <w:left w:val="nil"/>
              <w:bottom w:val="single" w:sz="4" w:space="0" w:color="auto"/>
              <w:right w:val="single" w:sz="4" w:space="0" w:color="auto"/>
            </w:tcBorders>
            <w:shd w:val="clear" w:color="auto" w:fill="auto"/>
          </w:tcPr>
          <w:p w14:paraId="6BB8C6A8" w14:textId="480B7868" w:rsidR="008369C8" w:rsidRPr="008369C8"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hint="eastAsia"/>
                <w:color w:val="000000"/>
                <w:kern w:val="0"/>
                <w:sz w:val="22"/>
              </w:rPr>
              <w:t xml:space="preserve">336,585.73 </w:t>
            </w:r>
          </w:p>
        </w:tc>
        <w:tc>
          <w:tcPr>
            <w:tcW w:w="444" w:type="pct"/>
            <w:tcBorders>
              <w:top w:val="single" w:sz="4" w:space="0" w:color="auto"/>
              <w:left w:val="nil"/>
              <w:bottom w:val="single" w:sz="4" w:space="0" w:color="auto"/>
              <w:right w:val="single" w:sz="4" w:space="0" w:color="auto"/>
            </w:tcBorders>
            <w:shd w:val="clear" w:color="auto" w:fill="auto"/>
            <w:noWrap/>
            <w:vAlign w:val="center"/>
          </w:tcPr>
          <w:p w14:paraId="2AAA129E" w14:textId="033A9463" w:rsidR="008369C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w:t>
            </w:r>
          </w:p>
        </w:tc>
      </w:tr>
      <w:tr w:rsidR="008369C8" w:rsidRPr="00662CA8" w14:paraId="1421616A" w14:textId="77777777" w:rsidTr="00DD0502">
        <w:trPr>
          <w:trHeight w:val="270"/>
        </w:trPr>
        <w:tc>
          <w:tcPr>
            <w:tcW w:w="2725" w:type="pct"/>
            <w:tcBorders>
              <w:top w:val="single" w:sz="4" w:space="0" w:color="auto"/>
              <w:left w:val="single" w:sz="4" w:space="0" w:color="auto"/>
              <w:bottom w:val="single" w:sz="4" w:space="0" w:color="auto"/>
              <w:right w:val="single" w:sz="4" w:space="0" w:color="auto"/>
            </w:tcBorders>
            <w:shd w:val="clear" w:color="auto" w:fill="auto"/>
            <w:noWrap/>
          </w:tcPr>
          <w:p w14:paraId="01AF2D51" w14:textId="7B17060B" w:rsidR="008369C8" w:rsidRPr="00662CA8" w:rsidRDefault="008369C8" w:rsidP="008369C8">
            <w:pPr>
              <w:widowControl/>
              <w:ind w:firstLineChars="100" w:firstLine="210"/>
              <w:rPr>
                <w:rFonts w:ascii="Times New Roman" w:eastAsia="宋体" w:hAnsi="Times New Roman" w:cs="Times New Roman"/>
                <w:color w:val="000000"/>
                <w:kern w:val="0"/>
                <w:sz w:val="22"/>
              </w:rPr>
            </w:pPr>
            <w:r w:rsidRPr="004E58F5">
              <w:rPr>
                <w:rFonts w:hint="eastAsia"/>
              </w:rPr>
              <w:t>其中：可计入其他一级资本工具及其溢价的数额</w:t>
            </w:r>
          </w:p>
        </w:tc>
        <w:tc>
          <w:tcPr>
            <w:tcW w:w="1831" w:type="pct"/>
            <w:tcBorders>
              <w:top w:val="single" w:sz="4" w:space="0" w:color="auto"/>
              <w:left w:val="nil"/>
              <w:bottom w:val="single" w:sz="4" w:space="0" w:color="auto"/>
              <w:right w:val="single" w:sz="4" w:space="0" w:color="auto"/>
            </w:tcBorders>
            <w:shd w:val="clear" w:color="auto" w:fill="auto"/>
          </w:tcPr>
          <w:p w14:paraId="386A1F58" w14:textId="3D4FD326" w:rsidR="008369C8" w:rsidRPr="008369C8"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hint="eastAsia"/>
                <w:color w:val="000000"/>
                <w:kern w:val="0"/>
                <w:sz w:val="22"/>
              </w:rPr>
              <w:t xml:space="preserve">299,890.09 </w:t>
            </w:r>
          </w:p>
        </w:tc>
        <w:tc>
          <w:tcPr>
            <w:tcW w:w="444" w:type="pct"/>
            <w:tcBorders>
              <w:top w:val="single" w:sz="4" w:space="0" w:color="auto"/>
              <w:left w:val="nil"/>
              <w:bottom w:val="single" w:sz="4" w:space="0" w:color="auto"/>
              <w:right w:val="single" w:sz="4" w:space="0" w:color="auto"/>
            </w:tcBorders>
            <w:shd w:val="clear" w:color="auto" w:fill="auto"/>
            <w:noWrap/>
            <w:vAlign w:val="center"/>
          </w:tcPr>
          <w:p w14:paraId="5A413F2C" w14:textId="64947CB7" w:rsidR="008369C8" w:rsidRDefault="008369C8" w:rsidP="008369C8">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x</w:t>
            </w:r>
          </w:p>
        </w:tc>
      </w:tr>
    </w:tbl>
    <w:p w14:paraId="78C581F5" w14:textId="77777777" w:rsidR="001E0D63" w:rsidRPr="001E0D63" w:rsidRDefault="001E0D63" w:rsidP="001E0D63">
      <w:pPr>
        <w:rPr>
          <w:rFonts w:ascii="Times New Roman" w:hAnsi="Times New Roman" w:cs="Times New Roman"/>
          <w:sz w:val="18"/>
          <w:szCs w:val="18"/>
        </w:rPr>
      </w:pPr>
      <w:r w:rsidRPr="001E0D63">
        <w:rPr>
          <w:rFonts w:ascii="Times New Roman" w:hAnsi="Times New Roman" w:cs="Times New Roman" w:hint="eastAsia"/>
          <w:sz w:val="18"/>
          <w:szCs w:val="18"/>
        </w:rPr>
        <w:t>注：依照《商业银行资本管理办法（试行）》（中国银行业监督管理委员会</w:t>
      </w:r>
      <w:r w:rsidRPr="001E0D63">
        <w:rPr>
          <w:rFonts w:ascii="Times New Roman" w:hAnsi="Times New Roman" w:cs="Times New Roman" w:hint="eastAsia"/>
          <w:sz w:val="18"/>
          <w:szCs w:val="18"/>
        </w:rPr>
        <w:t>2012</w:t>
      </w:r>
      <w:r w:rsidRPr="001E0D63">
        <w:rPr>
          <w:rFonts w:ascii="Times New Roman" w:hAnsi="Times New Roman" w:cs="Times New Roman" w:hint="eastAsia"/>
          <w:sz w:val="18"/>
          <w:szCs w:val="18"/>
        </w:rPr>
        <w:t>年第</w:t>
      </w:r>
      <w:r w:rsidRPr="001E0D63">
        <w:rPr>
          <w:rFonts w:ascii="Times New Roman" w:hAnsi="Times New Roman" w:cs="Times New Roman" w:hint="eastAsia"/>
          <w:sz w:val="18"/>
          <w:szCs w:val="18"/>
        </w:rPr>
        <w:t>1</w:t>
      </w:r>
      <w:r w:rsidRPr="001E0D63">
        <w:rPr>
          <w:rFonts w:ascii="Times New Roman" w:hAnsi="Times New Roman" w:cs="Times New Roman" w:hint="eastAsia"/>
          <w:sz w:val="18"/>
          <w:szCs w:val="18"/>
        </w:rPr>
        <w:t>号令）要求，根据经审计的合并财务报表数据重新计算。</w:t>
      </w:r>
    </w:p>
    <w:p w14:paraId="4C1790C2" w14:textId="77777777" w:rsidR="00AB6D2C" w:rsidRPr="001E0D63" w:rsidRDefault="00AB6D2C" w:rsidP="00AB6D2C">
      <w:pPr>
        <w:ind w:firstLine="420"/>
        <w:rPr>
          <w:rFonts w:ascii="Times New Roman" w:hAnsi="Times New Roman" w:cs="Times New Roman"/>
        </w:rPr>
      </w:pPr>
    </w:p>
    <w:p w14:paraId="3F194CF3" w14:textId="77777777" w:rsidR="00AB6D2C" w:rsidRPr="00662CA8" w:rsidRDefault="00AB6D2C">
      <w:pPr>
        <w:widowControl/>
        <w:jc w:val="left"/>
        <w:rPr>
          <w:rFonts w:ascii="Times New Roman" w:hAnsi="Times New Roman" w:cs="Times New Roman"/>
        </w:rPr>
      </w:pPr>
      <w:r w:rsidRPr="00662CA8">
        <w:rPr>
          <w:rFonts w:ascii="Times New Roman" w:hAnsi="Times New Roman" w:cs="Times New Roman"/>
        </w:rPr>
        <w:br w:type="page"/>
      </w:r>
    </w:p>
    <w:p w14:paraId="48A9E463" w14:textId="77777777" w:rsidR="00AB6D2C" w:rsidRPr="00662CA8" w:rsidRDefault="00AB6D2C" w:rsidP="00AB6D2C">
      <w:pPr>
        <w:ind w:firstLine="420"/>
        <w:rPr>
          <w:rFonts w:ascii="Times New Roman" w:hAnsi="Times New Roman" w:cs="Times New Roman"/>
          <w:b/>
          <w:sz w:val="24"/>
          <w:szCs w:val="21"/>
        </w:rPr>
      </w:pPr>
      <w:r w:rsidRPr="00662CA8">
        <w:rPr>
          <w:rFonts w:ascii="Times New Roman" w:hAnsi="Times New Roman" w:cs="Times New Roman"/>
          <w:b/>
          <w:sz w:val="24"/>
          <w:szCs w:val="21"/>
        </w:rPr>
        <w:lastRenderedPageBreak/>
        <w:t>三、展开项目与资本构成披露模板中的项目对应关系表</w:t>
      </w:r>
    </w:p>
    <w:p w14:paraId="38AB8933" w14:textId="77777777" w:rsidR="00834A3C" w:rsidRPr="00662CA8" w:rsidRDefault="00834A3C" w:rsidP="00AB6D2C">
      <w:pPr>
        <w:ind w:firstLine="420"/>
        <w:rPr>
          <w:rFonts w:ascii="Times New Roman" w:hAnsi="Times New Roman" w:cs="Times New Roman"/>
          <w:b/>
          <w:sz w:val="24"/>
          <w:szCs w:val="21"/>
        </w:rPr>
      </w:pPr>
    </w:p>
    <w:p w14:paraId="27BB3E33" w14:textId="77777777" w:rsidR="00AB6D2C" w:rsidRPr="00662CA8" w:rsidRDefault="00AB6D2C" w:rsidP="00AB6D2C">
      <w:pPr>
        <w:ind w:firstLine="420"/>
        <w:jc w:val="right"/>
        <w:rPr>
          <w:rFonts w:ascii="Times New Roman" w:hAnsi="Times New Roman" w:cs="Times New Roman"/>
        </w:rPr>
      </w:pPr>
      <w:r w:rsidRPr="00662CA8">
        <w:rPr>
          <w:rFonts w:ascii="Times New Roman" w:hAnsi="Times New Roman" w:cs="Times New Roman"/>
        </w:rPr>
        <w:t>单位：人民币万元</w:t>
      </w:r>
    </w:p>
    <w:tbl>
      <w:tblPr>
        <w:tblW w:w="5000" w:type="pct"/>
        <w:tblLook w:val="04A0" w:firstRow="1" w:lastRow="0" w:firstColumn="1" w:lastColumn="0" w:noHBand="0" w:noVBand="1"/>
      </w:tblPr>
      <w:tblGrid>
        <w:gridCol w:w="517"/>
        <w:gridCol w:w="5261"/>
        <w:gridCol w:w="1842"/>
        <w:gridCol w:w="902"/>
      </w:tblGrid>
      <w:tr w:rsidR="00AB6D2C" w:rsidRPr="00662CA8" w14:paraId="09B713FC" w14:textId="77777777" w:rsidTr="003E26F0">
        <w:trPr>
          <w:trHeight w:val="270"/>
        </w:trPr>
        <w:tc>
          <w:tcPr>
            <w:tcW w:w="339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54DE7BE" w14:textId="77777777"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核心一级资本</w:t>
            </w:r>
          </w:p>
        </w:tc>
        <w:tc>
          <w:tcPr>
            <w:tcW w:w="1081"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8C04D39" w14:textId="77777777" w:rsidR="00AB6D2C" w:rsidRPr="00662CA8" w:rsidRDefault="00AB6D2C" w:rsidP="00AB6D2C">
            <w:pPr>
              <w:widowControl/>
              <w:jc w:val="center"/>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数额</w:t>
            </w:r>
          </w:p>
        </w:tc>
        <w:tc>
          <w:tcPr>
            <w:tcW w:w="529"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45F5E71" w14:textId="77777777" w:rsidR="00AB6D2C" w:rsidRPr="00662CA8" w:rsidRDefault="00AB6D2C" w:rsidP="003E26F0">
            <w:pPr>
              <w:widowControl/>
              <w:jc w:val="center"/>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代码</w:t>
            </w:r>
          </w:p>
        </w:tc>
      </w:tr>
      <w:tr w:rsidR="008369C8" w:rsidRPr="00662CA8" w14:paraId="011E7B62" w14:textId="77777777" w:rsidTr="00A7393F">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4F8652A2"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w:t>
            </w:r>
          </w:p>
        </w:tc>
        <w:tc>
          <w:tcPr>
            <w:tcW w:w="3087" w:type="pct"/>
            <w:tcBorders>
              <w:top w:val="nil"/>
              <w:left w:val="nil"/>
              <w:bottom w:val="single" w:sz="4" w:space="0" w:color="auto"/>
              <w:right w:val="single" w:sz="4" w:space="0" w:color="auto"/>
            </w:tcBorders>
            <w:shd w:val="clear" w:color="auto" w:fill="auto"/>
            <w:vAlign w:val="center"/>
            <w:hideMark/>
          </w:tcPr>
          <w:p w14:paraId="6F1CF182"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实收资本</w:t>
            </w:r>
          </w:p>
        </w:tc>
        <w:tc>
          <w:tcPr>
            <w:tcW w:w="1081" w:type="pct"/>
            <w:tcBorders>
              <w:top w:val="nil"/>
              <w:left w:val="nil"/>
              <w:bottom w:val="single" w:sz="4" w:space="0" w:color="auto"/>
              <w:right w:val="single" w:sz="4" w:space="0" w:color="auto"/>
            </w:tcBorders>
            <w:shd w:val="clear" w:color="auto" w:fill="auto"/>
          </w:tcPr>
          <w:p w14:paraId="4469EE34" w14:textId="66956378"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366,672.61 </w:t>
            </w:r>
          </w:p>
        </w:tc>
        <w:tc>
          <w:tcPr>
            <w:tcW w:w="529" w:type="pct"/>
            <w:tcBorders>
              <w:top w:val="nil"/>
              <w:left w:val="nil"/>
              <w:bottom w:val="single" w:sz="4" w:space="0" w:color="auto"/>
              <w:right w:val="single" w:sz="4" w:space="0" w:color="auto"/>
            </w:tcBorders>
            <w:shd w:val="clear" w:color="auto" w:fill="auto"/>
            <w:noWrap/>
            <w:vAlign w:val="center"/>
            <w:hideMark/>
          </w:tcPr>
          <w:p w14:paraId="2EE422F9" w14:textId="264DFDAA" w:rsidR="008369C8" w:rsidRPr="00662CA8" w:rsidRDefault="008369C8" w:rsidP="008369C8">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k</w:t>
            </w:r>
          </w:p>
        </w:tc>
      </w:tr>
      <w:tr w:rsidR="008369C8" w:rsidRPr="00662CA8" w14:paraId="7F1BA3AC" w14:textId="77777777" w:rsidTr="00A7393F">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097018AD"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2a</w:t>
            </w:r>
          </w:p>
        </w:tc>
        <w:tc>
          <w:tcPr>
            <w:tcW w:w="3087" w:type="pct"/>
            <w:tcBorders>
              <w:top w:val="nil"/>
              <w:left w:val="nil"/>
              <w:bottom w:val="single" w:sz="4" w:space="0" w:color="auto"/>
              <w:right w:val="single" w:sz="4" w:space="0" w:color="auto"/>
            </w:tcBorders>
            <w:shd w:val="clear" w:color="auto" w:fill="auto"/>
            <w:vAlign w:val="center"/>
            <w:hideMark/>
          </w:tcPr>
          <w:p w14:paraId="2C6F4F8F"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盈余公积</w:t>
            </w:r>
          </w:p>
        </w:tc>
        <w:tc>
          <w:tcPr>
            <w:tcW w:w="1081" w:type="pct"/>
            <w:tcBorders>
              <w:top w:val="nil"/>
              <w:left w:val="nil"/>
              <w:bottom w:val="single" w:sz="4" w:space="0" w:color="auto"/>
              <w:right w:val="single" w:sz="4" w:space="0" w:color="auto"/>
            </w:tcBorders>
            <w:shd w:val="clear" w:color="auto" w:fill="auto"/>
          </w:tcPr>
          <w:p w14:paraId="454BF475" w14:textId="3DFF9116"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250,445.33 </w:t>
            </w:r>
          </w:p>
        </w:tc>
        <w:tc>
          <w:tcPr>
            <w:tcW w:w="529" w:type="pct"/>
            <w:tcBorders>
              <w:top w:val="nil"/>
              <w:left w:val="nil"/>
              <w:bottom w:val="single" w:sz="4" w:space="0" w:color="auto"/>
              <w:right w:val="single" w:sz="4" w:space="0" w:color="auto"/>
            </w:tcBorders>
            <w:shd w:val="clear" w:color="auto" w:fill="auto"/>
            <w:noWrap/>
            <w:vAlign w:val="center"/>
            <w:hideMark/>
          </w:tcPr>
          <w:p w14:paraId="0DEE03FC" w14:textId="7277C6A5"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n</w:t>
            </w:r>
          </w:p>
        </w:tc>
      </w:tr>
      <w:tr w:rsidR="008369C8" w:rsidRPr="00662CA8" w14:paraId="12FCB0BA" w14:textId="77777777" w:rsidTr="00A7393F">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62630879"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2b</w:t>
            </w:r>
          </w:p>
        </w:tc>
        <w:tc>
          <w:tcPr>
            <w:tcW w:w="3087" w:type="pct"/>
            <w:tcBorders>
              <w:top w:val="nil"/>
              <w:left w:val="nil"/>
              <w:bottom w:val="single" w:sz="4" w:space="0" w:color="auto"/>
              <w:right w:val="single" w:sz="4" w:space="0" w:color="auto"/>
            </w:tcBorders>
            <w:shd w:val="clear" w:color="auto" w:fill="auto"/>
            <w:vAlign w:val="center"/>
            <w:hideMark/>
          </w:tcPr>
          <w:p w14:paraId="0C490811"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一般风险准备</w:t>
            </w:r>
          </w:p>
        </w:tc>
        <w:tc>
          <w:tcPr>
            <w:tcW w:w="1081" w:type="pct"/>
            <w:tcBorders>
              <w:top w:val="nil"/>
              <w:left w:val="nil"/>
              <w:bottom w:val="single" w:sz="4" w:space="0" w:color="auto"/>
              <w:right w:val="single" w:sz="4" w:space="0" w:color="auto"/>
            </w:tcBorders>
            <w:shd w:val="clear" w:color="auto" w:fill="auto"/>
          </w:tcPr>
          <w:p w14:paraId="68C71C2F" w14:textId="620CD23A"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549,754.04 </w:t>
            </w:r>
          </w:p>
        </w:tc>
        <w:tc>
          <w:tcPr>
            <w:tcW w:w="529" w:type="pct"/>
            <w:tcBorders>
              <w:top w:val="nil"/>
              <w:left w:val="nil"/>
              <w:bottom w:val="single" w:sz="4" w:space="0" w:color="auto"/>
              <w:right w:val="single" w:sz="4" w:space="0" w:color="auto"/>
            </w:tcBorders>
            <w:shd w:val="clear" w:color="auto" w:fill="auto"/>
            <w:noWrap/>
            <w:vAlign w:val="center"/>
            <w:hideMark/>
          </w:tcPr>
          <w:p w14:paraId="39913721" w14:textId="629EB292"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o</w:t>
            </w:r>
          </w:p>
        </w:tc>
      </w:tr>
      <w:tr w:rsidR="008369C8" w:rsidRPr="00662CA8" w14:paraId="2117162B" w14:textId="77777777" w:rsidTr="00A7393F">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03148AD8"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2c</w:t>
            </w:r>
          </w:p>
        </w:tc>
        <w:tc>
          <w:tcPr>
            <w:tcW w:w="3087" w:type="pct"/>
            <w:tcBorders>
              <w:top w:val="nil"/>
              <w:left w:val="nil"/>
              <w:bottom w:val="single" w:sz="4" w:space="0" w:color="auto"/>
              <w:right w:val="single" w:sz="4" w:space="0" w:color="auto"/>
            </w:tcBorders>
            <w:shd w:val="clear" w:color="auto" w:fill="auto"/>
            <w:vAlign w:val="center"/>
            <w:hideMark/>
          </w:tcPr>
          <w:p w14:paraId="461F2795"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未分配利润</w:t>
            </w:r>
          </w:p>
        </w:tc>
        <w:tc>
          <w:tcPr>
            <w:tcW w:w="1081" w:type="pct"/>
            <w:tcBorders>
              <w:top w:val="nil"/>
              <w:left w:val="nil"/>
              <w:bottom w:val="single" w:sz="4" w:space="0" w:color="auto"/>
              <w:right w:val="single" w:sz="4" w:space="0" w:color="auto"/>
            </w:tcBorders>
            <w:shd w:val="clear" w:color="auto" w:fill="auto"/>
          </w:tcPr>
          <w:p w14:paraId="343E51EE" w14:textId="49963268"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1,095,382.68 </w:t>
            </w:r>
          </w:p>
        </w:tc>
        <w:tc>
          <w:tcPr>
            <w:tcW w:w="529" w:type="pct"/>
            <w:tcBorders>
              <w:top w:val="nil"/>
              <w:left w:val="nil"/>
              <w:bottom w:val="single" w:sz="4" w:space="0" w:color="auto"/>
              <w:right w:val="single" w:sz="4" w:space="0" w:color="auto"/>
            </w:tcBorders>
            <w:shd w:val="clear" w:color="auto" w:fill="auto"/>
            <w:noWrap/>
            <w:vAlign w:val="center"/>
            <w:hideMark/>
          </w:tcPr>
          <w:p w14:paraId="55D9D6ED" w14:textId="7D3585B1" w:rsidR="008369C8" w:rsidRPr="00662CA8" w:rsidRDefault="008369C8" w:rsidP="008369C8">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p</w:t>
            </w:r>
          </w:p>
        </w:tc>
      </w:tr>
      <w:tr w:rsidR="008369C8" w:rsidRPr="00662CA8" w14:paraId="1EA2F266" w14:textId="77777777" w:rsidTr="00A7393F">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0DBA41D2"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3a</w:t>
            </w:r>
          </w:p>
        </w:tc>
        <w:tc>
          <w:tcPr>
            <w:tcW w:w="3087" w:type="pct"/>
            <w:tcBorders>
              <w:top w:val="nil"/>
              <w:left w:val="nil"/>
              <w:bottom w:val="single" w:sz="4" w:space="0" w:color="auto"/>
              <w:right w:val="single" w:sz="4" w:space="0" w:color="auto"/>
            </w:tcBorders>
            <w:shd w:val="clear" w:color="auto" w:fill="auto"/>
            <w:vAlign w:val="center"/>
            <w:hideMark/>
          </w:tcPr>
          <w:p w14:paraId="3D7BD2BB"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资本公积</w:t>
            </w:r>
          </w:p>
        </w:tc>
        <w:tc>
          <w:tcPr>
            <w:tcW w:w="1081" w:type="pct"/>
            <w:tcBorders>
              <w:top w:val="nil"/>
              <w:left w:val="nil"/>
              <w:bottom w:val="single" w:sz="4" w:space="0" w:color="auto"/>
              <w:right w:val="single" w:sz="4" w:space="0" w:color="auto"/>
            </w:tcBorders>
            <w:shd w:val="clear" w:color="auto" w:fill="auto"/>
          </w:tcPr>
          <w:p w14:paraId="525027AD" w14:textId="23F2A423"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1,049,519.21 </w:t>
            </w:r>
          </w:p>
        </w:tc>
        <w:tc>
          <w:tcPr>
            <w:tcW w:w="529" w:type="pct"/>
            <w:tcBorders>
              <w:top w:val="nil"/>
              <w:left w:val="nil"/>
              <w:bottom w:val="single" w:sz="4" w:space="0" w:color="auto"/>
              <w:right w:val="single" w:sz="4" w:space="0" w:color="auto"/>
            </w:tcBorders>
            <w:shd w:val="clear" w:color="auto" w:fill="auto"/>
            <w:noWrap/>
            <w:vAlign w:val="center"/>
            <w:hideMark/>
          </w:tcPr>
          <w:p w14:paraId="680EE638" w14:textId="282FF6BC" w:rsidR="008369C8" w:rsidRPr="00662CA8" w:rsidRDefault="008369C8" w:rsidP="008369C8">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m</w:t>
            </w:r>
          </w:p>
        </w:tc>
      </w:tr>
      <w:tr w:rsidR="008369C8" w:rsidRPr="00662CA8" w14:paraId="28F734B2" w14:textId="77777777" w:rsidTr="00A7393F">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6C39F6CA"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3b</w:t>
            </w:r>
          </w:p>
        </w:tc>
        <w:tc>
          <w:tcPr>
            <w:tcW w:w="3087" w:type="pct"/>
            <w:tcBorders>
              <w:top w:val="nil"/>
              <w:left w:val="nil"/>
              <w:bottom w:val="single" w:sz="4" w:space="0" w:color="auto"/>
              <w:right w:val="single" w:sz="4" w:space="0" w:color="auto"/>
            </w:tcBorders>
            <w:shd w:val="clear" w:color="auto" w:fill="auto"/>
            <w:vAlign w:val="center"/>
            <w:hideMark/>
          </w:tcPr>
          <w:p w14:paraId="06BD8505"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w:t>
            </w:r>
          </w:p>
        </w:tc>
        <w:tc>
          <w:tcPr>
            <w:tcW w:w="1081" w:type="pct"/>
            <w:tcBorders>
              <w:top w:val="nil"/>
              <w:left w:val="nil"/>
              <w:bottom w:val="single" w:sz="4" w:space="0" w:color="auto"/>
              <w:right w:val="single" w:sz="4" w:space="0" w:color="auto"/>
            </w:tcBorders>
            <w:shd w:val="clear" w:color="auto" w:fill="auto"/>
          </w:tcPr>
          <w:p w14:paraId="2FA4B801" w14:textId="535DF47F"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59,557.50 </w:t>
            </w:r>
          </w:p>
        </w:tc>
        <w:tc>
          <w:tcPr>
            <w:tcW w:w="529" w:type="pct"/>
            <w:tcBorders>
              <w:top w:val="nil"/>
              <w:left w:val="nil"/>
              <w:bottom w:val="single" w:sz="4" w:space="0" w:color="auto"/>
              <w:right w:val="single" w:sz="4" w:space="0" w:color="auto"/>
            </w:tcBorders>
            <w:shd w:val="clear" w:color="auto" w:fill="auto"/>
            <w:noWrap/>
            <w:vAlign w:val="center"/>
            <w:hideMark/>
          </w:tcPr>
          <w:p w14:paraId="5D33D820" w14:textId="1515D30B" w:rsidR="008369C8" w:rsidRPr="00662CA8" w:rsidRDefault="008369C8" w:rsidP="008369C8">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r</w:t>
            </w:r>
          </w:p>
        </w:tc>
      </w:tr>
      <w:tr w:rsidR="008369C8" w:rsidRPr="00662CA8" w14:paraId="2D7CA52C" w14:textId="77777777" w:rsidTr="00A7393F">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2EAD47D0"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5</w:t>
            </w:r>
          </w:p>
        </w:tc>
        <w:tc>
          <w:tcPr>
            <w:tcW w:w="3087" w:type="pct"/>
            <w:tcBorders>
              <w:top w:val="nil"/>
              <w:left w:val="nil"/>
              <w:bottom w:val="single" w:sz="4" w:space="0" w:color="auto"/>
              <w:right w:val="single" w:sz="4" w:space="0" w:color="auto"/>
            </w:tcBorders>
            <w:shd w:val="clear" w:color="auto" w:fill="auto"/>
            <w:vAlign w:val="center"/>
            <w:hideMark/>
          </w:tcPr>
          <w:p w14:paraId="48A8C46A"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少数股东资本可计入部分</w:t>
            </w:r>
          </w:p>
        </w:tc>
        <w:tc>
          <w:tcPr>
            <w:tcW w:w="1081" w:type="pct"/>
            <w:tcBorders>
              <w:top w:val="nil"/>
              <w:left w:val="nil"/>
              <w:bottom w:val="single" w:sz="4" w:space="0" w:color="auto"/>
              <w:right w:val="single" w:sz="4" w:space="0" w:color="auto"/>
            </w:tcBorders>
            <w:shd w:val="clear" w:color="auto" w:fill="auto"/>
          </w:tcPr>
          <w:p w14:paraId="0D83E5C9" w14:textId="120F5739" w:rsidR="008369C8" w:rsidRPr="003C4A0F" w:rsidRDefault="008369C8" w:rsidP="008369C8">
            <w:pPr>
              <w:widowControl/>
              <w:jc w:val="right"/>
              <w:rPr>
                <w:rFonts w:ascii="Times New Roman" w:eastAsia="宋体" w:hAnsi="Times New Roman" w:cs="Times New Roman"/>
                <w:color w:val="000000"/>
                <w:kern w:val="0"/>
                <w:sz w:val="22"/>
              </w:rPr>
            </w:pPr>
            <w:r w:rsidRPr="008369C8">
              <w:rPr>
                <w:rFonts w:ascii="Times New Roman" w:eastAsia="宋体" w:hAnsi="Times New Roman" w:cs="Times New Roman"/>
                <w:color w:val="000000"/>
                <w:kern w:val="0"/>
                <w:sz w:val="22"/>
              </w:rPr>
              <w:t xml:space="preserve">105,168.98 </w:t>
            </w:r>
          </w:p>
        </w:tc>
        <w:tc>
          <w:tcPr>
            <w:tcW w:w="529" w:type="pct"/>
            <w:tcBorders>
              <w:top w:val="nil"/>
              <w:left w:val="nil"/>
              <w:bottom w:val="single" w:sz="4" w:space="0" w:color="auto"/>
              <w:right w:val="single" w:sz="4" w:space="0" w:color="auto"/>
            </w:tcBorders>
            <w:shd w:val="clear" w:color="auto" w:fill="auto"/>
            <w:noWrap/>
            <w:vAlign w:val="center"/>
            <w:hideMark/>
          </w:tcPr>
          <w:p w14:paraId="18130A3E" w14:textId="0DA54C9A" w:rsidR="008369C8" w:rsidRPr="00662CA8" w:rsidRDefault="008369C8" w:rsidP="008369C8">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s</w:t>
            </w:r>
          </w:p>
        </w:tc>
      </w:tr>
      <w:tr w:rsidR="00AB6D2C" w:rsidRPr="00662CA8" w14:paraId="30CCFB29" w14:textId="77777777" w:rsidTr="003E26F0">
        <w:trPr>
          <w:trHeight w:val="270"/>
        </w:trPr>
        <w:tc>
          <w:tcPr>
            <w:tcW w:w="3390"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14:paraId="21D948C0" w14:textId="77777777"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核心一级资本：监管调整</w:t>
            </w:r>
          </w:p>
        </w:tc>
        <w:tc>
          <w:tcPr>
            <w:tcW w:w="1081" w:type="pct"/>
            <w:tcBorders>
              <w:top w:val="nil"/>
              <w:left w:val="nil"/>
              <w:bottom w:val="single" w:sz="4" w:space="0" w:color="auto"/>
              <w:right w:val="single" w:sz="4" w:space="0" w:color="auto"/>
            </w:tcBorders>
            <w:shd w:val="clear" w:color="auto" w:fill="BFBFBF" w:themeFill="background1" w:themeFillShade="BF"/>
            <w:vAlign w:val="bottom"/>
            <w:hideMark/>
          </w:tcPr>
          <w:p w14:paraId="27C8B755" w14:textId="77777777" w:rsidR="00AB6D2C" w:rsidRPr="00662CA8" w:rsidRDefault="00AB6D2C" w:rsidP="00AB6D2C">
            <w:pPr>
              <w:widowControl/>
              <w:jc w:val="center"/>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数额</w:t>
            </w:r>
          </w:p>
        </w:tc>
        <w:tc>
          <w:tcPr>
            <w:tcW w:w="529" w:type="pct"/>
            <w:tcBorders>
              <w:top w:val="nil"/>
              <w:left w:val="nil"/>
              <w:bottom w:val="single" w:sz="4" w:space="0" w:color="auto"/>
              <w:right w:val="single" w:sz="4" w:space="0" w:color="auto"/>
            </w:tcBorders>
            <w:shd w:val="clear" w:color="auto" w:fill="BFBFBF" w:themeFill="background1" w:themeFillShade="BF"/>
            <w:noWrap/>
            <w:vAlign w:val="center"/>
            <w:hideMark/>
          </w:tcPr>
          <w:p w14:paraId="5A2DF997" w14:textId="77777777" w:rsidR="00AB6D2C" w:rsidRPr="00662CA8" w:rsidRDefault="00AB6D2C" w:rsidP="003E26F0">
            <w:pPr>
              <w:widowControl/>
              <w:jc w:val="center"/>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代码</w:t>
            </w:r>
          </w:p>
        </w:tc>
      </w:tr>
      <w:tr w:rsidR="008369C8" w:rsidRPr="00662CA8" w14:paraId="6D36917A" w14:textId="77777777" w:rsidTr="000268A9">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42CC1D8D"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8</w:t>
            </w:r>
          </w:p>
        </w:tc>
        <w:tc>
          <w:tcPr>
            <w:tcW w:w="3087" w:type="pct"/>
            <w:tcBorders>
              <w:top w:val="nil"/>
              <w:left w:val="nil"/>
              <w:bottom w:val="single" w:sz="4" w:space="0" w:color="auto"/>
              <w:right w:val="single" w:sz="4" w:space="0" w:color="auto"/>
            </w:tcBorders>
            <w:shd w:val="clear" w:color="auto" w:fill="auto"/>
            <w:vAlign w:val="center"/>
            <w:hideMark/>
          </w:tcPr>
          <w:p w14:paraId="2B9672E8"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商誉（扣除递延税负债）</w:t>
            </w:r>
          </w:p>
        </w:tc>
        <w:tc>
          <w:tcPr>
            <w:tcW w:w="1081" w:type="pct"/>
            <w:tcBorders>
              <w:top w:val="nil"/>
              <w:left w:val="nil"/>
              <w:bottom w:val="single" w:sz="4" w:space="0" w:color="auto"/>
              <w:right w:val="single" w:sz="4" w:space="0" w:color="auto"/>
            </w:tcBorders>
            <w:shd w:val="clear" w:color="auto" w:fill="auto"/>
          </w:tcPr>
          <w:p w14:paraId="45C2E91A" w14:textId="6921CA11" w:rsidR="008369C8" w:rsidRPr="00662CA8" w:rsidRDefault="008369C8" w:rsidP="008369C8">
            <w:pPr>
              <w:widowControl/>
              <w:jc w:val="right"/>
              <w:rPr>
                <w:rFonts w:ascii="Times New Roman" w:eastAsia="宋体" w:hAnsi="Times New Roman" w:cs="Times New Roman"/>
                <w:color w:val="000000"/>
                <w:kern w:val="0"/>
                <w:sz w:val="22"/>
              </w:rPr>
            </w:pPr>
            <w:r w:rsidRPr="00177FBD">
              <w:rPr>
                <w:rFonts w:ascii="Times New Roman" w:eastAsia="宋体" w:hAnsi="Times New Roman" w:cs="Times New Roman"/>
                <w:color w:val="000000"/>
                <w:kern w:val="0"/>
                <w:sz w:val="22"/>
              </w:rPr>
              <w:t xml:space="preserve">- </w:t>
            </w:r>
          </w:p>
        </w:tc>
        <w:tc>
          <w:tcPr>
            <w:tcW w:w="529" w:type="pct"/>
            <w:tcBorders>
              <w:top w:val="nil"/>
              <w:left w:val="nil"/>
              <w:bottom w:val="single" w:sz="4" w:space="0" w:color="auto"/>
              <w:right w:val="single" w:sz="4" w:space="0" w:color="auto"/>
            </w:tcBorders>
            <w:shd w:val="clear" w:color="auto" w:fill="auto"/>
            <w:noWrap/>
            <w:vAlign w:val="center"/>
            <w:hideMark/>
          </w:tcPr>
          <w:p w14:paraId="61755479" w14:textId="3BCA098D"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a-</w:t>
            </w:r>
            <w:proofErr w:type="spellStart"/>
            <w:r>
              <w:rPr>
                <w:rFonts w:ascii="Times New Roman" w:eastAsia="宋体" w:hAnsi="Times New Roman" w:cs="Times New Roman"/>
                <w:color w:val="000000"/>
                <w:kern w:val="0"/>
                <w:sz w:val="22"/>
              </w:rPr>
              <w:t>i</w:t>
            </w:r>
            <w:proofErr w:type="spellEnd"/>
          </w:p>
        </w:tc>
      </w:tr>
      <w:tr w:rsidR="008369C8" w:rsidRPr="00662CA8" w14:paraId="6C306343" w14:textId="77777777" w:rsidTr="000268A9">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6177E842"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9</w:t>
            </w:r>
          </w:p>
        </w:tc>
        <w:tc>
          <w:tcPr>
            <w:tcW w:w="3087" w:type="pct"/>
            <w:tcBorders>
              <w:top w:val="nil"/>
              <w:left w:val="nil"/>
              <w:bottom w:val="single" w:sz="4" w:space="0" w:color="auto"/>
              <w:right w:val="single" w:sz="4" w:space="0" w:color="auto"/>
            </w:tcBorders>
            <w:shd w:val="clear" w:color="auto" w:fill="auto"/>
            <w:vAlign w:val="center"/>
            <w:hideMark/>
          </w:tcPr>
          <w:p w14:paraId="50161E64"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其他无形资产（土地使用权除外）（扣除递延税负债）</w:t>
            </w:r>
          </w:p>
        </w:tc>
        <w:tc>
          <w:tcPr>
            <w:tcW w:w="1081" w:type="pct"/>
            <w:tcBorders>
              <w:top w:val="nil"/>
              <w:left w:val="nil"/>
              <w:bottom w:val="single" w:sz="4" w:space="0" w:color="auto"/>
              <w:right w:val="single" w:sz="4" w:space="0" w:color="auto"/>
            </w:tcBorders>
            <w:shd w:val="clear" w:color="auto" w:fill="auto"/>
          </w:tcPr>
          <w:p w14:paraId="7B98CA2D" w14:textId="6FFF6A41" w:rsidR="008369C8" w:rsidRPr="00426443" w:rsidRDefault="008369C8" w:rsidP="008369C8">
            <w:pPr>
              <w:widowControl/>
              <w:jc w:val="right"/>
              <w:rPr>
                <w:rFonts w:ascii="Times New Roman" w:eastAsia="宋体" w:hAnsi="Times New Roman" w:cs="Times New Roman"/>
                <w:color w:val="000000"/>
                <w:kern w:val="0"/>
                <w:sz w:val="22"/>
              </w:rPr>
            </w:pPr>
            <w:r w:rsidRPr="00177FBD">
              <w:rPr>
                <w:rFonts w:ascii="Times New Roman" w:eastAsia="宋体" w:hAnsi="Times New Roman" w:cs="Times New Roman"/>
                <w:color w:val="000000"/>
                <w:kern w:val="0"/>
                <w:sz w:val="22"/>
              </w:rPr>
              <w:t>24,733.17</w:t>
            </w:r>
          </w:p>
        </w:tc>
        <w:tc>
          <w:tcPr>
            <w:tcW w:w="529" w:type="pct"/>
            <w:tcBorders>
              <w:top w:val="nil"/>
              <w:left w:val="nil"/>
              <w:bottom w:val="single" w:sz="4" w:space="0" w:color="auto"/>
              <w:right w:val="single" w:sz="4" w:space="0" w:color="auto"/>
            </w:tcBorders>
            <w:shd w:val="clear" w:color="auto" w:fill="auto"/>
            <w:noWrap/>
            <w:vAlign w:val="center"/>
            <w:hideMark/>
          </w:tcPr>
          <w:p w14:paraId="2F91171C" w14:textId="534E533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b-c-</w:t>
            </w:r>
            <w:r>
              <w:rPr>
                <w:rFonts w:ascii="Times New Roman" w:eastAsia="宋体" w:hAnsi="Times New Roman" w:cs="Times New Roman"/>
                <w:color w:val="000000"/>
                <w:kern w:val="0"/>
                <w:sz w:val="22"/>
              </w:rPr>
              <w:t>j</w:t>
            </w:r>
          </w:p>
        </w:tc>
      </w:tr>
      <w:tr w:rsidR="008369C8" w:rsidRPr="00662CA8" w14:paraId="34E27576" w14:textId="77777777" w:rsidTr="000268A9">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175CF63B" w14:textId="77777777" w:rsidR="008369C8" w:rsidRPr="00662CA8" w:rsidRDefault="008369C8" w:rsidP="008369C8">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10</w:t>
            </w:r>
          </w:p>
        </w:tc>
        <w:tc>
          <w:tcPr>
            <w:tcW w:w="3087" w:type="pct"/>
            <w:tcBorders>
              <w:top w:val="nil"/>
              <w:left w:val="nil"/>
              <w:bottom w:val="single" w:sz="4" w:space="0" w:color="auto"/>
              <w:right w:val="single" w:sz="4" w:space="0" w:color="auto"/>
            </w:tcBorders>
            <w:shd w:val="clear" w:color="auto" w:fill="auto"/>
            <w:vAlign w:val="center"/>
            <w:hideMark/>
          </w:tcPr>
          <w:p w14:paraId="645EF6B2" w14:textId="77777777" w:rsidR="008369C8" w:rsidRPr="00662CA8" w:rsidRDefault="008369C8" w:rsidP="008369C8">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依赖未来盈利的由经营亏损引起的净递延税资产</w:t>
            </w:r>
          </w:p>
        </w:tc>
        <w:tc>
          <w:tcPr>
            <w:tcW w:w="1081" w:type="pct"/>
            <w:tcBorders>
              <w:top w:val="nil"/>
              <w:left w:val="nil"/>
              <w:bottom w:val="single" w:sz="4" w:space="0" w:color="auto"/>
              <w:right w:val="single" w:sz="4" w:space="0" w:color="auto"/>
            </w:tcBorders>
            <w:shd w:val="clear" w:color="auto" w:fill="auto"/>
          </w:tcPr>
          <w:p w14:paraId="2A2AEC86" w14:textId="698843D3" w:rsidR="008369C8" w:rsidRPr="00426443" w:rsidRDefault="008369C8" w:rsidP="008369C8">
            <w:pPr>
              <w:widowControl/>
              <w:jc w:val="right"/>
              <w:rPr>
                <w:rFonts w:ascii="Times New Roman" w:eastAsia="宋体" w:hAnsi="Times New Roman" w:cs="Times New Roman"/>
                <w:color w:val="000000"/>
                <w:kern w:val="0"/>
                <w:sz w:val="22"/>
              </w:rPr>
            </w:pPr>
            <w:r w:rsidRPr="00177FBD">
              <w:rPr>
                <w:rFonts w:ascii="Times New Roman" w:eastAsia="宋体" w:hAnsi="Times New Roman" w:cs="Times New Roman"/>
                <w:color w:val="000000"/>
                <w:kern w:val="0"/>
                <w:sz w:val="22"/>
              </w:rPr>
              <w:t xml:space="preserve">- </w:t>
            </w:r>
          </w:p>
        </w:tc>
        <w:tc>
          <w:tcPr>
            <w:tcW w:w="529" w:type="pct"/>
            <w:tcBorders>
              <w:top w:val="nil"/>
              <w:left w:val="nil"/>
              <w:bottom w:val="single" w:sz="4" w:space="0" w:color="auto"/>
              <w:right w:val="single" w:sz="4" w:space="0" w:color="auto"/>
            </w:tcBorders>
            <w:shd w:val="clear" w:color="auto" w:fill="auto"/>
            <w:noWrap/>
            <w:vAlign w:val="center"/>
            <w:hideMark/>
          </w:tcPr>
          <w:p w14:paraId="4BC08CB2" w14:textId="254D839A" w:rsidR="008369C8" w:rsidRPr="00662CA8" w:rsidRDefault="008369C8" w:rsidP="008369C8">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g</w:t>
            </w:r>
          </w:p>
        </w:tc>
      </w:tr>
      <w:tr w:rsidR="00AB6D2C" w:rsidRPr="00662CA8" w14:paraId="18633930" w14:textId="77777777" w:rsidTr="003E26F0">
        <w:trPr>
          <w:trHeight w:val="270"/>
        </w:trPr>
        <w:tc>
          <w:tcPr>
            <w:tcW w:w="3390"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14:paraId="6EC0FFD0" w14:textId="77777777"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其他一级资本</w:t>
            </w:r>
          </w:p>
        </w:tc>
        <w:tc>
          <w:tcPr>
            <w:tcW w:w="1081" w:type="pct"/>
            <w:tcBorders>
              <w:top w:val="nil"/>
              <w:left w:val="nil"/>
              <w:bottom w:val="single" w:sz="4" w:space="0" w:color="auto"/>
              <w:right w:val="single" w:sz="4" w:space="0" w:color="auto"/>
            </w:tcBorders>
            <w:shd w:val="clear" w:color="auto" w:fill="BFBFBF" w:themeFill="background1" w:themeFillShade="BF"/>
            <w:vAlign w:val="bottom"/>
            <w:hideMark/>
          </w:tcPr>
          <w:p w14:paraId="7D22C77E" w14:textId="77777777" w:rsidR="00AB6D2C" w:rsidRPr="00426443" w:rsidRDefault="00AB6D2C" w:rsidP="00AB6D2C">
            <w:pPr>
              <w:widowControl/>
              <w:jc w:val="center"/>
              <w:rPr>
                <w:rFonts w:ascii="Times New Roman" w:eastAsia="宋体" w:hAnsi="Times New Roman" w:cs="Times New Roman"/>
                <w:b/>
                <w:bCs/>
                <w:color w:val="000000"/>
                <w:kern w:val="0"/>
                <w:sz w:val="22"/>
              </w:rPr>
            </w:pPr>
            <w:r w:rsidRPr="00426443">
              <w:rPr>
                <w:rFonts w:ascii="Times New Roman" w:eastAsia="宋体" w:hAnsi="Times New Roman" w:cs="Times New Roman"/>
                <w:b/>
                <w:bCs/>
                <w:color w:val="000000"/>
                <w:kern w:val="0"/>
                <w:sz w:val="22"/>
              </w:rPr>
              <w:t>数额</w:t>
            </w:r>
          </w:p>
        </w:tc>
        <w:tc>
          <w:tcPr>
            <w:tcW w:w="529" w:type="pct"/>
            <w:tcBorders>
              <w:top w:val="nil"/>
              <w:left w:val="nil"/>
              <w:bottom w:val="single" w:sz="4" w:space="0" w:color="auto"/>
              <w:right w:val="single" w:sz="4" w:space="0" w:color="auto"/>
            </w:tcBorders>
            <w:shd w:val="clear" w:color="auto" w:fill="BFBFBF" w:themeFill="background1" w:themeFillShade="BF"/>
            <w:noWrap/>
            <w:vAlign w:val="center"/>
            <w:hideMark/>
          </w:tcPr>
          <w:p w14:paraId="3A4C3392" w14:textId="77777777" w:rsidR="00AB6D2C" w:rsidRPr="00662CA8" w:rsidRDefault="00AB6D2C" w:rsidP="003E26F0">
            <w:pPr>
              <w:widowControl/>
              <w:jc w:val="center"/>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代码</w:t>
            </w:r>
          </w:p>
        </w:tc>
      </w:tr>
      <w:tr w:rsidR="00177FBD" w:rsidRPr="00662CA8" w14:paraId="6AA21753" w14:textId="77777777" w:rsidTr="0027043D">
        <w:trPr>
          <w:trHeight w:val="270"/>
        </w:trPr>
        <w:tc>
          <w:tcPr>
            <w:tcW w:w="303" w:type="pct"/>
            <w:tcBorders>
              <w:top w:val="nil"/>
              <w:left w:val="single" w:sz="4" w:space="0" w:color="auto"/>
              <w:bottom w:val="single" w:sz="4" w:space="0" w:color="auto"/>
              <w:right w:val="single" w:sz="4" w:space="0" w:color="auto"/>
            </w:tcBorders>
            <w:shd w:val="clear" w:color="auto" w:fill="auto"/>
          </w:tcPr>
          <w:p w14:paraId="6F28E967" w14:textId="3F3EAA36" w:rsidR="00177FBD" w:rsidRPr="00662CA8" w:rsidRDefault="00177FBD" w:rsidP="00177FBD">
            <w:pPr>
              <w:widowControl/>
              <w:jc w:val="center"/>
              <w:rPr>
                <w:rFonts w:ascii="Times New Roman" w:eastAsia="宋体" w:hAnsi="Times New Roman" w:cs="Times New Roman"/>
                <w:color w:val="000000"/>
                <w:kern w:val="0"/>
                <w:sz w:val="22"/>
              </w:rPr>
            </w:pPr>
            <w:r w:rsidRPr="00177FBD">
              <w:rPr>
                <w:rFonts w:ascii="Times New Roman" w:eastAsia="宋体" w:hAnsi="Times New Roman" w:cs="Times New Roman" w:hint="eastAsia"/>
                <w:color w:val="000000"/>
                <w:kern w:val="0"/>
                <w:sz w:val="22"/>
              </w:rPr>
              <w:t>30</w:t>
            </w:r>
          </w:p>
        </w:tc>
        <w:tc>
          <w:tcPr>
            <w:tcW w:w="3087" w:type="pct"/>
            <w:tcBorders>
              <w:top w:val="nil"/>
              <w:left w:val="nil"/>
              <w:bottom w:val="single" w:sz="4" w:space="0" w:color="auto"/>
              <w:right w:val="single" w:sz="4" w:space="0" w:color="auto"/>
            </w:tcBorders>
            <w:shd w:val="clear" w:color="auto" w:fill="auto"/>
          </w:tcPr>
          <w:p w14:paraId="0F8F03D7" w14:textId="6214A658" w:rsidR="00177FBD" w:rsidRPr="00662CA8" w:rsidRDefault="00177FBD" w:rsidP="00177FBD">
            <w:pPr>
              <w:widowControl/>
              <w:rPr>
                <w:rFonts w:ascii="Times New Roman" w:eastAsia="宋体" w:hAnsi="Times New Roman" w:cs="Times New Roman"/>
                <w:color w:val="000000"/>
                <w:kern w:val="0"/>
                <w:sz w:val="22"/>
              </w:rPr>
            </w:pPr>
            <w:r w:rsidRPr="00177FBD">
              <w:rPr>
                <w:rFonts w:ascii="Times New Roman" w:eastAsia="宋体" w:hAnsi="Times New Roman" w:cs="Times New Roman" w:hint="eastAsia"/>
                <w:color w:val="000000"/>
                <w:kern w:val="0"/>
                <w:sz w:val="22"/>
              </w:rPr>
              <w:t>其他一级资本工具及其溢价</w:t>
            </w:r>
          </w:p>
        </w:tc>
        <w:tc>
          <w:tcPr>
            <w:tcW w:w="1081" w:type="pct"/>
            <w:tcBorders>
              <w:top w:val="nil"/>
              <w:left w:val="nil"/>
              <w:bottom w:val="single" w:sz="4" w:space="0" w:color="auto"/>
              <w:right w:val="single" w:sz="4" w:space="0" w:color="auto"/>
            </w:tcBorders>
            <w:shd w:val="clear" w:color="auto" w:fill="auto"/>
          </w:tcPr>
          <w:p w14:paraId="7C930679" w14:textId="4D3E57CF" w:rsidR="00177FBD" w:rsidRPr="001A2FCF" w:rsidRDefault="00177FBD" w:rsidP="00177FBD">
            <w:pPr>
              <w:widowControl/>
              <w:jc w:val="right"/>
              <w:rPr>
                <w:rFonts w:ascii="Times New Roman" w:eastAsia="宋体" w:hAnsi="Times New Roman" w:cs="Times New Roman"/>
                <w:color w:val="000000"/>
                <w:kern w:val="0"/>
                <w:sz w:val="22"/>
              </w:rPr>
            </w:pPr>
            <w:r w:rsidRPr="00177FBD">
              <w:rPr>
                <w:rFonts w:ascii="Times New Roman" w:eastAsia="宋体" w:hAnsi="Times New Roman" w:cs="Times New Roman" w:hint="eastAsia"/>
                <w:color w:val="000000"/>
                <w:kern w:val="0"/>
                <w:sz w:val="22"/>
              </w:rPr>
              <w:t xml:space="preserve">299,890.09 </w:t>
            </w:r>
          </w:p>
        </w:tc>
        <w:tc>
          <w:tcPr>
            <w:tcW w:w="529" w:type="pct"/>
            <w:tcBorders>
              <w:top w:val="nil"/>
              <w:left w:val="nil"/>
              <w:bottom w:val="single" w:sz="4" w:space="0" w:color="auto"/>
              <w:right w:val="single" w:sz="4" w:space="0" w:color="auto"/>
            </w:tcBorders>
            <w:shd w:val="clear" w:color="auto" w:fill="auto"/>
            <w:noWrap/>
            <w:vAlign w:val="center"/>
          </w:tcPr>
          <w:p w14:paraId="2F6C5914" w14:textId="209BAAB8" w:rsidR="00177FBD" w:rsidRDefault="00177FBD" w:rsidP="00177FB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x</w:t>
            </w:r>
          </w:p>
        </w:tc>
      </w:tr>
      <w:tr w:rsidR="00AB6D2C" w:rsidRPr="00662CA8" w14:paraId="6F38DD28" w14:textId="77777777" w:rsidTr="00D0615F">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3195B56A" w14:textId="77777777" w:rsidR="00AB6D2C" w:rsidRPr="00662CA8" w:rsidRDefault="00AB6D2C"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34</w:t>
            </w:r>
          </w:p>
        </w:tc>
        <w:tc>
          <w:tcPr>
            <w:tcW w:w="3087" w:type="pct"/>
            <w:tcBorders>
              <w:top w:val="nil"/>
              <w:left w:val="nil"/>
              <w:bottom w:val="single" w:sz="4" w:space="0" w:color="auto"/>
              <w:right w:val="single" w:sz="4" w:space="0" w:color="auto"/>
            </w:tcBorders>
            <w:shd w:val="clear" w:color="auto" w:fill="auto"/>
            <w:vAlign w:val="center"/>
            <w:hideMark/>
          </w:tcPr>
          <w:p w14:paraId="575D6837" w14:textId="77777777" w:rsidR="00AB6D2C" w:rsidRPr="00662CA8" w:rsidRDefault="00AB6D2C"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少数股东资本可计入部分</w:t>
            </w:r>
          </w:p>
        </w:tc>
        <w:tc>
          <w:tcPr>
            <w:tcW w:w="1081" w:type="pct"/>
            <w:tcBorders>
              <w:top w:val="nil"/>
              <w:left w:val="nil"/>
              <w:bottom w:val="single" w:sz="4" w:space="0" w:color="auto"/>
              <w:right w:val="single" w:sz="4" w:space="0" w:color="auto"/>
            </w:tcBorders>
            <w:shd w:val="clear" w:color="auto" w:fill="auto"/>
            <w:vAlign w:val="bottom"/>
            <w:hideMark/>
          </w:tcPr>
          <w:p w14:paraId="3573F57A" w14:textId="02A67F09" w:rsidR="00AB6D2C" w:rsidRPr="00426443" w:rsidRDefault="000C515C" w:rsidP="00014A16">
            <w:pPr>
              <w:widowControl/>
              <w:jc w:val="right"/>
              <w:rPr>
                <w:rFonts w:ascii="Times New Roman" w:eastAsia="宋体" w:hAnsi="Times New Roman" w:cs="Times New Roman"/>
                <w:color w:val="000000"/>
                <w:kern w:val="0"/>
                <w:sz w:val="22"/>
              </w:rPr>
            </w:pPr>
            <w:r w:rsidRPr="000C515C">
              <w:rPr>
                <w:rFonts w:ascii="Times New Roman" w:eastAsia="宋体" w:hAnsi="Times New Roman" w:cs="Times New Roman"/>
                <w:color w:val="000000"/>
                <w:kern w:val="0"/>
                <w:sz w:val="22"/>
              </w:rPr>
              <w:t>14,022.53</w:t>
            </w:r>
          </w:p>
        </w:tc>
        <w:tc>
          <w:tcPr>
            <w:tcW w:w="529" w:type="pct"/>
            <w:tcBorders>
              <w:top w:val="nil"/>
              <w:left w:val="nil"/>
              <w:bottom w:val="single" w:sz="4" w:space="0" w:color="auto"/>
              <w:right w:val="single" w:sz="4" w:space="0" w:color="auto"/>
            </w:tcBorders>
            <w:shd w:val="clear" w:color="auto" w:fill="auto"/>
            <w:noWrap/>
            <w:vAlign w:val="center"/>
            <w:hideMark/>
          </w:tcPr>
          <w:p w14:paraId="3C9D0796" w14:textId="3D3F0546" w:rsidR="00AB6D2C" w:rsidRPr="00662CA8" w:rsidRDefault="00C034DE" w:rsidP="003E26F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t</w:t>
            </w:r>
          </w:p>
        </w:tc>
      </w:tr>
      <w:tr w:rsidR="00AB6D2C" w:rsidRPr="00662CA8" w14:paraId="0ACEBA3B" w14:textId="77777777" w:rsidTr="003E26F0">
        <w:trPr>
          <w:trHeight w:val="270"/>
        </w:trPr>
        <w:tc>
          <w:tcPr>
            <w:tcW w:w="3390"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14:paraId="7389354C" w14:textId="77777777"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二级资本</w:t>
            </w:r>
          </w:p>
        </w:tc>
        <w:tc>
          <w:tcPr>
            <w:tcW w:w="1081" w:type="pct"/>
            <w:tcBorders>
              <w:top w:val="nil"/>
              <w:left w:val="nil"/>
              <w:bottom w:val="single" w:sz="4" w:space="0" w:color="auto"/>
              <w:right w:val="single" w:sz="4" w:space="0" w:color="auto"/>
            </w:tcBorders>
            <w:shd w:val="clear" w:color="auto" w:fill="BFBFBF" w:themeFill="background1" w:themeFillShade="BF"/>
            <w:vAlign w:val="bottom"/>
            <w:hideMark/>
          </w:tcPr>
          <w:p w14:paraId="71CEA8DB" w14:textId="77777777" w:rsidR="00AB6D2C" w:rsidRPr="00426443" w:rsidRDefault="00AB6D2C" w:rsidP="00AB6D2C">
            <w:pPr>
              <w:widowControl/>
              <w:jc w:val="center"/>
              <w:rPr>
                <w:rFonts w:ascii="Times New Roman" w:eastAsia="宋体" w:hAnsi="Times New Roman" w:cs="Times New Roman"/>
                <w:b/>
                <w:bCs/>
                <w:color w:val="000000"/>
                <w:kern w:val="0"/>
                <w:sz w:val="22"/>
              </w:rPr>
            </w:pPr>
            <w:r w:rsidRPr="00426443">
              <w:rPr>
                <w:rFonts w:ascii="Times New Roman" w:eastAsia="宋体" w:hAnsi="Times New Roman" w:cs="Times New Roman"/>
                <w:b/>
                <w:bCs/>
                <w:color w:val="000000"/>
                <w:kern w:val="0"/>
                <w:sz w:val="22"/>
              </w:rPr>
              <w:t>数额</w:t>
            </w:r>
          </w:p>
        </w:tc>
        <w:tc>
          <w:tcPr>
            <w:tcW w:w="529" w:type="pct"/>
            <w:tcBorders>
              <w:top w:val="nil"/>
              <w:left w:val="nil"/>
              <w:bottom w:val="single" w:sz="4" w:space="0" w:color="auto"/>
              <w:right w:val="single" w:sz="4" w:space="0" w:color="auto"/>
            </w:tcBorders>
            <w:shd w:val="clear" w:color="auto" w:fill="BFBFBF" w:themeFill="background1" w:themeFillShade="BF"/>
            <w:noWrap/>
            <w:vAlign w:val="center"/>
            <w:hideMark/>
          </w:tcPr>
          <w:p w14:paraId="2030CA54" w14:textId="77777777" w:rsidR="00AB6D2C" w:rsidRPr="00662CA8" w:rsidRDefault="00AB6D2C" w:rsidP="003E26F0">
            <w:pPr>
              <w:widowControl/>
              <w:jc w:val="center"/>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代码</w:t>
            </w:r>
          </w:p>
        </w:tc>
      </w:tr>
      <w:tr w:rsidR="00177FBD" w:rsidRPr="00662CA8" w14:paraId="45895F60" w14:textId="77777777" w:rsidTr="00A7393F">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37CB2860" w14:textId="77777777" w:rsidR="00177FBD" w:rsidRPr="00662CA8" w:rsidRDefault="00177FBD" w:rsidP="00177FBD">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46</w:t>
            </w:r>
          </w:p>
        </w:tc>
        <w:tc>
          <w:tcPr>
            <w:tcW w:w="3087" w:type="pct"/>
            <w:tcBorders>
              <w:top w:val="nil"/>
              <w:left w:val="nil"/>
              <w:bottom w:val="single" w:sz="4" w:space="0" w:color="auto"/>
              <w:right w:val="single" w:sz="4" w:space="0" w:color="auto"/>
            </w:tcBorders>
            <w:shd w:val="clear" w:color="auto" w:fill="auto"/>
            <w:vAlign w:val="center"/>
            <w:hideMark/>
          </w:tcPr>
          <w:p w14:paraId="07D8B489" w14:textId="77777777" w:rsidR="00177FBD" w:rsidRPr="00662CA8" w:rsidRDefault="00177FBD" w:rsidP="00177FBD">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二级资本工具及其溢价</w:t>
            </w:r>
          </w:p>
        </w:tc>
        <w:tc>
          <w:tcPr>
            <w:tcW w:w="1081" w:type="pct"/>
            <w:tcBorders>
              <w:top w:val="nil"/>
              <w:left w:val="nil"/>
              <w:bottom w:val="single" w:sz="4" w:space="0" w:color="auto"/>
              <w:right w:val="single" w:sz="4" w:space="0" w:color="auto"/>
            </w:tcBorders>
            <w:shd w:val="clear" w:color="auto" w:fill="auto"/>
          </w:tcPr>
          <w:p w14:paraId="1F928E17" w14:textId="12001DC2" w:rsidR="00177FBD" w:rsidRPr="003C4A0F" w:rsidRDefault="00177FBD" w:rsidP="00177FBD">
            <w:pPr>
              <w:widowControl/>
              <w:jc w:val="right"/>
              <w:rPr>
                <w:rFonts w:ascii="Times New Roman" w:eastAsia="宋体" w:hAnsi="Times New Roman" w:cs="Times New Roman"/>
                <w:color w:val="000000"/>
                <w:kern w:val="0"/>
                <w:sz w:val="22"/>
              </w:rPr>
            </w:pPr>
            <w:r w:rsidRPr="00177FBD">
              <w:rPr>
                <w:rFonts w:ascii="Times New Roman" w:eastAsia="宋体" w:hAnsi="Times New Roman" w:cs="Times New Roman"/>
                <w:color w:val="000000"/>
                <w:kern w:val="0"/>
                <w:sz w:val="22"/>
              </w:rPr>
              <w:t xml:space="preserve">449,957.80 </w:t>
            </w:r>
          </w:p>
        </w:tc>
        <w:tc>
          <w:tcPr>
            <w:tcW w:w="529" w:type="pct"/>
            <w:tcBorders>
              <w:top w:val="nil"/>
              <w:left w:val="nil"/>
              <w:bottom w:val="single" w:sz="4" w:space="0" w:color="auto"/>
              <w:right w:val="single" w:sz="4" w:space="0" w:color="auto"/>
            </w:tcBorders>
            <w:shd w:val="clear" w:color="auto" w:fill="auto"/>
            <w:noWrap/>
            <w:vAlign w:val="center"/>
            <w:hideMark/>
          </w:tcPr>
          <w:p w14:paraId="5461C32C" w14:textId="539AB0AC" w:rsidR="00177FBD" w:rsidRPr="00662CA8" w:rsidRDefault="00177FBD" w:rsidP="00177FBD">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q</w:t>
            </w:r>
          </w:p>
        </w:tc>
      </w:tr>
      <w:tr w:rsidR="00177FBD" w:rsidRPr="00662CA8" w14:paraId="4195FF2F" w14:textId="77777777" w:rsidTr="00A7393F">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421CD166" w14:textId="77777777" w:rsidR="00177FBD" w:rsidRPr="00662CA8" w:rsidRDefault="00177FBD" w:rsidP="00177FBD">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48</w:t>
            </w:r>
          </w:p>
        </w:tc>
        <w:tc>
          <w:tcPr>
            <w:tcW w:w="3087" w:type="pct"/>
            <w:tcBorders>
              <w:top w:val="nil"/>
              <w:left w:val="nil"/>
              <w:bottom w:val="single" w:sz="4" w:space="0" w:color="auto"/>
              <w:right w:val="single" w:sz="4" w:space="0" w:color="auto"/>
            </w:tcBorders>
            <w:shd w:val="clear" w:color="auto" w:fill="auto"/>
            <w:vAlign w:val="center"/>
            <w:hideMark/>
          </w:tcPr>
          <w:p w14:paraId="669A02A1" w14:textId="77777777" w:rsidR="00177FBD" w:rsidRPr="00662CA8" w:rsidRDefault="00177FBD" w:rsidP="00177FBD">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少数股东资本可计入部分</w:t>
            </w:r>
          </w:p>
        </w:tc>
        <w:tc>
          <w:tcPr>
            <w:tcW w:w="1081" w:type="pct"/>
            <w:tcBorders>
              <w:top w:val="nil"/>
              <w:left w:val="nil"/>
              <w:bottom w:val="single" w:sz="4" w:space="0" w:color="auto"/>
              <w:right w:val="single" w:sz="4" w:space="0" w:color="auto"/>
            </w:tcBorders>
            <w:shd w:val="clear" w:color="auto" w:fill="auto"/>
          </w:tcPr>
          <w:p w14:paraId="3D63CCC1" w14:textId="0597A9C6" w:rsidR="00177FBD" w:rsidRPr="003C4A0F" w:rsidRDefault="00177FBD" w:rsidP="00177FBD">
            <w:pPr>
              <w:widowControl/>
              <w:jc w:val="right"/>
              <w:rPr>
                <w:rFonts w:ascii="Times New Roman" w:eastAsia="宋体" w:hAnsi="Times New Roman" w:cs="Times New Roman"/>
                <w:color w:val="000000"/>
                <w:kern w:val="0"/>
                <w:sz w:val="22"/>
              </w:rPr>
            </w:pPr>
            <w:r w:rsidRPr="00177FBD">
              <w:rPr>
                <w:rFonts w:ascii="Times New Roman" w:eastAsia="宋体" w:hAnsi="Times New Roman" w:cs="Times New Roman"/>
                <w:color w:val="000000"/>
                <w:kern w:val="0"/>
                <w:sz w:val="22"/>
              </w:rPr>
              <w:t xml:space="preserve">28,044.72 </w:t>
            </w:r>
          </w:p>
        </w:tc>
        <w:tc>
          <w:tcPr>
            <w:tcW w:w="529" w:type="pct"/>
            <w:tcBorders>
              <w:top w:val="nil"/>
              <w:left w:val="nil"/>
              <w:bottom w:val="single" w:sz="4" w:space="0" w:color="auto"/>
              <w:right w:val="single" w:sz="4" w:space="0" w:color="auto"/>
            </w:tcBorders>
            <w:shd w:val="clear" w:color="auto" w:fill="auto"/>
            <w:noWrap/>
            <w:vAlign w:val="center"/>
            <w:hideMark/>
          </w:tcPr>
          <w:p w14:paraId="38B2E207" w14:textId="1E68787D" w:rsidR="00177FBD" w:rsidRPr="00662CA8" w:rsidRDefault="00177FBD" w:rsidP="00177FBD">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u</w:t>
            </w:r>
          </w:p>
        </w:tc>
      </w:tr>
      <w:tr w:rsidR="00177FBD" w:rsidRPr="00662CA8" w14:paraId="5BBA193B" w14:textId="77777777" w:rsidTr="00A7393F">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326B8358" w14:textId="77777777" w:rsidR="00177FBD" w:rsidRPr="00CC3C4C" w:rsidRDefault="00177FBD" w:rsidP="00177FBD">
            <w:pPr>
              <w:widowControl/>
              <w:jc w:val="center"/>
              <w:rPr>
                <w:rFonts w:ascii="Times New Roman" w:eastAsia="宋体" w:hAnsi="Times New Roman" w:cs="Times New Roman"/>
                <w:color w:val="000000"/>
                <w:kern w:val="0"/>
                <w:sz w:val="22"/>
              </w:rPr>
            </w:pPr>
            <w:r w:rsidRPr="00CC3C4C">
              <w:rPr>
                <w:rFonts w:ascii="Times New Roman" w:eastAsia="宋体" w:hAnsi="Times New Roman" w:cs="Times New Roman"/>
                <w:color w:val="000000"/>
                <w:kern w:val="0"/>
                <w:sz w:val="22"/>
              </w:rPr>
              <w:t>50</w:t>
            </w:r>
          </w:p>
        </w:tc>
        <w:tc>
          <w:tcPr>
            <w:tcW w:w="3087" w:type="pct"/>
            <w:tcBorders>
              <w:top w:val="nil"/>
              <w:left w:val="nil"/>
              <w:bottom w:val="single" w:sz="4" w:space="0" w:color="auto"/>
              <w:right w:val="single" w:sz="4" w:space="0" w:color="auto"/>
            </w:tcBorders>
            <w:shd w:val="clear" w:color="auto" w:fill="auto"/>
            <w:vAlign w:val="center"/>
            <w:hideMark/>
          </w:tcPr>
          <w:p w14:paraId="619A9591" w14:textId="77777777" w:rsidR="00177FBD" w:rsidRPr="00CC3C4C" w:rsidRDefault="00177FBD" w:rsidP="00177FBD">
            <w:pPr>
              <w:widowControl/>
              <w:rPr>
                <w:rFonts w:ascii="Times New Roman" w:eastAsia="宋体" w:hAnsi="Times New Roman" w:cs="Times New Roman"/>
                <w:color w:val="000000"/>
                <w:kern w:val="0"/>
                <w:sz w:val="22"/>
              </w:rPr>
            </w:pPr>
            <w:r w:rsidRPr="00CC3C4C">
              <w:rPr>
                <w:rFonts w:ascii="Times New Roman" w:eastAsia="宋体" w:hAnsi="Times New Roman" w:cs="Times New Roman"/>
                <w:color w:val="000000"/>
                <w:kern w:val="0"/>
                <w:sz w:val="22"/>
              </w:rPr>
              <w:t>超额贷款损失准备可计入部分</w:t>
            </w:r>
          </w:p>
        </w:tc>
        <w:tc>
          <w:tcPr>
            <w:tcW w:w="1081" w:type="pct"/>
            <w:tcBorders>
              <w:top w:val="nil"/>
              <w:left w:val="nil"/>
              <w:bottom w:val="single" w:sz="4" w:space="0" w:color="auto"/>
              <w:right w:val="single" w:sz="4" w:space="0" w:color="auto"/>
            </w:tcBorders>
            <w:shd w:val="clear" w:color="auto" w:fill="auto"/>
          </w:tcPr>
          <w:p w14:paraId="0268CA46" w14:textId="4B4F10A4" w:rsidR="00177FBD" w:rsidRPr="00CC3C4C" w:rsidRDefault="000C515C" w:rsidP="00177FBD">
            <w:pPr>
              <w:widowControl/>
              <w:jc w:val="right"/>
              <w:rPr>
                <w:rFonts w:ascii="Times New Roman" w:eastAsia="宋体" w:hAnsi="Times New Roman" w:cs="Times New Roman"/>
                <w:color w:val="000000"/>
                <w:kern w:val="0"/>
                <w:sz w:val="22"/>
              </w:rPr>
            </w:pPr>
            <w:r w:rsidRPr="00CC3C4C">
              <w:rPr>
                <w:rFonts w:ascii="Times New Roman" w:eastAsia="宋体" w:hAnsi="Times New Roman" w:cs="Times New Roman"/>
                <w:color w:val="000000"/>
                <w:kern w:val="0"/>
                <w:sz w:val="22"/>
              </w:rPr>
              <w:t xml:space="preserve">420,147.44 </w:t>
            </w:r>
            <w:r w:rsidR="00177FBD" w:rsidRPr="00CC3C4C">
              <w:rPr>
                <w:rFonts w:ascii="Times New Roman" w:eastAsia="宋体" w:hAnsi="Times New Roman" w:cs="Times New Roman"/>
                <w:color w:val="000000"/>
                <w:kern w:val="0"/>
                <w:sz w:val="22"/>
              </w:rPr>
              <w:t xml:space="preserve"> </w:t>
            </w:r>
          </w:p>
        </w:tc>
        <w:tc>
          <w:tcPr>
            <w:tcW w:w="529" w:type="pct"/>
            <w:tcBorders>
              <w:top w:val="nil"/>
              <w:left w:val="nil"/>
              <w:bottom w:val="single" w:sz="4" w:space="0" w:color="auto"/>
              <w:right w:val="single" w:sz="4" w:space="0" w:color="auto"/>
            </w:tcBorders>
            <w:shd w:val="clear" w:color="auto" w:fill="auto"/>
            <w:noWrap/>
            <w:vAlign w:val="center"/>
            <w:hideMark/>
          </w:tcPr>
          <w:p w14:paraId="092496CE" w14:textId="100BFC71" w:rsidR="00177FBD" w:rsidRPr="00CC3C4C" w:rsidRDefault="00177FBD" w:rsidP="00177FBD">
            <w:pPr>
              <w:widowControl/>
              <w:jc w:val="center"/>
              <w:rPr>
                <w:rFonts w:ascii="Times New Roman" w:eastAsia="宋体" w:hAnsi="Times New Roman" w:cs="Times New Roman"/>
                <w:color w:val="000000"/>
                <w:kern w:val="0"/>
                <w:sz w:val="22"/>
              </w:rPr>
            </w:pPr>
            <w:r w:rsidRPr="00CC3C4C">
              <w:rPr>
                <w:rFonts w:ascii="Times New Roman" w:eastAsia="宋体" w:hAnsi="Times New Roman" w:cs="Times New Roman"/>
                <w:color w:val="000000"/>
                <w:kern w:val="0"/>
                <w:sz w:val="22"/>
              </w:rPr>
              <w:t>w</w:t>
            </w:r>
          </w:p>
        </w:tc>
      </w:tr>
      <w:tr w:rsidR="00AB6D2C" w:rsidRPr="00662CA8" w14:paraId="21502970" w14:textId="77777777" w:rsidTr="003E26F0">
        <w:trPr>
          <w:trHeight w:val="270"/>
        </w:trPr>
        <w:tc>
          <w:tcPr>
            <w:tcW w:w="3390"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14:paraId="0D66C657" w14:textId="77777777"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门槛扣除项中未扣除部分</w:t>
            </w:r>
          </w:p>
        </w:tc>
        <w:tc>
          <w:tcPr>
            <w:tcW w:w="1081" w:type="pct"/>
            <w:tcBorders>
              <w:top w:val="nil"/>
              <w:left w:val="nil"/>
              <w:bottom w:val="single" w:sz="4" w:space="0" w:color="auto"/>
              <w:right w:val="single" w:sz="4" w:space="0" w:color="auto"/>
            </w:tcBorders>
            <w:shd w:val="clear" w:color="auto" w:fill="BFBFBF" w:themeFill="background1" w:themeFillShade="BF"/>
            <w:vAlign w:val="bottom"/>
            <w:hideMark/>
          </w:tcPr>
          <w:p w14:paraId="3AD3C0F6" w14:textId="77777777" w:rsidR="00AB6D2C" w:rsidRPr="00426443" w:rsidRDefault="00AB6D2C" w:rsidP="00AB6D2C">
            <w:pPr>
              <w:widowControl/>
              <w:jc w:val="center"/>
              <w:rPr>
                <w:rFonts w:ascii="Times New Roman" w:eastAsia="宋体" w:hAnsi="Times New Roman" w:cs="Times New Roman"/>
                <w:b/>
                <w:bCs/>
                <w:color w:val="000000"/>
                <w:kern w:val="0"/>
                <w:sz w:val="22"/>
              </w:rPr>
            </w:pPr>
            <w:r w:rsidRPr="00426443">
              <w:rPr>
                <w:rFonts w:ascii="Times New Roman" w:eastAsia="宋体" w:hAnsi="Times New Roman" w:cs="Times New Roman"/>
                <w:b/>
                <w:bCs/>
                <w:color w:val="000000"/>
                <w:kern w:val="0"/>
                <w:sz w:val="22"/>
              </w:rPr>
              <w:t>数额</w:t>
            </w:r>
          </w:p>
        </w:tc>
        <w:tc>
          <w:tcPr>
            <w:tcW w:w="529" w:type="pct"/>
            <w:tcBorders>
              <w:top w:val="nil"/>
              <w:left w:val="nil"/>
              <w:bottom w:val="single" w:sz="4" w:space="0" w:color="auto"/>
              <w:right w:val="single" w:sz="4" w:space="0" w:color="auto"/>
            </w:tcBorders>
            <w:shd w:val="clear" w:color="auto" w:fill="BFBFBF" w:themeFill="background1" w:themeFillShade="BF"/>
            <w:noWrap/>
            <w:vAlign w:val="center"/>
            <w:hideMark/>
          </w:tcPr>
          <w:p w14:paraId="689E7089" w14:textId="77777777" w:rsidR="00AB6D2C" w:rsidRPr="00662CA8" w:rsidRDefault="00AB6D2C" w:rsidP="003E26F0">
            <w:pPr>
              <w:widowControl/>
              <w:jc w:val="center"/>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代码</w:t>
            </w:r>
          </w:p>
        </w:tc>
      </w:tr>
      <w:tr w:rsidR="00177FBD" w:rsidRPr="00662CA8" w14:paraId="0479EEC1" w14:textId="77777777" w:rsidTr="00A7393F">
        <w:trPr>
          <w:trHeight w:val="27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1B527638" w14:textId="77777777" w:rsidR="00177FBD" w:rsidRPr="00662CA8" w:rsidRDefault="00177FBD" w:rsidP="00177FBD">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72</w:t>
            </w:r>
          </w:p>
        </w:tc>
        <w:tc>
          <w:tcPr>
            <w:tcW w:w="3087" w:type="pct"/>
            <w:tcBorders>
              <w:top w:val="nil"/>
              <w:left w:val="nil"/>
              <w:bottom w:val="single" w:sz="4" w:space="0" w:color="auto"/>
              <w:right w:val="single" w:sz="4" w:space="0" w:color="auto"/>
            </w:tcBorders>
            <w:shd w:val="clear" w:color="auto" w:fill="auto"/>
            <w:vAlign w:val="center"/>
            <w:hideMark/>
          </w:tcPr>
          <w:p w14:paraId="458E1597" w14:textId="77777777" w:rsidR="00177FBD" w:rsidRPr="00662CA8" w:rsidRDefault="00177FBD" w:rsidP="00177FBD">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对未并表金融机构的小额少数资本投资未扣除部分</w:t>
            </w:r>
          </w:p>
        </w:tc>
        <w:tc>
          <w:tcPr>
            <w:tcW w:w="1081" w:type="pct"/>
            <w:tcBorders>
              <w:top w:val="nil"/>
              <w:left w:val="nil"/>
              <w:bottom w:val="single" w:sz="4" w:space="0" w:color="auto"/>
              <w:right w:val="single" w:sz="4" w:space="0" w:color="auto"/>
            </w:tcBorders>
            <w:shd w:val="clear" w:color="auto" w:fill="auto"/>
            <w:noWrap/>
          </w:tcPr>
          <w:p w14:paraId="76DF1420" w14:textId="49332C07" w:rsidR="00177FBD" w:rsidRPr="003C4A0F" w:rsidRDefault="00177FBD" w:rsidP="00177FBD">
            <w:pPr>
              <w:widowControl/>
              <w:jc w:val="right"/>
              <w:rPr>
                <w:rFonts w:ascii="Times New Roman" w:eastAsia="宋体" w:hAnsi="Times New Roman" w:cs="Times New Roman"/>
                <w:color w:val="000000"/>
                <w:kern w:val="0"/>
                <w:sz w:val="22"/>
              </w:rPr>
            </w:pPr>
            <w:r w:rsidRPr="00177FBD">
              <w:rPr>
                <w:rFonts w:ascii="Times New Roman" w:eastAsia="宋体" w:hAnsi="Times New Roman" w:cs="Times New Roman"/>
                <w:color w:val="000000"/>
                <w:kern w:val="0"/>
                <w:sz w:val="22"/>
              </w:rPr>
              <w:t xml:space="preserve">16,980.24 </w:t>
            </w:r>
          </w:p>
        </w:tc>
        <w:tc>
          <w:tcPr>
            <w:tcW w:w="529" w:type="pct"/>
            <w:tcBorders>
              <w:top w:val="nil"/>
              <w:left w:val="nil"/>
              <w:bottom w:val="single" w:sz="4" w:space="0" w:color="auto"/>
              <w:right w:val="single" w:sz="4" w:space="0" w:color="auto"/>
            </w:tcBorders>
            <w:shd w:val="clear" w:color="auto" w:fill="auto"/>
            <w:noWrap/>
            <w:vAlign w:val="center"/>
            <w:hideMark/>
          </w:tcPr>
          <w:p w14:paraId="6713FA65" w14:textId="75E5A7B9" w:rsidR="00177FBD" w:rsidRPr="00662CA8" w:rsidRDefault="00177FBD" w:rsidP="00177FBD">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e</w:t>
            </w:r>
          </w:p>
        </w:tc>
      </w:tr>
      <w:tr w:rsidR="00177FBD" w:rsidRPr="00662CA8" w14:paraId="7A006AAD" w14:textId="77777777" w:rsidTr="00A7393F">
        <w:trPr>
          <w:trHeight w:val="27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54C91178" w14:textId="77777777" w:rsidR="00177FBD" w:rsidRPr="00662CA8" w:rsidRDefault="00177FBD" w:rsidP="00177FBD">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73</w:t>
            </w:r>
          </w:p>
        </w:tc>
        <w:tc>
          <w:tcPr>
            <w:tcW w:w="3087" w:type="pct"/>
            <w:tcBorders>
              <w:top w:val="nil"/>
              <w:left w:val="nil"/>
              <w:bottom w:val="single" w:sz="4" w:space="0" w:color="auto"/>
              <w:right w:val="single" w:sz="4" w:space="0" w:color="auto"/>
            </w:tcBorders>
            <w:shd w:val="clear" w:color="auto" w:fill="auto"/>
            <w:vAlign w:val="center"/>
            <w:hideMark/>
          </w:tcPr>
          <w:p w14:paraId="40AFFAA4" w14:textId="77777777" w:rsidR="00177FBD" w:rsidRPr="00662CA8" w:rsidRDefault="00177FBD" w:rsidP="00177FBD">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对未并表金融机构的大额少数资本投资未扣除部分</w:t>
            </w:r>
          </w:p>
        </w:tc>
        <w:tc>
          <w:tcPr>
            <w:tcW w:w="1081" w:type="pct"/>
            <w:tcBorders>
              <w:top w:val="nil"/>
              <w:left w:val="nil"/>
              <w:bottom w:val="single" w:sz="4" w:space="0" w:color="auto"/>
              <w:right w:val="single" w:sz="4" w:space="0" w:color="auto"/>
            </w:tcBorders>
            <w:shd w:val="clear" w:color="auto" w:fill="auto"/>
            <w:noWrap/>
          </w:tcPr>
          <w:p w14:paraId="3A2F3B72" w14:textId="1182F778" w:rsidR="00177FBD" w:rsidRPr="003C4A0F" w:rsidRDefault="00177FBD" w:rsidP="00177FBD">
            <w:pPr>
              <w:widowControl/>
              <w:jc w:val="right"/>
              <w:rPr>
                <w:rFonts w:ascii="Times New Roman" w:eastAsia="宋体" w:hAnsi="Times New Roman" w:cs="Times New Roman"/>
                <w:color w:val="000000"/>
                <w:kern w:val="0"/>
                <w:sz w:val="22"/>
              </w:rPr>
            </w:pPr>
            <w:r w:rsidRPr="00177FBD">
              <w:rPr>
                <w:rFonts w:ascii="Times New Roman" w:eastAsia="宋体" w:hAnsi="Times New Roman" w:cs="Times New Roman"/>
                <w:color w:val="000000"/>
                <w:kern w:val="0"/>
                <w:sz w:val="22"/>
              </w:rPr>
              <w:t xml:space="preserve">72,104.32 </w:t>
            </w:r>
          </w:p>
        </w:tc>
        <w:tc>
          <w:tcPr>
            <w:tcW w:w="529" w:type="pct"/>
            <w:tcBorders>
              <w:top w:val="nil"/>
              <w:left w:val="nil"/>
              <w:bottom w:val="single" w:sz="4" w:space="0" w:color="auto"/>
              <w:right w:val="single" w:sz="4" w:space="0" w:color="auto"/>
            </w:tcBorders>
            <w:shd w:val="clear" w:color="auto" w:fill="auto"/>
            <w:noWrap/>
            <w:vAlign w:val="center"/>
            <w:hideMark/>
          </w:tcPr>
          <w:p w14:paraId="41086466" w14:textId="24B2F0B9" w:rsidR="00177FBD" w:rsidRPr="00662CA8" w:rsidRDefault="00177FBD" w:rsidP="00177FBD">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d</w:t>
            </w:r>
          </w:p>
        </w:tc>
      </w:tr>
      <w:tr w:rsidR="00177FBD" w:rsidRPr="00662CA8" w14:paraId="74393338" w14:textId="77777777" w:rsidTr="00A7393F">
        <w:trPr>
          <w:trHeight w:val="27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7D0975F1" w14:textId="77777777" w:rsidR="00177FBD" w:rsidRPr="00662CA8" w:rsidRDefault="00177FBD" w:rsidP="00177FBD">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75</w:t>
            </w:r>
          </w:p>
        </w:tc>
        <w:tc>
          <w:tcPr>
            <w:tcW w:w="3087" w:type="pct"/>
            <w:tcBorders>
              <w:top w:val="nil"/>
              <w:left w:val="nil"/>
              <w:bottom w:val="single" w:sz="4" w:space="0" w:color="auto"/>
              <w:right w:val="single" w:sz="4" w:space="0" w:color="auto"/>
            </w:tcBorders>
            <w:shd w:val="clear" w:color="auto" w:fill="auto"/>
            <w:vAlign w:val="center"/>
            <w:hideMark/>
          </w:tcPr>
          <w:p w14:paraId="6EFE8B92" w14:textId="77777777" w:rsidR="00177FBD" w:rsidRPr="00662CA8" w:rsidRDefault="00177FBD" w:rsidP="00177FBD">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其他依赖于银行未来盈利的净递延税资产（扣除递延税负债）</w:t>
            </w:r>
          </w:p>
        </w:tc>
        <w:tc>
          <w:tcPr>
            <w:tcW w:w="1081" w:type="pct"/>
            <w:tcBorders>
              <w:top w:val="nil"/>
              <w:left w:val="nil"/>
              <w:bottom w:val="single" w:sz="4" w:space="0" w:color="auto"/>
              <w:right w:val="single" w:sz="4" w:space="0" w:color="auto"/>
            </w:tcBorders>
            <w:shd w:val="clear" w:color="auto" w:fill="auto"/>
            <w:noWrap/>
          </w:tcPr>
          <w:p w14:paraId="363D44F8" w14:textId="3EB3EB50" w:rsidR="00177FBD" w:rsidRPr="003C4A0F" w:rsidRDefault="00177FBD" w:rsidP="00177FBD">
            <w:pPr>
              <w:widowControl/>
              <w:jc w:val="right"/>
              <w:rPr>
                <w:rFonts w:ascii="Times New Roman" w:eastAsia="宋体" w:hAnsi="Times New Roman" w:cs="Times New Roman"/>
                <w:color w:val="000000"/>
                <w:kern w:val="0"/>
                <w:sz w:val="22"/>
              </w:rPr>
            </w:pPr>
            <w:r w:rsidRPr="00177FBD">
              <w:rPr>
                <w:rFonts w:ascii="Times New Roman" w:eastAsia="宋体" w:hAnsi="Times New Roman" w:cs="Times New Roman"/>
                <w:color w:val="000000"/>
                <w:kern w:val="0"/>
                <w:sz w:val="22"/>
              </w:rPr>
              <w:t xml:space="preserve">290,359.25 </w:t>
            </w:r>
          </w:p>
        </w:tc>
        <w:tc>
          <w:tcPr>
            <w:tcW w:w="529" w:type="pct"/>
            <w:tcBorders>
              <w:top w:val="nil"/>
              <w:left w:val="nil"/>
              <w:bottom w:val="single" w:sz="4" w:space="0" w:color="auto"/>
              <w:right w:val="single" w:sz="4" w:space="0" w:color="auto"/>
            </w:tcBorders>
            <w:shd w:val="clear" w:color="auto" w:fill="auto"/>
            <w:noWrap/>
            <w:vAlign w:val="center"/>
            <w:hideMark/>
          </w:tcPr>
          <w:p w14:paraId="678BAB58" w14:textId="0CD2EE17" w:rsidR="00177FBD" w:rsidRPr="00662CA8" w:rsidRDefault="00177FBD" w:rsidP="00177FBD">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f-h</w:t>
            </w:r>
          </w:p>
        </w:tc>
      </w:tr>
      <w:tr w:rsidR="00AB6D2C" w:rsidRPr="00662CA8" w14:paraId="736542DF" w14:textId="77777777" w:rsidTr="003E26F0">
        <w:trPr>
          <w:trHeight w:val="270"/>
        </w:trPr>
        <w:tc>
          <w:tcPr>
            <w:tcW w:w="3390"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14:paraId="516EECE5" w14:textId="77777777" w:rsidR="00AB6D2C" w:rsidRPr="00662CA8" w:rsidRDefault="00AB6D2C" w:rsidP="00AB6D2C">
            <w:pPr>
              <w:widowControl/>
              <w:jc w:val="left"/>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可计入二级资本的超额贷款损失准备的限额</w:t>
            </w:r>
          </w:p>
        </w:tc>
        <w:tc>
          <w:tcPr>
            <w:tcW w:w="1081" w:type="pct"/>
            <w:tcBorders>
              <w:top w:val="nil"/>
              <w:left w:val="nil"/>
              <w:bottom w:val="single" w:sz="4" w:space="0" w:color="auto"/>
              <w:right w:val="single" w:sz="4" w:space="0" w:color="auto"/>
            </w:tcBorders>
            <w:shd w:val="clear" w:color="auto" w:fill="BFBFBF" w:themeFill="background1" w:themeFillShade="BF"/>
            <w:vAlign w:val="bottom"/>
            <w:hideMark/>
          </w:tcPr>
          <w:p w14:paraId="2782E948" w14:textId="77777777" w:rsidR="00AB6D2C" w:rsidRPr="00662CA8" w:rsidRDefault="00AB6D2C" w:rsidP="00AB6D2C">
            <w:pPr>
              <w:widowControl/>
              <w:jc w:val="center"/>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数额</w:t>
            </w:r>
          </w:p>
        </w:tc>
        <w:tc>
          <w:tcPr>
            <w:tcW w:w="529" w:type="pct"/>
            <w:tcBorders>
              <w:top w:val="nil"/>
              <w:left w:val="nil"/>
              <w:bottom w:val="single" w:sz="4" w:space="0" w:color="auto"/>
              <w:right w:val="single" w:sz="4" w:space="0" w:color="auto"/>
            </w:tcBorders>
            <w:shd w:val="clear" w:color="auto" w:fill="BFBFBF" w:themeFill="background1" w:themeFillShade="BF"/>
            <w:noWrap/>
            <w:vAlign w:val="center"/>
            <w:hideMark/>
          </w:tcPr>
          <w:p w14:paraId="643C2BB2" w14:textId="77777777" w:rsidR="00AB6D2C" w:rsidRPr="00662CA8" w:rsidRDefault="00AB6D2C" w:rsidP="003E26F0">
            <w:pPr>
              <w:widowControl/>
              <w:jc w:val="center"/>
              <w:rPr>
                <w:rFonts w:ascii="Times New Roman" w:eastAsia="宋体" w:hAnsi="Times New Roman" w:cs="Times New Roman"/>
                <w:b/>
                <w:bCs/>
                <w:color w:val="000000"/>
                <w:kern w:val="0"/>
                <w:sz w:val="22"/>
              </w:rPr>
            </w:pPr>
            <w:r w:rsidRPr="00662CA8">
              <w:rPr>
                <w:rFonts w:ascii="Times New Roman" w:eastAsia="宋体" w:hAnsi="Times New Roman" w:cs="Times New Roman"/>
                <w:b/>
                <w:bCs/>
                <w:color w:val="000000"/>
                <w:kern w:val="0"/>
                <w:sz w:val="22"/>
              </w:rPr>
              <w:t>代码</w:t>
            </w:r>
          </w:p>
        </w:tc>
      </w:tr>
      <w:tr w:rsidR="00AB6D2C" w:rsidRPr="00662CA8" w14:paraId="1B6D3CE8" w14:textId="77777777" w:rsidTr="00D0615F">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0EC364D8" w14:textId="77777777" w:rsidR="00AB6D2C" w:rsidRPr="00662CA8" w:rsidRDefault="00AB6D2C" w:rsidP="00C44EAF">
            <w:pPr>
              <w:widowControl/>
              <w:jc w:val="center"/>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76</w:t>
            </w:r>
          </w:p>
        </w:tc>
        <w:tc>
          <w:tcPr>
            <w:tcW w:w="3087" w:type="pct"/>
            <w:tcBorders>
              <w:top w:val="nil"/>
              <w:left w:val="nil"/>
              <w:bottom w:val="single" w:sz="4" w:space="0" w:color="auto"/>
              <w:right w:val="single" w:sz="4" w:space="0" w:color="auto"/>
            </w:tcBorders>
            <w:shd w:val="clear" w:color="auto" w:fill="auto"/>
            <w:vAlign w:val="center"/>
            <w:hideMark/>
          </w:tcPr>
          <w:p w14:paraId="79006172" w14:textId="77777777" w:rsidR="00AB6D2C" w:rsidRPr="00662CA8" w:rsidRDefault="00AB6D2C" w:rsidP="00D0615F">
            <w:pPr>
              <w:widowControl/>
              <w:rPr>
                <w:rFonts w:ascii="Times New Roman" w:eastAsia="宋体" w:hAnsi="Times New Roman" w:cs="Times New Roman"/>
                <w:color w:val="000000"/>
                <w:kern w:val="0"/>
                <w:sz w:val="22"/>
              </w:rPr>
            </w:pPr>
            <w:r w:rsidRPr="00662CA8">
              <w:rPr>
                <w:rFonts w:ascii="Times New Roman" w:eastAsia="宋体" w:hAnsi="Times New Roman" w:cs="Times New Roman"/>
                <w:color w:val="000000"/>
                <w:kern w:val="0"/>
                <w:sz w:val="22"/>
              </w:rPr>
              <w:t>权重法下，实际计提的贷款损失准备金额</w:t>
            </w:r>
          </w:p>
        </w:tc>
        <w:tc>
          <w:tcPr>
            <w:tcW w:w="1081" w:type="pct"/>
            <w:tcBorders>
              <w:top w:val="nil"/>
              <w:left w:val="nil"/>
              <w:bottom w:val="single" w:sz="4" w:space="0" w:color="auto"/>
              <w:right w:val="single" w:sz="4" w:space="0" w:color="auto"/>
            </w:tcBorders>
            <w:shd w:val="clear" w:color="auto" w:fill="auto"/>
            <w:noWrap/>
            <w:vAlign w:val="center"/>
          </w:tcPr>
          <w:p w14:paraId="1EA74E59" w14:textId="63D002FE" w:rsidR="00AB6D2C" w:rsidRPr="00662CA8" w:rsidRDefault="00177FBD" w:rsidP="00AB6D2C">
            <w:pPr>
              <w:widowControl/>
              <w:jc w:val="right"/>
              <w:rPr>
                <w:rFonts w:ascii="Times New Roman" w:eastAsia="宋体" w:hAnsi="Times New Roman" w:cs="Times New Roman"/>
                <w:color w:val="000000"/>
                <w:kern w:val="0"/>
                <w:sz w:val="22"/>
              </w:rPr>
            </w:pPr>
            <w:r w:rsidRPr="00177FBD">
              <w:rPr>
                <w:rFonts w:ascii="Times New Roman" w:eastAsia="宋体" w:hAnsi="Times New Roman" w:cs="Times New Roman"/>
                <w:color w:val="000000"/>
                <w:kern w:val="0"/>
                <w:sz w:val="22"/>
              </w:rPr>
              <w:t>1,158,346.69</w:t>
            </w:r>
          </w:p>
        </w:tc>
        <w:tc>
          <w:tcPr>
            <w:tcW w:w="529" w:type="pct"/>
            <w:tcBorders>
              <w:top w:val="nil"/>
              <w:left w:val="nil"/>
              <w:bottom w:val="single" w:sz="4" w:space="0" w:color="auto"/>
              <w:right w:val="single" w:sz="4" w:space="0" w:color="auto"/>
            </w:tcBorders>
            <w:shd w:val="clear" w:color="auto" w:fill="auto"/>
            <w:noWrap/>
            <w:vAlign w:val="center"/>
            <w:hideMark/>
          </w:tcPr>
          <w:p w14:paraId="13757098" w14:textId="68132276" w:rsidR="00AB6D2C" w:rsidRPr="00662CA8" w:rsidRDefault="00C034DE" w:rsidP="003E26F0">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v</w:t>
            </w:r>
          </w:p>
        </w:tc>
      </w:tr>
    </w:tbl>
    <w:p w14:paraId="48C640E9" w14:textId="77777777" w:rsidR="001E0D63" w:rsidRPr="001E0D63" w:rsidRDefault="001E0D63" w:rsidP="001E0D63">
      <w:pPr>
        <w:rPr>
          <w:rFonts w:ascii="Times New Roman" w:hAnsi="Times New Roman" w:cs="Times New Roman"/>
          <w:sz w:val="18"/>
          <w:szCs w:val="18"/>
        </w:rPr>
      </w:pPr>
      <w:r w:rsidRPr="001E0D63">
        <w:rPr>
          <w:rFonts w:ascii="Times New Roman" w:hAnsi="Times New Roman" w:cs="Times New Roman" w:hint="eastAsia"/>
          <w:sz w:val="18"/>
          <w:szCs w:val="18"/>
        </w:rPr>
        <w:t>注：依照《商业银行资本管理办法（试行）》（中国银行业监督管理委员会</w:t>
      </w:r>
      <w:r w:rsidRPr="001E0D63">
        <w:rPr>
          <w:rFonts w:ascii="Times New Roman" w:hAnsi="Times New Roman" w:cs="Times New Roman" w:hint="eastAsia"/>
          <w:sz w:val="18"/>
          <w:szCs w:val="18"/>
        </w:rPr>
        <w:t>2012</w:t>
      </w:r>
      <w:r w:rsidRPr="001E0D63">
        <w:rPr>
          <w:rFonts w:ascii="Times New Roman" w:hAnsi="Times New Roman" w:cs="Times New Roman" w:hint="eastAsia"/>
          <w:sz w:val="18"/>
          <w:szCs w:val="18"/>
        </w:rPr>
        <w:t>年第</w:t>
      </w:r>
      <w:r w:rsidRPr="001E0D63">
        <w:rPr>
          <w:rFonts w:ascii="Times New Roman" w:hAnsi="Times New Roman" w:cs="Times New Roman" w:hint="eastAsia"/>
          <w:sz w:val="18"/>
          <w:szCs w:val="18"/>
        </w:rPr>
        <w:t>1</w:t>
      </w:r>
      <w:r w:rsidRPr="001E0D63">
        <w:rPr>
          <w:rFonts w:ascii="Times New Roman" w:hAnsi="Times New Roman" w:cs="Times New Roman" w:hint="eastAsia"/>
          <w:sz w:val="18"/>
          <w:szCs w:val="18"/>
        </w:rPr>
        <w:t>号令）要求，根据经审计的合并财务报表数据重新计算。</w:t>
      </w:r>
    </w:p>
    <w:p w14:paraId="78B5000F" w14:textId="77777777" w:rsidR="00077C0D" w:rsidRPr="001E0D63" w:rsidRDefault="00077C0D" w:rsidP="00AB6D2C">
      <w:pPr>
        <w:ind w:firstLine="420"/>
        <w:rPr>
          <w:rFonts w:ascii="Times New Roman" w:hAnsi="Times New Roman" w:cs="Times New Roman"/>
        </w:rPr>
      </w:pPr>
    </w:p>
    <w:p w14:paraId="52D04259" w14:textId="77777777" w:rsidR="00077C0D" w:rsidRPr="00662CA8" w:rsidRDefault="00077C0D">
      <w:pPr>
        <w:widowControl/>
        <w:jc w:val="left"/>
        <w:rPr>
          <w:rFonts w:ascii="Times New Roman" w:hAnsi="Times New Roman" w:cs="Times New Roman"/>
        </w:rPr>
      </w:pPr>
      <w:r w:rsidRPr="00662CA8">
        <w:rPr>
          <w:rFonts w:ascii="Times New Roman" w:hAnsi="Times New Roman" w:cs="Times New Roman"/>
        </w:rPr>
        <w:br w:type="page"/>
      </w:r>
    </w:p>
    <w:p w14:paraId="1A8E36C3" w14:textId="77777777" w:rsidR="00014A16" w:rsidRPr="00662CA8" w:rsidRDefault="00F75E4A" w:rsidP="00014A16">
      <w:pPr>
        <w:ind w:firstLine="420"/>
        <w:rPr>
          <w:rFonts w:ascii="Times New Roman" w:hAnsi="Times New Roman" w:cs="Times New Roman"/>
          <w:b/>
          <w:sz w:val="24"/>
          <w:szCs w:val="21"/>
        </w:rPr>
      </w:pPr>
      <w:r w:rsidRPr="00662CA8">
        <w:rPr>
          <w:rFonts w:ascii="Times New Roman" w:hAnsi="Times New Roman" w:cs="Times New Roman"/>
          <w:b/>
          <w:sz w:val="24"/>
          <w:szCs w:val="21"/>
        </w:rPr>
        <w:lastRenderedPageBreak/>
        <w:t>四、资本工具主要特征</w:t>
      </w:r>
    </w:p>
    <w:p w14:paraId="5CD795EE" w14:textId="77777777" w:rsidR="00014A16" w:rsidRPr="00662CA8" w:rsidRDefault="00014A16" w:rsidP="00014A16">
      <w:pPr>
        <w:ind w:firstLine="420"/>
        <w:rPr>
          <w:rFonts w:ascii="Times New Roman" w:hAnsi="Times New Roman" w:cs="Times New Roman"/>
          <w:b/>
          <w:sz w:val="24"/>
          <w:szCs w:val="21"/>
        </w:rPr>
      </w:pPr>
    </w:p>
    <w:tbl>
      <w:tblPr>
        <w:tblStyle w:val="a6"/>
        <w:tblW w:w="5187" w:type="pct"/>
        <w:tblInd w:w="-318" w:type="dxa"/>
        <w:tblLook w:val="04A0" w:firstRow="1" w:lastRow="0" w:firstColumn="1" w:lastColumn="0" w:noHBand="0" w:noVBand="1"/>
      </w:tblPr>
      <w:tblGrid>
        <w:gridCol w:w="470"/>
        <w:gridCol w:w="1795"/>
        <w:gridCol w:w="1581"/>
        <w:gridCol w:w="1710"/>
        <w:gridCol w:w="1729"/>
        <w:gridCol w:w="1556"/>
      </w:tblGrid>
      <w:tr w:rsidR="00177FBD" w:rsidRPr="00213F07" w14:paraId="66AE6C06" w14:textId="77777777" w:rsidTr="00FF5808">
        <w:tc>
          <w:tcPr>
            <w:tcW w:w="266" w:type="pct"/>
          </w:tcPr>
          <w:p w14:paraId="4D5D4AFE"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序号</w:t>
            </w:r>
          </w:p>
        </w:tc>
        <w:tc>
          <w:tcPr>
            <w:tcW w:w="1015" w:type="pct"/>
          </w:tcPr>
          <w:p w14:paraId="0F12C0E0" w14:textId="77777777" w:rsidR="00177FBD" w:rsidRPr="00213F07" w:rsidRDefault="00177FBD" w:rsidP="00D0615F">
            <w:pPr>
              <w:jc w:val="left"/>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监管资本工具的主要特征</w:t>
            </w:r>
          </w:p>
        </w:tc>
        <w:tc>
          <w:tcPr>
            <w:tcW w:w="894" w:type="pct"/>
          </w:tcPr>
          <w:p w14:paraId="5D7E199B"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A</w:t>
            </w:r>
            <w:r w:rsidRPr="00213F07">
              <w:rPr>
                <w:rFonts w:ascii="Times New Roman" w:eastAsiaTheme="majorEastAsia" w:hAnsi="Times New Roman" w:cs="Times New Roman"/>
                <w:sz w:val="16"/>
                <w:szCs w:val="16"/>
              </w:rPr>
              <w:t>股普通股</w:t>
            </w:r>
          </w:p>
        </w:tc>
        <w:tc>
          <w:tcPr>
            <w:tcW w:w="967" w:type="pct"/>
          </w:tcPr>
          <w:p w14:paraId="49A92D0B" w14:textId="748D41CF" w:rsidR="00177FBD" w:rsidRPr="00213F07" w:rsidRDefault="00177FBD" w:rsidP="00D0615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可转换公司债券</w:t>
            </w:r>
          </w:p>
        </w:tc>
        <w:tc>
          <w:tcPr>
            <w:tcW w:w="978" w:type="pct"/>
          </w:tcPr>
          <w:p w14:paraId="114FD27A" w14:textId="1958D8AA" w:rsidR="00177FBD" w:rsidRPr="00213F07" w:rsidRDefault="00177FBD" w:rsidP="00C44EAF">
            <w:pPr>
              <w:jc w:val="center"/>
              <w:rPr>
                <w:rFonts w:ascii="Times New Roman" w:eastAsiaTheme="majorEastAsia" w:hAnsi="Times New Roman" w:cs="Times New Roman"/>
                <w:sz w:val="16"/>
                <w:szCs w:val="16"/>
              </w:rPr>
            </w:pPr>
            <w:r>
              <w:rPr>
                <w:rFonts w:ascii="Times New Roman" w:eastAsiaTheme="majorEastAsia" w:hAnsi="Times New Roman" w:cs="Times New Roman" w:hint="eastAsia"/>
                <w:sz w:val="16"/>
                <w:szCs w:val="16"/>
              </w:rPr>
              <w:t>永续债</w:t>
            </w:r>
          </w:p>
        </w:tc>
        <w:tc>
          <w:tcPr>
            <w:tcW w:w="880" w:type="pct"/>
          </w:tcPr>
          <w:p w14:paraId="7A31E1C0" w14:textId="21428E0A"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二级资本工具</w:t>
            </w:r>
          </w:p>
        </w:tc>
      </w:tr>
      <w:tr w:rsidR="00177FBD" w:rsidRPr="00213F07" w14:paraId="0DE70FC3" w14:textId="77777777" w:rsidTr="00FF5808">
        <w:tc>
          <w:tcPr>
            <w:tcW w:w="266" w:type="pct"/>
            <w:vAlign w:val="center"/>
          </w:tcPr>
          <w:p w14:paraId="4C7303F6"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1</w:t>
            </w:r>
          </w:p>
        </w:tc>
        <w:tc>
          <w:tcPr>
            <w:tcW w:w="1015" w:type="pct"/>
            <w:vAlign w:val="center"/>
          </w:tcPr>
          <w:p w14:paraId="736BCFC7" w14:textId="77777777" w:rsidR="00177FBD" w:rsidRPr="00213F07" w:rsidRDefault="00177FBD" w:rsidP="00D0615F">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发行机构</w:t>
            </w:r>
          </w:p>
        </w:tc>
        <w:tc>
          <w:tcPr>
            <w:tcW w:w="894" w:type="pct"/>
            <w:vAlign w:val="center"/>
          </w:tcPr>
          <w:p w14:paraId="0A0EF637"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公司</w:t>
            </w:r>
          </w:p>
        </w:tc>
        <w:tc>
          <w:tcPr>
            <w:tcW w:w="967" w:type="pct"/>
            <w:vAlign w:val="center"/>
          </w:tcPr>
          <w:p w14:paraId="7B084543"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公司</w:t>
            </w:r>
          </w:p>
        </w:tc>
        <w:tc>
          <w:tcPr>
            <w:tcW w:w="978" w:type="pct"/>
          </w:tcPr>
          <w:p w14:paraId="4538D431" w14:textId="67A5C7D3" w:rsidR="00177FBD" w:rsidRPr="00213F07" w:rsidRDefault="00177FBD" w:rsidP="00C44EAF">
            <w:pPr>
              <w:jc w:val="center"/>
              <w:rPr>
                <w:rFonts w:ascii="Times New Roman" w:eastAsiaTheme="majorEastAsia" w:hAnsi="Times New Roman" w:cs="Times New Roman"/>
                <w:sz w:val="16"/>
                <w:szCs w:val="16"/>
              </w:rPr>
            </w:pPr>
            <w:r>
              <w:rPr>
                <w:rFonts w:ascii="Times New Roman" w:eastAsiaTheme="majorEastAsia" w:hAnsi="Times New Roman" w:cs="Times New Roman" w:hint="eastAsia"/>
                <w:sz w:val="16"/>
                <w:szCs w:val="16"/>
              </w:rPr>
              <w:t>公司</w:t>
            </w:r>
          </w:p>
        </w:tc>
        <w:tc>
          <w:tcPr>
            <w:tcW w:w="880" w:type="pct"/>
            <w:vAlign w:val="center"/>
          </w:tcPr>
          <w:p w14:paraId="07561EC5" w14:textId="3E4A58AE"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公司</w:t>
            </w:r>
          </w:p>
        </w:tc>
      </w:tr>
      <w:tr w:rsidR="00177FBD" w:rsidRPr="00213F07" w14:paraId="24183104" w14:textId="77777777" w:rsidTr="00FF5808">
        <w:tc>
          <w:tcPr>
            <w:tcW w:w="266" w:type="pct"/>
            <w:vAlign w:val="center"/>
          </w:tcPr>
          <w:p w14:paraId="7454550C"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2</w:t>
            </w:r>
          </w:p>
        </w:tc>
        <w:tc>
          <w:tcPr>
            <w:tcW w:w="1015" w:type="pct"/>
            <w:vAlign w:val="center"/>
          </w:tcPr>
          <w:p w14:paraId="624FA9D0" w14:textId="77777777" w:rsidR="00177FBD" w:rsidRPr="00213F07" w:rsidRDefault="00177FBD" w:rsidP="00D0615F">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标识码</w:t>
            </w:r>
          </w:p>
        </w:tc>
        <w:tc>
          <w:tcPr>
            <w:tcW w:w="894" w:type="pct"/>
            <w:shd w:val="clear" w:color="auto" w:fill="auto"/>
            <w:vAlign w:val="center"/>
          </w:tcPr>
          <w:p w14:paraId="25328587"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002966.SZ</w:t>
            </w:r>
          </w:p>
        </w:tc>
        <w:tc>
          <w:tcPr>
            <w:tcW w:w="967" w:type="pct"/>
            <w:shd w:val="clear" w:color="auto" w:fill="auto"/>
            <w:vAlign w:val="center"/>
          </w:tcPr>
          <w:p w14:paraId="1E395447"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127032.SZ</w:t>
            </w:r>
          </w:p>
        </w:tc>
        <w:tc>
          <w:tcPr>
            <w:tcW w:w="978" w:type="pct"/>
          </w:tcPr>
          <w:p w14:paraId="6A6AEBAE" w14:textId="06E5B29B" w:rsidR="00177FBD" w:rsidRPr="00213F07" w:rsidRDefault="00177FBD" w:rsidP="00C44EAF">
            <w:pPr>
              <w:jc w:val="center"/>
              <w:rPr>
                <w:rFonts w:ascii="Times New Roman" w:eastAsiaTheme="majorEastAsia" w:hAnsi="Times New Roman" w:cs="Times New Roman"/>
                <w:sz w:val="16"/>
                <w:szCs w:val="16"/>
              </w:rPr>
            </w:pPr>
            <w:r w:rsidRPr="00177FBD">
              <w:rPr>
                <w:rFonts w:ascii="Times New Roman" w:eastAsiaTheme="majorEastAsia" w:hAnsi="Times New Roman" w:cs="Times New Roman"/>
                <w:sz w:val="16"/>
                <w:szCs w:val="16"/>
              </w:rPr>
              <w:t>2220002</w:t>
            </w:r>
          </w:p>
        </w:tc>
        <w:tc>
          <w:tcPr>
            <w:tcW w:w="880" w:type="pct"/>
            <w:shd w:val="clear" w:color="auto" w:fill="auto"/>
            <w:vAlign w:val="center"/>
          </w:tcPr>
          <w:p w14:paraId="1862DF2B" w14:textId="3031327E"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2020043</w:t>
            </w:r>
          </w:p>
        </w:tc>
      </w:tr>
      <w:tr w:rsidR="00177FBD" w:rsidRPr="00213F07" w14:paraId="4A659511" w14:textId="77777777" w:rsidTr="00FF5808">
        <w:tc>
          <w:tcPr>
            <w:tcW w:w="266" w:type="pct"/>
            <w:vAlign w:val="center"/>
          </w:tcPr>
          <w:p w14:paraId="4F1D295D"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3</w:t>
            </w:r>
          </w:p>
        </w:tc>
        <w:tc>
          <w:tcPr>
            <w:tcW w:w="1015" w:type="pct"/>
            <w:vAlign w:val="center"/>
          </w:tcPr>
          <w:p w14:paraId="2CC8B67E" w14:textId="77777777" w:rsidR="00177FBD" w:rsidRPr="00213F07" w:rsidRDefault="00177FBD" w:rsidP="00D0615F">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适用法律</w:t>
            </w:r>
          </w:p>
        </w:tc>
        <w:tc>
          <w:tcPr>
            <w:tcW w:w="894" w:type="pct"/>
            <w:vAlign w:val="center"/>
          </w:tcPr>
          <w:p w14:paraId="2B0DD438" w14:textId="6173475F"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《证券法》、《商业银行资本管理办法</w:t>
            </w:r>
            <w:r w:rsidRPr="00213F07">
              <w:rPr>
                <w:rFonts w:ascii="Times New Roman" w:eastAsiaTheme="majorEastAsia" w:hAnsi="Times New Roman" w:cs="Times New Roman"/>
                <w:sz w:val="16"/>
                <w:szCs w:val="16"/>
              </w:rPr>
              <w:t>(</w:t>
            </w:r>
            <w:r w:rsidRPr="00213F07">
              <w:rPr>
                <w:rFonts w:ascii="Times New Roman" w:eastAsiaTheme="majorEastAsia" w:hAnsi="Times New Roman" w:cs="Times New Roman"/>
                <w:sz w:val="16"/>
                <w:szCs w:val="16"/>
              </w:rPr>
              <w:t>试行</w:t>
            </w:r>
            <w:r w:rsidRPr="00213F07">
              <w:rPr>
                <w:rFonts w:ascii="Times New Roman" w:eastAsiaTheme="majorEastAsia" w:hAnsi="Times New Roman" w:cs="Times New Roman"/>
                <w:sz w:val="16"/>
                <w:szCs w:val="16"/>
              </w:rPr>
              <w:t>)</w:t>
            </w:r>
            <w:r w:rsidRPr="00213F07">
              <w:rPr>
                <w:rFonts w:ascii="Times New Roman" w:eastAsiaTheme="majorEastAsia" w:hAnsi="Times New Roman" w:cs="Times New Roman"/>
                <w:sz w:val="16"/>
                <w:szCs w:val="16"/>
              </w:rPr>
              <w:t>》等</w:t>
            </w:r>
          </w:p>
        </w:tc>
        <w:tc>
          <w:tcPr>
            <w:tcW w:w="967" w:type="pct"/>
            <w:vAlign w:val="center"/>
          </w:tcPr>
          <w:p w14:paraId="4C933705" w14:textId="4E5C9774"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《证券法》、《商业银行资本管理办法</w:t>
            </w:r>
            <w:r w:rsidRPr="00213F07">
              <w:rPr>
                <w:rFonts w:ascii="Times New Roman" w:eastAsiaTheme="majorEastAsia" w:hAnsi="Times New Roman" w:cs="Times New Roman"/>
                <w:sz w:val="16"/>
                <w:szCs w:val="16"/>
              </w:rPr>
              <w:t>(</w:t>
            </w:r>
            <w:r w:rsidRPr="00213F07">
              <w:rPr>
                <w:rFonts w:ascii="Times New Roman" w:eastAsiaTheme="majorEastAsia" w:hAnsi="Times New Roman" w:cs="Times New Roman"/>
                <w:sz w:val="16"/>
                <w:szCs w:val="16"/>
              </w:rPr>
              <w:t>试行</w:t>
            </w:r>
            <w:r w:rsidRPr="00213F07">
              <w:rPr>
                <w:rFonts w:ascii="Times New Roman" w:eastAsiaTheme="majorEastAsia" w:hAnsi="Times New Roman" w:cs="Times New Roman"/>
                <w:sz w:val="16"/>
                <w:szCs w:val="16"/>
              </w:rPr>
              <w:t>)</w:t>
            </w:r>
            <w:r w:rsidRPr="00213F07">
              <w:rPr>
                <w:rFonts w:ascii="Times New Roman" w:eastAsiaTheme="majorEastAsia" w:hAnsi="Times New Roman" w:cs="Times New Roman"/>
                <w:sz w:val="16"/>
                <w:szCs w:val="16"/>
              </w:rPr>
              <w:t>》等</w:t>
            </w:r>
          </w:p>
        </w:tc>
        <w:tc>
          <w:tcPr>
            <w:tcW w:w="978" w:type="pct"/>
          </w:tcPr>
          <w:p w14:paraId="14B23F4A" w14:textId="52D0BF15" w:rsidR="00177FBD" w:rsidRPr="00213F07" w:rsidRDefault="00C3131B"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《证券法》、《商业银行资本管理办法</w:t>
            </w:r>
            <w:r w:rsidRPr="00213F07">
              <w:rPr>
                <w:rFonts w:ascii="Times New Roman" w:eastAsiaTheme="majorEastAsia" w:hAnsi="Times New Roman" w:cs="Times New Roman"/>
                <w:sz w:val="16"/>
                <w:szCs w:val="16"/>
              </w:rPr>
              <w:t>(</w:t>
            </w:r>
            <w:r w:rsidRPr="00213F07">
              <w:rPr>
                <w:rFonts w:ascii="Times New Roman" w:eastAsiaTheme="majorEastAsia" w:hAnsi="Times New Roman" w:cs="Times New Roman"/>
                <w:sz w:val="16"/>
                <w:szCs w:val="16"/>
              </w:rPr>
              <w:t>试行</w:t>
            </w:r>
            <w:r w:rsidRPr="00213F07">
              <w:rPr>
                <w:rFonts w:ascii="Times New Roman" w:eastAsiaTheme="majorEastAsia" w:hAnsi="Times New Roman" w:cs="Times New Roman"/>
                <w:sz w:val="16"/>
                <w:szCs w:val="16"/>
              </w:rPr>
              <w:t>)</w:t>
            </w:r>
            <w:r w:rsidRPr="00213F07">
              <w:rPr>
                <w:rFonts w:ascii="Times New Roman" w:eastAsiaTheme="majorEastAsia" w:hAnsi="Times New Roman" w:cs="Times New Roman"/>
                <w:sz w:val="16"/>
                <w:szCs w:val="16"/>
              </w:rPr>
              <w:t>》等</w:t>
            </w:r>
          </w:p>
        </w:tc>
        <w:tc>
          <w:tcPr>
            <w:tcW w:w="880" w:type="pct"/>
            <w:vAlign w:val="center"/>
          </w:tcPr>
          <w:p w14:paraId="46B28A04" w14:textId="22E05F3C"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《商业银行资本管理办法</w:t>
            </w:r>
            <w:r w:rsidRPr="00213F07">
              <w:rPr>
                <w:rFonts w:ascii="Times New Roman" w:eastAsiaTheme="majorEastAsia" w:hAnsi="Times New Roman" w:cs="Times New Roman"/>
                <w:sz w:val="16"/>
                <w:szCs w:val="16"/>
              </w:rPr>
              <w:t>(</w:t>
            </w:r>
            <w:r w:rsidRPr="00213F07">
              <w:rPr>
                <w:rFonts w:ascii="Times New Roman" w:eastAsiaTheme="majorEastAsia" w:hAnsi="Times New Roman" w:cs="Times New Roman"/>
                <w:sz w:val="16"/>
                <w:szCs w:val="16"/>
              </w:rPr>
              <w:t>试行</w:t>
            </w:r>
            <w:r w:rsidRPr="00213F07">
              <w:rPr>
                <w:rFonts w:ascii="Times New Roman" w:eastAsiaTheme="majorEastAsia" w:hAnsi="Times New Roman" w:cs="Times New Roman"/>
                <w:sz w:val="16"/>
                <w:szCs w:val="16"/>
              </w:rPr>
              <w:t>)</w:t>
            </w:r>
            <w:r w:rsidRPr="00213F07">
              <w:rPr>
                <w:rFonts w:ascii="Times New Roman" w:eastAsiaTheme="majorEastAsia" w:hAnsi="Times New Roman" w:cs="Times New Roman"/>
                <w:sz w:val="16"/>
                <w:szCs w:val="16"/>
              </w:rPr>
              <w:t>》等</w:t>
            </w:r>
          </w:p>
        </w:tc>
      </w:tr>
      <w:tr w:rsidR="00177FBD" w:rsidRPr="00213F07" w14:paraId="5BC44C2E" w14:textId="77777777" w:rsidTr="00FF5808">
        <w:tc>
          <w:tcPr>
            <w:tcW w:w="266" w:type="pct"/>
            <w:vAlign w:val="center"/>
          </w:tcPr>
          <w:p w14:paraId="3614904F" w14:textId="77777777" w:rsidR="00177FBD" w:rsidRPr="00213F07" w:rsidRDefault="00177FBD" w:rsidP="00C44EAF">
            <w:pPr>
              <w:jc w:val="center"/>
              <w:rPr>
                <w:rFonts w:ascii="Times New Roman" w:eastAsiaTheme="majorEastAsia" w:hAnsi="Times New Roman" w:cs="Times New Roman"/>
                <w:sz w:val="16"/>
                <w:szCs w:val="16"/>
              </w:rPr>
            </w:pPr>
          </w:p>
        </w:tc>
        <w:tc>
          <w:tcPr>
            <w:tcW w:w="1015" w:type="pct"/>
            <w:vAlign w:val="center"/>
          </w:tcPr>
          <w:p w14:paraId="4DF0E617" w14:textId="77777777" w:rsidR="00177FBD" w:rsidRPr="00213F07" w:rsidRDefault="00177FBD" w:rsidP="00D0615F">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监管处理</w:t>
            </w:r>
          </w:p>
        </w:tc>
        <w:tc>
          <w:tcPr>
            <w:tcW w:w="894" w:type="pct"/>
            <w:vAlign w:val="center"/>
          </w:tcPr>
          <w:p w14:paraId="2DB7CD75" w14:textId="77777777" w:rsidR="00177FBD" w:rsidRPr="00213F07" w:rsidRDefault="00177FBD" w:rsidP="00C44EAF">
            <w:pPr>
              <w:jc w:val="center"/>
              <w:rPr>
                <w:rFonts w:ascii="Times New Roman" w:eastAsiaTheme="majorEastAsia" w:hAnsi="Times New Roman" w:cs="Times New Roman"/>
                <w:sz w:val="16"/>
                <w:szCs w:val="16"/>
              </w:rPr>
            </w:pPr>
          </w:p>
        </w:tc>
        <w:tc>
          <w:tcPr>
            <w:tcW w:w="967" w:type="pct"/>
            <w:vAlign w:val="center"/>
          </w:tcPr>
          <w:p w14:paraId="7F51D7D1" w14:textId="77777777" w:rsidR="00177FBD" w:rsidRPr="00213F07" w:rsidRDefault="00177FBD" w:rsidP="00C44EAF">
            <w:pPr>
              <w:jc w:val="center"/>
              <w:rPr>
                <w:rFonts w:ascii="Times New Roman" w:eastAsiaTheme="majorEastAsia" w:hAnsi="Times New Roman" w:cs="Times New Roman"/>
                <w:sz w:val="16"/>
                <w:szCs w:val="16"/>
              </w:rPr>
            </w:pPr>
          </w:p>
        </w:tc>
        <w:tc>
          <w:tcPr>
            <w:tcW w:w="978" w:type="pct"/>
          </w:tcPr>
          <w:p w14:paraId="570013C3" w14:textId="77777777" w:rsidR="00177FBD" w:rsidRPr="00213F07" w:rsidRDefault="00177FBD" w:rsidP="00C44EAF">
            <w:pPr>
              <w:jc w:val="center"/>
              <w:rPr>
                <w:rFonts w:ascii="Times New Roman" w:eastAsiaTheme="majorEastAsia" w:hAnsi="Times New Roman" w:cs="Times New Roman"/>
                <w:sz w:val="16"/>
                <w:szCs w:val="16"/>
              </w:rPr>
            </w:pPr>
          </w:p>
        </w:tc>
        <w:tc>
          <w:tcPr>
            <w:tcW w:w="880" w:type="pct"/>
            <w:vAlign w:val="center"/>
          </w:tcPr>
          <w:p w14:paraId="01D176B9" w14:textId="1532C018" w:rsidR="00177FBD" w:rsidRPr="00213F07" w:rsidRDefault="00177FBD" w:rsidP="00C44EAF">
            <w:pPr>
              <w:jc w:val="center"/>
              <w:rPr>
                <w:rFonts w:ascii="Times New Roman" w:eastAsiaTheme="majorEastAsia" w:hAnsi="Times New Roman" w:cs="Times New Roman"/>
                <w:sz w:val="16"/>
                <w:szCs w:val="16"/>
              </w:rPr>
            </w:pPr>
          </w:p>
        </w:tc>
      </w:tr>
      <w:tr w:rsidR="00177FBD" w:rsidRPr="00213F07" w14:paraId="7018E3B5" w14:textId="77777777" w:rsidTr="00FF5808">
        <w:tc>
          <w:tcPr>
            <w:tcW w:w="266" w:type="pct"/>
            <w:vAlign w:val="center"/>
          </w:tcPr>
          <w:p w14:paraId="14AB6AAA"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4</w:t>
            </w:r>
          </w:p>
        </w:tc>
        <w:tc>
          <w:tcPr>
            <w:tcW w:w="1015" w:type="pct"/>
            <w:vAlign w:val="center"/>
          </w:tcPr>
          <w:p w14:paraId="0F27C019" w14:textId="77777777" w:rsidR="00177FBD" w:rsidRPr="00213F07" w:rsidRDefault="00177FBD" w:rsidP="00D0615F">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其中：适用《商业银行资本管理办法</w:t>
            </w:r>
            <w:r w:rsidRPr="00213F07">
              <w:rPr>
                <w:rFonts w:ascii="Times New Roman" w:eastAsiaTheme="majorEastAsia" w:hAnsi="Times New Roman" w:cs="Times New Roman"/>
                <w:sz w:val="16"/>
                <w:szCs w:val="16"/>
              </w:rPr>
              <w:t>(</w:t>
            </w:r>
            <w:r w:rsidRPr="00213F07">
              <w:rPr>
                <w:rFonts w:ascii="Times New Roman" w:eastAsiaTheme="majorEastAsia" w:hAnsi="Times New Roman" w:cs="Times New Roman"/>
                <w:sz w:val="16"/>
                <w:szCs w:val="16"/>
              </w:rPr>
              <w:t>试行</w:t>
            </w:r>
            <w:r w:rsidRPr="00213F07">
              <w:rPr>
                <w:rFonts w:ascii="Times New Roman" w:eastAsiaTheme="majorEastAsia" w:hAnsi="Times New Roman" w:cs="Times New Roman"/>
                <w:sz w:val="16"/>
                <w:szCs w:val="16"/>
              </w:rPr>
              <w:t>)</w:t>
            </w:r>
            <w:r w:rsidRPr="00213F07">
              <w:rPr>
                <w:rFonts w:ascii="Times New Roman" w:eastAsiaTheme="majorEastAsia" w:hAnsi="Times New Roman" w:cs="Times New Roman"/>
                <w:sz w:val="16"/>
                <w:szCs w:val="16"/>
              </w:rPr>
              <w:t>》过渡期规则</w:t>
            </w:r>
          </w:p>
        </w:tc>
        <w:tc>
          <w:tcPr>
            <w:tcW w:w="894" w:type="pct"/>
            <w:vAlign w:val="center"/>
          </w:tcPr>
          <w:p w14:paraId="03012560"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核心一级资本</w:t>
            </w:r>
          </w:p>
        </w:tc>
        <w:tc>
          <w:tcPr>
            <w:tcW w:w="967" w:type="pct"/>
            <w:vAlign w:val="center"/>
          </w:tcPr>
          <w:p w14:paraId="5E038062"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核心一级资本</w:t>
            </w:r>
          </w:p>
        </w:tc>
        <w:tc>
          <w:tcPr>
            <w:tcW w:w="978" w:type="pct"/>
            <w:vAlign w:val="center"/>
          </w:tcPr>
          <w:p w14:paraId="42F4D117" w14:textId="0A936FF7" w:rsidR="00177FBD" w:rsidRPr="00213F07" w:rsidRDefault="00C3131B" w:rsidP="00C3131B">
            <w:pPr>
              <w:jc w:val="center"/>
              <w:rPr>
                <w:rFonts w:ascii="Times New Roman" w:eastAsiaTheme="majorEastAsia" w:hAnsi="Times New Roman" w:cs="Times New Roman"/>
                <w:sz w:val="16"/>
                <w:szCs w:val="16"/>
              </w:rPr>
            </w:pPr>
            <w:r>
              <w:rPr>
                <w:rFonts w:ascii="Times New Roman" w:eastAsiaTheme="majorEastAsia" w:hAnsi="Times New Roman" w:cs="Times New Roman" w:hint="eastAsia"/>
                <w:sz w:val="16"/>
                <w:szCs w:val="16"/>
              </w:rPr>
              <w:t>其他</w:t>
            </w:r>
            <w:r w:rsidRPr="00213F07">
              <w:rPr>
                <w:rFonts w:ascii="Times New Roman" w:eastAsiaTheme="majorEastAsia" w:hAnsi="Times New Roman" w:cs="Times New Roman"/>
                <w:sz w:val="16"/>
                <w:szCs w:val="16"/>
              </w:rPr>
              <w:t>一级资本</w:t>
            </w:r>
          </w:p>
        </w:tc>
        <w:tc>
          <w:tcPr>
            <w:tcW w:w="880" w:type="pct"/>
            <w:vAlign w:val="center"/>
          </w:tcPr>
          <w:p w14:paraId="47610566" w14:textId="3902FEC6"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二级资本</w:t>
            </w:r>
          </w:p>
        </w:tc>
      </w:tr>
      <w:tr w:rsidR="00177FBD" w:rsidRPr="00213F07" w14:paraId="4A2856DB" w14:textId="77777777" w:rsidTr="00FF5808">
        <w:tc>
          <w:tcPr>
            <w:tcW w:w="266" w:type="pct"/>
            <w:vAlign w:val="center"/>
          </w:tcPr>
          <w:p w14:paraId="05E485CD"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5</w:t>
            </w:r>
          </w:p>
        </w:tc>
        <w:tc>
          <w:tcPr>
            <w:tcW w:w="1015" w:type="pct"/>
            <w:vAlign w:val="center"/>
          </w:tcPr>
          <w:p w14:paraId="2AEDC471" w14:textId="77777777" w:rsidR="00177FBD" w:rsidRPr="00213F07" w:rsidRDefault="00177FBD" w:rsidP="00D0615F">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其中：适用《商业银行资本管理办法</w:t>
            </w:r>
            <w:r w:rsidRPr="00213F07">
              <w:rPr>
                <w:rFonts w:ascii="Times New Roman" w:eastAsiaTheme="majorEastAsia" w:hAnsi="Times New Roman" w:cs="Times New Roman"/>
                <w:sz w:val="16"/>
                <w:szCs w:val="16"/>
              </w:rPr>
              <w:t>(</w:t>
            </w:r>
            <w:r w:rsidRPr="00213F07">
              <w:rPr>
                <w:rFonts w:ascii="Times New Roman" w:eastAsiaTheme="majorEastAsia" w:hAnsi="Times New Roman" w:cs="Times New Roman"/>
                <w:sz w:val="16"/>
                <w:szCs w:val="16"/>
              </w:rPr>
              <w:t>试行</w:t>
            </w:r>
            <w:r w:rsidRPr="00213F07">
              <w:rPr>
                <w:rFonts w:ascii="Times New Roman" w:eastAsiaTheme="majorEastAsia" w:hAnsi="Times New Roman" w:cs="Times New Roman"/>
                <w:sz w:val="16"/>
                <w:szCs w:val="16"/>
              </w:rPr>
              <w:t>)</w:t>
            </w:r>
            <w:r w:rsidRPr="00213F07">
              <w:rPr>
                <w:rFonts w:ascii="Times New Roman" w:eastAsiaTheme="majorEastAsia" w:hAnsi="Times New Roman" w:cs="Times New Roman"/>
                <w:sz w:val="16"/>
                <w:szCs w:val="16"/>
              </w:rPr>
              <w:t>》过渡期结束后规则</w:t>
            </w:r>
          </w:p>
        </w:tc>
        <w:tc>
          <w:tcPr>
            <w:tcW w:w="894" w:type="pct"/>
            <w:vAlign w:val="center"/>
          </w:tcPr>
          <w:p w14:paraId="7E95FB03"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核心一级资本</w:t>
            </w:r>
          </w:p>
        </w:tc>
        <w:tc>
          <w:tcPr>
            <w:tcW w:w="967" w:type="pct"/>
            <w:vAlign w:val="center"/>
          </w:tcPr>
          <w:p w14:paraId="5ACBABBB"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核心一级资本</w:t>
            </w:r>
          </w:p>
        </w:tc>
        <w:tc>
          <w:tcPr>
            <w:tcW w:w="978" w:type="pct"/>
            <w:vAlign w:val="center"/>
          </w:tcPr>
          <w:p w14:paraId="18FB59CA" w14:textId="05DF41BF" w:rsidR="00177FBD" w:rsidRPr="00213F07" w:rsidRDefault="00C3131B" w:rsidP="00C3131B">
            <w:pPr>
              <w:jc w:val="center"/>
              <w:rPr>
                <w:rFonts w:ascii="Times New Roman" w:eastAsiaTheme="majorEastAsia" w:hAnsi="Times New Roman" w:cs="Times New Roman"/>
                <w:sz w:val="16"/>
                <w:szCs w:val="16"/>
              </w:rPr>
            </w:pPr>
            <w:r>
              <w:rPr>
                <w:rFonts w:ascii="Times New Roman" w:eastAsiaTheme="majorEastAsia" w:hAnsi="Times New Roman" w:cs="Times New Roman" w:hint="eastAsia"/>
                <w:sz w:val="16"/>
                <w:szCs w:val="16"/>
              </w:rPr>
              <w:t>其他</w:t>
            </w:r>
            <w:r w:rsidRPr="00213F07">
              <w:rPr>
                <w:rFonts w:ascii="Times New Roman" w:eastAsiaTheme="majorEastAsia" w:hAnsi="Times New Roman" w:cs="Times New Roman"/>
                <w:sz w:val="16"/>
                <w:szCs w:val="16"/>
              </w:rPr>
              <w:t>一级资本</w:t>
            </w:r>
          </w:p>
        </w:tc>
        <w:tc>
          <w:tcPr>
            <w:tcW w:w="880" w:type="pct"/>
            <w:vAlign w:val="center"/>
          </w:tcPr>
          <w:p w14:paraId="528818B2" w14:textId="45062D0E"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二级资本</w:t>
            </w:r>
          </w:p>
        </w:tc>
      </w:tr>
      <w:tr w:rsidR="00177FBD" w:rsidRPr="00213F07" w14:paraId="11302EE2" w14:textId="77777777" w:rsidTr="00FF5808">
        <w:tc>
          <w:tcPr>
            <w:tcW w:w="266" w:type="pct"/>
            <w:vAlign w:val="center"/>
          </w:tcPr>
          <w:p w14:paraId="0898E282"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6</w:t>
            </w:r>
          </w:p>
        </w:tc>
        <w:tc>
          <w:tcPr>
            <w:tcW w:w="1015" w:type="pct"/>
            <w:vAlign w:val="center"/>
          </w:tcPr>
          <w:p w14:paraId="6C364B9F" w14:textId="77777777" w:rsidR="00177FBD" w:rsidRPr="00213F07" w:rsidRDefault="00177FBD" w:rsidP="00D0615F">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其中：适用法人</w:t>
            </w:r>
            <w:r w:rsidRPr="00213F07">
              <w:rPr>
                <w:rFonts w:ascii="Times New Roman" w:eastAsiaTheme="majorEastAsia" w:hAnsi="Times New Roman" w:cs="Times New Roman"/>
                <w:sz w:val="16"/>
                <w:szCs w:val="16"/>
              </w:rPr>
              <w:t>/</w:t>
            </w:r>
            <w:r w:rsidRPr="00213F07">
              <w:rPr>
                <w:rFonts w:ascii="Times New Roman" w:eastAsiaTheme="majorEastAsia" w:hAnsi="Times New Roman" w:cs="Times New Roman"/>
                <w:sz w:val="16"/>
                <w:szCs w:val="16"/>
              </w:rPr>
              <w:t>集团层面</w:t>
            </w:r>
          </w:p>
        </w:tc>
        <w:tc>
          <w:tcPr>
            <w:tcW w:w="894" w:type="pct"/>
            <w:vAlign w:val="center"/>
          </w:tcPr>
          <w:p w14:paraId="7A000E04"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法人</w:t>
            </w:r>
            <w:r w:rsidRPr="00213F07">
              <w:rPr>
                <w:rFonts w:ascii="Times New Roman" w:eastAsiaTheme="majorEastAsia" w:hAnsi="Times New Roman" w:cs="Times New Roman"/>
                <w:sz w:val="16"/>
                <w:szCs w:val="16"/>
              </w:rPr>
              <w:t>/</w:t>
            </w:r>
            <w:r w:rsidRPr="00213F07">
              <w:rPr>
                <w:rFonts w:ascii="Times New Roman" w:eastAsiaTheme="majorEastAsia" w:hAnsi="Times New Roman" w:cs="Times New Roman"/>
                <w:sz w:val="16"/>
                <w:szCs w:val="16"/>
              </w:rPr>
              <w:t>集团</w:t>
            </w:r>
          </w:p>
        </w:tc>
        <w:tc>
          <w:tcPr>
            <w:tcW w:w="967" w:type="pct"/>
            <w:vAlign w:val="center"/>
          </w:tcPr>
          <w:p w14:paraId="6F26A803"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法人</w:t>
            </w:r>
            <w:r w:rsidRPr="00213F07">
              <w:rPr>
                <w:rFonts w:ascii="Times New Roman" w:eastAsiaTheme="majorEastAsia" w:hAnsi="Times New Roman" w:cs="Times New Roman"/>
                <w:sz w:val="16"/>
                <w:szCs w:val="16"/>
              </w:rPr>
              <w:t>/</w:t>
            </w:r>
            <w:r w:rsidRPr="00213F07">
              <w:rPr>
                <w:rFonts w:ascii="Times New Roman" w:eastAsiaTheme="majorEastAsia" w:hAnsi="Times New Roman" w:cs="Times New Roman"/>
                <w:sz w:val="16"/>
                <w:szCs w:val="16"/>
              </w:rPr>
              <w:t>集团</w:t>
            </w:r>
          </w:p>
        </w:tc>
        <w:tc>
          <w:tcPr>
            <w:tcW w:w="978" w:type="pct"/>
            <w:vAlign w:val="center"/>
          </w:tcPr>
          <w:p w14:paraId="71E6A8BA" w14:textId="603FA3AE" w:rsidR="00177FBD" w:rsidRPr="00213F07" w:rsidRDefault="00C3131B" w:rsidP="00C3131B">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法人</w:t>
            </w:r>
            <w:r w:rsidRPr="00213F07">
              <w:rPr>
                <w:rFonts w:ascii="Times New Roman" w:eastAsiaTheme="majorEastAsia" w:hAnsi="Times New Roman" w:cs="Times New Roman"/>
                <w:sz w:val="16"/>
                <w:szCs w:val="16"/>
              </w:rPr>
              <w:t>/</w:t>
            </w:r>
            <w:r w:rsidRPr="00213F07">
              <w:rPr>
                <w:rFonts w:ascii="Times New Roman" w:eastAsiaTheme="majorEastAsia" w:hAnsi="Times New Roman" w:cs="Times New Roman"/>
                <w:sz w:val="16"/>
                <w:szCs w:val="16"/>
              </w:rPr>
              <w:t>集团</w:t>
            </w:r>
          </w:p>
        </w:tc>
        <w:tc>
          <w:tcPr>
            <w:tcW w:w="880" w:type="pct"/>
            <w:vAlign w:val="center"/>
          </w:tcPr>
          <w:p w14:paraId="39085EF8" w14:textId="7DB05CD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法人</w:t>
            </w:r>
            <w:r w:rsidRPr="00213F07">
              <w:rPr>
                <w:rFonts w:ascii="Times New Roman" w:eastAsiaTheme="majorEastAsia" w:hAnsi="Times New Roman" w:cs="Times New Roman"/>
                <w:sz w:val="16"/>
                <w:szCs w:val="16"/>
              </w:rPr>
              <w:t>/</w:t>
            </w:r>
            <w:r w:rsidRPr="00213F07">
              <w:rPr>
                <w:rFonts w:ascii="Times New Roman" w:eastAsiaTheme="majorEastAsia" w:hAnsi="Times New Roman" w:cs="Times New Roman"/>
                <w:sz w:val="16"/>
                <w:szCs w:val="16"/>
              </w:rPr>
              <w:t>集团</w:t>
            </w:r>
          </w:p>
        </w:tc>
      </w:tr>
      <w:tr w:rsidR="00177FBD" w:rsidRPr="00213F07" w14:paraId="5C33240D" w14:textId="77777777" w:rsidTr="00FF5808">
        <w:tc>
          <w:tcPr>
            <w:tcW w:w="266" w:type="pct"/>
            <w:vAlign w:val="center"/>
          </w:tcPr>
          <w:p w14:paraId="00833EF7"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7</w:t>
            </w:r>
          </w:p>
        </w:tc>
        <w:tc>
          <w:tcPr>
            <w:tcW w:w="1015" w:type="pct"/>
            <w:vAlign w:val="center"/>
          </w:tcPr>
          <w:p w14:paraId="4613394F" w14:textId="77777777" w:rsidR="00177FBD" w:rsidRPr="00213F07" w:rsidRDefault="00177FBD" w:rsidP="00D0615F">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工具类型</w:t>
            </w:r>
          </w:p>
        </w:tc>
        <w:tc>
          <w:tcPr>
            <w:tcW w:w="894" w:type="pct"/>
            <w:vAlign w:val="center"/>
          </w:tcPr>
          <w:p w14:paraId="6A8A72A6"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普通股</w:t>
            </w:r>
          </w:p>
        </w:tc>
        <w:tc>
          <w:tcPr>
            <w:tcW w:w="967" w:type="pct"/>
            <w:vAlign w:val="center"/>
          </w:tcPr>
          <w:p w14:paraId="5C5D45A3"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可转换公司债券</w:t>
            </w:r>
          </w:p>
        </w:tc>
        <w:tc>
          <w:tcPr>
            <w:tcW w:w="978" w:type="pct"/>
            <w:vAlign w:val="center"/>
          </w:tcPr>
          <w:p w14:paraId="176B0945" w14:textId="11228936" w:rsidR="00177FBD" w:rsidRPr="00213F07" w:rsidRDefault="00C3131B" w:rsidP="00C3131B">
            <w:pPr>
              <w:jc w:val="center"/>
              <w:rPr>
                <w:rFonts w:ascii="Times New Roman" w:eastAsiaTheme="majorEastAsia" w:hAnsi="Times New Roman" w:cs="Times New Roman"/>
                <w:sz w:val="16"/>
                <w:szCs w:val="16"/>
              </w:rPr>
            </w:pPr>
            <w:r>
              <w:rPr>
                <w:rFonts w:ascii="Times New Roman" w:eastAsiaTheme="majorEastAsia" w:hAnsi="Times New Roman" w:cs="Times New Roman" w:hint="eastAsia"/>
                <w:sz w:val="16"/>
                <w:szCs w:val="16"/>
              </w:rPr>
              <w:t>无固定期限资本债券</w:t>
            </w:r>
          </w:p>
        </w:tc>
        <w:tc>
          <w:tcPr>
            <w:tcW w:w="880" w:type="pct"/>
            <w:vAlign w:val="center"/>
          </w:tcPr>
          <w:p w14:paraId="0145574F" w14:textId="38E3D4E4"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二级资本债券</w:t>
            </w:r>
          </w:p>
        </w:tc>
      </w:tr>
      <w:tr w:rsidR="00177FBD" w:rsidRPr="00213F07" w14:paraId="2750AEC8" w14:textId="77777777" w:rsidTr="00FF5808">
        <w:tc>
          <w:tcPr>
            <w:tcW w:w="266" w:type="pct"/>
            <w:vAlign w:val="center"/>
          </w:tcPr>
          <w:p w14:paraId="30FAE2F6"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8</w:t>
            </w:r>
          </w:p>
        </w:tc>
        <w:tc>
          <w:tcPr>
            <w:tcW w:w="1015" w:type="pct"/>
            <w:vAlign w:val="center"/>
          </w:tcPr>
          <w:p w14:paraId="23E1CD50" w14:textId="77777777" w:rsidR="00177FBD" w:rsidRPr="00213F07" w:rsidRDefault="00177FBD" w:rsidP="00D0615F">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可计入监管资本的数额</w:t>
            </w:r>
            <w:r w:rsidRPr="00213F07">
              <w:rPr>
                <w:rFonts w:ascii="Times New Roman" w:eastAsiaTheme="majorEastAsia" w:hAnsi="Times New Roman" w:cs="Times New Roman"/>
                <w:sz w:val="16"/>
                <w:szCs w:val="16"/>
              </w:rPr>
              <w:t>(</w:t>
            </w:r>
            <w:r w:rsidRPr="00213F07">
              <w:rPr>
                <w:rFonts w:ascii="Times New Roman" w:eastAsiaTheme="majorEastAsia" w:hAnsi="Times New Roman" w:cs="Times New Roman"/>
                <w:sz w:val="16"/>
                <w:szCs w:val="16"/>
              </w:rPr>
              <w:t>单位：万元，最近一期报告日</w:t>
            </w:r>
            <w:r w:rsidRPr="00213F07">
              <w:rPr>
                <w:rFonts w:ascii="Times New Roman" w:eastAsiaTheme="majorEastAsia" w:hAnsi="Times New Roman" w:cs="Times New Roman"/>
                <w:sz w:val="16"/>
                <w:szCs w:val="16"/>
              </w:rPr>
              <w:t>)</w:t>
            </w:r>
          </w:p>
        </w:tc>
        <w:tc>
          <w:tcPr>
            <w:tcW w:w="894" w:type="pct"/>
            <w:shd w:val="clear" w:color="auto" w:fill="auto"/>
            <w:vAlign w:val="center"/>
          </w:tcPr>
          <w:p w14:paraId="288E36A7" w14:textId="18A7D47F"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257,030.70</w:t>
            </w:r>
          </w:p>
        </w:tc>
        <w:tc>
          <w:tcPr>
            <w:tcW w:w="967" w:type="pct"/>
            <w:shd w:val="clear" w:color="auto" w:fill="auto"/>
            <w:vAlign w:val="center"/>
          </w:tcPr>
          <w:p w14:paraId="72D36E2B" w14:textId="4B8789A0" w:rsidR="00177FBD" w:rsidRPr="00213F07" w:rsidRDefault="00C3131B" w:rsidP="00C44EAF">
            <w:pPr>
              <w:jc w:val="center"/>
              <w:rPr>
                <w:rFonts w:ascii="Times New Roman" w:eastAsiaTheme="majorEastAsia" w:hAnsi="Times New Roman" w:cs="Times New Roman"/>
                <w:sz w:val="16"/>
                <w:szCs w:val="16"/>
              </w:rPr>
            </w:pPr>
            <w:r w:rsidRPr="00C3131B">
              <w:rPr>
                <w:rFonts w:ascii="Times New Roman" w:eastAsiaTheme="majorEastAsia" w:hAnsi="Times New Roman" w:cs="Times New Roman"/>
                <w:sz w:val="16"/>
                <w:szCs w:val="16"/>
              </w:rPr>
              <w:t>36</w:t>
            </w:r>
            <w:r>
              <w:rPr>
                <w:rFonts w:ascii="Times New Roman" w:eastAsiaTheme="majorEastAsia" w:hAnsi="Times New Roman" w:cs="Times New Roman"/>
                <w:sz w:val="16"/>
                <w:szCs w:val="16"/>
              </w:rPr>
              <w:t>,</w:t>
            </w:r>
            <w:r w:rsidRPr="00C3131B">
              <w:rPr>
                <w:rFonts w:ascii="Times New Roman" w:eastAsiaTheme="majorEastAsia" w:hAnsi="Times New Roman" w:cs="Times New Roman"/>
                <w:sz w:val="16"/>
                <w:szCs w:val="16"/>
              </w:rPr>
              <w:t>695</w:t>
            </w:r>
            <w:r>
              <w:rPr>
                <w:rFonts w:ascii="Times New Roman" w:eastAsiaTheme="majorEastAsia" w:hAnsi="Times New Roman" w:cs="Times New Roman" w:hint="eastAsia"/>
                <w:sz w:val="16"/>
                <w:szCs w:val="16"/>
              </w:rPr>
              <w:t>.</w:t>
            </w:r>
            <w:r w:rsidRPr="00C3131B">
              <w:rPr>
                <w:rFonts w:ascii="Times New Roman" w:eastAsiaTheme="majorEastAsia" w:hAnsi="Times New Roman" w:cs="Times New Roman"/>
                <w:sz w:val="16"/>
                <w:szCs w:val="16"/>
              </w:rPr>
              <w:t>63</w:t>
            </w:r>
          </w:p>
        </w:tc>
        <w:tc>
          <w:tcPr>
            <w:tcW w:w="978" w:type="pct"/>
            <w:vAlign w:val="center"/>
          </w:tcPr>
          <w:p w14:paraId="7F0CE942" w14:textId="21998FB9" w:rsidR="00177FBD" w:rsidRPr="00213F07" w:rsidRDefault="00C3131B" w:rsidP="00C3131B">
            <w:pPr>
              <w:jc w:val="center"/>
              <w:rPr>
                <w:rFonts w:ascii="Times New Roman" w:eastAsiaTheme="majorEastAsia" w:hAnsi="Times New Roman" w:cs="Times New Roman"/>
                <w:sz w:val="16"/>
                <w:szCs w:val="16"/>
              </w:rPr>
            </w:pPr>
            <w:r w:rsidRPr="00C3131B">
              <w:rPr>
                <w:rFonts w:ascii="Times New Roman" w:eastAsiaTheme="majorEastAsia" w:hAnsi="Times New Roman" w:cs="Times New Roman"/>
                <w:sz w:val="16"/>
                <w:szCs w:val="16"/>
              </w:rPr>
              <w:t>299,890.09</w:t>
            </w:r>
          </w:p>
        </w:tc>
        <w:tc>
          <w:tcPr>
            <w:tcW w:w="880" w:type="pct"/>
            <w:shd w:val="clear" w:color="auto" w:fill="auto"/>
            <w:vAlign w:val="center"/>
          </w:tcPr>
          <w:p w14:paraId="34366F18" w14:textId="5C862BC9" w:rsidR="00177FBD" w:rsidRPr="00213F07" w:rsidRDefault="00C3131B" w:rsidP="00C44EAF">
            <w:pPr>
              <w:jc w:val="center"/>
              <w:rPr>
                <w:rFonts w:ascii="Times New Roman" w:eastAsiaTheme="majorEastAsia" w:hAnsi="Times New Roman" w:cs="Times New Roman"/>
                <w:sz w:val="16"/>
                <w:szCs w:val="16"/>
              </w:rPr>
            </w:pPr>
            <w:r w:rsidRPr="00C3131B">
              <w:rPr>
                <w:rFonts w:ascii="Times New Roman" w:eastAsiaTheme="majorEastAsia" w:hAnsi="Times New Roman" w:cs="Times New Roman"/>
                <w:sz w:val="16"/>
                <w:szCs w:val="16"/>
              </w:rPr>
              <w:t>449</w:t>
            </w:r>
            <w:r>
              <w:rPr>
                <w:rFonts w:ascii="Times New Roman" w:eastAsiaTheme="majorEastAsia" w:hAnsi="Times New Roman" w:cs="Times New Roman"/>
                <w:sz w:val="16"/>
                <w:szCs w:val="16"/>
              </w:rPr>
              <w:t>,</w:t>
            </w:r>
            <w:r w:rsidRPr="00C3131B">
              <w:rPr>
                <w:rFonts w:ascii="Times New Roman" w:eastAsiaTheme="majorEastAsia" w:hAnsi="Times New Roman" w:cs="Times New Roman"/>
                <w:sz w:val="16"/>
                <w:szCs w:val="16"/>
              </w:rPr>
              <w:t>957.80</w:t>
            </w:r>
          </w:p>
        </w:tc>
      </w:tr>
      <w:tr w:rsidR="00177FBD" w:rsidRPr="00213F07" w14:paraId="11E15442" w14:textId="77777777" w:rsidTr="00FF5808">
        <w:tc>
          <w:tcPr>
            <w:tcW w:w="266" w:type="pct"/>
            <w:vAlign w:val="center"/>
          </w:tcPr>
          <w:p w14:paraId="5D4DF7EF"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9</w:t>
            </w:r>
          </w:p>
        </w:tc>
        <w:tc>
          <w:tcPr>
            <w:tcW w:w="1015" w:type="pct"/>
            <w:vAlign w:val="center"/>
          </w:tcPr>
          <w:p w14:paraId="132D7E65" w14:textId="77777777" w:rsidR="00177FBD" w:rsidRPr="00213F07" w:rsidRDefault="00177FBD" w:rsidP="00D0615F">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工具面值</w:t>
            </w:r>
            <w:r w:rsidRPr="00213F07">
              <w:rPr>
                <w:rFonts w:ascii="Times New Roman" w:eastAsiaTheme="majorEastAsia" w:hAnsi="Times New Roman" w:cs="Times New Roman"/>
                <w:sz w:val="16"/>
                <w:szCs w:val="16"/>
              </w:rPr>
              <w:t>(</w:t>
            </w:r>
            <w:r w:rsidRPr="00213F07">
              <w:rPr>
                <w:rFonts w:ascii="Times New Roman" w:eastAsiaTheme="majorEastAsia" w:hAnsi="Times New Roman" w:cs="Times New Roman"/>
                <w:sz w:val="16"/>
                <w:szCs w:val="16"/>
              </w:rPr>
              <w:t>单位为万</w:t>
            </w:r>
            <w:r w:rsidRPr="00213F07">
              <w:rPr>
                <w:rFonts w:ascii="Times New Roman" w:eastAsiaTheme="majorEastAsia" w:hAnsi="Times New Roman" w:cs="Times New Roman"/>
                <w:sz w:val="16"/>
                <w:szCs w:val="16"/>
              </w:rPr>
              <w:t>)</w:t>
            </w:r>
          </w:p>
        </w:tc>
        <w:tc>
          <w:tcPr>
            <w:tcW w:w="894" w:type="pct"/>
            <w:shd w:val="clear" w:color="auto" w:fill="auto"/>
            <w:vAlign w:val="center"/>
          </w:tcPr>
          <w:p w14:paraId="535691C0" w14:textId="45E7D7F5"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262,000.00</w:t>
            </w:r>
          </w:p>
        </w:tc>
        <w:tc>
          <w:tcPr>
            <w:tcW w:w="967" w:type="pct"/>
            <w:shd w:val="clear" w:color="auto" w:fill="auto"/>
            <w:vAlign w:val="center"/>
          </w:tcPr>
          <w:p w14:paraId="3B226145" w14:textId="133392E2"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500,000.00</w:t>
            </w:r>
          </w:p>
        </w:tc>
        <w:tc>
          <w:tcPr>
            <w:tcW w:w="978" w:type="pct"/>
          </w:tcPr>
          <w:p w14:paraId="7719F8A3" w14:textId="774B038E" w:rsidR="00177FBD" w:rsidRPr="00213F07" w:rsidRDefault="00C3131B" w:rsidP="00C44EAF">
            <w:pPr>
              <w:jc w:val="center"/>
              <w:rPr>
                <w:rFonts w:ascii="Times New Roman" w:eastAsiaTheme="majorEastAsia" w:hAnsi="Times New Roman" w:cs="Times New Roman"/>
                <w:sz w:val="16"/>
                <w:szCs w:val="16"/>
              </w:rPr>
            </w:pPr>
            <w:r>
              <w:rPr>
                <w:rFonts w:ascii="Times New Roman" w:eastAsiaTheme="majorEastAsia" w:hAnsi="Times New Roman" w:cs="Times New Roman" w:hint="eastAsia"/>
                <w:sz w:val="16"/>
                <w:szCs w:val="16"/>
              </w:rPr>
              <w:t>3</w:t>
            </w:r>
            <w:r>
              <w:rPr>
                <w:rFonts w:ascii="Times New Roman" w:eastAsiaTheme="majorEastAsia" w:hAnsi="Times New Roman" w:cs="Times New Roman"/>
                <w:sz w:val="16"/>
                <w:szCs w:val="16"/>
              </w:rPr>
              <w:t>00,000.00</w:t>
            </w:r>
          </w:p>
        </w:tc>
        <w:tc>
          <w:tcPr>
            <w:tcW w:w="880" w:type="pct"/>
            <w:shd w:val="clear" w:color="auto" w:fill="auto"/>
            <w:vAlign w:val="center"/>
          </w:tcPr>
          <w:p w14:paraId="30FA6AD6" w14:textId="2D5D8091"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450,000.00</w:t>
            </w:r>
          </w:p>
        </w:tc>
      </w:tr>
      <w:tr w:rsidR="00177FBD" w:rsidRPr="00213F07" w14:paraId="3CE31797" w14:textId="77777777" w:rsidTr="00FF5808">
        <w:tc>
          <w:tcPr>
            <w:tcW w:w="266" w:type="pct"/>
            <w:vAlign w:val="center"/>
          </w:tcPr>
          <w:p w14:paraId="0C6A2A84"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10</w:t>
            </w:r>
          </w:p>
        </w:tc>
        <w:tc>
          <w:tcPr>
            <w:tcW w:w="1015" w:type="pct"/>
            <w:vAlign w:val="center"/>
          </w:tcPr>
          <w:p w14:paraId="5FEDC8D1" w14:textId="77777777" w:rsidR="00177FBD" w:rsidRPr="00213F07" w:rsidRDefault="00177FBD" w:rsidP="00D0615F">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会计处理</w:t>
            </w:r>
          </w:p>
        </w:tc>
        <w:tc>
          <w:tcPr>
            <w:tcW w:w="894" w:type="pct"/>
            <w:vAlign w:val="center"/>
          </w:tcPr>
          <w:p w14:paraId="403DE2FA"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股本、资本公积</w:t>
            </w:r>
          </w:p>
        </w:tc>
        <w:tc>
          <w:tcPr>
            <w:tcW w:w="967" w:type="pct"/>
            <w:vAlign w:val="center"/>
          </w:tcPr>
          <w:p w14:paraId="21395DA0"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其他权益工具</w:t>
            </w:r>
          </w:p>
        </w:tc>
        <w:tc>
          <w:tcPr>
            <w:tcW w:w="978" w:type="pct"/>
          </w:tcPr>
          <w:p w14:paraId="3E9E3D57" w14:textId="52D29952" w:rsidR="00177FBD" w:rsidRPr="00213F07" w:rsidRDefault="00C3131B"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其他权益工具</w:t>
            </w:r>
          </w:p>
        </w:tc>
        <w:tc>
          <w:tcPr>
            <w:tcW w:w="880" w:type="pct"/>
            <w:vAlign w:val="center"/>
          </w:tcPr>
          <w:p w14:paraId="30C97D92" w14:textId="3A648DBC"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应付债券</w:t>
            </w:r>
          </w:p>
        </w:tc>
      </w:tr>
      <w:tr w:rsidR="00177FBD" w:rsidRPr="00213F07" w14:paraId="450E902A" w14:textId="77777777" w:rsidTr="00FF5808">
        <w:tc>
          <w:tcPr>
            <w:tcW w:w="266" w:type="pct"/>
            <w:vAlign w:val="center"/>
          </w:tcPr>
          <w:p w14:paraId="6F0CD59E"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11</w:t>
            </w:r>
          </w:p>
        </w:tc>
        <w:tc>
          <w:tcPr>
            <w:tcW w:w="1015" w:type="pct"/>
            <w:vAlign w:val="center"/>
          </w:tcPr>
          <w:p w14:paraId="5A6BFF77" w14:textId="77777777" w:rsidR="00177FBD" w:rsidRPr="00213F07" w:rsidRDefault="00177FBD" w:rsidP="00D0615F">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初始发行日</w:t>
            </w:r>
          </w:p>
        </w:tc>
        <w:tc>
          <w:tcPr>
            <w:tcW w:w="894" w:type="pct"/>
            <w:shd w:val="clear" w:color="auto" w:fill="auto"/>
            <w:vAlign w:val="center"/>
          </w:tcPr>
          <w:p w14:paraId="7C3455D0"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2019/7/18</w:t>
            </w:r>
          </w:p>
        </w:tc>
        <w:tc>
          <w:tcPr>
            <w:tcW w:w="967" w:type="pct"/>
            <w:vAlign w:val="center"/>
          </w:tcPr>
          <w:p w14:paraId="7ECD07BE"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2021/4/12</w:t>
            </w:r>
          </w:p>
        </w:tc>
        <w:tc>
          <w:tcPr>
            <w:tcW w:w="978" w:type="pct"/>
          </w:tcPr>
          <w:p w14:paraId="483408FA" w14:textId="4F4B3F94" w:rsidR="00177FBD" w:rsidRPr="00213F07" w:rsidRDefault="00C3131B" w:rsidP="00C44EAF">
            <w:pPr>
              <w:jc w:val="center"/>
              <w:rPr>
                <w:rFonts w:ascii="Times New Roman" w:eastAsiaTheme="majorEastAsia" w:hAnsi="Times New Roman" w:cs="Times New Roman"/>
                <w:sz w:val="16"/>
                <w:szCs w:val="16"/>
              </w:rPr>
            </w:pPr>
            <w:r w:rsidRPr="00CC3C4C">
              <w:rPr>
                <w:rFonts w:ascii="Times New Roman" w:eastAsiaTheme="majorEastAsia" w:hAnsi="Times New Roman" w:cs="Times New Roman"/>
                <w:sz w:val="16"/>
                <w:szCs w:val="16"/>
              </w:rPr>
              <w:t>2022/1/1</w:t>
            </w:r>
            <w:r w:rsidR="0002067E" w:rsidRPr="00CC3C4C">
              <w:rPr>
                <w:rFonts w:ascii="Times New Roman" w:eastAsiaTheme="majorEastAsia" w:hAnsi="Times New Roman" w:cs="Times New Roman"/>
                <w:sz w:val="16"/>
                <w:szCs w:val="16"/>
              </w:rPr>
              <w:t>7</w:t>
            </w:r>
            <w:bookmarkStart w:id="0" w:name="_GoBack"/>
            <w:bookmarkEnd w:id="0"/>
          </w:p>
        </w:tc>
        <w:tc>
          <w:tcPr>
            <w:tcW w:w="880" w:type="pct"/>
            <w:vAlign w:val="center"/>
          </w:tcPr>
          <w:p w14:paraId="1AAEF58B" w14:textId="57A3F67D"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2020/8/5</w:t>
            </w:r>
          </w:p>
        </w:tc>
      </w:tr>
      <w:tr w:rsidR="00177FBD" w:rsidRPr="00213F07" w14:paraId="76ADC763" w14:textId="77777777" w:rsidTr="00FF5808">
        <w:tc>
          <w:tcPr>
            <w:tcW w:w="266" w:type="pct"/>
            <w:vAlign w:val="center"/>
          </w:tcPr>
          <w:p w14:paraId="5ABD7DB6"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12</w:t>
            </w:r>
          </w:p>
        </w:tc>
        <w:tc>
          <w:tcPr>
            <w:tcW w:w="1015" w:type="pct"/>
            <w:vAlign w:val="center"/>
          </w:tcPr>
          <w:p w14:paraId="328CA2E2" w14:textId="77777777" w:rsidR="00177FBD" w:rsidRPr="00213F07" w:rsidRDefault="00177FBD" w:rsidP="00D0615F">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是否存在期限</w:t>
            </w:r>
            <w:r w:rsidRPr="00213F07">
              <w:rPr>
                <w:rFonts w:ascii="Times New Roman" w:eastAsiaTheme="majorEastAsia" w:hAnsi="Times New Roman" w:cs="Times New Roman"/>
                <w:sz w:val="16"/>
                <w:szCs w:val="16"/>
              </w:rPr>
              <w:t>(</w:t>
            </w:r>
            <w:r w:rsidRPr="00213F07">
              <w:rPr>
                <w:rFonts w:ascii="Times New Roman" w:eastAsiaTheme="majorEastAsia" w:hAnsi="Times New Roman" w:cs="Times New Roman"/>
                <w:sz w:val="16"/>
                <w:szCs w:val="16"/>
              </w:rPr>
              <w:t>存在期限或永续</w:t>
            </w:r>
            <w:r w:rsidRPr="00213F07">
              <w:rPr>
                <w:rFonts w:ascii="Times New Roman" w:eastAsiaTheme="majorEastAsia" w:hAnsi="Times New Roman" w:cs="Times New Roman"/>
                <w:sz w:val="16"/>
                <w:szCs w:val="16"/>
              </w:rPr>
              <w:t>)</w:t>
            </w:r>
          </w:p>
        </w:tc>
        <w:tc>
          <w:tcPr>
            <w:tcW w:w="894" w:type="pct"/>
            <w:vAlign w:val="center"/>
          </w:tcPr>
          <w:p w14:paraId="585183EE"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永续</w:t>
            </w:r>
          </w:p>
        </w:tc>
        <w:tc>
          <w:tcPr>
            <w:tcW w:w="967" w:type="pct"/>
            <w:vAlign w:val="center"/>
          </w:tcPr>
          <w:p w14:paraId="4A3F1468"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存在期限</w:t>
            </w:r>
          </w:p>
        </w:tc>
        <w:tc>
          <w:tcPr>
            <w:tcW w:w="978" w:type="pct"/>
            <w:vAlign w:val="center"/>
          </w:tcPr>
          <w:p w14:paraId="09B8BE6B" w14:textId="6DF8E05E" w:rsidR="00177FBD" w:rsidRPr="00213F07" w:rsidRDefault="00C3131B" w:rsidP="00C3131B">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永续</w:t>
            </w:r>
          </w:p>
        </w:tc>
        <w:tc>
          <w:tcPr>
            <w:tcW w:w="880" w:type="pct"/>
            <w:vAlign w:val="center"/>
          </w:tcPr>
          <w:p w14:paraId="70FEB68A" w14:textId="0F494A6C"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存在期限</w:t>
            </w:r>
          </w:p>
        </w:tc>
      </w:tr>
      <w:tr w:rsidR="00177FBD" w:rsidRPr="00213F07" w14:paraId="3D304CAC" w14:textId="77777777" w:rsidTr="00FF5808">
        <w:tc>
          <w:tcPr>
            <w:tcW w:w="266" w:type="pct"/>
            <w:vAlign w:val="center"/>
          </w:tcPr>
          <w:p w14:paraId="03C71987"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13</w:t>
            </w:r>
          </w:p>
        </w:tc>
        <w:tc>
          <w:tcPr>
            <w:tcW w:w="1015" w:type="pct"/>
            <w:vAlign w:val="center"/>
          </w:tcPr>
          <w:p w14:paraId="082B0D90" w14:textId="77777777" w:rsidR="00177FBD" w:rsidRPr="00213F07" w:rsidRDefault="00177FBD" w:rsidP="00D0615F">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其中：原到期日</w:t>
            </w:r>
          </w:p>
        </w:tc>
        <w:tc>
          <w:tcPr>
            <w:tcW w:w="894" w:type="pct"/>
            <w:vAlign w:val="center"/>
          </w:tcPr>
          <w:p w14:paraId="76B405A8"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无到期日</w:t>
            </w:r>
          </w:p>
        </w:tc>
        <w:tc>
          <w:tcPr>
            <w:tcW w:w="967" w:type="pct"/>
            <w:vAlign w:val="center"/>
          </w:tcPr>
          <w:p w14:paraId="7349EEA5"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2027/4/11</w:t>
            </w:r>
          </w:p>
        </w:tc>
        <w:tc>
          <w:tcPr>
            <w:tcW w:w="978" w:type="pct"/>
          </w:tcPr>
          <w:p w14:paraId="03D09EF6" w14:textId="219E66E3" w:rsidR="00177FBD" w:rsidRPr="00213F07" w:rsidRDefault="00C3131B"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无到期日</w:t>
            </w:r>
          </w:p>
        </w:tc>
        <w:tc>
          <w:tcPr>
            <w:tcW w:w="880" w:type="pct"/>
            <w:shd w:val="clear" w:color="auto" w:fill="auto"/>
            <w:vAlign w:val="center"/>
          </w:tcPr>
          <w:p w14:paraId="76553071" w14:textId="0F6DD6A8"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2030/8/7</w:t>
            </w:r>
          </w:p>
        </w:tc>
      </w:tr>
      <w:tr w:rsidR="00177FBD" w:rsidRPr="00213F07" w14:paraId="673AC072" w14:textId="77777777" w:rsidTr="00FF5808">
        <w:tc>
          <w:tcPr>
            <w:tcW w:w="266" w:type="pct"/>
            <w:vAlign w:val="center"/>
          </w:tcPr>
          <w:p w14:paraId="00FA3270"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14</w:t>
            </w:r>
          </w:p>
        </w:tc>
        <w:tc>
          <w:tcPr>
            <w:tcW w:w="1015" w:type="pct"/>
            <w:vAlign w:val="center"/>
          </w:tcPr>
          <w:p w14:paraId="196D9EE6" w14:textId="77777777" w:rsidR="00177FBD" w:rsidRPr="00213F07" w:rsidRDefault="00177FBD" w:rsidP="00D0615F">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发行人赎回</w:t>
            </w:r>
            <w:r w:rsidRPr="00213F07">
              <w:rPr>
                <w:rFonts w:ascii="Times New Roman" w:eastAsiaTheme="majorEastAsia" w:hAnsi="Times New Roman" w:cs="Times New Roman"/>
                <w:sz w:val="16"/>
                <w:szCs w:val="16"/>
              </w:rPr>
              <w:t>(</w:t>
            </w:r>
            <w:r w:rsidRPr="00213F07">
              <w:rPr>
                <w:rFonts w:ascii="Times New Roman" w:eastAsiaTheme="majorEastAsia" w:hAnsi="Times New Roman" w:cs="Times New Roman"/>
                <w:sz w:val="16"/>
                <w:szCs w:val="16"/>
              </w:rPr>
              <w:t>须经监管审批</w:t>
            </w:r>
            <w:r w:rsidRPr="00213F07">
              <w:rPr>
                <w:rFonts w:ascii="Times New Roman" w:eastAsiaTheme="majorEastAsia" w:hAnsi="Times New Roman" w:cs="Times New Roman"/>
                <w:sz w:val="16"/>
                <w:szCs w:val="16"/>
              </w:rPr>
              <w:t>)</w:t>
            </w:r>
          </w:p>
        </w:tc>
        <w:tc>
          <w:tcPr>
            <w:tcW w:w="894" w:type="pct"/>
            <w:shd w:val="clear" w:color="auto" w:fill="auto"/>
            <w:vAlign w:val="center"/>
          </w:tcPr>
          <w:p w14:paraId="1D75977A"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c>
          <w:tcPr>
            <w:tcW w:w="967" w:type="pct"/>
            <w:shd w:val="clear" w:color="auto" w:fill="auto"/>
            <w:vAlign w:val="center"/>
          </w:tcPr>
          <w:p w14:paraId="4340F1F5"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是</w:t>
            </w:r>
          </w:p>
        </w:tc>
        <w:tc>
          <w:tcPr>
            <w:tcW w:w="978" w:type="pct"/>
            <w:vAlign w:val="center"/>
          </w:tcPr>
          <w:p w14:paraId="3C4B764A" w14:textId="54744566" w:rsidR="00177FBD" w:rsidRPr="00213F07" w:rsidRDefault="00C3131B" w:rsidP="00C3131B">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是</w:t>
            </w:r>
          </w:p>
        </w:tc>
        <w:tc>
          <w:tcPr>
            <w:tcW w:w="880" w:type="pct"/>
            <w:shd w:val="clear" w:color="auto" w:fill="auto"/>
            <w:vAlign w:val="center"/>
          </w:tcPr>
          <w:p w14:paraId="2D8F22E7" w14:textId="756EF21F"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是</w:t>
            </w:r>
          </w:p>
        </w:tc>
      </w:tr>
      <w:tr w:rsidR="00177FBD" w:rsidRPr="00213F07" w14:paraId="0D0FC084" w14:textId="77777777" w:rsidTr="00FF5808">
        <w:tc>
          <w:tcPr>
            <w:tcW w:w="266" w:type="pct"/>
            <w:vAlign w:val="center"/>
          </w:tcPr>
          <w:p w14:paraId="53F5CF06"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15</w:t>
            </w:r>
          </w:p>
        </w:tc>
        <w:tc>
          <w:tcPr>
            <w:tcW w:w="1015" w:type="pct"/>
            <w:vAlign w:val="center"/>
          </w:tcPr>
          <w:p w14:paraId="1813EB74" w14:textId="77777777" w:rsidR="00177FBD" w:rsidRPr="00213F07" w:rsidRDefault="00177FBD" w:rsidP="00D0615F">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其中：赎回日期</w:t>
            </w:r>
            <w:r w:rsidRPr="00213F07">
              <w:rPr>
                <w:rFonts w:ascii="Times New Roman" w:eastAsiaTheme="majorEastAsia" w:hAnsi="Times New Roman" w:cs="Times New Roman"/>
                <w:sz w:val="16"/>
                <w:szCs w:val="16"/>
              </w:rPr>
              <w:t>(</w:t>
            </w:r>
            <w:r w:rsidRPr="00213F07">
              <w:rPr>
                <w:rFonts w:ascii="Times New Roman" w:eastAsiaTheme="majorEastAsia" w:hAnsi="Times New Roman" w:cs="Times New Roman"/>
                <w:sz w:val="16"/>
                <w:szCs w:val="16"/>
              </w:rPr>
              <w:t>或有时间赎回日期</w:t>
            </w:r>
            <w:r w:rsidRPr="00213F07">
              <w:rPr>
                <w:rFonts w:ascii="Times New Roman" w:eastAsiaTheme="majorEastAsia" w:hAnsi="Times New Roman" w:cs="Times New Roman"/>
                <w:sz w:val="16"/>
                <w:szCs w:val="16"/>
              </w:rPr>
              <w:t>)</w:t>
            </w:r>
            <w:r w:rsidRPr="00213F07">
              <w:rPr>
                <w:rFonts w:ascii="Times New Roman" w:eastAsiaTheme="majorEastAsia" w:hAnsi="Times New Roman" w:cs="Times New Roman"/>
                <w:sz w:val="16"/>
                <w:szCs w:val="16"/>
              </w:rPr>
              <w:t>及额度</w:t>
            </w:r>
          </w:p>
        </w:tc>
        <w:tc>
          <w:tcPr>
            <w:tcW w:w="894" w:type="pct"/>
            <w:vAlign w:val="center"/>
          </w:tcPr>
          <w:p w14:paraId="4F3C858D"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c>
          <w:tcPr>
            <w:tcW w:w="967" w:type="pct"/>
            <w:shd w:val="clear" w:color="auto" w:fill="auto"/>
            <w:vAlign w:val="center"/>
          </w:tcPr>
          <w:p w14:paraId="5FDC45D7"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自</w:t>
            </w:r>
            <w:r w:rsidRPr="00213F07">
              <w:rPr>
                <w:rFonts w:ascii="Times New Roman" w:eastAsiaTheme="majorEastAsia" w:hAnsi="Times New Roman" w:cs="Times New Roman"/>
                <w:sz w:val="16"/>
                <w:szCs w:val="16"/>
              </w:rPr>
              <w:t>2021/10/18</w:t>
            </w:r>
            <w:r w:rsidRPr="00213F07">
              <w:rPr>
                <w:rFonts w:ascii="Times New Roman" w:eastAsiaTheme="majorEastAsia" w:hAnsi="Times New Roman" w:cs="Times New Roman"/>
                <w:sz w:val="16"/>
                <w:szCs w:val="16"/>
              </w:rPr>
              <w:t>起有条件赎回，全额或部分</w:t>
            </w:r>
          </w:p>
        </w:tc>
        <w:tc>
          <w:tcPr>
            <w:tcW w:w="978" w:type="pct"/>
          </w:tcPr>
          <w:p w14:paraId="1673F0EB" w14:textId="7FC49091" w:rsidR="00177FBD" w:rsidRPr="00213F07" w:rsidRDefault="00051D21" w:rsidP="00C44EAF">
            <w:pPr>
              <w:jc w:val="center"/>
              <w:rPr>
                <w:rFonts w:ascii="Times New Roman" w:eastAsiaTheme="majorEastAsia" w:hAnsi="Times New Roman" w:cs="Times New Roman"/>
                <w:sz w:val="16"/>
                <w:szCs w:val="16"/>
              </w:rPr>
            </w:pPr>
            <w:r w:rsidRPr="00051D21">
              <w:rPr>
                <w:rFonts w:ascii="Times New Roman" w:eastAsiaTheme="majorEastAsia" w:hAnsi="Times New Roman" w:cs="Times New Roman" w:hint="eastAsia"/>
                <w:sz w:val="16"/>
                <w:szCs w:val="16"/>
              </w:rPr>
              <w:t>自发行之日起</w:t>
            </w:r>
            <w:r w:rsidRPr="00051D21">
              <w:rPr>
                <w:rFonts w:ascii="Times New Roman" w:eastAsiaTheme="majorEastAsia" w:hAnsi="Times New Roman" w:cs="Times New Roman" w:hint="eastAsia"/>
                <w:sz w:val="16"/>
                <w:szCs w:val="16"/>
              </w:rPr>
              <w:t>5</w:t>
            </w:r>
            <w:r w:rsidRPr="00051D21">
              <w:rPr>
                <w:rFonts w:ascii="Times New Roman" w:eastAsiaTheme="majorEastAsia" w:hAnsi="Times New Roman" w:cs="Times New Roman" w:hint="eastAsia"/>
                <w:sz w:val="16"/>
                <w:szCs w:val="16"/>
              </w:rPr>
              <w:t>年后</w:t>
            </w:r>
            <w:r>
              <w:rPr>
                <w:rFonts w:ascii="Times New Roman" w:eastAsiaTheme="majorEastAsia" w:hAnsi="Times New Roman" w:cs="Times New Roman" w:hint="eastAsia"/>
                <w:sz w:val="16"/>
                <w:szCs w:val="16"/>
              </w:rPr>
              <w:t>，</w:t>
            </w:r>
            <w:r w:rsidRPr="00051D21">
              <w:rPr>
                <w:rFonts w:ascii="Times New Roman" w:eastAsiaTheme="majorEastAsia" w:hAnsi="Times New Roman" w:cs="Times New Roman" w:hint="eastAsia"/>
                <w:sz w:val="16"/>
                <w:szCs w:val="16"/>
              </w:rPr>
              <w:t>有条件赎回，全额或部分</w:t>
            </w:r>
          </w:p>
        </w:tc>
        <w:tc>
          <w:tcPr>
            <w:tcW w:w="880" w:type="pct"/>
            <w:shd w:val="clear" w:color="auto" w:fill="auto"/>
            <w:vAlign w:val="center"/>
          </w:tcPr>
          <w:p w14:paraId="20703E38" w14:textId="3605C56F"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2025/8/7</w:t>
            </w:r>
            <w:r w:rsidRPr="00213F07">
              <w:rPr>
                <w:rFonts w:ascii="Times New Roman" w:eastAsiaTheme="majorEastAsia" w:hAnsi="Times New Roman" w:cs="Times New Roman"/>
                <w:sz w:val="16"/>
                <w:szCs w:val="16"/>
              </w:rPr>
              <w:t>，全额</w:t>
            </w:r>
          </w:p>
        </w:tc>
      </w:tr>
      <w:tr w:rsidR="00177FBD" w:rsidRPr="00213F07" w14:paraId="13359945" w14:textId="77777777" w:rsidTr="00FF5808">
        <w:tc>
          <w:tcPr>
            <w:tcW w:w="266" w:type="pct"/>
            <w:vAlign w:val="center"/>
          </w:tcPr>
          <w:p w14:paraId="30593716"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16</w:t>
            </w:r>
          </w:p>
        </w:tc>
        <w:tc>
          <w:tcPr>
            <w:tcW w:w="1015" w:type="pct"/>
            <w:vAlign w:val="center"/>
          </w:tcPr>
          <w:p w14:paraId="69A30422" w14:textId="77777777" w:rsidR="00177FBD" w:rsidRPr="00213F07" w:rsidRDefault="00177FBD" w:rsidP="00D0615F">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其中：后续赎回日期</w:t>
            </w:r>
            <w:r w:rsidRPr="00213F07">
              <w:rPr>
                <w:rFonts w:ascii="Times New Roman" w:eastAsiaTheme="majorEastAsia" w:hAnsi="Times New Roman" w:cs="Times New Roman"/>
                <w:sz w:val="16"/>
                <w:szCs w:val="16"/>
              </w:rPr>
              <w:t>(</w:t>
            </w:r>
            <w:r w:rsidRPr="00213F07">
              <w:rPr>
                <w:rFonts w:ascii="Times New Roman" w:eastAsiaTheme="majorEastAsia" w:hAnsi="Times New Roman" w:cs="Times New Roman"/>
                <w:sz w:val="16"/>
                <w:szCs w:val="16"/>
              </w:rPr>
              <w:t>如果有</w:t>
            </w:r>
            <w:r w:rsidRPr="00213F07">
              <w:rPr>
                <w:rFonts w:ascii="Times New Roman" w:eastAsiaTheme="majorEastAsia" w:hAnsi="Times New Roman" w:cs="Times New Roman"/>
                <w:sz w:val="16"/>
                <w:szCs w:val="16"/>
              </w:rPr>
              <w:t>)</w:t>
            </w:r>
          </w:p>
        </w:tc>
        <w:tc>
          <w:tcPr>
            <w:tcW w:w="894" w:type="pct"/>
            <w:vAlign w:val="center"/>
          </w:tcPr>
          <w:p w14:paraId="2DE26E95"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c>
          <w:tcPr>
            <w:tcW w:w="967" w:type="pct"/>
            <w:shd w:val="clear" w:color="auto" w:fill="auto"/>
            <w:vAlign w:val="center"/>
          </w:tcPr>
          <w:p w14:paraId="62B928FD"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2021</w:t>
            </w:r>
            <w:r w:rsidRPr="00213F07">
              <w:rPr>
                <w:rFonts w:ascii="Times New Roman" w:eastAsiaTheme="majorEastAsia" w:hAnsi="Times New Roman" w:cs="Times New Roman"/>
                <w:sz w:val="16"/>
                <w:szCs w:val="16"/>
              </w:rPr>
              <w:t>年</w:t>
            </w:r>
            <w:r w:rsidRPr="00213F07">
              <w:rPr>
                <w:rFonts w:ascii="Times New Roman" w:eastAsiaTheme="majorEastAsia" w:hAnsi="Times New Roman" w:cs="Times New Roman"/>
                <w:sz w:val="16"/>
                <w:szCs w:val="16"/>
              </w:rPr>
              <w:t>10</w:t>
            </w:r>
            <w:r w:rsidRPr="00213F07">
              <w:rPr>
                <w:rFonts w:ascii="Times New Roman" w:eastAsiaTheme="majorEastAsia" w:hAnsi="Times New Roman" w:cs="Times New Roman"/>
                <w:sz w:val="16"/>
                <w:szCs w:val="16"/>
              </w:rPr>
              <w:t>月</w:t>
            </w:r>
            <w:r w:rsidRPr="00213F07">
              <w:rPr>
                <w:rFonts w:ascii="Times New Roman" w:eastAsiaTheme="majorEastAsia" w:hAnsi="Times New Roman" w:cs="Times New Roman"/>
                <w:sz w:val="16"/>
                <w:szCs w:val="16"/>
              </w:rPr>
              <w:t>18</w:t>
            </w:r>
            <w:r w:rsidRPr="00213F07">
              <w:rPr>
                <w:rFonts w:ascii="Times New Roman" w:eastAsiaTheme="majorEastAsia" w:hAnsi="Times New Roman" w:cs="Times New Roman"/>
                <w:sz w:val="16"/>
                <w:szCs w:val="16"/>
              </w:rPr>
              <w:t>日起至</w:t>
            </w:r>
            <w:r w:rsidRPr="00213F07">
              <w:rPr>
                <w:rFonts w:ascii="Times New Roman" w:eastAsiaTheme="majorEastAsia" w:hAnsi="Times New Roman" w:cs="Times New Roman"/>
                <w:sz w:val="16"/>
                <w:szCs w:val="16"/>
              </w:rPr>
              <w:t>2027</w:t>
            </w:r>
            <w:r w:rsidRPr="00213F07">
              <w:rPr>
                <w:rFonts w:ascii="Times New Roman" w:eastAsiaTheme="majorEastAsia" w:hAnsi="Times New Roman" w:cs="Times New Roman"/>
                <w:sz w:val="16"/>
                <w:szCs w:val="16"/>
              </w:rPr>
              <w:t>年</w:t>
            </w:r>
            <w:r w:rsidRPr="00213F07">
              <w:rPr>
                <w:rFonts w:ascii="Times New Roman" w:eastAsiaTheme="majorEastAsia" w:hAnsi="Times New Roman" w:cs="Times New Roman"/>
                <w:sz w:val="16"/>
                <w:szCs w:val="16"/>
              </w:rPr>
              <w:t>4</w:t>
            </w:r>
            <w:r w:rsidRPr="00213F07">
              <w:rPr>
                <w:rFonts w:ascii="Times New Roman" w:eastAsiaTheme="majorEastAsia" w:hAnsi="Times New Roman" w:cs="Times New Roman"/>
                <w:sz w:val="16"/>
                <w:szCs w:val="16"/>
              </w:rPr>
              <w:t>月</w:t>
            </w:r>
            <w:r w:rsidRPr="00213F07">
              <w:rPr>
                <w:rFonts w:ascii="Times New Roman" w:eastAsiaTheme="majorEastAsia" w:hAnsi="Times New Roman" w:cs="Times New Roman"/>
                <w:sz w:val="16"/>
                <w:szCs w:val="16"/>
              </w:rPr>
              <w:t>11</w:t>
            </w:r>
            <w:r w:rsidRPr="00213F07">
              <w:rPr>
                <w:rFonts w:ascii="Times New Roman" w:eastAsiaTheme="majorEastAsia" w:hAnsi="Times New Roman" w:cs="Times New Roman"/>
                <w:sz w:val="16"/>
                <w:szCs w:val="16"/>
              </w:rPr>
              <w:t>日</w:t>
            </w:r>
          </w:p>
        </w:tc>
        <w:tc>
          <w:tcPr>
            <w:tcW w:w="978" w:type="pct"/>
            <w:vAlign w:val="center"/>
          </w:tcPr>
          <w:p w14:paraId="634EF412" w14:textId="6C4CEFC7" w:rsidR="00177FBD"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c>
          <w:tcPr>
            <w:tcW w:w="880" w:type="pct"/>
            <w:vAlign w:val="center"/>
          </w:tcPr>
          <w:p w14:paraId="74664A19" w14:textId="78EE26AF"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r>
      <w:tr w:rsidR="00177FBD" w:rsidRPr="00213F07" w14:paraId="245BC7D9" w14:textId="77777777" w:rsidTr="00FF5808">
        <w:tc>
          <w:tcPr>
            <w:tcW w:w="266" w:type="pct"/>
            <w:vAlign w:val="center"/>
          </w:tcPr>
          <w:p w14:paraId="0A45AD08" w14:textId="77777777" w:rsidR="00177FBD" w:rsidRPr="00213F07" w:rsidRDefault="00177FBD" w:rsidP="00C44EAF">
            <w:pPr>
              <w:jc w:val="center"/>
              <w:rPr>
                <w:rFonts w:ascii="Times New Roman" w:eastAsiaTheme="majorEastAsia" w:hAnsi="Times New Roman" w:cs="Times New Roman"/>
                <w:sz w:val="16"/>
                <w:szCs w:val="16"/>
              </w:rPr>
            </w:pPr>
          </w:p>
        </w:tc>
        <w:tc>
          <w:tcPr>
            <w:tcW w:w="1015" w:type="pct"/>
            <w:vAlign w:val="center"/>
          </w:tcPr>
          <w:p w14:paraId="2E0BD1E4" w14:textId="77777777" w:rsidR="00177FBD" w:rsidRPr="00213F07" w:rsidRDefault="00177FBD" w:rsidP="00D0615F">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分红或派息</w:t>
            </w:r>
          </w:p>
        </w:tc>
        <w:tc>
          <w:tcPr>
            <w:tcW w:w="894" w:type="pct"/>
            <w:vAlign w:val="center"/>
          </w:tcPr>
          <w:p w14:paraId="167FE455" w14:textId="77777777" w:rsidR="00177FBD" w:rsidRPr="00213F07" w:rsidRDefault="00177FBD" w:rsidP="00C44EAF">
            <w:pPr>
              <w:jc w:val="center"/>
              <w:rPr>
                <w:rFonts w:ascii="Times New Roman" w:eastAsiaTheme="majorEastAsia" w:hAnsi="Times New Roman" w:cs="Times New Roman"/>
                <w:sz w:val="16"/>
                <w:szCs w:val="16"/>
              </w:rPr>
            </w:pPr>
          </w:p>
        </w:tc>
        <w:tc>
          <w:tcPr>
            <w:tcW w:w="967" w:type="pct"/>
            <w:vAlign w:val="center"/>
          </w:tcPr>
          <w:p w14:paraId="436755D0" w14:textId="77777777" w:rsidR="00177FBD" w:rsidRPr="00213F07" w:rsidRDefault="00177FBD" w:rsidP="00C44EAF">
            <w:pPr>
              <w:jc w:val="center"/>
              <w:rPr>
                <w:rFonts w:ascii="Times New Roman" w:eastAsiaTheme="majorEastAsia" w:hAnsi="Times New Roman" w:cs="Times New Roman"/>
                <w:sz w:val="16"/>
                <w:szCs w:val="16"/>
              </w:rPr>
            </w:pPr>
          </w:p>
        </w:tc>
        <w:tc>
          <w:tcPr>
            <w:tcW w:w="978" w:type="pct"/>
          </w:tcPr>
          <w:p w14:paraId="0DC1C9E1" w14:textId="77777777" w:rsidR="00177FBD" w:rsidRPr="00213F07" w:rsidRDefault="00177FBD" w:rsidP="00C44EAF">
            <w:pPr>
              <w:jc w:val="center"/>
              <w:rPr>
                <w:rFonts w:ascii="Times New Roman" w:eastAsiaTheme="majorEastAsia" w:hAnsi="Times New Roman" w:cs="Times New Roman"/>
                <w:sz w:val="16"/>
                <w:szCs w:val="16"/>
              </w:rPr>
            </w:pPr>
          </w:p>
        </w:tc>
        <w:tc>
          <w:tcPr>
            <w:tcW w:w="880" w:type="pct"/>
            <w:vAlign w:val="center"/>
          </w:tcPr>
          <w:p w14:paraId="6E53EA98" w14:textId="66F630FA" w:rsidR="00177FBD" w:rsidRPr="00213F07" w:rsidRDefault="00177FBD" w:rsidP="00C44EAF">
            <w:pPr>
              <w:jc w:val="center"/>
              <w:rPr>
                <w:rFonts w:ascii="Times New Roman" w:eastAsiaTheme="majorEastAsia" w:hAnsi="Times New Roman" w:cs="Times New Roman"/>
                <w:sz w:val="16"/>
                <w:szCs w:val="16"/>
              </w:rPr>
            </w:pPr>
          </w:p>
        </w:tc>
      </w:tr>
      <w:tr w:rsidR="00177FBD" w:rsidRPr="00213F07" w14:paraId="6E882087" w14:textId="77777777" w:rsidTr="00FF5808">
        <w:tc>
          <w:tcPr>
            <w:tcW w:w="266" w:type="pct"/>
            <w:vAlign w:val="center"/>
          </w:tcPr>
          <w:p w14:paraId="700EA8C5"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17</w:t>
            </w:r>
          </w:p>
        </w:tc>
        <w:tc>
          <w:tcPr>
            <w:tcW w:w="1015" w:type="pct"/>
            <w:vAlign w:val="center"/>
          </w:tcPr>
          <w:p w14:paraId="7D6D7EB4" w14:textId="77777777" w:rsidR="00177FBD" w:rsidRPr="00213F07" w:rsidRDefault="00177FBD" w:rsidP="00D0615F">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其中：固定或浮动派息</w:t>
            </w:r>
            <w:r w:rsidRPr="00213F07">
              <w:rPr>
                <w:rFonts w:ascii="Times New Roman" w:eastAsiaTheme="majorEastAsia" w:hAnsi="Times New Roman" w:cs="Times New Roman"/>
                <w:sz w:val="16"/>
                <w:szCs w:val="16"/>
              </w:rPr>
              <w:t>/</w:t>
            </w:r>
            <w:r w:rsidRPr="00213F07">
              <w:rPr>
                <w:rFonts w:ascii="Times New Roman" w:eastAsiaTheme="majorEastAsia" w:hAnsi="Times New Roman" w:cs="Times New Roman"/>
                <w:sz w:val="16"/>
                <w:szCs w:val="16"/>
              </w:rPr>
              <w:t>分红</w:t>
            </w:r>
          </w:p>
        </w:tc>
        <w:tc>
          <w:tcPr>
            <w:tcW w:w="894" w:type="pct"/>
            <w:vAlign w:val="center"/>
          </w:tcPr>
          <w:p w14:paraId="6CA2CA61"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浮动</w:t>
            </w:r>
          </w:p>
        </w:tc>
        <w:tc>
          <w:tcPr>
            <w:tcW w:w="967" w:type="pct"/>
            <w:shd w:val="clear" w:color="auto" w:fill="auto"/>
            <w:vAlign w:val="center"/>
          </w:tcPr>
          <w:p w14:paraId="3C3AE958"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固定</w:t>
            </w:r>
          </w:p>
        </w:tc>
        <w:tc>
          <w:tcPr>
            <w:tcW w:w="978" w:type="pct"/>
            <w:vAlign w:val="center"/>
          </w:tcPr>
          <w:p w14:paraId="351D771E" w14:textId="1DC6A8F7" w:rsidR="00177FBD" w:rsidRPr="00213F07" w:rsidRDefault="00051D21" w:rsidP="00051D21">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浮动</w:t>
            </w:r>
          </w:p>
        </w:tc>
        <w:tc>
          <w:tcPr>
            <w:tcW w:w="880" w:type="pct"/>
            <w:vAlign w:val="center"/>
          </w:tcPr>
          <w:p w14:paraId="3B16A36B" w14:textId="5E6A7528"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固定</w:t>
            </w:r>
          </w:p>
        </w:tc>
      </w:tr>
      <w:tr w:rsidR="00177FBD" w:rsidRPr="00213F07" w14:paraId="39DCE0A6" w14:textId="77777777" w:rsidTr="00FF5808">
        <w:tc>
          <w:tcPr>
            <w:tcW w:w="266" w:type="pct"/>
            <w:vAlign w:val="center"/>
          </w:tcPr>
          <w:p w14:paraId="7754C104"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18</w:t>
            </w:r>
          </w:p>
        </w:tc>
        <w:tc>
          <w:tcPr>
            <w:tcW w:w="1015" w:type="pct"/>
            <w:vAlign w:val="center"/>
          </w:tcPr>
          <w:p w14:paraId="097DBEE7" w14:textId="77777777" w:rsidR="00177FBD" w:rsidRPr="00213F07" w:rsidRDefault="00177FBD" w:rsidP="00D0615F">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其中：票面利率及相关指标</w:t>
            </w:r>
          </w:p>
        </w:tc>
        <w:tc>
          <w:tcPr>
            <w:tcW w:w="894" w:type="pct"/>
            <w:vAlign w:val="center"/>
          </w:tcPr>
          <w:p w14:paraId="38114E8E"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c>
          <w:tcPr>
            <w:tcW w:w="967" w:type="pct"/>
            <w:shd w:val="clear" w:color="auto" w:fill="auto"/>
            <w:vAlign w:val="center"/>
          </w:tcPr>
          <w:p w14:paraId="0AFF5EA1" w14:textId="1AC89F15" w:rsidR="00177FBD" w:rsidRPr="00213F07" w:rsidRDefault="00177FBD" w:rsidP="00D0615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20210412-20220411</w:t>
            </w:r>
            <w:r w:rsidRPr="00213F07">
              <w:rPr>
                <w:rFonts w:ascii="Times New Roman" w:eastAsiaTheme="majorEastAsia" w:hAnsi="Times New Roman" w:cs="Times New Roman"/>
                <w:sz w:val="16"/>
                <w:szCs w:val="16"/>
              </w:rPr>
              <w:t>，票面利率：</w:t>
            </w:r>
            <w:r w:rsidRPr="00213F07">
              <w:rPr>
                <w:rFonts w:ascii="Times New Roman" w:eastAsiaTheme="majorEastAsia" w:hAnsi="Times New Roman" w:cs="Times New Roman"/>
                <w:sz w:val="16"/>
                <w:szCs w:val="16"/>
              </w:rPr>
              <w:t>0.2%</w:t>
            </w:r>
            <w:r w:rsidRPr="00213F07">
              <w:rPr>
                <w:rFonts w:ascii="Times New Roman" w:eastAsiaTheme="majorEastAsia" w:hAnsi="Times New Roman" w:cs="Times New Roman"/>
                <w:sz w:val="16"/>
                <w:szCs w:val="16"/>
              </w:rPr>
              <w:t>；</w:t>
            </w:r>
            <w:r w:rsidRPr="00213F07">
              <w:rPr>
                <w:rFonts w:ascii="Times New Roman" w:eastAsiaTheme="majorEastAsia" w:hAnsi="Times New Roman" w:cs="Times New Roman"/>
                <w:sz w:val="16"/>
                <w:szCs w:val="16"/>
              </w:rPr>
              <w:t>20220412-20230411</w:t>
            </w:r>
            <w:r w:rsidRPr="00213F07">
              <w:rPr>
                <w:rFonts w:ascii="Times New Roman" w:eastAsiaTheme="majorEastAsia" w:hAnsi="Times New Roman" w:cs="Times New Roman"/>
                <w:sz w:val="16"/>
                <w:szCs w:val="16"/>
              </w:rPr>
              <w:t>，票面利率：</w:t>
            </w:r>
            <w:r w:rsidRPr="00213F07">
              <w:rPr>
                <w:rFonts w:ascii="Times New Roman" w:eastAsiaTheme="majorEastAsia" w:hAnsi="Times New Roman" w:cs="Times New Roman"/>
                <w:sz w:val="16"/>
                <w:szCs w:val="16"/>
              </w:rPr>
              <w:t>0.4%</w:t>
            </w:r>
            <w:r w:rsidRPr="00213F07">
              <w:rPr>
                <w:rFonts w:ascii="Times New Roman" w:eastAsiaTheme="majorEastAsia" w:hAnsi="Times New Roman" w:cs="Times New Roman"/>
                <w:sz w:val="16"/>
                <w:szCs w:val="16"/>
              </w:rPr>
              <w:t>；</w:t>
            </w:r>
            <w:r w:rsidRPr="00213F07">
              <w:rPr>
                <w:rFonts w:ascii="Times New Roman" w:eastAsiaTheme="majorEastAsia" w:hAnsi="Times New Roman" w:cs="Times New Roman"/>
                <w:sz w:val="16"/>
                <w:szCs w:val="16"/>
              </w:rPr>
              <w:t>20230412-20240411</w:t>
            </w:r>
            <w:r w:rsidRPr="00213F07">
              <w:rPr>
                <w:rFonts w:ascii="Times New Roman" w:eastAsiaTheme="majorEastAsia" w:hAnsi="Times New Roman" w:cs="Times New Roman"/>
                <w:sz w:val="16"/>
                <w:szCs w:val="16"/>
              </w:rPr>
              <w:t>，票面利率：</w:t>
            </w:r>
            <w:r w:rsidRPr="00213F07">
              <w:rPr>
                <w:rFonts w:ascii="Times New Roman" w:eastAsiaTheme="majorEastAsia" w:hAnsi="Times New Roman" w:cs="Times New Roman"/>
                <w:sz w:val="16"/>
                <w:szCs w:val="16"/>
              </w:rPr>
              <w:t>1.0%</w:t>
            </w:r>
            <w:r w:rsidRPr="00213F07">
              <w:rPr>
                <w:rFonts w:ascii="Times New Roman" w:eastAsiaTheme="majorEastAsia" w:hAnsi="Times New Roman" w:cs="Times New Roman"/>
                <w:sz w:val="16"/>
                <w:szCs w:val="16"/>
              </w:rPr>
              <w:t>；</w:t>
            </w:r>
            <w:r w:rsidRPr="00213F07">
              <w:rPr>
                <w:rFonts w:ascii="Times New Roman" w:eastAsiaTheme="majorEastAsia" w:hAnsi="Times New Roman" w:cs="Times New Roman"/>
                <w:sz w:val="16"/>
                <w:szCs w:val="16"/>
              </w:rPr>
              <w:lastRenderedPageBreak/>
              <w:t>20240412-20250411</w:t>
            </w:r>
            <w:r w:rsidRPr="00213F07">
              <w:rPr>
                <w:rFonts w:ascii="Times New Roman" w:eastAsiaTheme="majorEastAsia" w:hAnsi="Times New Roman" w:cs="Times New Roman"/>
                <w:sz w:val="16"/>
                <w:szCs w:val="16"/>
              </w:rPr>
              <w:t>，票面利率：</w:t>
            </w:r>
            <w:r w:rsidRPr="00213F07">
              <w:rPr>
                <w:rFonts w:ascii="Times New Roman" w:eastAsiaTheme="majorEastAsia" w:hAnsi="Times New Roman" w:cs="Times New Roman"/>
                <w:sz w:val="16"/>
                <w:szCs w:val="16"/>
              </w:rPr>
              <w:t>1.5%</w:t>
            </w:r>
            <w:r w:rsidRPr="00213F07">
              <w:rPr>
                <w:rFonts w:ascii="Times New Roman" w:eastAsiaTheme="majorEastAsia" w:hAnsi="Times New Roman" w:cs="Times New Roman"/>
                <w:sz w:val="16"/>
                <w:szCs w:val="16"/>
              </w:rPr>
              <w:t>；</w:t>
            </w:r>
            <w:r w:rsidRPr="00213F07">
              <w:rPr>
                <w:rFonts w:ascii="Times New Roman" w:eastAsiaTheme="majorEastAsia" w:hAnsi="Times New Roman" w:cs="Times New Roman"/>
                <w:sz w:val="16"/>
                <w:szCs w:val="16"/>
              </w:rPr>
              <w:t>20250412-20260411</w:t>
            </w:r>
            <w:r w:rsidRPr="00213F07">
              <w:rPr>
                <w:rFonts w:ascii="Times New Roman" w:eastAsiaTheme="majorEastAsia" w:hAnsi="Times New Roman" w:cs="Times New Roman"/>
                <w:sz w:val="16"/>
                <w:szCs w:val="16"/>
              </w:rPr>
              <w:t>，票面利率：</w:t>
            </w:r>
            <w:r w:rsidRPr="00213F07">
              <w:rPr>
                <w:rFonts w:ascii="Times New Roman" w:eastAsiaTheme="majorEastAsia" w:hAnsi="Times New Roman" w:cs="Times New Roman"/>
                <w:sz w:val="16"/>
                <w:szCs w:val="16"/>
              </w:rPr>
              <w:t>2.0%</w:t>
            </w:r>
            <w:r w:rsidRPr="00213F07">
              <w:rPr>
                <w:rFonts w:ascii="Times New Roman" w:eastAsiaTheme="majorEastAsia" w:hAnsi="Times New Roman" w:cs="Times New Roman"/>
                <w:sz w:val="16"/>
                <w:szCs w:val="16"/>
              </w:rPr>
              <w:t>；</w:t>
            </w:r>
            <w:r w:rsidRPr="00213F07">
              <w:rPr>
                <w:rFonts w:ascii="Times New Roman" w:eastAsiaTheme="majorEastAsia" w:hAnsi="Times New Roman" w:cs="Times New Roman"/>
                <w:sz w:val="16"/>
                <w:szCs w:val="16"/>
              </w:rPr>
              <w:t>20260412-20270411</w:t>
            </w:r>
            <w:r w:rsidRPr="00213F07">
              <w:rPr>
                <w:rFonts w:ascii="Times New Roman" w:eastAsiaTheme="majorEastAsia" w:hAnsi="Times New Roman" w:cs="Times New Roman"/>
                <w:sz w:val="16"/>
                <w:szCs w:val="16"/>
              </w:rPr>
              <w:t>，票面利率：</w:t>
            </w:r>
            <w:r w:rsidRPr="00213F07">
              <w:rPr>
                <w:rFonts w:ascii="Times New Roman" w:eastAsiaTheme="majorEastAsia" w:hAnsi="Times New Roman" w:cs="Times New Roman"/>
                <w:sz w:val="16"/>
                <w:szCs w:val="16"/>
              </w:rPr>
              <w:t>2.5%</w:t>
            </w:r>
          </w:p>
        </w:tc>
        <w:tc>
          <w:tcPr>
            <w:tcW w:w="978" w:type="pct"/>
            <w:vAlign w:val="center"/>
          </w:tcPr>
          <w:p w14:paraId="40EE120F" w14:textId="07D13C0A" w:rsidR="00177FBD" w:rsidRPr="00213F07" w:rsidRDefault="00051D21" w:rsidP="00051D21">
            <w:pPr>
              <w:jc w:val="center"/>
              <w:rPr>
                <w:rFonts w:ascii="Times New Roman" w:eastAsiaTheme="majorEastAsia" w:hAnsi="Times New Roman" w:cs="Times New Roman"/>
                <w:sz w:val="16"/>
                <w:szCs w:val="16"/>
              </w:rPr>
            </w:pPr>
            <w:r>
              <w:rPr>
                <w:rFonts w:ascii="Times New Roman" w:eastAsiaTheme="majorEastAsia" w:hAnsi="Times New Roman" w:cs="Times New Roman" w:hint="eastAsia"/>
                <w:sz w:val="16"/>
                <w:szCs w:val="16"/>
              </w:rPr>
              <w:lastRenderedPageBreak/>
              <w:t>票面利率：</w:t>
            </w:r>
            <w:r>
              <w:rPr>
                <w:rFonts w:ascii="Times New Roman" w:eastAsiaTheme="majorEastAsia" w:hAnsi="Times New Roman" w:cs="Times New Roman" w:hint="eastAsia"/>
                <w:sz w:val="16"/>
                <w:szCs w:val="16"/>
              </w:rPr>
              <w:t>3</w:t>
            </w:r>
            <w:r>
              <w:rPr>
                <w:rFonts w:ascii="Times New Roman" w:eastAsiaTheme="majorEastAsia" w:hAnsi="Times New Roman" w:cs="Times New Roman"/>
                <w:sz w:val="16"/>
                <w:szCs w:val="16"/>
              </w:rPr>
              <w:t>.8%</w:t>
            </w:r>
            <w:r w:rsidR="00FF5808">
              <w:rPr>
                <w:rFonts w:ascii="Times New Roman" w:eastAsiaTheme="majorEastAsia" w:hAnsi="Times New Roman" w:cs="Times New Roman" w:hint="eastAsia"/>
                <w:sz w:val="16"/>
                <w:szCs w:val="16"/>
              </w:rPr>
              <w:t>，每五年调整一次，</w:t>
            </w:r>
            <w:r w:rsidR="00FF5808" w:rsidRPr="00FF5808">
              <w:rPr>
                <w:rFonts w:ascii="Times New Roman" w:eastAsiaTheme="majorEastAsia" w:hAnsi="Times New Roman" w:cs="Times New Roman" w:hint="eastAsia"/>
                <w:sz w:val="16"/>
                <w:szCs w:val="16"/>
              </w:rPr>
              <w:t>根据基准利率调整日的基准利率加发行定价时所确定的固定利差得出</w:t>
            </w:r>
          </w:p>
        </w:tc>
        <w:tc>
          <w:tcPr>
            <w:tcW w:w="880" w:type="pct"/>
            <w:vAlign w:val="center"/>
          </w:tcPr>
          <w:p w14:paraId="01DDED15" w14:textId="466F8FD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4.62%</w:t>
            </w:r>
          </w:p>
        </w:tc>
      </w:tr>
      <w:tr w:rsidR="00177FBD" w:rsidRPr="00213F07" w14:paraId="1022FF2E" w14:textId="77777777" w:rsidTr="00FF5808">
        <w:tc>
          <w:tcPr>
            <w:tcW w:w="266" w:type="pct"/>
            <w:vAlign w:val="center"/>
          </w:tcPr>
          <w:p w14:paraId="69A3059D"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lastRenderedPageBreak/>
              <w:t>19</w:t>
            </w:r>
          </w:p>
        </w:tc>
        <w:tc>
          <w:tcPr>
            <w:tcW w:w="1015" w:type="pct"/>
            <w:vAlign w:val="center"/>
          </w:tcPr>
          <w:p w14:paraId="2E1B498E" w14:textId="77777777" w:rsidR="00177FBD" w:rsidRPr="00213F07" w:rsidRDefault="00177FBD" w:rsidP="00D0615F">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其中：是否存在股息制动机制</w:t>
            </w:r>
          </w:p>
        </w:tc>
        <w:tc>
          <w:tcPr>
            <w:tcW w:w="894" w:type="pct"/>
            <w:shd w:val="clear" w:color="auto" w:fill="auto"/>
            <w:vAlign w:val="center"/>
          </w:tcPr>
          <w:p w14:paraId="67E1872E"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c>
          <w:tcPr>
            <w:tcW w:w="967" w:type="pct"/>
            <w:shd w:val="clear" w:color="auto" w:fill="auto"/>
            <w:vAlign w:val="center"/>
          </w:tcPr>
          <w:p w14:paraId="520BCB33"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否</w:t>
            </w:r>
          </w:p>
        </w:tc>
        <w:tc>
          <w:tcPr>
            <w:tcW w:w="978" w:type="pct"/>
            <w:vAlign w:val="center"/>
          </w:tcPr>
          <w:p w14:paraId="570D7BBF" w14:textId="049E2B16" w:rsidR="00177FBD"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否</w:t>
            </w:r>
          </w:p>
        </w:tc>
        <w:tc>
          <w:tcPr>
            <w:tcW w:w="880" w:type="pct"/>
            <w:shd w:val="clear" w:color="auto" w:fill="auto"/>
            <w:vAlign w:val="center"/>
          </w:tcPr>
          <w:p w14:paraId="297F350D" w14:textId="083792F5"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否</w:t>
            </w:r>
          </w:p>
        </w:tc>
      </w:tr>
      <w:tr w:rsidR="00177FBD" w:rsidRPr="00213F07" w14:paraId="36871D86" w14:textId="77777777" w:rsidTr="00FF5808">
        <w:tc>
          <w:tcPr>
            <w:tcW w:w="266" w:type="pct"/>
            <w:vAlign w:val="center"/>
          </w:tcPr>
          <w:p w14:paraId="29A437D1"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20</w:t>
            </w:r>
          </w:p>
        </w:tc>
        <w:tc>
          <w:tcPr>
            <w:tcW w:w="1015" w:type="pct"/>
            <w:vAlign w:val="center"/>
          </w:tcPr>
          <w:p w14:paraId="1BFE17EE" w14:textId="77777777" w:rsidR="00177FBD" w:rsidRPr="00213F07" w:rsidRDefault="00177FBD" w:rsidP="00D0615F">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其中：是否可自主取消分红或派息</w:t>
            </w:r>
          </w:p>
        </w:tc>
        <w:tc>
          <w:tcPr>
            <w:tcW w:w="894" w:type="pct"/>
            <w:shd w:val="clear" w:color="auto" w:fill="auto"/>
            <w:vAlign w:val="center"/>
          </w:tcPr>
          <w:p w14:paraId="7DE8D87A"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完全自由裁量</w:t>
            </w:r>
          </w:p>
        </w:tc>
        <w:tc>
          <w:tcPr>
            <w:tcW w:w="967" w:type="pct"/>
            <w:shd w:val="clear" w:color="auto" w:fill="auto"/>
            <w:vAlign w:val="center"/>
          </w:tcPr>
          <w:p w14:paraId="68C5CA69"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转股前：股息制动机制；转股后：完全自由裁量权</w:t>
            </w:r>
          </w:p>
        </w:tc>
        <w:tc>
          <w:tcPr>
            <w:tcW w:w="978" w:type="pct"/>
            <w:vAlign w:val="center"/>
          </w:tcPr>
          <w:p w14:paraId="35D6EFD8" w14:textId="17B8368D" w:rsidR="00177FBD"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完全自由裁量</w:t>
            </w:r>
          </w:p>
        </w:tc>
        <w:tc>
          <w:tcPr>
            <w:tcW w:w="880" w:type="pct"/>
            <w:shd w:val="clear" w:color="auto" w:fill="auto"/>
            <w:vAlign w:val="center"/>
          </w:tcPr>
          <w:p w14:paraId="06F3155C" w14:textId="3B5137D0"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否</w:t>
            </w:r>
          </w:p>
        </w:tc>
      </w:tr>
      <w:tr w:rsidR="00177FBD" w:rsidRPr="00213F07" w14:paraId="306612EF" w14:textId="77777777" w:rsidTr="00FF5808">
        <w:tc>
          <w:tcPr>
            <w:tcW w:w="266" w:type="pct"/>
            <w:vAlign w:val="center"/>
          </w:tcPr>
          <w:p w14:paraId="788472DF"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21</w:t>
            </w:r>
          </w:p>
        </w:tc>
        <w:tc>
          <w:tcPr>
            <w:tcW w:w="1015" w:type="pct"/>
            <w:vAlign w:val="center"/>
          </w:tcPr>
          <w:p w14:paraId="0C37C303" w14:textId="77777777" w:rsidR="00177FBD" w:rsidRPr="00213F07" w:rsidRDefault="00177FBD" w:rsidP="00D0615F">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其中：是否有赎回激励机制</w:t>
            </w:r>
          </w:p>
        </w:tc>
        <w:tc>
          <w:tcPr>
            <w:tcW w:w="894" w:type="pct"/>
            <w:shd w:val="clear" w:color="auto" w:fill="auto"/>
            <w:vAlign w:val="center"/>
          </w:tcPr>
          <w:p w14:paraId="5240F014"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否</w:t>
            </w:r>
          </w:p>
        </w:tc>
        <w:tc>
          <w:tcPr>
            <w:tcW w:w="967" w:type="pct"/>
            <w:shd w:val="clear" w:color="auto" w:fill="auto"/>
            <w:vAlign w:val="center"/>
          </w:tcPr>
          <w:p w14:paraId="20470CA1"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否</w:t>
            </w:r>
          </w:p>
        </w:tc>
        <w:tc>
          <w:tcPr>
            <w:tcW w:w="978" w:type="pct"/>
            <w:vAlign w:val="center"/>
          </w:tcPr>
          <w:p w14:paraId="73FF7EE8" w14:textId="2FCD30AB" w:rsidR="00177FBD"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否</w:t>
            </w:r>
          </w:p>
        </w:tc>
        <w:tc>
          <w:tcPr>
            <w:tcW w:w="880" w:type="pct"/>
            <w:shd w:val="clear" w:color="auto" w:fill="auto"/>
            <w:vAlign w:val="center"/>
          </w:tcPr>
          <w:p w14:paraId="60BC3C67" w14:textId="11BBFDAD"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否</w:t>
            </w:r>
          </w:p>
        </w:tc>
      </w:tr>
      <w:tr w:rsidR="00177FBD" w:rsidRPr="00213F07" w14:paraId="011DE0CC" w14:textId="77777777" w:rsidTr="00FF5808">
        <w:tc>
          <w:tcPr>
            <w:tcW w:w="266" w:type="pct"/>
            <w:vAlign w:val="center"/>
          </w:tcPr>
          <w:p w14:paraId="56F13AA8"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22</w:t>
            </w:r>
          </w:p>
        </w:tc>
        <w:tc>
          <w:tcPr>
            <w:tcW w:w="1015" w:type="pct"/>
            <w:vAlign w:val="center"/>
          </w:tcPr>
          <w:p w14:paraId="7F642514" w14:textId="77777777" w:rsidR="00177FBD" w:rsidRPr="00213F07" w:rsidRDefault="00177FBD" w:rsidP="00D0615F">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其中：累计或非累计</w:t>
            </w:r>
          </w:p>
        </w:tc>
        <w:tc>
          <w:tcPr>
            <w:tcW w:w="894" w:type="pct"/>
            <w:shd w:val="clear" w:color="auto" w:fill="auto"/>
            <w:vAlign w:val="center"/>
          </w:tcPr>
          <w:p w14:paraId="3FEF7F9B"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非累计</w:t>
            </w:r>
          </w:p>
        </w:tc>
        <w:tc>
          <w:tcPr>
            <w:tcW w:w="967" w:type="pct"/>
            <w:shd w:val="clear" w:color="auto" w:fill="auto"/>
            <w:vAlign w:val="center"/>
          </w:tcPr>
          <w:p w14:paraId="61FF2337" w14:textId="68D2386A"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非累计</w:t>
            </w:r>
          </w:p>
        </w:tc>
        <w:tc>
          <w:tcPr>
            <w:tcW w:w="978" w:type="pct"/>
            <w:vAlign w:val="center"/>
          </w:tcPr>
          <w:p w14:paraId="458B2751" w14:textId="26EFD951" w:rsidR="00177FBD"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非累计</w:t>
            </w:r>
          </w:p>
        </w:tc>
        <w:tc>
          <w:tcPr>
            <w:tcW w:w="880" w:type="pct"/>
            <w:shd w:val="clear" w:color="auto" w:fill="auto"/>
            <w:vAlign w:val="center"/>
          </w:tcPr>
          <w:p w14:paraId="13F6E0E1" w14:textId="2BB478CD"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r>
      <w:tr w:rsidR="00177FBD" w:rsidRPr="00213F07" w14:paraId="493EB66B" w14:textId="77777777" w:rsidTr="00FF5808">
        <w:tc>
          <w:tcPr>
            <w:tcW w:w="266" w:type="pct"/>
            <w:vAlign w:val="center"/>
          </w:tcPr>
          <w:p w14:paraId="7245A967"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23</w:t>
            </w:r>
          </w:p>
        </w:tc>
        <w:tc>
          <w:tcPr>
            <w:tcW w:w="1015" w:type="pct"/>
            <w:vAlign w:val="center"/>
          </w:tcPr>
          <w:p w14:paraId="7580D691" w14:textId="77777777" w:rsidR="00177FBD" w:rsidRPr="00213F07" w:rsidRDefault="00177FBD" w:rsidP="00D0615F">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是否可转股</w:t>
            </w:r>
          </w:p>
        </w:tc>
        <w:tc>
          <w:tcPr>
            <w:tcW w:w="894" w:type="pct"/>
            <w:vAlign w:val="center"/>
          </w:tcPr>
          <w:p w14:paraId="6AB471AF"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否</w:t>
            </w:r>
          </w:p>
        </w:tc>
        <w:tc>
          <w:tcPr>
            <w:tcW w:w="967" w:type="pct"/>
            <w:vAlign w:val="center"/>
          </w:tcPr>
          <w:p w14:paraId="277A2DE7"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是</w:t>
            </w:r>
          </w:p>
        </w:tc>
        <w:tc>
          <w:tcPr>
            <w:tcW w:w="978" w:type="pct"/>
            <w:vAlign w:val="center"/>
          </w:tcPr>
          <w:p w14:paraId="15054A10" w14:textId="47B80139" w:rsidR="00177FBD"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否</w:t>
            </w:r>
          </w:p>
        </w:tc>
        <w:tc>
          <w:tcPr>
            <w:tcW w:w="880" w:type="pct"/>
            <w:vAlign w:val="center"/>
          </w:tcPr>
          <w:p w14:paraId="153FBCE7" w14:textId="067015E9"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否</w:t>
            </w:r>
          </w:p>
        </w:tc>
      </w:tr>
      <w:tr w:rsidR="00177FBD" w:rsidRPr="00213F07" w14:paraId="09610A92" w14:textId="77777777" w:rsidTr="00FF5808">
        <w:tc>
          <w:tcPr>
            <w:tcW w:w="266" w:type="pct"/>
            <w:vAlign w:val="center"/>
          </w:tcPr>
          <w:p w14:paraId="05E9122C"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24</w:t>
            </w:r>
          </w:p>
        </w:tc>
        <w:tc>
          <w:tcPr>
            <w:tcW w:w="1015" w:type="pct"/>
            <w:vAlign w:val="center"/>
          </w:tcPr>
          <w:p w14:paraId="596AD9A8" w14:textId="77777777" w:rsidR="00177FBD" w:rsidRPr="00213F07" w:rsidRDefault="00177FBD" w:rsidP="00D0615F">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其中：若可转股，则说明转换触发条件</w:t>
            </w:r>
          </w:p>
        </w:tc>
        <w:tc>
          <w:tcPr>
            <w:tcW w:w="894" w:type="pct"/>
            <w:shd w:val="clear" w:color="auto" w:fill="auto"/>
            <w:vAlign w:val="center"/>
          </w:tcPr>
          <w:p w14:paraId="732CDA4B"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c>
          <w:tcPr>
            <w:tcW w:w="967" w:type="pct"/>
            <w:shd w:val="clear" w:color="auto" w:fill="auto"/>
            <w:vAlign w:val="center"/>
          </w:tcPr>
          <w:p w14:paraId="1ABF6E67"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债券持有人自由裁量</w:t>
            </w:r>
          </w:p>
        </w:tc>
        <w:tc>
          <w:tcPr>
            <w:tcW w:w="978" w:type="pct"/>
            <w:vAlign w:val="center"/>
          </w:tcPr>
          <w:p w14:paraId="4DD66340" w14:textId="129A8EF5" w:rsidR="00177FBD"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c>
          <w:tcPr>
            <w:tcW w:w="880" w:type="pct"/>
            <w:shd w:val="clear" w:color="auto" w:fill="auto"/>
            <w:vAlign w:val="center"/>
          </w:tcPr>
          <w:p w14:paraId="3CFB2256" w14:textId="06F7070E"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r>
      <w:tr w:rsidR="00177FBD" w:rsidRPr="00213F07" w14:paraId="6F079FFB" w14:textId="77777777" w:rsidTr="00FF5808">
        <w:tc>
          <w:tcPr>
            <w:tcW w:w="266" w:type="pct"/>
            <w:vAlign w:val="center"/>
          </w:tcPr>
          <w:p w14:paraId="6ADF47E5"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25</w:t>
            </w:r>
          </w:p>
        </w:tc>
        <w:tc>
          <w:tcPr>
            <w:tcW w:w="1015" w:type="pct"/>
            <w:vAlign w:val="center"/>
          </w:tcPr>
          <w:p w14:paraId="12D619A0" w14:textId="77777777" w:rsidR="00177FBD" w:rsidRPr="00213F07" w:rsidRDefault="00177FBD" w:rsidP="00D0615F">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其中：若可转股，则说明全部转股还是部分转股</w:t>
            </w:r>
          </w:p>
        </w:tc>
        <w:tc>
          <w:tcPr>
            <w:tcW w:w="894" w:type="pct"/>
            <w:vAlign w:val="center"/>
          </w:tcPr>
          <w:p w14:paraId="3AA1C54C"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c>
          <w:tcPr>
            <w:tcW w:w="967" w:type="pct"/>
            <w:shd w:val="clear" w:color="auto" w:fill="auto"/>
            <w:vAlign w:val="center"/>
          </w:tcPr>
          <w:p w14:paraId="6B1ADAF6"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全部可转股</w:t>
            </w:r>
          </w:p>
        </w:tc>
        <w:tc>
          <w:tcPr>
            <w:tcW w:w="978" w:type="pct"/>
            <w:vAlign w:val="center"/>
          </w:tcPr>
          <w:p w14:paraId="091D23E2" w14:textId="14BBC837" w:rsidR="00177FBD"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c>
          <w:tcPr>
            <w:tcW w:w="880" w:type="pct"/>
            <w:vAlign w:val="center"/>
          </w:tcPr>
          <w:p w14:paraId="004EEDDB" w14:textId="34AA6CCF"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r>
      <w:tr w:rsidR="00177FBD" w:rsidRPr="00213F07" w14:paraId="25FDB37B" w14:textId="77777777" w:rsidTr="00FF5808">
        <w:tc>
          <w:tcPr>
            <w:tcW w:w="266" w:type="pct"/>
            <w:vAlign w:val="center"/>
          </w:tcPr>
          <w:p w14:paraId="12914D95"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26</w:t>
            </w:r>
          </w:p>
        </w:tc>
        <w:tc>
          <w:tcPr>
            <w:tcW w:w="1015" w:type="pct"/>
            <w:vAlign w:val="center"/>
          </w:tcPr>
          <w:p w14:paraId="6B5A167B" w14:textId="77777777" w:rsidR="00177FBD" w:rsidRPr="00213F07" w:rsidRDefault="00177FBD" w:rsidP="00D0615F">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其中：若可转股，则说明转换价格确定方式</w:t>
            </w:r>
          </w:p>
        </w:tc>
        <w:tc>
          <w:tcPr>
            <w:tcW w:w="894" w:type="pct"/>
            <w:vAlign w:val="center"/>
          </w:tcPr>
          <w:p w14:paraId="7A1D6637"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c>
          <w:tcPr>
            <w:tcW w:w="967" w:type="pct"/>
            <w:shd w:val="clear" w:color="auto" w:fill="auto"/>
            <w:vAlign w:val="center"/>
          </w:tcPr>
          <w:p w14:paraId="54E73DCC"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约定初始转换价格</w:t>
            </w:r>
            <w:r w:rsidRPr="00213F07">
              <w:rPr>
                <w:rFonts w:ascii="Times New Roman" w:eastAsiaTheme="majorEastAsia" w:hAnsi="Times New Roman" w:cs="Times New Roman"/>
                <w:sz w:val="16"/>
                <w:szCs w:val="16"/>
              </w:rPr>
              <w:t>8.34</w:t>
            </w:r>
            <w:r w:rsidRPr="00213F07">
              <w:rPr>
                <w:rFonts w:ascii="Times New Roman" w:eastAsiaTheme="majorEastAsia" w:hAnsi="Times New Roman" w:cs="Times New Roman"/>
                <w:sz w:val="16"/>
                <w:szCs w:val="16"/>
              </w:rPr>
              <w:t>元</w:t>
            </w:r>
            <w:r w:rsidRPr="00213F07">
              <w:rPr>
                <w:rFonts w:ascii="Times New Roman" w:eastAsiaTheme="majorEastAsia" w:hAnsi="Times New Roman" w:cs="Times New Roman"/>
                <w:sz w:val="16"/>
                <w:szCs w:val="16"/>
              </w:rPr>
              <w:t>/</w:t>
            </w:r>
            <w:r w:rsidRPr="00213F07">
              <w:rPr>
                <w:rFonts w:ascii="Times New Roman" w:eastAsiaTheme="majorEastAsia" w:hAnsi="Times New Roman" w:cs="Times New Roman"/>
                <w:sz w:val="16"/>
                <w:szCs w:val="16"/>
              </w:rPr>
              <w:t>股；不低于募集说明书公告之日前二十个交易日本行</w:t>
            </w:r>
            <w:r w:rsidRPr="00213F07">
              <w:rPr>
                <w:rFonts w:ascii="Times New Roman" w:eastAsiaTheme="majorEastAsia" w:hAnsi="Times New Roman" w:cs="Times New Roman"/>
                <w:sz w:val="16"/>
                <w:szCs w:val="16"/>
              </w:rPr>
              <w:t>A</w:t>
            </w:r>
            <w:r w:rsidRPr="00213F07">
              <w:rPr>
                <w:rFonts w:ascii="Times New Roman" w:eastAsiaTheme="majorEastAsia" w:hAnsi="Times New Roman" w:cs="Times New Roman"/>
                <w:sz w:val="16"/>
                <w:szCs w:val="16"/>
              </w:rPr>
              <w:t>股股票交易均价（若在该二十个交易日内发生过因除权、除息引起股价调整的情形，则对调整前交易日的交易价按经过相应除权、除息调整后的价格计算）和前一个交易日本行</w:t>
            </w:r>
            <w:r w:rsidRPr="00213F07">
              <w:rPr>
                <w:rFonts w:ascii="Times New Roman" w:eastAsiaTheme="majorEastAsia" w:hAnsi="Times New Roman" w:cs="Times New Roman"/>
                <w:sz w:val="16"/>
                <w:szCs w:val="16"/>
              </w:rPr>
              <w:t>A</w:t>
            </w:r>
            <w:r w:rsidRPr="00213F07">
              <w:rPr>
                <w:rFonts w:ascii="Times New Roman" w:eastAsiaTheme="majorEastAsia" w:hAnsi="Times New Roman" w:cs="Times New Roman"/>
                <w:sz w:val="16"/>
                <w:szCs w:val="16"/>
              </w:rPr>
              <w:t>股股票交易均价，以及最近一期经审计的每股净资产和股票面值。</w:t>
            </w:r>
          </w:p>
          <w:p w14:paraId="463A91A7"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在本次发行之后，当本行出现因派送股票股利、转增股本、增发新股或配股等情况（不包括因本次发行的可转债转股而增加的股本）使本行股份发生变化或派送现金</w:t>
            </w:r>
            <w:r w:rsidRPr="00213F07">
              <w:rPr>
                <w:rFonts w:ascii="Times New Roman" w:eastAsiaTheme="majorEastAsia" w:hAnsi="Times New Roman" w:cs="Times New Roman"/>
                <w:sz w:val="16"/>
                <w:szCs w:val="16"/>
              </w:rPr>
              <w:lastRenderedPageBreak/>
              <w:t>股利时将按照约定公式进行调整。</w:t>
            </w:r>
          </w:p>
        </w:tc>
        <w:tc>
          <w:tcPr>
            <w:tcW w:w="978" w:type="pct"/>
            <w:vAlign w:val="center"/>
          </w:tcPr>
          <w:p w14:paraId="2D8FF8D3" w14:textId="1036AE0F" w:rsidR="00177FBD"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lastRenderedPageBreak/>
              <w:t>不适用</w:t>
            </w:r>
          </w:p>
        </w:tc>
        <w:tc>
          <w:tcPr>
            <w:tcW w:w="880" w:type="pct"/>
            <w:vAlign w:val="center"/>
          </w:tcPr>
          <w:p w14:paraId="4FF285A4" w14:textId="3DF6510B"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r>
      <w:tr w:rsidR="00177FBD" w:rsidRPr="00213F07" w14:paraId="0C12FA26" w14:textId="77777777" w:rsidTr="00FF5808">
        <w:tc>
          <w:tcPr>
            <w:tcW w:w="266" w:type="pct"/>
            <w:vAlign w:val="center"/>
          </w:tcPr>
          <w:p w14:paraId="10DB336D"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lastRenderedPageBreak/>
              <w:t>27</w:t>
            </w:r>
          </w:p>
        </w:tc>
        <w:tc>
          <w:tcPr>
            <w:tcW w:w="1015" w:type="pct"/>
            <w:vAlign w:val="center"/>
          </w:tcPr>
          <w:p w14:paraId="4450A9D9" w14:textId="77777777" w:rsidR="00177FBD" w:rsidRPr="00213F07" w:rsidRDefault="00177FBD" w:rsidP="00D0615F">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其中：若可转股，则说明是否为强制性转换</w:t>
            </w:r>
          </w:p>
        </w:tc>
        <w:tc>
          <w:tcPr>
            <w:tcW w:w="894" w:type="pct"/>
            <w:vAlign w:val="center"/>
          </w:tcPr>
          <w:p w14:paraId="6590CE16"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c>
          <w:tcPr>
            <w:tcW w:w="967" w:type="pct"/>
            <w:shd w:val="clear" w:color="auto" w:fill="auto"/>
            <w:vAlign w:val="center"/>
          </w:tcPr>
          <w:p w14:paraId="7F3EFD2D" w14:textId="77777777"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非强制性</w:t>
            </w:r>
          </w:p>
        </w:tc>
        <w:tc>
          <w:tcPr>
            <w:tcW w:w="978" w:type="pct"/>
            <w:vAlign w:val="center"/>
          </w:tcPr>
          <w:p w14:paraId="2B5BAD68" w14:textId="66DEDC50" w:rsidR="00177FBD"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c>
          <w:tcPr>
            <w:tcW w:w="880" w:type="pct"/>
            <w:vAlign w:val="center"/>
          </w:tcPr>
          <w:p w14:paraId="2E83A9B9" w14:textId="07498ABA" w:rsidR="00177FBD" w:rsidRPr="00213F07" w:rsidRDefault="00177FBD" w:rsidP="00C44EAF">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r>
      <w:tr w:rsidR="00FF5808" w:rsidRPr="00213F07" w14:paraId="27B805E5" w14:textId="77777777" w:rsidTr="00FF5808">
        <w:tc>
          <w:tcPr>
            <w:tcW w:w="266" w:type="pct"/>
            <w:vAlign w:val="center"/>
          </w:tcPr>
          <w:p w14:paraId="4F133269" w14:textId="77777777"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28</w:t>
            </w:r>
          </w:p>
        </w:tc>
        <w:tc>
          <w:tcPr>
            <w:tcW w:w="1015" w:type="pct"/>
            <w:vAlign w:val="center"/>
          </w:tcPr>
          <w:p w14:paraId="2E81BF3C" w14:textId="77777777" w:rsidR="00FF5808" w:rsidRPr="00213F07" w:rsidRDefault="00FF5808" w:rsidP="00FF5808">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其中：若可转股，则说明转换后工具类型</w:t>
            </w:r>
          </w:p>
        </w:tc>
        <w:tc>
          <w:tcPr>
            <w:tcW w:w="894" w:type="pct"/>
            <w:vAlign w:val="center"/>
          </w:tcPr>
          <w:p w14:paraId="42923983" w14:textId="77777777"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c>
          <w:tcPr>
            <w:tcW w:w="967" w:type="pct"/>
            <w:shd w:val="clear" w:color="auto" w:fill="auto"/>
            <w:vAlign w:val="center"/>
          </w:tcPr>
          <w:p w14:paraId="7EB532D3" w14:textId="77777777"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核心一级资本</w:t>
            </w:r>
          </w:p>
        </w:tc>
        <w:tc>
          <w:tcPr>
            <w:tcW w:w="978" w:type="pct"/>
            <w:vAlign w:val="center"/>
          </w:tcPr>
          <w:p w14:paraId="75655E72" w14:textId="6360B105"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c>
          <w:tcPr>
            <w:tcW w:w="880" w:type="pct"/>
            <w:vAlign w:val="center"/>
          </w:tcPr>
          <w:p w14:paraId="086BB980" w14:textId="77182C38"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r>
      <w:tr w:rsidR="00FF5808" w:rsidRPr="00213F07" w14:paraId="28DF4372" w14:textId="77777777" w:rsidTr="00FF5808">
        <w:tc>
          <w:tcPr>
            <w:tcW w:w="266" w:type="pct"/>
            <w:vAlign w:val="center"/>
          </w:tcPr>
          <w:p w14:paraId="59C6E3FA" w14:textId="77777777"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29</w:t>
            </w:r>
          </w:p>
        </w:tc>
        <w:tc>
          <w:tcPr>
            <w:tcW w:w="1015" w:type="pct"/>
            <w:vAlign w:val="center"/>
          </w:tcPr>
          <w:p w14:paraId="3E24DA18" w14:textId="77777777" w:rsidR="00FF5808" w:rsidRPr="00213F07" w:rsidRDefault="00FF5808" w:rsidP="00FF5808">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其中：若可转股，则说明转换后工具的发行人</w:t>
            </w:r>
          </w:p>
        </w:tc>
        <w:tc>
          <w:tcPr>
            <w:tcW w:w="894" w:type="pct"/>
            <w:vAlign w:val="center"/>
          </w:tcPr>
          <w:p w14:paraId="26CF9041" w14:textId="77777777"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c>
          <w:tcPr>
            <w:tcW w:w="967" w:type="pct"/>
            <w:shd w:val="clear" w:color="auto" w:fill="auto"/>
            <w:vAlign w:val="center"/>
          </w:tcPr>
          <w:p w14:paraId="03DDD6AC" w14:textId="77777777"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苏州银行</w:t>
            </w:r>
          </w:p>
        </w:tc>
        <w:tc>
          <w:tcPr>
            <w:tcW w:w="978" w:type="pct"/>
            <w:vAlign w:val="center"/>
          </w:tcPr>
          <w:p w14:paraId="0F7801CE" w14:textId="0F740800"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c>
          <w:tcPr>
            <w:tcW w:w="880" w:type="pct"/>
            <w:vAlign w:val="center"/>
          </w:tcPr>
          <w:p w14:paraId="70813BC7" w14:textId="4CE5303A"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r>
      <w:tr w:rsidR="00FF5808" w:rsidRPr="00213F07" w14:paraId="12546493" w14:textId="77777777" w:rsidTr="00FF5808">
        <w:tc>
          <w:tcPr>
            <w:tcW w:w="266" w:type="pct"/>
            <w:vAlign w:val="center"/>
          </w:tcPr>
          <w:p w14:paraId="182B3386" w14:textId="77777777"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30</w:t>
            </w:r>
          </w:p>
        </w:tc>
        <w:tc>
          <w:tcPr>
            <w:tcW w:w="1015" w:type="pct"/>
            <w:vAlign w:val="center"/>
          </w:tcPr>
          <w:p w14:paraId="4C645D9E" w14:textId="77777777" w:rsidR="00FF5808" w:rsidRPr="00213F07" w:rsidRDefault="00FF5808" w:rsidP="00FF5808">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是否减记</w:t>
            </w:r>
          </w:p>
        </w:tc>
        <w:tc>
          <w:tcPr>
            <w:tcW w:w="894" w:type="pct"/>
            <w:vAlign w:val="center"/>
          </w:tcPr>
          <w:p w14:paraId="41684A3E" w14:textId="77777777"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否</w:t>
            </w:r>
          </w:p>
        </w:tc>
        <w:tc>
          <w:tcPr>
            <w:tcW w:w="967" w:type="pct"/>
            <w:vAlign w:val="center"/>
          </w:tcPr>
          <w:p w14:paraId="58F5102D" w14:textId="77777777"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否</w:t>
            </w:r>
          </w:p>
        </w:tc>
        <w:tc>
          <w:tcPr>
            <w:tcW w:w="978" w:type="pct"/>
            <w:vAlign w:val="center"/>
          </w:tcPr>
          <w:p w14:paraId="716BA0C1" w14:textId="7163B326"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否</w:t>
            </w:r>
          </w:p>
        </w:tc>
        <w:tc>
          <w:tcPr>
            <w:tcW w:w="880" w:type="pct"/>
            <w:vAlign w:val="center"/>
          </w:tcPr>
          <w:p w14:paraId="4C7A7E84" w14:textId="09EA026C"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是</w:t>
            </w:r>
          </w:p>
        </w:tc>
      </w:tr>
      <w:tr w:rsidR="00FF5808" w:rsidRPr="00BA0E39" w14:paraId="7CA73E51" w14:textId="77777777" w:rsidTr="00FF5808">
        <w:tc>
          <w:tcPr>
            <w:tcW w:w="266" w:type="pct"/>
            <w:vAlign w:val="center"/>
          </w:tcPr>
          <w:p w14:paraId="4AA30DFB" w14:textId="77777777"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31</w:t>
            </w:r>
          </w:p>
        </w:tc>
        <w:tc>
          <w:tcPr>
            <w:tcW w:w="1015" w:type="pct"/>
            <w:vAlign w:val="center"/>
          </w:tcPr>
          <w:p w14:paraId="6C5C20F6" w14:textId="77777777" w:rsidR="00FF5808" w:rsidRPr="00213F07" w:rsidRDefault="00FF5808" w:rsidP="00FF5808">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其中：若减记，则说明减记触发点</w:t>
            </w:r>
          </w:p>
        </w:tc>
        <w:tc>
          <w:tcPr>
            <w:tcW w:w="894" w:type="pct"/>
            <w:vAlign w:val="center"/>
          </w:tcPr>
          <w:p w14:paraId="256961D9" w14:textId="77777777"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c>
          <w:tcPr>
            <w:tcW w:w="967" w:type="pct"/>
            <w:vAlign w:val="center"/>
          </w:tcPr>
          <w:p w14:paraId="56DB8BA3" w14:textId="77777777"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c>
          <w:tcPr>
            <w:tcW w:w="978" w:type="pct"/>
            <w:vAlign w:val="center"/>
          </w:tcPr>
          <w:p w14:paraId="12A94BDF" w14:textId="18DCC021" w:rsidR="00FF5808" w:rsidRPr="00BA0E39"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c>
          <w:tcPr>
            <w:tcW w:w="880" w:type="pct"/>
            <w:shd w:val="clear" w:color="auto" w:fill="auto"/>
            <w:vAlign w:val="center"/>
          </w:tcPr>
          <w:p w14:paraId="3F88C2D5" w14:textId="4902FCCE" w:rsidR="00FF5808" w:rsidRPr="00BA0E39" w:rsidRDefault="00FF5808" w:rsidP="00FF5808">
            <w:pPr>
              <w:jc w:val="center"/>
              <w:rPr>
                <w:rFonts w:ascii="Times New Roman" w:eastAsiaTheme="majorEastAsia" w:hAnsi="Times New Roman" w:cs="Times New Roman"/>
                <w:sz w:val="16"/>
                <w:szCs w:val="16"/>
              </w:rPr>
            </w:pPr>
            <w:r w:rsidRPr="00BA0E39">
              <w:rPr>
                <w:rFonts w:ascii="Times New Roman" w:eastAsiaTheme="majorEastAsia" w:hAnsi="Times New Roman" w:cs="Times New Roman"/>
                <w:sz w:val="16"/>
                <w:szCs w:val="16"/>
              </w:rPr>
              <w:t>公司无法生存</w:t>
            </w:r>
          </w:p>
        </w:tc>
      </w:tr>
      <w:tr w:rsidR="00FF5808" w:rsidRPr="00213F07" w14:paraId="7BE678AC" w14:textId="77777777" w:rsidTr="00FF5808">
        <w:tc>
          <w:tcPr>
            <w:tcW w:w="266" w:type="pct"/>
            <w:vAlign w:val="center"/>
          </w:tcPr>
          <w:p w14:paraId="370E9A92" w14:textId="77777777"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32</w:t>
            </w:r>
          </w:p>
        </w:tc>
        <w:tc>
          <w:tcPr>
            <w:tcW w:w="1015" w:type="pct"/>
            <w:vAlign w:val="center"/>
          </w:tcPr>
          <w:p w14:paraId="464C914E" w14:textId="77777777" w:rsidR="00FF5808" w:rsidRPr="00213F07" w:rsidRDefault="00FF5808" w:rsidP="00FF5808">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其中：若减记，则说明部分减记还是全部减记</w:t>
            </w:r>
          </w:p>
        </w:tc>
        <w:tc>
          <w:tcPr>
            <w:tcW w:w="894" w:type="pct"/>
            <w:vAlign w:val="center"/>
          </w:tcPr>
          <w:p w14:paraId="026F3502" w14:textId="77777777"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c>
          <w:tcPr>
            <w:tcW w:w="967" w:type="pct"/>
            <w:vAlign w:val="center"/>
          </w:tcPr>
          <w:p w14:paraId="7F512EC4" w14:textId="77777777"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c>
          <w:tcPr>
            <w:tcW w:w="978" w:type="pct"/>
            <w:vAlign w:val="center"/>
          </w:tcPr>
          <w:p w14:paraId="6CE9E735" w14:textId="67C36743"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c>
          <w:tcPr>
            <w:tcW w:w="880" w:type="pct"/>
            <w:shd w:val="clear" w:color="auto" w:fill="auto"/>
            <w:vAlign w:val="center"/>
          </w:tcPr>
          <w:p w14:paraId="687C1960" w14:textId="03D0661C"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部分或全部减记</w:t>
            </w:r>
          </w:p>
        </w:tc>
      </w:tr>
      <w:tr w:rsidR="00FF5808" w:rsidRPr="00213F07" w14:paraId="3F30B22C" w14:textId="77777777" w:rsidTr="00FF5808">
        <w:tc>
          <w:tcPr>
            <w:tcW w:w="266" w:type="pct"/>
            <w:vAlign w:val="center"/>
          </w:tcPr>
          <w:p w14:paraId="53B067E7" w14:textId="77777777"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33</w:t>
            </w:r>
          </w:p>
        </w:tc>
        <w:tc>
          <w:tcPr>
            <w:tcW w:w="1015" w:type="pct"/>
            <w:vAlign w:val="center"/>
          </w:tcPr>
          <w:p w14:paraId="318EE7DA" w14:textId="77777777" w:rsidR="00FF5808" w:rsidRPr="00213F07" w:rsidRDefault="00FF5808" w:rsidP="00FF5808">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其中：若减记，则说明永久减记还是暂时减记</w:t>
            </w:r>
          </w:p>
        </w:tc>
        <w:tc>
          <w:tcPr>
            <w:tcW w:w="894" w:type="pct"/>
            <w:vAlign w:val="center"/>
          </w:tcPr>
          <w:p w14:paraId="5261755A" w14:textId="77777777"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c>
          <w:tcPr>
            <w:tcW w:w="967" w:type="pct"/>
            <w:vAlign w:val="center"/>
          </w:tcPr>
          <w:p w14:paraId="7FDFF1C1" w14:textId="77777777"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c>
          <w:tcPr>
            <w:tcW w:w="978" w:type="pct"/>
            <w:vAlign w:val="center"/>
          </w:tcPr>
          <w:p w14:paraId="1797BE5D" w14:textId="4E5D54CC"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c>
          <w:tcPr>
            <w:tcW w:w="880" w:type="pct"/>
            <w:shd w:val="clear" w:color="auto" w:fill="auto"/>
            <w:vAlign w:val="center"/>
          </w:tcPr>
          <w:p w14:paraId="4D4A872D" w14:textId="6457CE71"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永久减记</w:t>
            </w:r>
          </w:p>
        </w:tc>
      </w:tr>
      <w:tr w:rsidR="00FF5808" w:rsidRPr="00213F07" w14:paraId="0C5016FA" w14:textId="77777777" w:rsidTr="00FF5808">
        <w:tc>
          <w:tcPr>
            <w:tcW w:w="266" w:type="pct"/>
            <w:vAlign w:val="center"/>
          </w:tcPr>
          <w:p w14:paraId="4A30203E" w14:textId="77777777"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34</w:t>
            </w:r>
          </w:p>
        </w:tc>
        <w:tc>
          <w:tcPr>
            <w:tcW w:w="1015" w:type="pct"/>
            <w:vAlign w:val="center"/>
          </w:tcPr>
          <w:p w14:paraId="3351D7B2" w14:textId="77777777" w:rsidR="00FF5808" w:rsidRPr="00213F07" w:rsidRDefault="00FF5808" w:rsidP="00FF5808">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其中：若暂时减记，则说明账面价值恢复机制</w:t>
            </w:r>
          </w:p>
        </w:tc>
        <w:tc>
          <w:tcPr>
            <w:tcW w:w="894" w:type="pct"/>
            <w:vAlign w:val="center"/>
          </w:tcPr>
          <w:p w14:paraId="65CC9417" w14:textId="77777777"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c>
          <w:tcPr>
            <w:tcW w:w="967" w:type="pct"/>
            <w:vAlign w:val="center"/>
          </w:tcPr>
          <w:p w14:paraId="745A1AAE" w14:textId="77777777"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c>
          <w:tcPr>
            <w:tcW w:w="978" w:type="pct"/>
            <w:vAlign w:val="center"/>
          </w:tcPr>
          <w:p w14:paraId="37D05BF8" w14:textId="6D8AFFAE"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c>
          <w:tcPr>
            <w:tcW w:w="880" w:type="pct"/>
            <w:vAlign w:val="center"/>
          </w:tcPr>
          <w:p w14:paraId="3FBE8DBB" w14:textId="336EAC2F"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r>
      <w:tr w:rsidR="00FF5808" w:rsidRPr="00213F07" w14:paraId="13FEA015" w14:textId="77777777" w:rsidTr="00FF5808">
        <w:tc>
          <w:tcPr>
            <w:tcW w:w="266" w:type="pct"/>
            <w:vAlign w:val="center"/>
          </w:tcPr>
          <w:p w14:paraId="778E38B4" w14:textId="77777777"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35</w:t>
            </w:r>
          </w:p>
        </w:tc>
        <w:tc>
          <w:tcPr>
            <w:tcW w:w="1015" w:type="pct"/>
            <w:vAlign w:val="center"/>
          </w:tcPr>
          <w:p w14:paraId="262240F6" w14:textId="77777777" w:rsidR="00FF5808" w:rsidRPr="00213F07" w:rsidRDefault="00FF5808" w:rsidP="00FF5808">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清算时清偿顺序</w:t>
            </w:r>
            <w:r w:rsidRPr="00213F07">
              <w:rPr>
                <w:rFonts w:ascii="Times New Roman" w:eastAsiaTheme="majorEastAsia" w:hAnsi="Times New Roman" w:cs="Times New Roman"/>
                <w:sz w:val="16"/>
                <w:szCs w:val="16"/>
              </w:rPr>
              <w:t>(</w:t>
            </w:r>
            <w:r w:rsidRPr="00213F07">
              <w:rPr>
                <w:rFonts w:ascii="Times New Roman" w:eastAsiaTheme="majorEastAsia" w:hAnsi="Times New Roman" w:cs="Times New Roman"/>
                <w:sz w:val="16"/>
                <w:szCs w:val="16"/>
              </w:rPr>
              <w:t>说明清偿顺序更高级的工具类型</w:t>
            </w:r>
            <w:r w:rsidRPr="00213F07">
              <w:rPr>
                <w:rFonts w:ascii="Times New Roman" w:eastAsiaTheme="majorEastAsia" w:hAnsi="Times New Roman" w:cs="Times New Roman"/>
                <w:sz w:val="16"/>
                <w:szCs w:val="16"/>
              </w:rPr>
              <w:t>)</w:t>
            </w:r>
          </w:p>
        </w:tc>
        <w:tc>
          <w:tcPr>
            <w:tcW w:w="894" w:type="pct"/>
            <w:vAlign w:val="center"/>
          </w:tcPr>
          <w:p w14:paraId="0B22E2AE" w14:textId="77777777"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受偿顺序排在存款人、一般债权人、次级债权人、优股股东之后</w:t>
            </w:r>
          </w:p>
        </w:tc>
        <w:tc>
          <w:tcPr>
            <w:tcW w:w="967" w:type="pct"/>
            <w:shd w:val="clear" w:color="auto" w:fill="auto"/>
            <w:vAlign w:val="center"/>
          </w:tcPr>
          <w:p w14:paraId="545EE15C" w14:textId="77777777"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转股前受偿顺序排在存款人、与一般债权人具有同等的清偿顺序；转股后和普通股相同</w:t>
            </w:r>
          </w:p>
        </w:tc>
        <w:tc>
          <w:tcPr>
            <w:tcW w:w="978" w:type="pct"/>
          </w:tcPr>
          <w:p w14:paraId="726C19D0" w14:textId="041CF752"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受偿顺序排在</w:t>
            </w:r>
            <w:r w:rsidRPr="00FF5808">
              <w:rPr>
                <w:rFonts w:ascii="Times New Roman" w:eastAsiaTheme="majorEastAsia" w:hAnsi="Times New Roman" w:cs="Times New Roman" w:hint="eastAsia"/>
                <w:sz w:val="16"/>
                <w:szCs w:val="16"/>
              </w:rPr>
              <w:t>存款人、一般债权人和处于高于本期债券顺位的次级债务之后，发行人股东持有的所有类别股份之前</w:t>
            </w:r>
          </w:p>
        </w:tc>
        <w:tc>
          <w:tcPr>
            <w:tcW w:w="880" w:type="pct"/>
            <w:vAlign w:val="center"/>
          </w:tcPr>
          <w:p w14:paraId="56F87072" w14:textId="4F650B37"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受偿顺序排在存款人、一般债权人之后，与其他次级债务具有同等的清偿顺序</w:t>
            </w:r>
          </w:p>
        </w:tc>
      </w:tr>
      <w:tr w:rsidR="00FF5808" w:rsidRPr="00213F07" w14:paraId="53BEA74B" w14:textId="77777777" w:rsidTr="00FF5808">
        <w:tc>
          <w:tcPr>
            <w:tcW w:w="266" w:type="pct"/>
            <w:vAlign w:val="center"/>
          </w:tcPr>
          <w:p w14:paraId="2A4FF0DD" w14:textId="77777777"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36</w:t>
            </w:r>
          </w:p>
        </w:tc>
        <w:tc>
          <w:tcPr>
            <w:tcW w:w="1015" w:type="pct"/>
            <w:vAlign w:val="center"/>
          </w:tcPr>
          <w:p w14:paraId="57D820B5" w14:textId="77777777" w:rsidR="00FF5808" w:rsidRPr="00213F07" w:rsidRDefault="00FF5808" w:rsidP="00FF5808">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是否含有暂时的不合格特征</w:t>
            </w:r>
          </w:p>
        </w:tc>
        <w:tc>
          <w:tcPr>
            <w:tcW w:w="894" w:type="pct"/>
            <w:vAlign w:val="center"/>
          </w:tcPr>
          <w:p w14:paraId="196B921A" w14:textId="77777777"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否</w:t>
            </w:r>
          </w:p>
        </w:tc>
        <w:tc>
          <w:tcPr>
            <w:tcW w:w="967" w:type="pct"/>
            <w:vAlign w:val="center"/>
          </w:tcPr>
          <w:p w14:paraId="4ED0BAD3" w14:textId="77777777"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否</w:t>
            </w:r>
          </w:p>
        </w:tc>
        <w:tc>
          <w:tcPr>
            <w:tcW w:w="978" w:type="pct"/>
            <w:vAlign w:val="center"/>
          </w:tcPr>
          <w:p w14:paraId="553A0D88" w14:textId="5B3135E4"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否</w:t>
            </w:r>
          </w:p>
        </w:tc>
        <w:tc>
          <w:tcPr>
            <w:tcW w:w="880" w:type="pct"/>
            <w:vAlign w:val="center"/>
          </w:tcPr>
          <w:p w14:paraId="389C0027" w14:textId="382742CA"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否</w:t>
            </w:r>
          </w:p>
        </w:tc>
      </w:tr>
      <w:tr w:rsidR="00FF5808" w:rsidRPr="00213F07" w14:paraId="1C86B46E" w14:textId="77777777" w:rsidTr="00FF5808">
        <w:tc>
          <w:tcPr>
            <w:tcW w:w="266" w:type="pct"/>
            <w:vAlign w:val="center"/>
          </w:tcPr>
          <w:p w14:paraId="5424BAE4" w14:textId="77777777"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37</w:t>
            </w:r>
          </w:p>
        </w:tc>
        <w:tc>
          <w:tcPr>
            <w:tcW w:w="1015" w:type="pct"/>
            <w:vAlign w:val="center"/>
          </w:tcPr>
          <w:p w14:paraId="2022A415" w14:textId="77777777" w:rsidR="00FF5808" w:rsidRPr="00213F07" w:rsidRDefault="00FF5808" w:rsidP="00FF5808">
            <w:pP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其中：若有，则说明该特征</w:t>
            </w:r>
          </w:p>
        </w:tc>
        <w:tc>
          <w:tcPr>
            <w:tcW w:w="894" w:type="pct"/>
            <w:vAlign w:val="center"/>
          </w:tcPr>
          <w:p w14:paraId="6BFD78A4" w14:textId="77777777"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c>
          <w:tcPr>
            <w:tcW w:w="967" w:type="pct"/>
            <w:vAlign w:val="center"/>
          </w:tcPr>
          <w:p w14:paraId="760A2290" w14:textId="77777777"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c>
          <w:tcPr>
            <w:tcW w:w="978" w:type="pct"/>
            <w:vAlign w:val="center"/>
          </w:tcPr>
          <w:p w14:paraId="60AFE8AF" w14:textId="1AAC20B3"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c>
          <w:tcPr>
            <w:tcW w:w="880" w:type="pct"/>
            <w:vAlign w:val="center"/>
          </w:tcPr>
          <w:p w14:paraId="7DDCD93B" w14:textId="2F26058E" w:rsidR="00FF5808" w:rsidRPr="00213F07" w:rsidRDefault="00FF5808" w:rsidP="00FF5808">
            <w:pPr>
              <w:jc w:val="center"/>
              <w:rPr>
                <w:rFonts w:ascii="Times New Roman" w:eastAsiaTheme="majorEastAsia" w:hAnsi="Times New Roman" w:cs="Times New Roman"/>
                <w:sz w:val="16"/>
                <w:szCs w:val="16"/>
              </w:rPr>
            </w:pPr>
            <w:r w:rsidRPr="00213F07">
              <w:rPr>
                <w:rFonts w:ascii="Times New Roman" w:eastAsiaTheme="majorEastAsia" w:hAnsi="Times New Roman" w:cs="Times New Roman"/>
                <w:sz w:val="16"/>
                <w:szCs w:val="16"/>
              </w:rPr>
              <w:t>不适用</w:t>
            </w:r>
          </w:p>
        </w:tc>
      </w:tr>
    </w:tbl>
    <w:p w14:paraId="5669C69C" w14:textId="77777777" w:rsidR="00535493" w:rsidRPr="00662CA8" w:rsidRDefault="00535493" w:rsidP="00535493">
      <w:pPr>
        <w:rPr>
          <w:rFonts w:ascii="Times New Roman" w:hAnsi="Times New Roman" w:cs="Times New Roman"/>
        </w:rPr>
      </w:pPr>
    </w:p>
    <w:sectPr w:rsidR="00535493" w:rsidRPr="00662CA8" w:rsidSect="00AB6D2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F421A" w14:textId="77777777" w:rsidR="00A71598" w:rsidRDefault="00A71598" w:rsidP="005C08F1">
      <w:r>
        <w:separator/>
      </w:r>
    </w:p>
  </w:endnote>
  <w:endnote w:type="continuationSeparator" w:id="0">
    <w:p w14:paraId="6464863F" w14:textId="77777777" w:rsidR="00A71598" w:rsidRDefault="00A71598" w:rsidP="005C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725188"/>
      <w:docPartObj>
        <w:docPartGallery w:val="Page Numbers (Bottom of Page)"/>
        <w:docPartUnique/>
      </w:docPartObj>
    </w:sdtPr>
    <w:sdtEndPr/>
    <w:sdtContent>
      <w:p w14:paraId="36DEE8EC" w14:textId="629B7662" w:rsidR="00A7393F" w:rsidRDefault="00A7393F">
        <w:pPr>
          <w:pStyle w:val="a4"/>
          <w:jc w:val="center"/>
        </w:pPr>
        <w:r>
          <w:fldChar w:fldCharType="begin"/>
        </w:r>
        <w:r>
          <w:instrText>PAGE   \* MERGEFORMAT</w:instrText>
        </w:r>
        <w:r>
          <w:fldChar w:fldCharType="separate"/>
        </w:r>
        <w:r w:rsidR="00CC3C4C" w:rsidRPr="00CC3C4C">
          <w:rPr>
            <w:noProof/>
            <w:lang w:val="zh-CN"/>
          </w:rPr>
          <w:t>8</w:t>
        </w:r>
        <w:r>
          <w:fldChar w:fldCharType="end"/>
        </w:r>
      </w:p>
    </w:sdtContent>
  </w:sdt>
  <w:p w14:paraId="1B9D74A0" w14:textId="77777777" w:rsidR="00A7393F" w:rsidRDefault="00A7393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139D3" w14:textId="77777777" w:rsidR="00A71598" w:rsidRDefault="00A71598" w:rsidP="005C08F1">
      <w:r>
        <w:separator/>
      </w:r>
    </w:p>
  </w:footnote>
  <w:footnote w:type="continuationSeparator" w:id="0">
    <w:p w14:paraId="0B9D2A82" w14:textId="77777777" w:rsidR="00A71598" w:rsidRDefault="00A71598" w:rsidP="005C0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B38"/>
    <w:rsid w:val="00012CBB"/>
    <w:rsid w:val="00014A16"/>
    <w:rsid w:val="0002067E"/>
    <w:rsid w:val="00034C88"/>
    <w:rsid w:val="00035C85"/>
    <w:rsid w:val="00051D21"/>
    <w:rsid w:val="00054156"/>
    <w:rsid w:val="00076668"/>
    <w:rsid w:val="00077C0D"/>
    <w:rsid w:val="000B0DF4"/>
    <w:rsid w:val="000C4A91"/>
    <w:rsid w:val="000C515C"/>
    <w:rsid w:val="000E49DF"/>
    <w:rsid w:val="00100398"/>
    <w:rsid w:val="00142CB8"/>
    <w:rsid w:val="00166B14"/>
    <w:rsid w:val="00177FBD"/>
    <w:rsid w:val="00181569"/>
    <w:rsid w:val="001A2FCF"/>
    <w:rsid w:val="001A3F5F"/>
    <w:rsid w:val="001B369D"/>
    <w:rsid w:val="001B6D5E"/>
    <w:rsid w:val="001E0D63"/>
    <w:rsid w:val="001E6538"/>
    <w:rsid w:val="00213F07"/>
    <w:rsid w:val="00216C2A"/>
    <w:rsid w:val="00236087"/>
    <w:rsid w:val="00240703"/>
    <w:rsid w:val="00257302"/>
    <w:rsid w:val="002639F9"/>
    <w:rsid w:val="00272586"/>
    <w:rsid w:val="00273E3E"/>
    <w:rsid w:val="002900EF"/>
    <w:rsid w:val="002A157B"/>
    <w:rsid w:val="002B0452"/>
    <w:rsid w:val="002E7849"/>
    <w:rsid w:val="003003C0"/>
    <w:rsid w:val="0031207A"/>
    <w:rsid w:val="003221C0"/>
    <w:rsid w:val="0037049F"/>
    <w:rsid w:val="003806B3"/>
    <w:rsid w:val="00390D01"/>
    <w:rsid w:val="0039757E"/>
    <w:rsid w:val="003C2EC0"/>
    <w:rsid w:val="003C4A0F"/>
    <w:rsid w:val="003E0745"/>
    <w:rsid w:val="003E26F0"/>
    <w:rsid w:val="00426443"/>
    <w:rsid w:val="004B3510"/>
    <w:rsid w:val="005200AF"/>
    <w:rsid w:val="005279D3"/>
    <w:rsid w:val="00535493"/>
    <w:rsid w:val="005C08F1"/>
    <w:rsid w:val="005D478A"/>
    <w:rsid w:val="005D7AB6"/>
    <w:rsid w:val="005F2355"/>
    <w:rsid w:val="0060324C"/>
    <w:rsid w:val="00620C38"/>
    <w:rsid w:val="0064702C"/>
    <w:rsid w:val="00652727"/>
    <w:rsid w:val="00662CA8"/>
    <w:rsid w:val="00670248"/>
    <w:rsid w:val="00671BBD"/>
    <w:rsid w:val="006724D1"/>
    <w:rsid w:val="0068457E"/>
    <w:rsid w:val="00687D72"/>
    <w:rsid w:val="006925C5"/>
    <w:rsid w:val="006C0233"/>
    <w:rsid w:val="006D12DF"/>
    <w:rsid w:val="006F6E7B"/>
    <w:rsid w:val="006F77F3"/>
    <w:rsid w:val="0071362F"/>
    <w:rsid w:val="00714C11"/>
    <w:rsid w:val="00721CEE"/>
    <w:rsid w:val="0077752C"/>
    <w:rsid w:val="007F3BF1"/>
    <w:rsid w:val="00801CCC"/>
    <w:rsid w:val="00834A3C"/>
    <w:rsid w:val="008369C8"/>
    <w:rsid w:val="008822A6"/>
    <w:rsid w:val="00894094"/>
    <w:rsid w:val="008A0AE9"/>
    <w:rsid w:val="008A43DC"/>
    <w:rsid w:val="008A7926"/>
    <w:rsid w:val="008B53E0"/>
    <w:rsid w:val="008B69FD"/>
    <w:rsid w:val="008D4440"/>
    <w:rsid w:val="008E018D"/>
    <w:rsid w:val="008F5E9D"/>
    <w:rsid w:val="009030E2"/>
    <w:rsid w:val="009066F5"/>
    <w:rsid w:val="00933642"/>
    <w:rsid w:val="00942503"/>
    <w:rsid w:val="00942E5E"/>
    <w:rsid w:val="0096050B"/>
    <w:rsid w:val="009A693E"/>
    <w:rsid w:val="009E3726"/>
    <w:rsid w:val="009E5E52"/>
    <w:rsid w:val="009E65F5"/>
    <w:rsid w:val="00A043B4"/>
    <w:rsid w:val="00A10120"/>
    <w:rsid w:val="00A579AB"/>
    <w:rsid w:val="00A656B4"/>
    <w:rsid w:val="00A71598"/>
    <w:rsid w:val="00A7393F"/>
    <w:rsid w:val="00A757BF"/>
    <w:rsid w:val="00A9428A"/>
    <w:rsid w:val="00AA4961"/>
    <w:rsid w:val="00AB0538"/>
    <w:rsid w:val="00AB6D2C"/>
    <w:rsid w:val="00AF1129"/>
    <w:rsid w:val="00B22D73"/>
    <w:rsid w:val="00B37301"/>
    <w:rsid w:val="00B40597"/>
    <w:rsid w:val="00B53B38"/>
    <w:rsid w:val="00B91537"/>
    <w:rsid w:val="00BA0E39"/>
    <w:rsid w:val="00BD4165"/>
    <w:rsid w:val="00BD7219"/>
    <w:rsid w:val="00BE508A"/>
    <w:rsid w:val="00BF7233"/>
    <w:rsid w:val="00C034DE"/>
    <w:rsid w:val="00C06770"/>
    <w:rsid w:val="00C1364A"/>
    <w:rsid w:val="00C15D22"/>
    <w:rsid w:val="00C3131B"/>
    <w:rsid w:val="00C44EAF"/>
    <w:rsid w:val="00C46FC0"/>
    <w:rsid w:val="00C47CEC"/>
    <w:rsid w:val="00C6268B"/>
    <w:rsid w:val="00C74299"/>
    <w:rsid w:val="00C86C66"/>
    <w:rsid w:val="00CC3C4C"/>
    <w:rsid w:val="00CE6908"/>
    <w:rsid w:val="00CE7787"/>
    <w:rsid w:val="00CF1F37"/>
    <w:rsid w:val="00D03F14"/>
    <w:rsid w:val="00D0615F"/>
    <w:rsid w:val="00D20610"/>
    <w:rsid w:val="00D7103B"/>
    <w:rsid w:val="00D720C1"/>
    <w:rsid w:val="00DB050D"/>
    <w:rsid w:val="00DD2F9B"/>
    <w:rsid w:val="00DD3B1D"/>
    <w:rsid w:val="00DE7D86"/>
    <w:rsid w:val="00DF04A2"/>
    <w:rsid w:val="00E45B7C"/>
    <w:rsid w:val="00E61EDD"/>
    <w:rsid w:val="00E713E2"/>
    <w:rsid w:val="00E73A5F"/>
    <w:rsid w:val="00ED372B"/>
    <w:rsid w:val="00ED4CD5"/>
    <w:rsid w:val="00F120DC"/>
    <w:rsid w:val="00F47800"/>
    <w:rsid w:val="00F47C6F"/>
    <w:rsid w:val="00F66C91"/>
    <w:rsid w:val="00F75DA8"/>
    <w:rsid w:val="00F75E4A"/>
    <w:rsid w:val="00F830CE"/>
    <w:rsid w:val="00F92C1D"/>
    <w:rsid w:val="00FF5285"/>
    <w:rsid w:val="00FF5808"/>
    <w:rsid w:val="00FF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4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6D2C"/>
    <w:pPr>
      <w:widowControl w:val="0"/>
      <w:autoSpaceDE w:val="0"/>
      <w:autoSpaceDN w:val="0"/>
      <w:adjustRightInd w:val="0"/>
    </w:pPr>
    <w:rPr>
      <w:rFonts w:ascii="宋体" w:hAnsi="宋体" w:cs="宋体"/>
      <w:color w:val="000000"/>
      <w:kern w:val="0"/>
      <w:sz w:val="24"/>
      <w:szCs w:val="24"/>
    </w:rPr>
  </w:style>
  <w:style w:type="paragraph" w:styleId="a3">
    <w:name w:val="header"/>
    <w:basedOn w:val="a"/>
    <w:link w:val="Char"/>
    <w:uiPriority w:val="99"/>
    <w:unhideWhenUsed/>
    <w:rsid w:val="005C08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08F1"/>
    <w:rPr>
      <w:sz w:val="18"/>
      <w:szCs w:val="18"/>
    </w:rPr>
  </w:style>
  <w:style w:type="paragraph" w:styleId="a4">
    <w:name w:val="footer"/>
    <w:basedOn w:val="a"/>
    <w:link w:val="Char0"/>
    <w:uiPriority w:val="99"/>
    <w:unhideWhenUsed/>
    <w:rsid w:val="005C08F1"/>
    <w:pPr>
      <w:tabs>
        <w:tab w:val="center" w:pos="4153"/>
        <w:tab w:val="right" w:pos="8306"/>
      </w:tabs>
      <w:snapToGrid w:val="0"/>
      <w:jc w:val="left"/>
    </w:pPr>
    <w:rPr>
      <w:sz w:val="18"/>
      <w:szCs w:val="18"/>
    </w:rPr>
  </w:style>
  <w:style w:type="character" w:customStyle="1" w:styleId="Char0">
    <w:name w:val="页脚 Char"/>
    <w:basedOn w:val="a0"/>
    <w:link w:val="a4"/>
    <w:uiPriority w:val="99"/>
    <w:rsid w:val="005C08F1"/>
    <w:rPr>
      <w:sz w:val="18"/>
      <w:szCs w:val="18"/>
    </w:rPr>
  </w:style>
  <w:style w:type="paragraph" w:styleId="a5">
    <w:name w:val="Balloon Text"/>
    <w:basedOn w:val="a"/>
    <w:link w:val="Char1"/>
    <w:uiPriority w:val="99"/>
    <w:semiHidden/>
    <w:unhideWhenUsed/>
    <w:rsid w:val="008E018D"/>
    <w:rPr>
      <w:rFonts w:ascii="Segoe UI" w:hAnsi="Segoe UI" w:cs="Segoe UI"/>
      <w:sz w:val="18"/>
      <w:szCs w:val="18"/>
    </w:rPr>
  </w:style>
  <w:style w:type="character" w:customStyle="1" w:styleId="Char1">
    <w:name w:val="批注框文本 Char"/>
    <w:basedOn w:val="a0"/>
    <w:link w:val="a5"/>
    <w:uiPriority w:val="99"/>
    <w:semiHidden/>
    <w:rsid w:val="008E018D"/>
    <w:rPr>
      <w:rFonts w:ascii="Segoe UI" w:hAnsi="Segoe UI" w:cs="Segoe UI"/>
      <w:sz w:val="18"/>
      <w:szCs w:val="18"/>
    </w:rPr>
  </w:style>
  <w:style w:type="table" w:styleId="a6">
    <w:name w:val="Table Grid"/>
    <w:basedOn w:val="a1"/>
    <w:uiPriority w:val="39"/>
    <w:rsid w:val="008E018D"/>
    <w:rPr>
      <w:rFonts w:ascii="Georgia" w:eastAsia="宋体" w:hAnsi="Georgia"/>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8E018D"/>
    <w:rPr>
      <w:sz w:val="21"/>
      <w:szCs w:val="21"/>
    </w:rPr>
  </w:style>
  <w:style w:type="paragraph" w:styleId="a8">
    <w:name w:val="annotation text"/>
    <w:basedOn w:val="a"/>
    <w:link w:val="Char2"/>
    <w:uiPriority w:val="99"/>
    <w:semiHidden/>
    <w:unhideWhenUsed/>
    <w:rsid w:val="008E018D"/>
    <w:pPr>
      <w:widowControl/>
      <w:spacing w:after="160" w:line="259" w:lineRule="auto"/>
      <w:jc w:val="left"/>
    </w:pPr>
    <w:rPr>
      <w:rFonts w:ascii="Georgia" w:eastAsia="宋体" w:hAnsi="Georgia"/>
      <w:kern w:val="0"/>
      <w:sz w:val="22"/>
    </w:rPr>
  </w:style>
  <w:style w:type="character" w:customStyle="1" w:styleId="Char2">
    <w:name w:val="批注文字 Char"/>
    <w:basedOn w:val="a0"/>
    <w:link w:val="a8"/>
    <w:uiPriority w:val="99"/>
    <w:semiHidden/>
    <w:rsid w:val="008E018D"/>
    <w:rPr>
      <w:rFonts w:ascii="Georgia" w:eastAsia="宋体" w:hAnsi="Georgia"/>
      <w:kern w:val="0"/>
      <w:sz w:val="22"/>
    </w:rPr>
  </w:style>
  <w:style w:type="paragraph" w:styleId="a9">
    <w:name w:val="annotation subject"/>
    <w:basedOn w:val="a8"/>
    <w:next w:val="a8"/>
    <w:link w:val="Char3"/>
    <w:uiPriority w:val="99"/>
    <w:semiHidden/>
    <w:unhideWhenUsed/>
    <w:rsid w:val="008E018D"/>
    <w:pPr>
      <w:widowControl w:val="0"/>
      <w:spacing w:after="0" w:line="240" w:lineRule="auto"/>
      <w:jc w:val="both"/>
    </w:pPr>
    <w:rPr>
      <w:rFonts w:asciiTheme="minorHAnsi" w:eastAsiaTheme="minorEastAsia" w:hAnsiTheme="minorHAnsi"/>
      <w:b/>
      <w:bCs/>
      <w:kern w:val="2"/>
      <w:sz w:val="20"/>
      <w:szCs w:val="20"/>
    </w:rPr>
  </w:style>
  <w:style w:type="character" w:customStyle="1" w:styleId="Char3">
    <w:name w:val="批注主题 Char"/>
    <w:basedOn w:val="Char2"/>
    <w:link w:val="a9"/>
    <w:uiPriority w:val="99"/>
    <w:semiHidden/>
    <w:rsid w:val="008E018D"/>
    <w:rPr>
      <w:rFonts w:ascii="Georgia" w:eastAsia="宋体" w:hAnsi="Georgia"/>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6D2C"/>
    <w:pPr>
      <w:widowControl w:val="0"/>
      <w:autoSpaceDE w:val="0"/>
      <w:autoSpaceDN w:val="0"/>
      <w:adjustRightInd w:val="0"/>
    </w:pPr>
    <w:rPr>
      <w:rFonts w:ascii="宋体" w:hAnsi="宋体" w:cs="宋体"/>
      <w:color w:val="000000"/>
      <w:kern w:val="0"/>
      <w:sz w:val="24"/>
      <w:szCs w:val="24"/>
    </w:rPr>
  </w:style>
  <w:style w:type="paragraph" w:styleId="a3">
    <w:name w:val="header"/>
    <w:basedOn w:val="a"/>
    <w:link w:val="Char"/>
    <w:uiPriority w:val="99"/>
    <w:unhideWhenUsed/>
    <w:rsid w:val="005C08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08F1"/>
    <w:rPr>
      <w:sz w:val="18"/>
      <w:szCs w:val="18"/>
    </w:rPr>
  </w:style>
  <w:style w:type="paragraph" w:styleId="a4">
    <w:name w:val="footer"/>
    <w:basedOn w:val="a"/>
    <w:link w:val="Char0"/>
    <w:uiPriority w:val="99"/>
    <w:unhideWhenUsed/>
    <w:rsid w:val="005C08F1"/>
    <w:pPr>
      <w:tabs>
        <w:tab w:val="center" w:pos="4153"/>
        <w:tab w:val="right" w:pos="8306"/>
      </w:tabs>
      <w:snapToGrid w:val="0"/>
      <w:jc w:val="left"/>
    </w:pPr>
    <w:rPr>
      <w:sz w:val="18"/>
      <w:szCs w:val="18"/>
    </w:rPr>
  </w:style>
  <w:style w:type="character" w:customStyle="1" w:styleId="Char0">
    <w:name w:val="页脚 Char"/>
    <w:basedOn w:val="a0"/>
    <w:link w:val="a4"/>
    <w:uiPriority w:val="99"/>
    <w:rsid w:val="005C08F1"/>
    <w:rPr>
      <w:sz w:val="18"/>
      <w:szCs w:val="18"/>
    </w:rPr>
  </w:style>
  <w:style w:type="paragraph" w:styleId="a5">
    <w:name w:val="Balloon Text"/>
    <w:basedOn w:val="a"/>
    <w:link w:val="Char1"/>
    <w:uiPriority w:val="99"/>
    <w:semiHidden/>
    <w:unhideWhenUsed/>
    <w:rsid w:val="008E018D"/>
    <w:rPr>
      <w:rFonts w:ascii="Segoe UI" w:hAnsi="Segoe UI" w:cs="Segoe UI"/>
      <w:sz w:val="18"/>
      <w:szCs w:val="18"/>
    </w:rPr>
  </w:style>
  <w:style w:type="character" w:customStyle="1" w:styleId="Char1">
    <w:name w:val="批注框文本 Char"/>
    <w:basedOn w:val="a0"/>
    <w:link w:val="a5"/>
    <w:uiPriority w:val="99"/>
    <w:semiHidden/>
    <w:rsid w:val="008E018D"/>
    <w:rPr>
      <w:rFonts w:ascii="Segoe UI" w:hAnsi="Segoe UI" w:cs="Segoe UI"/>
      <w:sz w:val="18"/>
      <w:szCs w:val="18"/>
    </w:rPr>
  </w:style>
  <w:style w:type="table" w:styleId="a6">
    <w:name w:val="Table Grid"/>
    <w:basedOn w:val="a1"/>
    <w:uiPriority w:val="39"/>
    <w:rsid w:val="008E018D"/>
    <w:rPr>
      <w:rFonts w:ascii="Georgia" w:eastAsia="宋体" w:hAnsi="Georgia"/>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8E018D"/>
    <w:rPr>
      <w:sz w:val="21"/>
      <w:szCs w:val="21"/>
    </w:rPr>
  </w:style>
  <w:style w:type="paragraph" w:styleId="a8">
    <w:name w:val="annotation text"/>
    <w:basedOn w:val="a"/>
    <w:link w:val="Char2"/>
    <w:uiPriority w:val="99"/>
    <w:semiHidden/>
    <w:unhideWhenUsed/>
    <w:rsid w:val="008E018D"/>
    <w:pPr>
      <w:widowControl/>
      <w:spacing w:after="160" w:line="259" w:lineRule="auto"/>
      <w:jc w:val="left"/>
    </w:pPr>
    <w:rPr>
      <w:rFonts w:ascii="Georgia" w:eastAsia="宋体" w:hAnsi="Georgia"/>
      <w:kern w:val="0"/>
      <w:sz w:val="22"/>
    </w:rPr>
  </w:style>
  <w:style w:type="character" w:customStyle="1" w:styleId="Char2">
    <w:name w:val="批注文字 Char"/>
    <w:basedOn w:val="a0"/>
    <w:link w:val="a8"/>
    <w:uiPriority w:val="99"/>
    <w:semiHidden/>
    <w:rsid w:val="008E018D"/>
    <w:rPr>
      <w:rFonts w:ascii="Georgia" w:eastAsia="宋体" w:hAnsi="Georgia"/>
      <w:kern w:val="0"/>
      <w:sz w:val="22"/>
    </w:rPr>
  </w:style>
  <w:style w:type="paragraph" w:styleId="a9">
    <w:name w:val="annotation subject"/>
    <w:basedOn w:val="a8"/>
    <w:next w:val="a8"/>
    <w:link w:val="Char3"/>
    <w:uiPriority w:val="99"/>
    <w:semiHidden/>
    <w:unhideWhenUsed/>
    <w:rsid w:val="008E018D"/>
    <w:pPr>
      <w:widowControl w:val="0"/>
      <w:spacing w:after="0" w:line="240" w:lineRule="auto"/>
      <w:jc w:val="both"/>
    </w:pPr>
    <w:rPr>
      <w:rFonts w:asciiTheme="minorHAnsi" w:eastAsiaTheme="minorEastAsia" w:hAnsiTheme="minorHAnsi"/>
      <w:b/>
      <w:bCs/>
      <w:kern w:val="2"/>
      <w:sz w:val="20"/>
      <w:szCs w:val="20"/>
    </w:rPr>
  </w:style>
  <w:style w:type="character" w:customStyle="1" w:styleId="Char3">
    <w:name w:val="批注主题 Char"/>
    <w:basedOn w:val="Char2"/>
    <w:link w:val="a9"/>
    <w:uiPriority w:val="99"/>
    <w:semiHidden/>
    <w:rsid w:val="008E018D"/>
    <w:rPr>
      <w:rFonts w:ascii="Georgia" w:eastAsia="宋体" w:hAnsi="Georgia"/>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5347">
      <w:bodyDiv w:val="1"/>
      <w:marLeft w:val="0"/>
      <w:marRight w:val="0"/>
      <w:marTop w:val="0"/>
      <w:marBottom w:val="0"/>
      <w:divBdr>
        <w:top w:val="none" w:sz="0" w:space="0" w:color="auto"/>
        <w:left w:val="none" w:sz="0" w:space="0" w:color="auto"/>
        <w:bottom w:val="none" w:sz="0" w:space="0" w:color="auto"/>
        <w:right w:val="none" w:sz="0" w:space="0" w:color="auto"/>
      </w:divBdr>
    </w:div>
    <w:div w:id="96412005">
      <w:bodyDiv w:val="1"/>
      <w:marLeft w:val="0"/>
      <w:marRight w:val="0"/>
      <w:marTop w:val="0"/>
      <w:marBottom w:val="0"/>
      <w:divBdr>
        <w:top w:val="none" w:sz="0" w:space="0" w:color="auto"/>
        <w:left w:val="none" w:sz="0" w:space="0" w:color="auto"/>
        <w:bottom w:val="none" w:sz="0" w:space="0" w:color="auto"/>
        <w:right w:val="none" w:sz="0" w:space="0" w:color="auto"/>
      </w:divBdr>
    </w:div>
    <w:div w:id="206378247">
      <w:bodyDiv w:val="1"/>
      <w:marLeft w:val="0"/>
      <w:marRight w:val="0"/>
      <w:marTop w:val="0"/>
      <w:marBottom w:val="0"/>
      <w:divBdr>
        <w:top w:val="none" w:sz="0" w:space="0" w:color="auto"/>
        <w:left w:val="none" w:sz="0" w:space="0" w:color="auto"/>
        <w:bottom w:val="none" w:sz="0" w:space="0" w:color="auto"/>
        <w:right w:val="none" w:sz="0" w:space="0" w:color="auto"/>
      </w:divBdr>
    </w:div>
    <w:div w:id="274679478">
      <w:bodyDiv w:val="1"/>
      <w:marLeft w:val="0"/>
      <w:marRight w:val="0"/>
      <w:marTop w:val="0"/>
      <w:marBottom w:val="0"/>
      <w:divBdr>
        <w:top w:val="none" w:sz="0" w:space="0" w:color="auto"/>
        <w:left w:val="none" w:sz="0" w:space="0" w:color="auto"/>
        <w:bottom w:val="none" w:sz="0" w:space="0" w:color="auto"/>
        <w:right w:val="none" w:sz="0" w:space="0" w:color="auto"/>
      </w:divBdr>
    </w:div>
    <w:div w:id="331492921">
      <w:bodyDiv w:val="1"/>
      <w:marLeft w:val="0"/>
      <w:marRight w:val="0"/>
      <w:marTop w:val="0"/>
      <w:marBottom w:val="0"/>
      <w:divBdr>
        <w:top w:val="none" w:sz="0" w:space="0" w:color="auto"/>
        <w:left w:val="none" w:sz="0" w:space="0" w:color="auto"/>
        <w:bottom w:val="none" w:sz="0" w:space="0" w:color="auto"/>
        <w:right w:val="none" w:sz="0" w:space="0" w:color="auto"/>
      </w:divBdr>
    </w:div>
    <w:div w:id="342711969">
      <w:bodyDiv w:val="1"/>
      <w:marLeft w:val="0"/>
      <w:marRight w:val="0"/>
      <w:marTop w:val="0"/>
      <w:marBottom w:val="0"/>
      <w:divBdr>
        <w:top w:val="none" w:sz="0" w:space="0" w:color="auto"/>
        <w:left w:val="none" w:sz="0" w:space="0" w:color="auto"/>
        <w:bottom w:val="none" w:sz="0" w:space="0" w:color="auto"/>
        <w:right w:val="none" w:sz="0" w:space="0" w:color="auto"/>
      </w:divBdr>
    </w:div>
    <w:div w:id="411510050">
      <w:bodyDiv w:val="1"/>
      <w:marLeft w:val="0"/>
      <w:marRight w:val="0"/>
      <w:marTop w:val="0"/>
      <w:marBottom w:val="0"/>
      <w:divBdr>
        <w:top w:val="none" w:sz="0" w:space="0" w:color="auto"/>
        <w:left w:val="none" w:sz="0" w:space="0" w:color="auto"/>
        <w:bottom w:val="none" w:sz="0" w:space="0" w:color="auto"/>
        <w:right w:val="none" w:sz="0" w:space="0" w:color="auto"/>
      </w:divBdr>
    </w:div>
    <w:div w:id="582296146">
      <w:bodyDiv w:val="1"/>
      <w:marLeft w:val="0"/>
      <w:marRight w:val="0"/>
      <w:marTop w:val="0"/>
      <w:marBottom w:val="0"/>
      <w:divBdr>
        <w:top w:val="none" w:sz="0" w:space="0" w:color="auto"/>
        <w:left w:val="none" w:sz="0" w:space="0" w:color="auto"/>
        <w:bottom w:val="none" w:sz="0" w:space="0" w:color="auto"/>
        <w:right w:val="none" w:sz="0" w:space="0" w:color="auto"/>
      </w:divBdr>
    </w:div>
    <w:div w:id="612057105">
      <w:bodyDiv w:val="1"/>
      <w:marLeft w:val="0"/>
      <w:marRight w:val="0"/>
      <w:marTop w:val="0"/>
      <w:marBottom w:val="0"/>
      <w:divBdr>
        <w:top w:val="none" w:sz="0" w:space="0" w:color="auto"/>
        <w:left w:val="none" w:sz="0" w:space="0" w:color="auto"/>
        <w:bottom w:val="none" w:sz="0" w:space="0" w:color="auto"/>
        <w:right w:val="none" w:sz="0" w:space="0" w:color="auto"/>
      </w:divBdr>
    </w:div>
    <w:div w:id="667713347">
      <w:bodyDiv w:val="1"/>
      <w:marLeft w:val="0"/>
      <w:marRight w:val="0"/>
      <w:marTop w:val="0"/>
      <w:marBottom w:val="0"/>
      <w:divBdr>
        <w:top w:val="none" w:sz="0" w:space="0" w:color="auto"/>
        <w:left w:val="none" w:sz="0" w:space="0" w:color="auto"/>
        <w:bottom w:val="none" w:sz="0" w:space="0" w:color="auto"/>
        <w:right w:val="none" w:sz="0" w:space="0" w:color="auto"/>
      </w:divBdr>
    </w:div>
    <w:div w:id="719667215">
      <w:bodyDiv w:val="1"/>
      <w:marLeft w:val="0"/>
      <w:marRight w:val="0"/>
      <w:marTop w:val="0"/>
      <w:marBottom w:val="0"/>
      <w:divBdr>
        <w:top w:val="none" w:sz="0" w:space="0" w:color="auto"/>
        <w:left w:val="none" w:sz="0" w:space="0" w:color="auto"/>
        <w:bottom w:val="none" w:sz="0" w:space="0" w:color="auto"/>
        <w:right w:val="none" w:sz="0" w:space="0" w:color="auto"/>
      </w:divBdr>
    </w:div>
    <w:div w:id="724182217">
      <w:bodyDiv w:val="1"/>
      <w:marLeft w:val="0"/>
      <w:marRight w:val="0"/>
      <w:marTop w:val="0"/>
      <w:marBottom w:val="0"/>
      <w:divBdr>
        <w:top w:val="none" w:sz="0" w:space="0" w:color="auto"/>
        <w:left w:val="none" w:sz="0" w:space="0" w:color="auto"/>
        <w:bottom w:val="none" w:sz="0" w:space="0" w:color="auto"/>
        <w:right w:val="none" w:sz="0" w:space="0" w:color="auto"/>
      </w:divBdr>
    </w:div>
    <w:div w:id="749473076">
      <w:bodyDiv w:val="1"/>
      <w:marLeft w:val="0"/>
      <w:marRight w:val="0"/>
      <w:marTop w:val="0"/>
      <w:marBottom w:val="0"/>
      <w:divBdr>
        <w:top w:val="none" w:sz="0" w:space="0" w:color="auto"/>
        <w:left w:val="none" w:sz="0" w:space="0" w:color="auto"/>
        <w:bottom w:val="none" w:sz="0" w:space="0" w:color="auto"/>
        <w:right w:val="none" w:sz="0" w:space="0" w:color="auto"/>
      </w:divBdr>
    </w:div>
    <w:div w:id="750736422">
      <w:bodyDiv w:val="1"/>
      <w:marLeft w:val="0"/>
      <w:marRight w:val="0"/>
      <w:marTop w:val="0"/>
      <w:marBottom w:val="0"/>
      <w:divBdr>
        <w:top w:val="none" w:sz="0" w:space="0" w:color="auto"/>
        <w:left w:val="none" w:sz="0" w:space="0" w:color="auto"/>
        <w:bottom w:val="none" w:sz="0" w:space="0" w:color="auto"/>
        <w:right w:val="none" w:sz="0" w:space="0" w:color="auto"/>
      </w:divBdr>
    </w:div>
    <w:div w:id="789124785">
      <w:bodyDiv w:val="1"/>
      <w:marLeft w:val="0"/>
      <w:marRight w:val="0"/>
      <w:marTop w:val="0"/>
      <w:marBottom w:val="0"/>
      <w:divBdr>
        <w:top w:val="none" w:sz="0" w:space="0" w:color="auto"/>
        <w:left w:val="none" w:sz="0" w:space="0" w:color="auto"/>
        <w:bottom w:val="none" w:sz="0" w:space="0" w:color="auto"/>
        <w:right w:val="none" w:sz="0" w:space="0" w:color="auto"/>
      </w:divBdr>
    </w:div>
    <w:div w:id="795297715">
      <w:bodyDiv w:val="1"/>
      <w:marLeft w:val="0"/>
      <w:marRight w:val="0"/>
      <w:marTop w:val="0"/>
      <w:marBottom w:val="0"/>
      <w:divBdr>
        <w:top w:val="none" w:sz="0" w:space="0" w:color="auto"/>
        <w:left w:val="none" w:sz="0" w:space="0" w:color="auto"/>
        <w:bottom w:val="none" w:sz="0" w:space="0" w:color="auto"/>
        <w:right w:val="none" w:sz="0" w:space="0" w:color="auto"/>
      </w:divBdr>
    </w:div>
    <w:div w:id="840391950">
      <w:bodyDiv w:val="1"/>
      <w:marLeft w:val="0"/>
      <w:marRight w:val="0"/>
      <w:marTop w:val="0"/>
      <w:marBottom w:val="0"/>
      <w:divBdr>
        <w:top w:val="none" w:sz="0" w:space="0" w:color="auto"/>
        <w:left w:val="none" w:sz="0" w:space="0" w:color="auto"/>
        <w:bottom w:val="none" w:sz="0" w:space="0" w:color="auto"/>
        <w:right w:val="none" w:sz="0" w:space="0" w:color="auto"/>
      </w:divBdr>
    </w:div>
    <w:div w:id="846016675">
      <w:bodyDiv w:val="1"/>
      <w:marLeft w:val="0"/>
      <w:marRight w:val="0"/>
      <w:marTop w:val="0"/>
      <w:marBottom w:val="0"/>
      <w:divBdr>
        <w:top w:val="none" w:sz="0" w:space="0" w:color="auto"/>
        <w:left w:val="none" w:sz="0" w:space="0" w:color="auto"/>
        <w:bottom w:val="none" w:sz="0" w:space="0" w:color="auto"/>
        <w:right w:val="none" w:sz="0" w:space="0" w:color="auto"/>
      </w:divBdr>
    </w:div>
    <w:div w:id="913587966">
      <w:bodyDiv w:val="1"/>
      <w:marLeft w:val="0"/>
      <w:marRight w:val="0"/>
      <w:marTop w:val="0"/>
      <w:marBottom w:val="0"/>
      <w:divBdr>
        <w:top w:val="none" w:sz="0" w:space="0" w:color="auto"/>
        <w:left w:val="none" w:sz="0" w:space="0" w:color="auto"/>
        <w:bottom w:val="none" w:sz="0" w:space="0" w:color="auto"/>
        <w:right w:val="none" w:sz="0" w:space="0" w:color="auto"/>
      </w:divBdr>
    </w:div>
    <w:div w:id="973414729">
      <w:bodyDiv w:val="1"/>
      <w:marLeft w:val="0"/>
      <w:marRight w:val="0"/>
      <w:marTop w:val="0"/>
      <w:marBottom w:val="0"/>
      <w:divBdr>
        <w:top w:val="none" w:sz="0" w:space="0" w:color="auto"/>
        <w:left w:val="none" w:sz="0" w:space="0" w:color="auto"/>
        <w:bottom w:val="none" w:sz="0" w:space="0" w:color="auto"/>
        <w:right w:val="none" w:sz="0" w:space="0" w:color="auto"/>
      </w:divBdr>
    </w:div>
    <w:div w:id="1036731968">
      <w:bodyDiv w:val="1"/>
      <w:marLeft w:val="0"/>
      <w:marRight w:val="0"/>
      <w:marTop w:val="0"/>
      <w:marBottom w:val="0"/>
      <w:divBdr>
        <w:top w:val="none" w:sz="0" w:space="0" w:color="auto"/>
        <w:left w:val="none" w:sz="0" w:space="0" w:color="auto"/>
        <w:bottom w:val="none" w:sz="0" w:space="0" w:color="auto"/>
        <w:right w:val="none" w:sz="0" w:space="0" w:color="auto"/>
      </w:divBdr>
    </w:div>
    <w:div w:id="1060404743">
      <w:bodyDiv w:val="1"/>
      <w:marLeft w:val="0"/>
      <w:marRight w:val="0"/>
      <w:marTop w:val="0"/>
      <w:marBottom w:val="0"/>
      <w:divBdr>
        <w:top w:val="none" w:sz="0" w:space="0" w:color="auto"/>
        <w:left w:val="none" w:sz="0" w:space="0" w:color="auto"/>
        <w:bottom w:val="none" w:sz="0" w:space="0" w:color="auto"/>
        <w:right w:val="none" w:sz="0" w:space="0" w:color="auto"/>
      </w:divBdr>
    </w:div>
    <w:div w:id="1217278951">
      <w:bodyDiv w:val="1"/>
      <w:marLeft w:val="0"/>
      <w:marRight w:val="0"/>
      <w:marTop w:val="0"/>
      <w:marBottom w:val="0"/>
      <w:divBdr>
        <w:top w:val="none" w:sz="0" w:space="0" w:color="auto"/>
        <w:left w:val="none" w:sz="0" w:space="0" w:color="auto"/>
        <w:bottom w:val="none" w:sz="0" w:space="0" w:color="auto"/>
        <w:right w:val="none" w:sz="0" w:space="0" w:color="auto"/>
      </w:divBdr>
    </w:div>
    <w:div w:id="1285119857">
      <w:bodyDiv w:val="1"/>
      <w:marLeft w:val="0"/>
      <w:marRight w:val="0"/>
      <w:marTop w:val="0"/>
      <w:marBottom w:val="0"/>
      <w:divBdr>
        <w:top w:val="none" w:sz="0" w:space="0" w:color="auto"/>
        <w:left w:val="none" w:sz="0" w:space="0" w:color="auto"/>
        <w:bottom w:val="none" w:sz="0" w:space="0" w:color="auto"/>
        <w:right w:val="none" w:sz="0" w:space="0" w:color="auto"/>
      </w:divBdr>
    </w:div>
    <w:div w:id="1307394310">
      <w:bodyDiv w:val="1"/>
      <w:marLeft w:val="0"/>
      <w:marRight w:val="0"/>
      <w:marTop w:val="0"/>
      <w:marBottom w:val="0"/>
      <w:divBdr>
        <w:top w:val="none" w:sz="0" w:space="0" w:color="auto"/>
        <w:left w:val="none" w:sz="0" w:space="0" w:color="auto"/>
        <w:bottom w:val="none" w:sz="0" w:space="0" w:color="auto"/>
        <w:right w:val="none" w:sz="0" w:space="0" w:color="auto"/>
      </w:divBdr>
    </w:div>
    <w:div w:id="1326204351">
      <w:bodyDiv w:val="1"/>
      <w:marLeft w:val="0"/>
      <w:marRight w:val="0"/>
      <w:marTop w:val="0"/>
      <w:marBottom w:val="0"/>
      <w:divBdr>
        <w:top w:val="none" w:sz="0" w:space="0" w:color="auto"/>
        <w:left w:val="none" w:sz="0" w:space="0" w:color="auto"/>
        <w:bottom w:val="none" w:sz="0" w:space="0" w:color="auto"/>
        <w:right w:val="none" w:sz="0" w:space="0" w:color="auto"/>
      </w:divBdr>
    </w:div>
    <w:div w:id="1330598773">
      <w:bodyDiv w:val="1"/>
      <w:marLeft w:val="0"/>
      <w:marRight w:val="0"/>
      <w:marTop w:val="0"/>
      <w:marBottom w:val="0"/>
      <w:divBdr>
        <w:top w:val="none" w:sz="0" w:space="0" w:color="auto"/>
        <w:left w:val="none" w:sz="0" w:space="0" w:color="auto"/>
        <w:bottom w:val="none" w:sz="0" w:space="0" w:color="auto"/>
        <w:right w:val="none" w:sz="0" w:space="0" w:color="auto"/>
      </w:divBdr>
    </w:div>
    <w:div w:id="1331757835">
      <w:bodyDiv w:val="1"/>
      <w:marLeft w:val="0"/>
      <w:marRight w:val="0"/>
      <w:marTop w:val="0"/>
      <w:marBottom w:val="0"/>
      <w:divBdr>
        <w:top w:val="none" w:sz="0" w:space="0" w:color="auto"/>
        <w:left w:val="none" w:sz="0" w:space="0" w:color="auto"/>
        <w:bottom w:val="none" w:sz="0" w:space="0" w:color="auto"/>
        <w:right w:val="none" w:sz="0" w:space="0" w:color="auto"/>
      </w:divBdr>
    </w:div>
    <w:div w:id="1387413995">
      <w:bodyDiv w:val="1"/>
      <w:marLeft w:val="0"/>
      <w:marRight w:val="0"/>
      <w:marTop w:val="0"/>
      <w:marBottom w:val="0"/>
      <w:divBdr>
        <w:top w:val="none" w:sz="0" w:space="0" w:color="auto"/>
        <w:left w:val="none" w:sz="0" w:space="0" w:color="auto"/>
        <w:bottom w:val="none" w:sz="0" w:space="0" w:color="auto"/>
        <w:right w:val="none" w:sz="0" w:space="0" w:color="auto"/>
      </w:divBdr>
    </w:div>
    <w:div w:id="1410806670">
      <w:bodyDiv w:val="1"/>
      <w:marLeft w:val="0"/>
      <w:marRight w:val="0"/>
      <w:marTop w:val="0"/>
      <w:marBottom w:val="0"/>
      <w:divBdr>
        <w:top w:val="none" w:sz="0" w:space="0" w:color="auto"/>
        <w:left w:val="none" w:sz="0" w:space="0" w:color="auto"/>
        <w:bottom w:val="none" w:sz="0" w:space="0" w:color="auto"/>
        <w:right w:val="none" w:sz="0" w:space="0" w:color="auto"/>
      </w:divBdr>
    </w:div>
    <w:div w:id="1463578079">
      <w:bodyDiv w:val="1"/>
      <w:marLeft w:val="0"/>
      <w:marRight w:val="0"/>
      <w:marTop w:val="0"/>
      <w:marBottom w:val="0"/>
      <w:divBdr>
        <w:top w:val="none" w:sz="0" w:space="0" w:color="auto"/>
        <w:left w:val="none" w:sz="0" w:space="0" w:color="auto"/>
        <w:bottom w:val="none" w:sz="0" w:space="0" w:color="auto"/>
        <w:right w:val="none" w:sz="0" w:space="0" w:color="auto"/>
      </w:divBdr>
    </w:div>
    <w:div w:id="1621764836">
      <w:bodyDiv w:val="1"/>
      <w:marLeft w:val="0"/>
      <w:marRight w:val="0"/>
      <w:marTop w:val="0"/>
      <w:marBottom w:val="0"/>
      <w:divBdr>
        <w:top w:val="none" w:sz="0" w:space="0" w:color="auto"/>
        <w:left w:val="none" w:sz="0" w:space="0" w:color="auto"/>
        <w:bottom w:val="none" w:sz="0" w:space="0" w:color="auto"/>
        <w:right w:val="none" w:sz="0" w:space="0" w:color="auto"/>
      </w:divBdr>
    </w:div>
    <w:div w:id="1662352082">
      <w:bodyDiv w:val="1"/>
      <w:marLeft w:val="0"/>
      <w:marRight w:val="0"/>
      <w:marTop w:val="0"/>
      <w:marBottom w:val="0"/>
      <w:divBdr>
        <w:top w:val="none" w:sz="0" w:space="0" w:color="auto"/>
        <w:left w:val="none" w:sz="0" w:space="0" w:color="auto"/>
        <w:bottom w:val="none" w:sz="0" w:space="0" w:color="auto"/>
        <w:right w:val="none" w:sz="0" w:space="0" w:color="auto"/>
      </w:divBdr>
    </w:div>
    <w:div w:id="1722092694">
      <w:bodyDiv w:val="1"/>
      <w:marLeft w:val="0"/>
      <w:marRight w:val="0"/>
      <w:marTop w:val="0"/>
      <w:marBottom w:val="0"/>
      <w:divBdr>
        <w:top w:val="none" w:sz="0" w:space="0" w:color="auto"/>
        <w:left w:val="none" w:sz="0" w:space="0" w:color="auto"/>
        <w:bottom w:val="none" w:sz="0" w:space="0" w:color="auto"/>
        <w:right w:val="none" w:sz="0" w:space="0" w:color="auto"/>
      </w:divBdr>
    </w:div>
    <w:div w:id="1795556789">
      <w:bodyDiv w:val="1"/>
      <w:marLeft w:val="0"/>
      <w:marRight w:val="0"/>
      <w:marTop w:val="0"/>
      <w:marBottom w:val="0"/>
      <w:divBdr>
        <w:top w:val="none" w:sz="0" w:space="0" w:color="auto"/>
        <w:left w:val="none" w:sz="0" w:space="0" w:color="auto"/>
        <w:bottom w:val="none" w:sz="0" w:space="0" w:color="auto"/>
        <w:right w:val="none" w:sz="0" w:space="0" w:color="auto"/>
      </w:divBdr>
    </w:div>
    <w:div w:id="1809735652">
      <w:bodyDiv w:val="1"/>
      <w:marLeft w:val="0"/>
      <w:marRight w:val="0"/>
      <w:marTop w:val="0"/>
      <w:marBottom w:val="0"/>
      <w:divBdr>
        <w:top w:val="none" w:sz="0" w:space="0" w:color="auto"/>
        <w:left w:val="none" w:sz="0" w:space="0" w:color="auto"/>
        <w:bottom w:val="none" w:sz="0" w:space="0" w:color="auto"/>
        <w:right w:val="none" w:sz="0" w:space="0" w:color="auto"/>
      </w:divBdr>
    </w:div>
    <w:div w:id="1946771586">
      <w:bodyDiv w:val="1"/>
      <w:marLeft w:val="0"/>
      <w:marRight w:val="0"/>
      <w:marTop w:val="0"/>
      <w:marBottom w:val="0"/>
      <w:divBdr>
        <w:top w:val="none" w:sz="0" w:space="0" w:color="auto"/>
        <w:left w:val="none" w:sz="0" w:space="0" w:color="auto"/>
        <w:bottom w:val="none" w:sz="0" w:space="0" w:color="auto"/>
        <w:right w:val="none" w:sz="0" w:space="0" w:color="auto"/>
      </w:divBdr>
    </w:div>
    <w:div w:id="1958291410">
      <w:bodyDiv w:val="1"/>
      <w:marLeft w:val="0"/>
      <w:marRight w:val="0"/>
      <w:marTop w:val="0"/>
      <w:marBottom w:val="0"/>
      <w:divBdr>
        <w:top w:val="none" w:sz="0" w:space="0" w:color="auto"/>
        <w:left w:val="none" w:sz="0" w:space="0" w:color="auto"/>
        <w:bottom w:val="none" w:sz="0" w:space="0" w:color="auto"/>
        <w:right w:val="none" w:sz="0" w:space="0" w:color="auto"/>
      </w:divBdr>
    </w:div>
    <w:div w:id="2053381321">
      <w:bodyDiv w:val="1"/>
      <w:marLeft w:val="0"/>
      <w:marRight w:val="0"/>
      <w:marTop w:val="0"/>
      <w:marBottom w:val="0"/>
      <w:divBdr>
        <w:top w:val="none" w:sz="0" w:space="0" w:color="auto"/>
        <w:left w:val="none" w:sz="0" w:space="0" w:color="auto"/>
        <w:bottom w:val="none" w:sz="0" w:space="0" w:color="auto"/>
        <w:right w:val="none" w:sz="0" w:space="0" w:color="auto"/>
      </w:divBdr>
    </w:div>
    <w:div w:id="2054965160">
      <w:bodyDiv w:val="1"/>
      <w:marLeft w:val="0"/>
      <w:marRight w:val="0"/>
      <w:marTop w:val="0"/>
      <w:marBottom w:val="0"/>
      <w:divBdr>
        <w:top w:val="none" w:sz="0" w:space="0" w:color="auto"/>
        <w:left w:val="none" w:sz="0" w:space="0" w:color="auto"/>
        <w:bottom w:val="none" w:sz="0" w:space="0" w:color="auto"/>
        <w:right w:val="none" w:sz="0" w:space="0" w:color="auto"/>
      </w:divBdr>
    </w:div>
    <w:div w:id="2098481340">
      <w:bodyDiv w:val="1"/>
      <w:marLeft w:val="0"/>
      <w:marRight w:val="0"/>
      <w:marTop w:val="0"/>
      <w:marBottom w:val="0"/>
      <w:divBdr>
        <w:top w:val="none" w:sz="0" w:space="0" w:color="auto"/>
        <w:left w:val="none" w:sz="0" w:space="0" w:color="auto"/>
        <w:bottom w:val="none" w:sz="0" w:space="0" w:color="auto"/>
        <w:right w:val="none" w:sz="0" w:space="0" w:color="auto"/>
      </w:divBdr>
    </w:div>
    <w:div w:id="212765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刘诗成</dc:creator>
  <cp:lastModifiedBy>余斌</cp:lastModifiedBy>
  <cp:revision>4</cp:revision>
  <cp:lastPrinted>2021-08-27T01:16:00Z</cp:lastPrinted>
  <dcterms:created xsi:type="dcterms:W3CDTF">2022-08-19T06:08:00Z</dcterms:created>
  <dcterms:modified xsi:type="dcterms:W3CDTF">2022-08-24T00:49:00Z</dcterms:modified>
</cp:coreProperties>
</file>