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4C" w:rsidRPr="00072977" w:rsidRDefault="00072977" w:rsidP="00072977">
      <w:pPr>
        <w:jc w:val="center"/>
        <w:rPr>
          <w:b/>
          <w:sz w:val="28"/>
        </w:rPr>
      </w:pPr>
      <w:bookmarkStart w:id="0" w:name="OLE_LINK1"/>
      <w:bookmarkStart w:id="1" w:name="_GoBack"/>
      <w:r w:rsidRPr="00072977">
        <w:rPr>
          <w:rFonts w:hint="eastAsia"/>
          <w:b/>
          <w:sz w:val="28"/>
        </w:rPr>
        <w:t>苏州银行股份有限公司</w:t>
      </w:r>
    </w:p>
    <w:p w:rsidR="00072977" w:rsidRDefault="00072977" w:rsidP="00072977">
      <w:pPr>
        <w:jc w:val="center"/>
        <w:rPr>
          <w:b/>
          <w:sz w:val="28"/>
        </w:rPr>
      </w:pPr>
      <w:r w:rsidRPr="00072977">
        <w:rPr>
          <w:rFonts w:hint="eastAsia"/>
          <w:b/>
          <w:sz w:val="28"/>
        </w:rPr>
        <w:t>20</w:t>
      </w:r>
      <w:r w:rsidR="002852DA">
        <w:rPr>
          <w:rFonts w:hint="eastAsia"/>
          <w:b/>
          <w:sz w:val="28"/>
        </w:rPr>
        <w:t>20</w:t>
      </w:r>
      <w:r w:rsidRPr="00072977">
        <w:rPr>
          <w:rFonts w:hint="eastAsia"/>
          <w:b/>
          <w:sz w:val="28"/>
        </w:rPr>
        <w:t>年</w:t>
      </w:r>
      <w:r w:rsidR="002852DA">
        <w:rPr>
          <w:rFonts w:hint="eastAsia"/>
          <w:b/>
          <w:sz w:val="28"/>
        </w:rPr>
        <w:t>上半年</w:t>
      </w:r>
      <w:r w:rsidRPr="00072977">
        <w:rPr>
          <w:rFonts w:hint="eastAsia"/>
          <w:b/>
          <w:sz w:val="28"/>
        </w:rPr>
        <w:t>杠杆</w:t>
      </w:r>
      <w:proofErr w:type="gramStart"/>
      <w:r w:rsidRPr="00072977">
        <w:rPr>
          <w:rFonts w:hint="eastAsia"/>
          <w:b/>
          <w:sz w:val="28"/>
        </w:rPr>
        <w:t>率信息</w:t>
      </w:r>
      <w:proofErr w:type="gramEnd"/>
      <w:r w:rsidRPr="00072977">
        <w:rPr>
          <w:rFonts w:hint="eastAsia"/>
          <w:b/>
          <w:sz w:val="28"/>
        </w:rPr>
        <w:t>披露</w:t>
      </w:r>
    </w:p>
    <w:p w:rsidR="00072977" w:rsidRDefault="00072977" w:rsidP="00072977">
      <w:pPr>
        <w:jc w:val="left"/>
        <w:rPr>
          <w:sz w:val="20"/>
        </w:rPr>
      </w:pPr>
    </w:p>
    <w:p w:rsidR="00072977" w:rsidRPr="00A01C2A" w:rsidRDefault="00072977" w:rsidP="00072977">
      <w:pPr>
        <w:jc w:val="left"/>
        <w:rPr>
          <w:b/>
          <w:sz w:val="24"/>
        </w:rPr>
      </w:pPr>
      <w:r w:rsidRPr="00A01C2A">
        <w:rPr>
          <w:rFonts w:hint="eastAsia"/>
          <w:b/>
          <w:sz w:val="24"/>
        </w:rPr>
        <w:t>表</w:t>
      </w:r>
      <w:r w:rsidRPr="00A01C2A">
        <w:rPr>
          <w:rFonts w:hint="eastAsia"/>
          <w:b/>
          <w:sz w:val="24"/>
        </w:rPr>
        <w:t>1</w:t>
      </w:r>
      <w:r w:rsidRPr="00A01C2A">
        <w:rPr>
          <w:rFonts w:hint="eastAsia"/>
          <w:b/>
          <w:sz w:val="24"/>
        </w:rPr>
        <w:t>：杠杆率监管项目以及对应会计项目情况表</w:t>
      </w:r>
    </w:p>
    <w:p w:rsidR="00072977" w:rsidRDefault="00072977" w:rsidP="00072977">
      <w:pPr>
        <w:jc w:val="left"/>
        <w:rPr>
          <w:sz w:val="20"/>
        </w:rPr>
      </w:pPr>
    </w:p>
    <w:p w:rsidR="00072977" w:rsidRDefault="00072977" w:rsidP="00072977">
      <w:pPr>
        <w:jc w:val="right"/>
        <w:rPr>
          <w:sz w:val="20"/>
        </w:rPr>
      </w:pPr>
      <w:r>
        <w:rPr>
          <w:rFonts w:hint="eastAsia"/>
          <w:sz w:val="20"/>
        </w:rPr>
        <w:t>单位：人民币万元、监管并表口径</w:t>
      </w:r>
    </w:p>
    <w:tbl>
      <w:tblPr>
        <w:tblW w:w="5000" w:type="pct"/>
        <w:tblLook w:val="04A0" w:firstRow="1" w:lastRow="0" w:firstColumn="1" w:lastColumn="0" w:noHBand="0" w:noVBand="1"/>
      </w:tblPr>
      <w:tblGrid>
        <w:gridCol w:w="1027"/>
        <w:gridCol w:w="6191"/>
        <w:gridCol w:w="1502"/>
      </w:tblGrid>
      <w:tr w:rsidR="00072977" w:rsidRPr="00511EAB" w:rsidTr="00072977">
        <w:trPr>
          <w:trHeight w:val="240"/>
        </w:trPr>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072977">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序号</w:t>
            </w:r>
          </w:p>
        </w:tc>
        <w:tc>
          <w:tcPr>
            <w:tcW w:w="3550" w:type="pct"/>
            <w:tcBorders>
              <w:top w:val="single" w:sz="4" w:space="0" w:color="auto"/>
              <w:left w:val="nil"/>
              <w:bottom w:val="single" w:sz="4" w:space="0" w:color="auto"/>
              <w:right w:val="single" w:sz="4" w:space="0" w:color="auto"/>
            </w:tcBorders>
            <w:shd w:val="clear" w:color="auto" w:fill="auto"/>
            <w:noWrap/>
            <w:vAlign w:val="center"/>
            <w:hideMark/>
          </w:tcPr>
          <w:p w:rsidR="00072977" w:rsidRPr="00511EAB" w:rsidRDefault="00072977" w:rsidP="00072977">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项目</w:t>
            </w:r>
          </w:p>
        </w:tc>
        <w:tc>
          <w:tcPr>
            <w:tcW w:w="861" w:type="pct"/>
            <w:tcBorders>
              <w:top w:val="single" w:sz="4" w:space="0" w:color="auto"/>
              <w:left w:val="nil"/>
              <w:bottom w:val="single" w:sz="4" w:space="0" w:color="auto"/>
              <w:right w:val="single" w:sz="4" w:space="0" w:color="auto"/>
            </w:tcBorders>
            <w:shd w:val="clear" w:color="auto" w:fill="auto"/>
            <w:noWrap/>
            <w:vAlign w:val="center"/>
            <w:hideMark/>
          </w:tcPr>
          <w:p w:rsidR="00072977" w:rsidRPr="00511EAB" w:rsidRDefault="00072977" w:rsidP="00072977">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余额</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proofErr w:type="gramStart"/>
            <w:r w:rsidRPr="00511EAB">
              <w:rPr>
                <w:rFonts w:ascii="Times New Roman" w:eastAsia="宋体" w:hAnsi="Times New Roman" w:cs="Times New Roman"/>
                <w:color w:val="000000"/>
                <w:kern w:val="0"/>
                <w:sz w:val="22"/>
              </w:rPr>
              <w:t>并表总资产</w:t>
            </w:r>
            <w:proofErr w:type="gramEnd"/>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38,076,390.66</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并</w:t>
            </w:r>
            <w:proofErr w:type="gramStart"/>
            <w:r w:rsidRPr="00511EAB">
              <w:rPr>
                <w:rFonts w:ascii="Times New Roman" w:eastAsia="宋体" w:hAnsi="Times New Roman" w:cs="Times New Roman"/>
                <w:color w:val="000000"/>
                <w:kern w:val="0"/>
                <w:sz w:val="22"/>
              </w:rPr>
              <w:t>表调整项</w:t>
            </w:r>
            <w:proofErr w:type="gramEnd"/>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511EAB" w:rsidP="000D5846">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002852DA" w:rsidRPr="002E2F7B">
              <w:rPr>
                <w:rFonts w:ascii="Times New Roman" w:eastAsia="宋体" w:hAnsi="Times New Roman" w:cs="Times New Roman"/>
                <w:color w:val="000000"/>
                <w:kern w:val="0"/>
                <w:sz w:val="22"/>
              </w:rPr>
              <w:t>5,672.55</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3</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客户资产调整项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4</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衍生产品调整项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41,405.01</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5</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证券融资交易调整项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00D31E59" w:rsidRPr="002E2F7B">
              <w:rPr>
                <w:rFonts w:ascii="Times New Roman" w:eastAsia="宋体" w:hAnsi="Times New Roman" w:cs="Times New Roman"/>
                <w:color w:val="000000"/>
                <w:kern w:val="0"/>
                <w:sz w:val="22"/>
              </w:rPr>
              <w:t xml:space="preserve"> </w:t>
            </w:r>
            <w:r w:rsidR="00072977" w:rsidRPr="002E2F7B">
              <w:rPr>
                <w:rFonts w:ascii="Times New Roman" w:eastAsia="宋体" w:hAnsi="Times New Roman" w:cs="Times New Roman"/>
                <w:color w:val="000000"/>
                <w:kern w:val="0"/>
                <w:sz w:val="22"/>
              </w:rPr>
              <w:t xml:space="preserve"> </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6</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表外项目调整项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5,495,481.28</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7</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其他调整项</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511EAB"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002852DA" w:rsidRPr="002E2F7B">
              <w:rPr>
                <w:rFonts w:ascii="Times New Roman" w:eastAsia="宋体" w:hAnsi="Times New Roman" w:cs="Times New Roman"/>
                <w:color w:val="000000"/>
                <w:kern w:val="0"/>
                <w:sz w:val="22"/>
              </w:rPr>
              <w:t>14,291.23</w:t>
            </w:r>
          </w:p>
        </w:tc>
      </w:tr>
      <w:tr w:rsidR="00072977" w:rsidRPr="00511EAB" w:rsidTr="00072977">
        <w:trPr>
          <w:trHeight w:val="24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8</w:t>
            </w:r>
          </w:p>
        </w:tc>
        <w:tc>
          <w:tcPr>
            <w:tcW w:w="355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调整后的表内外资产余额</w:t>
            </w:r>
          </w:p>
        </w:tc>
        <w:tc>
          <w:tcPr>
            <w:tcW w:w="861"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43,593,313.17</w:t>
            </w:r>
          </w:p>
        </w:tc>
      </w:tr>
    </w:tbl>
    <w:p w:rsidR="002F223A" w:rsidRDefault="002F223A" w:rsidP="002F223A">
      <w:pPr>
        <w:widowControl/>
        <w:jc w:val="left"/>
        <w:rPr>
          <w:b/>
          <w:sz w:val="24"/>
        </w:rPr>
      </w:pPr>
    </w:p>
    <w:p w:rsidR="00072977" w:rsidRPr="00A01C2A" w:rsidRDefault="00072977" w:rsidP="002F223A">
      <w:pPr>
        <w:widowControl/>
        <w:jc w:val="left"/>
        <w:rPr>
          <w:b/>
          <w:sz w:val="24"/>
        </w:rPr>
      </w:pPr>
      <w:r w:rsidRPr="00A01C2A">
        <w:rPr>
          <w:rFonts w:hint="eastAsia"/>
          <w:b/>
          <w:sz w:val="24"/>
        </w:rPr>
        <w:t>表</w:t>
      </w:r>
      <w:r w:rsidRPr="00A01C2A">
        <w:rPr>
          <w:rFonts w:hint="eastAsia"/>
          <w:b/>
          <w:sz w:val="24"/>
        </w:rPr>
        <w:t>2</w:t>
      </w:r>
      <w:r w:rsidRPr="00A01C2A">
        <w:rPr>
          <w:rFonts w:hint="eastAsia"/>
          <w:b/>
          <w:sz w:val="24"/>
        </w:rPr>
        <w:t>：杠杆</w:t>
      </w:r>
      <w:proofErr w:type="gramStart"/>
      <w:r w:rsidRPr="00A01C2A">
        <w:rPr>
          <w:rFonts w:hint="eastAsia"/>
          <w:b/>
          <w:sz w:val="24"/>
        </w:rPr>
        <w:t>率相关</w:t>
      </w:r>
      <w:proofErr w:type="gramEnd"/>
      <w:r w:rsidRPr="00A01C2A">
        <w:rPr>
          <w:rFonts w:hint="eastAsia"/>
          <w:b/>
          <w:sz w:val="24"/>
        </w:rPr>
        <w:t>明细数据</w:t>
      </w:r>
    </w:p>
    <w:p w:rsidR="00800B47" w:rsidRDefault="00800B47" w:rsidP="00072977">
      <w:pPr>
        <w:jc w:val="left"/>
        <w:rPr>
          <w:sz w:val="20"/>
        </w:rPr>
      </w:pPr>
    </w:p>
    <w:p w:rsidR="00072977" w:rsidRPr="00800B47" w:rsidRDefault="00800B47" w:rsidP="00800B47">
      <w:pPr>
        <w:jc w:val="right"/>
        <w:rPr>
          <w:sz w:val="20"/>
        </w:rPr>
      </w:pPr>
      <w:r>
        <w:rPr>
          <w:rFonts w:hint="eastAsia"/>
          <w:sz w:val="20"/>
        </w:rPr>
        <w:t>单位：人民币万元、监管并表口径</w:t>
      </w:r>
    </w:p>
    <w:tbl>
      <w:tblPr>
        <w:tblW w:w="5000" w:type="pct"/>
        <w:tblLayout w:type="fixed"/>
        <w:tblLook w:val="04A0" w:firstRow="1" w:lastRow="0" w:firstColumn="1" w:lastColumn="0" w:noHBand="0" w:noVBand="1"/>
      </w:tblPr>
      <w:tblGrid>
        <w:gridCol w:w="982"/>
        <w:gridCol w:w="5947"/>
        <w:gridCol w:w="1791"/>
      </w:tblGrid>
      <w:tr w:rsidR="00072977" w:rsidRPr="00511EAB" w:rsidTr="00A01C2A">
        <w:trPr>
          <w:trHeight w:val="240"/>
          <w:tblHeader/>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序号</w:t>
            </w:r>
          </w:p>
        </w:tc>
        <w:tc>
          <w:tcPr>
            <w:tcW w:w="3410" w:type="pct"/>
            <w:tcBorders>
              <w:top w:val="single" w:sz="4" w:space="0" w:color="auto"/>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项目</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余额</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表内资产（除衍生产品和证券融资交易外）</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38,070,718.11</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减：一级资本扣减项</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 xml:space="preserve">14,291.23 </w:t>
            </w:r>
            <w:r w:rsidR="00D31E59" w:rsidRPr="002E2F7B">
              <w:rPr>
                <w:rFonts w:ascii="Times New Roman" w:eastAsia="宋体" w:hAnsi="Times New Roman" w:cs="Times New Roman"/>
                <w:color w:val="000000"/>
                <w:kern w:val="0"/>
                <w:sz w:val="22"/>
              </w:rPr>
              <w:t xml:space="preserve"> </w:t>
            </w:r>
            <w:r w:rsidR="00072977"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3</w:t>
            </w:r>
          </w:p>
        </w:tc>
        <w:tc>
          <w:tcPr>
            <w:tcW w:w="3410" w:type="pct"/>
            <w:tcBorders>
              <w:top w:val="nil"/>
              <w:left w:val="nil"/>
              <w:bottom w:val="single" w:sz="4" w:space="0" w:color="auto"/>
              <w:right w:val="single" w:sz="4" w:space="0" w:color="auto"/>
            </w:tcBorders>
            <w:shd w:val="clear" w:color="auto" w:fill="auto"/>
            <w:noWrap/>
            <w:vAlign w:val="center"/>
            <w:hideMark/>
          </w:tcPr>
          <w:p w:rsidR="00072977" w:rsidRPr="00511EAB" w:rsidRDefault="00072977"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调整后的表内资产余额（衍生产品和证券融资交易除外）</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b/>
                <w:color w:val="000000"/>
                <w:kern w:val="0"/>
                <w:sz w:val="22"/>
              </w:rPr>
            </w:pPr>
            <w:r w:rsidRPr="002E2F7B">
              <w:rPr>
                <w:rFonts w:ascii="Times New Roman" w:eastAsia="宋体" w:hAnsi="Times New Roman" w:cs="Times New Roman"/>
                <w:b/>
                <w:color w:val="000000"/>
                <w:kern w:val="0"/>
                <w:sz w:val="22"/>
              </w:rPr>
              <w:t xml:space="preserve">38,056,426.88 </w:t>
            </w:r>
            <w:r w:rsidR="00072977" w:rsidRPr="002E2F7B">
              <w:rPr>
                <w:rFonts w:ascii="Times New Roman" w:eastAsia="宋体" w:hAnsi="Times New Roman" w:cs="Times New Roman"/>
                <w:b/>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4</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各类衍生产品的重置成本（扣除合格保证金）</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 xml:space="preserve">3,391.31 </w:t>
            </w:r>
            <w:r w:rsidR="00072977"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5</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各类衍生产品的潜在风险暴露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 xml:space="preserve">38,013.70 </w:t>
            </w:r>
            <w:r w:rsidR="00D31E59" w:rsidRPr="002E2F7B">
              <w:rPr>
                <w:rFonts w:ascii="Times New Roman" w:eastAsia="宋体" w:hAnsi="Times New Roman" w:cs="Times New Roman"/>
                <w:color w:val="000000"/>
                <w:kern w:val="0"/>
                <w:sz w:val="22"/>
              </w:rPr>
              <w:t xml:space="preserve"> </w:t>
            </w:r>
            <w:r w:rsidR="00072977"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6</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已从资产负债表中扣除的抵质押品总和</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7</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减：因提供合格保证金形成的应收资产</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8</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减：为客户提供清算服务时与中央交易对手交易形成的衍生产品资产余额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9</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卖出信用衍生产品的名义本金</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10</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减：可扣除的卖出信用衍生产品资产余额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11</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衍生产品资产余额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b/>
                <w:color w:val="000000"/>
                <w:kern w:val="0"/>
                <w:sz w:val="22"/>
              </w:rPr>
            </w:pPr>
            <w:r w:rsidRPr="002E2F7B">
              <w:rPr>
                <w:rFonts w:ascii="Times New Roman" w:eastAsia="宋体" w:hAnsi="Times New Roman" w:cs="Times New Roman"/>
                <w:b/>
                <w:color w:val="000000"/>
                <w:kern w:val="0"/>
                <w:sz w:val="22"/>
              </w:rPr>
              <w:t xml:space="preserve">41,405.01 </w:t>
            </w:r>
            <w:r w:rsidR="00D31E59" w:rsidRPr="002E2F7B">
              <w:rPr>
                <w:rFonts w:ascii="Times New Roman" w:eastAsia="宋体" w:hAnsi="Times New Roman" w:cs="Times New Roman"/>
                <w:b/>
                <w:color w:val="000000"/>
                <w:kern w:val="0"/>
                <w:sz w:val="22"/>
              </w:rPr>
              <w:t xml:space="preserve"> </w:t>
            </w:r>
            <w:r w:rsidR="00072977" w:rsidRPr="002E2F7B">
              <w:rPr>
                <w:rFonts w:ascii="Times New Roman" w:eastAsia="宋体" w:hAnsi="Times New Roman" w:cs="Times New Roman"/>
                <w:b/>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12</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证券融资交易的会计资产余额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00072977"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13</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减：可以扣除的证券融资交易资产余额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14</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证券融资交易的交易对手信用风险暴露</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00072977"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15</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代理证券融资交易形成的证券融资交易资产余额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072977"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w:t>
            </w:r>
            <w:r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16</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证券融资交易资产余额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2852DA" w:rsidP="00A01C2A">
            <w:pPr>
              <w:widowControl/>
              <w:jc w:val="right"/>
              <w:rPr>
                <w:rFonts w:ascii="Times New Roman" w:eastAsia="宋体" w:hAnsi="Times New Roman" w:cs="Times New Roman"/>
                <w:b/>
                <w:color w:val="000000"/>
                <w:kern w:val="0"/>
                <w:sz w:val="22"/>
              </w:rPr>
            </w:pPr>
            <w:r w:rsidRPr="002E2F7B">
              <w:rPr>
                <w:rFonts w:ascii="Times New Roman" w:eastAsia="宋体" w:hAnsi="Times New Roman" w:cs="Times New Roman"/>
                <w:b/>
                <w:color w:val="000000"/>
                <w:kern w:val="0"/>
                <w:sz w:val="22"/>
              </w:rPr>
              <w:t>-</w:t>
            </w:r>
          </w:p>
        </w:tc>
      </w:tr>
      <w:tr w:rsidR="00F3281B" w:rsidRPr="00511EAB" w:rsidTr="00173FA9">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F3281B" w:rsidRPr="00511EAB" w:rsidRDefault="00F3281B"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17</w:t>
            </w:r>
          </w:p>
        </w:tc>
        <w:tc>
          <w:tcPr>
            <w:tcW w:w="3410" w:type="pct"/>
            <w:tcBorders>
              <w:top w:val="nil"/>
              <w:left w:val="nil"/>
              <w:bottom w:val="single" w:sz="4" w:space="0" w:color="auto"/>
              <w:right w:val="single" w:sz="4" w:space="0" w:color="auto"/>
            </w:tcBorders>
            <w:shd w:val="clear" w:color="auto" w:fill="auto"/>
            <w:vAlign w:val="center"/>
            <w:hideMark/>
          </w:tcPr>
          <w:p w:rsidR="00F3281B" w:rsidRPr="00511EAB" w:rsidRDefault="00F3281B"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表外项目余额</w:t>
            </w:r>
          </w:p>
        </w:tc>
        <w:tc>
          <w:tcPr>
            <w:tcW w:w="1027" w:type="pct"/>
            <w:tcBorders>
              <w:top w:val="nil"/>
              <w:left w:val="nil"/>
              <w:bottom w:val="single" w:sz="4" w:space="0" w:color="auto"/>
              <w:right w:val="single" w:sz="4" w:space="0" w:color="auto"/>
            </w:tcBorders>
            <w:shd w:val="clear" w:color="auto" w:fill="auto"/>
            <w:noWrap/>
            <w:hideMark/>
          </w:tcPr>
          <w:p w:rsidR="00F3281B" w:rsidRPr="00957EB3" w:rsidRDefault="00F3281B" w:rsidP="00F3281B">
            <w:pPr>
              <w:widowControl/>
              <w:jc w:val="right"/>
              <w:rPr>
                <w:rFonts w:ascii="Times New Roman" w:eastAsia="宋体" w:hAnsi="Times New Roman" w:cs="Times New Roman"/>
                <w:color w:val="000000"/>
                <w:kern w:val="0"/>
                <w:sz w:val="22"/>
              </w:rPr>
            </w:pPr>
            <w:r w:rsidRPr="00957EB3">
              <w:rPr>
                <w:rFonts w:ascii="Times New Roman" w:eastAsia="宋体" w:hAnsi="Times New Roman" w:cs="Times New Roman"/>
                <w:color w:val="000000"/>
                <w:kern w:val="0"/>
                <w:sz w:val="22"/>
              </w:rPr>
              <w:t>12,808,975.67</w:t>
            </w:r>
          </w:p>
        </w:tc>
      </w:tr>
      <w:tr w:rsidR="00F3281B" w:rsidRPr="00511EAB" w:rsidTr="00173FA9">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F3281B" w:rsidRPr="00511EAB" w:rsidRDefault="00F3281B"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18</w:t>
            </w:r>
          </w:p>
        </w:tc>
        <w:tc>
          <w:tcPr>
            <w:tcW w:w="3410" w:type="pct"/>
            <w:tcBorders>
              <w:top w:val="nil"/>
              <w:left w:val="nil"/>
              <w:bottom w:val="single" w:sz="4" w:space="0" w:color="auto"/>
              <w:right w:val="single" w:sz="4" w:space="0" w:color="auto"/>
            </w:tcBorders>
            <w:shd w:val="clear" w:color="auto" w:fill="auto"/>
            <w:vAlign w:val="center"/>
            <w:hideMark/>
          </w:tcPr>
          <w:p w:rsidR="00F3281B" w:rsidRPr="00511EAB" w:rsidRDefault="00F3281B"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减：因信用转换减少的表外项目余额</w:t>
            </w:r>
          </w:p>
        </w:tc>
        <w:tc>
          <w:tcPr>
            <w:tcW w:w="1027" w:type="pct"/>
            <w:tcBorders>
              <w:top w:val="nil"/>
              <w:left w:val="nil"/>
              <w:bottom w:val="single" w:sz="4" w:space="0" w:color="auto"/>
              <w:right w:val="single" w:sz="4" w:space="0" w:color="auto"/>
            </w:tcBorders>
            <w:shd w:val="clear" w:color="auto" w:fill="auto"/>
            <w:noWrap/>
            <w:hideMark/>
          </w:tcPr>
          <w:p w:rsidR="00F3281B" w:rsidRPr="00957EB3" w:rsidRDefault="00F3281B" w:rsidP="00F3281B">
            <w:pPr>
              <w:widowControl/>
              <w:jc w:val="right"/>
              <w:rPr>
                <w:rFonts w:ascii="Times New Roman" w:eastAsia="宋体" w:hAnsi="Times New Roman" w:cs="Times New Roman"/>
                <w:color w:val="000000"/>
                <w:kern w:val="0"/>
                <w:sz w:val="22"/>
              </w:rPr>
            </w:pPr>
            <w:r w:rsidRPr="00957EB3">
              <w:rPr>
                <w:rFonts w:ascii="Times New Roman" w:eastAsia="宋体" w:hAnsi="Times New Roman" w:cs="Times New Roman"/>
                <w:color w:val="000000"/>
                <w:kern w:val="0"/>
                <w:sz w:val="22"/>
              </w:rPr>
              <w:t>7,313,494.39</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19</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b/>
                <w:color w:val="000000"/>
                <w:kern w:val="0"/>
                <w:sz w:val="22"/>
              </w:rPr>
            </w:pPr>
            <w:r w:rsidRPr="00511EAB">
              <w:rPr>
                <w:rFonts w:ascii="Times New Roman" w:eastAsia="宋体" w:hAnsi="Times New Roman" w:cs="Times New Roman"/>
                <w:b/>
                <w:color w:val="000000"/>
                <w:kern w:val="0"/>
                <w:sz w:val="22"/>
              </w:rPr>
              <w:t>调整后的表外项目余额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97667E" w:rsidP="00A01C2A">
            <w:pPr>
              <w:widowControl/>
              <w:jc w:val="right"/>
              <w:rPr>
                <w:rFonts w:ascii="Times New Roman" w:eastAsia="宋体" w:hAnsi="Times New Roman" w:cs="Times New Roman"/>
                <w:b/>
                <w:color w:val="000000"/>
                <w:kern w:val="0"/>
                <w:sz w:val="22"/>
              </w:rPr>
            </w:pPr>
            <w:r w:rsidRPr="002E2F7B">
              <w:rPr>
                <w:rFonts w:ascii="Times New Roman" w:eastAsia="宋体" w:hAnsi="Times New Roman" w:cs="Times New Roman"/>
                <w:b/>
                <w:color w:val="000000"/>
                <w:kern w:val="0"/>
                <w:sz w:val="22"/>
              </w:rPr>
              <w:t>5,495,481.28</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20</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一级资本净额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97667E"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 xml:space="preserve">2,919,879.71 </w:t>
            </w:r>
            <w:r w:rsidR="00F85BE5" w:rsidRPr="002E2F7B">
              <w:rPr>
                <w:rFonts w:ascii="Times New Roman" w:eastAsia="宋体" w:hAnsi="Times New Roman" w:cs="Times New Roman"/>
                <w:color w:val="000000"/>
                <w:kern w:val="0"/>
                <w:sz w:val="22"/>
              </w:rPr>
              <w:t xml:space="preserve"> </w:t>
            </w:r>
            <w:r w:rsidR="00072977"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21</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调整后的表内外资产余额</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97667E" w:rsidP="00F85BE5">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43,593,313.17</w:t>
            </w:r>
            <w:r w:rsidR="00072977" w:rsidRPr="002E2F7B">
              <w:rPr>
                <w:rFonts w:ascii="Times New Roman" w:eastAsia="宋体" w:hAnsi="Times New Roman" w:cs="Times New Roman"/>
                <w:color w:val="000000"/>
                <w:kern w:val="0"/>
                <w:sz w:val="22"/>
              </w:rPr>
              <w:t xml:space="preserve"> </w:t>
            </w:r>
          </w:p>
        </w:tc>
      </w:tr>
      <w:tr w:rsidR="00072977" w:rsidRPr="00511EAB" w:rsidTr="00A01C2A">
        <w:trPr>
          <w:trHeight w:val="240"/>
          <w:tblHeader/>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072977" w:rsidRPr="00511EAB" w:rsidRDefault="00072977" w:rsidP="00A01C2A">
            <w:pPr>
              <w:widowControl/>
              <w:jc w:val="center"/>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22</w:t>
            </w:r>
          </w:p>
        </w:tc>
        <w:tc>
          <w:tcPr>
            <w:tcW w:w="3410" w:type="pct"/>
            <w:tcBorders>
              <w:top w:val="nil"/>
              <w:left w:val="nil"/>
              <w:bottom w:val="single" w:sz="4" w:space="0" w:color="auto"/>
              <w:right w:val="single" w:sz="4" w:space="0" w:color="auto"/>
            </w:tcBorders>
            <w:shd w:val="clear" w:color="auto" w:fill="auto"/>
            <w:vAlign w:val="center"/>
            <w:hideMark/>
          </w:tcPr>
          <w:p w:rsidR="00072977" w:rsidRPr="00511EAB" w:rsidRDefault="00072977" w:rsidP="00A01C2A">
            <w:pPr>
              <w:widowControl/>
              <w:jc w:val="left"/>
              <w:rPr>
                <w:rFonts w:ascii="Times New Roman" w:eastAsia="宋体" w:hAnsi="Times New Roman" w:cs="Times New Roman"/>
                <w:color w:val="000000"/>
                <w:kern w:val="0"/>
                <w:sz w:val="22"/>
              </w:rPr>
            </w:pPr>
            <w:r w:rsidRPr="00511EAB">
              <w:rPr>
                <w:rFonts w:ascii="Times New Roman" w:eastAsia="宋体" w:hAnsi="Times New Roman" w:cs="Times New Roman"/>
                <w:color w:val="000000"/>
                <w:kern w:val="0"/>
                <w:sz w:val="22"/>
              </w:rPr>
              <w:t>杠杆率</w:t>
            </w:r>
          </w:p>
        </w:tc>
        <w:tc>
          <w:tcPr>
            <w:tcW w:w="1027" w:type="pct"/>
            <w:tcBorders>
              <w:top w:val="nil"/>
              <w:left w:val="nil"/>
              <w:bottom w:val="single" w:sz="4" w:space="0" w:color="auto"/>
              <w:right w:val="single" w:sz="4" w:space="0" w:color="auto"/>
            </w:tcBorders>
            <w:shd w:val="clear" w:color="auto" w:fill="auto"/>
            <w:noWrap/>
            <w:vAlign w:val="center"/>
            <w:hideMark/>
          </w:tcPr>
          <w:p w:rsidR="00072977" w:rsidRPr="002E2F7B" w:rsidRDefault="0097667E" w:rsidP="00A01C2A">
            <w:pPr>
              <w:widowControl/>
              <w:jc w:val="right"/>
              <w:rPr>
                <w:rFonts w:ascii="Times New Roman" w:eastAsia="宋体" w:hAnsi="Times New Roman" w:cs="Times New Roman"/>
                <w:color w:val="000000"/>
                <w:kern w:val="0"/>
                <w:sz w:val="22"/>
              </w:rPr>
            </w:pPr>
            <w:r w:rsidRPr="002E2F7B">
              <w:rPr>
                <w:rFonts w:ascii="Times New Roman" w:eastAsia="宋体" w:hAnsi="Times New Roman" w:cs="Times New Roman"/>
                <w:color w:val="000000"/>
                <w:kern w:val="0"/>
                <w:sz w:val="22"/>
              </w:rPr>
              <w:t>6.70</w:t>
            </w:r>
            <w:r w:rsidR="00072977" w:rsidRPr="002E2F7B">
              <w:rPr>
                <w:rFonts w:ascii="Times New Roman" w:eastAsia="宋体" w:hAnsi="Times New Roman" w:cs="Times New Roman"/>
                <w:color w:val="000000"/>
                <w:kern w:val="0"/>
                <w:sz w:val="22"/>
              </w:rPr>
              <w:t>%</w:t>
            </w:r>
          </w:p>
        </w:tc>
      </w:tr>
      <w:bookmarkEnd w:id="0"/>
      <w:bookmarkEnd w:id="1"/>
    </w:tbl>
    <w:p w:rsidR="00072977" w:rsidRPr="00072977" w:rsidRDefault="00072977" w:rsidP="0081251B">
      <w:pPr>
        <w:jc w:val="left"/>
        <w:rPr>
          <w:sz w:val="20"/>
        </w:rPr>
      </w:pPr>
    </w:p>
    <w:sectPr w:rsidR="00072977" w:rsidRPr="00072977" w:rsidSect="0081251B">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21" w:rsidRDefault="00937E21" w:rsidP="00072977">
      <w:r>
        <w:separator/>
      </w:r>
    </w:p>
  </w:endnote>
  <w:endnote w:type="continuationSeparator" w:id="0">
    <w:p w:rsidR="00937E21" w:rsidRDefault="00937E21" w:rsidP="000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21" w:rsidRDefault="00937E21" w:rsidP="00072977">
      <w:r>
        <w:separator/>
      </w:r>
    </w:p>
  </w:footnote>
  <w:footnote w:type="continuationSeparator" w:id="0">
    <w:p w:rsidR="00937E21" w:rsidRDefault="00937E21" w:rsidP="0007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F9"/>
    <w:rsid w:val="00012CBB"/>
    <w:rsid w:val="00071937"/>
    <w:rsid w:val="00072977"/>
    <w:rsid w:val="00076668"/>
    <w:rsid w:val="000B2342"/>
    <w:rsid w:val="000C4A91"/>
    <w:rsid w:val="000D5846"/>
    <w:rsid w:val="00100398"/>
    <w:rsid w:val="001071C5"/>
    <w:rsid w:val="001452B6"/>
    <w:rsid w:val="00166B14"/>
    <w:rsid w:val="0017205D"/>
    <w:rsid w:val="001A3F5F"/>
    <w:rsid w:val="001A51ED"/>
    <w:rsid w:val="001B369D"/>
    <w:rsid w:val="001B6D5E"/>
    <w:rsid w:val="00216C2A"/>
    <w:rsid w:val="00236087"/>
    <w:rsid w:val="00240703"/>
    <w:rsid w:val="002639F9"/>
    <w:rsid w:val="00273E3E"/>
    <w:rsid w:val="002852DA"/>
    <w:rsid w:val="002900EF"/>
    <w:rsid w:val="002A157B"/>
    <w:rsid w:val="002E2F7B"/>
    <w:rsid w:val="002E7849"/>
    <w:rsid w:val="002F223A"/>
    <w:rsid w:val="0031207A"/>
    <w:rsid w:val="0037049F"/>
    <w:rsid w:val="0039757E"/>
    <w:rsid w:val="003B56F9"/>
    <w:rsid w:val="003C0233"/>
    <w:rsid w:val="00434B5E"/>
    <w:rsid w:val="00511EAB"/>
    <w:rsid w:val="005279D3"/>
    <w:rsid w:val="005B29F7"/>
    <w:rsid w:val="005D478A"/>
    <w:rsid w:val="005F3A42"/>
    <w:rsid w:val="005F4745"/>
    <w:rsid w:val="0060324C"/>
    <w:rsid w:val="00620C38"/>
    <w:rsid w:val="00687D72"/>
    <w:rsid w:val="00714C11"/>
    <w:rsid w:val="0073665E"/>
    <w:rsid w:val="0075793A"/>
    <w:rsid w:val="0077752C"/>
    <w:rsid w:val="00777E37"/>
    <w:rsid w:val="007F3BF1"/>
    <w:rsid w:val="00800B47"/>
    <w:rsid w:val="0081251B"/>
    <w:rsid w:val="008130C2"/>
    <w:rsid w:val="008822A6"/>
    <w:rsid w:val="008A7926"/>
    <w:rsid w:val="00917C01"/>
    <w:rsid w:val="00933642"/>
    <w:rsid w:val="00937E21"/>
    <w:rsid w:val="00942E5E"/>
    <w:rsid w:val="00957EB3"/>
    <w:rsid w:val="0097667E"/>
    <w:rsid w:val="009E3726"/>
    <w:rsid w:val="009E65F5"/>
    <w:rsid w:val="00A01C2A"/>
    <w:rsid w:val="00A757BF"/>
    <w:rsid w:val="00A9428A"/>
    <w:rsid w:val="00AA4961"/>
    <w:rsid w:val="00AF1129"/>
    <w:rsid w:val="00AF473E"/>
    <w:rsid w:val="00BF7233"/>
    <w:rsid w:val="00C1364A"/>
    <w:rsid w:val="00C15D22"/>
    <w:rsid w:val="00C74299"/>
    <w:rsid w:val="00CE6908"/>
    <w:rsid w:val="00CF4E12"/>
    <w:rsid w:val="00D31E59"/>
    <w:rsid w:val="00D7103B"/>
    <w:rsid w:val="00DD2F9B"/>
    <w:rsid w:val="00DE7D86"/>
    <w:rsid w:val="00DF04A2"/>
    <w:rsid w:val="00EC1895"/>
    <w:rsid w:val="00ED4CD5"/>
    <w:rsid w:val="00F3281B"/>
    <w:rsid w:val="00F85BE5"/>
    <w:rsid w:val="00F9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2977"/>
    <w:rPr>
      <w:sz w:val="18"/>
      <w:szCs w:val="18"/>
    </w:rPr>
  </w:style>
  <w:style w:type="paragraph" w:styleId="a4">
    <w:name w:val="footer"/>
    <w:basedOn w:val="a"/>
    <w:link w:val="Char0"/>
    <w:uiPriority w:val="99"/>
    <w:unhideWhenUsed/>
    <w:rsid w:val="00072977"/>
    <w:pPr>
      <w:tabs>
        <w:tab w:val="center" w:pos="4153"/>
        <w:tab w:val="right" w:pos="8306"/>
      </w:tabs>
      <w:snapToGrid w:val="0"/>
      <w:jc w:val="left"/>
    </w:pPr>
    <w:rPr>
      <w:sz w:val="18"/>
      <w:szCs w:val="18"/>
    </w:rPr>
  </w:style>
  <w:style w:type="character" w:customStyle="1" w:styleId="Char0">
    <w:name w:val="页脚 Char"/>
    <w:basedOn w:val="a0"/>
    <w:link w:val="a4"/>
    <w:uiPriority w:val="99"/>
    <w:rsid w:val="00072977"/>
    <w:rPr>
      <w:sz w:val="18"/>
      <w:szCs w:val="18"/>
    </w:rPr>
  </w:style>
  <w:style w:type="paragraph" w:customStyle="1" w:styleId="TableText">
    <w:name w:val="TableText"/>
    <w:basedOn w:val="a"/>
    <w:rsid w:val="005F3A42"/>
    <w:pPr>
      <w:widowControl/>
      <w:tabs>
        <w:tab w:val="decimal" w:pos="474"/>
        <w:tab w:val="left" w:pos="794"/>
      </w:tabs>
      <w:spacing w:before="40" w:after="40"/>
      <w:jc w:val="left"/>
    </w:pPr>
    <w:rPr>
      <w:rFonts w:ascii="Segoe UI" w:eastAsia="宋体" w:hAnsi="Segoe UI" w:cs="Times New Roman"/>
      <w:sz w:val="17"/>
      <w:szCs w:val="17"/>
    </w:rPr>
  </w:style>
  <w:style w:type="paragraph" w:customStyle="1" w:styleId="TableColumnHeading">
    <w:name w:val="TableColumnHeading"/>
    <w:basedOn w:val="a"/>
    <w:rsid w:val="005F3A42"/>
    <w:pPr>
      <w:widowControl/>
      <w:tabs>
        <w:tab w:val="left" w:pos="794"/>
      </w:tabs>
      <w:spacing w:before="40" w:after="40"/>
      <w:jc w:val="center"/>
    </w:pPr>
    <w:rPr>
      <w:rFonts w:ascii="Segoe UI" w:eastAsia="宋体" w:hAnsi="Segoe UI"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8944">
      <w:bodyDiv w:val="1"/>
      <w:marLeft w:val="0"/>
      <w:marRight w:val="0"/>
      <w:marTop w:val="0"/>
      <w:marBottom w:val="0"/>
      <w:divBdr>
        <w:top w:val="none" w:sz="0" w:space="0" w:color="auto"/>
        <w:left w:val="none" w:sz="0" w:space="0" w:color="auto"/>
        <w:bottom w:val="none" w:sz="0" w:space="0" w:color="auto"/>
        <w:right w:val="none" w:sz="0" w:space="0" w:color="auto"/>
      </w:divBdr>
    </w:div>
    <w:div w:id="271128645">
      <w:bodyDiv w:val="1"/>
      <w:marLeft w:val="0"/>
      <w:marRight w:val="0"/>
      <w:marTop w:val="0"/>
      <w:marBottom w:val="0"/>
      <w:divBdr>
        <w:top w:val="none" w:sz="0" w:space="0" w:color="auto"/>
        <w:left w:val="none" w:sz="0" w:space="0" w:color="auto"/>
        <w:bottom w:val="none" w:sz="0" w:space="0" w:color="auto"/>
        <w:right w:val="none" w:sz="0" w:space="0" w:color="auto"/>
      </w:divBdr>
    </w:div>
    <w:div w:id="293482507">
      <w:bodyDiv w:val="1"/>
      <w:marLeft w:val="0"/>
      <w:marRight w:val="0"/>
      <w:marTop w:val="0"/>
      <w:marBottom w:val="0"/>
      <w:divBdr>
        <w:top w:val="none" w:sz="0" w:space="0" w:color="auto"/>
        <w:left w:val="none" w:sz="0" w:space="0" w:color="auto"/>
        <w:bottom w:val="none" w:sz="0" w:space="0" w:color="auto"/>
        <w:right w:val="none" w:sz="0" w:space="0" w:color="auto"/>
      </w:divBdr>
    </w:div>
    <w:div w:id="333728899">
      <w:bodyDiv w:val="1"/>
      <w:marLeft w:val="0"/>
      <w:marRight w:val="0"/>
      <w:marTop w:val="0"/>
      <w:marBottom w:val="0"/>
      <w:divBdr>
        <w:top w:val="none" w:sz="0" w:space="0" w:color="auto"/>
        <w:left w:val="none" w:sz="0" w:space="0" w:color="auto"/>
        <w:bottom w:val="none" w:sz="0" w:space="0" w:color="auto"/>
        <w:right w:val="none" w:sz="0" w:space="0" w:color="auto"/>
      </w:divBdr>
    </w:div>
    <w:div w:id="464740894">
      <w:bodyDiv w:val="1"/>
      <w:marLeft w:val="0"/>
      <w:marRight w:val="0"/>
      <w:marTop w:val="0"/>
      <w:marBottom w:val="0"/>
      <w:divBdr>
        <w:top w:val="none" w:sz="0" w:space="0" w:color="auto"/>
        <w:left w:val="none" w:sz="0" w:space="0" w:color="auto"/>
        <w:bottom w:val="none" w:sz="0" w:space="0" w:color="auto"/>
        <w:right w:val="none" w:sz="0" w:space="0" w:color="auto"/>
      </w:divBdr>
    </w:div>
    <w:div w:id="843712446">
      <w:bodyDiv w:val="1"/>
      <w:marLeft w:val="0"/>
      <w:marRight w:val="0"/>
      <w:marTop w:val="0"/>
      <w:marBottom w:val="0"/>
      <w:divBdr>
        <w:top w:val="none" w:sz="0" w:space="0" w:color="auto"/>
        <w:left w:val="none" w:sz="0" w:space="0" w:color="auto"/>
        <w:bottom w:val="none" w:sz="0" w:space="0" w:color="auto"/>
        <w:right w:val="none" w:sz="0" w:space="0" w:color="auto"/>
      </w:divBdr>
    </w:div>
    <w:div w:id="1172910578">
      <w:bodyDiv w:val="1"/>
      <w:marLeft w:val="0"/>
      <w:marRight w:val="0"/>
      <w:marTop w:val="0"/>
      <w:marBottom w:val="0"/>
      <w:divBdr>
        <w:top w:val="none" w:sz="0" w:space="0" w:color="auto"/>
        <w:left w:val="none" w:sz="0" w:space="0" w:color="auto"/>
        <w:bottom w:val="none" w:sz="0" w:space="0" w:color="auto"/>
        <w:right w:val="none" w:sz="0" w:space="0" w:color="auto"/>
      </w:divBdr>
    </w:div>
    <w:div w:id="1391003102">
      <w:bodyDiv w:val="1"/>
      <w:marLeft w:val="0"/>
      <w:marRight w:val="0"/>
      <w:marTop w:val="0"/>
      <w:marBottom w:val="0"/>
      <w:divBdr>
        <w:top w:val="none" w:sz="0" w:space="0" w:color="auto"/>
        <w:left w:val="none" w:sz="0" w:space="0" w:color="auto"/>
        <w:bottom w:val="none" w:sz="0" w:space="0" w:color="auto"/>
        <w:right w:val="none" w:sz="0" w:space="0" w:color="auto"/>
      </w:divBdr>
    </w:div>
    <w:div w:id="1744913345">
      <w:bodyDiv w:val="1"/>
      <w:marLeft w:val="0"/>
      <w:marRight w:val="0"/>
      <w:marTop w:val="0"/>
      <w:marBottom w:val="0"/>
      <w:divBdr>
        <w:top w:val="none" w:sz="0" w:space="0" w:color="auto"/>
        <w:left w:val="none" w:sz="0" w:space="0" w:color="auto"/>
        <w:bottom w:val="none" w:sz="0" w:space="0" w:color="auto"/>
        <w:right w:val="none" w:sz="0" w:space="0" w:color="auto"/>
      </w:divBdr>
    </w:div>
    <w:div w:id="2030787467">
      <w:bodyDiv w:val="1"/>
      <w:marLeft w:val="0"/>
      <w:marRight w:val="0"/>
      <w:marTop w:val="0"/>
      <w:marBottom w:val="0"/>
      <w:divBdr>
        <w:top w:val="none" w:sz="0" w:space="0" w:color="auto"/>
        <w:left w:val="none" w:sz="0" w:space="0" w:color="auto"/>
        <w:bottom w:val="none" w:sz="0" w:space="0" w:color="auto"/>
        <w:right w:val="none" w:sz="0" w:space="0" w:color="auto"/>
      </w:divBdr>
    </w:div>
    <w:div w:id="2033602603">
      <w:bodyDiv w:val="1"/>
      <w:marLeft w:val="0"/>
      <w:marRight w:val="0"/>
      <w:marTop w:val="0"/>
      <w:marBottom w:val="0"/>
      <w:divBdr>
        <w:top w:val="none" w:sz="0" w:space="0" w:color="auto"/>
        <w:left w:val="none" w:sz="0" w:space="0" w:color="auto"/>
        <w:bottom w:val="none" w:sz="0" w:space="0" w:color="auto"/>
        <w:right w:val="none" w:sz="0" w:space="0" w:color="auto"/>
      </w:divBdr>
    </w:div>
    <w:div w:id="2073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EXCEL</cp:lastModifiedBy>
  <cp:revision>13</cp:revision>
  <dcterms:created xsi:type="dcterms:W3CDTF">2020-02-13T07:46:00Z</dcterms:created>
  <dcterms:modified xsi:type="dcterms:W3CDTF">2020-08-31T00:59:00Z</dcterms:modified>
</cp:coreProperties>
</file>